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cs="Times New Roman"/>
          <w:b/>
          <w:bCs/>
          <w:highlight w:val="none"/>
        </w:rPr>
      </w:pPr>
      <w:r>
        <w:rPr>
          <w:rFonts w:hint="eastAsia" w:ascii="宋体" w:cs="Times New Roman"/>
          <w:sz w:val="28"/>
          <w:szCs w:val="28"/>
          <w:highlight w:val="none"/>
        </w:rPr>
        <w:t xml:space="preserve"> </w:t>
      </w:r>
      <w:r>
        <w:rPr>
          <w:rFonts w:ascii="宋体" w:cs="Times New Roman"/>
          <w:sz w:val="28"/>
          <w:szCs w:val="28"/>
          <w:highlight w:val="none"/>
        </w:rPr>
        <w:drawing>
          <wp:inline distT="0" distB="0" distL="114300" distR="114300">
            <wp:extent cx="882650" cy="854710"/>
            <wp:effectExtent l="0" t="0" r="0" b="0"/>
            <wp:docPr id="2" name="图片 2"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徽标"/>
                    <pic:cNvPicPr>
                      <a:picLocks noChangeAspect="1"/>
                    </pic:cNvPicPr>
                  </pic:nvPicPr>
                  <pic:blipFill>
                    <a:blip r:embed="rId9"/>
                    <a:stretch>
                      <a:fillRect/>
                    </a:stretch>
                  </pic:blipFill>
                  <pic:spPr>
                    <a:xfrm>
                      <a:off x="0" y="0"/>
                      <a:ext cx="882650" cy="854710"/>
                    </a:xfrm>
                    <a:prstGeom prst="rect">
                      <a:avLst/>
                    </a:prstGeom>
                    <a:noFill/>
                    <a:ln>
                      <a:noFill/>
                    </a:ln>
                  </pic:spPr>
                </pic:pic>
              </a:graphicData>
            </a:graphic>
          </wp:inline>
        </w:drawing>
      </w:r>
    </w:p>
    <w:p>
      <w:pPr>
        <w:spacing w:line="360" w:lineRule="auto"/>
        <w:rPr>
          <w:rFonts w:ascii="宋体" w:cs="Times New Roman"/>
          <w:b/>
          <w:bCs/>
          <w:highlight w:val="none"/>
        </w:rPr>
      </w:pPr>
    </w:p>
    <w:p>
      <w:pPr>
        <w:spacing w:line="360" w:lineRule="auto"/>
        <w:rPr>
          <w:rFonts w:ascii="宋体" w:cs="Times New Roman"/>
          <w:b/>
          <w:bCs/>
          <w:highlight w:val="none"/>
        </w:rPr>
      </w:pPr>
    </w:p>
    <w:p>
      <w:pPr>
        <w:spacing w:line="360" w:lineRule="auto"/>
        <w:rPr>
          <w:rFonts w:ascii="宋体" w:cs="Times New Roman"/>
          <w:b/>
          <w:bCs/>
          <w:highlight w:val="none"/>
        </w:rPr>
      </w:pPr>
    </w:p>
    <w:p>
      <w:pPr>
        <w:tabs>
          <w:tab w:val="left" w:pos="420"/>
          <w:tab w:val="left" w:pos="6660"/>
        </w:tabs>
        <w:spacing w:line="360" w:lineRule="auto"/>
        <w:jc w:val="center"/>
        <w:rPr>
          <w:rFonts w:hint="eastAsia" w:ascii="宋体" w:hAnsi="宋体" w:cs="宋体"/>
          <w:b/>
          <w:bCs/>
          <w:sz w:val="52"/>
          <w:szCs w:val="52"/>
          <w:highlight w:val="none"/>
        </w:rPr>
      </w:pPr>
      <w:r>
        <w:rPr>
          <w:rFonts w:hint="eastAsia" w:ascii="宋体" w:hAnsi="宋体" w:cs="宋体"/>
          <w:b/>
          <w:bCs/>
          <w:sz w:val="52"/>
          <w:szCs w:val="52"/>
          <w:highlight w:val="none"/>
        </w:rPr>
        <w:t>公开招标文件</w:t>
      </w:r>
    </w:p>
    <w:p>
      <w:pPr>
        <w:spacing w:line="360" w:lineRule="auto"/>
        <w:jc w:val="center"/>
        <w:rPr>
          <w:rFonts w:hint="default" w:ascii="宋体" w:hAnsi="宋体" w:eastAsia="宋体" w:cs="宋体"/>
          <w:highlight w:val="none"/>
          <w:lang w:val="en-US" w:eastAsia="zh-CN"/>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b/>
          <w:bCs/>
          <w:sz w:val="28"/>
          <w:szCs w:val="28"/>
          <w:highlight w:val="none"/>
          <w:u w:val="single"/>
        </w:rPr>
      </w:pPr>
      <w:r>
        <w:rPr>
          <w:rFonts w:hint="eastAsia" w:ascii="宋体" w:hAnsi="宋体" w:cs="宋体"/>
          <w:b/>
          <w:bCs/>
          <w:sz w:val="28"/>
          <w:szCs w:val="28"/>
          <w:highlight w:val="none"/>
        </w:rPr>
        <w:t>采购项目编号：</w:t>
      </w:r>
      <w:r>
        <w:rPr>
          <w:rFonts w:hint="eastAsia" w:ascii="宋体" w:hAnsi="宋体" w:cs="宋体"/>
          <w:b/>
          <w:bCs/>
          <w:sz w:val="28"/>
          <w:szCs w:val="28"/>
          <w:highlight w:val="none"/>
          <w:u w:val="single"/>
          <w:lang w:val="en-US" w:eastAsia="zh-CN"/>
        </w:rPr>
        <w:t>DQ-2023080-ZB</w:t>
      </w:r>
      <w:r>
        <w:rPr>
          <w:rFonts w:hint="eastAsia" w:ascii="宋体" w:hAnsi="宋体" w:cs="宋体"/>
          <w:b/>
          <w:bCs/>
          <w:sz w:val="28"/>
          <w:szCs w:val="28"/>
          <w:highlight w:val="none"/>
        </w:rPr>
        <w:fldChar w:fldCharType="begin"/>
      </w:r>
      <w:r>
        <w:rPr>
          <w:rFonts w:hint="eastAsia" w:ascii="宋体" w:hAnsi="宋体" w:cs="宋体"/>
          <w:b/>
          <w:bCs/>
          <w:sz w:val="28"/>
          <w:szCs w:val="28"/>
          <w:highlight w:val="none"/>
        </w:rPr>
        <w:instrText xml:space="preserve"> DOCVARIABLE  采购编号  \* MERGEFORMAT </w:instrText>
      </w:r>
      <w:r>
        <w:rPr>
          <w:rFonts w:hint="eastAsia" w:ascii="宋体" w:hAnsi="宋体" w:cs="宋体"/>
          <w:b/>
          <w:bCs/>
          <w:sz w:val="28"/>
          <w:szCs w:val="28"/>
          <w:highlight w:val="none"/>
        </w:rPr>
        <w:fldChar w:fldCharType="end"/>
      </w:r>
      <w:r>
        <w:rPr>
          <w:rFonts w:hint="eastAsia" w:ascii="宋体" w:hAnsi="宋体" w:cs="宋体"/>
          <w:b/>
          <w:bCs/>
          <w:sz w:val="28"/>
          <w:szCs w:val="28"/>
          <w:highlight w:val="none"/>
          <w:u w:val="single"/>
        </w:rPr>
        <w:fldChar w:fldCharType="begin"/>
      </w:r>
      <w:r>
        <w:rPr>
          <w:rFonts w:hint="eastAsia" w:ascii="宋体" w:hAnsi="宋体" w:cs="宋体"/>
          <w:b/>
          <w:bCs/>
          <w:sz w:val="28"/>
          <w:szCs w:val="28"/>
          <w:highlight w:val="none"/>
          <w:u w:val="single"/>
        </w:rPr>
        <w:instrText xml:space="preserve"> DOCVARIABLE  采购编号  \* MERGEFORMAT </w:instrText>
      </w:r>
      <w:r>
        <w:rPr>
          <w:rFonts w:hint="eastAsia" w:ascii="宋体" w:hAnsi="宋体" w:cs="宋体"/>
          <w:b/>
          <w:bCs/>
          <w:sz w:val="28"/>
          <w:szCs w:val="28"/>
          <w:highlight w:val="none"/>
          <w:u w:val="single"/>
        </w:rPr>
        <w:fldChar w:fldCharType="end"/>
      </w:r>
    </w:p>
    <w:p>
      <w:pPr>
        <w:spacing w:line="360" w:lineRule="auto"/>
        <w:jc w:val="center"/>
        <w:rPr>
          <w:rFonts w:hint="eastAsia" w:ascii="宋体" w:hAnsi="宋体" w:eastAsia="宋体" w:cs="宋体"/>
          <w:b/>
          <w:bCs/>
          <w:spacing w:val="-20"/>
          <w:sz w:val="28"/>
          <w:szCs w:val="28"/>
          <w:highlight w:val="none"/>
          <w:lang w:eastAsia="zh-CN"/>
        </w:rPr>
      </w:pPr>
      <w:r>
        <w:rPr>
          <w:rFonts w:hint="eastAsia" w:ascii="宋体" w:hAnsi="宋体" w:cs="宋体"/>
          <w:b/>
          <w:bCs/>
          <w:sz w:val="28"/>
          <w:szCs w:val="28"/>
          <w:highlight w:val="none"/>
        </w:rPr>
        <w:t>采购项目名称：</w:t>
      </w:r>
      <w:r>
        <w:rPr>
          <w:rFonts w:hint="eastAsia" w:ascii="宋体" w:hAnsi="宋体" w:cs="宋体"/>
          <w:b/>
          <w:bCs/>
          <w:sz w:val="28"/>
          <w:szCs w:val="28"/>
          <w:highlight w:val="none"/>
          <w:u w:val="single"/>
          <w:lang w:eastAsia="zh-CN"/>
        </w:rPr>
        <w:t>陕西省司法厅一号办公楼加固改造项目</w:t>
      </w:r>
    </w:p>
    <w:p>
      <w:pPr>
        <w:spacing w:line="360" w:lineRule="auto"/>
        <w:jc w:val="center"/>
        <w:rPr>
          <w:rFonts w:hint="eastAsia" w:ascii="宋体" w:hAnsi="宋体" w:cs="宋体"/>
          <w:b/>
          <w:bCs/>
          <w:sz w:val="28"/>
          <w:szCs w:val="28"/>
          <w:highlight w:val="none"/>
          <w:u w:val="singl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sz w:val="24"/>
          <w:szCs w:val="24"/>
          <w:highlight w:val="none"/>
        </w:rPr>
      </w:pPr>
      <w:r>
        <w:rPr>
          <w:rFonts w:hint="eastAsia" w:ascii="宋体" w:hAnsi="宋体" w:cs="宋体"/>
          <w:b/>
          <w:bCs/>
          <w:sz w:val="24"/>
          <w:szCs w:val="24"/>
          <w:highlight w:val="none"/>
        </w:rPr>
        <w:t>陕西德勤招标有限公司编制</w:t>
      </w:r>
    </w:p>
    <w:p>
      <w:pPr>
        <w:spacing w:line="360" w:lineRule="auto"/>
        <w:jc w:val="center"/>
        <w:rPr>
          <w:rFonts w:hint="default" w:ascii="宋体" w:hAnsi="宋体" w:eastAsia="宋体" w:cs="宋体"/>
          <w:highlight w:val="none"/>
          <w:lang w:val="en-US" w:eastAsia="zh-CN"/>
        </w:rPr>
      </w:pPr>
      <w:r>
        <w:rPr>
          <w:rFonts w:hint="eastAsia" w:ascii="宋体" w:hAnsi="宋体" w:cs="宋体"/>
          <w:b/>
          <w:bCs/>
          <w:sz w:val="24"/>
          <w:szCs w:val="24"/>
          <w:highlight w:val="none"/>
          <w:lang w:eastAsia="zh-CN"/>
        </w:rPr>
        <w:t>发布日期：</w:t>
      </w:r>
      <w:r>
        <w:rPr>
          <w:rFonts w:hint="eastAsia" w:ascii="宋体" w:hAnsi="宋体" w:cs="宋体"/>
          <w:b/>
          <w:bCs/>
          <w:sz w:val="24"/>
          <w:szCs w:val="24"/>
          <w:highlight w:val="none"/>
          <w:lang w:val="en-US" w:eastAsia="zh-CN"/>
        </w:rPr>
        <w:t>2023年6月27日</w:t>
      </w:r>
    </w:p>
    <w:p>
      <w:pPr>
        <w:spacing w:line="360" w:lineRule="auto"/>
        <w:jc w:val="center"/>
        <w:rPr>
          <w:rFonts w:hint="eastAsia" w:ascii="黑体" w:hAnsi="黑体" w:eastAsia="黑体" w:cs="黑体"/>
          <w:b/>
          <w:bCs/>
          <w:color w:val="auto"/>
          <w:sz w:val="32"/>
          <w:szCs w:val="32"/>
          <w:highlight w:val="none"/>
          <w:lang w:eastAsia="zh-CN"/>
        </w:rPr>
      </w:pPr>
      <w:r>
        <w:rPr>
          <w:rFonts w:hint="eastAsia" w:ascii="黑体" w:hAnsi="黑体" w:eastAsia="黑体" w:cs="黑体"/>
          <w:b/>
          <w:sz w:val="32"/>
          <w:szCs w:val="32"/>
          <w:highlight w:val="none"/>
        </w:rPr>
        <w:br w:type="page"/>
      </w:r>
      <w:bookmarkStart w:id="0" w:name="_Toc205"/>
      <w:bookmarkStart w:id="1" w:name="_Toc28018"/>
      <w:r>
        <w:rPr>
          <w:rFonts w:hint="eastAsia" w:ascii="黑体" w:hAnsi="黑体" w:eastAsia="黑体" w:cs="黑体"/>
          <w:b/>
          <w:bCs/>
          <w:color w:val="auto"/>
          <w:sz w:val="32"/>
          <w:szCs w:val="32"/>
          <w:highlight w:val="none"/>
          <w:lang w:val="en-US" w:eastAsia="zh-CN"/>
        </w:rPr>
        <w:t>温馨提示</w:t>
      </w:r>
    </w:p>
    <w:p>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（本提示内容非采购文件的组成部分，仅为善意提醒。如有不一致，以采购文件为准）。</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一、</w:t>
      </w:r>
      <w:r>
        <w:rPr>
          <w:rFonts w:hint="eastAsia" w:ascii="宋体" w:hAnsi="宋体" w:eastAsia="宋体" w:cs="宋体"/>
          <w:color w:val="auto"/>
          <w:kern w:val="0"/>
          <w:sz w:val="24"/>
          <w:szCs w:val="24"/>
          <w:highlight w:val="none"/>
          <w:u w:val="none"/>
          <w:lang w:val="en-US" w:eastAsia="zh-CN"/>
        </w:rPr>
        <w:t>如无另行说明，投标/</w:t>
      </w:r>
      <w:r>
        <w:rPr>
          <w:rFonts w:hint="eastAsia" w:ascii="宋体" w:hAnsi="宋体" w:cs="宋体"/>
          <w:color w:val="auto"/>
          <w:kern w:val="0"/>
          <w:sz w:val="24"/>
          <w:szCs w:val="24"/>
          <w:highlight w:val="none"/>
          <w:u w:val="none"/>
          <w:lang w:val="en-US" w:eastAsia="zh-CN"/>
        </w:rPr>
        <w:t>响应</w:t>
      </w:r>
      <w:r>
        <w:rPr>
          <w:rFonts w:hint="eastAsia" w:ascii="宋体" w:hAnsi="宋体" w:eastAsia="宋体" w:cs="宋体"/>
          <w:color w:val="auto"/>
          <w:kern w:val="0"/>
          <w:sz w:val="24"/>
          <w:szCs w:val="24"/>
          <w:highlight w:val="none"/>
          <w:u w:val="none"/>
          <w:lang w:val="en-US" w:eastAsia="zh-CN"/>
        </w:rPr>
        <w:t>文件递交时间为投标/</w:t>
      </w:r>
      <w:r>
        <w:rPr>
          <w:rFonts w:hint="eastAsia" w:ascii="宋体" w:hAnsi="宋体" w:cs="宋体"/>
          <w:color w:val="auto"/>
          <w:kern w:val="0"/>
          <w:sz w:val="24"/>
          <w:szCs w:val="24"/>
          <w:highlight w:val="none"/>
          <w:u w:val="none"/>
          <w:lang w:val="en-US" w:eastAsia="zh-CN"/>
        </w:rPr>
        <w:t>响应</w:t>
      </w:r>
      <w:r>
        <w:rPr>
          <w:rFonts w:hint="eastAsia" w:ascii="宋体" w:hAnsi="宋体" w:eastAsia="宋体" w:cs="宋体"/>
          <w:color w:val="auto"/>
          <w:kern w:val="0"/>
          <w:sz w:val="24"/>
          <w:szCs w:val="24"/>
          <w:highlight w:val="none"/>
          <w:u w:val="none"/>
          <w:lang w:val="en-US" w:eastAsia="zh-CN"/>
        </w:rPr>
        <w:t>文件递交截止时间之前</w:t>
      </w:r>
      <w:r>
        <w:rPr>
          <w:rFonts w:hint="eastAsia" w:ascii="宋体" w:hAnsi="宋体" w:cs="宋体"/>
          <w:color w:val="auto"/>
          <w:kern w:val="0"/>
          <w:sz w:val="24"/>
          <w:szCs w:val="24"/>
          <w:highlight w:val="none"/>
          <w:u w:val="none"/>
          <w:lang w:val="en-US" w:eastAsia="zh-CN"/>
        </w:rPr>
        <w:t>60</w:t>
      </w:r>
      <w:r>
        <w:rPr>
          <w:rFonts w:hint="eastAsia" w:ascii="宋体" w:hAnsi="宋体" w:eastAsia="宋体" w:cs="宋体"/>
          <w:color w:val="auto"/>
          <w:kern w:val="0"/>
          <w:sz w:val="24"/>
          <w:szCs w:val="24"/>
          <w:highlight w:val="none"/>
          <w:u w:val="none"/>
          <w:lang w:val="en-US" w:eastAsia="zh-CN"/>
        </w:rPr>
        <w:t>分钟内。</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二、</w:t>
      </w:r>
      <w:r>
        <w:rPr>
          <w:rFonts w:hint="eastAsia" w:ascii="宋体" w:hAnsi="宋体" w:eastAsia="宋体" w:cs="宋体"/>
          <w:color w:val="auto"/>
          <w:kern w:val="0"/>
          <w:sz w:val="24"/>
          <w:szCs w:val="24"/>
          <w:highlight w:val="none"/>
          <w:u w:val="none"/>
          <w:lang w:val="en-US" w:eastAsia="zh-CN"/>
        </w:rPr>
        <w:t>每个供应商每个项目的保证金缴纳账户是唯一的，本</w:t>
      </w:r>
      <w:r>
        <w:rPr>
          <w:rFonts w:hint="eastAsia" w:ascii="宋体" w:hAnsi="宋体" w:cs="宋体"/>
          <w:color w:val="auto"/>
          <w:kern w:val="0"/>
          <w:sz w:val="24"/>
          <w:szCs w:val="24"/>
          <w:highlight w:val="none"/>
          <w:u w:val="none"/>
          <w:lang w:val="en-US" w:eastAsia="zh-CN"/>
        </w:rPr>
        <w:t>公司</w:t>
      </w:r>
      <w:r>
        <w:rPr>
          <w:rFonts w:hint="eastAsia" w:ascii="宋体" w:hAnsi="宋体" w:eastAsia="宋体" w:cs="宋体"/>
          <w:color w:val="auto"/>
          <w:kern w:val="0"/>
          <w:sz w:val="24"/>
          <w:szCs w:val="24"/>
          <w:highlight w:val="none"/>
          <w:u w:val="none"/>
          <w:lang w:val="en-US" w:eastAsia="zh-CN"/>
        </w:rPr>
        <w:t>将根据唯一保证金缴纳账户的缴纳情况，确认供应商是否已按规定缴纳项目保证金。所以请各供应商缴纳保证金前务必核对正确的缴纳账户，错缴误缴导致未按项目缴纳保证金的情况将由供应商自行负责。</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三、为了提高政府采购效率，节约社会交易成本与时间，本公司希望购买了采购文件而决定不参加本次投标/响应的供应商，在投标/响应文件递交截止时间的3日前，按《投标/采购邀请函》中的联系方式，以</w:t>
      </w:r>
      <w:r>
        <w:rPr>
          <w:rFonts w:hint="eastAsia" w:ascii="宋体" w:hAnsi="宋体" w:cs="宋体"/>
          <w:color w:val="auto"/>
          <w:kern w:val="0"/>
          <w:sz w:val="24"/>
          <w:szCs w:val="24"/>
          <w:highlight w:val="none"/>
          <w:u w:val="none"/>
          <w:lang w:val="en-US" w:eastAsia="zh-CN"/>
        </w:rPr>
        <w:t>电话或</w:t>
      </w:r>
      <w:r>
        <w:rPr>
          <w:rFonts w:hint="eastAsia" w:ascii="宋体" w:hAnsi="宋体" w:eastAsia="宋体" w:cs="宋体"/>
          <w:color w:val="auto"/>
          <w:kern w:val="0"/>
          <w:sz w:val="24"/>
          <w:szCs w:val="24"/>
          <w:highlight w:val="none"/>
          <w:u w:val="none"/>
          <w:lang w:val="en-US" w:eastAsia="zh-CN"/>
        </w:rPr>
        <w:t>电子邮件形式告知本公司。对您的支持与配合，谨此致谢。</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四</w:t>
      </w:r>
      <w:r>
        <w:rPr>
          <w:rFonts w:hint="default" w:ascii="宋体" w:hAnsi="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供应商如需对项目提出询问或质疑，应按采购文件中要求的询问函和质疑函的格式提交。</w:t>
      </w:r>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u w:val="none"/>
          <w:lang w:val="en-US" w:eastAsia="zh-CN"/>
        </w:rPr>
        <w:t>五、</w:t>
      </w:r>
      <w:r>
        <w:rPr>
          <w:rStyle w:val="46"/>
          <w:rFonts w:hint="eastAsia" w:ascii="宋体" w:hAnsi="宋体" w:cs="宋体"/>
          <w:color w:val="auto"/>
          <w:kern w:val="0"/>
          <w:sz w:val="24"/>
          <w:szCs w:val="24"/>
          <w:highlight w:val="none"/>
          <w:lang w:val="en-US" w:eastAsia="zh-CN" w:bidi="ar"/>
        </w:rPr>
        <w:t>若遇高峰期停车困难</w:t>
      </w:r>
      <w:r>
        <w:rPr>
          <w:rStyle w:val="46"/>
          <w:rFonts w:hint="eastAsia" w:ascii="宋体" w:hAnsi="宋体" w:eastAsia="宋体" w:cs="宋体"/>
          <w:color w:val="auto"/>
          <w:kern w:val="0"/>
          <w:sz w:val="24"/>
          <w:szCs w:val="24"/>
          <w:highlight w:val="none"/>
          <w:lang w:val="en-US" w:eastAsia="zh-CN" w:bidi="ar"/>
        </w:rPr>
        <w:t>，</w:t>
      </w:r>
      <w:r>
        <w:rPr>
          <w:rStyle w:val="46"/>
          <w:rFonts w:hint="eastAsia" w:ascii="宋体" w:hAnsi="宋体" w:cs="宋体"/>
          <w:color w:val="auto"/>
          <w:kern w:val="0"/>
          <w:sz w:val="24"/>
          <w:szCs w:val="24"/>
          <w:highlight w:val="none"/>
          <w:lang w:val="en-US" w:eastAsia="zh-CN" w:bidi="ar"/>
        </w:rPr>
        <w:t>可至公司周边</w:t>
      </w:r>
      <w:r>
        <w:rPr>
          <w:rStyle w:val="46"/>
          <w:rFonts w:hint="eastAsia" w:ascii="宋体" w:hAnsi="宋体" w:eastAsia="宋体" w:cs="宋体"/>
          <w:color w:val="auto"/>
          <w:kern w:val="0"/>
          <w:sz w:val="24"/>
          <w:szCs w:val="24"/>
          <w:highlight w:val="none"/>
          <w:lang w:val="en-US" w:eastAsia="zh-CN" w:bidi="ar"/>
        </w:rPr>
        <w:t>停车场停车，如绿地SOHO同盟、旺都、绿地领海、绿地蓝海及其他对外营业的停车场等。</w:t>
      </w:r>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六、请供应商务必按照《陕西省财政厅关于政府采购供应商注册登记有关事项的通知》要求，通过陕西省政府采购网（http://www.ccgp-shaanxi.gov.cn/）进行陕西政府采购统一身份认证注册登记加入陕西省政府采购供应商库。</w:t>
      </w:r>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p>
    <w:p>
      <w:pPr>
        <w:jc w:val="center"/>
        <w:rPr>
          <w:rFonts w:hint="eastAsia" w:ascii="黑体" w:hAnsi="黑体" w:eastAsia="黑体" w:cs="黑体"/>
          <w:b/>
          <w:sz w:val="32"/>
          <w:szCs w:val="32"/>
          <w:highlight w:val="none"/>
        </w:rPr>
      </w:pPr>
      <w:r>
        <w:rPr>
          <w:rStyle w:val="76"/>
          <w:rFonts w:hint="eastAsia" w:ascii="黑体" w:hAnsi="黑体" w:eastAsia="黑体" w:cs="黑体"/>
          <w:sz w:val="32"/>
          <w:szCs w:val="32"/>
          <w:highlight w:val="none"/>
        </w:rPr>
        <w:br w:type="page"/>
      </w:r>
      <w:r>
        <w:rPr>
          <w:rStyle w:val="76"/>
          <w:rFonts w:hint="eastAsia" w:ascii="黑体" w:hAnsi="黑体" w:eastAsia="黑体" w:cs="黑体"/>
          <w:sz w:val="32"/>
          <w:szCs w:val="32"/>
          <w:highlight w:val="none"/>
        </w:rPr>
        <w:t>目录</w:t>
      </w:r>
      <w:bookmarkEnd w:id="0"/>
      <w:bookmarkEnd w:id="1"/>
    </w:p>
    <w:p>
      <w:pPr>
        <w:pStyle w:val="26"/>
        <w:tabs>
          <w:tab w:val="right" w:leader="dot" w:pos="9241"/>
          <w:tab w:val="clear" w:pos="9742"/>
        </w:tabs>
      </w:pPr>
      <w:r>
        <w:rPr>
          <w:rFonts w:hint="eastAsia" w:eastAsia="黑体"/>
          <w:b w:val="0"/>
          <w:bCs w:val="0"/>
          <w:highlight w:val="none"/>
        </w:rPr>
        <w:fldChar w:fldCharType="begin"/>
      </w:r>
      <w:r>
        <w:rPr>
          <w:rFonts w:hint="eastAsia" w:eastAsia="黑体"/>
          <w:b w:val="0"/>
          <w:bCs w:val="0"/>
          <w:highlight w:val="none"/>
        </w:rPr>
        <w:instrText xml:space="preserve">TOC \o "1-3" \h \u </w:instrText>
      </w:r>
      <w:r>
        <w:rPr>
          <w:rFonts w:hint="eastAsia" w:eastAsia="黑体"/>
          <w:b w:val="0"/>
          <w:bCs w:val="0"/>
          <w:highlight w:val="none"/>
        </w:rPr>
        <w:fldChar w:fldCharType="separate"/>
      </w:r>
      <w:r>
        <w:rPr>
          <w:rFonts w:hint="eastAsia" w:eastAsia="黑体"/>
          <w:bCs w:val="0"/>
          <w:highlight w:val="none"/>
        </w:rPr>
        <w:fldChar w:fldCharType="begin"/>
      </w:r>
      <w:r>
        <w:rPr>
          <w:rFonts w:hint="eastAsia" w:eastAsia="黑体"/>
          <w:bCs w:val="0"/>
          <w:highlight w:val="none"/>
        </w:rPr>
        <w:instrText xml:space="preserve"> HYPERLINK \l _Toc1524 </w:instrText>
      </w:r>
      <w:r>
        <w:rPr>
          <w:rFonts w:hint="eastAsia" w:eastAsia="黑体"/>
          <w:bCs w:val="0"/>
          <w:highlight w:val="none"/>
        </w:rPr>
        <w:fldChar w:fldCharType="separate"/>
      </w:r>
      <w:r>
        <w:rPr>
          <w:rFonts w:hint="eastAsia" w:ascii="黑体" w:hAnsi="黑体" w:eastAsia="黑体" w:cs="黑体"/>
          <w:szCs w:val="32"/>
          <w:highlight w:val="none"/>
        </w:rPr>
        <w:t>第一</w:t>
      </w:r>
      <w:r>
        <w:rPr>
          <w:rFonts w:hint="eastAsia" w:ascii="黑体" w:hAnsi="黑体" w:eastAsia="黑体" w:cs="黑体"/>
          <w:szCs w:val="32"/>
          <w:highlight w:val="none"/>
          <w:lang w:val="en-US" w:eastAsia="zh-CN"/>
        </w:rPr>
        <w:t>章</w:t>
      </w:r>
      <w:r>
        <w:rPr>
          <w:rFonts w:hint="eastAsia" w:ascii="黑体" w:hAnsi="黑体" w:eastAsia="黑体" w:cs="黑体"/>
          <w:szCs w:val="32"/>
          <w:highlight w:val="none"/>
        </w:rPr>
        <w:t xml:space="preserve"> 招标公告</w:t>
      </w:r>
      <w:r>
        <w:tab/>
      </w:r>
      <w:r>
        <w:fldChar w:fldCharType="begin"/>
      </w:r>
      <w:r>
        <w:instrText xml:space="preserve"> PAGEREF _Toc1524 \h </w:instrText>
      </w:r>
      <w:r>
        <w:fldChar w:fldCharType="separate"/>
      </w:r>
      <w:r>
        <w:t>4</w:t>
      </w:r>
      <w:r>
        <w:fldChar w:fldCharType="end"/>
      </w:r>
      <w:r>
        <w:rPr>
          <w:rFonts w:hint="eastAsia" w:eastAsia="黑体"/>
          <w:bCs w:val="0"/>
          <w:highlight w:val="none"/>
        </w:rPr>
        <w:fldChar w:fldCharType="end"/>
      </w:r>
    </w:p>
    <w:p>
      <w:pPr>
        <w:pStyle w:val="26"/>
        <w:tabs>
          <w:tab w:val="right" w:leader="dot" w:pos="9241"/>
          <w:tab w:val="clear" w:pos="97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_Toc8686 </w:instrText>
      </w:r>
      <w:r>
        <w:rPr>
          <w:rFonts w:hint="eastAsia" w:ascii="黑体" w:hAnsi="黑体" w:eastAsia="黑体" w:cs="黑体"/>
          <w:highlight w:val="none"/>
        </w:rPr>
        <w:fldChar w:fldCharType="separate"/>
      </w:r>
      <w:r>
        <w:rPr>
          <w:rFonts w:hint="eastAsia" w:ascii="黑体" w:hAnsi="黑体" w:eastAsia="黑体" w:cs="黑体"/>
          <w:szCs w:val="32"/>
          <w:highlight w:val="none"/>
          <w:lang w:eastAsia="zh-CN"/>
        </w:rPr>
        <w:t>第二章 投标供应商须知</w:t>
      </w:r>
      <w:r>
        <w:tab/>
      </w:r>
      <w:r>
        <w:fldChar w:fldCharType="begin"/>
      </w:r>
      <w:r>
        <w:instrText xml:space="preserve"> PAGEREF _Toc8686 \h </w:instrText>
      </w:r>
      <w:r>
        <w:fldChar w:fldCharType="separate"/>
      </w:r>
      <w:r>
        <w:t>7</w:t>
      </w:r>
      <w:r>
        <w:fldChar w:fldCharType="end"/>
      </w:r>
      <w:r>
        <w:rPr>
          <w:rFonts w:hint="eastAsia" w:ascii="黑体" w:hAnsi="黑体" w:eastAsia="黑体" w:cs="黑体"/>
          <w:highlight w:val="none"/>
        </w:rPr>
        <w:fldChar w:fldCharType="end"/>
      </w:r>
    </w:p>
    <w:p>
      <w:pPr>
        <w:pStyle w:val="26"/>
        <w:tabs>
          <w:tab w:val="right" w:leader="dot" w:pos="9241"/>
          <w:tab w:val="clear" w:pos="97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_Toc1045 </w:instrText>
      </w:r>
      <w:r>
        <w:rPr>
          <w:rFonts w:hint="eastAsia" w:ascii="黑体" w:hAnsi="黑体" w:eastAsia="黑体" w:cs="黑体"/>
          <w:highlight w:val="none"/>
        </w:rPr>
        <w:fldChar w:fldCharType="separate"/>
      </w:r>
      <w:r>
        <w:rPr>
          <w:rFonts w:hint="eastAsia" w:ascii="黑体" w:hAnsi="黑体" w:eastAsia="黑体" w:cs="黑体"/>
          <w:bCs/>
          <w:szCs w:val="32"/>
          <w:highlight w:val="none"/>
          <w:lang w:val="en-US" w:eastAsia="zh-CN" w:bidi="ar-SA"/>
        </w:rPr>
        <w:t>第三章 评标办法</w:t>
      </w:r>
      <w:r>
        <w:tab/>
      </w:r>
      <w:r>
        <w:fldChar w:fldCharType="begin"/>
      </w:r>
      <w:r>
        <w:instrText xml:space="preserve"> PAGEREF _Toc1045 \h </w:instrText>
      </w:r>
      <w:r>
        <w:fldChar w:fldCharType="separate"/>
      </w:r>
      <w:r>
        <w:t>25</w:t>
      </w:r>
      <w:r>
        <w:fldChar w:fldCharType="end"/>
      </w:r>
      <w:r>
        <w:rPr>
          <w:rFonts w:hint="eastAsia" w:ascii="黑体" w:hAnsi="黑体" w:eastAsia="黑体" w:cs="黑体"/>
          <w:highlight w:val="none"/>
        </w:rPr>
        <w:fldChar w:fldCharType="end"/>
      </w:r>
    </w:p>
    <w:p>
      <w:pPr>
        <w:pStyle w:val="26"/>
        <w:tabs>
          <w:tab w:val="right" w:leader="dot" w:pos="9241"/>
          <w:tab w:val="clear" w:pos="97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_Toc19661 </w:instrText>
      </w:r>
      <w:r>
        <w:rPr>
          <w:rFonts w:hint="eastAsia" w:ascii="黑体" w:hAnsi="黑体" w:eastAsia="黑体" w:cs="黑体"/>
          <w:highlight w:val="none"/>
        </w:rPr>
        <w:fldChar w:fldCharType="separate"/>
      </w:r>
      <w:r>
        <w:rPr>
          <w:rFonts w:hint="eastAsia" w:ascii="黑体" w:hAnsi="黑体" w:eastAsia="黑体" w:cs="黑体"/>
          <w:bCs/>
          <w:szCs w:val="32"/>
          <w:highlight w:val="none"/>
          <w:lang w:val="en-US" w:eastAsia="zh-CN" w:bidi="ar-SA"/>
        </w:rPr>
        <w:t>第四章 合同条款及格式</w:t>
      </w:r>
      <w:r>
        <w:tab/>
      </w:r>
      <w:r>
        <w:fldChar w:fldCharType="begin"/>
      </w:r>
      <w:r>
        <w:instrText xml:space="preserve"> PAGEREF _Toc19661 \h </w:instrText>
      </w:r>
      <w:r>
        <w:fldChar w:fldCharType="separate"/>
      </w:r>
      <w:r>
        <w:t>41</w:t>
      </w:r>
      <w:r>
        <w:fldChar w:fldCharType="end"/>
      </w:r>
      <w:r>
        <w:rPr>
          <w:rFonts w:hint="eastAsia" w:ascii="黑体" w:hAnsi="黑体" w:eastAsia="黑体" w:cs="黑体"/>
          <w:highlight w:val="none"/>
        </w:rPr>
        <w:fldChar w:fldCharType="end"/>
      </w:r>
    </w:p>
    <w:p>
      <w:pPr>
        <w:pStyle w:val="31"/>
        <w:tabs>
          <w:tab w:val="right" w:leader="dot" w:pos="9241"/>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_Toc12488 </w:instrText>
      </w:r>
      <w:r>
        <w:rPr>
          <w:rFonts w:hint="eastAsia" w:ascii="黑体" w:hAnsi="黑体" w:eastAsia="黑体" w:cs="黑体"/>
          <w:highlight w:val="none"/>
        </w:rPr>
        <w:fldChar w:fldCharType="separate"/>
      </w:r>
      <w:r>
        <w:rPr>
          <w:rFonts w:hint="eastAsia" w:ascii="黑体" w:hAnsi="??" w:eastAsia="黑体" w:cs="??"/>
          <w:bCs/>
          <w:szCs w:val="32"/>
          <w:highlight w:val="none"/>
        </w:rPr>
        <w:t>第一部分 合同协议书</w:t>
      </w:r>
      <w:r>
        <w:tab/>
      </w:r>
      <w:r>
        <w:fldChar w:fldCharType="begin"/>
      </w:r>
      <w:r>
        <w:instrText xml:space="preserve"> PAGEREF _Toc12488 \h </w:instrText>
      </w:r>
      <w:r>
        <w:fldChar w:fldCharType="separate"/>
      </w:r>
      <w:r>
        <w:t>42</w:t>
      </w:r>
      <w:r>
        <w:fldChar w:fldCharType="end"/>
      </w:r>
      <w:r>
        <w:rPr>
          <w:rFonts w:hint="eastAsia" w:ascii="黑体" w:hAnsi="黑体" w:eastAsia="黑体" w:cs="黑体"/>
          <w:highlight w:val="none"/>
        </w:rPr>
        <w:fldChar w:fldCharType="end"/>
      </w:r>
    </w:p>
    <w:p>
      <w:pPr>
        <w:pStyle w:val="31"/>
        <w:tabs>
          <w:tab w:val="right" w:leader="dot" w:pos="9241"/>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_Toc26464 </w:instrText>
      </w:r>
      <w:r>
        <w:rPr>
          <w:rFonts w:hint="eastAsia" w:ascii="黑体" w:hAnsi="黑体" w:eastAsia="黑体" w:cs="黑体"/>
          <w:highlight w:val="none"/>
        </w:rPr>
        <w:fldChar w:fldCharType="separate"/>
      </w:r>
      <w:r>
        <w:rPr>
          <w:rFonts w:hint="eastAsia" w:ascii="黑体" w:hAnsi="??" w:eastAsia="黑体" w:cs="??"/>
          <w:bCs/>
          <w:szCs w:val="32"/>
          <w:highlight w:val="none"/>
          <w:lang w:val="en-US" w:eastAsia="zh-CN"/>
        </w:rPr>
        <w:t>第二部分 通用合同条款</w:t>
      </w:r>
      <w:r>
        <w:tab/>
      </w:r>
      <w:r>
        <w:fldChar w:fldCharType="begin"/>
      </w:r>
      <w:r>
        <w:instrText xml:space="preserve"> PAGEREF _Toc26464 \h </w:instrText>
      </w:r>
      <w:r>
        <w:fldChar w:fldCharType="separate"/>
      </w:r>
      <w:r>
        <w:t>45</w:t>
      </w:r>
      <w:r>
        <w:fldChar w:fldCharType="end"/>
      </w:r>
      <w:r>
        <w:rPr>
          <w:rFonts w:hint="eastAsia" w:ascii="黑体" w:hAnsi="黑体" w:eastAsia="黑体" w:cs="黑体"/>
          <w:highlight w:val="none"/>
        </w:rPr>
        <w:fldChar w:fldCharType="end"/>
      </w:r>
    </w:p>
    <w:p>
      <w:pPr>
        <w:pStyle w:val="31"/>
        <w:tabs>
          <w:tab w:val="right" w:leader="dot" w:pos="9241"/>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_Toc1328 </w:instrText>
      </w:r>
      <w:r>
        <w:rPr>
          <w:rFonts w:hint="eastAsia" w:ascii="黑体" w:hAnsi="黑体" w:eastAsia="黑体" w:cs="黑体"/>
          <w:highlight w:val="none"/>
        </w:rPr>
        <w:fldChar w:fldCharType="separate"/>
      </w:r>
      <w:r>
        <w:rPr>
          <w:rFonts w:hint="eastAsia" w:ascii="黑体" w:hAnsi="??" w:eastAsia="黑体" w:cs="??"/>
          <w:bCs/>
          <w:szCs w:val="32"/>
          <w:highlight w:val="none"/>
          <w:lang w:val="en-US" w:eastAsia="zh-CN"/>
        </w:rPr>
        <w:t>第三部分 专用合同条款</w:t>
      </w:r>
      <w:r>
        <w:tab/>
      </w:r>
      <w:r>
        <w:fldChar w:fldCharType="begin"/>
      </w:r>
      <w:r>
        <w:instrText xml:space="preserve"> PAGEREF _Toc1328 \h </w:instrText>
      </w:r>
      <w:r>
        <w:fldChar w:fldCharType="separate"/>
      </w:r>
      <w:r>
        <w:t>103</w:t>
      </w:r>
      <w:r>
        <w:fldChar w:fldCharType="end"/>
      </w:r>
      <w:r>
        <w:rPr>
          <w:rFonts w:hint="eastAsia" w:ascii="黑体" w:hAnsi="黑体" w:eastAsia="黑体" w:cs="黑体"/>
          <w:highlight w:val="none"/>
        </w:rPr>
        <w:fldChar w:fldCharType="end"/>
      </w:r>
    </w:p>
    <w:p>
      <w:pPr>
        <w:pStyle w:val="26"/>
        <w:tabs>
          <w:tab w:val="right" w:leader="dot" w:pos="9241"/>
          <w:tab w:val="clear" w:pos="97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_Toc27500 </w:instrText>
      </w:r>
      <w:r>
        <w:rPr>
          <w:rFonts w:hint="eastAsia" w:ascii="黑体" w:hAnsi="黑体" w:eastAsia="黑体" w:cs="黑体"/>
          <w:highlight w:val="none"/>
        </w:rPr>
        <w:fldChar w:fldCharType="separate"/>
      </w:r>
      <w:r>
        <w:rPr>
          <w:rFonts w:hint="eastAsia" w:ascii="黑体" w:hAnsi="黑体" w:eastAsia="黑体" w:cs="黑体"/>
          <w:bCs/>
          <w:szCs w:val="32"/>
          <w:highlight w:val="none"/>
          <w:lang w:val="en-US" w:eastAsia="zh-CN" w:bidi="ar-SA"/>
        </w:rPr>
        <w:t>第五章 工程量清单</w:t>
      </w:r>
      <w:r>
        <w:tab/>
      </w:r>
      <w:r>
        <w:fldChar w:fldCharType="begin"/>
      </w:r>
      <w:r>
        <w:instrText xml:space="preserve"> PAGEREF _Toc27500 \h </w:instrText>
      </w:r>
      <w:r>
        <w:fldChar w:fldCharType="separate"/>
      </w:r>
      <w:r>
        <w:t>139</w:t>
      </w:r>
      <w:r>
        <w:fldChar w:fldCharType="end"/>
      </w:r>
      <w:r>
        <w:rPr>
          <w:rFonts w:hint="eastAsia" w:ascii="黑体" w:hAnsi="黑体" w:eastAsia="黑体" w:cs="黑体"/>
          <w:highlight w:val="none"/>
        </w:rPr>
        <w:fldChar w:fldCharType="end"/>
      </w:r>
    </w:p>
    <w:p>
      <w:pPr>
        <w:pStyle w:val="26"/>
        <w:tabs>
          <w:tab w:val="right" w:leader="dot" w:pos="9241"/>
          <w:tab w:val="clear" w:pos="97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_Toc11361 </w:instrText>
      </w:r>
      <w:r>
        <w:rPr>
          <w:rFonts w:hint="eastAsia" w:ascii="黑体" w:hAnsi="黑体" w:eastAsia="黑体" w:cs="黑体"/>
          <w:highlight w:val="none"/>
        </w:rPr>
        <w:fldChar w:fldCharType="separate"/>
      </w:r>
      <w:r>
        <w:rPr>
          <w:rFonts w:hint="eastAsia" w:ascii="黑体" w:hAnsi="黑体" w:eastAsia="黑体" w:cs="黑体"/>
          <w:bCs/>
          <w:szCs w:val="32"/>
          <w:highlight w:val="none"/>
          <w:lang w:val="en-US" w:eastAsia="zh-CN" w:bidi="ar-SA"/>
        </w:rPr>
        <w:t>第六章 图  纸</w:t>
      </w:r>
      <w:r>
        <w:tab/>
      </w:r>
      <w:r>
        <w:fldChar w:fldCharType="begin"/>
      </w:r>
      <w:r>
        <w:instrText xml:space="preserve"> PAGEREF _Toc11361 \h </w:instrText>
      </w:r>
      <w:r>
        <w:fldChar w:fldCharType="separate"/>
      </w:r>
      <w:r>
        <w:t>140</w:t>
      </w:r>
      <w:r>
        <w:fldChar w:fldCharType="end"/>
      </w:r>
      <w:r>
        <w:rPr>
          <w:rFonts w:hint="eastAsia" w:ascii="黑体" w:hAnsi="黑体" w:eastAsia="黑体" w:cs="黑体"/>
          <w:highlight w:val="none"/>
        </w:rPr>
        <w:fldChar w:fldCharType="end"/>
      </w:r>
    </w:p>
    <w:p>
      <w:pPr>
        <w:pStyle w:val="26"/>
        <w:tabs>
          <w:tab w:val="right" w:leader="dot" w:pos="9241"/>
          <w:tab w:val="clear" w:pos="97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_Toc13942 </w:instrText>
      </w:r>
      <w:r>
        <w:rPr>
          <w:rFonts w:hint="eastAsia" w:ascii="黑体" w:hAnsi="黑体" w:eastAsia="黑体" w:cs="黑体"/>
          <w:highlight w:val="none"/>
        </w:rPr>
        <w:fldChar w:fldCharType="separate"/>
      </w:r>
      <w:r>
        <w:rPr>
          <w:rFonts w:hint="eastAsia" w:ascii="黑体" w:hAnsi="黑体" w:eastAsia="黑体" w:cs="黑体"/>
          <w:szCs w:val="32"/>
          <w:highlight w:val="none"/>
          <w:lang w:val="en-US" w:eastAsia="zh-CN" w:bidi="ar-SA"/>
        </w:rPr>
        <w:t>第七章 技术标准和要求</w:t>
      </w:r>
      <w:r>
        <w:tab/>
      </w:r>
      <w:bookmarkStart w:id="1506" w:name="_GoBack"/>
      <w:bookmarkEnd w:id="1506"/>
      <w:r>
        <w:fldChar w:fldCharType="begin"/>
      </w:r>
      <w:r>
        <w:instrText xml:space="preserve"> PAGEREF _Toc13942 \h </w:instrText>
      </w:r>
      <w:r>
        <w:fldChar w:fldCharType="separate"/>
      </w:r>
      <w:r>
        <w:t>141</w:t>
      </w:r>
      <w:r>
        <w:fldChar w:fldCharType="end"/>
      </w:r>
      <w:r>
        <w:rPr>
          <w:rFonts w:hint="eastAsia" w:ascii="黑体" w:hAnsi="黑体" w:eastAsia="黑体" w:cs="黑体"/>
          <w:highlight w:val="none"/>
        </w:rPr>
        <w:fldChar w:fldCharType="end"/>
      </w:r>
    </w:p>
    <w:p>
      <w:pPr>
        <w:pStyle w:val="26"/>
        <w:tabs>
          <w:tab w:val="right" w:leader="dot" w:pos="9241"/>
          <w:tab w:val="clear" w:pos="9742"/>
        </w:tabs>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_Toc31115 </w:instrText>
      </w:r>
      <w:r>
        <w:rPr>
          <w:rFonts w:hint="eastAsia" w:ascii="黑体" w:hAnsi="黑体" w:eastAsia="黑体" w:cs="黑体"/>
          <w:highlight w:val="none"/>
        </w:rPr>
        <w:fldChar w:fldCharType="separate"/>
      </w:r>
      <w:r>
        <w:rPr>
          <w:rFonts w:hint="eastAsia" w:ascii="黑体" w:hAnsi="黑体" w:eastAsia="黑体" w:cs="黑体"/>
          <w:szCs w:val="32"/>
          <w:highlight w:val="none"/>
          <w:lang w:val="en-US" w:eastAsia="zh-CN" w:bidi="ar-SA"/>
        </w:rPr>
        <w:t>第八章 投标文件格式</w:t>
      </w:r>
      <w:r>
        <w:tab/>
      </w:r>
      <w:r>
        <w:fldChar w:fldCharType="begin"/>
      </w:r>
      <w:r>
        <w:instrText xml:space="preserve"> PAGEREF _Toc31115 \h </w:instrText>
      </w:r>
      <w:r>
        <w:fldChar w:fldCharType="separate"/>
      </w:r>
      <w:r>
        <w:t>142</w:t>
      </w:r>
      <w:r>
        <w:fldChar w:fldCharType="end"/>
      </w:r>
      <w:r>
        <w:rPr>
          <w:rFonts w:hint="eastAsia" w:ascii="黑体" w:hAnsi="黑体" w:eastAsia="黑体" w:cs="黑体"/>
          <w:highlight w:val="none"/>
        </w:rPr>
        <w:fldChar w:fldCharType="end"/>
      </w:r>
    </w:p>
    <w:p>
      <w:pPr>
        <w:spacing w:line="440" w:lineRule="exact"/>
        <w:rPr>
          <w:rFonts w:ascii="宋体" w:cs="Times New Roman"/>
          <w:highlight w:val="none"/>
        </w:rPr>
      </w:pPr>
      <w:r>
        <w:rPr>
          <w:rFonts w:hint="eastAsia" w:ascii="黑体" w:hAnsi="黑体" w:eastAsia="黑体" w:cs="黑体"/>
          <w:highlight w:val="none"/>
        </w:rPr>
        <w:fldChar w:fldCharType="end"/>
      </w:r>
    </w:p>
    <w:p>
      <w:pPr>
        <w:spacing w:line="360" w:lineRule="auto"/>
        <w:jc w:val="center"/>
        <w:outlineLvl w:val="0"/>
        <w:rPr>
          <w:rFonts w:hint="eastAsia" w:ascii="宋体" w:hAnsi="宋体" w:cs="宋体"/>
          <w:sz w:val="24"/>
          <w:highlight w:val="none"/>
        </w:rPr>
      </w:pPr>
      <w:r>
        <w:rPr>
          <w:rStyle w:val="76"/>
          <w:rFonts w:hint="eastAsia" w:ascii="黑体" w:hAnsi="黑体" w:eastAsia="黑体" w:cs="黑体"/>
          <w:sz w:val="32"/>
          <w:szCs w:val="32"/>
          <w:highlight w:val="none"/>
        </w:rPr>
        <w:br w:type="page"/>
      </w:r>
      <w:bookmarkStart w:id="2" w:name="_Toc1524"/>
      <w:r>
        <w:rPr>
          <w:rStyle w:val="53"/>
          <w:rFonts w:hint="eastAsia" w:ascii="黑体" w:hAnsi="黑体" w:eastAsia="黑体" w:cs="黑体"/>
          <w:sz w:val="32"/>
          <w:szCs w:val="32"/>
          <w:highlight w:val="none"/>
        </w:rPr>
        <w:t>第一</w:t>
      </w:r>
      <w:r>
        <w:rPr>
          <w:rStyle w:val="53"/>
          <w:rFonts w:hint="eastAsia" w:ascii="黑体" w:hAnsi="黑体" w:eastAsia="黑体" w:cs="黑体"/>
          <w:sz w:val="32"/>
          <w:szCs w:val="32"/>
          <w:highlight w:val="none"/>
          <w:lang w:val="en-US" w:eastAsia="zh-CN"/>
        </w:rPr>
        <w:t>章</w:t>
      </w:r>
      <w:r>
        <w:rPr>
          <w:rStyle w:val="53"/>
          <w:rFonts w:hint="eastAsia" w:ascii="黑体" w:hAnsi="黑体" w:eastAsia="黑体" w:cs="黑体"/>
          <w:sz w:val="32"/>
          <w:szCs w:val="32"/>
          <w:highlight w:val="none"/>
        </w:rPr>
        <w:t xml:space="preserve"> 招标公告</w:t>
      </w:r>
      <w:bookmarkEnd w:id="2"/>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bookmarkStart w:id="3" w:name="_Toc152042288"/>
      <w:bookmarkStart w:id="4" w:name="_Toc179632528"/>
      <w:bookmarkStart w:id="5" w:name="_Toc152045512"/>
      <w:bookmarkStart w:id="6" w:name="_Toc144974480"/>
      <w:r>
        <w:rPr>
          <w:rStyle w:val="46"/>
          <w:rFonts w:hint="eastAsia" w:ascii="宋体" w:hAnsi="宋体" w:eastAsia="宋体" w:cs="宋体"/>
          <w:color w:val="auto"/>
          <w:kern w:val="0"/>
          <w:sz w:val="24"/>
          <w:szCs w:val="24"/>
          <w:highlight w:val="none"/>
          <w:lang w:val="en-US" w:eastAsia="zh-CN" w:bidi="ar"/>
        </w:rPr>
        <w:t>1. 招标条件</w:t>
      </w:r>
      <w:bookmarkEnd w:id="3"/>
      <w:bookmarkEnd w:id="4"/>
      <w:bookmarkEnd w:id="5"/>
      <w:bookmarkEnd w:id="6"/>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本招标项目</w:t>
      </w:r>
      <w:r>
        <w:rPr>
          <w:rFonts w:hint="eastAsia" w:ascii="宋体" w:hAnsi="宋体" w:eastAsia="宋体" w:cs="宋体"/>
          <w:color w:val="auto"/>
          <w:kern w:val="0"/>
          <w:sz w:val="24"/>
          <w:szCs w:val="24"/>
          <w:highlight w:val="none"/>
          <w:lang w:val="en-US" w:eastAsia="zh-CN" w:bidi="ar"/>
        </w:rPr>
        <w:t>陕西省司法厅一号办公楼加固改造项目</w:t>
      </w:r>
      <w:r>
        <w:rPr>
          <w:rStyle w:val="46"/>
          <w:rFonts w:hint="eastAsia" w:ascii="宋体" w:hAnsi="宋体" w:eastAsia="宋体" w:cs="宋体"/>
          <w:color w:val="auto"/>
          <w:kern w:val="0"/>
          <w:sz w:val="24"/>
          <w:szCs w:val="24"/>
          <w:highlight w:val="none"/>
          <w:lang w:val="en-US" w:eastAsia="zh-CN" w:bidi="ar"/>
        </w:rPr>
        <w:t>（项目编号：</w:t>
      </w:r>
      <w:r>
        <w:rPr>
          <w:rFonts w:hint="eastAsia" w:ascii="宋体" w:hAnsi="宋体" w:eastAsia="宋体" w:cs="宋体"/>
          <w:color w:val="auto"/>
          <w:kern w:val="0"/>
          <w:sz w:val="24"/>
          <w:szCs w:val="24"/>
          <w:highlight w:val="none"/>
          <w:lang w:val="en-US" w:eastAsia="zh-CN" w:bidi="ar"/>
        </w:rPr>
        <w:t>DQ-2023080-ZB</w:t>
      </w:r>
      <w:r>
        <w:rPr>
          <w:rStyle w:val="46"/>
          <w:rFonts w:hint="eastAsia" w:ascii="宋体" w:hAnsi="宋体" w:eastAsia="宋体" w:cs="宋体"/>
          <w:color w:val="auto"/>
          <w:kern w:val="0"/>
          <w:sz w:val="24"/>
          <w:szCs w:val="24"/>
          <w:highlight w:val="none"/>
          <w:lang w:val="en-US" w:eastAsia="zh-CN" w:bidi="ar"/>
        </w:rPr>
        <w:t>）已由政府采购管理部门批准建设，建设资金来自财政资金，采购人为</w:t>
      </w:r>
      <w:r>
        <w:rPr>
          <w:rFonts w:hint="eastAsia" w:ascii="宋体" w:hAnsi="宋体" w:eastAsia="宋体" w:cs="宋体"/>
          <w:color w:val="auto"/>
          <w:kern w:val="0"/>
          <w:sz w:val="24"/>
          <w:szCs w:val="24"/>
          <w:highlight w:val="none"/>
          <w:lang w:val="en-US" w:eastAsia="zh-CN" w:bidi="ar"/>
        </w:rPr>
        <w:t>陕西省司法厅</w:t>
      </w:r>
      <w:r>
        <w:rPr>
          <w:rStyle w:val="46"/>
          <w:rFonts w:hint="eastAsia" w:ascii="宋体" w:hAnsi="宋体" w:eastAsia="宋体" w:cs="宋体"/>
          <w:color w:val="auto"/>
          <w:kern w:val="0"/>
          <w:sz w:val="24"/>
          <w:szCs w:val="24"/>
          <w:highlight w:val="none"/>
          <w:lang w:val="en-US" w:eastAsia="zh-CN" w:bidi="ar"/>
        </w:rPr>
        <w:t>。项目已具备招标条件，现对该项目的施工进行公开招标。</w:t>
      </w:r>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bookmarkStart w:id="7" w:name="_Toc179632529"/>
      <w:bookmarkStart w:id="8" w:name="_Toc152045513"/>
      <w:bookmarkStart w:id="9" w:name="_Toc152042289"/>
      <w:bookmarkStart w:id="10" w:name="_Toc144974481"/>
      <w:r>
        <w:rPr>
          <w:rStyle w:val="46"/>
          <w:rFonts w:hint="eastAsia" w:ascii="宋体" w:hAnsi="宋体" w:eastAsia="宋体" w:cs="宋体"/>
          <w:color w:val="auto"/>
          <w:kern w:val="0"/>
          <w:sz w:val="24"/>
          <w:szCs w:val="24"/>
          <w:highlight w:val="none"/>
          <w:lang w:val="en-US" w:eastAsia="zh-CN" w:bidi="ar"/>
        </w:rPr>
        <w:t>2. 项目概况与招标范围</w:t>
      </w:r>
      <w:bookmarkEnd w:id="7"/>
      <w:bookmarkEnd w:id="8"/>
      <w:bookmarkEnd w:id="9"/>
      <w:bookmarkEnd w:id="10"/>
    </w:p>
    <w:p>
      <w:pPr>
        <w:widowControl/>
        <w:spacing w:line="360" w:lineRule="auto"/>
        <w:ind w:firstLine="480" w:firstLineChars="200"/>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auto"/>
          <w:sz w:val="24"/>
          <w:szCs w:val="24"/>
          <w:highlight w:val="none"/>
          <w:lang w:val="en-US" w:eastAsia="zh-CN"/>
        </w:rPr>
        <w:t>2.1建设地点：陕西省司法厅</w:t>
      </w:r>
    </w:p>
    <w:p>
      <w:pPr>
        <w:widowControl/>
        <w:spacing w:line="360" w:lineRule="auto"/>
        <w:ind w:firstLine="480" w:firstLineChars="200"/>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2.2规模：</w:t>
      </w:r>
      <w:r>
        <w:rPr>
          <w:rFonts w:hint="eastAsia" w:ascii="宋体" w:hAnsi="宋体" w:eastAsia="宋体" w:cs="宋体"/>
          <w:color w:val="auto"/>
          <w:kern w:val="0"/>
          <w:sz w:val="24"/>
          <w:szCs w:val="24"/>
          <w:highlight w:val="none"/>
          <w:lang w:val="en-US" w:eastAsia="zh-CN" w:bidi="ar"/>
        </w:rPr>
        <w:t>一号办公楼加固改造项目</w:t>
      </w:r>
    </w:p>
    <w:p>
      <w:pPr>
        <w:widowControl/>
        <w:spacing w:line="360" w:lineRule="auto"/>
        <w:ind w:firstLine="480" w:firstLineChars="200"/>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2.3预算金额：</w:t>
      </w:r>
      <w:r>
        <w:rPr>
          <w:rFonts w:hint="eastAsia" w:ascii="宋体" w:hAnsi="宋体" w:eastAsia="宋体" w:cs="宋体"/>
          <w:sz w:val="24"/>
          <w:szCs w:val="24"/>
          <w:highlight w:val="none"/>
          <w:lang w:eastAsia="zh-CN"/>
        </w:rPr>
        <w:t>6,390,000.00元</w:t>
      </w:r>
    </w:p>
    <w:p>
      <w:pPr>
        <w:widowControl/>
        <w:spacing w:line="360" w:lineRule="auto"/>
        <w:ind w:firstLine="480" w:firstLineChars="200"/>
        <w:jc w:val="left"/>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2.4最高限价：6</w:t>
      </w:r>
      <w:r>
        <w:rPr>
          <w:rFonts w:hint="eastAsia" w:ascii="宋体" w:hAnsi="宋体" w:cs="Times New Roman"/>
          <w:color w:val="000000"/>
          <w:sz w:val="24"/>
          <w:szCs w:val="24"/>
          <w:highlight w:val="none"/>
          <w:lang w:val="en-US" w:eastAsia="zh-CN"/>
        </w:rPr>
        <w:t>,</w:t>
      </w:r>
      <w:r>
        <w:rPr>
          <w:rFonts w:hint="eastAsia" w:ascii="宋体" w:hAnsi="宋体" w:eastAsia="宋体" w:cs="Times New Roman"/>
          <w:color w:val="000000"/>
          <w:sz w:val="24"/>
          <w:szCs w:val="24"/>
          <w:highlight w:val="none"/>
          <w:lang w:val="en-US" w:eastAsia="zh-CN"/>
        </w:rPr>
        <w:t>389</w:t>
      </w:r>
      <w:r>
        <w:rPr>
          <w:rFonts w:hint="eastAsia" w:ascii="宋体" w:hAnsi="宋体" w:cs="Times New Roman"/>
          <w:color w:val="000000"/>
          <w:sz w:val="24"/>
          <w:szCs w:val="24"/>
          <w:highlight w:val="none"/>
          <w:lang w:val="en-US" w:eastAsia="zh-CN"/>
        </w:rPr>
        <w:t>,</w:t>
      </w:r>
      <w:r>
        <w:rPr>
          <w:rFonts w:hint="eastAsia" w:ascii="宋体" w:hAnsi="宋体" w:eastAsia="宋体" w:cs="Times New Roman"/>
          <w:color w:val="000000"/>
          <w:sz w:val="24"/>
          <w:szCs w:val="24"/>
          <w:highlight w:val="none"/>
          <w:lang w:val="en-US" w:eastAsia="zh-CN"/>
        </w:rPr>
        <w:t>535.1元</w:t>
      </w:r>
    </w:p>
    <w:p>
      <w:pPr>
        <w:widowControl/>
        <w:spacing w:line="360" w:lineRule="auto"/>
        <w:ind w:firstLine="480" w:firstLineChars="200"/>
        <w:jc w:val="left"/>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2.5计划工期：</w:t>
      </w:r>
      <w:r>
        <w:rPr>
          <w:rFonts w:hint="eastAsia" w:ascii="宋体" w:hAnsi="宋体" w:cs="Times New Roman"/>
          <w:color w:val="000000"/>
          <w:sz w:val="24"/>
          <w:szCs w:val="24"/>
          <w:highlight w:val="none"/>
          <w:lang w:val="en-US" w:eastAsia="zh-CN"/>
        </w:rPr>
        <w:t>90</w:t>
      </w:r>
      <w:r>
        <w:rPr>
          <w:rFonts w:hint="eastAsia" w:ascii="宋体" w:hAnsi="宋体" w:eastAsia="宋体" w:cs="Times New Roman"/>
          <w:color w:val="000000"/>
          <w:sz w:val="24"/>
          <w:szCs w:val="24"/>
          <w:highlight w:val="none"/>
          <w:lang w:val="en-US" w:eastAsia="zh-CN"/>
        </w:rPr>
        <w:t>个日历日</w:t>
      </w:r>
    </w:p>
    <w:p>
      <w:pPr>
        <w:widowControl/>
        <w:spacing w:line="360" w:lineRule="auto"/>
        <w:ind w:firstLine="480" w:firstLineChars="200"/>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2.6招标范围：具体详见本项目工程量清单、技术标准和要求等招标文件内容。</w:t>
      </w:r>
    </w:p>
    <w:p>
      <w:pPr>
        <w:widowControl/>
        <w:spacing w:line="360" w:lineRule="auto"/>
        <w:ind w:firstLine="480" w:firstLineChars="200"/>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2.7标包划分：1个标包，标包名称：</w:t>
      </w:r>
      <w:r>
        <w:rPr>
          <w:rFonts w:hint="eastAsia" w:ascii="宋体" w:hAnsi="宋体" w:eastAsia="宋体" w:cs="宋体"/>
          <w:color w:val="auto"/>
          <w:kern w:val="0"/>
          <w:sz w:val="24"/>
          <w:szCs w:val="24"/>
          <w:highlight w:val="none"/>
          <w:lang w:val="en-US" w:eastAsia="zh-CN" w:bidi="ar"/>
        </w:rPr>
        <w:t>陕西省司法厅一号办公楼加固改造项目</w:t>
      </w:r>
      <w:r>
        <w:rPr>
          <w:rFonts w:hint="eastAsia" w:ascii="宋体" w:hAnsi="宋体" w:eastAsia="宋体" w:cs="Times New Roman"/>
          <w:color w:val="000000"/>
          <w:sz w:val="24"/>
          <w:szCs w:val="24"/>
          <w:highlight w:val="none"/>
          <w:lang w:val="en-US" w:eastAsia="zh-CN"/>
        </w:rPr>
        <w:t>。</w:t>
      </w:r>
      <w:bookmarkStart w:id="11" w:name="_Toc152042290"/>
      <w:bookmarkStart w:id="12" w:name="_Toc179632530"/>
      <w:bookmarkStart w:id="13" w:name="_Toc144974482"/>
      <w:bookmarkStart w:id="14" w:name="_Toc152045514"/>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3.投标供应商资格要求</w:t>
      </w:r>
      <w:bookmarkEnd w:id="11"/>
      <w:bookmarkEnd w:id="12"/>
      <w:bookmarkEnd w:id="13"/>
      <w:bookmarkEnd w:id="14"/>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3.1符合《政府采购法》第二十二条规定：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1）具有独立承担民事责任的能力，且应是中华人民共和国境内注册的法人、其他组织或自然人；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3）具有履行合同所必须的设备和专业技术能力；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4）具有依法缴纳税收和社会保障资金的良好记录；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5）参加本次政府采购活动前三年内，在经营活动中没有重大违法记录；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6）供应商必须符合法律、行政法规规定的其他条件。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供应商未被列入“信用中国”网站(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4"/>
          <w:highlight w:val="none"/>
        </w:rPr>
        <w:t>www.creditchina.gov.cn</w:t>
      </w:r>
      <w:r>
        <w:rPr>
          <w:rFonts w:hint="eastAsia" w:ascii="宋体" w:hAnsi="宋体" w:cs="宋体"/>
          <w:color w:val="auto"/>
          <w:sz w:val="24"/>
          <w:highlight w:val="none"/>
        </w:rPr>
        <w:fldChar w:fldCharType="end"/>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失信被执行人</w:t>
      </w:r>
      <w:r>
        <w:rPr>
          <w:rFonts w:hint="eastAsia" w:ascii="宋体" w:hAnsi="宋体" w:cs="宋体"/>
          <w:color w:val="auto"/>
          <w:sz w:val="24"/>
          <w:highlight w:val="none"/>
        </w:rPr>
        <w:t>或重大税收违法</w:t>
      </w:r>
      <w:r>
        <w:rPr>
          <w:rFonts w:hint="eastAsia" w:ascii="宋体" w:hAnsi="宋体" w:cs="宋体"/>
          <w:color w:val="auto"/>
          <w:sz w:val="24"/>
          <w:highlight w:val="none"/>
          <w:lang w:val="en-US" w:eastAsia="zh-CN"/>
        </w:rPr>
        <w:t>失信主体</w:t>
      </w:r>
      <w:r>
        <w:rPr>
          <w:rFonts w:hint="eastAsia" w:ascii="宋体" w:hAnsi="宋体" w:cs="宋体"/>
          <w:color w:val="auto"/>
          <w:sz w:val="24"/>
          <w:highlight w:val="none"/>
        </w:rPr>
        <w:t>或政府采购严重违法失信行为”记录名单；不处于中国政府采购网(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)“政府采购严重违法失信行为</w:t>
      </w:r>
      <w:r>
        <w:rPr>
          <w:rFonts w:hint="eastAsia" w:ascii="宋体" w:hAnsi="宋体" w:cs="宋体"/>
          <w:color w:val="auto"/>
          <w:sz w:val="24"/>
          <w:highlight w:val="none"/>
          <w:lang w:val="en-US" w:eastAsia="zh-CN"/>
        </w:rPr>
        <w:t>记录名单</w:t>
      </w:r>
      <w:r>
        <w:rPr>
          <w:rFonts w:hint="eastAsia" w:ascii="宋体" w:hAnsi="宋体" w:cs="宋体"/>
          <w:color w:val="auto"/>
          <w:sz w:val="24"/>
          <w:highlight w:val="none"/>
        </w:rPr>
        <w:t>”中的禁止参加政府采购活动期间；</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lang w:eastAsia="zh-CN"/>
        </w:rPr>
        <w:t>具备建筑工程总承包二级</w:t>
      </w:r>
      <w:r>
        <w:rPr>
          <w:rFonts w:hint="eastAsia" w:ascii="宋体" w:hAnsi="宋体" w:cs="宋体"/>
          <w:color w:val="auto"/>
          <w:sz w:val="24"/>
          <w:highlight w:val="none"/>
          <w:lang w:val="en-US" w:eastAsia="zh-CN"/>
        </w:rPr>
        <w:t>及以上</w:t>
      </w:r>
      <w:r>
        <w:rPr>
          <w:rFonts w:hint="eastAsia" w:ascii="宋体" w:hAnsi="宋体" w:cs="宋体"/>
          <w:color w:val="auto"/>
          <w:sz w:val="24"/>
          <w:highlight w:val="none"/>
          <w:lang w:eastAsia="zh-CN"/>
        </w:rPr>
        <w:t>资质和特种专业工程专业承包资质（建筑物结构补强）</w:t>
      </w:r>
      <w:r>
        <w:rPr>
          <w:rFonts w:hint="eastAsia" w:ascii="宋体" w:hAnsi="宋体" w:cs="宋体"/>
          <w:color w:val="auto"/>
          <w:sz w:val="24"/>
          <w:highlight w:val="none"/>
        </w:rPr>
        <w:t>；</w:t>
      </w:r>
    </w:p>
    <w:p>
      <w:pPr>
        <w:widowControl/>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3.4</w:t>
      </w:r>
      <w:r>
        <w:rPr>
          <w:rFonts w:hint="default" w:ascii="宋体" w:hAnsi="宋体" w:eastAsia="宋体" w:cs="宋体"/>
          <w:color w:val="auto"/>
          <w:sz w:val="24"/>
          <w:highlight w:val="none"/>
          <w:lang w:val="en-US" w:eastAsia="zh-CN"/>
        </w:rPr>
        <w:t>供应商具有有效的安全生产许可证；</w:t>
      </w:r>
    </w:p>
    <w:p>
      <w:pPr>
        <w:widowControl/>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3.5供应商拟派</w:t>
      </w:r>
      <w:r>
        <w:rPr>
          <w:rFonts w:hint="default" w:ascii="宋体" w:hAnsi="宋体" w:eastAsia="宋体" w:cs="宋体"/>
          <w:color w:val="auto"/>
          <w:sz w:val="24"/>
          <w:highlight w:val="none"/>
          <w:lang w:val="en-US" w:eastAsia="zh-CN"/>
        </w:rPr>
        <w:t>项目经理须具备建筑工程专业二级及以上建造师资格,具有有效的安全生产考核合格证书（建安B证），且未担任其他在建工程项目的项目经理；</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3.6单位负责人</w:t>
      </w:r>
      <w:r>
        <w:rPr>
          <w:rFonts w:hint="eastAsia" w:ascii="宋体" w:hAnsi="宋体" w:cs="宋体"/>
          <w:color w:val="auto"/>
          <w:sz w:val="24"/>
          <w:highlight w:val="none"/>
        </w:rPr>
        <w:t>为同一人或者存在直接控股、管理关系的不同供应商，不得同时参加本采购项目投标；</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为本项目提供整体设计、规范编制或者项目管理、监理、检测等服务的供应商，不得再参与本项目投标；</w:t>
      </w:r>
    </w:p>
    <w:p>
      <w:pPr>
        <w:widowControl/>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3.8本项目为专门面向中小企业项目（监狱企业或残疾人福利性单位视同小微企业），本工程应由中型企业、小型企业、微型企业、监狱企业或残疾人福利性单位承建。</w:t>
      </w:r>
    </w:p>
    <w:p>
      <w:pPr>
        <w:widowControl/>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已登记报名并获取本项目</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w:t>
      </w:r>
    </w:p>
    <w:p>
      <w:pPr>
        <w:widowControl/>
        <w:spacing w:line="360" w:lineRule="auto"/>
        <w:ind w:firstLine="480" w:firstLineChars="200"/>
        <w:jc w:val="left"/>
        <w:rPr>
          <w:rFonts w:hint="eastAsia" w:ascii="宋体" w:hAnsi="宋体" w:eastAsia="宋体" w:cs="宋体"/>
          <w:color w:val="auto"/>
          <w:sz w:val="24"/>
          <w:highlight w:val="none"/>
        </w:rPr>
      </w:pPr>
      <w:bookmarkStart w:id="15" w:name="_Toc152042291"/>
      <w:bookmarkStart w:id="16" w:name="_Toc179632531"/>
      <w:bookmarkStart w:id="17" w:name="_Toc152045515"/>
      <w:bookmarkStart w:id="18" w:name="_Toc144974483"/>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不接受联合体</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w:t>
      </w:r>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4. 招标文件的获取</w:t>
      </w:r>
      <w:bookmarkEnd w:id="15"/>
      <w:bookmarkEnd w:id="16"/>
      <w:bookmarkEnd w:id="17"/>
      <w:bookmarkEnd w:id="18"/>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4.1 凡有意参加投标者，请于</w:t>
      </w:r>
      <w:r>
        <w:rPr>
          <w:rStyle w:val="46"/>
          <w:rFonts w:hint="eastAsia" w:ascii="宋体" w:hAnsi="宋体" w:cs="宋体"/>
          <w:color w:val="auto"/>
          <w:kern w:val="0"/>
          <w:sz w:val="24"/>
          <w:szCs w:val="24"/>
          <w:highlight w:val="none"/>
          <w:lang w:val="en-US" w:eastAsia="zh-CN" w:bidi="ar"/>
        </w:rPr>
        <w:t>2023</w:t>
      </w:r>
      <w:r>
        <w:rPr>
          <w:rStyle w:val="46"/>
          <w:rFonts w:hint="eastAsia" w:ascii="宋体" w:hAnsi="宋体" w:eastAsia="宋体" w:cs="宋体"/>
          <w:color w:val="auto"/>
          <w:kern w:val="0"/>
          <w:sz w:val="24"/>
          <w:szCs w:val="24"/>
          <w:highlight w:val="none"/>
          <w:lang w:val="en-US" w:eastAsia="zh-CN" w:bidi="ar"/>
        </w:rPr>
        <w:t>年</w:t>
      </w:r>
      <w:r>
        <w:rPr>
          <w:rStyle w:val="46"/>
          <w:rFonts w:hint="eastAsia" w:ascii="宋体" w:hAnsi="宋体" w:cs="宋体"/>
          <w:color w:val="auto"/>
          <w:kern w:val="0"/>
          <w:sz w:val="24"/>
          <w:szCs w:val="24"/>
          <w:highlight w:val="none"/>
          <w:lang w:val="en-US" w:eastAsia="zh-CN" w:bidi="ar"/>
        </w:rPr>
        <w:t>6</w:t>
      </w:r>
      <w:r>
        <w:rPr>
          <w:rStyle w:val="46"/>
          <w:rFonts w:hint="eastAsia" w:ascii="宋体" w:hAnsi="宋体" w:eastAsia="宋体" w:cs="宋体"/>
          <w:color w:val="auto"/>
          <w:kern w:val="0"/>
          <w:sz w:val="24"/>
          <w:szCs w:val="24"/>
          <w:highlight w:val="none"/>
          <w:lang w:val="en-US" w:eastAsia="zh-CN" w:bidi="ar"/>
        </w:rPr>
        <w:t>月</w:t>
      </w:r>
      <w:r>
        <w:rPr>
          <w:rStyle w:val="46"/>
          <w:rFonts w:hint="eastAsia" w:ascii="宋体" w:hAnsi="宋体" w:cs="宋体"/>
          <w:color w:val="auto"/>
          <w:kern w:val="0"/>
          <w:sz w:val="24"/>
          <w:szCs w:val="24"/>
          <w:highlight w:val="none"/>
          <w:lang w:val="en-US" w:eastAsia="zh-CN" w:bidi="ar"/>
        </w:rPr>
        <w:t>27</w:t>
      </w:r>
      <w:r>
        <w:rPr>
          <w:rStyle w:val="46"/>
          <w:rFonts w:hint="eastAsia" w:ascii="宋体" w:hAnsi="宋体" w:eastAsia="宋体" w:cs="宋体"/>
          <w:color w:val="auto"/>
          <w:kern w:val="0"/>
          <w:sz w:val="24"/>
          <w:szCs w:val="24"/>
          <w:highlight w:val="none"/>
          <w:lang w:val="en-US" w:eastAsia="zh-CN" w:bidi="ar"/>
        </w:rPr>
        <w:t>日至</w:t>
      </w:r>
      <w:r>
        <w:rPr>
          <w:rStyle w:val="46"/>
          <w:rFonts w:hint="eastAsia" w:ascii="宋体" w:hAnsi="宋体" w:cs="宋体"/>
          <w:color w:val="auto"/>
          <w:kern w:val="0"/>
          <w:sz w:val="24"/>
          <w:szCs w:val="24"/>
          <w:highlight w:val="none"/>
          <w:lang w:val="en-US" w:eastAsia="zh-CN" w:bidi="ar"/>
        </w:rPr>
        <w:t>2023</w:t>
      </w:r>
      <w:r>
        <w:rPr>
          <w:rStyle w:val="46"/>
          <w:rFonts w:hint="eastAsia" w:ascii="宋体" w:hAnsi="宋体" w:eastAsia="宋体" w:cs="宋体"/>
          <w:color w:val="auto"/>
          <w:kern w:val="0"/>
          <w:sz w:val="24"/>
          <w:szCs w:val="24"/>
          <w:highlight w:val="none"/>
          <w:lang w:val="en-US" w:eastAsia="zh-CN" w:bidi="ar"/>
        </w:rPr>
        <w:t>年</w:t>
      </w:r>
      <w:r>
        <w:rPr>
          <w:rStyle w:val="46"/>
          <w:rFonts w:hint="eastAsia" w:ascii="宋体" w:hAnsi="宋体" w:cs="宋体"/>
          <w:color w:val="auto"/>
          <w:kern w:val="0"/>
          <w:sz w:val="24"/>
          <w:szCs w:val="24"/>
          <w:highlight w:val="none"/>
          <w:lang w:val="en-US" w:eastAsia="zh-CN" w:bidi="ar"/>
        </w:rPr>
        <w:t>7</w:t>
      </w:r>
      <w:r>
        <w:rPr>
          <w:rStyle w:val="46"/>
          <w:rFonts w:hint="eastAsia" w:ascii="宋体" w:hAnsi="宋体" w:eastAsia="宋体" w:cs="宋体"/>
          <w:color w:val="auto"/>
          <w:kern w:val="0"/>
          <w:sz w:val="24"/>
          <w:szCs w:val="24"/>
          <w:highlight w:val="none"/>
          <w:lang w:val="en-US" w:eastAsia="zh-CN" w:bidi="ar"/>
        </w:rPr>
        <w:t>月</w:t>
      </w:r>
      <w:r>
        <w:rPr>
          <w:rStyle w:val="46"/>
          <w:rFonts w:hint="eastAsia" w:ascii="宋体" w:hAnsi="宋体" w:cs="宋体"/>
          <w:color w:val="auto"/>
          <w:kern w:val="0"/>
          <w:sz w:val="24"/>
          <w:szCs w:val="24"/>
          <w:highlight w:val="none"/>
          <w:lang w:val="en-US" w:eastAsia="zh-CN" w:bidi="ar"/>
        </w:rPr>
        <w:t>4</w:t>
      </w:r>
      <w:r>
        <w:rPr>
          <w:rStyle w:val="46"/>
          <w:rFonts w:hint="eastAsia" w:ascii="宋体" w:hAnsi="宋体" w:eastAsia="宋体" w:cs="宋体"/>
          <w:color w:val="auto"/>
          <w:kern w:val="0"/>
          <w:sz w:val="24"/>
          <w:szCs w:val="24"/>
          <w:highlight w:val="none"/>
          <w:lang w:val="en-US" w:eastAsia="zh-CN" w:bidi="ar"/>
        </w:rPr>
        <w:t xml:space="preserve">日（法定公休日、法定节假日除外），每日上午9时至12时，下午14时至17时（北京时间，下同），在陕西省西安市高新区丈八一路1号汇鑫中心D座2206室持单位介绍信及身份证复印件（原件备查）获取招标文件。 </w:t>
      </w:r>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4.2 招标文件每套售价500.00元。</w:t>
      </w:r>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bookmarkStart w:id="19" w:name="_Toc144974484"/>
      <w:bookmarkStart w:id="20" w:name="_Toc152045516"/>
      <w:bookmarkStart w:id="21" w:name="_Toc152042292"/>
      <w:bookmarkStart w:id="22" w:name="_Toc179632532"/>
      <w:r>
        <w:rPr>
          <w:rStyle w:val="46"/>
          <w:rFonts w:hint="eastAsia" w:ascii="宋体" w:hAnsi="宋体" w:eastAsia="宋体" w:cs="宋体"/>
          <w:color w:val="auto"/>
          <w:kern w:val="0"/>
          <w:sz w:val="24"/>
          <w:szCs w:val="24"/>
          <w:highlight w:val="none"/>
          <w:lang w:val="en-US" w:eastAsia="zh-CN" w:bidi="ar"/>
        </w:rPr>
        <w:t>5. 投标文件的递交</w:t>
      </w:r>
      <w:bookmarkEnd w:id="19"/>
      <w:bookmarkEnd w:id="20"/>
      <w:bookmarkEnd w:id="21"/>
      <w:bookmarkEnd w:id="22"/>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5.1 投标文件递交的截止时间（投标截止时间，下同）为</w:t>
      </w:r>
      <w:r>
        <w:rPr>
          <w:rStyle w:val="46"/>
          <w:rFonts w:hint="eastAsia" w:ascii="宋体" w:hAnsi="宋体" w:cs="宋体"/>
          <w:color w:val="auto"/>
          <w:kern w:val="0"/>
          <w:sz w:val="24"/>
          <w:szCs w:val="24"/>
          <w:highlight w:val="none"/>
          <w:lang w:val="en-US" w:eastAsia="zh-CN" w:bidi="ar"/>
        </w:rPr>
        <w:t>2023</w:t>
      </w:r>
      <w:r>
        <w:rPr>
          <w:rStyle w:val="46"/>
          <w:rFonts w:hint="eastAsia" w:ascii="宋体" w:hAnsi="宋体" w:eastAsia="宋体" w:cs="宋体"/>
          <w:color w:val="auto"/>
          <w:kern w:val="0"/>
          <w:sz w:val="24"/>
          <w:szCs w:val="24"/>
          <w:highlight w:val="none"/>
          <w:lang w:val="en-US" w:eastAsia="zh-CN" w:bidi="ar"/>
        </w:rPr>
        <w:t>年</w:t>
      </w:r>
      <w:r>
        <w:rPr>
          <w:rStyle w:val="46"/>
          <w:rFonts w:hint="eastAsia" w:ascii="宋体" w:hAnsi="宋体" w:cs="宋体"/>
          <w:color w:val="auto"/>
          <w:kern w:val="0"/>
          <w:sz w:val="24"/>
          <w:szCs w:val="24"/>
          <w:highlight w:val="none"/>
          <w:lang w:val="en-US" w:eastAsia="zh-CN" w:bidi="ar"/>
        </w:rPr>
        <w:t>7</w:t>
      </w:r>
      <w:r>
        <w:rPr>
          <w:rStyle w:val="46"/>
          <w:rFonts w:hint="eastAsia" w:ascii="宋体" w:hAnsi="宋体" w:eastAsia="宋体" w:cs="宋体"/>
          <w:color w:val="auto"/>
          <w:kern w:val="0"/>
          <w:sz w:val="24"/>
          <w:szCs w:val="24"/>
          <w:highlight w:val="none"/>
          <w:lang w:val="en-US" w:eastAsia="zh-CN" w:bidi="ar"/>
        </w:rPr>
        <w:t>月</w:t>
      </w:r>
      <w:r>
        <w:rPr>
          <w:rStyle w:val="46"/>
          <w:rFonts w:hint="eastAsia" w:ascii="宋体" w:hAnsi="宋体" w:cs="宋体"/>
          <w:color w:val="auto"/>
          <w:kern w:val="0"/>
          <w:sz w:val="24"/>
          <w:szCs w:val="24"/>
          <w:highlight w:val="none"/>
          <w:lang w:val="en-US" w:eastAsia="zh-CN" w:bidi="ar"/>
        </w:rPr>
        <w:t>18</w:t>
      </w:r>
      <w:r>
        <w:rPr>
          <w:rStyle w:val="46"/>
          <w:rFonts w:hint="eastAsia" w:ascii="宋体" w:hAnsi="宋体" w:eastAsia="宋体" w:cs="宋体"/>
          <w:color w:val="auto"/>
          <w:kern w:val="0"/>
          <w:sz w:val="24"/>
          <w:szCs w:val="24"/>
          <w:highlight w:val="none"/>
          <w:lang w:val="en-US" w:eastAsia="zh-CN" w:bidi="ar"/>
        </w:rPr>
        <w:t>日</w:t>
      </w:r>
      <w:r>
        <w:rPr>
          <w:rStyle w:val="46"/>
          <w:rFonts w:hint="eastAsia" w:ascii="宋体" w:hAnsi="宋体" w:cs="宋体"/>
          <w:color w:val="auto"/>
          <w:kern w:val="0"/>
          <w:sz w:val="24"/>
          <w:szCs w:val="24"/>
          <w:highlight w:val="none"/>
          <w:lang w:val="en-US" w:eastAsia="zh-CN" w:bidi="ar"/>
        </w:rPr>
        <w:t>9</w:t>
      </w:r>
      <w:r>
        <w:rPr>
          <w:rStyle w:val="46"/>
          <w:rFonts w:hint="eastAsia" w:ascii="宋体" w:hAnsi="宋体" w:eastAsia="宋体" w:cs="宋体"/>
          <w:color w:val="auto"/>
          <w:kern w:val="0"/>
          <w:sz w:val="24"/>
          <w:szCs w:val="24"/>
          <w:highlight w:val="none"/>
          <w:lang w:val="en-US" w:eastAsia="zh-CN" w:bidi="ar"/>
        </w:rPr>
        <w:t>时</w:t>
      </w:r>
      <w:r>
        <w:rPr>
          <w:rStyle w:val="46"/>
          <w:rFonts w:hint="eastAsia" w:ascii="宋体" w:hAnsi="宋体" w:cs="宋体"/>
          <w:color w:val="auto"/>
          <w:kern w:val="0"/>
          <w:sz w:val="24"/>
          <w:szCs w:val="24"/>
          <w:highlight w:val="none"/>
          <w:lang w:val="en-US" w:eastAsia="zh-CN" w:bidi="ar"/>
        </w:rPr>
        <w:t>30</w:t>
      </w:r>
      <w:r>
        <w:rPr>
          <w:rStyle w:val="46"/>
          <w:rFonts w:hint="eastAsia" w:ascii="宋体" w:hAnsi="宋体" w:eastAsia="宋体" w:cs="宋体"/>
          <w:color w:val="auto"/>
          <w:kern w:val="0"/>
          <w:sz w:val="24"/>
          <w:szCs w:val="24"/>
          <w:highlight w:val="none"/>
          <w:lang w:val="en-US" w:eastAsia="zh-CN" w:bidi="ar"/>
        </w:rPr>
        <w:t>分，地点为</w:t>
      </w:r>
      <w:r>
        <w:rPr>
          <w:rFonts w:hint="eastAsia" w:ascii="宋体" w:hAnsi="宋体" w:eastAsia="宋体" w:cs="宋体"/>
          <w:color w:val="auto"/>
          <w:kern w:val="0"/>
          <w:sz w:val="24"/>
          <w:szCs w:val="24"/>
          <w:highlight w:val="none"/>
          <w:lang w:val="en-US" w:eastAsia="zh-CN" w:bidi="ar"/>
        </w:rPr>
        <w:t>陕西省西安市高新区丈八一路1号汇鑫中心D座2206室陕西德勤招标有限公司第一会议室</w:t>
      </w:r>
      <w:r>
        <w:rPr>
          <w:rStyle w:val="46"/>
          <w:rFonts w:hint="eastAsia" w:ascii="宋体" w:hAnsi="宋体" w:eastAsia="宋体" w:cs="宋体"/>
          <w:color w:val="auto"/>
          <w:kern w:val="0"/>
          <w:sz w:val="24"/>
          <w:szCs w:val="24"/>
          <w:highlight w:val="none"/>
          <w:lang w:val="en-US" w:eastAsia="zh-CN" w:bidi="ar"/>
        </w:rPr>
        <w:t>。</w:t>
      </w:r>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5.2 逾期送达的或者未送达指定地点的投标文件，采购代理机构不予受理。</w:t>
      </w:r>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bookmarkStart w:id="23" w:name="_Toc179632533"/>
      <w:bookmarkStart w:id="24" w:name="_Toc157499355"/>
      <w:r>
        <w:rPr>
          <w:rStyle w:val="46"/>
          <w:rFonts w:hint="eastAsia" w:ascii="宋体" w:hAnsi="宋体" w:eastAsia="宋体" w:cs="宋体"/>
          <w:color w:val="auto"/>
          <w:kern w:val="0"/>
          <w:sz w:val="24"/>
          <w:szCs w:val="24"/>
          <w:highlight w:val="none"/>
          <w:lang w:val="en-US" w:eastAsia="zh-CN" w:bidi="ar"/>
        </w:rPr>
        <w:t>6. 发布公告的媒介</w:t>
      </w:r>
      <w:bookmarkEnd w:id="23"/>
      <w:bookmarkEnd w:id="24"/>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本次招标公告在陕西省政府采购网上发布。</w:t>
      </w:r>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bookmarkStart w:id="25" w:name="_Toc179632534"/>
      <w:bookmarkStart w:id="26" w:name="_Toc152042293"/>
      <w:bookmarkStart w:id="27" w:name="_Toc144974485"/>
      <w:bookmarkStart w:id="28" w:name="_Toc152045517"/>
      <w:r>
        <w:rPr>
          <w:rStyle w:val="46"/>
          <w:rFonts w:hint="eastAsia" w:ascii="宋体" w:hAnsi="宋体" w:eastAsia="宋体" w:cs="宋体"/>
          <w:color w:val="auto"/>
          <w:kern w:val="0"/>
          <w:sz w:val="24"/>
          <w:szCs w:val="24"/>
          <w:highlight w:val="none"/>
          <w:lang w:val="en-US" w:eastAsia="zh-CN" w:bidi="ar"/>
        </w:rPr>
        <w:t>7.本项目落实的政府采购政策。</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color w:val="auto"/>
          <w:sz w:val="24"/>
          <w:highlight w:val="none"/>
          <w:lang w:val="en-US" w:eastAsia="zh-CN"/>
        </w:rPr>
        <w:t>7.1</w:t>
      </w:r>
      <w:r>
        <w:rPr>
          <w:rFonts w:hint="eastAsia" w:ascii="宋体" w:hAnsi="宋体" w:eastAsia="宋体" w:cs="宋体"/>
          <w:spacing w:val="0"/>
          <w:w w:val="100"/>
          <w:sz w:val="24"/>
          <w:szCs w:val="24"/>
          <w:highlight w:val="none"/>
          <w:lang w:val="en-US" w:eastAsia="zh-CN"/>
        </w:rPr>
        <w:t>《关于在政府采购活动中查询及使用信用记录有关问题的通知》（财库〔2016〕125号）。</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cs="宋体"/>
          <w:spacing w:val="0"/>
          <w:w w:val="100"/>
          <w:sz w:val="24"/>
          <w:szCs w:val="24"/>
          <w:highlight w:val="none"/>
          <w:lang w:val="en-US" w:eastAsia="zh-CN"/>
        </w:rPr>
        <w:t>7.2</w:t>
      </w:r>
      <w:r>
        <w:rPr>
          <w:rFonts w:hint="eastAsia" w:ascii="宋体" w:hAnsi="宋体" w:eastAsia="宋体" w:cs="宋体"/>
          <w:spacing w:val="0"/>
          <w:w w:val="100"/>
          <w:sz w:val="24"/>
          <w:szCs w:val="24"/>
          <w:highlight w:val="none"/>
          <w:lang w:val="en-US" w:eastAsia="zh-CN"/>
        </w:rPr>
        <w:t>《政府采购促进中小企业发展管理办法》（财库〔2020〕46号）、《关于政府采购支持监狱企业发展有关问题的通知》（财库〔2014〕68号）、《关于促进残疾人就业政府采购政策的通知》（财库〔2017〕141号）、《财政部关于进一步加大政府采购支持中小企业力度的通知》（财库〔2022〕19号）、《陕西省财政厅关于进一步加大政府采购支持中小企业力度的通知》（陕财办采〔2022〕5号）。</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7.3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ascii="宋体" w:hAnsi="宋体" w:cs="宋体"/>
          <w:spacing w:val="0"/>
          <w:w w:val="100"/>
          <w:sz w:val="24"/>
          <w:szCs w:val="24"/>
          <w:highlight w:val="none"/>
          <w:lang w:val="en-US" w:eastAsia="zh-CN"/>
        </w:rPr>
        <w:t>、《市场监督总局关于发布参与实施政府采购节能产品、环境标志产品认证机构名录的公告》</w:t>
      </w:r>
      <w:r>
        <w:rPr>
          <w:rFonts w:hint="eastAsia" w:ascii="宋体" w:hAnsi="宋体" w:eastAsia="宋体" w:cs="宋体"/>
          <w:spacing w:val="0"/>
          <w:w w:val="100"/>
          <w:sz w:val="24"/>
          <w:szCs w:val="24"/>
          <w:highlight w:val="none"/>
          <w:lang w:val="en-US" w:eastAsia="zh-CN"/>
        </w:rPr>
        <w:t>（</w:t>
      </w:r>
      <w:r>
        <w:rPr>
          <w:rFonts w:hint="eastAsia" w:ascii="宋体" w:hAnsi="宋体" w:cs="宋体"/>
          <w:spacing w:val="0"/>
          <w:w w:val="100"/>
          <w:sz w:val="24"/>
          <w:szCs w:val="24"/>
          <w:highlight w:val="none"/>
          <w:lang w:val="en-US" w:eastAsia="zh-CN"/>
        </w:rPr>
        <w:t>2019年第16号）、陕西省财政厅《关于进一步加强政府绿色采购有关问题的通知》陕财办采〔2021〕29号</w:t>
      </w:r>
      <w:r>
        <w:rPr>
          <w:rFonts w:hint="eastAsia" w:ascii="宋体" w:hAnsi="宋体" w:eastAsia="宋体" w:cs="宋体"/>
          <w:spacing w:val="0"/>
          <w:w w:val="100"/>
          <w:sz w:val="24"/>
          <w:szCs w:val="24"/>
          <w:highlight w:val="none"/>
          <w:lang w:val="en-US" w:eastAsia="zh-CN"/>
        </w:rPr>
        <w:t>。</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7.4《财政部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pPr>
        <w:spacing w:line="360" w:lineRule="auto"/>
        <w:ind w:firstLine="480" w:firstLineChars="200"/>
        <w:jc w:val="both"/>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7.5《陕西省财政厅关于加快推进我省中小企业政府采购信用融资工作的通知》(陕财办采〔2020〕15号)、《陕西省中小企业政府采购信用融资办法》(陕财办采〔2018〕23号)(办理平台(http://www.ccgp-shaanxi.gov.cn/zcdservice/zcd/shanxi/)。</w:t>
      </w:r>
    </w:p>
    <w:p>
      <w:pPr>
        <w:widowControl/>
        <w:spacing w:line="360" w:lineRule="auto"/>
        <w:ind w:firstLine="480" w:firstLineChars="200"/>
        <w:jc w:val="left"/>
        <w:rPr>
          <w:rStyle w:val="46"/>
          <w:rFonts w:hint="default" w:ascii="宋体" w:hAnsi="宋体" w:eastAsia="宋体" w:cs="宋体"/>
          <w:color w:val="auto"/>
          <w:kern w:val="0"/>
          <w:sz w:val="24"/>
          <w:szCs w:val="24"/>
          <w:highlight w:val="none"/>
          <w:lang w:val="en-US" w:eastAsia="zh-CN" w:bidi="ar"/>
        </w:rPr>
      </w:pPr>
      <w:r>
        <w:rPr>
          <w:rFonts w:hint="eastAsia" w:ascii="宋体" w:hAnsi="宋体" w:cs="宋体"/>
          <w:spacing w:val="0"/>
          <w:w w:val="100"/>
          <w:sz w:val="24"/>
          <w:szCs w:val="24"/>
          <w:highlight w:val="none"/>
          <w:lang w:val="en-US" w:eastAsia="zh-CN"/>
        </w:rPr>
        <w:t>7.6</w:t>
      </w:r>
      <w:r>
        <w:rPr>
          <w:rFonts w:hint="eastAsia" w:ascii="宋体" w:hAnsi="宋体" w:eastAsia="宋体" w:cs="宋体"/>
          <w:spacing w:val="0"/>
          <w:w w:val="100"/>
          <w:sz w:val="24"/>
          <w:szCs w:val="24"/>
          <w:highlight w:val="none"/>
        </w:rPr>
        <w:t>其他需要落实的政府采购政策</w:t>
      </w:r>
      <w:r>
        <w:rPr>
          <w:rFonts w:hint="eastAsia" w:ascii="宋体" w:hAnsi="宋体" w:eastAsia="宋体" w:cs="宋体"/>
          <w:spacing w:val="0"/>
          <w:w w:val="100"/>
          <w:sz w:val="24"/>
          <w:szCs w:val="24"/>
          <w:highlight w:val="none"/>
          <w:lang w:eastAsia="zh-CN"/>
        </w:rPr>
        <w:t>。</w:t>
      </w:r>
    </w:p>
    <w:bookmarkEnd w:id="25"/>
    <w:bookmarkEnd w:id="26"/>
    <w:bookmarkEnd w:id="27"/>
    <w:bookmarkEnd w:id="28"/>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8. 联系方式</w:t>
      </w:r>
    </w:p>
    <w:p>
      <w:pPr>
        <w:widowControl/>
        <w:spacing w:line="360" w:lineRule="auto"/>
        <w:ind w:firstLine="480" w:firstLineChars="200"/>
        <w:jc w:val="left"/>
        <w:rPr>
          <w:rStyle w:val="46"/>
          <w:rFonts w:hint="default"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采 购 人：</w:t>
      </w:r>
      <w:r>
        <w:rPr>
          <w:rFonts w:hint="eastAsia" w:ascii="宋体" w:hAnsi="宋体" w:eastAsia="宋体" w:cs="宋体"/>
          <w:color w:val="auto"/>
          <w:kern w:val="0"/>
          <w:sz w:val="24"/>
          <w:szCs w:val="24"/>
          <w:highlight w:val="none"/>
          <w:lang w:val="en-US" w:eastAsia="zh-CN" w:bidi="ar"/>
        </w:rPr>
        <w:t>陕西省司法厅</w:t>
      </w:r>
    </w:p>
    <w:p>
      <w:pPr>
        <w:widowControl/>
        <w:spacing w:line="360" w:lineRule="auto"/>
        <w:ind w:left="5758" w:leftChars="228" w:hanging="5280" w:hangingChars="2200"/>
        <w:jc w:val="left"/>
        <w:rPr>
          <w:rStyle w:val="46"/>
          <w:rFonts w:hint="default"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地    址：</w:t>
      </w:r>
      <w:r>
        <w:rPr>
          <w:rFonts w:hint="eastAsia" w:ascii="宋体" w:hAnsi="宋体" w:eastAsia="宋体" w:cs="宋体"/>
          <w:color w:val="auto"/>
          <w:kern w:val="0"/>
          <w:sz w:val="24"/>
          <w:szCs w:val="24"/>
          <w:highlight w:val="none"/>
          <w:lang w:val="en-US" w:eastAsia="zh-CN" w:bidi="ar"/>
        </w:rPr>
        <w:t>陕西省西安市雁塔区建工路50号</w:t>
      </w:r>
    </w:p>
    <w:p>
      <w:pPr>
        <w:widowControl/>
        <w:spacing w:line="360" w:lineRule="auto"/>
        <w:ind w:firstLine="480" w:firstLineChars="200"/>
        <w:jc w:val="left"/>
        <w:rPr>
          <w:rStyle w:val="46"/>
          <w:rFonts w:hint="eastAsia"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联 系 人：</w:t>
      </w:r>
      <w:r>
        <w:rPr>
          <w:rFonts w:hint="eastAsia" w:ascii="宋体" w:hAnsi="宋体" w:eastAsia="宋体" w:cs="宋体"/>
          <w:color w:val="auto"/>
          <w:kern w:val="0"/>
          <w:sz w:val="24"/>
          <w:szCs w:val="24"/>
          <w:highlight w:val="none"/>
          <w:lang w:val="en-US" w:eastAsia="zh-CN" w:bidi="ar"/>
        </w:rPr>
        <w:t>陕西省司法厅经办</w:t>
      </w:r>
    </w:p>
    <w:p>
      <w:pPr>
        <w:widowControl/>
        <w:spacing w:line="360" w:lineRule="auto"/>
        <w:ind w:firstLine="480" w:firstLineChars="200"/>
        <w:jc w:val="left"/>
        <w:rPr>
          <w:rStyle w:val="46"/>
          <w:rFonts w:hint="default"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电    话：</w:t>
      </w:r>
      <w:r>
        <w:rPr>
          <w:rFonts w:hint="eastAsia" w:ascii="宋体" w:hAnsi="宋体" w:eastAsia="宋体" w:cs="宋体"/>
          <w:color w:val="auto"/>
          <w:kern w:val="0"/>
          <w:sz w:val="24"/>
          <w:szCs w:val="24"/>
          <w:highlight w:val="none"/>
          <w:lang w:val="en-US" w:eastAsia="zh-CN" w:bidi="ar"/>
        </w:rPr>
        <w:t>029-87292075</w:t>
      </w:r>
    </w:p>
    <w:p>
      <w:pPr>
        <w:spacing w:line="360" w:lineRule="auto"/>
        <w:ind w:firstLine="480" w:firstLineChars="200"/>
        <w:jc w:val="both"/>
        <w:rPr>
          <w:rStyle w:val="46"/>
          <w:rFonts w:hint="eastAsia" w:ascii="宋体" w:hAnsi="宋体" w:eastAsia="宋体" w:cs="宋体"/>
          <w:color w:val="auto"/>
          <w:kern w:val="0"/>
          <w:sz w:val="24"/>
          <w:szCs w:val="24"/>
          <w:highlight w:val="none"/>
          <w:lang w:val="en-US" w:eastAsia="zh-CN" w:bidi="ar"/>
        </w:rPr>
      </w:pPr>
    </w:p>
    <w:p>
      <w:pPr>
        <w:spacing w:line="360" w:lineRule="auto"/>
        <w:ind w:firstLine="480" w:firstLineChars="200"/>
        <w:jc w:val="both"/>
        <w:rPr>
          <w:rStyle w:val="46"/>
          <w:rFonts w:hint="eastAsia"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采购代理机构：陕西德勤招标有限公司</w:t>
      </w:r>
    </w:p>
    <w:p>
      <w:pPr>
        <w:spacing w:line="360" w:lineRule="auto"/>
        <w:ind w:firstLine="480" w:firstLineChars="200"/>
        <w:jc w:val="both"/>
        <w:rPr>
          <w:rStyle w:val="46"/>
          <w:rFonts w:hint="default"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地    址：陕西省西安市高新区丈八一路1号汇鑫中心D座2206室</w:t>
      </w:r>
    </w:p>
    <w:p>
      <w:pPr>
        <w:widowControl/>
        <w:spacing w:line="360" w:lineRule="auto"/>
        <w:ind w:firstLine="480" w:firstLineChars="200"/>
        <w:jc w:val="left"/>
        <w:rPr>
          <w:rStyle w:val="46"/>
          <w:rFonts w:hint="default"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联 系 人：</w:t>
      </w:r>
      <w:r>
        <w:rPr>
          <w:rFonts w:hint="eastAsia" w:ascii="宋体" w:hAnsi="宋体" w:eastAsia="宋体" w:cs="宋体"/>
          <w:color w:val="auto"/>
          <w:kern w:val="0"/>
          <w:sz w:val="24"/>
          <w:szCs w:val="24"/>
          <w:highlight w:val="none"/>
          <w:lang w:val="en-US" w:eastAsia="zh-CN" w:bidi="ar"/>
        </w:rPr>
        <w:t>李浩、贾旭鸣</w:t>
      </w:r>
    </w:p>
    <w:p>
      <w:pPr>
        <w:widowControl/>
        <w:spacing w:line="360" w:lineRule="auto"/>
        <w:ind w:firstLine="480" w:firstLineChars="200"/>
        <w:jc w:val="both"/>
        <w:rPr>
          <w:rStyle w:val="46"/>
          <w:rFonts w:hint="eastAsia"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电    话：029-81169855</w:t>
      </w:r>
    </w:p>
    <w:p>
      <w:pPr>
        <w:widowControl/>
        <w:spacing w:line="360" w:lineRule="auto"/>
        <w:ind w:firstLine="480" w:firstLineChars="200"/>
        <w:jc w:val="both"/>
        <w:rPr>
          <w:rStyle w:val="46"/>
          <w:rFonts w:hint="eastAsia" w:ascii="宋体" w:hAnsi="宋体" w:eastAsia="宋体" w:cs="宋体"/>
          <w:color w:val="auto"/>
          <w:kern w:val="0"/>
          <w:sz w:val="24"/>
          <w:szCs w:val="24"/>
          <w:highlight w:val="none"/>
          <w:lang w:val="en-US" w:eastAsia="zh-CN" w:bidi="ar"/>
        </w:rPr>
      </w:pPr>
    </w:p>
    <w:p>
      <w:pPr>
        <w:widowControl/>
        <w:spacing w:line="360" w:lineRule="auto"/>
        <w:ind w:firstLine="480" w:firstLineChars="200"/>
        <w:jc w:val="right"/>
        <w:rPr>
          <w:rStyle w:val="46"/>
          <w:rFonts w:hint="default" w:ascii="宋体" w:hAnsi="宋体" w:eastAsia="宋体" w:cs="宋体"/>
          <w:color w:val="auto"/>
          <w:kern w:val="0"/>
          <w:sz w:val="24"/>
          <w:szCs w:val="24"/>
          <w:highlight w:val="none"/>
          <w:lang w:val="en-US" w:eastAsia="zh-CN" w:bidi="ar"/>
        </w:rPr>
      </w:pPr>
      <w:r>
        <w:rPr>
          <w:rStyle w:val="46"/>
          <w:rFonts w:hint="eastAsia" w:ascii="宋体" w:hAnsi="宋体" w:eastAsia="宋体" w:cs="宋体"/>
          <w:color w:val="auto"/>
          <w:kern w:val="0"/>
          <w:sz w:val="24"/>
          <w:szCs w:val="24"/>
          <w:highlight w:val="none"/>
          <w:lang w:val="en-US" w:eastAsia="zh-CN" w:bidi="ar"/>
        </w:rPr>
        <w:t>陕西德勤招标有限公司</w:t>
      </w:r>
    </w:p>
    <w:p>
      <w:pPr>
        <w:widowControl/>
        <w:spacing w:line="360" w:lineRule="auto"/>
        <w:ind w:firstLine="480" w:firstLineChars="200"/>
        <w:jc w:val="right"/>
        <w:rPr>
          <w:rStyle w:val="46"/>
          <w:rFonts w:hint="eastAsia" w:ascii="宋体" w:hAnsi="宋体" w:eastAsia="宋体" w:cs="宋体"/>
          <w:color w:val="auto"/>
          <w:kern w:val="0"/>
          <w:sz w:val="24"/>
          <w:szCs w:val="24"/>
          <w:highlight w:val="none"/>
          <w:lang w:val="en-US" w:eastAsia="zh-CN" w:bidi="ar"/>
        </w:rPr>
      </w:pPr>
      <w:r>
        <w:rPr>
          <w:rStyle w:val="46"/>
          <w:rFonts w:hint="eastAsia" w:ascii="宋体" w:hAnsi="宋体" w:cs="宋体"/>
          <w:color w:val="auto"/>
          <w:kern w:val="0"/>
          <w:sz w:val="24"/>
          <w:szCs w:val="24"/>
          <w:highlight w:val="none"/>
          <w:lang w:val="en-US" w:eastAsia="zh-CN" w:bidi="ar"/>
        </w:rPr>
        <w:t>2023</w:t>
      </w:r>
      <w:r>
        <w:rPr>
          <w:rStyle w:val="46"/>
          <w:rFonts w:hint="eastAsia" w:ascii="宋体" w:hAnsi="宋体" w:eastAsia="宋体" w:cs="宋体"/>
          <w:color w:val="auto"/>
          <w:kern w:val="0"/>
          <w:sz w:val="24"/>
          <w:szCs w:val="24"/>
          <w:highlight w:val="none"/>
          <w:lang w:val="en-US" w:eastAsia="zh-CN" w:bidi="ar"/>
        </w:rPr>
        <w:t>年</w:t>
      </w:r>
      <w:r>
        <w:rPr>
          <w:rStyle w:val="46"/>
          <w:rFonts w:hint="eastAsia" w:ascii="宋体" w:hAnsi="宋体" w:cs="宋体"/>
          <w:color w:val="auto"/>
          <w:kern w:val="0"/>
          <w:sz w:val="24"/>
          <w:szCs w:val="24"/>
          <w:highlight w:val="none"/>
          <w:lang w:val="en-US" w:eastAsia="zh-CN" w:bidi="ar"/>
        </w:rPr>
        <w:t>6</w:t>
      </w:r>
      <w:r>
        <w:rPr>
          <w:rStyle w:val="46"/>
          <w:rFonts w:hint="eastAsia" w:ascii="宋体" w:hAnsi="宋体" w:eastAsia="宋体" w:cs="宋体"/>
          <w:color w:val="auto"/>
          <w:kern w:val="0"/>
          <w:sz w:val="24"/>
          <w:szCs w:val="24"/>
          <w:highlight w:val="none"/>
          <w:lang w:val="en-US" w:eastAsia="zh-CN" w:bidi="ar"/>
        </w:rPr>
        <w:t>月</w:t>
      </w:r>
      <w:r>
        <w:rPr>
          <w:rStyle w:val="46"/>
          <w:rFonts w:hint="eastAsia" w:ascii="宋体" w:hAnsi="宋体" w:cs="宋体"/>
          <w:color w:val="auto"/>
          <w:kern w:val="0"/>
          <w:sz w:val="24"/>
          <w:szCs w:val="24"/>
          <w:highlight w:val="none"/>
          <w:lang w:val="en-US" w:eastAsia="zh-CN" w:bidi="ar"/>
        </w:rPr>
        <w:t>27</w:t>
      </w:r>
      <w:r>
        <w:rPr>
          <w:rStyle w:val="46"/>
          <w:rFonts w:hint="eastAsia" w:ascii="宋体" w:hAnsi="宋体" w:eastAsia="宋体" w:cs="宋体"/>
          <w:color w:val="auto"/>
          <w:kern w:val="0"/>
          <w:sz w:val="24"/>
          <w:szCs w:val="24"/>
          <w:highlight w:val="none"/>
          <w:lang w:val="en-US" w:eastAsia="zh-CN" w:bidi="ar"/>
        </w:rPr>
        <w:t>日</w:t>
      </w:r>
    </w:p>
    <w:p>
      <w:pPr>
        <w:spacing w:line="360" w:lineRule="auto"/>
        <w:jc w:val="center"/>
        <w:outlineLvl w:val="0"/>
        <w:rPr>
          <w:rStyle w:val="53"/>
          <w:rFonts w:hint="eastAsia" w:ascii="黑体" w:hAnsi="黑体" w:eastAsia="黑体" w:cs="黑体"/>
          <w:sz w:val="32"/>
          <w:szCs w:val="32"/>
          <w:highlight w:val="none"/>
          <w:lang w:eastAsia="zh-CN"/>
        </w:rPr>
      </w:pPr>
      <w:bookmarkStart w:id="29" w:name="_Toc179632544"/>
      <w:bookmarkStart w:id="30" w:name="_Toc8686"/>
      <w:bookmarkStart w:id="31" w:name="_Toc144974495"/>
      <w:bookmarkStart w:id="32" w:name="_Toc152045527"/>
      <w:bookmarkStart w:id="33" w:name="_Toc152042303"/>
      <w:r>
        <w:rPr>
          <w:rStyle w:val="53"/>
          <w:rFonts w:hint="eastAsia" w:ascii="黑体" w:hAnsi="黑体" w:eastAsia="黑体" w:cs="黑体"/>
          <w:sz w:val="32"/>
          <w:szCs w:val="32"/>
          <w:highlight w:val="none"/>
          <w:lang w:eastAsia="zh-CN"/>
        </w:rPr>
        <w:t>第二章 投标供应商须知</w:t>
      </w:r>
      <w:bookmarkEnd w:id="29"/>
      <w:bookmarkEnd w:id="30"/>
      <w:bookmarkEnd w:id="31"/>
      <w:bookmarkEnd w:id="32"/>
      <w:bookmarkEnd w:id="33"/>
    </w:p>
    <w:p>
      <w:pPr>
        <w:bidi w:val="0"/>
        <w:jc w:val="center"/>
        <w:rPr>
          <w:rFonts w:hint="eastAsia"/>
          <w:b/>
          <w:bCs/>
          <w:highlight w:val="none"/>
        </w:rPr>
      </w:pPr>
      <w:bookmarkStart w:id="34" w:name="_Toc152042304"/>
      <w:bookmarkStart w:id="35" w:name="_Toc144974496"/>
      <w:bookmarkStart w:id="36" w:name="_Toc152045528"/>
      <w:bookmarkStart w:id="37" w:name="_Toc179632545"/>
      <w:r>
        <w:rPr>
          <w:rFonts w:hint="eastAsia"/>
          <w:b/>
          <w:bCs/>
          <w:sz w:val="28"/>
          <w:szCs w:val="28"/>
          <w:highlight w:val="none"/>
          <w:lang w:eastAsia="zh-CN"/>
        </w:rPr>
        <w:t>投标供应商</w:t>
      </w:r>
      <w:r>
        <w:rPr>
          <w:rFonts w:hint="eastAsia"/>
          <w:b/>
          <w:bCs/>
          <w:sz w:val="28"/>
          <w:szCs w:val="28"/>
          <w:highlight w:val="none"/>
        </w:rPr>
        <w:t>须知前附表</w:t>
      </w:r>
      <w:bookmarkEnd w:id="34"/>
      <w:bookmarkEnd w:id="35"/>
      <w:bookmarkEnd w:id="36"/>
      <w:bookmarkEnd w:id="37"/>
    </w:p>
    <w:tbl>
      <w:tblPr>
        <w:tblStyle w:val="35"/>
        <w:tblW w:w="0" w:type="auto"/>
        <w:tblInd w:w="0" w:type="dxa"/>
        <w:tblLayout w:type="fixed"/>
        <w:tblCellMar>
          <w:top w:w="0" w:type="dxa"/>
          <w:left w:w="108" w:type="dxa"/>
          <w:bottom w:w="0" w:type="dxa"/>
          <w:right w:w="108" w:type="dxa"/>
        </w:tblCellMar>
      </w:tblPr>
      <w:tblGrid>
        <w:gridCol w:w="1115"/>
        <w:gridCol w:w="4171"/>
        <w:gridCol w:w="4171"/>
      </w:tblGrid>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条  款  名  称</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编  列  内  容</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1.1.2</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采购人</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val="en-US" w:eastAsia="zh-CN"/>
              </w:rPr>
              <w:t>陕西省司法厅</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lang w:val="en-US" w:eastAsia="zh-CN"/>
              </w:rPr>
              <w:t>陕西省西安市雁塔区建工路50号</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val="en-US" w:eastAsia="zh-CN"/>
              </w:rPr>
              <w:t>陕西省司法厅经办</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lang w:val="en-US" w:eastAsia="zh-CN"/>
              </w:rPr>
              <w:t>029-87292075</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1.1.3</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采购代理机构</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val="en-US" w:eastAsia="zh-CN"/>
              </w:rPr>
              <w:t>陕西德勤招标有限公司</w:t>
            </w:r>
          </w:p>
          <w:p>
            <w:pPr>
              <w:spacing w:line="440" w:lineRule="exact"/>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lang w:val="en-US" w:eastAsia="zh-CN"/>
              </w:rPr>
              <w:t>陕西省西安市高新区丈八一路1号汇鑫中心D座2206室</w:t>
            </w:r>
          </w:p>
          <w:p>
            <w:pPr>
              <w:spacing w:line="440" w:lineRule="exact"/>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val="en-US" w:eastAsia="zh-CN"/>
              </w:rPr>
              <w:t>李浩、贾旭鸣</w:t>
            </w:r>
          </w:p>
          <w:p>
            <w:pPr>
              <w:spacing w:line="440" w:lineRule="exact"/>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lang w:val="en-US" w:eastAsia="zh-CN"/>
              </w:rPr>
              <w:t>029-81169855</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1.1.4</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陕西省司法厅一号办公楼加固改造项目</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1.1.5</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建设地点</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陕西省司法厅</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1.2.1</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资金来源</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财政资金</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1.2.2</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出资比例</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100%</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1.2.3</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资金落实情况</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已落实</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1.3.1</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招标范围</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具体详见本项目工程量清单、技术标准和要求等招标文件内容</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1.3.2</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计划工期</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计划工期：</w:t>
            </w:r>
            <w:r>
              <w:rPr>
                <w:rFonts w:hint="eastAsia" w:ascii="宋体" w:hAnsi="宋体" w:cs="宋体"/>
                <w:sz w:val="21"/>
                <w:szCs w:val="21"/>
                <w:highlight w:val="none"/>
                <w:lang w:val="en-US" w:eastAsia="zh-CN"/>
              </w:rPr>
              <w:t>90</w:t>
            </w:r>
            <w:r>
              <w:rPr>
                <w:rFonts w:hint="eastAsia" w:ascii="宋体" w:hAnsi="宋体" w:eastAsia="宋体" w:cs="宋体"/>
                <w:sz w:val="21"/>
                <w:szCs w:val="21"/>
                <w:highlight w:val="none"/>
                <w:lang w:val="en-US" w:eastAsia="zh-CN"/>
              </w:rPr>
              <w:t>个日历日</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1.3.3</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质量要求</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合格</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1.4.1</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投标供应商</w:t>
            </w:r>
            <w:r>
              <w:rPr>
                <w:rFonts w:hint="eastAsia" w:ascii="宋体" w:hAnsi="宋体" w:eastAsia="宋体" w:cs="宋体"/>
                <w:sz w:val="21"/>
                <w:szCs w:val="21"/>
                <w:highlight w:val="none"/>
              </w:rPr>
              <w:t>资质条件、能力和信誉</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符合《政府采购法》第二十二条规定：</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1）具有独立承担民事责任的能力，且应是中华人民共和国境内注册的法人、其他组织或自然人；</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2）具有良好的商业信誉和健全的财务会计制度；</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3）具有履行合同所必须的设备和专业技术能力；</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4）具有依法缴纳税收和社会保障资金的良好记录；</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5）参加本次政府采购活动前三年内，在经营活动中没有重大违法记录；</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6）供应商必须符合法律、行政法规规定的其他条件。</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2.投标</w:t>
            </w:r>
            <w:r>
              <w:rPr>
                <w:rFonts w:hint="eastAsia" w:ascii="宋体" w:hAnsi="宋体" w:eastAsia="宋体" w:cs="宋体"/>
                <w:sz w:val="21"/>
                <w:szCs w:val="21"/>
                <w:highlight w:val="none"/>
              </w:rPr>
              <w:t>供应商未被列入“信用中国”网站(</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"http://www.creditchina.gov.cn/"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www.creditchina.gov.cn</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失信被执行人</w:t>
            </w:r>
            <w:r>
              <w:rPr>
                <w:rFonts w:hint="eastAsia" w:ascii="宋体" w:hAnsi="宋体" w:eastAsia="宋体" w:cs="宋体"/>
                <w:sz w:val="21"/>
                <w:szCs w:val="21"/>
                <w:highlight w:val="none"/>
              </w:rPr>
              <w:t>或重大税收违法</w:t>
            </w:r>
            <w:r>
              <w:rPr>
                <w:rFonts w:hint="eastAsia" w:ascii="宋体" w:hAnsi="宋体" w:eastAsia="宋体" w:cs="宋体"/>
                <w:sz w:val="21"/>
                <w:szCs w:val="21"/>
                <w:highlight w:val="none"/>
                <w:lang w:val="en-US" w:eastAsia="zh-CN"/>
              </w:rPr>
              <w:t>失信主体</w:t>
            </w:r>
            <w:r>
              <w:rPr>
                <w:rFonts w:hint="eastAsia" w:ascii="宋体" w:hAnsi="宋体" w:eastAsia="宋体" w:cs="宋体"/>
                <w:sz w:val="21"/>
                <w:szCs w:val="21"/>
                <w:highlight w:val="none"/>
              </w:rPr>
              <w:t>或政府采购严重违法失信行为”记录名单；不处于中国政府采购网(</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"http://www.ccgp.gov.cn/"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www.ccgp.gov.cn</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)“政府采购严重违法失信行为</w:t>
            </w:r>
            <w:r>
              <w:rPr>
                <w:rFonts w:hint="eastAsia" w:ascii="宋体" w:hAnsi="宋体" w:eastAsia="宋体" w:cs="宋体"/>
                <w:sz w:val="21"/>
                <w:szCs w:val="21"/>
                <w:highlight w:val="none"/>
                <w:lang w:val="en-US" w:eastAsia="zh-CN"/>
              </w:rPr>
              <w:t>记录名单</w:t>
            </w:r>
            <w:r>
              <w:rPr>
                <w:rFonts w:hint="eastAsia" w:ascii="宋体" w:hAnsi="宋体" w:eastAsia="宋体" w:cs="宋体"/>
                <w:sz w:val="21"/>
                <w:szCs w:val="21"/>
                <w:highlight w:val="none"/>
              </w:rPr>
              <w:t>”中的禁止参加政府采购活动期间；</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3.具备建筑工程总承包二级及以上资质和特种专业工程专业承包资质（建筑物结构补强）；</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default" w:ascii="宋体" w:hAnsi="宋体" w:eastAsia="宋体" w:cs="宋体"/>
                <w:sz w:val="21"/>
                <w:szCs w:val="21"/>
                <w:highlight w:val="none"/>
                <w:lang w:val="en-US" w:eastAsia="zh-CN"/>
              </w:rPr>
              <w:t>供应商具有有效的安全生产许可证；</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5.供应商拟派项目经理须具备建筑工程专业二级及以上建造师资格,具有有效的安全生产考核合格证书（建安B证），且未担任其他在建工程项目的项目经理；</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6.单位负责人</w:t>
            </w:r>
            <w:r>
              <w:rPr>
                <w:rFonts w:hint="eastAsia" w:ascii="宋体" w:hAnsi="宋体" w:eastAsia="宋体" w:cs="宋体"/>
                <w:sz w:val="21"/>
                <w:szCs w:val="21"/>
                <w:highlight w:val="none"/>
              </w:rPr>
              <w:t>为同一人或者存在直接控股、管理关系的不同供应商，不得同时参加本采购项目投标；</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为本项目提供整体设计、规范编制或者项目管理、监理、检测等服务的供应商，不得再参与本项目投标；</w:t>
            </w:r>
          </w:p>
          <w:p>
            <w:pPr>
              <w:spacing w:line="440" w:lineRule="exact"/>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8.本项目为专门面向中小企业项目（监狱企业或残疾人福利性单位视同小微企业），本工程应由中型企业、小型企业、微型企业、监狱企业或残疾人福利性单位承建。</w:t>
            </w:r>
          </w:p>
          <w:p>
            <w:pPr>
              <w:spacing w:line="440" w:lineRule="exact"/>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已登记报名并获取本项目</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本</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不接受联合体</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1.4.2</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是否接受联合体投标</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pStyle w:val="16"/>
              <w:topLinePunct/>
              <w:spacing w:line="40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不接受</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□接受，应满足下列要求：</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1.9.1</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eastAsia"/>
                <w:highlight w:val="none"/>
              </w:rPr>
            </w:pPr>
            <w:r>
              <w:rPr>
                <w:rFonts w:hint="eastAsia" w:ascii="宋体" w:hAnsi="宋体" w:eastAsia="宋体" w:cs="宋体"/>
                <w:sz w:val="21"/>
                <w:szCs w:val="21"/>
                <w:highlight w:val="none"/>
                <w:lang w:eastAsia="zh-CN"/>
              </w:rPr>
              <w:t>☑</w:t>
            </w:r>
            <w:r>
              <w:rPr>
                <w:rFonts w:hint="eastAsia"/>
                <w:highlight w:val="none"/>
              </w:rPr>
              <w:t>不组织</w:t>
            </w:r>
          </w:p>
          <w:p>
            <w:pPr>
              <w:spacing w:line="440" w:lineRule="exact"/>
              <w:outlineLvl w:val="9"/>
              <w:rPr>
                <w:rFonts w:hint="default"/>
                <w:highlight w:val="none"/>
                <w:lang w:val="en-US" w:eastAsia="zh-CN"/>
              </w:rPr>
            </w:pPr>
            <w:r>
              <w:rPr>
                <w:rFonts w:hint="eastAsia" w:ascii="宋体" w:hAnsi="宋体" w:eastAsia="宋体" w:cs="宋体"/>
                <w:sz w:val="21"/>
                <w:szCs w:val="21"/>
                <w:highlight w:val="none"/>
              </w:rPr>
              <w:t>□</w:t>
            </w:r>
            <w:r>
              <w:rPr>
                <w:rFonts w:hint="eastAsia"/>
                <w:highlight w:val="none"/>
              </w:rPr>
              <w:t>组织，踏勘时间：</w:t>
            </w:r>
          </w:p>
          <w:p>
            <w:pPr>
              <w:spacing w:line="440" w:lineRule="exact"/>
              <w:ind w:firstLine="840" w:firstLineChars="400"/>
              <w:outlineLvl w:val="9"/>
              <w:rPr>
                <w:rFonts w:hint="default"/>
                <w:highlight w:val="none"/>
                <w:lang w:val="en-US" w:eastAsia="zh-CN"/>
              </w:rPr>
            </w:pPr>
            <w:r>
              <w:rPr>
                <w:rFonts w:hint="eastAsia"/>
                <w:highlight w:val="none"/>
              </w:rPr>
              <w:t>踏勘集中地点：</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1.10.1</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投标预备会</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pStyle w:val="16"/>
              <w:topLinePunct/>
              <w:spacing w:line="40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不召开</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□召开，召开时间：</w:t>
            </w:r>
          </w:p>
          <w:p>
            <w:pPr>
              <w:spacing w:line="440" w:lineRule="exact"/>
              <w:ind w:firstLine="840" w:firstLineChars="4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召开地点：</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1.10.2</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投标供应商</w:t>
            </w:r>
            <w:r>
              <w:rPr>
                <w:rFonts w:hint="eastAsia" w:ascii="宋体" w:hAnsi="宋体" w:eastAsia="宋体" w:cs="宋体"/>
                <w:sz w:val="21"/>
                <w:szCs w:val="21"/>
                <w:highlight w:val="none"/>
              </w:rPr>
              <w:t>提出问题的截止时间</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"mailto:答疑会不召开，投标供应商对招标文件、施工图纸以及施工现场条件等的所有疑问和要求澄清的内容盖单位公章后，在投标截止时间前15天以电子邮件（deqinjxm@126.com）方式提交采购" </w:instrText>
            </w:r>
            <w:r>
              <w:rPr>
                <w:rFonts w:hint="eastAsia" w:ascii="宋体" w:hAnsi="宋体" w:eastAsia="宋体" w:cs="宋体"/>
                <w:color w:val="auto"/>
                <w:sz w:val="21"/>
                <w:szCs w:val="21"/>
                <w:highlight w:val="none"/>
              </w:rPr>
              <w:fldChar w:fldCharType="separate"/>
            </w:r>
            <w:r>
              <w:rPr>
                <w:rStyle w:val="46"/>
                <w:rFonts w:hint="eastAsia" w:ascii="宋体" w:hAnsi="宋体" w:eastAsia="宋体" w:cs="宋体"/>
                <w:sz w:val="21"/>
                <w:szCs w:val="21"/>
                <w:highlight w:val="none"/>
                <w:lang w:eastAsia="zh-CN"/>
              </w:rPr>
              <w:t>投标截止时间前</w:t>
            </w:r>
            <w:r>
              <w:rPr>
                <w:rStyle w:val="46"/>
                <w:rFonts w:hint="eastAsia" w:ascii="宋体" w:hAnsi="宋体" w:eastAsia="宋体" w:cs="宋体"/>
                <w:sz w:val="21"/>
                <w:szCs w:val="21"/>
                <w:highlight w:val="none"/>
                <w:lang w:val="en-US" w:eastAsia="zh-CN"/>
              </w:rPr>
              <w:t>15天以</w:t>
            </w:r>
            <w:r>
              <w:rPr>
                <w:rStyle w:val="46"/>
                <w:rFonts w:hint="eastAsia" w:ascii="宋体" w:hAnsi="宋体" w:eastAsia="宋体" w:cs="宋体"/>
                <w:sz w:val="21"/>
                <w:szCs w:val="21"/>
                <w:highlight w:val="none"/>
              </w:rPr>
              <w:t>电子邮件（</w:t>
            </w:r>
            <w:r>
              <w:rPr>
                <w:rStyle w:val="46"/>
                <w:rFonts w:hint="eastAsia" w:ascii="宋体" w:hAnsi="宋体" w:eastAsia="宋体" w:cs="宋体"/>
                <w:sz w:val="21"/>
                <w:szCs w:val="21"/>
                <w:highlight w:val="none"/>
                <w:lang w:val="en-US" w:eastAsia="zh-CN"/>
              </w:rPr>
              <w:t>deqinjxm</w:t>
            </w:r>
            <w:r>
              <w:rPr>
                <w:rStyle w:val="46"/>
                <w:rFonts w:hint="eastAsia" w:ascii="宋体" w:hAnsi="宋体" w:eastAsia="宋体" w:cs="宋体"/>
                <w:sz w:val="21"/>
                <w:szCs w:val="21"/>
                <w:highlight w:val="none"/>
              </w:rPr>
              <w:t>@</w:t>
            </w:r>
            <w:r>
              <w:rPr>
                <w:rStyle w:val="46"/>
                <w:rFonts w:hint="eastAsia" w:ascii="宋体" w:hAnsi="宋体" w:eastAsia="宋体" w:cs="宋体"/>
                <w:sz w:val="21"/>
                <w:szCs w:val="21"/>
                <w:highlight w:val="none"/>
                <w:lang w:val="en-US" w:eastAsia="zh-CN"/>
              </w:rPr>
              <w:t>126</w:t>
            </w:r>
            <w:r>
              <w:rPr>
                <w:rStyle w:val="46"/>
                <w:rFonts w:hint="eastAsia" w:ascii="宋体" w:hAnsi="宋体" w:eastAsia="宋体" w:cs="宋体"/>
                <w:sz w:val="21"/>
                <w:szCs w:val="21"/>
                <w:highlight w:val="none"/>
              </w:rPr>
              <w:t>.com）方式提交</w:t>
            </w:r>
            <w:r>
              <w:rPr>
                <w:rStyle w:val="46"/>
                <w:rFonts w:hint="eastAsia" w:ascii="宋体" w:hAnsi="宋体" w:eastAsia="宋体" w:cs="宋体"/>
                <w:sz w:val="21"/>
                <w:szCs w:val="21"/>
                <w:highlight w:val="none"/>
                <w:lang w:val="en-US" w:eastAsia="zh-CN"/>
              </w:rPr>
              <w:t>采购</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代理机构，</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人和</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代理机构负责做出统一解答和必要澄清后，以书面的</w:t>
            </w:r>
            <w:r>
              <w:rPr>
                <w:rFonts w:hint="eastAsia" w:ascii="宋体" w:hAnsi="宋体" w:eastAsia="宋体" w:cs="宋体"/>
                <w:color w:val="auto"/>
                <w:sz w:val="21"/>
                <w:szCs w:val="21"/>
                <w:highlight w:val="none"/>
                <w:lang w:eastAsia="zh-CN"/>
              </w:rPr>
              <w:t>形式</w:t>
            </w:r>
            <w:r>
              <w:rPr>
                <w:rFonts w:hint="eastAsia" w:ascii="宋体" w:hAnsi="宋体" w:eastAsia="宋体" w:cs="宋体"/>
                <w:color w:val="auto"/>
                <w:sz w:val="21"/>
                <w:szCs w:val="21"/>
                <w:highlight w:val="none"/>
              </w:rPr>
              <w:t>发送所有投标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1.11</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分包</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pStyle w:val="16"/>
              <w:topLinePunct/>
              <w:spacing w:line="40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不允许</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□允许，分包内容要求：</w:t>
            </w:r>
          </w:p>
          <w:p>
            <w:pPr>
              <w:spacing w:line="440" w:lineRule="exact"/>
              <w:ind w:firstLine="840" w:firstLineChars="4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分包金额要求：</w:t>
            </w:r>
          </w:p>
          <w:p>
            <w:pPr>
              <w:spacing w:line="440" w:lineRule="exact"/>
              <w:ind w:firstLine="840" w:firstLineChars="4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接受分包的第三人资质要求：</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构成招标文件的其他材料</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2.2.2</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投标截止时间</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eastAsia" w:ascii="宋体" w:hAnsi="宋体" w:eastAsia="宋体" w:cs="宋体"/>
                <w:sz w:val="21"/>
                <w:szCs w:val="21"/>
                <w:highlight w:val="none"/>
              </w:rPr>
            </w:pPr>
            <w:r>
              <w:rPr>
                <w:rFonts w:hint="eastAsia" w:ascii="宋体" w:hAnsi="宋体" w:cs="宋体"/>
                <w:sz w:val="21"/>
                <w:szCs w:val="21"/>
                <w:highlight w:val="none"/>
                <w:u w:val="single"/>
                <w:lang w:val="en-US" w:eastAsia="zh-CN"/>
              </w:rPr>
              <w:t>2023</w:t>
            </w:r>
            <w:r>
              <w:rPr>
                <w:rFonts w:hint="eastAsia" w:ascii="宋体" w:hAnsi="宋体" w:eastAsia="宋体" w:cs="宋体"/>
                <w:sz w:val="21"/>
                <w:szCs w:val="21"/>
                <w:highlight w:val="none"/>
              </w:rPr>
              <w:t>年</w:t>
            </w:r>
            <w:r>
              <w:rPr>
                <w:rFonts w:hint="eastAsia" w:ascii="宋体" w:hAnsi="宋体" w:cs="宋体"/>
                <w:sz w:val="21"/>
                <w:szCs w:val="21"/>
                <w:highlight w:val="none"/>
                <w:u w:val="single"/>
                <w:lang w:val="en-US" w:eastAsia="zh-CN"/>
              </w:rPr>
              <w:t>7</w:t>
            </w:r>
            <w:r>
              <w:rPr>
                <w:rFonts w:hint="eastAsia" w:ascii="宋体" w:hAnsi="宋体" w:eastAsia="宋体" w:cs="宋体"/>
                <w:sz w:val="21"/>
                <w:szCs w:val="21"/>
                <w:highlight w:val="none"/>
              </w:rPr>
              <w:t>月</w:t>
            </w:r>
            <w:r>
              <w:rPr>
                <w:rFonts w:hint="eastAsia" w:ascii="宋体" w:hAnsi="宋体" w:cs="宋体"/>
                <w:sz w:val="21"/>
                <w:szCs w:val="21"/>
                <w:highlight w:val="none"/>
                <w:u w:val="single"/>
                <w:lang w:val="en-US" w:eastAsia="zh-CN"/>
              </w:rPr>
              <w:t>18</w:t>
            </w:r>
            <w:r>
              <w:rPr>
                <w:rFonts w:hint="eastAsia" w:ascii="宋体" w:hAnsi="宋体" w:eastAsia="宋体" w:cs="宋体"/>
                <w:sz w:val="21"/>
                <w:szCs w:val="21"/>
                <w:highlight w:val="none"/>
              </w:rPr>
              <w:t>日</w:t>
            </w:r>
            <w:r>
              <w:rPr>
                <w:rFonts w:hint="eastAsia" w:ascii="宋体" w:hAnsi="宋体" w:cs="宋体"/>
                <w:sz w:val="21"/>
                <w:szCs w:val="21"/>
                <w:highlight w:val="none"/>
                <w:u w:val="single"/>
                <w:lang w:val="en-US" w:eastAsia="zh-CN"/>
              </w:rPr>
              <w:t>9</w:t>
            </w:r>
            <w:r>
              <w:rPr>
                <w:rFonts w:hint="eastAsia" w:ascii="宋体" w:hAnsi="宋体" w:eastAsia="宋体" w:cs="宋体"/>
                <w:sz w:val="21"/>
                <w:szCs w:val="21"/>
                <w:highlight w:val="none"/>
              </w:rPr>
              <w:t>时</w:t>
            </w:r>
            <w:r>
              <w:rPr>
                <w:rFonts w:hint="eastAsia" w:ascii="宋体" w:hAnsi="宋体" w:cs="宋体"/>
                <w:sz w:val="21"/>
                <w:szCs w:val="21"/>
                <w:highlight w:val="none"/>
                <w:u w:val="single"/>
                <w:lang w:val="en-US" w:eastAsia="zh-CN"/>
              </w:rPr>
              <w:t>30</w:t>
            </w:r>
            <w:r>
              <w:rPr>
                <w:rFonts w:hint="eastAsia" w:ascii="宋体" w:hAnsi="宋体" w:eastAsia="宋体" w:cs="宋体"/>
                <w:sz w:val="21"/>
                <w:szCs w:val="21"/>
                <w:highlight w:val="none"/>
              </w:rPr>
              <w:t>分</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3.3.1</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自</w:t>
            </w:r>
            <w:r>
              <w:rPr>
                <w:rFonts w:hint="eastAsia" w:ascii="宋体" w:hAnsi="宋体" w:eastAsia="宋体" w:cs="宋体"/>
                <w:color w:val="auto"/>
                <w:kern w:val="0"/>
                <w:sz w:val="21"/>
                <w:szCs w:val="21"/>
                <w:highlight w:val="none"/>
                <w:lang w:eastAsia="zh-CN"/>
              </w:rPr>
              <w:t>投标</w:t>
            </w:r>
            <w:r>
              <w:rPr>
                <w:rFonts w:hint="eastAsia" w:ascii="宋体" w:hAnsi="宋体" w:cs="宋体"/>
                <w:color w:val="auto"/>
                <w:kern w:val="0"/>
                <w:sz w:val="21"/>
                <w:szCs w:val="21"/>
                <w:highlight w:val="none"/>
                <w:lang w:eastAsia="zh-CN"/>
              </w:rPr>
              <w:t>文件递交</w:t>
            </w:r>
            <w:r>
              <w:rPr>
                <w:rFonts w:hint="eastAsia" w:ascii="宋体" w:hAnsi="宋体" w:eastAsia="宋体" w:cs="宋体"/>
                <w:color w:val="auto"/>
                <w:kern w:val="0"/>
                <w:sz w:val="21"/>
                <w:szCs w:val="21"/>
                <w:highlight w:val="none"/>
                <w:lang w:eastAsia="zh-CN"/>
              </w:rPr>
              <w:t>截止</w:t>
            </w:r>
            <w:r>
              <w:rPr>
                <w:rFonts w:hint="eastAsia" w:ascii="宋体" w:hAnsi="宋体" w:eastAsia="宋体" w:cs="宋体"/>
                <w:color w:val="auto"/>
                <w:kern w:val="0"/>
                <w:sz w:val="21"/>
                <w:szCs w:val="21"/>
                <w:highlight w:val="none"/>
              </w:rPr>
              <w:t>之日起</w:t>
            </w:r>
            <w:r>
              <w:rPr>
                <w:rFonts w:hint="eastAsia" w:ascii="宋体" w:hAnsi="宋体" w:eastAsia="宋体" w:cs="宋体"/>
                <w:color w:val="auto"/>
                <w:kern w:val="0"/>
                <w:sz w:val="21"/>
                <w:szCs w:val="21"/>
                <w:highlight w:val="none"/>
                <w:u w:val="single"/>
              </w:rPr>
              <w:t xml:space="preserve"> 90 </w:t>
            </w:r>
            <w:r>
              <w:rPr>
                <w:rFonts w:hint="eastAsia" w:ascii="宋体" w:hAnsi="宋体" w:eastAsia="宋体" w:cs="宋体"/>
                <w:color w:val="auto"/>
                <w:kern w:val="0"/>
                <w:sz w:val="21"/>
                <w:szCs w:val="21"/>
                <w:highlight w:val="none"/>
              </w:rPr>
              <w:t>天</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3.4.1</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本次</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活动需交纳保证金为：</w:t>
            </w:r>
            <w:r>
              <w:rPr>
                <w:rFonts w:hint="eastAsia" w:ascii="宋体" w:hAnsi="宋体" w:eastAsia="宋体" w:cs="宋体"/>
                <w:sz w:val="21"/>
                <w:szCs w:val="21"/>
                <w:highlight w:val="none"/>
                <w:lang w:eastAsia="zh-CN"/>
              </w:rPr>
              <w:t>壹拾贰万元整（120,000.00元）</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保证金应为人民币，可采用下列任何一种形式支付：</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2.1银行转账</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2.2电汇</w:t>
            </w:r>
          </w:p>
          <w:p>
            <w:pPr>
              <w:spacing w:line="440" w:lineRule="exact"/>
              <w:ind w:firstLine="210" w:firstLineChars="1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2.3保函</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3.投标</w:t>
            </w:r>
            <w:r>
              <w:rPr>
                <w:rFonts w:hint="eastAsia" w:ascii="宋体" w:hAnsi="宋体" w:eastAsia="宋体" w:cs="宋体"/>
                <w:sz w:val="21"/>
                <w:szCs w:val="21"/>
                <w:highlight w:val="none"/>
              </w:rPr>
              <w:t>保证金必须在</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文件递交截止时间前到达采购代理机构指定的账户。</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开户名称：陕西德勤招标有限公司</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账  号：52880188000025295</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开户行：光大银行西安丈八东路支行</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转账事由：</w:t>
            </w:r>
            <w:r>
              <w:rPr>
                <w:rFonts w:hint="eastAsia" w:ascii="宋体" w:hAnsi="宋体" w:eastAsia="宋体" w:cs="宋体"/>
                <w:sz w:val="21"/>
                <w:szCs w:val="21"/>
                <w:highlight w:val="none"/>
                <w:lang w:val="en-US" w:eastAsia="zh-CN"/>
              </w:rPr>
              <w:t>DQ-2023080-ZB</w:t>
            </w:r>
            <w:r>
              <w:rPr>
                <w:rFonts w:hint="eastAsia" w:ascii="宋体" w:hAnsi="宋体" w:eastAsia="宋体" w:cs="宋体"/>
                <w:sz w:val="21"/>
                <w:szCs w:val="21"/>
                <w:highlight w:val="none"/>
              </w:rPr>
              <w:t>项目</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保证金</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保证金以供应商名称汇款,汇款凭证标明项目编号，如以个人汇款，视为无效。</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供应商未交纳、未足额交纳或未按规定时间交纳</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保证金的，将被视为自动放弃</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权利。</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5.投标</w:t>
            </w:r>
            <w:r>
              <w:rPr>
                <w:rFonts w:hint="eastAsia" w:ascii="宋体" w:hAnsi="宋体" w:eastAsia="宋体" w:cs="宋体"/>
                <w:sz w:val="21"/>
                <w:szCs w:val="21"/>
                <w:highlight w:val="none"/>
              </w:rPr>
              <w:t>保证金的交付单位和供应商的名称必须一致，否则将视为</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无效。</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项目废标后重新组织</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的，保证金会退回原项目</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供应商账户，供应商需按照新的</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文件要求重新交纳保证金。</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7.投标</w:t>
            </w:r>
            <w:r>
              <w:rPr>
                <w:rFonts w:hint="eastAsia" w:ascii="宋体" w:hAnsi="宋体" w:eastAsia="宋体" w:cs="宋体"/>
                <w:sz w:val="21"/>
                <w:szCs w:val="21"/>
                <w:highlight w:val="none"/>
              </w:rPr>
              <w:t>保证金退还</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7.1如无质疑或投诉，未</w:t>
            </w:r>
            <w:r>
              <w:rPr>
                <w:rFonts w:hint="eastAsia" w:ascii="宋体" w:hAnsi="宋体" w:eastAsia="宋体" w:cs="宋体"/>
                <w:sz w:val="21"/>
                <w:szCs w:val="21"/>
                <w:highlight w:val="none"/>
                <w:lang w:val="en-US" w:eastAsia="zh-CN"/>
              </w:rPr>
              <w:t>中标</w:t>
            </w:r>
            <w:r>
              <w:rPr>
                <w:rFonts w:hint="eastAsia" w:ascii="宋体" w:hAnsi="宋体" w:eastAsia="宋体" w:cs="宋体"/>
                <w:sz w:val="21"/>
                <w:szCs w:val="21"/>
                <w:highlight w:val="none"/>
              </w:rPr>
              <w:t>供应商的</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保证金，在</w:t>
            </w:r>
            <w:r>
              <w:rPr>
                <w:rFonts w:hint="eastAsia" w:ascii="宋体" w:hAnsi="宋体" w:eastAsia="宋体" w:cs="宋体"/>
                <w:sz w:val="21"/>
                <w:szCs w:val="21"/>
                <w:highlight w:val="none"/>
                <w:lang w:val="en-US" w:eastAsia="zh-CN"/>
              </w:rPr>
              <w:t>中标</w:t>
            </w:r>
            <w:r>
              <w:rPr>
                <w:rFonts w:hint="eastAsia" w:ascii="宋体" w:hAnsi="宋体" w:eastAsia="宋体" w:cs="宋体"/>
                <w:sz w:val="21"/>
                <w:szCs w:val="21"/>
                <w:highlight w:val="none"/>
              </w:rPr>
              <w:t>通知书发出后5个工作日内原额、原账户无息退还；</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如有质疑或投诉，将在质疑和投诉处理完毕后5个工作日内原额、原账户无息退还。</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7.2</w:t>
            </w:r>
            <w:r>
              <w:rPr>
                <w:rFonts w:hint="eastAsia" w:ascii="宋体" w:hAnsi="宋体" w:eastAsia="宋体" w:cs="宋体"/>
                <w:sz w:val="21"/>
                <w:szCs w:val="21"/>
                <w:highlight w:val="none"/>
                <w:lang w:val="en-US" w:eastAsia="zh-CN"/>
              </w:rPr>
              <w:t>中标</w:t>
            </w:r>
            <w:r>
              <w:rPr>
                <w:rFonts w:hint="eastAsia" w:ascii="宋体" w:hAnsi="宋体" w:eastAsia="宋体" w:cs="宋体"/>
                <w:sz w:val="21"/>
                <w:szCs w:val="21"/>
                <w:highlight w:val="none"/>
              </w:rPr>
              <w:t>供应商的</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保证金,在</w:t>
            </w:r>
            <w:r>
              <w:rPr>
                <w:rFonts w:hint="eastAsia" w:ascii="宋体" w:hAnsi="宋体" w:eastAsia="宋体" w:cs="宋体"/>
                <w:sz w:val="21"/>
                <w:szCs w:val="21"/>
                <w:highlight w:val="none"/>
                <w:lang w:val="en-US" w:eastAsia="zh-CN"/>
              </w:rPr>
              <w:t>中标</w:t>
            </w:r>
            <w:r>
              <w:rPr>
                <w:rFonts w:hint="eastAsia" w:ascii="宋体" w:hAnsi="宋体" w:eastAsia="宋体" w:cs="宋体"/>
                <w:sz w:val="21"/>
                <w:szCs w:val="21"/>
                <w:highlight w:val="none"/>
              </w:rPr>
              <w:t>供应商与采购人签订采购合同并将采购合同（</w:t>
            </w:r>
            <w:r>
              <w:rPr>
                <w:rFonts w:hint="eastAsia" w:ascii="宋体" w:hAnsi="宋体" w:eastAsia="宋体" w:cs="宋体"/>
                <w:sz w:val="21"/>
                <w:szCs w:val="21"/>
                <w:highlight w:val="none"/>
                <w:lang w:eastAsia="zh-CN"/>
              </w:rPr>
              <w:t>原件</w:t>
            </w:r>
            <w:r>
              <w:rPr>
                <w:rFonts w:hint="eastAsia" w:ascii="宋体" w:hAnsi="宋体" w:eastAsia="宋体" w:cs="宋体"/>
                <w:sz w:val="21"/>
                <w:szCs w:val="21"/>
                <w:highlight w:val="none"/>
              </w:rPr>
              <w:t>一份）送达采购代理机构后5个工作日内原额、原账户无息退还。</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资格审查资料</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outlineLvl w:val="9"/>
              <w:rPr>
                <w:rFonts w:hint="eastAsia"/>
                <w:highlight w:val="none"/>
              </w:rPr>
            </w:pPr>
            <w:r>
              <w:rPr>
                <w:rFonts w:hint="eastAsia"/>
                <w:highlight w:val="none"/>
                <w:lang w:val="en-US" w:eastAsia="zh-CN"/>
              </w:rPr>
              <w:t>1.</w:t>
            </w:r>
            <w:r>
              <w:rPr>
                <w:rFonts w:hint="eastAsia"/>
                <w:highlight w:val="none"/>
              </w:rPr>
              <w:t>供应商资格声明（格式）；</w:t>
            </w:r>
          </w:p>
          <w:p>
            <w:pPr>
              <w:spacing w:line="360" w:lineRule="auto"/>
              <w:outlineLvl w:val="9"/>
              <w:rPr>
                <w:rFonts w:hint="eastAsia"/>
                <w:highlight w:val="none"/>
              </w:rPr>
            </w:pPr>
            <w:r>
              <w:rPr>
                <w:rFonts w:hint="eastAsia"/>
                <w:highlight w:val="none"/>
              </w:rPr>
              <w:t>1）企业法人</w:t>
            </w:r>
            <w:r>
              <w:rPr>
                <w:rFonts w:hint="eastAsia"/>
                <w:highlight w:val="none"/>
                <w:lang w:eastAsia="zh-CN"/>
              </w:rPr>
              <w:t>、</w:t>
            </w:r>
            <w:r>
              <w:rPr>
                <w:rFonts w:hint="eastAsia"/>
                <w:highlight w:val="none"/>
                <w:lang w:val="en-US" w:eastAsia="zh-CN"/>
              </w:rPr>
              <w:t>其他组织</w:t>
            </w:r>
            <w:r>
              <w:rPr>
                <w:rFonts w:hint="eastAsia"/>
                <w:highlight w:val="none"/>
              </w:rPr>
              <w:t>营业执照副本</w:t>
            </w:r>
            <w:r>
              <w:rPr>
                <w:rFonts w:hint="eastAsia"/>
                <w:highlight w:val="none"/>
                <w:lang w:val="en-US" w:eastAsia="zh-CN"/>
              </w:rPr>
              <w:t>或</w:t>
            </w:r>
            <w:r>
              <w:rPr>
                <w:rFonts w:hint="eastAsia"/>
                <w:highlight w:val="none"/>
              </w:rPr>
              <w:t>事业单位法人证书</w:t>
            </w:r>
            <w:r>
              <w:rPr>
                <w:rFonts w:hint="eastAsia"/>
                <w:highlight w:val="none"/>
                <w:lang w:eastAsia="zh-CN"/>
              </w:rPr>
              <w:t>，自然人提供身份证明</w:t>
            </w:r>
            <w:r>
              <w:rPr>
                <w:rFonts w:hint="eastAsia"/>
                <w:highlight w:val="none"/>
              </w:rPr>
              <w:t>（复印件加盖投标供应商公章）；</w:t>
            </w:r>
          </w:p>
          <w:p>
            <w:pPr>
              <w:spacing w:line="360" w:lineRule="auto"/>
              <w:jc w:val="both"/>
              <w:outlineLvl w:val="9"/>
              <w:rPr>
                <w:rFonts w:hint="eastAsia"/>
                <w:highlight w:val="none"/>
                <w:lang w:val="en-US" w:eastAsia="zh-CN"/>
              </w:rPr>
            </w:pPr>
            <w:r>
              <w:rPr>
                <w:rFonts w:hint="eastAsia"/>
                <w:highlight w:val="none"/>
              </w:rPr>
              <w:t>2）</w:t>
            </w:r>
            <w:r>
              <w:rPr>
                <w:rFonts w:hint="eastAsia"/>
                <w:highlight w:val="none"/>
                <w:lang w:val="en-US" w:eastAsia="zh-CN"/>
              </w:rPr>
              <w:t>2022年度经审计的财务报告（成立时间至开标会议日期不足一年的投标供应商可提供成立后任意时段的资产负债表）（复印件加盖投标供应商公章）；</w:t>
            </w:r>
          </w:p>
          <w:p>
            <w:pPr>
              <w:spacing w:line="360" w:lineRule="auto"/>
              <w:jc w:val="both"/>
              <w:outlineLvl w:val="9"/>
              <w:rPr>
                <w:rFonts w:hint="eastAsia"/>
                <w:highlight w:val="none"/>
                <w:lang w:val="en-US" w:eastAsia="zh-CN"/>
              </w:rPr>
            </w:pPr>
            <w:r>
              <w:rPr>
                <w:rFonts w:hint="eastAsia"/>
                <w:highlight w:val="none"/>
                <w:lang w:val="en-US" w:eastAsia="zh-CN"/>
              </w:rPr>
              <w:t>或在开标会议日期前六个月内其基本存款账户开户银行出具的资信证明（原件）；</w:t>
            </w:r>
          </w:p>
          <w:p>
            <w:pPr>
              <w:spacing w:line="360" w:lineRule="auto"/>
              <w:jc w:val="both"/>
              <w:outlineLvl w:val="9"/>
              <w:rPr>
                <w:rFonts w:hint="eastAsia"/>
                <w:highlight w:val="none"/>
                <w:lang w:val="en-US" w:eastAsia="zh-CN"/>
              </w:rPr>
            </w:pPr>
            <w:r>
              <w:rPr>
                <w:rFonts w:hint="eastAsia"/>
                <w:highlight w:val="none"/>
                <w:lang w:val="en-US" w:eastAsia="zh-CN"/>
              </w:rPr>
              <w:t>或在开标会议日期前六个月内信用担保机构出具的投标担保函（原件）；</w:t>
            </w:r>
          </w:p>
          <w:p>
            <w:pPr>
              <w:spacing w:line="360" w:lineRule="auto"/>
              <w:jc w:val="both"/>
              <w:outlineLvl w:val="9"/>
              <w:rPr>
                <w:rFonts w:hint="eastAsia"/>
                <w:highlight w:val="none"/>
              </w:rPr>
            </w:pPr>
            <w:r>
              <w:rPr>
                <w:rFonts w:hint="eastAsia"/>
                <w:highlight w:val="none"/>
                <w:lang w:val="en-US" w:eastAsia="zh-CN"/>
              </w:rPr>
              <w:t>（以上三种形式的资料提供任何一种即可）</w:t>
            </w:r>
          </w:p>
          <w:p>
            <w:pPr>
              <w:spacing w:line="360" w:lineRule="auto"/>
              <w:outlineLvl w:val="9"/>
              <w:rPr>
                <w:rFonts w:hint="eastAsia"/>
                <w:highlight w:val="none"/>
              </w:rPr>
            </w:pPr>
            <w:r>
              <w:rPr>
                <w:rFonts w:hint="eastAsia"/>
                <w:highlight w:val="none"/>
              </w:rPr>
              <w:t>3）开标会议日期前十二个月任意</w:t>
            </w:r>
            <w:r>
              <w:rPr>
                <w:rFonts w:hint="eastAsia"/>
                <w:highlight w:val="none"/>
                <w:lang w:eastAsia="zh-CN"/>
              </w:rPr>
              <w:t>一</w:t>
            </w:r>
            <w:r>
              <w:rPr>
                <w:rFonts w:hint="eastAsia"/>
                <w:highlight w:val="none"/>
              </w:rPr>
              <w:t>个月缴税凭据（复印件加盖投标供应商公章）（依法免税的投标供应商应提供相应文件证明）；</w:t>
            </w:r>
          </w:p>
          <w:p>
            <w:pPr>
              <w:spacing w:line="360" w:lineRule="auto"/>
              <w:outlineLvl w:val="9"/>
              <w:rPr>
                <w:rFonts w:hint="eastAsia"/>
                <w:highlight w:val="none"/>
                <w:lang w:eastAsia="zh-CN"/>
              </w:rPr>
            </w:pPr>
            <w:r>
              <w:rPr>
                <w:rFonts w:hint="eastAsia"/>
                <w:highlight w:val="none"/>
              </w:rPr>
              <w:t>4）开标会议日期前十二个月任意</w:t>
            </w:r>
            <w:r>
              <w:rPr>
                <w:rFonts w:hint="eastAsia"/>
                <w:highlight w:val="none"/>
                <w:lang w:eastAsia="zh-CN"/>
              </w:rPr>
              <w:t>一</w:t>
            </w:r>
            <w:r>
              <w:rPr>
                <w:rFonts w:hint="eastAsia"/>
                <w:highlight w:val="none"/>
              </w:rPr>
              <w:t>个月缴纳社会保险的凭据（专用收据或社会保险缴纳清单或其他证明材料）（复印件加盖投标供应商公章）（依法不需要缴纳社会保障资金的投标供应商应提供相应文件证明）</w:t>
            </w:r>
            <w:r>
              <w:rPr>
                <w:rFonts w:hint="eastAsia"/>
                <w:highlight w:val="none"/>
                <w:lang w:eastAsia="zh-CN"/>
              </w:rPr>
              <w:t>；</w:t>
            </w:r>
          </w:p>
          <w:p>
            <w:pPr>
              <w:spacing w:line="440" w:lineRule="exact"/>
              <w:outlineLvl w:val="9"/>
              <w:rPr>
                <w:rFonts w:hint="eastAsia"/>
                <w:highlight w:val="none"/>
              </w:rPr>
            </w:pPr>
            <w:r>
              <w:rPr>
                <w:rFonts w:hint="eastAsia"/>
                <w:highlight w:val="none"/>
                <w:lang w:val="en-US" w:eastAsia="zh-CN"/>
              </w:rPr>
              <w:t>2.建筑工程总承包二级及以上资质证书和特种专业工程专业承包资质证书（建筑物结构补强）（复印件加盖投标供应商公章）</w:t>
            </w:r>
            <w:r>
              <w:rPr>
                <w:rFonts w:hint="eastAsia"/>
                <w:highlight w:val="none"/>
              </w:rPr>
              <w:t>；</w:t>
            </w:r>
          </w:p>
          <w:p>
            <w:pPr>
              <w:spacing w:line="440" w:lineRule="exact"/>
              <w:outlineLvl w:val="9"/>
              <w:rPr>
                <w:rFonts w:hint="eastAsia"/>
                <w:highlight w:val="none"/>
                <w:lang w:val="en-US" w:eastAsia="zh-CN"/>
              </w:rPr>
            </w:pPr>
            <w:r>
              <w:rPr>
                <w:rFonts w:hint="eastAsia"/>
                <w:highlight w:val="none"/>
                <w:lang w:val="en-US" w:eastAsia="zh-CN"/>
              </w:rPr>
              <w:t>3.建设行政主管部门颁发的安全生产许可证（复印件加盖投标供应商公章）；</w:t>
            </w:r>
          </w:p>
          <w:p>
            <w:pPr>
              <w:spacing w:line="440" w:lineRule="exact"/>
              <w:outlineLvl w:val="9"/>
              <w:rPr>
                <w:rFonts w:hint="eastAsia"/>
                <w:highlight w:val="none"/>
                <w:lang w:val="en-US" w:eastAsia="zh-CN"/>
              </w:rPr>
            </w:pPr>
            <w:r>
              <w:rPr>
                <w:rFonts w:hint="eastAsia"/>
                <w:highlight w:val="none"/>
                <w:lang w:val="en-US" w:eastAsia="zh-CN"/>
              </w:rPr>
              <w:t>4.供应商拟派项目经理建筑工程专业二级及以上建造师资格证书（复印件加盖投标供应商公章）,有效的安全生产考核合格证书（建安B证）（复印件加盖投标供应商公章），且未担任其他在建工程项目的项目经理（提供无在建工程承诺书）；</w:t>
            </w:r>
          </w:p>
          <w:p>
            <w:pPr>
              <w:spacing w:line="360" w:lineRule="auto"/>
              <w:outlineLvl w:val="9"/>
              <w:rPr>
                <w:rFonts w:hint="eastAsia"/>
                <w:highlight w:val="none"/>
                <w:lang w:val="en-GB"/>
              </w:rPr>
            </w:pPr>
            <w:r>
              <w:rPr>
                <w:rFonts w:hint="eastAsia"/>
                <w:highlight w:val="none"/>
                <w:lang w:val="en-US" w:eastAsia="zh-CN"/>
              </w:rPr>
              <w:t>5.</w:t>
            </w:r>
            <w:r>
              <w:rPr>
                <w:rFonts w:hint="eastAsia"/>
                <w:highlight w:val="none"/>
              </w:rPr>
              <w:t>投标</w:t>
            </w:r>
            <w:r>
              <w:rPr>
                <w:rFonts w:hint="eastAsia"/>
                <w:highlight w:val="none"/>
                <w:lang w:val="en-GB"/>
              </w:rPr>
              <w:t>保证金汇款声明函</w:t>
            </w:r>
            <w:r>
              <w:rPr>
                <w:rFonts w:hint="eastAsia"/>
                <w:highlight w:val="none"/>
              </w:rPr>
              <w:t>/保函</w:t>
            </w:r>
            <w:r>
              <w:rPr>
                <w:rFonts w:hint="eastAsia"/>
                <w:highlight w:val="none"/>
                <w:lang w:val="en-GB"/>
              </w:rPr>
              <w:t>（</w:t>
            </w:r>
            <w:r>
              <w:rPr>
                <w:rFonts w:hint="eastAsia"/>
                <w:highlight w:val="none"/>
              </w:rPr>
              <w:t>格式</w:t>
            </w:r>
            <w:r>
              <w:rPr>
                <w:rFonts w:hint="eastAsia"/>
                <w:highlight w:val="none"/>
                <w:lang w:val="en-GB"/>
              </w:rPr>
              <w:t>）</w:t>
            </w:r>
            <w:r>
              <w:rPr>
                <w:rFonts w:hint="eastAsia"/>
                <w:highlight w:val="none"/>
                <w:lang w:val="en-GB" w:eastAsia="zh-CN"/>
              </w:rPr>
              <w:t>（</w:t>
            </w:r>
            <w:r>
              <w:rPr>
                <w:rFonts w:hint="eastAsia"/>
                <w:highlight w:val="none"/>
                <w:lang w:val="en-US" w:eastAsia="zh-CN"/>
              </w:rPr>
              <w:t>若提交保函，应于投标文件递交截止时间前将保函扫描件发送至采购代理机构指定邮箱</w:t>
            </w:r>
            <w:r>
              <w:rPr>
                <w:rFonts w:hint="eastAsia"/>
                <w:highlight w:val="none"/>
                <w:lang w:val="en-GB" w:eastAsia="zh-CN"/>
              </w:rPr>
              <w:t>）</w:t>
            </w:r>
            <w:r>
              <w:rPr>
                <w:rFonts w:hint="eastAsia"/>
                <w:highlight w:val="none"/>
                <w:lang w:val="en-GB"/>
              </w:rPr>
              <w:t>；</w:t>
            </w:r>
          </w:p>
          <w:p>
            <w:pPr>
              <w:spacing w:line="440" w:lineRule="exact"/>
              <w:outlineLvl w:val="9"/>
              <w:rPr>
                <w:rFonts w:hint="eastAsia"/>
                <w:highlight w:val="none"/>
              </w:rPr>
            </w:pPr>
            <w:r>
              <w:rPr>
                <w:rFonts w:hint="eastAsia"/>
                <w:highlight w:val="none"/>
                <w:lang w:val="en-US" w:eastAsia="zh-CN"/>
              </w:rPr>
              <w:t>6.</w:t>
            </w:r>
            <w:r>
              <w:rPr>
                <w:rFonts w:hint="eastAsia"/>
                <w:highlight w:val="none"/>
              </w:rPr>
              <w:t>法定代表人授权书（法定代表人直接参加投标须提交法定代表人证明书）（格式）；</w:t>
            </w:r>
          </w:p>
          <w:p>
            <w:pPr>
              <w:spacing w:line="440" w:lineRule="exact"/>
              <w:outlineLvl w:val="9"/>
              <w:rPr>
                <w:rFonts w:hint="eastAsia"/>
                <w:highlight w:val="none"/>
              </w:rPr>
            </w:pPr>
            <w:r>
              <w:rPr>
                <w:rFonts w:hint="eastAsia" w:ascii="Times New Roman" w:hAnsi="Times New Roman" w:eastAsia="宋体" w:cs="Calibri"/>
                <w:b w:val="0"/>
                <w:bCs w:val="0"/>
                <w:kern w:val="2"/>
                <w:sz w:val="21"/>
                <w:szCs w:val="21"/>
                <w:highlight w:val="none"/>
                <w:lang w:val="en-US" w:eastAsia="zh-CN" w:bidi="ar-SA"/>
              </w:rPr>
              <w:t>7.</w:t>
            </w:r>
            <w:r>
              <w:rPr>
                <w:rFonts w:hint="eastAsia" w:ascii="宋体" w:hAnsi="宋体" w:eastAsia="宋体" w:cs="宋体"/>
                <w:sz w:val="21"/>
                <w:szCs w:val="21"/>
                <w:highlight w:val="none"/>
                <w:lang w:val="en-US" w:eastAsia="zh-CN"/>
              </w:rPr>
              <w:t>本工程应由中型企业、小型企业、微型企业、监狱企业或残疾人福利性单位承建</w:t>
            </w:r>
            <w:r>
              <w:rPr>
                <w:rFonts w:hint="eastAsia" w:ascii="Times New Roman" w:hAnsi="Times New Roman" w:eastAsia="宋体" w:cs="Calibri"/>
                <w:b w:val="0"/>
                <w:bCs w:val="0"/>
                <w:kern w:val="2"/>
                <w:sz w:val="21"/>
                <w:szCs w:val="21"/>
                <w:highlight w:val="none"/>
                <w:lang w:val="en-US" w:eastAsia="zh-CN" w:bidi="ar-SA"/>
              </w:rPr>
              <w:t>。中小企业的划分标准所属行业符合本项目要求，提供《中小企业声明函》（格式）；监狱企业应提供监狱企业的证明文件；残疾人福利性单位的应提供《残疾人福利性单位声明函》（格式）（以上证明材料提供任意一种即可，无需重复提供）。</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3.6</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是否允许递交备选投标方案</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pStyle w:val="16"/>
              <w:topLinePunct/>
              <w:spacing w:line="40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不允许</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□允许</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3.7.3</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签字或盖章要求</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投标函、授权委托书、封面及所附表格等均须符合本文件各自签字盖章要求。</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3.7.4</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投标文件副本份数</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eastAsia" w:ascii="宋体" w:hAnsi="宋体" w:eastAsia="宋体" w:cs="宋体"/>
                <w:sz w:val="21"/>
                <w:szCs w:val="21"/>
                <w:highlight w:val="none"/>
              </w:rPr>
            </w:pPr>
            <w:r>
              <w:rPr>
                <w:rFonts w:hint="eastAsia" w:ascii="宋体" w:hAnsi="宋体" w:cs="宋体"/>
                <w:i w:val="0"/>
                <w:iCs w:val="0"/>
                <w:kern w:val="28"/>
                <w:highlight w:val="none"/>
                <w:u w:val="none"/>
              </w:rPr>
              <w:t>投标文件</w:t>
            </w:r>
            <w:r>
              <w:rPr>
                <w:rFonts w:hint="eastAsia" w:ascii="宋体" w:hAnsi="宋体" w:cs="宋体"/>
                <w:kern w:val="28"/>
                <w:highlight w:val="none"/>
              </w:rPr>
              <w:t>正本壹份、副本伍份，</w:t>
            </w:r>
            <w:r>
              <w:rPr>
                <w:rFonts w:hint="eastAsia" w:ascii="宋体" w:hAnsi="宋体" w:cs="宋体"/>
                <w:kern w:val="28"/>
                <w:highlight w:val="none"/>
                <w:lang w:val="en-US" w:eastAsia="zh-CN"/>
              </w:rPr>
              <w:t>开标一览表壹份，</w:t>
            </w:r>
            <w:r>
              <w:rPr>
                <w:rFonts w:hint="eastAsia" w:ascii="宋体" w:hAnsi="宋体" w:cs="宋体"/>
                <w:kern w:val="28"/>
                <w:highlight w:val="none"/>
              </w:rPr>
              <w:t>电子版本壹份（以U盘形式</w:t>
            </w:r>
            <w:r>
              <w:rPr>
                <w:rFonts w:hint="eastAsia" w:ascii="宋体" w:hAnsi="宋体" w:cs="宋体"/>
                <w:kern w:val="28"/>
                <w:highlight w:val="none"/>
                <w:lang w:val="en-US" w:eastAsia="zh-CN"/>
              </w:rPr>
              <w:t>提供</w:t>
            </w:r>
            <w:r>
              <w:rPr>
                <w:rFonts w:hint="eastAsia" w:ascii="宋体" w:hAnsi="宋体" w:cs="宋体"/>
                <w:kern w:val="28"/>
                <w:highlight w:val="none"/>
              </w:rPr>
              <w:t>，文件格式包含.doc/.docx格式及正本盖章后扫描的.pdf格式），共</w:t>
            </w:r>
            <w:r>
              <w:rPr>
                <w:rFonts w:hint="eastAsia" w:ascii="宋体" w:hAnsi="宋体" w:cs="宋体"/>
                <w:kern w:val="28"/>
                <w:highlight w:val="none"/>
                <w:lang w:val="en-US" w:eastAsia="zh-CN"/>
              </w:rPr>
              <w:t>捌</w:t>
            </w:r>
            <w:r>
              <w:rPr>
                <w:rFonts w:hint="eastAsia" w:ascii="宋体" w:hAnsi="宋体" w:cs="宋体"/>
                <w:kern w:val="28"/>
                <w:highlight w:val="none"/>
              </w:rPr>
              <w:t>份。</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3.7.5</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装订要求</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default" w:ascii="Times New Roman" w:hAnsi="Times New Roman" w:eastAsia="宋体"/>
                <w:highlight w:val="none"/>
                <w:lang w:val="en-US" w:eastAsia="zh-CN"/>
              </w:rPr>
            </w:pPr>
            <w:r>
              <w:rPr>
                <w:rFonts w:hint="eastAsia" w:ascii="Times New Roman" w:hAnsi="Times New Roman" w:eastAsia="宋体"/>
                <w:highlight w:val="none"/>
                <w:lang w:val="en-US" w:eastAsia="zh-CN"/>
              </w:rPr>
              <w:t>1.</w:t>
            </w:r>
            <w:r>
              <w:rPr>
                <w:rFonts w:hint="default" w:ascii="Times New Roman" w:hAnsi="Times New Roman" w:eastAsia="宋体"/>
                <w:highlight w:val="none"/>
                <w:lang w:val="en-US" w:eastAsia="zh-CN"/>
              </w:rPr>
              <w:t>正、副本须分别胶装成册，正、副本</w:t>
            </w:r>
            <w:r>
              <w:rPr>
                <w:rFonts w:hint="eastAsia" w:ascii="Times New Roman" w:hAnsi="Times New Roman" w:eastAsia="宋体"/>
                <w:highlight w:val="none"/>
                <w:lang w:val="en-US" w:eastAsia="zh-CN"/>
              </w:rPr>
              <w:t>、电子版</w:t>
            </w:r>
            <w:r>
              <w:rPr>
                <w:rFonts w:hint="default" w:ascii="Times New Roman" w:hAnsi="Times New Roman" w:eastAsia="宋体"/>
                <w:highlight w:val="none"/>
                <w:lang w:val="en-US" w:eastAsia="zh-CN"/>
              </w:rPr>
              <w:t>分开密封。</w:t>
            </w:r>
            <w:r>
              <w:rPr>
                <w:rFonts w:hint="eastAsia" w:ascii="Times New Roman" w:hAnsi="Times New Roman" w:eastAsia="宋体"/>
                <w:highlight w:val="none"/>
                <w:lang w:val="en-US" w:eastAsia="zh-CN"/>
              </w:rPr>
              <w:t>正、副本</w:t>
            </w:r>
            <w:r>
              <w:rPr>
                <w:rFonts w:hint="default" w:ascii="Times New Roman" w:hAnsi="Times New Roman" w:eastAsia="宋体"/>
                <w:highlight w:val="none"/>
                <w:lang w:val="en-US" w:eastAsia="zh-CN"/>
              </w:rPr>
              <w:t>不允许活页夹装订，由于装订原因造成响应文件</w:t>
            </w:r>
            <w:r>
              <w:rPr>
                <w:rFonts w:hint="eastAsia" w:ascii="Times New Roman" w:hAnsi="Times New Roman" w:eastAsia="宋体"/>
                <w:highlight w:val="none"/>
                <w:lang w:val="en-US" w:eastAsia="zh-CN"/>
              </w:rPr>
              <w:t>的</w:t>
            </w:r>
            <w:r>
              <w:rPr>
                <w:rFonts w:hint="default" w:ascii="Times New Roman" w:hAnsi="Times New Roman" w:eastAsia="宋体"/>
                <w:highlight w:val="none"/>
                <w:lang w:val="en-US" w:eastAsia="zh-CN"/>
              </w:rPr>
              <w:t>散落、丢失等，责任自负。在</w:t>
            </w:r>
            <w:r>
              <w:rPr>
                <w:rFonts w:hint="eastAsia" w:ascii="Times New Roman" w:hAnsi="Times New Roman" w:eastAsia="宋体"/>
                <w:highlight w:val="none"/>
                <w:lang w:val="en-US" w:eastAsia="zh-CN"/>
              </w:rPr>
              <w:t>封袋</w:t>
            </w:r>
            <w:r>
              <w:rPr>
                <w:rFonts w:hint="default" w:ascii="Times New Roman" w:hAnsi="Times New Roman" w:eastAsia="宋体"/>
                <w:highlight w:val="none"/>
                <w:lang w:val="en-US" w:eastAsia="zh-CN"/>
              </w:rPr>
              <w:t>封口处需由法定代表人或授权人代表签字，并加盖</w:t>
            </w:r>
            <w:r>
              <w:rPr>
                <w:rFonts w:hint="eastAsia" w:ascii="Times New Roman" w:hAnsi="Times New Roman" w:eastAsia="宋体"/>
                <w:highlight w:val="none"/>
                <w:lang w:val="en-US" w:eastAsia="zh-CN"/>
              </w:rPr>
              <w:t>投标</w:t>
            </w:r>
            <w:r>
              <w:rPr>
                <w:rFonts w:hint="default" w:ascii="Times New Roman" w:hAnsi="Times New Roman" w:eastAsia="宋体"/>
                <w:highlight w:val="none"/>
                <w:lang w:val="en-US" w:eastAsia="zh-CN"/>
              </w:rPr>
              <w:t>供应商公章。</w:t>
            </w:r>
          </w:p>
          <w:p>
            <w:pPr>
              <w:spacing w:line="440" w:lineRule="exact"/>
              <w:outlineLvl w:val="9"/>
              <w:rPr>
                <w:rFonts w:hint="eastAsia" w:ascii="宋体" w:hAnsi="宋体" w:eastAsia="宋体" w:cs="宋体"/>
                <w:sz w:val="21"/>
                <w:szCs w:val="21"/>
                <w:highlight w:val="none"/>
              </w:rPr>
            </w:pPr>
            <w:r>
              <w:rPr>
                <w:rFonts w:hint="eastAsia" w:ascii="Times New Roman" w:hAnsi="Times New Roman" w:eastAsia="宋体"/>
                <w:highlight w:val="none"/>
                <w:lang w:val="en-US" w:eastAsia="zh-CN"/>
              </w:rPr>
              <w:t>2.开标一览表除在投标文件内装订外，另制作一份单独放在一个封袋中。封口处应有供应商法定代表人或授权人代表签字，并加盖投标供应商公章。</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4.1.2</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封套上写明</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工程名称：</w:t>
            </w:r>
            <w:r>
              <w:rPr>
                <w:rFonts w:hint="eastAsia" w:ascii="宋体" w:hAnsi="宋体" w:eastAsia="宋体" w:cs="宋体"/>
                <w:color w:val="auto"/>
                <w:sz w:val="21"/>
                <w:szCs w:val="21"/>
                <w:highlight w:val="none"/>
                <w:u w:val="single"/>
              </w:rPr>
              <w:t xml:space="preserve">            </w:t>
            </w:r>
          </w:p>
          <w:p>
            <w:pPr>
              <w:spacing w:line="360" w:lineRule="auto"/>
              <w:ind w:left="0" w:leftChars="0" w:firstLine="0" w:firstLineChars="0"/>
              <w:jc w:val="left"/>
              <w:outlineLvl w:val="9"/>
              <w:rPr>
                <w:rFonts w:hint="eastAsia" w:ascii="Times New Roman" w:hAnsi="Times New Roman" w:eastAsia="宋体"/>
                <w:highlight w:val="none"/>
                <w:lang w:val="en-US" w:eastAsia="zh-CN"/>
              </w:rPr>
            </w:pP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正/副</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/电子版本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Times New Roman" w:hAnsi="Times New Roman" w:eastAsia="宋体"/>
                <w:highlight w:val="none"/>
                <w:lang w:val="en-US" w:eastAsia="zh-CN"/>
              </w:rPr>
              <w:t>开标一览表</w:t>
            </w:r>
          </w:p>
          <w:p>
            <w:pPr>
              <w:spacing w:line="360" w:lineRule="auto"/>
              <w:ind w:left="0" w:leftChars="0" w:firstLine="0" w:firstLineChars="0"/>
              <w:jc w:val="left"/>
              <w:outlineLvl w:val="9"/>
              <w:rPr>
                <w:rFonts w:hint="eastAsia" w:ascii="宋体" w:hAnsi="宋体" w:eastAsia="宋体" w:cs="宋体"/>
                <w:color w:val="auto"/>
                <w:sz w:val="21"/>
                <w:szCs w:val="21"/>
                <w:highlight w:val="none"/>
              </w:rPr>
            </w:pPr>
            <w:r>
              <w:rPr>
                <w:rFonts w:hint="eastAsia" w:ascii="Times New Roman" w:hAnsi="Times New Roman" w:eastAsia="宋体"/>
                <w:highlight w:val="none"/>
                <w:lang w:val="en-US" w:eastAsia="zh-CN"/>
              </w:rPr>
              <w:t>非开标会议不得启封</w:t>
            </w:r>
          </w:p>
          <w:p>
            <w:pPr>
              <w:adjustRightInd w:val="0"/>
              <w:snapToGrid w:val="0"/>
              <w:spacing w:line="288" w:lineRule="auto"/>
              <w:ind w:left="0" w:leftChars="0" w:firstLine="0" w:firstLineChars="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（加盖公章）</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4.2.2</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递交投标文件地点</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陕西省西安市高新区丈八一路1号汇鑫中心D座2206室陕西德勤招标有限公司第一会议室</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4.2.3</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是否退还投标文件</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pStyle w:val="16"/>
              <w:topLinePunct/>
              <w:spacing w:line="40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否</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tc>
      </w:tr>
      <w:tr>
        <w:tblPrEx>
          <w:tblCellMar>
            <w:top w:w="0" w:type="dxa"/>
            <w:left w:w="108" w:type="dxa"/>
            <w:bottom w:w="0" w:type="dxa"/>
            <w:right w:w="108" w:type="dxa"/>
          </w:tblCellMar>
        </w:tblPrEx>
        <w:trPr>
          <w:trHeight w:val="90" w:hRule="atLeast"/>
        </w:trPr>
        <w:tc>
          <w:tcPr>
            <w:tcW w:w="1115" w:type="dxa"/>
            <w:tcBorders>
              <w:top w:val="single" w:color="auto" w:sz="4" w:space="0"/>
              <w:left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4171" w:type="dxa"/>
            <w:tcBorders>
              <w:top w:val="single" w:color="auto" w:sz="4" w:space="0"/>
              <w:left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开标时间和地点</w:t>
            </w:r>
          </w:p>
        </w:tc>
        <w:tc>
          <w:tcPr>
            <w:tcW w:w="4171" w:type="dxa"/>
            <w:tcBorders>
              <w:top w:val="single" w:color="auto" w:sz="4" w:space="0"/>
              <w:left w:val="single" w:color="auto" w:sz="4" w:space="0"/>
              <w:right w:val="single" w:color="auto" w:sz="4" w:space="0"/>
            </w:tcBorders>
            <w:noWrap w:val="0"/>
            <w:vAlign w:val="center"/>
          </w:tcPr>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开标时间：同投标截止时间</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开标地点：</w:t>
            </w:r>
            <w:r>
              <w:rPr>
                <w:rFonts w:hint="eastAsia" w:ascii="宋体" w:hAnsi="宋体" w:eastAsia="宋体" w:cs="宋体"/>
                <w:sz w:val="21"/>
                <w:szCs w:val="21"/>
                <w:highlight w:val="none"/>
                <w:lang w:val="en-US" w:eastAsia="zh-CN"/>
              </w:rPr>
              <w:t>陕西省西安市高新区丈八一路1号汇鑫中心D座2206室陕西德勤招标有限公司第一会议室</w:t>
            </w:r>
          </w:p>
        </w:tc>
      </w:tr>
      <w:tr>
        <w:tblPrEx>
          <w:tblCellMar>
            <w:top w:w="0" w:type="dxa"/>
            <w:left w:w="108" w:type="dxa"/>
            <w:bottom w:w="0" w:type="dxa"/>
            <w:right w:w="108" w:type="dxa"/>
          </w:tblCellMar>
        </w:tblPrEx>
        <w:trPr>
          <w:trHeight w:val="880" w:hRule="atLeast"/>
        </w:trPr>
        <w:tc>
          <w:tcPr>
            <w:tcW w:w="1115" w:type="dxa"/>
            <w:tcBorders>
              <w:top w:val="single" w:color="auto" w:sz="4" w:space="0"/>
              <w:left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6.1.1</w:t>
            </w:r>
          </w:p>
        </w:tc>
        <w:tc>
          <w:tcPr>
            <w:tcW w:w="4171" w:type="dxa"/>
            <w:tcBorders>
              <w:top w:val="single" w:color="auto" w:sz="4" w:space="0"/>
              <w:left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评标委员会的组建</w:t>
            </w:r>
          </w:p>
        </w:tc>
        <w:tc>
          <w:tcPr>
            <w:tcW w:w="4171" w:type="dxa"/>
            <w:tcBorders>
              <w:top w:val="single" w:color="auto" w:sz="4" w:space="0"/>
              <w:left w:val="single" w:color="auto" w:sz="4" w:space="0"/>
              <w:right w:val="single" w:color="auto" w:sz="4" w:space="0"/>
            </w:tcBorders>
            <w:noWrap w:val="0"/>
            <w:vAlign w:val="center"/>
          </w:tcPr>
          <w:p>
            <w:pPr>
              <w:spacing w:line="440" w:lineRule="exact"/>
              <w:outlineLvl w:val="9"/>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评标委员会构成：</w:t>
            </w:r>
            <w:r>
              <w:rPr>
                <w:rFonts w:hint="eastAsia" w:ascii="宋体" w:hAnsi="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rPr>
              <w:t>人</w:t>
            </w:r>
          </w:p>
        </w:tc>
      </w:tr>
      <w:tr>
        <w:tblPrEx>
          <w:tblCellMar>
            <w:top w:w="0" w:type="dxa"/>
            <w:left w:w="108" w:type="dxa"/>
            <w:bottom w:w="0" w:type="dxa"/>
            <w:right w:w="108" w:type="dxa"/>
          </w:tblCellMar>
        </w:tblPrEx>
        <w:trPr>
          <w:trHeight w:val="880" w:hRule="atLeast"/>
        </w:trPr>
        <w:tc>
          <w:tcPr>
            <w:tcW w:w="1115" w:type="dxa"/>
            <w:tcBorders>
              <w:top w:val="single" w:color="auto" w:sz="4" w:space="0"/>
              <w:left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7.1</w:t>
            </w:r>
          </w:p>
        </w:tc>
        <w:tc>
          <w:tcPr>
            <w:tcW w:w="4171" w:type="dxa"/>
            <w:tcBorders>
              <w:top w:val="single" w:color="auto" w:sz="4" w:space="0"/>
              <w:left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是否授权评标委员会确定中标人</w:t>
            </w:r>
          </w:p>
        </w:tc>
        <w:tc>
          <w:tcPr>
            <w:tcW w:w="4171" w:type="dxa"/>
            <w:tcBorders>
              <w:top w:val="single" w:color="auto" w:sz="4" w:space="0"/>
              <w:left w:val="single" w:color="auto" w:sz="4" w:space="0"/>
              <w:right w:val="single" w:color="auto" w:sz="4" w:space="0"/>
            </w:tcBorders>
            <w:noWrap w:val="0"/>
            <w:vAlign w:val="center"/>
          </w:tcPr>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□是</w:t>
            </w:r>
          </w:p>
          <w:p>
            <w:pPr>
              <w:spacing w:line="440" w:lineRule="exact"/>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否，推荐的中标候选人数：</w:t>
            </w:r>
            <w:r>
              <w:rPr>
                <w:rFonts w:hint="eastAsia" w:ascii="宋体" w:hAnsi="宋体" w:eastAsia="宋体" w:cs="宋体"/>
                <w:sz w:val="21"/>
                <w:szCs w:val="21"/>
                <w:highlight w:val="none"/>
                <w:lang w:val="en-US" w:eastAsia="zh-CN"/>
              </w:rPr>
              <w:t>3个</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7.3.1</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履约担保</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履约担保的形式：</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基本账户开具的银行保函</w:t>
            </w:r>
          </w:p>
          <w:p>
            <w:pPr>
              <w:spacing w:line="440" w:lineRule="exac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履约担保的金额：</w:t>
            </w:r>
            <w:r>
              <w:rPr>
                <w:rFonts w:hint="eastAsia" w:ascii="宋体" w:hAnsi="宋体" w:eastAsia="宋体" w:cs="宋体"/>
                <w:color w:val="auto"/>
                <w:sz w:val="21"/>
                <w:szCs w:val="21"/>
                <w:highlight w:val="none"/>
              </w:rPr>
              <w:t>担保金额为合同价</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tc>
      </w:tr>
      <w:tr>
        <w:tblPrEx>
          <w:tblCellMar>
            <w:top w:w="0" w:type="dxa"/>
            <w:left w:w="108" w:type="dxa"/>
            <w:bottom w:w="0" w:type="dxa"/>
            <w:right w:w="108" w:type="dxa"/>
          </w:tblCellMar>
        </w:tblPrEx>
        <w:tc>
          <w:tcPr>
            <w:tcW w:w="9457"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b/>
                <w:sz w:val="21"/>
                <w:szCs w:val="21"/>
                <w:highlight w:val="none"/>
              </w:rPr>
            </w:pP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10</w:t>
            </w:r>
          </w:p>
        </w:tc>
        <w:tc>
          <w:tcPr>
            <w:tcW w:w="8342"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需要补充的其他内容</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10.1</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120" w:line="400" w:lineRule="exact"/>
              <w:ind w:left="-2" w:leftChars="-1" w:firstLine="1" w:firstLineChars="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最高投标限价</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120" w:line="400" w:lineRule="exact"/>
              <w:ind w:left="-2" w:leftChars="-1" w:firstLine="1" w:firstLineChars="0"/>
              <w:jc w:val="left"/>
              <w:outlineLvl w:val="9"/>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本项目最高限价为：</w:t>
            </w:r>
          </w:p>
          <w:p>
            <w:pPr>
              <w:autoSpaceDE w:val="0"/>
              <w:autoSpaceDN w:val="0"/>
              <w:spacing w:after="120" w:line="400" w:lineRule="exact"/>
              <w:ind w:left="-2" w:leftChars="-1" w:firstLine="1" w:firstLineChars="0"/>
              <w:jc w:val="left"/>
              <w:outlineLvl w:val="9"/>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大写（人民币）：</w:t>
            </w:r>
            <w:r>
              <w:rPr>
                <w:rFonts w:hint="eastAsia" w:ascii="宋体" w:hAnsi="宋体" w:cs="宋体"/>
                <w:color w:val="auto"/>
                <w:kern w:val="0"/>
                <w:sz w:val="21"/>
                <w:szCs w:val="21"/>
                <w:highlight w:val="none"/>
                <w:lang w:val="en-US" w:eastAsia="zh-CN"/>
              </w:rPr>
              <w:t>陆佰叁拾捌万玖仟伍佰叁拾伍元壹角</w:t>
            </w:r>
          </w:p>
          <w:p>
            <w:pPr>
              <w:autoSpaceDE w:val="0"/>
              <w:autoSpaceDN w:val="0"/>
              <w:spacing w:after="120" w:line="400" w:lineRule="exact"/>
              <w:ind w:left="-2" w:leftChars="-1" w:firstLine="1" w:firstLineChars="0"/>
              <w:jc w:val="left"/>
              <w:outlineLvl w:val="9"/>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小写（人民币）：</w:t>
            </w:r>
            <w:r>
              <w:rPr>
                <w:rFonts w:hint="eastAsia" w:ascii="宋体" w:hAnsi="宋体" w:cs="宋体"/>
                <w:color w:val="auto"/>
                <w:kern w:val="0"/>
                <w:sz w:val="21"/>
                <w:szCs w:val="21"/>
                <w:highlight w:val="none"/>
                <w:lang w:val="en-US" w:eastAsia="zh-CN"/>
              </w:rPr>
              <w:t>6,389,535.1元</w:t>
            </w:r>
          </w:p>
          <w:p>
            <w:pPr>
              <w:autoSpaceDE w:val="0"/>
              <w:autoSpaceDN w:val="0"/>
              <w:spacing w:after="120" w:line="400" w:lineRule="exact"/>
              <w:ind w:left="-2" w:leftChars="-1" w:firstLine="1" w:firstLineChars="0"/>
              <w:jc w:val="left"/>
              <w:outlineLvl w:val="9"/>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低于最高限价的报价为有效报价。</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r>
              <w:rPr>
                <w:rFonts w:hint="eastAsia" w:ascii="宋体" w:hAnsi="宋体" w:cs="宋体"/>
                <w:sz w:val="21"/>
                <w:szCs w:val="21"/>
                <w:highlight w:val="none"/>
                <w:lang w:val="en-US" w:eastAsia="zh-CN"/>
              </w:rPr>
              <w:t>2</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120" w:line="400" w:lineRule="exact"/>
              <w:ind w:left="-2" w:leftChars="-1" w:firstLine="1" w:firstLineChars="0"/>
              <w:jc w:val="center"/>
              <w:outlineLvl w:val="9"/>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rPr>
              <w:t>合  同</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120" w:line="400" w:lineRule="exact"/>
              <w:ind w:left="-2" w:leftChars="-1" w:firstLine="1" w:firstLineChars="0"/>
              <w:jc w:val="left"/>
              <w:outlineLvl w:val="9"/>
              <w:rPr>
                <w:rFonts w:hint="eastAsia" w:ascii="宋体" w:hAnsi="宋体" w:eastAsia="宋体" w:cs="宋体"/>
                <w:sz w:val="21"/>
                <w:szCs w:val="21"/>
                <w:highlight w:val="none"/>
              </w:rPr>
            </w:pPr>
            <w:r>
              <w:rPr>
                <w:rFonts w:hint="eastAsia" w:ascii="宋体" w:hAnsi="宋体" w:cs="宋体"/>
                <w:color w:val="auto"/>
                <w:kern w:val="0"/>
                <w:sz w:val="21"/>
                <w:szCs w:val="21"/>
                <w:highlight w:val="none"/>
                <w:lang w:eastAsia="zh-CN"/>
              </w:rPr>
              <w:t>中标单位</w:t>
            </w:r>
            <w:r>
              <w:rPr>
                <w:rFonts w:hint="eastAsia" w:ascii="宋体" w:hAnsi="宋体" w:eastAsia="宋体" w:cs="宋体"/>
                <w:color w:val="auto"/>
                <w:kern w:val="0"/>
                <w:sz w:val="21"/>
                <w:szCs w:val="21"/>
                <w:highlight w:val="none"/>
              </w:rPr>
              <w:t>自中标通知书发出之日起30天内主动与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或</w:t>
            </w:r>
            <w:r>
              <w:rPr>
                <w:rFonts w:hint="eastAsia" w:ascii="宋体" w:hAnsi="宋体" w:eastAsia="宋体" w:cs="宋体"/>
                <w:color w:val="auto"/>
                <w:kern w:val="0"/>
                <w:sz w:val="21"/>
                <w:szCs w:val="21"/>
                <w:highlight w:val="none"/>
                <w:lang w:eastAsia="zh-CN"/>
              </w:rPr>
              <w:t>采购代理机构</w:t>
            </w:r>
            <w:r>
              <w:rPr>
                <w:rFonts w:hint="eastAsia" w:ascii="宋体" w:hAnsi="宋体" w:eastAsia="宋体" w:cs="宋体"/>
                <w:color w:val="auto"/>
                <w:kern w:val="0"/>
                <w:sz w:val="21"/>
                <w:szCs w:val="21"/>
                <w:highlight w:val="none"/>
              </w:rPr>
              <w:t>联系签订合同事宜</w:t>
            </w:r>
            <w:r>
              <w:rPr>
                <w:rFonts w:hint="eastAsia" w:ascii="宋体" w:hAnsi="宋体" w:cs="宋体"/>
                <w:color w:val="auto"/>
                <w:kern w:val="0"/>
                <w:sz w:val="21"/>
                <w:szCs w:val="21"/>
                <w:highlight w:val="none"/>
                <w:lang w:val="en-US" w:eastAsia="zh-CN"/>
              </w:rPr>
              <w:t>.</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r>
              <w:rPr>
                <w:rFonts w:hint="eastAsia" w:ascii="宋体" w:hAnsi="宋体" w:cs="宋体"/>
                <w:sz w:val="21"/>
                <w:szCs w:val="21"/>
                <w:highlight w:val="none"/>
                <w:lang w:val="en-US" w:eastAsia="zh-CN"/>
              </w:rPr>
              <w:t>.3</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120" w:line="400" w:lineRule="exact"/>
              <w:ind w:left="-2" w:leftChars="-1" w:firstLine="1" w:firstLineChars="0"/>
              <w:jc w:val="center"/>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zh-CN"/>
              </w:rPr>
              <w:t>中标服务费</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ind w:left="0" w:leftChars="0" w:firstLine="0" w:firstLineChars="0"/>
              <w:jc w:val="left"/>
              <w:outlineLvl w:val="9"/>
              <w:rPr>
                <w:rFonts w:hint="eastAsia"/>
                <w:lang w:val="zh-CN"/>
              </w:rPr>
            </w:pPr>
            <w:r>
              <w:rPr>
                <w:rFonts w:hint="eastAsia"/>
                <w:lang w:val="zh-CN"/>
              </w:rPr>
              <w:t>1、中标供应商在领取中标通知书前，须向采购代理机构一次性支付</w:t>
            </w:r>
            <w:r>
              <w:rPr>
                <w:rFonts w:hint="eastAsia"/>
                <w:lang w:val="en-US" w:eastAsia="zh-CN"/>
              </w:rPr>
              <w:t>采购</w:t>
            </w:r>
            <w:r>
              <w:rPr>
                <w:rFonts w:hint="eastAsia"/>
                <w:lang w:val="zh-CN"/>
              </w:rPr>
              <w:t>代理服务费。</w:t>
            </w:r>
          </w:p>
          <w:p>
            <w:pPr>
              <w:tabs>
                <w:tab w:val="left" w:pos="740"/>
              </w:tabs>
              <w:autoSpaceDE w:val="0"/>
              <w:autoSpaceDN w:val="0"/>
              <w:spacing w:after="120" w:line="400" w:lineRule="exact"/>
              <w:ind w:left="-2" w:leftChars="-1" w:firstLine="1"/>
              <w:jc w:val="left"/>
              <w:outlineLvl w:val="9"/>
              <w:rPr>
                <w:rFonts w:hint="default"/>
                <w:lang w:val="en-US"/>
              </w:rPr>
            </w:pPr>
            <w:r>
              <w:rPr>
                <w:rFonts w:hint="eastAsia"/>
                <w:lang w:val="zh-CN"/>
              </w:rPr>
              <w:t>2、</w:t>
            </w:r>
            <w:bookmarkStart w:id="38" w:name="_Toc438"/>
            <w:r>
              <w:rPr>
                <w:rFonts w:hint="default"/>
                <w:lang w:val="en-US"/>
              </w:rPr>
              <w:t>采购代理服务费按以下标准计取：</w:t>
            </w:r>
            <w:bookmarkEnd w:id="38"/>
          </w:p>
          <w:tbl>
            <w:tblPr>
              <w:tblStyle w:val="35"/>
              <w:tblW w:w="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740"/>
                    </w:tabs>
                    <w:autoSpaceDE w:val="0"/>
                    <w:autoSpaceDN w:val="0"/>
                    <w:spacing w:after="120" w:line="400" w:lineRule="exact"/>
                    <w:ind w:left="-2" w:leftChars="-1" w:firstLine="1"/>
                    <w:jc w:val="left"/>
                    <w:outlineLvl w:val="9"/>
                    <w:rPr>
                      <w:rFonts w:hint="default"/>
                      <w:lang w:val="en-US"/>
                    </w:rPr>
                  </w:pPr>
                  <w:r>
                    <w:rPr>
                      <w:rFonts w:hint="default"/>
                      <w:lang w:val="en-US" w:eastAsia="zh-CN"/>
                    </w:rPr>
                    <w:t>成交</w:t>
                  </w:r>
                  <w:r>
                    <w:rPr>
                      <w:rFonts w:hint="default"/>
                      <w:lang w:val="en-US"/>
                    </w:rPr>
                    <w:t>金额（万元）</w:t>
                  </w:r>
                </w:p>
              </w:tc>
              <w:tc>
                <w:tcPr>
                  <w:tcW w:w="1883" w:type="dxa"/>
                  <w:noWrap w:val="0"/>
                  <w:vAlign w:val="center"/>
                </w:tcPr>
                <w:p>
                  <w:pPr>
                    <w:tabs>
                      <w:tab w:val="left" w:pos="740"/>
                    </w:tabs>
                    <w:autoSpaceDE w:val="0"/>
                    <w:autoSpaceDN w:val="0"/>
                    <w:spacing w:after="120" w:line="400" w:lineRule="exact"/>
                    <w:ind w:left="-2" w:leftChars="-1" w:firstLine="1"/>
                    <w:jc w:val="left"/>
                    <w:outlineLvl w:val="9"/>
                    <w:rPr>
                      <w:rFonts w:hint="default"/>
                      <w:lang w:val="en-US"/>
                    </w:rPr>
                  </w:pPr>
                  <w:r>
                    <w:rPr>
                      <w:rFonts w:hint="default"/>
                      <w:lang w:val="en-US"/>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740"/>
                    </w:tabs>
                    <w:autoSpaceDE w:val="0"/>
                    <w:autoSpaceDN w:val="0"/>
                    <w:spacing w:after="120" w:line="400" w:lineRule="exact"/>
                    <w:ind w:left="-2" w:leftChars="-1" w:firstLine="1"/>
                    <w:jc w:val="left"/>
                    <w:outlineLvl w:val="9"/>
                    <w:rPr>
                      <w:rFonts w:hint="default"/>
                      <w:lang w:val="en-US"/>
                    </w:rPr>
                  </w:pPr>
                  <w:r>
                    <w:rPr>
                      <w:rFonts w:hint="default"/>
                      <w:lang w:val="en-US"/>
                    </w:rPr>
                    <w:t>100以下</w:t>
                  </w:r>
                </w:p>
              </w:tc>
              <w:tc>
                <w:tcPr>
                  <w:tcW w:w="1883" w:type="dxa"/>
                  <w:noWrap w:val="0"/>
                  <w:vAlign w:val="center"/>
                </w:tcPr>
                <w:p>
                  <w:pPr>
                    <w:tabs>
                      <w:tab w:val="left" w:pos="740"/>
                    </w:tabs>
                    <w:autoSpaceDE w:val="0"/>
                    <w:autoSpaceDN w:val="0"/>
                    <w:spacing w:after="120" w:line="400" w:lineRule="exact"/>
                    <w:ind w:left="-2" w:leftChars="-1" w:firstLine="1"/>
                    <w:jc w:val="left"/>
                    <w:outlineLvl w:val="9"/>
                    <w:rPr>
                      <w:rFonts w:hint="default"/>
                      <w:lang w:val="en-US"/>
                    </w:rPr>
                  </w:pPr>
                  <w:r>
                    <w:rPr>
                      <w:rFonts w:hint="default"/>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740"/>
                    </w:tabs>
                    <w:autoSpaceDE w:val="0"/>
                    <w:autoSpaceDN w:val="0"/>
                    <w:spacing w:after="120" w:line="400" w:lineRule="exact"/>
                    <w:ind w:left="-2" w:leftChars="-1" w:firstLine="1"/>
                    <w:jc w:val="left"/>
                    <w:outlineLvl w:val="9"/>
                    <w:rPr>
                      <w:rFonts w:hint="default" w:eastAsia="宋体"/>
                      <w:lang w:val="en-US" w:eastAsia="zh-CN"/>
                    </w:rPr>
                  </w:pPr>
                  <w:bookmarkStart w:id="39" w:name="_Toc31526"/>
                  <w:r>
                    <w:rPr>
                      <w:rFonts w:hint="eastAsia"/>
                      <w:lang w:val="en-US" w:eastAsia="zh-CN"/>
                    </w:rPr>
                    <w:t>100~500</w:t>
                  </w:r>
                </w:p>
              </w:tc>
              <w:tc>
                <w:tcPr>
                  <w:tcW w:w="1883" w:type="dxa"/>
                  <w:noWrap w:val="0"/>
                  <w:vAlign w:val="center"/>
                </w:tcPr>
                <w:p>
                  <w:pPr>
                    <w:tabs>
                      <w:tab w:val="left" w:pos="740"/>
                    </w:tabs>
                    <w:autoSpaceDE w:val="0"/>
                    <w:autoSpaceDN w:val="0"/>
                    <w:spacing w:after="120" w:line="400" w:lineRule="exact"/>
                    <w:ind w:left="-2" w:leftChars="-1" w:firstLine="1"/>
                    <w:jc w:val="left"/>
                    <w:outlineLvl w:val="9"/>
                    <w:rPr>
                      <w:rFonts w:hint="default" w:eastAsia="宋体"/>
                      <w:lang w:val="en-US" w:eastAsia="zh-CN"/>
                    </w:rPr>
                  </w:pPr>
                  <w:r>
                    <w:rPr>
                      <w:rFonts w:hint="eastAsia"/>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740"/>
                    </w:tabs>
                    <w:autoSpaceDE w:val="0"/>
                    <w:autoSpaceDN w:val="0"/>
                    <w:spacing w:after="120" w:line="400" w:lineRule="exact"/>
                    <w:ind w:left="-2" w:leftChars="-1" w:firstLine="1"/>
                    <w:jc w:val="left"/>
                    <w:outlineLvl w:val="9"/>
                    <w:rPr>
                      <w:rFonts w:hint="default"/>
                      <w:lang w:val="en-US" w:eastAsia="zh-CN"/>
                    </w:rPr>
                  </w:pPr>
                  <w:r>
                    <w:rPr>
                      <w:rFonts w:hint="eastAsia"/>
                      <w:lang w:val="en-US" w:eastAsia="zh-CN"/>
                    </w:rPr>
                    <w:t>500~1000</w:t>
                  </w:r>
                </w:p>
              </w:tc>
              <w:tc>
                <w:tcPr>
                  <w:tcW w:w="1883" w:type="dxa"/>
                  <w:noWrap w:val="0"/>
                  <w:vAlign w:val="center"/>
                </w:tcPr>
                <w:p>
                  <w:pPr>
                    <w:tabs>
                      <w:tab w:val="left" w:pos="740"/>
                    </w:tabs>
                    <w:autoSpaceDE w:val="0"/>
                    <w:autoSpaceDN w:val="0"/>
                    <w:spacing w:after="120" w:line="400" w:lineRule="exact"/>
                    <w:ind w:left="-2" w:leftChars="-1" w:firstLine="1"/>
                    <w:jc w:val="left"/>
                    <w:outlineLvl w:val="9"/>
                    <w:rPr>
                      <w:rFonts w:hint="default"/>
                      <w:lang w:val="en-US" w:eastAsia="zh-CN"/>
                    </w:rPr>
                  </w:pPr>
                  <w:r>
                    <w:rPr>
                      <w:rFonts w:hint="eastAsia"/>
                      <w:lang w:val="en-US" w:eastAsia="zh-CN"/>
                    </w:rPr>
                    <w:t>0.8%</w:t>
                  </w:r>
                </w:p>
              </w:tc>
            </w:tr>
          </w:tbl>
          <w:p>
            <w:pPr>
              <w:autoSpaceDE w:val="0"/>
              <w:autoSpaceDN w:val="0"/>
              <w:adjustRightInd w:val="0"/>
              <w:snapToGrid w:val="0"/>
              <w:spacing w:line="360" w:lineRule="auto"/>
              <w:ind w:left="0" w:leftChars="0" w:firstLine="0" w:firstLineChars="0"/>
              <w:jc w:val="left"/>
              <w:outlineLvl w:val="9"/>
              <w:rPr>
                <w:rFonts w:hint="eastAsia"/>
              </w:rPr>
            </w:pPr>
            <w:r>
              <w:rPr>
                <w:rFonts w:hint="default"/>
                <w:lang w:val="en-US"/>
              </w:rPr>
              <w:t>注：采购代理服务费收费按差额定率累进法计算。</w:t>
            </w:r>
            <w:bookmarkEnd w:id="39"/>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after="120" w:line="400" w:lineRule="exact"/>
              <w:ind w:left="-109" w:leftChars="-52"/>
              <w:jc w:val="center"/>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4</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120" w:line="400" w:lineRule="exact"/>
              <w:ind w:left="-2" w:leftChars="-1" w:firstLine="1" w:firstLineChars="0"/>
              <w:jc w:val="center"/>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zh-CN"/>
              </w:rPr>
              <w:t>解释权</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tabs>
                <w:tab w:val="left" w:pos="740"/>
              </w:tabs>
              <w:autoSpaceDE w:val="0"/>
              <w:autoSpaceDN w:val="0"/>
              <w:spacing w:after="120" w:line="400" w:lineRule="exact"/>
              <w:ind w:left="-2" w:leftChars="-1" w:firstLine="1" w:firstLineChars="0"/>
              <w:jc w:val="left"/>
              <w:outlineLvl w:val="9"/>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招标文件的最终解释权归</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人和</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代理机构。</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after="120" w:line="400" w:lineRule="exact"/>
              <w:ind w:left="-109" w:leftChars="-52"/>
              <w:jc w:val="center"/>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10.5</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120" w:line="400" w:lineRule="exact"/>
              <w:ind w:left="-2" w:leftChars="-1" w:firstLine="1" w:firstLineChars="0"/>
              <w:jc w:val="center"/>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zh-CN"/>
              </w:rPr>
              <w:t>已报价工程量清单编制软件</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tabs>
                <w:tab w:val="left" w:pos="740"/>
              </w:tabs>
              <w:autoSpaceDE w:val="0"/>
              <w:autoSpaceDN w:val="0"/>
              <w:spacing w:after="120" w:line="400" w:lineRule="exact"/>
              <w:ind w:left="-2" w:leftChars="-1" w:firstLine="1" w:firstLineChars="0"/>
              <w:jc w:val="left"/>
              <w:outlineLvl w:val="9"/>
              <w:rPr>
                <w:rFonts w:hint="eastAsia" w:ascii="宋体" w:hAnsi="宋体"/>
                <w:szCs w:val="21"/>
                <w:highlight w:val="none"/>
              </w:rPr>
            </w:pPr>
            <w:r>
              <w:rPr>
                <w:rFonts w:hint="eastAsia" w:ascii="宋体" w:hAnsi="宋体" w:cs="宋体"/>
                <w:color w:val="auto"/>
                <w:sz w:val="21"/>
                <w:szCs w:val="21"/>
                <w:highlight w:val="none"/>
                <w:lang w:eastAsia="zh-CN"/>
              </w:rPr>
              <w:t>各投标供应商在编制已报价工程量清单时统一</w:t>
            </w:r>
            <w:r>
              <w:rPr>
                <w:rFonts w:hint="eastAsia" w:ascii="宋体" w:hAnsi="宋体" w:eastAsia="宋体" w:cs="宋体"/>
                <w:color w:val="auto"/>
                <w:sz w:val="21"/>
                <w:szCs w:val="21"/>
                <w:highlight w:val="none"/>
              </w:rPr>
              <w:t>使用广联达云计价软件</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after="120" w:line="400" w:lineRule="exact"/>
              <w:ind w:left="-109" w:leftChars="-52"/>
              <w:jc w:val="center"/>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10.6</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120" w:line="400" w:lineRule="exact"/>
              <w:ind w:left="-2" w:leftChars="-1" w:firstLine="1" w:firstLineChars="0"/>
              <w:jc w:val="center"/>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行业划分</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outlineLvl w:val="9"/>
              <w:rPr>
                <w:rFonts w:hint="eastAsia" w:ascii="宋体" w:hAnsi="宋体"/>
                <w:szCs w:val="21"/>
                <w:highlight w:val="none"/>
              </w:rPr>
            </w:pPr>
            <w:r>
              <w:rPr>
                <w:rFonts w:hint="eastAsia" w:ascii="宋体" w:hAnsi="宋体"/>
                <w:szCs w:val="21"/>
                <w:highlight w:val="none"/>
              </w:rPr>
              <w:t>本项目采购标的对应的中小企业划分标准所属行业为建筑业。</w:t>
            </w:r>
          </w:p>
          <w:p>
            <w:pPr>
              <w:autoSpaceDE w:val="0"/>
              <w:autoSpaceDN w:val="0"/>
              <w:adjustRightInd w:val="0"/>
              <w:snapToGrid w:val="0"/>
              <w:spacing w:line="360" w:lineRule="auto"/>
              <w:outlineLvl w:val="9"/>
              <w:rPr>
                <w:rFonts w:hint="eastAsia" w:ascii="宋体" w:hAnsi="宋体" w:cs="宋体"/>
                <w:color w:val="auto"/>
                <w:sz w:val="21"/>
                <w:szCs w:val="21"/>
                <w:highlight w:val="none"/>
                <w:lang w:eastAsia="zh-CN"/>
              </w:rPr>
            </w:pPr>
            <w:r>
              <w:rPr>
                <w:rFonts w:hint="eastAsia" w:ascii="宋体" w:hAnsi="宋体"/>
                <w:szCs w:val="21"/>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after="120" w:line="400" w:lineRule="exact"/>
              <w:ind w:left="-109" w:leftChars="-52"/>
              <w:jc w:val="center"/>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10.7</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120" w:line="400" w:lineRule="exact"/>
              <w:ind w:left="-2" w:leftChars="-1" w:firstLine="1" w:firstLineChars="0"/>
              <w:jc w:val="center"/>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资格审查原件</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8595"/>
              </w:tabs>
              <w:adjustRightInd w:val="0"/>
              <w:snapToGrid w:val="0"/>
              <w:spacing w:line="360" w:lineRule="auto"/>
              <w:outlineLvl w:val="9"/>
              <w:rPr>
                <w:rFonts w:hint="eastAsia" w:ascii="宋体" w:hAnsi="宋体"/>
                <w:szCs w:val="21"/>
                <w:highlight w:val="none"/>
              </w:rPr>
            </w:pPr>
            <w:r>
              <w:rPr>
                <w:rFonts w:hint="eastAsia" w:ascii="宋体" w:hAnsi="宋体"/>
                <w:szCs w:val="21"/>
                <w:highlight w:val="none"/>
                <w:lang w:eastAsia="zh-CN"/>
              </w:rPr>
              <w:t>投标供应商</w:t>
            </w:r>
            <w:r>
              <w:rPr>
                <w:rFonts w:hint="eastAsia" w:ascii="宋体" w:hAnsi="宋体"/>
                <w:szCs w:val="21"/>
                <w:highlight w:val="none"/>
              </w:rPr>
              <w:t>递交</w:t>
            </w:r>
            <w:r>
              <w:rPr>
                <w:rFonts w:hint="eastAsia" w:ascii="宋体" w:hAnsi="宋体"/>
                <w:szCs w:val="21"/>
                <w:highlight w:val="none"/>
                <w:lang w:val="en-US" w:eastAsia="zh-CN"/>
              </w:rPr>
              <w:t>响应</w:t>
            </w:r>
            <w:r>
              <w:rPr>
                <w:rFonts w:hint="eastAsia" w:ascii="宋体" w:hAnsi="宋体"/>
                <w:szCs w:val="21"/>
                <w:highlight w:val="none"/>
              </w:rPr>
              <w:t>文件时，必须同时提交以下资格证明文件证明材料原件，以证明其资格</w:t>
            </w:r>
            <w:r>
              <w:rPr>
                <w:rFonts w:hint="eastAsia" w:ascii="宋体" w:hAnsi="宋体"/>
                <w:szCs w:val="21"/>
                <w:highlight w:val="none"/>
                <w:lang w:eastAsia="zh-CN"/>
              </w:rPr>
              <w:t>，</w:t>
            </w:r>
            <w:r>
              <w:rPr>
                <w:rFonts w:hint="eastAsia" w:ascii="宋体" w:hAnsi="宋体"/>
                <w:szCs w:val="21"/>
                <w:highlight w:val="none"/>
                <w:lang w:val="en-US" w:eastAsia="zh-CN"/>
              </w:rPr>
              <w:t>资格审查结束后退还</w:t>
            </w:r>
            <w:r>
              <w:rPr>
                <w:rFonts w:hint="eastAsia" w:ascii="宋体" w:hAnsi="宋体"/>
                <w:szCs w:val="21"/>
                <w:highlight w:val="none"/>
              </w:rPr>
              <w:t>：</w:t>
            </w:r>
          </w:p>
          <w:p>
            <w:pPr>
              <w:tabs>
                <w:tab w:val="left" w:pos="900"/>
                <w:tab w:val="left" w:pos="8595"/>
              </w:tabs>
              <w:adjustRightInd w:val="0"/>
              <w:snapToGrid w:val="0"/>
              <w:spacing w:line="360" w:lineRule="auto"/>
              <w:outlineLvl w:val="9"/>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企业法人</w:t>
            </w:r>
            <w:r>
              <w:rPr>
                <w:rFonts w:hint="eastAsia" w:ascii="宋体" w:hAnsi="宋体"/>
                <w:szCs w:val="21"/>
                <w:highlight w:val="none"/>
                <w:lang w:eastAsia="zh-CN"/>
              </w:rPr>
              <w:t>、</w:t>
            </w:r>
            <w:r>
              <w:rPr>
                <w:rFonts w:hint="eastAsia" w:ascii="宋体" w:hAnsi="宋体"/>
                <w:szCs w:val="21"/>
                <w:highlight w:val="none"/>
                <w:lang w:val="en-US" w:eastAsia="zh-CN"/>
              </w:rPr>
              <w:t>其他组织</w:t>
            </w:r>
            <w:r>
              <w:rPr>
                <w:rFonts w:hint="eastAsia" w:ascii="宋体" w:hAnsi="宋体"/>
                <w:szCs w:val="21"/>
                <w:highlight w:val="none"/>
              </w:rPr>
              <w:t>营业执照</w:t>
            </w:r>
            <w:r>
              <w:rPr>
                <w:rFonts w:hint="eastAsia" w:ascii="宋体" w:hAnsi="宋体"/>
                <w:szCs w:val="21"/>
                <w:highlight w:val="none"/>
                <w:lang w:val="en-US" w:eastAsia="zh-CN"/>
              </w:rPr>
              <w:t>副本或</w:t>
            </w:r>
            <w:r>
              <w:rPr>
                <w:rFonts w:hint="eastAsia" w:ascii="宋体" w:hAnsi="宋体"/>
                <w:szCs w:val="21"/>
                <w:highlight w:val="none"/>
              </w:rPr>
              <w:t>事业单位法人证书</w:t>
            </w:r>
            <w:r>
              <w:rPr>
                <w:rFonts w:hint="eastAsia" w:ascii="宋体" w:hAnsi="宋体"/>
                <w:szCs w:val="21"/>
                <w:highlight w:val="none"/>
                <w:lang w:eastAsia="zh-CN"/>
              </w:rPr>
              <w:t>，自然人提供身份证明</w:t>
            </w:r>
            <w:r>
              <w:rPr>
                <w:rFonts w:hint="eastAsia" w:ascii="宋体" w:hAnsi="宋体"/>
                <w:szCs w:val="21"/>
                <w:highlight w:val="none"/>
              </w:rPr>
              <w:t>；</w:t>
            </w:r>
          </w:p>
          <w:p>
            <w:pPr>
              <w:tabs>
                <w:tab w:val="left" w:pos="900"/>
                <w:tab w:val="left" w:pos="8595"/>
              </w:tabs>
              <w:adjustRightInd w:val="0"/>
              <w:snapToGrid w:val="0"/>
              <w:spacing w:line="360" w:lineRule="auto"/>
              <w:outlineLvl w:val="9"/>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授权代表身份证（法定代表人直接</w:t>
            </w:r>
            <w:r>
              <w:rPr>
                <w:rFonts w:hint="eastAsia" w:ascii="宋体" w:hAnsi="宋体"/>
                <w:szCs w:val="21"/>
                <w:highlight w:val="none"/>
                <w:lang w:eastAsia="zh-CN"/>
              </w:rPr>
              <w:t>参加</w:t>
            </w:r>
            <w:r>
              <w:rPr>
                <w:rFonts w:hint="eastAsia" w:ascii="宋体" w:hAnsi="宋体"/>
                <w:szCs w:val="21"/>
                <w:highlight w:val="none"/>
                <w:lang w:val="en-US" w:eastAsia="zh-CN"/>
              </w:rPr>
              <w:t>开标</w:t>
            </w:r>
            <w:r>
              <w:rPr>
                <w:rFonts w:hint="eastAsia" w:ascii="宋体" w:hAnsi="宋体"/>
                <w:szCs w:val="21"/>
                <w:highlight w:val="none"/>
                <w:lang w:eastAsia="zh-CN"/>
              </w:rPr>
              <w:t>会议</w:t>
            </w:r>
            <w:r>
              <w:rPr>
                <w:rFonts w:hint="eastAsia" w:ascii="宋体" w:hAnsi="宋体"/>
                <w:szCs w:val="21"/>
                <w:highlight w:val="none"/>
              </w:rPr>
              <w:t>提交法定代表人身份证）。</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after="120" w:line="400" w:lineRule="exact"/>
              <w:ind w:left="-109" w:leftChars="-52"/>
              <w:jc w:val="center"/>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10.8</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120" w:line="400" w:lineRule="exact"/>
              <w:ind w:left="-2" w:leftChars="-1" w:firstLine="1" w:firstLineChars="0"/>
              <w:jc w:val="center"/>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评审证明材料</w:t>
            </w:r>
          </w:p>
          <w:p>
            <w:pPr>
              <w:autoSpaceDE w:val="0"/>
              <w:autoSpaceDN w:val="0"/>
              <w:spacing w:after="120" w:line="400" w:lineRule="exact"/>
              <w:ind w:left="-2" w:leftChars="-1" w:firstLine="1" w:firstLineChars="0"/>
              <w:jc w:val="center"/>
              <w:outlineLvl w:val="9"/>
              <w:rPr>
                <w:rFonts w:hint="eastAsia" w:ascii="宋体" w:hAnsi="宋体" w:cs="宋体"/>
                <w:color w:val="auto"/>
                <w:sz w:val="21"/>
                <w:szCs w:val="21"/>
                <w:highlight w:val="none"/>
                <w:lang w:val="en-US" w:eastAsia="zh-CN"/>
              </w:rPr>
            </w:pPr>
            <w:r>
              <w:rPr>
                <w:rFonts w:hint="eastAsia" w:ascii="宋体" w:hAnsi="宋体"/>
                <w:szCs w:val="21"/>
                <w:highlight w:val="none"/>
                <w:lang w:val="en-US" w:eastAsia="zh-CN"/>
              </w:rPr>
              <w:t>（评标办法无相关要求则无需提供）</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8595"/>
              </w:tabs>
              <w:adjustRightInd w:val="0"/>
              <w:snapToGrid w:val="0"/>
              <w:spacing w:line="360" w:lineRule="auto"/>
              <w:outlineLvl w:val="9"/>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评审证明材料”按照评标办法要求内容组成，封口处应有供应商法定代表人或授权人代表签字及供应商公章。封皮上写明采购项目名称、采购项目编号、供应商名称、标段（如果有）、包号（如果有），并注明“评审证明材料”字样及“清单目录”，投标时递交，评审结束后退还。</w:t>
            </w:r>
          </w:p>
        </w:tc>
      </w:tr>
      <w:tr>
        <w:tblPrEx>
          <w:tblCellMar>
            <w:top w:w="0" w:type="dxa"/>
            <w:left w:w="108" w:type="dxa"/>
            <w:bottom w:w="0" w:type="dxa"/>
            <w:right w:w="108" w:type="dxa"/>
          </w:tblCellMar>
        </w:tblPrEx>
        <w:trPr>
          <w:trHeight w:val="90" w:hRule="atLeast"/>
        </w:trPr>
        <w:tc>
          <w:tcPr>
            <w:tcW w:w="1115" w:type="dxa"/>
            <w:tcBorders>
              <w:top w:val="single" w:color="auto" w:sz="4" w:space="0"/>
              <w:left w:val="single" w:color="auto" w:sz="4" w:space="0"/>
              <w:bottom w:val="single" w:color="auto" w:sz="4" w:space="0"/>
              <w:right w:val="single" w:color="auto" w:sz="4" w:space="0"/>
            </w:tcBorders>
            <w:noWrap w:val="0"/>
            <w:vAlign w:val="center"/>
          </w:tcPr>
          <w:p>
            <w:pPr>
              <w:spacing w:after="120" w:line="400" w:lineRule="exact"/>
              <w:ind w:left="-109" w:leftChars="-52"/>
              <w:jc w:val="center"/>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10.9</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120" w:line="400" w:lineRule="exact"/>
              <w:ind w:left="-2" w:leftChars="-1" w:firstLine="1" w:firstLineChars="0"/>
              <w:jc w:val="center"/>
              <w:outlineLvl w:val="9"/>
              <w:rPr>
                <w:rFonts w:hint="eastAsia" w:ascii="宋体" w:hAnsi="宋体"/>
                <w:szCs w:val="21"/>
                <w:highlight w:val="none"/>
                <w:lang w:val="en-US" w:eastAsia="zh-CN"/>
              </w:rPr>
            </w:pPr>
            <w:r>
              <w:rPr>
                <w:rFonts w:hint="eastAsia" w:ascii="宋体" w:hAnsi="宋体" w:cs="宋体"/>
                <w:color w:val="auto"/>
                <w:sz w:val="21"/>
                <w:szCs w:val="21"/>
                <w:highlight w:val="none"/>
                <w:lang w:val="en-US" w:eastAsia="zh-CN"/>
              </w:rPr>
              <w:t>暂列金</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tabs>
                <w:tab w:val="left" w:pos="900"/>
                <w:tab w:val="left" w:pos="8595"/>
              </w:tabs>
              <w:adjustRightInd w:val="0"/>
              <w:snapToGrid w:val="0"/>
              <w:spacing w:line="360" w:lineRule="auto"/>
              <w:outlineLvl w:val="9"/>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本项目暂列金：591,516.59元；</w:t>
            </w:r>
          </w:p>
          <w:p>
            <w:pPr>
              <w:tabs>
                <w:tab w:val="left" w:pos="900"/>
                <w:tab w:val="left" w:pos="8595"/>
              </w:tabs>
              <w:adjustRightInd w:val="0"/>
              <w:snapToGrid w:val="0"/>
              <w:spacing w:line="360" w:lineRule="auto"/>
              <w:outlineLvl w:val="9"/>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投标供应商报价时按以上暂列金的金额填报。</w:t>
            </w:r>
            <w:r>
              <w:rPr>
                <w:rFonts w:hint="eastAsia" w:ascii="宋体" w:hAnsi="宋体"/>
                <w:szCs w:val="21"/>
                <w:highlight w:val="none"/>
              </w:rPr>
              <w:t>暂列金是暂定并包括在合同价款中的一笔款项。用于合同签订时尚未确定或者不可预见的所需材料、设备、服务的采购，实施中可能发生的程变更、合同约定调整因素出现时的合同价款调整以及发生的索赔、现场签证确认</w:t>
            </w:r>
            <w:r>
              <w:rPr>
                <w:rFonts w:hint="eastAsia" w:ascii="宋体" w:hAnsi="宋体"/>
                <w:szCs w:val="21"/>
                <w:highlight w:val="none"/>
                <w:lang w:eastAsia="zh-CN"/>
              </w:rPr>
              <w:t>、</w:t>
            </w:r>
            <w:r>
              <w:rPr>
                <w:rFonts w:hint="eastAsia" w:ascii="宋体" w:hAnsi="宋体"/>
                <w:szCs w:val="21"/>
                <w:highlight w:val="none"/>
                <w:lang w:val="en-US" w:eastAsia="zh-CN"/>
              </w:rPr>
              <w:t>基本预备费等</w:t>
            </w:r>
            <w:r>
              <w:rPr>
                <w:rFonts w:hint="eastAsia" w:ascii="宋体" w:hAnsi="宋体"/>
                <w:szCs w:val="21"/>
                <w:highlight w:val="none"/>
              </w:rPr>
              <w:t>费用</w:t>
            </w:r>
            <w:r>
              <w:rPr>
                <w:rFonts w:hint="eastAsia" w:ascii="宋体" w:hAnsi="宋体"/>
                <w:szCs w:val="21"/>
                <w:highlight w:val="none"/>
                <w:lang w:eastAsia="zh-CN"/>
              </w:rPr>
              <w:t>。</w:t>
            </w:r>
          </w:p>
        </w:tc>
      </w:tr>
      <w:tr>
        <w:tblPrEx>
          <w:tblCellMar>
            <w:top w:w="0" w:type="dxa"/>
            <w:left w:w="108" w:type="dxa"/>
            <w:bottom w:w="0" w:type="dxa"/>
            <w:right w:w="108" w:type="dxa"/>
          </w:tblCellMar>
        </w:tblPrEx>
        <w:tc>
          <w:tcPr>
            <w:tcW w:w="1115" w:type="dxa"/>
            <w:tcBorders>
              <w:top w:val="single" w:color="auto" w:sz="4" w:space="0"/>
              <w:left w:val="single" w:color="auto" w:sz="4" w:space="0"/>
              <w:bottom w:val="single" w:color="auto" w:sz="4" w:space="0"/>
              <w:right w:val="single" w:color="auto" w:sz="4" w:space="0"/>
            </w:tcBorders>
            <w:noWrap w:val="0"/>
            <w:vAlign w:val="center"/>
          </w:tcPr>
          <w:p>
            <w:pPr>
              <w:spacing w:after="120" w:line="400" w:lineRule="exact"/>
              <w:ind w:left="-109" w:leftChars="-52"/>
              <w:jc w:val="center"/>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10.10</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120" w:line="400" w:lineRule="exact"/>
              <w:ind w:left="-2" w:leftChars="-1" w:firstLine="1" w:firstLineChars="0"/>
              <w:jc w:val="center"/>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投标文件编制</w:t>
            </w:r>
          </w:p>
        </w:tc>
        <w:tc>
          <w:tcPr>
            <w:tcW w:w="4171" w:type="dxa"/>
            <w:tcBorders>
              <w:top w:val="single" w:color="auto" w:sz="4" w:space="0"/>
              <w:left w:val="single" w:color="auto" w:sz="4" w:space="0"/>
              <w:bottom w:val="single" w:color="auto" w:sz="4" w:space="0"/>
              <w:right w:val="single" w:color="auto" w:sz="4" w:space="0"/>
            </w:tcBorders>
            <w:noWrap w:val="0"/>
            <w:vAlign w:val="center"/>
          </w:tcPr>
          <w:p>
            <w:pPr>
              <w:tabs>
                <w:tab w:val="left" w:pos="740"/>
              </w:tabs>
              <w:autoSpaceDE w:val="0"/>
              <w:autoSpaceDN w:val="0"/>
              <w:spacing w:after="120" w:line="400" w:lineRule="exact"/>
              <w:ind w:left="-2" w:leftChars="-1" w:firstLine="1" w:firstLineChars="0"/>
              <w:jc w:val="left"/>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为</w:t>
            </w:r>
            <w:r>
              <w:rPr>
                <w:rFonts w:hint="eastAsia" w:ascii="宋体" w:hAnsi="宋体" w:eastAsia="宋体" w:cs="宋体"/>
                <w:color w:val="auto"/>
                <w:sz w:val="21"/>
                <w:szCs w:val="21"/>
                <w:highlight w:val="none"/>
                <w:lang w:eastAsia="zh-CN"/>
              </w:rPr>
              <w:t>倡导节约用纸，规范</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文件编制，文件</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采用双面打印或复印，为避免个别供应商过于追求文件厚度而采用二号等超大号字体、超大字间距及行距等：</w:t>
            </w:r>
          </w:p>
          <w:p>
            <w:pPr>
              <w:tabs>
                <w:tab w:val="left" w:pos="740"/>
              </w:tabs>
              <w:autoSpaceDE w:val="0"/>
              <w:autoSpaceDN w:val="0"/>
              <w:spacing w:after="120" w:line="400" w:lineRule="exact"/>
              <w:ind w:left="-2" w:leftChars="-1" w:firstLine="1" w:firstLineChars="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文件（除特殊规格的图纸外）统一按照A4规格纸张制作；</w:t>
            </w:r>
          </w:p>
          <w:p>
            <w:pPr>
              <w:tabs>
                <w:tab w:val="left" w:pos="740"/>
              </w:tabs>
              <w:autoSpaceDE w:val="0"/>
              <w:autoSpaceDN w:val="0"/>
              <w:spacing w:after="120" w:line="400" w:lineRule="exact"/>
              <w:ind w:left="-2" w:leftChars="-1" w:firstLine="1" w:firstLineChars="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2）建议正文字体大小采用小四或不超过四号字体编制、小标题字体大小合理设置；</w:t>
            </w:r>
          </w:p>
          <w:p>
            <w:pPr>
              <w:tabs>
                <w:tab w:val="left" w:pos="740"/>
              </w:tabs>
              <w:autoSpaceDE w:val="0"/>
              <w:autoSpaceDN w:val="0"/>
              <w:spacing w:after="120" w:line="400" w:lineRule="exact"/>
              <w:ind w:left="-2" w:leftChars="-1" w:firstLine="1" w:firstLineChars="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3）合理设置段落间距，建议正文行距不超过2倍、段前段后不超过1行。</w:t>
            </w:r>
          </w:p>
          <w:p>
            <w:pPr>
              <w:tabs>
                <w:tab w:val="left" w:pos="900"/>
                <w:tab w:val="left" w:pos="8595"/>
              </w:tabs>
              <w:adjustRightInd w:val="0"/>
              <w:snapToGrid w:val="0"/>
              <w:spacing w:line="360" w:lineRule="auto"/>
              <w:outlineLvl w:val="9"/>
              <w:rPr>
                <w:rFonts w:hint="eastAsia" w:ascii="宋体" w:hAnsi="宋体"/>
                <w:szCs w:val="21"/>
                <w:highlight w:val="red"/>
              </w:rPr>
            </w:pPr>
            <w:r>
              <w:rPr>
                <w:rFonts w:hint="eastAsia" w:ascii="宋体" w:hAnsi="宋体" w:eastAsia="宋体" w:cs="宋体"/>
                <w:color w:val="auto"/>
                <w:sz w:val="21"/>
                <w:szCs w:val="21"/>
                <w:highlight w:val="none"/>
                <w:lang w:val="en-US" w:eastAsia="zh-CN"/>
              </w:rPr>
              <w:t>4）投标文件超过200页应编制书脊，书脊内容包括但不限于项目编号+供应商名称。</w:t>
            </w:r>
          </w:p>
        </w:tc>
      </w:tr>
    </w:tbl>
    <w:p>
      <w:pPr>
        <w:spacing w:line="360" w:lineRule="auto"/>
        <w:ind w:firstLine="640" w:firstLineChars="200"/>
        <w:outlineLvl w:val="9"/>
        <w:rPr>
          <w:rFonts w:hint="eastAsia" w:ascii="宋体" w:hAnsi="宋体" w:eastAsia="宋体" w:cs="宋体"/>
          <w:sz w:val="24"/>
          <w:szCs w:val="24"/>
          <w:highlight w:val="none"/>
          <w:lang w:val="en-US" w:eastAsia="zh-CN"/>
        </w:rPr>
      </w:pPr>
      <w:r>
        <w:rPr>
          <w:rFonts w:hint="eastAsia" w:ascii="黑体" w:hAnsi="黑体" w:eastAsia="黑体" w:cs="黑体"/>
          <w:b/>
          <w:bCs/>
          <w:sz w:val="32"/>
          <w:szCs w:val="32"/>
          <w:highlight w:val="none"/>
        </w:rPr>
        <w:br w:type="page"/>
      </w:r>
      <w:bookmarkStart w:id="40" w:name="_Toc179632546"/>
      <w:bookmarkStart w:id="41" w:name="_Toc152042305"/>
      <w:bookmarkStart w:id="42" w:name="_Toc152045529"/>
      <w:bookmarkStart w:id="43" w:name="_Toc144974497"/>
      <w:bookmarkStart w:id="44" w:name="_Toc15248"/>
      <w:r>
        <w:rPr>
          <w:rFonts w:hint="eastAsia" w:ascii="宋体" w:hAnsi="宋体" w:eastAsia="宋体" w:cs="宋体"/>
          <w:sz w:val="24"/>
          <w:szCs w:val="24"/>
          <w:highlight w:val="none"/>
          <w:lang w:val="en-US" w:eastAsia="zh-CN"/>
        </w:rPr>
        <w:t>1. 总则</w:t>
      </w:r>
      <w:bookmarkEnd w:id="40"/>
      <w:bookmarkEnd w:id="41"/>
      <w:bookmarkEnd w:id="42"/>
      <w:bookmarkEnd w:id="43"/>
      <w:bookmarkStart w:id="45" w:name="_Toc144974498"/>
      <w:bookmarkStart w:id="46" w:name="_Toc152045530"/>
      <w:bookmarkStart w:id="47" w:name="_Toc179632547"/>
      <w:bookmarkStart w:id="48" w:name="_Toc152042306"/>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 项目概况</w:t>
      </w:r>
      <w:bookmarkEnd w:id="45"/>
      <w:bookmarkEnd w:id="46"/>
      <w:bookmarkEnd w:id="47"/>
      <w:bookmarkEnd w:id="48"/>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1.1.1根据《中华人民共和国招标投标法》等有关法律、法规和规章的规定，本招标项目已具备招标条件，现对本标段施工进行招标。</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1.1.2 本招标项目采购人：见投标供应商须知前附表。</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1.1.3 本标段采购代理机构：见投标供应商须知前附表。</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1.1.4 本招标项目名称：见投标供应商须知前附表。</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1.1.5 本标段建设地点：见投标供应商须知前附表。</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49" w:name="_Toc152045531"/>
      <w:bookmarkStart w:id="50" w:name="_Toc152042307"/>
      <w:bookmarkStart w:id="51" w:name="_Toc179632548"/>
      <w:bookmarkStart w:id="52" w:name="_Toc144974499"/>
      <w:r>
        <w:rPr>
          <w:rFonts w:hint="eastAsia" w:ascii="宋体" w:hAnsi="宋体" w:eastAsia="宋体" w:cs="宋体"/>
          <w:sz w:val="24"/>
          <w:szCs w:val="24"/>
          <w:highlight w:val="none"/>
          <w:lang w:val="en-US" w:eastAsia="zh-CN"/>
        </w:rPr>
        <w:t>1.2 资金来源和落实情况</w:t>
      </w:r>
      <w:bookmarkEnd w:id="49"/>
      <w:bookmarkEnd w:id="50"/>
      <w:bookmarkEnd w:id="51"/>
      <w:bookmarkEnd w:id="52"/>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1.2.1 本招标项目的资金来源：见投标供应商须知前附表。</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1.2.2 本招标项目的出资比例：见投标供应商须知前附表。</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1.2.3 本招标项目的资金落实情况：见投标供应商须知前附表。</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53" w:name="_Toc144974500"/>
      <w:bookmarkStart w:id="54" w:name="_Toc152045532"/>
      <w:bookmarkStart w:id="55" w:name="_Toc179632549"/>
      <w:bookmarkStart w:id="56" w:name="_Toc152042308"/>
      <w:r>
        <w:rPr>
          <w:rFonts w:hint="eastAsia" w:ascii="宋体" w:hAnsi="宋体" w:eastAsia="宋体" w:cs="宋体"/>
          <w:sz w:val="24"/>
          <w:szCs w:val="24"/>
          <w:highlight w:val="none"/>
          <w:lang w:val="en-US" w:eastAsia="zh-CN"/>
        </w:rPr>
        <w:t>1.3 招标范围、计划工期和质量要求</w:t>
      </w:r>
      <w:bookmarkEnd w:id="53"/>
      <w:bookmarkEnd w:id="54"/>
      <w:bookmarkEnd w:id="55"/>
      <w:bookmarkEnd w:id="56"/>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1.3.1 本次招标范围：见投标供应商须知前附表。</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1.3.2 本标段的计划工期：见投标供应商须知前附表。</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1.3.3 本标段的质量要求：见投标供应商须知前附表。</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57" w:name="_Toc144974502"/>
      <w:bookmarkStart w:id="58" w:name="_Toc152042310"/>
      <w:bookmarkStart w:id="59" w:name="_Toc179632551"/>
      <w:bookmarkStart w:id="60" w:name="_Toc152045534"/>
      <w:r>
        <w:rPr>
          <w:rFonts w:hint="eastAsia" w:ascii="宋体" w:hAnsi="宋体" w:eastAsia="宋体" w:cs="宋体"/>
          <w:sz w:val="24"/>
          <w:szCs w:val="24"/>
          <w:highlight w:val="none"/>
          <w:lang w:val="en-US" w:eastAsia="zh-CN"/>
        </w:rPr>
        <w:t>1.4 投标供应商资格要求</w:t>
      </w:r>
      <w:bookmarkEnd w:id="57"/>
      <w:bookmarkEnd w:id="58"/>
      <w:bookmarkEnd w:id="59"/>
      <w:bookmarkEnd w:id="60"/>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1.4.1投标供应商应具备承担本标段施工的资质条件、能力和信誉，见投标供应商须知前附表。</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1.4.2 投标供应商须知前附表规定接受联合体投标的，除应符合本章第1.4.1项和投标供应商须知前附表的要求外，还应遵守以下规定：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（1）联合体各方应按招标文件提供的格式签订联合体协议书，明确联合体牵头人和各方权利义务；</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（2）由同一专业的单位组成的联合体，按照资质等级较低的单位确定资质等级；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（3）联合体各方不得再以自己名义单独或参加其他联合体在同一标段中投标。</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1.4.3 投标供应商不得存在下列情形之一：</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（1）为采购人不具有独立法人资格的附属机构（单位）；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（2）为本标段前期准备提供设计或咨询服务的，但设计施工总承包的除外；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（3）为本标段的监理人；</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（4）为本标段的代建人；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（5）为本标段提供招标代理服务的；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（6）与本标段的监理人或代建人或采购代理机构同为一个法定代表人的；</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（7）与本标段的监理人或代建人或采购代理机构相互控股或参股的；</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（8）与本标段的监理人或代建人或采购代理机构相互任职或工作的；</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（9）被责令停业的；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（10）被暂停或取消投标资格的；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（11）财产被接管或冻结的；</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（12）在最近三年内有骗取中标或严重违约或重大工程质量问题的。</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61" w:name="_Toc144974503"/>
      <w:bookmarkStart w:id="62" w:name="_Toc152045535"/>
      <w:bookmarkStart w:id="63" w:name="_Toc179632552"/>
      <w:bookmarkStart w:id="64" w:name="_Toc152042311"/>
      <w:r>
        <w:rPr>
          <w:rFonts w:hint="eastAsia" w:ascii="宋体" w:hAnsi="宋体" w:eastAsia="宋体" w:cs="宋体"/>
          <w:sz w:val="24"/>
          <w:szCs w:val="24"/>
          <w:highlight w:val="none"/>
          <w:lang w:val="en-US" w:eastAsia="zh-CN"/>
        </w:rPr>
        <w:t>1.5 费用承担</w:t>
      </w:r>
      <w:bookmarkEnd w:id="61"/>
      <w:bookmarkEnd w:id="62"/>
      <w:bookmarkEnd w:id="63"/>
      <w:bookmarkEnd w:id="64"/>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投标供应商准备和参加投标活动发生的费用自理。</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65" w:name="_Toc152042312"/>
      <w:bookmarkStart w:id="66" w:name="_Toc152045536"/>
      <w:bookmarkStart w:id="67" w:name="_Toc179632553"/>
      <w:bookmarkStart w:id="68" w:name="_Toc144974504"/>
      <w:r>
        <w:rPr>
          <w:rFonts w:hint="eastAsia" w:ascii="宋体" w:hAnsi="宋体" w:eastAsia="宋体" w:cs="宋体"/>
          <w:sz w:val="24"/>
          <w:szCs w:val="24"/>
          <w:highlight w:val="none"/>
          <w:lang w:val="en-US" w:eastAsia="zh-CN"/>
        </w:rPr>
        <w:t>1.6 保密</w:t>
      </w:r>
      <w:bookmarkEnd w:id="65"/>
      <w:bookmarkEnd w:id="66"/>
      <w:bookmarkEnd w:id="67"/>
      <w:bookmarkEnd w:id="68"/>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参与招标投标活动的各方应对招标文件和投标文件中的商业和技术等秘密保密，违者应对由此造成的后果承担法律责任。 </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69" w:name="_Toc144974505"/>
      <w:bookmarkStart w:id="70" w:name="_Toc152042313"/>
      <w:bookmarkStart w:id="71" w:name="_Toc179632554"/>
      <w:bookmarkStart w:id="72" w:name="_Toc152045537"/>
      <w:r>
        <w:rPr>
          <w:rFonts w:hint="eastAsia" w:ascii="宋体" w:hAnsi="宋体" w:eastAsia="宋体" w:cs="宋体"/>
          <w:sz w:val="24"/>
          <w:szCs w:val="24"/>
          <w:highlight w:val="none"/>
          <w:lang w:val="en-US" w:eastAsia="zh-CN"/>
        </w:rPr>
        <w:t>1.7 语言</w:t>
      </w:r>
      <w:bookmarkEnd w:id="69"/>
      <w:r>
        <w:rPr>
          <w:rFonts w:hint="eastAsia" w:ascii="宋体" w:hAnsi="宋体" w:eastAsia="宋体" w:cs="宋体"/>
          <w:sz w:val="24"/>
          <w:szCs w:val="24"/>
          <w:highlight w:val="none"/>
          <w:lang w:val="en-US" w:eastAsia="zh-CN"/>
        </w:rPr>
        <w:t>文字</w:t>
      </w:r>
      <w:bookmarkEnd w:id="70"/>
      <w:bookmarkEnd w:id="71"/>
      <w:bookmarkEnd w:id="72"/>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除专用术语外，与招标投标有关的语言均使用中文。必要时专用术语应附有中文注释。</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73" w:name="_Toc152045538"/>
      <w:bookmarkStart w:id="74" w:name="_Toc179632555"/>
      <w:bookmarkStart w:id="75" w:name="_Toc152042314"/>
      <w:bookmarkStart w:id="76" w:name="_Toc144974506"/>
      <w:r>
        <w:rPr>
          <w:rFonts w:hint="eastAsia" w:ascii="宋体" w:hAnsi="宋体" w:eastAsia="宋体" w:cs="宋体"/>
          <w:sz w:val="24"/>
          <w:szCs w:val="24"/>
          <w:highlight w:val="none"/>
          <w:lang w:val="en-US" w:eastAsia="zh-CN"/>
        </w:rPr>
        <w:t>1.8 计量单位</w:t>
      </w:r>
      <w:bookmarkEnd w:id="73"/>
      <w:bookmarkEnd w:id="74"/>
      <w:bookmarkEnd w:id="75"/>
      <w:bookmarkEnd w:id="76"/>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所有计量均采用中华人民共和国法定计量单位。</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77" w:name="_Toc144974507"/>
      <w:bookmarkStart w:id="78" w:name="_Toc152042315"/>
      <w:bookmarkStart w:id="79" w:name="_Toc152045539"/>
      <w:bookmarkStart w:id="80" w:name="_Toc179632556"/>
      <w:r>
        <w:rPr>
          <w:rFonts w:hint="eastAsia" w:ascii="宋体" w:hAnsi="宋体" w:eastAsia="宋体" w:cs="宋体"/>
          <w:sz w:val="24"/>
          <w:szCs w:val="24"/>
          <w:highlight w:val="none"/>
          <w:lang w:val="en-US" w:eastAsia="zh-CN"/>
        </w:rPr>
        <w:t>1.9 踏勘现场</w:t>
      </w:r>
      <w:bookmarkEnd w:id="77"/>
      <w:bookmarkEnd w:id="78"/>
      <w:bookmarkEnd w:id="79"/>
      <w:bookmarkEnd w:id="80"/>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1.9.1 投标供应商须知前附表规定组织踏勘现场的，采购人按投标供应商须知前附表规定的时间、地点组织投标供应商踏勘项目现场。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1.9.2 投标供应商踏勘现场发生的费用自理。</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1.9.3 除采购人的原因外，投标供应商自行负责在踏勘现场中所发生的人员伤亡和财产损失。</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1.9.4 采购人在踏勘现场中介绍的工程场地和相关的周边环境情况，供投标供应商在编制投标文件时参考，采购人不对投标供应商据此作出的判断和决策负责。</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81" w:name="_Toc152045540"/>
      <w:bookmarkStart w:id="82" w:name="_Toc144974508"/>
      <w:bookmarkStart w:id="83" w:name="_Toc152042316"/>
      <w:bookmarkStart w:id="84" w:name="_Toc179632557"/>
      <w:r>
        <w:rPr>
          <w:rFonts w:hint="eastAsia" w:ascii="宋体" w:hAnsi="宋体" w:eastAsia="宋体" w:cs="宋体"/>
          <w:sz w:val="24"/>
          <w:szCs w:val="24"/>
          <w:highlight w:val="none"/>
          <w:lang w:val="en-US" w:eastAsia="zh-CN"/>
        </w:rPr>
        <w:t>1.10 投标预备会</w:t>
      </w:r>
      <w:bookmarkEnd w:id="81"/>
      <w:bookmarkEnd w:id="82"/>
      <w:bookmarkEnd w:id="83"/>
      <w:bookmarkEnd w:id="84"/>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1.10.1 投标供应商须知前附表规定召开投标预备会的，采购人按投标供应商须知前附表规定的时间和地点召开投标预备会，澄清投标供应商提出的问题。</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1.10.2 投标供应商应在投标供应商须知前附表规定的时间前，以书面形式将提出的问题送达采购人，以便采购人在会议期间澄清。</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85" w:name="_Toc152042317"/>
      <w:bookmarkStart w:id="86" w:name="_Toc144974509"/>
      <w:bookmarkStart w:id="87" w:name="_Toc152045541"/>
      <w:bookmarkStart w:id="88" w:name="_Toc179632558"/>
      <w:r>
        <w:rPr>
          <w:rFonts w:hint="eastAsia" w:ascii="宋体" w:hAnsi="宋体" w:eastAsia="宋体" w:cs="宋体"/>
          <w:sz w:val="24"/>
          <w:szCs w:val="24"/>
          <w:highlight w:val="none"/>
          <w:lang w:val="en-US" w:eastAsia="zh-CN"/>
        </w:rPr>
        <w:t>1.11 分包</w:t>
      </w:r>
      <w:bookmarkEnd w:id="85"/>
      <w:bookmarkEnd w:id="86"/>
      <w:bookmarkEnd w:id="87"/>
      <w:bookmarkEnd w:id="88"/>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投标供应商拟在中标后将中标项目的部分非主体、非关键性工作进行分包的，应符合投标供应商须知前附表规定的分包内容、分包金额和接受分包的第三人资质要求等限制性条件。</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89" w:name="_Toc144974510"/>
      <w:bookmarkStart w:id="90" w:name="_Toc152042318"/>
      <w:bookmarkStart w:id="91" w:name="_Toc152045542"/>
      <w:bookmarkStart w:id="92" w:name="_Toc179632560"/>
      <w:r>
        <w:rPr>
          <w:rFonts w:hint="eastAsia" w:ascii="宋体" w:hAnsi="宋体" w:eastAsia="宋体" w:cs="宋体"/>
          <w:sz w:val="24"/>
          <w:szCs w:val="24"/>
          <w:highlight w:val="none"/>
          <w:lang w:val="en-US" w:eastAsia="zh-CN"/>
        </w:rPr>
        <w:t>2. 招标文件</w:t>
      </w:r>
      <w:bookmarkEnd w:id="89"/>
      <w:bookmarkEnd w:id="90"/>
      <w:bookmarkEnd w:id="91"/>
      <w:bookmarkEnd w:id="92"/>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93" w:name="_Toc179632561"/>
      <w:bookmarkStart w:id="94" w:name="_Toc144974511"/>
      <w:bookmarkStart w:id="95" w:name="_Toc152045543"/>
      <w:bookmarkStart w:id="96" w:name="_Toc152042319"/>
      <w:r>
        <w:rPr>
          <w:rFonts w:hint="eastAsia" w:ascii="宋体" w:hAnsi="宋体" w:eastAsia="宋体" w:cs="宋体"/>
          <w:sz w:val="24"/>
          <w:szCs w:val="24"/>
          <w:highlight w:val="none"/>
          <w:lang w:val="en-US" w:eastAsia="zh-CN"/>
        </w:rPr>
        <w:t>2.1 招标文件的组成</w:t>
      </w:r>
      <w:bookmarkEnd w:id="93"/>
      <w:bookmarkEnd w:id="94"/>
      <w:bookmarkEnd w:id="95"/>
      <w:bookmarkEnd w:id="96"/>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本招标文件包括：</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（1）招标公告（或投标邀请书）；</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（2）投标供应商须知；</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（3）评标办法；</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（4）合同条款及格式；</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（5）工程量清单；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（6）图纸；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（7）技术标准和要求；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（8）投标文件格式；</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（9）投标供应商须知前附表规定的其他材料。</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根据本章第1.10款、第2.2款和第2.3款对招标文件所作的澄清、修改，构成招标文件的组成部分。</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97" w:name="_Toc152042320"/>
      <w:bookmarkStart w:id="98" w:name="_Toc152045544"/>
      <w:bookmarkStart w:id="99" w:name="_Toc144974512"/>
      <w:bookmarkStart w:id="100" w:name="_Toc179632562"/>
      <w:r>
        <w:rPr>
          <w:rFonts w:hint="eastAsia" w:ascii="宋体" w:hAnsi="宋体" w:eastAsia="宋体" w:cs="宋体"/>
          <w:sz w:val="24"/>
          <w:szCs w:val="24"/>
          <w:highlight w:val="none"/>
          <w:lang w:val="en-US" w:eastAsia="zh-CN"/>
        </w:rPr>
        <w:t>2.2 招标文件的澄清</w:t>
      </w:r>
      <w:bookmarkEnd w:id="97"/>
      <w:bookmarkEnd w:id="98"/>
      <w:bookmarkEnd w:id="99"/>
      <w:bookmarkEnd w:id="100"/>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投标供应商应仔细阅读和检查招标文件的全部内容。如发现缺页或附件不全，应及时向采购人提出，以便补齐。如有疑问，应在投标供应商须知前附表规定的时间前以书面形式（包括信函、电报、传真等可以有形地表现所载内容的形式，下同），要求采购人对招标文件予以澄清。</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2.2.2 招标文件的澄清将在投标供应商须知前附表规定的投标截止时间15天前以书面形式发给所有购买招标文件的投标供应商，但不指明澄清问题的来源。如果澄清发出的时间距投标截止时间不足15天，相应延长投标截止时间。</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2.2.3 投标供应商在收到澄清后，应在投标供应商须知前附表规定的时间内以书面形式通知采购人，确认已收到该澄清。</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01" w:name="_Toc152042321"/>
      <w:bookmarkStart w:id="102" w:name="_Toc144974513"/>
      <w:bookmarkStart w:id="103" w:name="_Toc179632563"/>
      <w:bookmarkStart w:id="104" w:name="_Toc152045545"/>
      <w:r>
        <w:rPr>
          <w:rFonts w:hint="eastAsia" w:ascii="宋体" w:hAnsi="宋体" w:eastAsia="宋体" w:cs="宋体"/>
          <w:sz w:val="24"/>
          <w:szCs w:val="24"/>
          <w:highlight w:val="none"/>
          <w:lang w:val="en-US" w:eastAsia="zh-CN"/>
        </w:rPr>
        <w:t>2.3 招标文件的修改</w:t>
      </w:r>
      <w:bookmarkEnd w:id="101"/>
      <w:bookmarkEnd w:id="102"/>
      <w:bookmarkEnd w:id="103"/>
      <w:bookmarkEnd w:id="104"/>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2.3.1 在投标截止时间15天前，采购人可以书面形式修改招标文件，并通知所有已购买招标文件的投标供应商。如果修改招标文件的时间距投标截止时间不足15天，相应延长投标截止时间。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2.3.2 投标供应商收到修改内容后，应在投标供应商须知前附表规定的时间内以书面形式通知采购人，确认已收到该修改。</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05" w:name="_Toc179632564"/>
      <w:bookmarkStart w:id="106" w:name="_Toc152042322"/>
      <w:bookmarkStart w:id="107" w:name="_Toc144974514"/>
      <w:bookmarkStart w:id="108" w:name="_Toc152045546"/>
      <w:r>
        <w:rPr>
          <w:rFonts w:hint="eastAsia" w:ascii="宋体" w:hAnsi="宋体" w:eastAsia="宋体" w:cs="宋体"/>
          <w:sz w:val="24"/>
          <w:szCs w:val="24"/>
          <w:highlight w:val="none"/>
          <w:lang w:val="en-US" w:eastAsia="zh-CN"/>
        </w:rPr>
        <w:t>3. 投标文件</w:t>
      </w:r>
      <w:bookmarkEnd w:id="105"/>
      <w:bookmarkEnd w:id="106"/>
      <w:bookmarkEnd w:id="107"/>
      <w:bookmarkEnd w:id="108"/>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09" w:name="_Toc144974515"/>
      <w:bookmarkStart w:id="110" w:name="_Toc152045547"/>
      <w:bookmarkStart w:id="111" w:name="_Toc179632565"/>
      <w:bookmarkStart w:id="112" w:name="_Toc152042323"/>
      <w:r>
        <w:rPr>
          <w:rFonts w:hint="eastAsia" w:ascii="宋体" w:hAnsi="宋体" w:eastAsia="宋体" w:cs="宋体"/>
          <w:sz w:val="24"/>
          <w:szCs w:val="24"/>
          <w:highlight w:val="none"/>
          <w:lang w:val="en-US" w:eastAsia="zh-CN"/>
        </w:rPr>
        <w:t>3.1 投标文件的组成</w:t>
      </w:r>
      <w:bookmarkEnd w:id="109"/>
      <w:bookmarkEnd w:id="110"/>
      <w:bookmarkEnd w:id="111"/>
      <w:bookmarkEnd w:id="112"/>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3.1.1投标文件应包括下列内容：</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（1）投标函及投标函附录；</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（2）法定代表人身份证明或附有法定代表人身份证明的授权委托书；</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（3）联合体协议书；</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（4）投标保证金；</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（5）已标价工程量清单；</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（6）施工组织设计；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（7）项目管理机构；</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（8）拟分包项目情况表；</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（9）资格审查资料；</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（10）投标供应商须知前附表规定的其他材料。</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3.1.2 投标供应商须知前附表规定不接受联合体投标的，或投标供应商没有组成联合体的，投标文件不包括本章第3.1.1（3）目所指的联合体协议书。 </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13" w:name="_Toc179632566"/>
      <w:bookmarkStart w:id="114" w:name="_Toc152045548"/>
      <w:bookmarkStart w:id="115" w:name="_Toc152042324"/>
      <w:bookmarkStart w:id="116" w:name="_Toc144974516"/>
      <w:r>
        <w:rPr>
          <w:rFonts w:hint="eastAsia" w:ascii="宋体" w:hAnsi="宋体" w:eastAsia="宋体" w:cs="宋体"/>
          <w:sz w:val="24"/>
          <w:szCs w:val="24"/>
          <w:highlight w:val="none"/>
          <w:lang w:val="en-US" w:eastAsia="zh-CN"/>
        </w:rPr>
        <w:t>3.2 投标报价</w:t>
      </w:r>
      <w:bookmarkEnd w:id="113"/>
      <w:bookmarkEnd w:id="114"/>
      <w:bookmarkEnd w:id="115"/>
      <w:bookmarkEnd w:id="116"/>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 投标供应商应按第五章“工程量清单”的要求填写相应表格。</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 投标供应商在投标截止时间前修改投标函中的投标总报价，应同时修改第五章“工程量清单”中的相应报价。此修改须符合本章第4.3款的有关要求。　　</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17" w:name="_Toc144974517"/>
      <w:bookmarkStart w:id="118" w:name="_Toc152042325"/>
      <w:bookmarkStart w:id="119" w:name="_Toc152045549"/>
      <w:bookmarkStart w:id="120" w:name="_Toc179632567"/>
      <w:r>
        <w:rPr>
          <w:rFonts w:hint="eastAsia" w:ascii="宋体" w:hAnsi="宋体" w:eastAsia="宋体" w:cs="宋体"/>
          <w:sz w:val="24"/>
          <w:szCs w:val="24"/>
          <w:highlight w:val="none"/>
          <w:lang w:val="en-US" w:eastAsia="zh-CN"/>
        </w:rPr>
        <w:t>3.3 投标有效期</w:t>
      </w:r>
      <w:bookmarkEnd w:id="117"/>
      <w:bookmarkEnd w:id="118"/>
      <w:bookmarkEnd w:id="119"/>
      <w:bookmarkEnd w:id="120"/>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 在投标供应商须知前附表规定的投标有效期内，投标供应商不得要求撤销或修改其投标文件。</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3.3.2出现特殊情况需要延长投标有效期的，采购人以书面形式通知所有投标供应商延长投标有效期。投标供应商同意延长的，应相应延长其投标保证金的有效期，但不得要求或被允许修改或撤销其投标文件；投标供应商拒绝延长的，其投标失效，但投标供应商有权收回其投标保证金。 </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21" w:name="_Toc179632568"/>
      <w:bookmarkStart w:id="122" w:name="_Toc144974518"/>
      <w:bookmarkStart w:id="123" w:name="_Toc152042326"/>
      <w:bookmarkStart w:id="124" w:name="_Toc152045550"/>
      <w:r>
        <w:rPr>
          <w:rFonts w:hint="eastAsia" w:ascii="宋体" w:hAnsi="宋体" w:eastAsia="宋体" w:cs="宋体"/>
          <w:sz w:val="24"/>
          <w:szCs w:val="24"/>
          <w:highlight w:val="none"/>
          <w:lang w:val="en-US" w:eastAsia="zh-CN"/>
        </w:rPr>
        <w:t>3.4 投标保证金</w:t>
      </w:r>
      <w:bookmarkEnd w:id="121"/>
      <w:bookmarkEnd w:id="122"/>
      <w:bookmarkEnd w:id="123"/>
      <w:bookmarkEnd w:id="124"/>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3.4.1 投标供应商在递交投标文件的同时，应按投标供应商须知前附表规定的金额、担保形式和第八章“投标文件格式”规定的投标保证金格式递交投标保证金，并作为其投标文件的组成部分。联合体投标的，其投标保证金由牵头人递交，并应符合投标供应商须知前附表的规定。</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3.4.2 投标供应商不按本章第3.4.1项要求提交投标保证金的，其投标文件作废标处理。</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3.4.3 中标通知书发出后5个工作日内，向未中标标的投标供应商退还投标保证金；</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3.4.4 中标供应商应在签署完成政府采购合同的第一时间向采购代理机构递交一份政府采购合同作为备案，采购代理机构将在政府采购合同签订之日起5个工作日内（以代理机构收到政府采购合同日期为准）退还中标供应商的投标保证金；</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3.4.5 有下列情形之一的，投标保证金将不予退还：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（1）投标供应商在规定的投标有效期内撤销或修改其投标文件；</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（2）中标人在收到中标通知书后，无正当理由拒签合同协议书或未按招标文件规定提交履约担保。</w:t>
      </w:r>
    </w:p>
    <w:p>
      <w:pPr>
        <w:spacing w:line="360" w:lineRule="auto"/>
        <w:ind w:firstLine="480" w:firstLineChars="200"/>
        <w:outlineLvl w:val="9"/>
        <w:rPr>
          <w:rFonts w:hint="default" w:ascii="宋体" w:hAnsi="宋体" w:eastAsia="宋体" w:cs="宋体"/>
          <w:sz w:val="24"/>
          <w:szCs w:val="24"/>
          <w:highlight w:val="none"/>
          <w:lang w:val="en-US" w:eastAsia="zh-CN"/>
        </w:rPr>
      </w:pPr>
      <w:bookmarkStart w:id="125" w:name="_Toc152045552"/>
      <w:bookmarkStart w:id="126" w:name="_Toc152042328"/>
      <w:bookmarkStart w:id="127" w:name="_Toc179632570"/>
      <w:bookmarkStart w:id="128" w:name="_Toc144974520"/>
      <w:r>
        <w:rPr>
          <w:rFonts w:hint="eastAsia" w:ascii="宋体" w:hAnsi="宋体" w:eastAsia="宋体" w:cs="宋体"/>
          <w:sz w:val="24"/>
          <w:szCs w:val="24"/>
          <w:highlight w:val="none"/>
          <w:lang w:val="en-US" w:eastAsia="zh-CN"/>
        </w:rPr>
        <w:t>3.5 资格审查资料</w:t>
      </w:r>
      <w:bookmarkEnd w:id="125"/>
      <w:bookmarkEnd w:id="126"/>
      <w:bookmarkEnd w:id="127"/>
      <w:bookmarkEnd w:id="128"/>
      <w:r>
        <w:rPr>
          <w:rFonts w:hint="eastAsia" w:ascii="宋体" w:hAnsi="宋体" w:eastAsia="宋体" w:cs="宋体"/>
          <w:sz w:val="24"/>
          <w:szCs w:val="24"/>
          <w:highlight w:val="none"/>
          <w:lang w:val="en-US" w:eastAsia="zh-CN"/>
        </w:rPr>
        <w:t>，见投标供应商须知前附表。</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29" w:name="_Toc144974521"/>
      <w:bookmarkStart w:id="130" w:name="_Toc152045553"/>
      <w:bookmarkStart w:id="131" w:name="_Toc179632571"/>
      <w:bookmarkStart w:id="132" w:name="_Toc152042329"/>
      <w:r>
        <w:rPr>
          <w:rFonts w:hint="eastAsia" w:ascii="宋体" w:hAnsi="宋体" w:eastAsia="宋体" w:cs="宋体"/>
          <w:sz w:val="24"/>
          <w:szCs w:val="24"/>
          <w:highlight w:val="none"/>
          <w:lang w:val="en-US" w:eastAsia="zh-CN"/>
        </w:rPr>
        <w:t>3.6 备选投标方案</w:t>
      </w:r>
      <w:bookmarkEnd w:id="129"/>
      <w:bookmarkEnd w:id="130"/>
      <w:bookmarkEnd w:id="131"/>
      <w:bookmarkEnd w:id="132"/>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除投标供应商须知前附表另有规定外，投标供应商不得递交备选投标方案。允许投标供应商递交备选投标方案的，只有中标人所递交的备选投标方案方可予以考虑。评标委员会认为中标人的备选投标方案优于其按照招标文件要求编制的投标方案的，采购人可以接受该备选投标方案。</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33" w:name="_Toc179632572"/>
      <w:bookmarkStart w:id="134" w:name="_Toc152042330"/>
      <w:bookmarkStart w:id="135" w:name="_Toc152045554"/>
      <w:bookmarkStart w:id="136" w:name="_Toc144974522"/>
      <w:r>
        <w:rPr>
          <w:rFonts w:hint="eastAsia" w:ascii="宋体" w:hAnsi="宋体" w:eastAsia="宋体" w:cs="宋体"/>
          <w:sz w:val="24"/>
          <w:szCs w:val="24"/>
          <w:highlight w:val="none"/>
          <w:lang w:val="en-US" w:eastAsia="zh-CN"/>
        </w:rPr>
        <w:t>3.7 投标文件的编制</w:t>
      </w:r>
      <w:bookmarkEnd w:id="133"/>
      <w:bookmarkEnd w:id="134"/>
      <w:bookmarkEnd w:id="135"/>
      <w:bookmarkEnd w:id="136"/>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3.7.1投标文件应按第八章“投标文件格式”进行编写，如有必要，可以增加附页，作为投标文件的组成部分。其中，投标函附录在满足招标文件实质性要求的基础上，可以提出比招标文件要求更有利于采购人的承诺。</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3.7.2 投标文件应当对招标文件有关工期、投标有效期、质量要求、技术标准和要求、招标范围等实质性内容作出响应。</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3.7.3投标文件应用不褪色的材料书写或打印，并由投标供应商的法定代表人或其委托代理人签字或盖单位章。委托代理人签字的，投标文件应附法定代表人签署的授权委托书。投标文件应尽量避免涂改、行间插字或删除。如果出现上述情况，改动之处应加盖单位章或由投标供应商的法定代表人或其授权的代理人签字确认。签字或盖章的具体要求见投标供应商须知前附表。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3.7.4 投标文件正本一份, 副本份数见投标供应商须知前附表。正本和副本的封面上应清楚地标记“正本”或“副本”的字样。当副本和正本不一致时，以正本为准。</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3.7.5 投标文件的正本与副本应分别装订成册，并编制目录，具体装订要求见投标供应商须知前附表规定。</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37" w:name="_Toc144974523"/>
      <w:bookmarkStart w:id="138" w:name="_Toc179632573"/>
      <w:bookmarkStart w:id="139" w:name="_Toc152042331"/>
      <w:bookmarkStart w:id="140" w:name="_Toc152045555"/>
      <w:r>
        <w:rPr>
          <w:rFonts w:hint="eastAsia" w:ascii="宋体" w:hAnsi="宋体" w:eastAsia="宋体" w:cs="宋体"/>
          <w:sz w:val="24"/>
          <w:szCs w:val="24"/>
          <w:highlight w:val="none"/>
          <w:lang w:val="en-US" w:eastAsia="zh-CN"/>
        </w:rPr>
        <w:t>4. 投标</w:t>
      </w:r>
      <w:bookmarkEnd w:id="137"/>
      <w:bookmarkEnd w:id="138"/>
      <w:bookmarkEnd w:id="139"/>
      <w:bookmarkEnd w:id="140"/>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41" w:name="_Toc152045556"/>
      <w:bookmarkStart w:id="142" w:name="_Toc152042332"/>
      <w:bookmarkStart w:id="143" w:name="_Toc179632574"/>
      <w:bookmarkStart w:id="144" w:name="_Toc144974524"/>
      <w:r>
        <w:rPr>
          <w:rFonts w:hint="eastAsia" w:ascii="宋体" w:hAnsi="宋体" w:eastAsia="宋体" w:cs="宋体"/>
          <w:sz w:val="24"/>
          <w:szCs w:val="24"/>
          <w:highlight w:val="none"/>
          <w:lang w:val="en-US" w:eastAsia="zh-CN"/>
        </w:rPr>
        <w:t>4.1 投标文件的密封和标记</w:t>
      </w:r>
      <w:bookmarkEnd w:id="141"/>
      <w:bookmarkEnd w:id="142"/>
      <w:bookmarkEnd w:id="143"/>
      <w:bookmarkEnd w:id="144"/>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4.1.1投标文件的正本与副本应分开包装，加贴封条，并在封套的封口处加盖投标供应商单位章。</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4.1.2 投标文件的封套上应清楚地标记“正本”或“副本”字样，封套上应写明的其他内容见投标供应商须知前附表。</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4.1.3 未按本章第4.1.1项或第4.1.2项要求密封和加写标记的投标文件，采购人不予受理。</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45" w:name="_Toc152042333"/>
      <w:bookmarkStart w:id="146" w:name="_Toc144974525"/>
      <w:bookmarkStart w:id="147" w:name="_Toc179632575"/>
      <w:bookmarkStart w:id="148" w:name="_Toc152045557"/>
      <w:r>
        <w:rPr>
          <w:rFonts w:hint="eastAsia" w:ascii="宋体" w:hAnsi="宋体" w:eastAsia="宋体" w:cs="宋体"/>
          <w:sz w:val="24"/>
          <w:szCs w:val="24"/>
          <w:highlight w:val="none"/>
          <w:lang w:val="en-US" w:eastAsia="zh-CN"/>
        </w:rPr>
        <w:t>4.2 投标文件的递交</w:t>
      </w:r>
      <w:bookmarkEnd w:id="145"/>
      <w:bookmarkEnd w:id="146"/>
      <w:bookmarkEnd w:id="147"/>
      <w:bookmarkEnd w:id="148"/>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 投标供应商应在本章第2.2.2项规定的投标截止时间前递交投标文件。</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 投标供应商递交投标文件的地点：见投标供应商须知前附表。</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4.2.3 除投标供应商须知前附表另有规定外，投标供应商所递交的投标文件不予退还。</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4.2.4 采购人收到投标文件后，向投标供应商出具签收凭证。</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4.2.5 逾期送达的或者未送达指定地点的投标文件，采购人不予受理。</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49" w:name="_Toc152045558"/>
      <w:bookmarkStart w:id="150" w:name="_Toc144974526"/>
      <w:bookmarkStart w:id="151" w:name="_Toc179632576"/>
      <w:bookmarkStart w:id="152" w:name="_Toc152042334"/>
      <w:r>
        <w:rPr>
          <w:rFonts w:hint="eastAsia" w:ascii="宋体" w:hAnsi="宋体" w:eastAsia="宋体" w:cs="宋体"/>
          <w:sz w:val="24"/>
          <w:szCs w:val="24"/>
          <w:highlight w:val="none"/>
          <w:lang w:val="en-US" w:eastAsia="zh-CN"/>
        </w:rPr>
        <w:t>4.3 投标文件的修改与撤回</w:t>
      </w:r>
      <w:bookmarkEnd w:id="149"/>
      <w:bookmarkEnd w:id="150"/>
      <w:bookmarkEnd w:id="151"/>
      <w:bookmarkEnd w:id="152"/>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4.3.1 在本章第2.2.2项规定的投标截止时间前，投标供应商可以修改或撤回已递交的投标文件，但应以书面形式通知采购人。</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4.3.2 投标供应商修改或撤回已递交投标文件的书面通知应按照本章第3.7.3项的要求签字或盖章。采购人收到书面通知后，向投标供应商出具签收凭证。</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4.3.3 修改的内容为投标文件的组成部分。修改的投标文件应按照本章第3条、第4条规定进行编制、密封、标记和递交，并标明“修改”字样。</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53" w:name="_Toc144974527"/>
      <w:bookmarkStart w:id="154" w:name="_Toc179632577"/>
      <w:bookmarkStart w:id="155" w:name="_Toc152045559"/>
      <w:bookmarkStart w:id="156" w:name="_Toc152042335"/>
      <w:r>
        <w:rPr>
          <w:rFonts w:hint="eastAsia" w:ascii="宋体" w:hAnsi="宋体" w:eastAsia="宋体" w:cs="宋体"/>
          <w:sz w:val="24"/>
          <w:szCs w:val="24"/>
          <w:highlight w:val="none"/>
          <w:lang w:val="en-US" w:eastAsia="zh-CN"/>
        </w:rPr>
        <w:t>5. 开标</w:t>
      </w:r>
      <w:bookmarkEnd w:id="153"/>
      <w:bookmarkEnd w:id="154"/>
      <w:bookmarkEnd w:id="155"/>
      <w:bookmarkEnd w:id="156"/>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57" w:name="_Toc144974528"/>
      <w:bookmarkStart w:id="158" w:name="_Toc152045560"/>
      <w:bookmarkStart w:id="159" w:name="_Toc152042336"/>
      <w:bookmarkStart w:id="160" w:name="_Toc179632578"/>
      <w:r>
        <w:rPr>
          <w:rFonts w:hint="eastAsia" w:ascii="宋体" w:hAnsi="宋体" w:eastAsia="宋体" w:cs="宋体"/>
          <w:sz w:val="24"/>
          <w:szCs w:val="24"/>
          <w:highlight w:val="none"/>
          <w:lang w:val="en-US" w:eastAsia="zh-CN"/>
        </w:rPr>
        <w:t>5.1 开标时间和地点</w:t>
      </w:r>
      <w:bookmarkEnd w:id="157"/>
      <w:bookmarkEnd w:id="158"/>
      <w:bookmarkEnd w:id="159"/>
      <w:bookmarkEnd w:id="160"/>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采购人在本章第2.2.2项规定的投标截止时间（开标时间）和投标供应商须知前附表规定的地点公开开标，并邀请所有投标供应商的法定代表人或其委托代理人准时参加。</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61" w:name="_Toc152045561"/>
      <w:bookmarkStart w:id="162" w:name="_Toc144974529"/>
      <w:bookmarkStart w:id="163" w:name="_Toc152042337"/>
      <w:bookmarkStart w:id="164" w:name="_Toc179632579"/>
      <w:r>
        <w:rPr>
          <w:rFonts w:hint="eastAsia" w:ascii="宋体" w:hAnsi="宋体" w:eastAsia="宋体" w:cs="宋体"/>
          <w:sz w:val="24"/>
          <w:szCs w:val="24"/>
          <w:highlight w:val="none"/>
          <w:lang w:val="en-US" w:eastAsia="zh-CN"/>
        </w:rPr>
        <w:t>5.2 开标程序</w:t>
      </w:r>
      <w:bookmarkEnd w:id="161"/>
      <w:bookmarkEnd w:id="162"/>
      <w:bookmarkEnd w:id="163"/>
      <w:bookmarkEnd w:id="16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bookmarkStart w:id="165" w:name="_Toc36817378"/>
      <w:r>
        <w:rPr>
          <w:rFonts w:hint="eastAsia" w:ascii="宋体" w:hAnsi="宋体" w:eastAsia="宋体" w:cs="宋体"/>
          <w:color w:val="auto"/>
          <w:sz w:val="24"/>
          <w:highlight w:val="none"/>
        </w:rPr>
        <w:t>主持人按下列程序进行开标：</w:t>
      </w:r>
      <w:bookmarkEnd w:id="165"/>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bookmarkStart w:id="166" w:name="_Toc36817379"/>
      <w:r>
        <w:rPr>
          <w:rFonts w:hint="eastAsia" w:ascii="宋体" w:hAnsi="宋体" w:eastAsia="宋体" w:cs="宋体"/>
          <w:color w:val="auto"/>
          <w:sz w:val="24"/>
          <w:highlight w:val="none"/>
        </w:rPr>
        <w:t>1）介绍参加会议的单位领导和来宾；</w:t>
      </w:r>
      <w:bookmarkEnd w:id="16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bookmarkStart w:id="167" w:name="_Toc36817380"/>
      <w:r>
        <w:rPr>
          <w:rFonts w:hint="eastAsia" w:ascii="宋体" w:hAnsi="宋体" w:eastAsia="宋体" w:cs="宋体"/>
          <w:color w:val="auto"/>
          <w:sz w:val="24"/>
          <w:highlight w:val="none"/>
        </w:rPr>
        <w:t>2）介绍参加开标会议的投标单位；</w:t>
      </w:r>
      <w:bookmarkEnd w:id="16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bookmarkStart w:id="168" w:name="_Toc36817381"/>
      <w:r>
        <w:rPr>
          <w:rFonts w:hint="eastAsia" w:ascii="宋体" w:hAnsi="宋体" w:eastAsia="宋体" w:cs="宋体"/>
          <w:color w:val="auto"/>
          <w:sz w:val="24"/>
          <w:highlight w:val="none"/>
        </w:rPr>
        <w:t>3）宣布开标纪律；</w:t>
      </w:r>
      <w:bookmarkEnd w:id="168"/>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bookmarkStart w:id="169" w:name="_Toc36817382"/>
      <w:r>
        <w:rPr>
          <w:rFonts w:hint="eastAsia" w:ascii="宋体" w:hAnsi="宋体" w:eastAsia="宋体" w:cs="宋体"/>
          <w:color w:val="auto"/>
          <w:sz w:val="24"/>
          <w:highlight w:val="none"/>
        </w:rPr>
        <w:t>4）宣布监督、唱标、记录人员名单；</w:t>
      </w:r>
      <w:bookmarkEnd w:id="169"/>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bookmarkStart w:id="170" w:name="_Toc36817384"/>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）由监标人及各投标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代表共同查验投标文件密封完整性，并宣布查验结果；</w:t>
      </w:r>
      <w:bookmarkEnd w:id="17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)宣布投标文件开启顺序：按递交投标文件的先后顺序；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)按照宣布的开标顺序当众开标，公布</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名称、标段名称、投标报价、工期、工程质量、投标保证金的递交情况、及有无附加条件</w:t>
      </w:r>
      <w:r>
        <w:rPr>
          <w:rFonts w:hint="eastAsia" w:ascii="宋体" w:hAnsi="宋体" w:cs="宋体"/>
          <w:color w:val="auto"/>
          <w:sz w:val="24"/>
          <w:highlight w:val="none"/>
          <w:lang w:eastAsia="zh-CN"/>
        </w:rPr>
        <w:t>；询问投标供应商是否有异议，如无异议签字确认，如有异议当场提出。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)主持人、开标人、唱标人、记录人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监督人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的法定代表人或其委托代理人等有关人员在开标记录上签字确认；</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)开标结束。</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71" w:name="_Toc152042338"/>
      <w:bookmarkStart w:id="172" w:name="_Toc144974530"/>
      <w:bookmarkStart w:id="173" w:name="_Toc179632580"/>
      <w:bookmarkStart w:id="174" w:name="_Toc152045562"/>
      <w:r>
        <w:rPr>
          <w:rFonts w:hint="eastAsia" w:ascii="宋体" w:hAnsi="宋体" w:eastAsia="宋体" w:cs="宋体"/>
          <w:sz w:val="24"/>
          <w:szCs w:val="24"/>
          <w:highlight w:val="none"/>
          <w:lang w:val="en-US" w:eastAsia="zh-CN"/>
        </w:rPr>
        <w:t>6. 评标</w:t>
      </w:r>
      <w:bookmarkEnd w:id="171"/>
      <w:bookmarkEnd w:id="172"/>
      <w:bookmarkEnd w:id="173"/>
      <w:bookmarkEnd w:id="174"/>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75" w:name="_Toc152042339"/>
      <w:bookmarkStart w:id="176" w:name="_Toc144974531"/>
      <w:bookmarkStart w:id="177" w:name="_Toc179632581"/>
      <w:bookmarkStart w:id="178" w:name="_Toc152045563"/>
      <w:r>
        <w:rPr>
          <w:rFonts w:hint="eastAsia" w:ascii="宋体" w:hAnsi="宋体" w:eastAsia="宋体" w:cs="宋体"/>
          <w:sz w:val="24"/>
          <w:szCs w:val="24"/>
          <w:highlight w:val="none"/>
          <w:lang w:val="en-US" w:eastAsia="zh-CN"/>
        </w:rPr>
        <w:t>6.1 评标委员会</w:t>
      </w:r>
      <w:bookmarkEnd w:id="175"/>
      <w:bookmarkEnd w:id="176"/>
      <w:bookmarkEnd w:id="177"/>
      <w:bookmarkEnd w:id="178"/>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6.1.1 评标由采购人依法组建的评标委员会负责。评标委员会由采购人或其委托的采购代理机构熟悉相关业务的代表，以及有关技术、经济等方面的专家组成。评标委员会成员人数以及技术、经济等方面专家的确定方式见投标供应商须知前附表。</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6.1.2 评标委员会成员有下列情形之一的，应当回避：</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（1）采购人或投标供应商的主要负责人的近亲属；</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（2）项目主管部门或者行政监督部门的人员；</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（3）与投标供应商有经济利益关系，可能影响对投标公正评审的；</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（4）曾因在招标、评标以及其他与招标投标有关活动中从事违法行为而受过行政处罚或刑事处罚的。</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79" w:name="_Toc152042340"/>
      <w:bookmarkStart w:id="180" w:name="_Toc144974532"/>
      <w:bookmarkStart w:id="181" w:name="_Toc152045564"/>
      <w:bookmarkStart w:id="182" w:name="_Toc179632582"/>
      <w:r>
        <w:rPr>
          <w:rFonts w:hint="eastAsia" w:ascii="宋体" w:hAnsi="宋体" w:eastAsia="宋体" w:cs="宋体"/>
          <w:sz w:val="24"/>
          <w:szCs w:val="24"/>
          <w:highlight w:val="none"/>
          <w:lang w:val="en-US" w:eastAsia="zh-CN"/>
        </w:rPr>
        <w:t>6.2 评标原则</w:t>
      </w:r>
      <w:bookmarkEnd w:id="179"/>
      <w:bookmarkEnd w:id="180"/>
      <w:bookmarkEnd w:id="181"/>
      <w:bookmarkEnd w:id="182"/>
      <w:r>
        <w:rPr>
          <w:rFonts w:hint="eastAsia" w:ascii="宋体" w:hAnsi="宋体" w:eastAsia="宋体" w:cs="宋体"/>
          <w:sz w:val="24"/>
          <w:szCs w:val="24"/>
          <w:highlight w:val="none"/>
          <w:lang w:val="en-US" w:eastAsia="zh-CN"/>
        </w:rPr>
        <w:tab/>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评标活动遵循公平、公正、科学和择优的原则。</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83" w:name="_Toc152042341"/>
      <w:bookmarkStart w:id="184" w:name="_Toc152045565"/>
      <w:bookmarkStart w:id="185" w:name="_Toc179632583"/>
      <w:bookmarkStart w:id="186" w:name="_Toc144974533"/>
      <w:r>
        <w:rPr>
          <w:rFonts w:hint="eastAsia" w:ascii="宋体" w:hAnsi="宋体" w:eastAsia="宋体" w:cs="宋体"/>
          <w:sz w:val="24"/>
          <w:szCs w:val="24"/>
          <w:highlight w:val="none"/>
          <w:lang w:val="en-US" w:eastAsia="zh-CN"/>
        </w:rPr>
        <w:t>6.3 评标</w:t>
      </w:r>
      <w:bookmarkEnd w:id="183"/>
      <w:bookmarkEnd w:id="184"/>
      <w:bookmarkEnd w:id="185"/>
      <w:bookmarkEnd w:id="186"/>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评标委员会按照第三章“评标办法”规定的方法、评审因素、标准和程序对投标文件进行评审。第三章“评标办法”没有规定的方法、评审因素和标准，不作为评标依据。</w:t>
      </w:r>
    </w:p>
    <w:p>
      <w:pPr>
        <w:spacing w:line="360" w:lineRule="auto"/>
        <w:ind w:firstLine="480" w:firstLineChars="200"/>
        <w:outlineLvl w:val="9"/>
        <w:rPr>
          <w:rFonts w:hint="eastAsia" w:ascii="宋体" w:hAnsi="宋体" w:eastAsia="宋体" w:cs="宋体"/>
          <w:b/>
          <w:bCs/>
          <w:sz w:val="24"/>
          <w:szCs w:val="24"/>
          <w:highlight w:val="none"/>
          <w:lang w:val="en-US" w:eastAsia="zh-CN"/>
        </w:rPr>
      </w:pPr>
      <w:bookmarkStart w:id="187" w:name="_Toc152042342"/>
      <w:bookmarkStart w:id="188" w:name="_Toc144974534"/>
      <w:bookmarkStart w:id="189" w:name="_Toc179632584"/>
      <w:bookmarkStart w:id="190" w:name="_Toc152045566"/>
      <w:r>
        <w:rPr>
          <w:rFonts w:hint="eastAsia" w:ascii="宋体" w:hAnsi="宋体" w:eastAsia="宋体" w:cs="宋体"/>
          <w:b/>
          <w:bCs/>
          <w:sz w:val="24"/>
          <w:szCs w:val="24"/>
          <w:highlight w:val="none"/>
          <w:lang w:val="en-US" w:eastAsia="zh-CN"/>
        </w:rPr>
        <w:t>7. 合同授予</w:t>
      </w:r>
      <w:bookmarkEnd w:id="187"/>
      <w:bookmarkEnd w:id="188"/>
      <w:bookmarkEnd w:id="189"/>
      <w:bookmarkEnd w:id="190"/>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91" w:name="_Toc179632585"/>
      <w:bookmarkStart w:id="192" w:name="_Toc152045567"/>
      <w:bookmarkStart w:id="193" w:name="_Toc144974535"/>
      <w:bookmarkStart w:id="194" w:name="_Toc152042343"/>
      <w:r>
        <w:rPr>
          <w:rFonts w:hint="eastAsia" w:ascii="宋体" w:hAnsi="宋体" w:eastAsia="宋体" w:cs="宋体"/>
          <w:sz w:val="24"/>
          <w:szCs w:val="24"/>
          <w:highlight w:val="none"/>
          <w:lang w:val="en-US" w:eastAsia="zh-CN"/>
        </w:rPr>
        <w:t>7.1 定标方式</w:t>
      </w:r>
      <w:bookmarkEnd w:id="191"/>
      <w:bookmarkEnd w:id="192"/>
      <w:bookmarkEnd w:id="193"/>
      <w:bookmarkEnd w:id="194"/>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除投标供应商须知前附表规定评标委员会直接确定中标人外，采购人依据评标委员会推荐的中标候选人确定中标人，评标委员会推荐中标候选人的人数见投标供应商须知前附表。</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95" w:name="_Toc152045568"/>
      <w:bookmarkStart w:id="196" w:name="_Toc144974536"/>
      <w:bookmarkStart w:id="197" w:name="_Toc152042344"/>
      <w:bookmarkStart w:id="198" w:name="_Toc179632586"/>
      <w:r>
        <w:rPr>
          <w:rFonts w:hint="eastAsia" w:ascii="宋体" w:hAnsi="宋体" w:eastAsia="宋体" w:cs="宋体"/>
          <w:sz w:val="24"/>
          <w:szCs w:val="24"/>
          <w:highlight w:val="none"/>
          <w:lang w:val="en-US" w:eastAsia="zh-CN"/>
        </w:rPr>
        <w:t>7.2 中标通知</w:t>
      </w:r>
      <w:bookmarkEnd w:id="195"/>
      <w:bookmarkEnd w:id="196"/>
      <w:bookmarkEnd w:id="197"/>
      <w:bookmarkEnd w:id="198"/>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在本章第3.3款规定的投标有效期内，采购人以书面形式向中标人发出中标通知书，同时将中标结果通知未中标的投标供应商。</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99" w:name="_Toc152042345"/>
      <w:bookmarkStart w:id="200" w:name="_Toc179632587"/>
      <w:bookmarkStart w:id="201" w:name="_Toc144974537"/>
      <w:bookmarkStart w:id="202" w:name="_Toc152045569"/>
      <w:r>
        <w:rPr>
          <w:rFonts w:hint="eastAsia" w:ascii="宋体" w:hAnsi="宋体" w:eastAsia="宋体" w:cs="宋体"/>
          <w:sz w:val="24"/>
          <w:szCs w:val="24"/>
          <w:highlight w:val="none"/>
          <w:lang w:val="en-US" w:eastAsia="zh-CN"/>
        </w:rPr>
        <w:t>7.3 履约担保</w:t>
      </w:r>
      <w:bookmarkEnd w:id="199"/>
      <w:bookmarkEnd w:id="200"/>
      <w:bookmarkEnd w:id="201"/>
      <w:bookmarkEnd w:id="202"/>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在签订合同前，中标人应按投标供应商须知前附表规定的金额、担保形式和招标文件第四章“合同条款及格式”规定的履约担保格式向采购人提交履约担保。联合体中标的，其履约担保由牵头人递交，并应符合投标供应商须知前附表规定的金额、担保形式和招标文件第四章“合同条款及格式”规定的履约担保格式要求。</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7.3.2 中标人不能按本章第7.3.1项要求提交履约担保的，视为放弃中标，其投标保证金不予退还，给采购人造成的损失超过投标保证金数额的，中标人还应当对超过部分予以赔偿。</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203" w:name="_Toc179632588"/>
      <w:bookmarkStart w:id="204" w:name="_Toc152042346"/>
      <w:bookmarkStart w:id="205" w:name="_Toc144974538"/>
      <w:bookmarkStart w:id="206" w:name="_Toc152045570"/>
      <w:r>
        <w:rPr>
          <w:rFonts w:hint="eastAsia" w:ascii="宋体" w:hAnsi="宋体" w:eastAsia="宋体" w:cs="宋体"/>
          <w:sz w:val="24"/>
          <w:szCs w:val="24"/>
          <w:highlight w:val="none"/>
          <w:lang w:val="en-US" w:eastAsia="zh-CN"/>
        </w:rPr>
        <w:t>7.4 签订合同</w:t>
      </w:r>
      <w:bookmarkEnd w:id="203"/>
      <w:bookmarkEnd w:id="204"/>
      <w:bookmarkEnd w:id="205"/>
      <w:bookmarkEnd w:id="206"/>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7.4.1采购人和中标人应当自中标通知书发出之日起30天内，根据招标文件和中标人的投标文件订立书面合同。中标人无正当理由拒签合同的，采购人取消其中标资格，其投标保证金不予退还；给采购人造成的损失超过投标保证金数额的，中标人还应当对超过部分予以赔偿。 </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7.4.2 发出中标通知书后，采购人无正当理由拒签合同的，采购人向中标人退还投标保证金；给中标人造成损失的，还应当赔偿损失。 </w:t>
      </w:r>
    </w:p>
    <w:p>
      <w:pPr>
        <w:spacing w:line="360" w:lineRule="auto"/>
        <w:ind w:firstLine="480" w:firstLineChars="200"/>
        <w:outlineLvl w:val="9"/>
        <w:rPr>
          <w:rFonts w:hint="eastAsia" w:ascii="宋体" w:hAnsi="宋体" w:eastAsia="宋体" w:cs="宋体"/>
          <w:b/>
          <w:bCs/>
          <w:sz w:val="24"/>
          <w:szCs w:val="24"/>
          <w:highlight w:val="none"/>
          <w:lang w:val="en-US" w:eastAsia="zh-CN"/>
        </w:rPr>
      </w:pPr>
      <w:bookmarkStart w:id="207" w:name="_Toc152042347"/>
      <w:bookmarkStart w:id="208" w:name="_Toc144974539"/>
      <w:bookmarkStart w:id="209" w:name="_Toc152045571"/>
      <w:bookmarkStart w:id="210" w:name="_Toc179632589"/>
      <w:r>
        <w:rPr>
          <w:rFonts w:hint="eastAsia" w:ascii="宋体" w:hAnsi="宋体" w:eastAsia="宋体" w:cs="宋体"/>
          <w:b/>
          <w:bCs/>
          <w:sz w:val="24"/>
          <w:szCs w:val="24"/>
          <w:highlight w:val="none"/>
          <w:lang w:val="en-US" w:eastAsia="zh-CN"/>
        </w:rPr>
        <w:t>8. 重新招标和不再招标</w:t>
      </w:r>
      <w:bookmarkEnd w:id="207"/>
      <w:bookmarkEnd w:id="208"/>
      <w:bookmarkEnd w:id="209"/>
      <w:bookmarkEnd w:id="210"/>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211" w:name="_Toc179632590"/>
      <w:bookmarkStart w:id="212" w:name="_Toc144974540"/>
      <w:bookmarkStart w:id="213" w:name="_Toc152045572"/>
      <w:bookmarkStart w:id="214" w:name="_Toc152042348"/>
      <w:r>
        <w:rPr>
          <w:rFonts w:hint="eastAsia" w:ascii="宋体" w:hAnsi="宋体" w:eastAsia="宋体" w:cs="宋体"/>
          <w:sz w:val="24"/>
          <w:szCs w:val="24"/>
          <w:highlight w:val="none"/>
          <w:lang w:val="en-US" w:eastAsia="zh-CN"/>
        </w:rPr>
        <w:t>8.1 重新招标</w:t>
      </w:r>
      <w:bookmarkEnd w:id="211"/>
      <w:bookmarkEnd w:id="212"/>
      <w:bookmarkEnd w:id="213"/>
      <w:bookmarkEnd w:id="214"/>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有下列情形之一的，采购人将重新招标：</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（1）投标截止时间止，投标供应商少于3个的；</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（2）经评标委员会评审后否决所有投标的。</w:t>
      </w:r>
    </w:p>
    <w:p>
      <w:pPr>
        <w:spacing w:line="360" w:lineRule="auto"/>
        <w:ind w:firstLine="480" w:firstLineChars="200"/>
        <w:outlineLvl w:val="9"/>
        <w:rPr>
          <w:rFonts w:hint="eastAsia" w:ascii="宋体" w:hAnsi="宋体" w:eastAsia="宋体" w:cs="宋体"/>
          <w:b/>
          <w:bCs/>
          <w:sz w:val="24"/>
          <w:szCs w:val="24"/>
          <w:highlight w:val="none"/>
          <w:lang w:val="en-US" w:eastAsia="zh-CN"/>
        </w:rPr>
      </w:pPr>
      <w:bookmarkStart w:id="215" w:name="_Toc179632592"/>
      <w:bookmarkStart w:id="216" w:name="_Toc152045574"/>
      <w:bookmarkStart w:id="217" w:name="_Toc152042350"/>
      <w:bookmarkStart w:id="218" w:name="_Toc144974542"/>
      <w:r>
        <w:rPr>
          <w:rFonts w:hint="eastAsia" w:ascii="宋体" w:hAnsi="宋体" w:eastAsia="宋体" w:cs="宋体"/>
          <w:b/>
          <w:bCs/>
          <w:sz w:val="24"/>
          <w:szCs w:val="24"/>
          <w:highlight w:val="none"/>
          <w:lang w:val="en-US" w:eastAsia="zh-CN"/>
        </w:rPr>
        <w:t>9. 纪律和监督</w:t>
      </w:r>
      <w:bookmarkEnd w:id="215"/>
      <w:bookmarkEnd w:id="216"/>
      <w:bookmarkEnd w:id="217"/>
      <w:bookmarkEnd w:id="218"/>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219" w:name="_Toc144974543"/>
      <w:bookmarkStart w:id="220" w:name="_Toc179632593"/>
      <w:bookmarkStart w:id="221" w:name="_Toc152042351"/>
      <w:bookmarkStart w:id="222" w:name="_Toc152045575"/>
      <w:r>
        <w:rPr>
          <w:rFonts w:hint="eastAsia" w:ascii="宋体" w:hAnsi="宋体" w:eastAsia="宋体" w:cs="宋体"/>
          <w:sz w:val="24"/>
          <w:szCs w:val="24"/>
          <w:highlight w:val="none"/>
          <w:lang w:val="en-US" w:eastAsia="zh-CN"/>
        </w:rPr>
        <w:t>9.1 对采购人的纪律要求</w:t>
      </w:r>
      <w:bookmarkEnd w:id="219"/>
      <w:bookmarkEnd w:id="220"/>
      <w:bookmarkEnd w:id="221"/>
      <w:bookmarkEnd w:id="222"/>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采购人不得泄漏招标投标活动中应当保密的情况和资料，不得与投标供应商串通损害国家利益、社会公共利益或者他人合法权益。</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223" w:name="_Toc144974544"/>
      <w:bookmarkStart w:id="224" w:name="_Toc179632594"/>
      <w:bookmarkStart w:id="225" w:name="_Toc152042352"/>
      <w:bookmarkStart w:id="226" w:name="_Toc152045576"/>
      <w:r>
        <w:rPr>
          <w:rFonts w:hint="eastAsia" w:ascii="宋体" w:hAnsi="宋体" w:eastAsia="宋体" w:cs="宋体"/>
          <w:sz w:val="24"/>
          <w:szCs w:val="24"/>
          <w:highlight w:val="none"/>
          <w:lang w:val="en-US" w:eastAsia="zh-CN"/>
        </w:rPr>
        <w:t>9.2 对投标供应商的纪律要求</w:t>
      </w:r>
      <w:bookmarkEnd w:id="223"/>
      <w:bookmarkEnd w:id="224"/>
      <w:bookmarkEnd w:id="225"/>
      <w:bookmarkEnd w:id="226"/>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227" w:name="_Toc144974545"/>
      <w:bookmarkStart w:id="228" w:name="_Toc152045577"/>
      <w:bookmarkStart w:id="229" w:name="_Toc152042353"/>
      <w:bookmarkStart w:id="230" w:name="_Toc179632595"/>
      <w:r>
        <w:rPr>
          <w:rFonts w:hint="eastAsia" w:ascii="宋体" w:hAnsi="宋体" w:eastAsia="宋体" w:cs="宋体"/>
          <w:sz w:val="24"/>
          <w:szCs w:val="24"/>
          <w:highlight w:val="none"/>
          <w:lang w:val="en-US" w:eastAsia="zh-CN"/>
        </w:rPr>
        <w:t>9.3 对评标委员会成员的纪律要求</w:t>
      </w:r>
      <w:bookmarkEnd w:id="227"/>
      <w:bookmarkEnd w:id="228"/>
      <w:bookmarkEnd w:id="229"/>
      <w:bookmarkEnd w:id="230"/>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231" w:name="_Toc152042354"/>
      <w:bookmarkStart w:id="232" w:name="_Toc179632596"/>
      <w:bookmarkStart w:id="233" w:name="_Toc152045578"/>
      <w:bookmarkStart w:id="234" w:name="_Toc144974546"/>
      <w:r>
        <w:rPr>
          <w:rFonts w:hint="eastAsia" w:ascii="宋体" w:hAnsi="宋体" w:eastAsia="宋体" w:cs="宋体"/>
          <w:sz w:val="24"/>
          <w:szCs w:val="24"/>
          <w:highlight w:val="none"/>
          <w:lang w:val="en-US" w:eastAsia="zh-CN"/>
        </w:rPr>
        <w:t>9.4 对与评标活动有关的工作人员的纪律要求</w:t>
      </w:r>
      <w:bookmarkEnd w:id="231"/>
      <w:bookmarkEnd w:id="232"/>
      <w:bookmarkEnd w:id="233"/>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235" w:name="_Toc152042355"/>
      <w:r>
        <w:rPr>
          <w:rFonts w:hint="eastAsia" w:ascii="宋体" w:hAnsi="宋体" w:eastAsia="宋体" w:cs="宋体"/>
          <w:sz w:val="24"/>
          <w:szCs w:val="24"/>
          <w:highlight w:val="none"/>
          <w:lang w:val="en-US"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35"/>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236" w:name="_Toc152045579"/>
      <w:bookmarkStart w:id="237" w:name="_Toc179632597"/>
      <w:bookmarkStart w:id="238" w:name="_Toc152042356"/>
      <w:r>
        <w:rPr>
          <w:rFonts w:hint="eastAsia" w:ascii="宋体" w:hAnsi="宋体" w:eastAsia="宋体" w:cs="宋体"/>
          <w:sz w:val="24"/>
          <w:szCs w:val="24"/>
          <w:highlight w:val="none"/>
          <w:lang w:val="en-US" w:eastAsia="zh-CN"/>
        </w:rPr>
        <w:t>9.5 投诉</w:t>
      </w:r>
      <w:bookmarkEnd w:id="234"/>
      <w:bookmarkEnd w:id="236"/>
      <w:bookmarkEnd w:id="237"/>
      <w:bookmarkEnd w:id="238"/>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投标供应商和其他利害关系人认为本次招标活动违反法律、法规和规章规定的，有权向有关行政监督部门投诉。</w:t>
      </w:r>
    </w:p>
    <w:p>
      <w:pPr>
        <w:spacing w:line="360" w:lineRule="auto"/>
        <w:ind w:firstLine="480" w:firstLineChars="200"/>
        <w:outlineLvl w:val="9"/>
        <w:rPr>
          <w:rFonts w:hint="eastAsia" w:ascii="宋体" w:hAnsi="宋体" w:eastAsia="宋体" w:cs="宋体"/>
          <w:b/>
          <w:bCs/>
          <w:sz w:val="24"/>
          <w:szCs w:val="24"/>
          <w:highlight w:val="none"/>
          <w:lang w:val="en-US" w:eastAsia="zh-CN"/>
        </w:rPr>
      </w:pPr>
      <w:bookmarkStart w:id="239" w:name="_Toc152045580"/>
      <w:bookmarkStart w:id="240" w:name="_Toc144974547"/>
      <w:bookmarkStart w:id="241" w:name="_Toc179632598"/>
      <w:bookmarkStart w:id="242" w:name="_Toc152042357"/>
      <w:r>
        <w:rPr>
          <w:rFonts w:hint="eastAsia" w:ascii="宋体" w:hAnsi="宋体" w:eastAsia="宋体" w:cs="宋体"/>
          <w:b/>
          <w:bCs/>
          <w:sz w:val="24"/>
          <w:szCs w:val="24"/>
          <w:highlight w:val="none"/>
          <w:lang w:val="en-US" w:eastAsia="zh-CN"/>
        </w:rPr>
        <w:t>10. 需要补充的其他内容</w:t>
      </w:r>
      <w:bookmarkEnd w:id="239"/>
      <w:bookmarkEnd w:id="240"/>
      <w:bookmarkEnd w:id="241"/>
      <w:bookmarkEnd w:id="242"/>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需要补充的其他内容：见投标供应商须知前附表。</w:t>
      </w:r>
    </w:p>
    <w:p>
      <w:pPr>
        <w:pStyle w:val="6"/>
        <w:spacing w:before="120" w:after="120" w:line="400" w:lineRule="exact"/>
        <w:jc w:val="center"/>
        <w:rPr>
          <w:rFonts w:hint="eastAsia" w:ascii="黑体" w:hAnsi="黑体" w:eastAsia="黑体"/>
          <w:b w:val="0"/>
          <w:bCs w:val="0"/>
          <w:sz w:val="32"/>
          <w:highlight w:val="none"/>
        </w:rPr>
      </w:pPr>
      <w:r>
        <w:rPr>
          <w:rFonts w:hint="eastAsia"/>
          <w:highlight w:val="none"/>
        </w:rPr>
        <w:br w:type="page"/>
      </w:r>
      <w:bookmarkStart w:id="243" w:name="_Toc144974565"/>
      <w:bookmarkStart w:id="244" w:name="_Toc152042375"/>
      <w:bookmarkStart w:id="245" w:name="_Toc179632616"/>
      <w:bookmarkStart w:id="246" w:name="_Toc1045"/>
      <w:bookmarkStart w:id="247" w:name="_Toc152045598"/>
      <w:r>
        <w:rPr>
          <w:rStyle w:val="53"/>
          <w:rFonts w:hint="eastAsia" w:ascii="黑体" w:hAnsi="黑体" w:eastAsia="黑体" w:cs="黑体"/>
          <w:b/>
          <w:bCs/>
          <w:sz w:val="32"/>
          <w:szCs w:val="32"/>
          <w:highlight w:val="none"/>
          <w:lang w:val="en-US" w:eastAsia="zh-CN" w:bidi="ar-SA"/>
        </w:rPr>
        <w:t>第三章 评标办法</w:t>
      </w:r>
      <w:bookmarkEnd w:id="243"/>
      <w:bookmarkEnd w:id="244"/>
      <w:bookmarkEnd w:id="245"/>
      <w:bookmarkEnd w:id="246"/>
      <w:bookmarkEnd w:id="247"/>
    </w:p>
    <w:p>
      <w:pPr>
        <w:bidi w:val="0"/>
        <w:jc w:val="center"/>
        <w:rPr>
          <w:rFonts w:hint="eastAsia"/>
          <w:b/>
          <w:bCs/>
          <w:highlight w:val="none"/>
        </w:rPr>
      </w:pPr>
      <w:bookmarkStart w:id="248" w:name="_Toc152045599"/>
      <w:bookmarkStart w:id="249" w:name="_Toc179632617"/>
      <w:bookmarkStart w:id="250" w:name="_Toc152042376"/>
      <w:bookmarkStart w:id="251" w:name="_Toc144974566"/>
      <w:r>
        <w:rPr>
          <w:rFonts w:hint="eastAsia"/>
          <w:b/>
          <w:bCs/>
          <w:sz w:val="28"/>
          <w:szCs w:val="28"/>
          <w:highlight w:val="none"/>
        </w:rPr>
        <w:t>评标办法前附表</w:t>
      </w:r>
      <w:bookmarkEnd w:id="248"/>
      <w:bookmarkEnd w:id="249"/>
      <w:bookmarkEnd w:id="250"/>
      <w:bookmarkEnd w:id="251"/>
    </w:p>
    <w:p>
      <w:pPr>
        <w:spacing w:line="400" w:lineRule="exact"/>
        <w:rPr>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46"/>
        <w:gridCol w:w="1346"/>
        <w:gridCol w:w="1231"/>
        <w:gridCol w:w="4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jc w:val="center"/>
        </w:trPr>
        <w:tc>
          <w:tcPr>
            <w:tcW w:w="185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szCs w:val="21"/>
                <w:highlight w:val="none"/>
              </w:rPr>
            </w:pPr>
            <w:r>
              <w:rPr>
                <w:rFonts w:hint="eastAsia" w:ascii="宋体" w:hAnsi="宋体"/>
                <w:b/>
                <w:szCs w:val="21"/>
                <w:highlight w:val="none"/>
              </w:rPr>
              <w:t>条款号</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szCs w:val="21"/>
                <w:highlight w:val="none"/>
              </w:rPr>
            </w:pPr>
            <w:r>
              <w:rPr>
                <w:rFonts w:hint="eastAsia" w:ascii="宋体" w:hAnsi="宋体"/>
                <w:b/>
                <w:szCs w:val="21"/>
                <w:highlight w:val="none"/>
              </w:rPr>
              <w:t>评审因素</w:t>
            </w:r>
          </w:p>
        </w:tc>
        <w:tc>
          <w:tcPr>
            <w:tcW w:w="588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szCs w:val="21"/>
                <w:highlight w:val="none"/>
              </w:rPr>
            </w:pPr>
            <w:r>
              <w:rPr>
                <w:rFonts w:hint="eastAsia" w:ascii="宋体" w:hAnsi="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Cs w:val="21"/>
                <w:highlight w:val="none"/>
              </w:rPr>
              <w:t>2.1.1</w:t>
            </w:r>
          </w:p>
        </w:tc>
        <w:tc>
          <w:tcPr>
            <w:tcW w:w="10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eastAsia="宋体"/>
                <w:szCs w:val="21"/>
                <w:highlight w:val="none"/>
                <w:lang w:val="en-US" w:eastAsia="zh-CN"/>
              </w:rPr>
            </w:pPr>
            <w:r>
              <w:rPr>
                <w:rFonts w:hint="eastAsia" w:ascii="宋体" w:hAnsi="宋体"/>
                <w:szCs w:val="21"/>
                <w:highlight w:val="none"/>
                <w:lang w:val="en-US" w:eastAsia="zh-CN"/>
              </w:rPr>
              <w:t>资格审查</w:t>
            </w:r>
          </w:p>
        </w:tc>
        <w:tc>
          <w:tcPr>
            <w:tcW w:w="723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rPr>
            </w:pPr>
            <w:r>
              <w:rPr>
                <w:rFonts w:hint="eastAsia"/>
                <w:lang w:val="en-US" w:eastAsia="zh-CN"/>
              </w:rPr>
              <w:t>1.</w:t>
            </w:r>
            <w:r>
              <w:rPr>
                <w:rFonts w:hint="eastAsia"/>
              </w:rPr>
              <w:t>供应商资格声明（格式）；</w:t>
            </w:r>
          </w:p>
          <w:p>
            <w:pPr>
              <w:spacing w:line="360" w:lineRule="auto"/>
              <w:rPr>
                <w:rFonts w:hint="eastAsia"/>
              </w:rPr>
            </w:pPr>
            <w:r>
              <w:rPr>
                <w:rFonts w:hint="eastAsia"/>
              </w:rPr>
              <w:t>1）企业法人</w:t>
            </w:r>
            <w:r>
              <w:rPr>
                <w:rFonts w:hint="eastAsia"/>
                <w:lang w:eastAsia="zh-CN"/>
              </w:rPr>
              <w:t>、</w:t>
            </w:r>
            <w:r>
              <w:rPr>
                <w:rFonts w:hint="eastAsia"/>
                <w:lang w:val="en-US" w:eastAsia="zh-CN"/>
              </w:rPr>
              <w:t>其他组织</w:t>
            </w:r>
            <w:r>
              <w:rPr>
                <w:rFonts w:hint="eastAsia"/>
              </w:rPr>
              <w:t>营业执照副本</w:t>
            </w:r>
            <w:r>
              <w:rPr>
                <w:rFonts w:hint="eastAsia"/>
                <w:lang w:val="en-US" w:eastAsia="zh-CN"/>
              </w:rPr>
              <w:t>或</w:t>
            </w:r>
            <w:r>
              <w:rPr>
                <w:rFonts w:hint="eastAsia"/>
              </w:rPr>
              <w:t>事业单位法人证书</w:t>
            </w:r>
            <w:r>
              <w:rPr>
                <w:rFonts w:hint="eastAsia"/>
                <w:lang w:eastAsia="zh-CN"/>
              </w:rPr>
              <w:t>，自然人提供身份证明</w:t>
            </w:r>
            <w:r>
              <w:rPr>
                <w:rFonts w:hint="eastAsia"/>
              </w:rPr>
              <w:t>（复印件加盖投标供应商公章）；</w:t>
            </w:r>
          </w:p>
          <w:p>
            <w:pPr>
              <w:spacing w:line="360" w:lineRule="auto"/>
              <w:rPr>
                <w:rFonts w:hint="eastAsia"/>
                <w:lang w:val="en-US" w:eastAsia="zh-CN"/>
              </w:rPr>
            </w:pPr>
            <w:r>
              <w:rPr>
                <w:rFonts w:hint="eastAsia"/>
              </w:rPr>
              <w:t>2）</w:t>
            </w:r>
            <w:r>
              <w:rPr>
                <w:rFonts w:hint="eastAsia"/>
                <w:lang w:val="en-US" w:eastAsia="zh-CN"/>
              </w:rPr>
              <w:t>2022年度经审计的财务报告（成立时间至开标会议日期不足一年的投标供应商可提供成立后任意时段的资产负债表）（复印件加盖投标供应商公章）；</w:t>
            </w:r>
          </w:p>
          <w:p>
            <w:pPr>
              <w:spacing w:line="360" w:lineRule="auto"/>
              <w:rPr>
                <w:rFonts w:hint="eastAsia"/>
                <w:lang w:val="en-US" w:eastAsia="zh-CN"/>
              </w:rPr>
            </w:pPr>
            <w:r>
              <w:rPr>
                <w:rFonts w:hint="eastAsia"/>
                <w:lang w:val="en-US" w:eastAsia="zh-CN"/>
              </w:rPr>
              <w:t>或在开标会议日期前六个月内其基本存款账户开户银行出具的资信证明（原件）；</w:t>
            </w:r>
          </w:p>
          <w:p>
            <w:pPr>
              <w:spacing w:line="360" w:lineRule="auto"/>
              <w:rPr>
                <w:rFonts w:hint="eastAsia"/>
                <w:lang w:val="en-US" w:eastAsia="zh-CN"/>
              </w:rPr>
            </w:pPr>
            <w:r>
              <w:rPr>
                <w:rFonts w:hint="eastAsia"/>
                <w:lang w:val="en-US" w:eastAsia="zh-CN"/>
              </w:rPr>
              <w:t>或在开标会议日期前六个月内信用担保机构出具的投标担保函（原件）；</w:t>
            </w:r>
          </w:p>
          <w:p>
            <w:pPr>
              <w:spacing w:line="360" w:lineRule="auto"/>
              <w:rPr>
                <w:rFonts w:hint="eastAsia"/>
              </w:rPr>
            </w:pPr>
            <w:r>
              <w:rPr>
                <w:rFonts w:hint="eastAsia"/>
                <w:lang w:val="en-US" w:eastAsia="zh-CN"/>
              </w:rPr>
              <w:t>（以上三种形式的资料提供任何一种即可）</w:t>
            </w:r>
          </w:p>
          <w:p>
            <w:pPr>
              <w:spacing w:line="360" w:lineRule="auto"/>
              <w:rPr>
                <w:rFonts w:hint="eastAsia"/>
              </w:rPr>
            </w:pPr>
            <w:r>
              <w:rPr>
                <w:rFonts w:hint="eastAsia"/>
              </w:rPr>
              <w:t>3）开标会议日期前十二个月任意</w:t>
            </w:r>
            <w:r>
              <w:rPr>
                <w:rFonts w:hint="eastAsia"/>
                <w:lang w:eastAsia="zh-CN"/>
              </w:rPr>
              <w:t>一</w:t>
            </w:r>
            <w:r>
              <w:rPr>
                <w:rFonts w:hint="eastAsia"/>
              </w:rPr>
              <w:t>个月缴税凭据（复印件加盖投标供应商公章）（依法免税的投标供应商应提供相应文件证明）；</w:t>
            </w:r>
          </w:p>
          <w:p>
            <w:pPr>
              <w:spacing w:line="360" w:lineRule="auto"/>
              <w:rPr>
                <w:rFonts w:hint="eastAsia"/>
                <w:lang w:eastAsia="zh-CN"/>
              </w:rPr>
            </w:pPr>
            <w:r>
              <w:rPr>
                <w:rFonts w:hint="eastAsia"/>
              </w:rPr>
              <w:t>4）开标会议日期前十二个月任意</w:t>
            </w:r>
            <w:r>
              <w:rPr>
                <w:rFonts w:hint="eastAsia"/>
                <w:lang w:eastAsia="zh-CN"/>
              </w:rPr>
              <w:t>一</w:t>
            </w:r>
            <w:r>
              <w:rPr>
                <w:rFonts w:hint="eastAsia"/>
              </w:rPr>
              <w:t>个月缴纳社会保险的凭据（专用收据或社会保险缴纳清单或其他证明材料）（复印件加盖投标供应商公章）（依法不需要缴纳社会保障资金的投标供应商应提供相应文件证明）</w:t>
            </w:r>
            <w:r>
              <w:rPr>
                <w:rFonts w:hint="eastAsia"/>
                <w:lang w:eastAsia="zh-CN"/>
              </w:rPr>
              <w:t>；</w:t>
            </w:r>
          </w:p>
          <w:p>
            <w:pPr>
              <w:spacing w:line="360" w:lineRule="auto"/>
              <w:rPr>
                <w:rFonts w:hint="eastAsia"/>
                <w:highlight w:val="none"/>
              </w:rPr>
            </w:pPr>
            <w:r>
              <w:rPr>
                <w:rFonts w:hint="eastAsia"/>
                <w:highlight w:val="none"/>
                <w:lang w:val="en-US" w:eastAsia="zh-CN"/>
              </w:rPr>
              <w:t>2.建筑工程总承包二级及以上资质证书和特种专业工程专业承包资质证书（建筑物结构补强）（复印件加盖投标供应商公章）</w:t>
            </w:r>
            <w:r>
              <w:rPr>
                <w:rFonts w:hint="eastAsia"/>
                <w:highlight w:val="none"/>
              </w:rPr>
              <w:t>；</w:t>
            </w:r>
          </w:p>
          <w:p>
            <w:pPr>
              <w:spacing w:line="360" w:lineRule="auto"/>
              <w:rPr>
                <w:rFonts w:hint="eastAsia"/>
                <w:highlight w:val="none"/>
                <w:lang w:val="en-US" w:eastAsia="zh-CN"/>
              </w:rPr>
            </w:pPr>
            <w:r>
              <w:rPr>
                <w:rFonts w:hint="eastAsia"/>
                <w:highlight w:val="none"/>
                <w:lang w:val="en-US" w:eastAsia="zh-CN"/>
              </w:rPr>
              <w:t>3.建设行政主管部门颁发的安全生产许可证（复印件加盖投标供应商公章）；</w:t>
            </w:r>
          </w:p>
          <w:p>
            <w:pPr>
              <w:spacing w:line="360" w:lineRule="auto"/>
              <w:rPr>
                <w:rFonts w:hint="eastAsia"/>
                <w:highlight w:val="none"/>
                <w:lang w:val="en-US" w:eastAsia="zh-CN"/>
              </w:rPr>
            </w:pPr>
            <w:r>
              <w:rPr>
                <w:rFonts w:hint="eastAsia"/>
                <w:highlight w:val="none"/>
                <w:lang w:val="en-US" w:eastAsia="zh-CN"/>
              </w:rPr>
              <w:t>4.供应商拟派项目经理建筑工程专业二级及以上建造师资格证书（复印件加盖投标供应商公章）,有效的安全生产考核合格证书（建安B证）（复印件加盖投标供应商公章），且未担任其他在建工程项目的项目经理（提供无在建工程承诺书）；</w:t>
            </w:r>
          </w:p>
          <w:p>
            <w:pPr>
              <w:spacing w:line="360" w:lineRule="auto"/>
              <w:rPr>
                <w:rFonts w:hint="eastAsia"/>
                <w:lang w:val="en-GB"/>
              </w:rPr>
            </w:pPr>
            <w:r>
              <w:rPr>
                <w:rFonts w:hint="eastAsia"/>
                <w:lang w:val="en-US" w:eastAsia="zh-CN"/>
              </w:rPr>
              <w:t>5.</w:t>
            </w:r>
            <w:r>
              <w:rPr>
                <w:rFonts w:hint="eastAsia"/>
              </w:rPr>
              <w:t>投标</w:t>
            </w:r>
            <w:r>
              <w:rPr>
                <w:rFonts w:hint="eastAsia"/>
                <w:lang w:val="en-GB"/>
              </w:rPr>
              <w:t>保证金汇款声明函</w:t>
            </w:r>
            <w:r>
              <w:rPr>
                <w:rFonts w:hint="eastAsia"/>
              </w:rPr>
              <w:t>/保函</w:t>
            </w:r>
            <w:r>
              <w:rPr>
                <w:rFonts w:hint="eastAsia"/>
                <w:lang w:val="en-GB"/>
              </w:rPr>
              <w:t>（</w:t>
            </w:r>
            <w:r>
              <w:rPr>
                <w:rFonts w:hint="eastAsia"/>
              </w:rPr>
              <w:t>格式</w:t>
            </w:r>
            <w:r>
              <w:rPr>
                <w:rFonts w:hint="eastAsia"/>
                <w:lang w:val="en-GB"/>
              </w:rPr>
              <w:t>）</w:t>
            </w:r>
            <w:r>
              <w:rPr>
                <w:rFonts w:hint="eastAsia"/>
                <w:lang w:val="en-GB" w:eastAsia="zh-CN"/>
              </w:rPr>
              <w:t>（</w:t>
            </w:r>
            <w:r>
              <w:rPr>
                <w:rFonts w:hint="eastAsia"/>
                <w:lang w:val="en-US" w:eastAsia="zh-CN"/>
              </w:rPr>
              <w:t>若提交保函，应于投标文件递交截止时间前将保函扫描件发送至采购代理机构指定邮箱</w:t>
            </w:r>
            <w:r>
              <w:rPr>
                <w:rFonts w:hint="eastAsia"/>
                <w:lang w:val="en-GB" w:eastAsia="zh-CN"/>
              </w:rPr>
              <w:t>）</w:t>
            </w:r>
            <w:r>
              <w:rPr>
                <w:rFonts w:hint="eastAsia"/>
                <w:lang w:val="en-GB"/>
              </w:rPr>
              <w:t>；</w:t>
            </w:r>
          </w:p>
          <w:p>
            <w:pPr>
              <w:spacing w:line="360" w:lineRule="auto"/>
              <w:rPr>
                <w:rFonts w:hint="eastAsia"/>
              </w:rPr>
            </w:pPr>
            <w:r>
              <w:rPr>
                <w:rFonts w:hint="eastAsia"/>
                <w:lang w:val="en-US" w:eastAsia="zh-CN"/>
              </w:rPr>
              <w:t>6.</w:t>
            </w:r>
            <w:r>
              <w:rPr>
                <w:rFonts w:hint="eastAsia"/>
              </w:rPr>
              <w:t>法定代表人授权书（法定代表人直接参加投标须提交法定代表人证明书）（格式）；</w:t>
            </w:r>
          </w:p>
          <w:p>
            <w:pPr>
              <w:spacing w:line="360" w:lineRule="auto"/>
              <w:rPr>
                <w:rFonts w:hint="eastAsia" w:ascii="Times New Roman" w:hAnsi="Times New Roman" w:eastAsia="宋体"/>
                <w:highlight w:val="none"/>
                <w:lang w:val="en-US" w:eastAsia="zh-CN"/>
              </w:rPr>
            </w:pPr>
            <w:r>
              <w:rPr>
                <w:rFonts w:hint="eastAsia"/>
                <w:highlight w:val="none"/>
                <w:lang w:val="en-US" w:eastAsia="zh-CN"/>
              </w:rPr>
              <w:t>7.</w:t>
            </w:r>
            <w:r>
              <w:rPr>
                <w:rFonts w:hint="eastAsia" w:ascii="宋体" w:hAnsi="宋体" w:eastAsia="宋体" w:cs="宋体"/>
                <w:sz w:val="21"/>
                <w:szCs w:val="21"/>
                <w:highlight w:val="none"/>
                <w:lang w:val="en-US" w:eastAsia="zh-CN"/>
              </w:rPr>
              <w:t>本工程应由中型企业、小型企业、微型企业、监狱企业或残疾人福利性单位承建</w:t>
            </w:r>
            <w:r>
              <w:rPr>
                <w:rFonts w:hint="eastAsia" w:ascii="Times New Roman" w:hAnsi="Times New Roman" w:eastAsia="宋体" w:cs="Calibri"/>
                <w:b w:val="0"/>
                <w:bCs w:val="0"/>
                <w:kern w:val="2"/>
                <w:sz w:val="21"/>
                <w:szCs w:val="21"/>
                <w:highlight w:val="none"/>
                <w:lang w:val="en-US" w:eastAsia="zh-CN" w:bidi="ar-SA"/>
              </w:rPr>
              <w:t>。中小企业的划分标准所属行业符合本项目要求，提供《中小企业声明函》（格式）；监狱企业应提供监狱企业的证明文件；残疾人福利性单位的应提供《残疾人福利性单位声明函》（格式）（以上证明材料提供任意一种即可，无需重复提供）</w:t>
            </w:r>
            <w:r>
              <w:rPr>
                <w:rFonts w:hint="eastAsia" w:ascii="Times New Roman" w:hAnsi="Times New Roman" w:eastAsia="宋体"/>
                <w:highlight w:val="none"/>
                <w:lang w:val="en-US" w:eastAsia="zh-CN"/>
              </w:rPr>
              <w:t>。</w:t>
            </w:r>
          </w:p>
          <w:p>
            <w:pPr>
              <w:spacing w:line="360" w:lineRule="auto"/>
            </w:pPr>
            <w:r>
              <w:rPr>
                <w:rFonts w:hint="eastAsia" w:ascii="Times New Roman" w:hAnsi="Times New Roman" w:eastAsia="宋体"/>
                <w:lang w:val="en-US" w:eastAsia="zh-CN"/>
              </w:rPr>
              <w:t>8.供应商未被列入“信用中国”网站(</w:t>
            </w:r>
            <w:r>
              <w:rPr>
                <w:rFonts w:hint="eastAsia" w:ascii="Times New Roman" w:hAnsi="Times New Roman" w:eastAsia="宋体"/>
                <w:lang w:val="en-US" w:eastAsia="zh-CN"/>
              </w:rPr>
              <w:fldChar w:fldCharType="begin"/>
            </w:r>
            <w:r>
              <w:rPr>
                <w:rFonts w:hint="eastAsia" w:ascii="Times New Roman" w:hAnsi="Times New Roman" w:eastAsia="宋体"/>
                <w:lang w:val="en-US" w:eastAsia="zh-CN"/>
              </w:rPr>
              <w:instrText xml:space="preserve"> HYPERLINK "http://www.creditchina.gov.cn/" </w:instrText>
            </w:r>
            <w:r>
              <w:rPr>
                <w:rFonts w:hint="eastAsia" w:ascii="Times New Roman" w:hAnsi="Times New Roman" w:eastAsia="宋体"/>
                <w:lang w:val="en-US" w:eastAsia="zh-CN"/>
              </w:rPr>
              <w:fldChar w:fldCharType="separate"/>
            </w:r>
            <w:r>
              <w:rPr>
                <w:rFonts w:hint="eastAsia" w:ascii="Times New Roman" w:hAnsi="Times New Roman" w:eastAsia="宋体"/>
                <w:lang w:val="en-US" w:eastAsia="zh-CN"/>
              </w:rPr>
              <w:t>www.creditchina.gov.cn</w:t>
            </w:r>
            <w:r>
              <w:rPr>
                <w:rFonts w:hint="eastAsia" w:ascii="Times New Roman" w:hAnsi="Times New Roman" w:eastAsia="宋体"/>
                <w:lang w:val="en-US" w:eastAsia="zh-CN"/>
              </w:rPr>
              <w:fldChar w:fldCharType="end"/>
            </w:r>
            <w:r>
              <w:rPr>
                <w:rFonts w:hint="eastAsia" w:ascii="Times New Roman" w:hAnsi="Times New Roman" w:eastAsia="宋体"/>
                <w:lang w:val="en-US" w:eastAsia="zh-CN"/>
              </w:rPr>
              <w:t>)“失信被执行人或重大税收违法失信主体或政府采购严重违法失信行为”记录名单；不处于中国政府采购网(</w:t>
            </w:r>
            <w:r>
              <w:rPr>
                <w:rFonts w:hint="eastAsia" w:ascii="Times New Roman" w:hAnsi="Times New Roman" w:eastAsia="宋体"/>
                <w:lang w:val="en-US" w:eastAsia="zh-CN"/>
              </w:rPr>
              <w:fldChar w:fldCharType="begin"/>
            </w:r>
            <w:r>
              <w:rPr>
                <w:rFonts w:hint="eastAsia" w:ascii="Times New Roman" w:hAnsi="Times New Roman" w:eastAsia="宋体"/>
                <w:lang w:val="en-US" w:eastAsia="zh-CN"/>
              </w:rPr>
              <w:instrText xml:space="preserve"> HYPERLINK "http://www.ccgp.gov.cn/" </w:instrText>
            </w:r>
            <w:r>
              <w:rPr>
                <w:rFonts w:hint="eastAsia" w:ascii="Times New Roman" w:hAnsi="Times New Roman" w:eastAsia="宋体"/>
                <w:lang w:val="en-US" w:eastAsia="zh-CN"/>
              </w:rPr>
              <w:fldChar w:fldCharType="separate"/>
            </w:r>
            <w:r>
              <w:rPr>
                <w:rFonts w:hint="eastAsia" w:ascii="Times New Roman" w:hAnsi="Times New Roman" w:eastAsia="宋体"/>
                <w:lang w:val="en-US" w:eastAsia="zh-CN"/>
              </w:rPr>
              <w:t>www.ccgp.gov.cn</w:t>
            </w:r>
            <w:r>
              <w:rPr>
                <w:rFonts w:hint="eastAsia" w:ascii="Times New Roman" w:hAnsi="Times New Roman" w:eastAsia="宋体"/>
                <w:lang w:val="en-US" w:eastAsia="zh-CN"/>
              </w:rPr>
              <w:fldChar w:fldCharType="end"/>
            </w:r>
            <w:r>
              <w:rPr>
                <w:rFonts w:hint="eastAsia" w:ascii="Times New Roman" w:hAnsi="Times New Roman" w:eastAsia="宋体"/>
                <w:lang w:val="en-US" w:eastAsia="zh-CN"/>
              </w:rPr>
              <w:t>)“政府采购严重违法失信行为记录名单”中的禁止参加政府采购活动期间。（以采购代理机构投标截止日当天在“信用中国”网站（www.creditchina.gov.cn）及中国政府采购网(www.ccgp.gov.cn)查询结果为准。）；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Cs w:val="21"/>
                <w:highlight w:val="none"/>
              </w:rPr>
              <w:t>2.1.2</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eastAsia="宋体"/>
                <w:szCs w:val="21"/>
                <w:highlight w:val="none"/>
                <w:lang w:val="en-US" w:eastAsia="zh-CN"/>
              </w:rPr>
            </w:pPr>
            <w:r>
              <w:rPr>
                <w:rFonts w:hint="eastAsia" w:ascii="宋体" w:hAnsi="宋体"/>
                <w:szCs w:val="21"/>
                <w:highlight w:val="none"/>
                <w:lang w:val="en-US" w:eastAsia="zh-CN"/>
              </w:rPr>
              <w:t>符合性审查</w:t>
            </w:r>
          </w:p>
        </w:tc>
        <w:tc>
          <w:tcPr>
            <w:tcW w:w="723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Times New Roman" w:eastAsia="宋体"/>
                <w:szCs w:val="21"/>
                <w:highlight w:val="none"/>
                <w:lang w:val="en-US" w:eastAsia="zh-CN"/>
              </w:rPr>
            </w:pPr>
            <w:r>
              <w:rPr>
                <w:rFonts w:hint="eastAsia" w:ascii="宋体" w:hAnsi="Times New Roman" w:eastAsia="宋体"/>
                <w:szCs w:val="21"/>
                <w:highlight w:val="none"/>
                <w:lang w:val="en-US" w:eastAsia="zh-CN"/>
              </w:rPr>
              <w:t>1.投标文件语言及有效期符合招标文件要求。</w:t>
            </w:r>
          </w:p>
          <w:p>
            <w:pPr>
              <w:spacing w:line="360" w:lineRule="auto"/>
              <w:rPr>
                <w:rFonts w:hint="eastAsia" w:ascii="宋体" w:hAnsi="Times New Roman" w:eastAsia="宋体"/>
                <w:szCs w:val="21"/>
                <w:highlight w:val="none"/>
                <w:lang w:val="en-US" w:eastAsia="zh-CN"/>
              </w:rPr>
            </w:pPr>
            <w:r>
              <w:rPr>
                <w:rFonts w:hint="eastAsia" w:ascii="宋体" w:hAnsi="Times New Roman" w:eastAsia="宋体"/>
                <w:szCs w:val="21"/>
                <w:highlight w:val="none"/>
                <w:lang w:val="en-US" w:eastAsia="zh-CN"/>
              </w:rPr>
              <w:t>2.投标文件封面、投标函、法定代表人授权委托书三处的项目名称、项目编号均无遗漏，且与所投项目名称、项目编号一致。</w:t>
            </w:r>
          </w:p>
          <w:p>
            <w:pPr>
              <w:spacing w:line="360" w:lineRule="auto"/>
              <w:rPr>
                <w:rFonts w:hint="eastAsia" w:ascii="宋体" w:hAnsi="Times New Roman" w:eastAsia="宋体"/>
                <w:szCs w:val="21"/>
                <w:highlight w:val="none"/>
                <w:lang w:val="en-US" w:eastAsia="zh-CN"/>
              </w:rPr>
            </w:pPr>
            <w:r>
              <w:rPr>
                <w:rFonts w:hint="eastAsia" w:ascii="宋体" w:hAnsi="Times New Roman" w:eastAsia="宋体"/>
                <w:szCs w:val="21"/>
                <w:highlight w:val="none"/>
                <w:lang w:val="en-US" w:eastAsia="zh-CN"/>
              </w:rPr>
              <w:t>3.投标文件签署、盖章均按招标文件要求签字、盖章（评分标准中要求提供的证明材料除外）。</w:t>
            </w:r>
          </w:p>
          <w:p>
            <w:pPr>
              <w:spacing w:line="360" w:lineRule="auto"/>
              <w:rPr>
                <w:rFonts w:hint="eastAsia" w:ascii="宋体" w:hAnsi="Times New Roman" w:eastAsia="宋体"/>
                <w:szCs w:val="21"/>
                <w:highlight w:val="none"/>
                <w:lang w:val="en-US" w:eastAsia="zh-CN"/>
              </w:rPr>
            </w:pPr>
            <w:r>
              <w:rPr>
                <w:rFonts w:hint="eastAsia" w:ascii="宋体" w:hAnsi="Times New Roman" w:eastAsia="宋体"/>
                <w:szCs w:val="21"/>
                <w:highlight w:val="none"/>
                <w:lang w:val="en-US" w:eastAsia="zh-CN"/>
              </w:rPr>
              <w:t>4.开标一览表填写符合要求且未超出采购预算或招标文件规定的最高限价。</w:t>
            </w:r>
          </w:p>
          <w:p>
            <w:pPr>
              <w:spacing w:line="360" w:lineRule="auto"/>
              <w:rPr>
                <w:rFonts w:hint="eastAsia" w:ascii="宋体" w:hAnsi="Times New Roman" w:eastAsia="宋体"/>
                <w:szCs w:val="21"/>
                <w:highlight w:val="none"/>
                <w:lang w:val="en-US" w:eastAsia="zh-CN"/>
              </w:rPr>
            </w:pPr>
            <w:r>
              <w:rPr>
                <w:rFonts w:hint="eastAsia" w:ascii="宋体" w:hAnsi="Times New Roman" w:eastAsia="宋体"/>
                <w:szCs w:val="21"/>
                <w:highlight w:val="none"/>
                <w:lang w:val="en-US" w:eastAsia="zh-CN"/>
              </w:rPr>
              <w:t>5.响应招标文件商务条款，无重大保留或偏差。</w:t>
            </w:r>
          </w:p>
          <w:p>
            <w:pPr>
              <w:spacing w:line="360" w:lineRule="auto"/>
              <w:rPr>
                <w:rFonts w:hint="default"/>
                <w:highlight w:val="none"/>
                <w:lang w:val="en-US" w:eastAsia="zh-CN"/>
              </w:rPr>
            </w:pPr>
            <w:r>
              <w:rPr>
                <w:rFonts w:hint="eastAsia" w:ascii="宋体" w:hAnsi="Times New Roman" w:eastAsia="宋体"/>
                <w:szCs w:val="21"/>
                <w:highlight w:val="none"/>
                <w:lang w:val="en-US" w:eastAsia="zh-CN"/>
              </w:rPr>
              <w:t>6.没有不符合招标文件规定的被视为无效响应的其他条款。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5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szCs w:val="21"/>
                <w:highlight w:val="none"/>
              </w:rPr>
            </w:pPr>
            <w:r>
              <w:rPr>
                <w:rFonts w:hint="eastAsia" w:ascii="宋体" w:hAnsi="宋体"/>
                <w:b/>
                <w:szCs w:val="21"/>
                <w:highlight w:val="none"/>
              </w:rPr>
              <w:t>条款号</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szCs w:val="21"/>
                <w:highlight w:val="none"/>
              </w:rPr>
            </w:pPr>
            <w:r>
              <w:rPr>
                <w:rFonts w:hint="eastAsia" w:ascii="宋体" w:hAnsi="宋体"/>
                <w:b/>
                <w:szCs w:val="21"/>
                <w:highlight w:val="none"/>
              </w:rPr>
              <w:t>条款内容</w:t>
            </w:r>
          </w:p>
        </w:tc>
        <w:tc>
          <w:tcPr>
            <w:tcW w:w="588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szCs w:val="21"/>
                <w:highlight w:val="none"/>
              </w:rPr>
            </w:pPr>
            <w:r>
              <w:rPr>
                <w:rFonts w:hint="eastAsia" w:ascii="宋体" w:hAnsi="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5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Cs w:val="21"/>
                <w:highlight w:val="none"/>
              </w:rPr>
              <w:t>2.2.1</w:t>
            </w:r>
          </w:p>
        </w:tc>
        <w:tc>
          <w:tcPr>
            <w:tcW w:w="13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Cs w:val="21"/>
                <w:highlight w:val="none"/>
              </w:rPr>
            </w:pPr>
            <w:r>
              <w:rPr>
                <w:rFonts w:hint="eastAsia" w:ascii="宋体" w:hAnsi="宋体"/>
                <w:szCs w:val="21"/>
                <w:highlight w:val="none"/>
              </w:rPr>
              <w:t>分值构成</w:t>
            </w:r>
          </w:p>
          <w:p>
            <w:pPr>
              <w:spacing w:line="360" w:lineRule="auto"/>
              <w:jc w:val="center"/>
              <w:rPr>
                <w:rFonts w:ascii="宋体"/>
                <w:szCs w:val="21"/>
                <w:highlight w:val="none"/>
              </w:rPr>
            </w:pPr>
            <w:r>
              <w:rPr>
                <w:rFonts w:hint="eastAsia" w:ascii="宋体" w:hAnsi="宋体"/>
                <w:szCs w:val="21"/>
                <w:highlight w:val="none"/>
              </w:rPr>
              <w:t>（总分100分）</w:t>
            </w:r>
          </w:p>
        </w:tc>
        <w:tc>
          <w:tcPr>
            <w:tcW w:w="588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szCs w:val="21"/>
                <w:highlight w:val="none"/>
              </w:rPr>
            </w:pPr>
            <w:r>
              <w:rPr>
                <w:rFonts w:hint="eastAsia" w:ascii="宋体" w:hAnsi="宋体"/>
                <w:szCs w:val="21"/>
                <w:highlight w:val="none"/>
              </w:rPr>
              <w:t>技术标：</w:t>
            </w:r>
            <w:r>
              <w:rPr>
                <w:rFonts w:hint="eastAsia" w:ascii="宋体" w:hAnsi="宋体"/>
                <w:szCs w:val="21"/>
                <w:highlight w:val="none"/>
                <w:u w:val="single"/>
                <w:lang w:val="en-US" w:eastAsia="zh-CN"/>
              </w:rPr>
              <w:t>60</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szCs w:val="21"/>
                <w:highlight w:val="none"/>
              </w:rPr>
            </w:pPr>
          </w:p>
        </w:tc>
        <w:tc>
          <w:tcPr>
            <w:tcW w:w="13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szCs w:val="21"/>
                <w:highlight w:val="none"/>
              </w:rPr>
            </w:pPr>
          </w:p>
        </w:tc>
        <w:tc>
          <w:tcPr>
            <w:tcW w:w="588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ighlight w:val="none"/>
              </w:rPr>
            </w:pPr>
            <w:r>
              <w:rPr>
                <w:rFonts w:hint="eastAsia" w:ascii="宋体" w:hAnsi="宋体"/>
                <w:szCs w:val="21"/>
                <w:highlight w:val="none"/>
              </w:rPr>
              <w:t>商务标：</w:t>
            </w:r>
            <w:r>
              <w:rPr>
                <w:rFonts w:hint="eastAsia" w:ascii="宋体" w:hAnsi="宋体"/>
                <w:szCs w:val="21"/>
                <w:highlight w:val="none"/>
                <w:u w:val="single"/>
                <w:lang w:val="en-US" w:eastAsia="zh-CN"/>
              </w:rPr>
              <w:t>10</w:t>
            </w:r>
            <w:r>
              <w:rPr>
                <w:rFonts w:hint="eastAsia"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8" w:type="dxa"/>
            <w:gridSpan w:val="2"/>
            <w:vMerge w:val="continue"/>
            <w:tcBorders>
              <w:left w:val="single" w:color="auto" w:sz="4" w:space="0"/>
              <w:bottom w:val="single" w:color="auto" w:sz="4" w:space="0"/>
              <w:right w:val="single" w:color="auto" w:sz="4" w:space="0"/>
            </w:tcBorders>
            <w:noWrap w:val="0"/>
            <w:vAlign w:val="center"/>
          </w:tcPr>
          <w:p>
            <w:pPr>
              <w:pStyle w:val="12"/>
              <w:spacing w:line="360" w:lineRule="auto"/>
              <w:ind w:left="0" w:leftChars="0" w:firstLine="0" w:firstLineChars="0"/>
              <w:rPr>
                <w:highlight w:val="none"/>
              </w:rPr>
            </w:pPr>
          </w:p>
        </w:tc>
        <w:tc>
          <w:tcPr>
            <w:tcW w:w="1346" w:type="dxa"/>
            <w:vMerge w:val="continue"/>
            <w:tcBorders>
              <w:left w:val="single" w:color="auto" w:sz="4" w:space="0"/>
              <w:bottom w:val="single" w:color="auto" w:sz="4" w:space="0"/>
              <w:right w:val="single" w:color="auto" w:sz="4" w:space="0"/>
            </w:tcBorders>
            <w:noWrap w:val="0"/>
            <w:vAlign w:val="center"/>
          </w:tcPr>
          <w:p>
            <w:pPr>
              <w:pStyle w:val="12"/>
              <w:spacing w:line="360" w:lineRule="auto"/>
              <w:ind w:left="0" w:leftChars="0" w:firstLine="0" w:firstLineChars="0"/>
              <w:rPr>
                <w:highlight w:val="none"/>
              </w:rPr>
            </w:pPr>
          </w:p>
        </w:tc>
        <w:tc>
          <w:tcPr>
            <w:tcW w:w="5889" w:type="dxa"/>
            <w:gridSpan w:val="2"/>
            <w:tcBorders>
              <w:top w:val="single" w:color="auto" w:sz="4" w:space="0"/>
              <w:left w:val="single" w:color="auto" w:sz="4" w:space="0"/>
              <w:bottom w:val="single" w:color="auto" w:sz="4" w:space="0"/>
              <w:right w:val="single" w:color="auto" w:sz="4" w:space="0"/>
            </w:tcBorders>
            <w:noWrap w:val="0"/>
            <w:vAlign w:val="center"/>
          </w:tcPr>
          <w:p>
            <w:pPr>
              <w:pStyle w:val="12"/>
              <w:spacing w:line="360" w:lineRule="auto"/>
              <w:ind w:left="0" w:leftChars="0" w:firstLine="0" w:firstLineChars="0"/>
              <w:rPr>
                <w:rFonts w:hint="default" w:eastAsia="宋体"/>
                <w:highlight w:val="none"/>
                <w:lang w:val="en-US" w:eastAsia="zh-CN"/>
              </w:rPr>
            </w:pPr>
            <w:r>
              <w:rPr>
                <w:rFonts w:hint="eastAsia"/>
                <w:highlight w:val="none"/>
                <w:lang w:val="en-US" w:eastAsia="zh-CN"/>
              </w:rPr>
              <w:t>投标报价：</w:t>
            </w:r>
            <w:r>
              <w:rPr>
                <w:rFonts w:hint="eastAsia"/>
                <w:highlight w:val="none"/>
                <w:u w:val="single"/>
                <w:lang w:val="en-US" w:eastAsia="zh-CN"/>
              </w:rPr>
              <w:t>30</w:t>
            </w:r>
            <w:r>
              <w:rPr>
                <w:rFonts w:hint="eastAsia"/>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12"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szCs w:val="21"/>
                <w:highlight w:val="none"/>
                <w:lang w:eastAsia="zh-CN"/>
              </w:rPr>
            </w:pPr>
            <w:r>
              <w:rPr>
                <w:rFonts w:hint="eastAsia" w:ascii="宋体" w:hAnsi="宋体"/>
                <w:szCs w:val="21"/>
                <w:highlight w:val="none"/>
              </w:rPr>
              <w:t>2.2.</w:t>
            </w:r>
            <w:r>
              <w:rPr>
                <w:rFonts w:hint="eastAsia" w:ascii="宋体" w:hAnsi="宋体"/>
                <w:szCs w:val="21"/>
                <w:highlight w:val="none"/>
                <w:lang w:val="en-US" w:eastAsia="zh-CN"/>
              </w:rPr>
              <w:t>2</w:t>
            </w:r>
          </w:p>
          <w:p>
            <w:pPr>
              <w:spacing w:line="360" w:lineRule="auto"/>
              <w:jc w:val="center"/>
              <w:rPr>
                <w:rFonts w:ascii="宋体" w:hAnsi="宋体"/>
                <w:szCs w:val="21"/>
                <w:highlight w:val="none"/>
              </w:rPr>
            </w:pPr>
            <w:r>
              <w:rPr>
                <w:rFonts w:hint="eastAsia" w:ascii="宋体" w:hAnsi="宋体"/>
                <w:szCs w:val="21"/>
                <w:highlight w:val="none"/>
              </w:rPr>
              <w:t>(1)</w:t>
            </w:r>
          </w:p>
        </w:tc>
        <w:tc>
          <w:tcPr>
            <w:tcW w:w="1046" w:type="dxa"/>
            <w:vMerge w:val="restart"/>
            <w:tcBorders>
              <w:top w:val="single" w:color="auto" w:sz="4" w:space="0"/>
              <w:left w:val="single" w:color="auto" w:sz="4" w:space="0"/>
              <w:right w:val="single" w:color="auto" w:sz="4" w:space="0"/>
            </w:tcBorders>
            <w:noWrap w:val="0"/>
            <w:vAlign w:val="center"/>
          </w:tcPr>
          <w:p>
            <w:pPr>
              <w:spacing w:line="360" w:lineRule="auto"/>
              <w:rPr>
                <w:rFonts w:ascii="宋体"/>
                <w:szCs w:val="21"/>
                <w:highlight w:val="none"/>
              </w:rPr>
            </w:pPr>
            <w:r>
              <w:rPr>
                <w:rFonts w:hint="eastAsia" w:ascii="宋体" w:hAnsi="宋体"/>
                <w:szCs w:val="21"/>
                <w:highlight w:val="none"/>
              </w:rPr>
              <w:t>技术标评分标准</w:t>
            </w:r>
          </w:p>
          <w:p>
            <w:pPr>
              <w:spacing w:line="360" w:lineRule="auto"/>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60</w:t>
            </w:r>
            <w:r>
              <w:rPr>
                <w:rFonts w:hint="eastAsia" w:ascii="宋体" w:hAnsi="宋体"/>
                <w:szCs w:val="21"/>
                <w:highlight w:val="none"/>
              </w:rPr>
              <w:t>分)</w:t>
            </w:r>
          </w:p>
        </w:tc>
        <w:tc>
          <w:tcPr>
            <w:tcW w:w="1346" w:type="dxa"/>
            <w:vMerge w:val="restart"/>
            <w:noWrap w:val="0"/>
            <w:vAlign w:val="center"/>
          </w:tcPr>
          <w:p>
            <w:pPr>
              <w:adjustRightInd w:val="0"/>
              <w:snapToGrid w:val="0"/>
              <w:spacing w:line="360" w:lineRule="auto"/>
              <w:jc w:val="center"/>
              <w:rPr>
                <w:rFonts w:hint="eastAsia" w:ascii="宋体" w:hAnsi="宋体" w:cs="仿宋_GB2312"/>
                <w:szCs w:val="21"/>
                <w:highlight w:val="none"/>
              </w:rPr>
            </w:pPr>
            <w:r>
              <w:rPr>
                <w:rFonts w:hint="eastAsia" w:ascii="宋体" w:hAnsi="宋体" w:cs="仿宋_GB2312"/>
                <w:szCs w:val="21"/>
                <w:highlight w:val="none"/>
              </w:rPr>
              <w:t>施工方案与项目经理部组成</w:t>
            </w:r>
          </w:p>
          <w:p>
            <w:pPr>
              <w:adjustRightInd w:val="0"/>
              <w:snapToGrid w:val="0"/>
              <w:spacing w:line="360" w:lineRule="auto"/>
              <w:jc w:val="center"/>
              <w:rPr>
                <w:rFonts w:hint="eastAsia" w:ascii="宋体" w:hAnsi="宋体" w:cs="仿宋_GB2312"/>
                <w:szCs w:val="21"/>
                <w:highlight w:val="none"/>
              </w:rPr>
            </w:pPr>
            <w:r>
              <w:rPr>
                <w:rFonts w:hint="eastAsia" w:ascii="宋体" w:hAnsi="宋体" w:cs="仿宋_GB2312"/>
                <w:szCs w:val="21"/>
                <w:highlight w:val="none"/>
              </w:rPr>
              <w:t>（</w:t>
            </w:r>
            <w:r>
              <w:rPr>
                <w:rFonts w:hint="eastAsia" w:ascii="宋体" w:hAnsi="宋体" w:cs="仿宋_GB2312"/>
                <w:szCs w:val="21"/>
                <w:highlight w:val="none"/>
                <w:lang w:val="en-US" w:eastAsia="zh-CN"/>
              </w:rPr>
              <w:t>60</w:t>
            </w:r>
            <w:r>
              <w:rPr>
                <w:rFonts w:hint="eastAsia" w:ascii="宋体" w:hAnsi="宋体" w:cs="仿宋_GB2312"/>
                <w:szCs w:val="21"/>
                <w:highlight w:val="none"/>
              </w:rPr>
              <w:t>分）</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ighlight w:val="none"/>
              </w:rPr>
            </w:pPr>
            <w:r>
              <w:rPr>
                <w:rFonts w:hint="eastAsia"/>
                <w:highlight w:val="none"/>
              </w:rPr>
              <w:t>施工组织和项目管理机构</w:t>
            </w:r>
          </w:p>
          <w:p>
            <w:pPr>
              <w:pStyle w:val="12"/>
              <w:spacing w:line="360" w:lineRule="auto"/>
              <w:ind w:left="0" w:leftChars="0" w:firstLine="0" w:firstLineChars="0"/>
              <w:jc w:val="center"/>
              <w:rPr>
                <w:rFonts w:hint="eastAsia"/>
                <w:highlight w:val="none"/>
              </w:rPr>
            </w:pPr>
            <w:r>
              <w:rPr>
                <w:rFonts w:hint="eastAsia" w:ascii="宋体" w:hAnsi="宋体"/>
                <w:szCs w:val="21"/>
                <w:highlight w:val="none"/>
              </w:rPr>
              <w:t>（</w:t>
            </w:r>
            <w:r>
              <w:rPr>
                <w:rFonts w:hint="eastAsia" w:ascii="宋体" w:hAnsi="宋体"/>
                <w:szCs w:val="21"/>
                <w:highlight w:val="none"/>
                <w:lang w:val="en-US" w:eastAsia="zh-CN"/>
              </w:rPr>
              <w:t>10</w:t>
            </w:r>
            <w:r>
              <w:rPr>
                <w:rFonts w:hint="eastAsia" w:ascii="宋体" w:hAnsi="宋体"/>
                <w:szCs w:val="21"/>
                <w:highlight w:val="none"/>
              </w:rPr>
              <w:t>分）</w:t>
            </w:r>
          </w:p>
        </w:tc>
        <w:tc>
          <w:tcPr>
            <w:tcW w:w="465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施工组织及项目管理设置合理、全面。对工程项目的实施具有有效地计划、组织、协调、控制，针对性强、可行性强，能完全确保实现项目的管理目标的得</w:t>
            </w:r>
            <w:r>
              <w:rPr>
                <w:rFonts w:hint="eastAsia"/>
                <w:szCs w:val="22"/>
                <w:highlight w:val="none"/>
                <w:lang w:val="en-US" w:eastAsia="zh-CN"/>
              </w:rPr>
              <w:t>[10-7)</w:t>
            </w:r>
            <w:r>
              <w:rPr>
                <w:rFonts w:hint="eastAsia"/>
                <w:szCs w:val="22"/>
                <w:highlight w:val="none"/>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施工组织及项目管理设置合理、全面。对工程项目的实施具有一定的计划、组织、协调、控制效果，有一定的合理性和可行性的得</w:t>
            </w:r>
            <w:r>
              <w:rPr>
                <w:rFonts w:hint="eastAsia"/>
                <w:szCs w:val="22"/>
                <w:highlight w:val="none"/>
                <w:lang w:val="en-US" w:eastAsia="zh-CN"/>
              </w:rPr>
              <w:t>[7-4)</w:t>
            </w:r>
            <w:r>
              <w:rPr>
                <w:rFonts w:hint="eastAsia"/>
                <w:szCs w:val="22"/>
                <w:highlight w:val="none"/>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施工组织及项目管理设置基本全面、合理，基本能确保实现项目管理目标的得</w:t>
            </w:r>
            <w:r>
              <w:rPr>
                <w:rFonts w:hint="eastAsia"/>
                <w:szCs w:val="22"/>
                <w:highlight w:val="none"/>
                <w:lang w:val="en-US" w:eastAsia="zh-CN"/>
              </w:rPr>
              <w:t>[4-2)</w:t>
            </w:r>
            <w:r>
              <w:rPr>
                <w:rFonts w:hint="eastAsia"/>
                <w:szCs w:val="22"/>
                <w:highlight w:val="none"/>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施工组织或项目管理机构设置部分存在不合理，但总体基本能达到项目管理目标的得</w:t>
            </w:r>
            <w:r>
              <w:rPr>
                <w:rFonts w:hint="eastAsia"/>
                <w:szCs w:val="22"/>
                <w:highlight w:val="none"/>
                <w:lang w:val="en-US" w:eastAsia="zh-CN"/>
              </w:rPr>
              <w:t>[2-1]</w:t>
            </w:r>
            <w:r>
              <w:rPr>
                <w:rFonts w:hint="eastAsia"/>
                <w:szCs w:val="22"/>
                <w:highlight w:val="none"/>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未提供或安排不合理，达不到管理目标的不得分。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2"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szCs w:val="21"/>
                <w:highlight w:val="none"/>
              </w:rPr>
            </w:pPr>
          </w:p>
        </w:tc>
        <w:tc>
          <w:tcPr>
            <w:tcW w:w="1046"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szCs w:val="21"/>
                <w:highlight w:val="none"/>
              </w:rPr>
            </w:pPr>
          </w:p>
        </w:tc>
        <w:tc>
          <w:tcPr>
            <w:tcW w:w="1346" w:type="dxa"/>
            <w:vMerge w:val="continue"/>
            <w:noWrap w:val="0"/>
            <w:vAlign w:val="center"/>
          </w:tcPr>
          <w:p>
            <w:pPr>
              <w:adjustRightInd w:val="0"/>
              <w:snapToGrid w:val="0"/>
              <w:spacing w:line="360" w:lineRule="auto"/>
              <w:rPr>
                <w:rFonts w:ascii="宋体" w:hAnsi="宋体" w:cs="仿宋_GB2312"/>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ighlight w:val="none"/>
              </w:rPr>
            </w:pPr>
            <w:r>
              <w:rPr>
                <w:rFonts w:hint="eastAsia"/>
                <w:highlight w:val="none"/>
              </w:rPr>
              <w:t>施工方案</w:t>
            </w:r>
          </w:p>
          <w:p>
            <w:pPr>
              <w:pStyle w:val="12"/>
              <w:spacing w:line="360" w:lineRule="auto"/>
              <w:ind w:left="0" w:leftChars="0" w:firstLine="0" w:firstLineChars="0"/>
              <w:jc w:val="center"/>
              <w:rPr>
                <w:rFonts w:hint="eastAsia"/>
                <w:highlight w:val="none"/>
              </w:rPr>
            </w:pPr>
            <w:r>
              <w:rPr>
                <w:rFonts w:hint="eastAsia" w:ascii="宋体" w:hAnsi="宋体"/>
                <w:szCs w:val="21"/>
                <w:highlight w:val="none"/>
              </w:rPr>
              <w:t>（</w:t>
            </w:r>
            <w:r>
              <w:rPr>
                <w:rFonts w:hint="eastAsia" w:ascii="宋体" w:hAnsi="宋体"/>
                <w:szCs w:val="21"/>
                <w:highlight w:val="none"/>
                <w:lang w:val="en-US" w:eastAsia="zh-CN"/>
              </w:rPr>
              <w:t>15</w:t>
            </w:r>
            <w:r>
              <w:rPr>
                <w:rFonts w:hint="eastAsia" w:ascii="宋体" w:hAnsi="宋体"/>
                <w:szCs w:val="21"/>
                <w:highlight w:val="none"/>
              </w:rPr>
              <w:t>分）</w:t>
            </w:r>
          </w:p>
        </w:tc>
        <w:tc>
          <w:tcPr>
            <w:tcW w:w="465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施工方案全面、合理，施工方法先进，可行性强，完全满足工程施工要求的得</w:t>
            </w:r>
            <w:r>
              <w:rPr>
                <w:rFonts w:hint="eastAsia"/>
                <w:szCs w:val="22"/>
                <w:highlight w:val="none"/>
                <w:lang w:val="en-US" w:eastAsia="zh-CN"/>
              </w:rPr>
              <w:t>[15-10)</w:t>
            </w:r>
            <w:r>
              <w:rPr>
                <w:rFonts w:hint="eastAsia"/>
                <w:szCs w:val="22"/>
                <w:highlight w:val="none"/>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施工方案全面、合理，施工方法较先进，有一定的可行性，能满足工程施工要求的得</w:t>
            </w:r>
            <w:r>
              <w:rPr>
                <w:rFonts w:hint="eastAsia"/>
                <w:szCs w:val="22"/>
                <w:highlight w:val="none"/>
                <w:lang w:val="en-US" w:eastAsia="zh-CN"/>
              </w:rPr>
              <w:t>[10-6)</w:t>
            </w:r>
            <w:r>
              <w:rPr>
                <w:rFonts w:hint="eastAsia"/>
                <w:szCs w:val="22"/>
                <w:highlight w:val="none"/>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施工方案较完整、合理，施工方案有针对性，基本可行，满足工程施工要求的得</w:t>
            </w:r>
            <w:r>
              <w:rPr>
                <w:rFonts w:hint="eastAsia"/>
                <w:szCs w:val="22"/>
                <w:highlight w:val="none"/>
                <w:lang w:val="en-US" w:eastAsia="zh-CN"/>
              </w:rPr>
              <w:t>[6-3)</w:t>
            </w:r>
            <w:r>
              <w:rPr>
                <w:rFonts w:hint="eastAsia"/>
                <w:szCs w:val="22"/>
                <w:highlight w:val="none"/>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施工方案存在部分不完整，施工方法针对本项目基本可行的得</w:t>
            </w:r>
            <w:r>
              <w:rPr>
                <w:rFonts w:hint="eastAsia"/>
                <w:szCs w:val="22"/>
                <w:highlight w:val="none"/>
                <w:lang w:val="en-US" w:eastAsia="zh-CN"/>
              </w:rPr>
              <w:t>[3-1]</w:t>
            </w:r>
            <w:r>
              <w:rPr>
                <w:rFonts w:hint="eastAsia"/>
                <w:szCs w:val="22"/>
                <w:highlight w:val="none"/>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未提供或明显不合理的不得分。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12"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szCs w:val="21"/>
                <w:highlight w:val="none"/>
              </w:rPr>
            </w:pPr>
          </w:p>
        </w:tc>
        <w:tc>
          <w:tcPr>
            <w:tcW w:w="1046"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szCs w:val="21"/>
                <w:highlight w:val="none"/>
              </w:rPr>
            </w:pPr>
          </w:p>
        </w:tc>
        <w:tc>
          <w:tcPr>
            <w:tcW w:w="1346" w:type="dxa"/>
            <w:vMerge w:val="continue"/>
            <w:noWrap w:val="0"/>
            <w:vAlign w:val="center"/>
          </w:tcPr>
          <w:p>
            <w:pPr>
              <w:adjustRightInd w:val="0"/>
              <w:snapToGrid w:val="0"/>
              <w:spacing w:line="360" w:lineRule="auto"/>
              <w:rPr>
                <w:rFonts w:ascii="宋体" w:hAnsi="宋体" w:cs="仿宋_GB2312"/>
                <w:szCs w:val="21"/>
                <w:highlight w:val="none"/>
              </w:rPr>
            </w:pPr>
          </w:p>
        </w:tc>
        <w:tc>
          <w:tcPr>
            <w:tcW w:w="1231" w:type="dxa"/>
            <w:tcBorders>
              <w:top w:val="single" w:color="auto" w:sz="4" w:space="0"/>
              <w:left w:val="single" w:color="auto" w:sz="4" w:space="0"/>
              <w:right w:val="single" w:color="auto" w:sz="4" w:space="0"/>
            </w:tcBorders>
            <w:noWrap w:val="0"/>
            <w:vAlign w:val="center"/>
          </w:tcPr>
          <w:p>
            <w:pPr>
              <w:pStyle w:val="100"/>
              <w:spacing w:line="360" w:lineRule="auto"/>
              <w:ind w:firstLine="0"/>
              <w:jc w:val="center"/>
              <w:rPr>
                <w:rFonts w:hint="eastAsia" w:ascii="宋体"/>
                <w:szCs w:val="21"/>
                <w:highlight w:val="none"/>
              </w:rPr>
            </w:pPr>
            <w:r>
              <w:rPr>
                <w:rFonts w:hint="eastAsia" w:ascii="宋体"/>
                <w:szCs w:val="21"/>
                <w:highlight w:val="none"/>
              </w:rPr>
              <w:t>应急预案</w:t>
            </w:r>
          </w:p>
          <w:p>
            <w:pPr>
              <w:pStyle w:val="100"/>
              <w:spacing w:line="360" w:lineRule="auto"/>
              <w:ind w:firstLine="0" w:firstLineChars="0"/>
              <w:jc w:val="center"/>
              <w:rPr>
                <w:rFonts w:hint="eastAsia" w:ascii="宋体"/>
                <w:szCs w:val="21"/>
                <w:highlight w:val="none"/>
              </w:rPr>
            </w:pPr>
            <w:r>
              <w:rPr>
                <w:rFonts w:hint="eastAsia" w:ascii="宋体"/>
                <w:szCs w:val="21"/>
                <w:highlight w:val="none"/>
              </w:rPr>
              <w:t>（</w:t>
            </w:r>
            <w:r>
              <w:rPr>
                <w:rFonts w:hint="eastAsia" w:ascii="宋体"/>
                <w:szCs w:val="21"/>
                <w:highlight w:val="none"/>
                <w:lang w:val="en-US" w:eastAsia="zh-CN"/>
              </w:rPr>
              <w:t>10</w:t>
            </w:r>
            <w:r>
              <w:rPr>
                <w:rFonts w:hint="eastAsia" w:ascii="宋体"/>
                <w:szCs w:val="21"/>
                <w:highlight w:val="none"/>
              </w:rPr>
              <w:t>分）</w:t>
            </w:r>
          </w:p>
        </w:tc>
        <w:tc>
          <w:tcPr>
            <w:tcW w:w="4658" w:type="dxa"/>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针对本项目可能出现的问题及重大故障，（包括但不限于因施工造成的水、电、通信的中断抢修、恶劣天气、人为因素等情况）分析全面，应急措施和解决方案具体，可行性强的得</w:t>
            </w:r>
            <w:r>
              <w:rPr>
                <w:rFonts w:hint="eastAsia"/>
                <w:szCs w:val="22"/>
                <w:highlight w:val="none"/>
                <w:lang w:val="en-US" w:eastAsia="zh-CN"/>
              </w:rPr>
              <w:t>[10-7)</w:t>
            </w:r>
            <w:r>
              <w:rPr>
                <w:rFonts w:hint="eastAsia"/>
                <w:szCs w:val="22"/>
                <w:highlight w:val="none"/>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针对本项目可能出现的问题及重大故障有较全面得分析，应急措施和解决方案有一定合理性和可行性的得</w:t>
            </w:r>
            <w:r>
              <w:rPr>
                <w:rFonts w:hint="eastAsia"/>
                <w:szCs w:val="22"/>
                <w:highlight w:val="none"/>
                <w:lang w:val="en-US" w:eastAsia="zh-CN"/>
              </w:rPr>
              <w:t>[7-4)</w:t>
            </w:r>
            <w:r>
              <w:rPr>
                <w:rFonts w:hint="eastAsia"/>
                <w:szCs w:val="22"/>
                <w:highlight w:val="none"/>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针对本项目可能出现的问题及重大故障有基本全面得分析，应急措施和解决方案基本合理可行的得</w:t>
            </w:r>
            <w:r>
              <w:rPr>
                <w:rFonts w:hint="eastAsia"/>
                <w:szCs w:val="22"/>
                <w:highlight w:val="none"/>
                <w:lang w:val="en-US" w:eastAsia="zh-CN"/>
              </w:rPr>
              <w:t>[4-2)</w:t>
            </w:r>
            <w:r>
              <w:rPr>
                <w:rFonts w:hint="eastAsia"/>
                <w:szCs w:val="22"/>
                <w:highlight w:val="none"/>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针对本项目可能出现的问题及重大故障有一定得分析，但分析不太全面，应急措施和解决方案部分合理可行的得</w:t>
            </w:r>
            <w:r>
              <w:rPr>
                <w:rFonts w:hint="eastAsia"/>
                <w:szCs w:val="22"/>
                <w:highlight w:val="none"/>
                <w:lang w:val="en-US" w:eastAsia="zh-CN"/>
              </w:rPr>
              <w:t>[2-1]</w:t>
            </w:r>
            <w:r>
              <w:rPr>
                <w:rFonts w:hint="eastAsia"/>
                <w:szCs w:val="22"/>
                <w:highlight w:val="none"/>
              </w:rPr>
              <w:t>分；</w:t>
            </w:r>
          </w:p>
          <w:p>
            <w:pPr>
              <w:autoSpaceDE w:val="0"/>
              <w:autoSpaceDN w:val="0"/>
              <w:adjustRightInd w:val="0"/>
              <w:snapToGrid w:val="0"/>
              <w:spacing w:line="360" w:lineRule="auto"/>
              <w:ind w:firstLine="420" w:firstLineChars="200"/>
              <w:jc w:val="left"/>
              <w:rPr>
                <w:szCs w:val="22"/>
                <w:highlight w:val="none"/>
              </w:rPr>
            </w:pPr>
            <w:r>
              <w:rPr>
                <w:rFonts w:hint="eastAsia"/>
                <w:szCs w:val="22"/>
                <w:highlight w:val="none"/>
              </w:rPr>
              <w:t>未提供或存在明显不合理的不得分。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12"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szCs w:val="21"/>
                <w:highlight w:val="none"/>
              </w:rPr>
            </w:pPr>
          </w:p>
        </w:tc>
        <w:tc>
          <w:tcPr>
            <w:tcW w:w="1046"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szCs w:val="21"/>
                <w:highlight w:val="none"/>
              </w:rPr>
            </w:pPr>
          </w:p>
        </w:tc>
        <w:tc>
          <w:tcPr>
            <w:tcW w:w="1346" w:type="dxa"/>
            <w:vMerge w:val="continue"/>
            <w:noWrap w:val="0"/>
            <w:vAlign w:val="center"/>
          </w:tcPr>
          <w:p>
            <w:pPr>
              <w:adjustRightInd w:val="0"/>
              <w:snapToGrid w:val="0"/>
              <w:spacing w:line="360" w:lineRule="auto"/>
              <w:rPr>
                <w:rFonts w:ascii="宋体" w:hAnsi="宋体" w:cs="仿宋_GB2312"/>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Cs w:val="21"/>
                <w:highlight w:val="none"/>
              </w:rPr>
            </w:pPr>
            <w:r>
              <w:rPr>
                <w:rFonts w:hint="eastAsia" w:ascii="宋体"/>
                <w:szCs w:val="21"/>
                <w:highlight w:val="none"/>
              </w:rPr>
              <w:t>进度计划安排，施工进度表和施工网络图</w:t>
            </w:r>
          </w:p>
          <w:p>
            <w:pPr>
              <w:spacing w:line="360" w:lineRule="auto"/>
              <w:jc w:val="center"/>
              <w:rPr>
                <w:rFonts w:ascii="宋体"/>
                <w:szCs w:val="21"/>
                <w:highlight w:val="none"/>
              </w:rPr>
            </w:pPr>
            <w:r>
              <w:rPr>
                <w:rFonts w:hint="eastAsia" w:ascii="宋体"/>
                <w:szCs w:val="21"/>
                <w:highlight w:val="none"/>
              </w:rPr>
              <w:t>（5</w:t>
            </w:r>
            <w:r>
              <w:rPr>
                <w:rFonts w:hint="eastAsia" w:ascii="宋体" w:hAnsi="宋体"/>
                <w:szCs w:val="21"/>
                <w:highlight w:val="none"/>
              </w:rPr>
              <w:t>分）</w:t>
            </w:r>
          </w:p>
        </w:tc>
        <w:tc>
          <w:tcPr>
            <w:tcW w:w="465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进度安排合理、可行、科学、符合项目实施需求，施工进度表或网络图表达清晰、合理的得</w:t>
            </w:r>
            <w:r>
              <w:rPr>
                <w:rFonts w:hint="eastAsia"/>
                <w:szCs w:val="22"/>
                <w:highlight w:val="none"/>
                <w:lang w:val="en-US" w:eastAsia="zh-CN"/>
              </w:rPr>
              <w:t>[</w:t>
            </w:r>
            <w:r>
              <w:rPr>
                <w:rFonts w:hint="eastAsia"/>
                <w:szCs w:val="22"/>
                <w:highlight w:val="none"/>
              </w:rPr>
              <w:t>5</w:t>
            </w:r>
            <w:r>
              <w:rPr>
                <w:rFonts w:hint="eastAsia"/>
                <w:szCs w:val="22"/>
                <w:highlight w:val="none"/>
                <w:lang w:val="en-US" w:eastAsia="zh-CN"/>
              </w:rPr>
              <w:t>-3)</w:t>
            </w:r>
            <w:r>
              <w:rPr>
                <w:rFonts w:hint="eastAsia"/>
                <w:szCs w:val="22"/>
                <w:highlight w:val="none"/>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进度安排较合理、较可行、较符合项目实施需求，施工进度表或网络图表达较不明确、较不清晰的得</w:t>
            </w:r>
            <w:r>
              <w:rPr>
                <w:rFonts w:hint="eastAsia"/>
                <w:szCs w:val="22"/>
                <w:highlight w:val="none"/>
                <w:lang w:val="en-US" w:eastAsia="zh-CN"/>
              </w:rPr>
              <w:t>[3-1)</w:t>
            </w:r>
            <w:r>
              <w:rPr>
                <w:rFonts w:hint="eastAsia"/>
                <w:szCs w:val="22"/>
                <w:highlight w:val="none"/>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进度安排合理和可行较差的，施工进度表或网络图表达不明确、不清晰、较混乱的得</w:t>
            </w:r>
            <w:r>
              <w:rPr>
                <w:rFonts w:hint="eastAsia"/>
                <w:szCs w:val="22"/>
                <w:highlight w:val="none"/>
                <w:lang w:val="en-US" w:eastAsia="zh-CN"/>
              </w:rPr>
              <w:t>1</w:t>
            </w:r>
            <w:r>
              <w:rPr>
                <w:rFonts w:hint="eastAsia"/>
                <w:szCs w:val="22"/>
                <w:highlight w:val="none"/>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12"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szCs w:val="21"/>
                <w:highlight w:val="none"/>
              </w:rPr>
            </w:pPr>
          </w:p>
        </w:tc>
        <w:tc>
          <w:tcPr>
            <w:tcW w:w="1046"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szCs w:val="21"/>
                <w:highlight w:val="none"/>
              </w:rPr>
            </w:pPr>
          </w:p>
        </w:tc>
        <w:tc>
          <w:tcPr>
            <w:tcW w:w="1346" w:type="dxa"/>
            <w:vMerge w:val="continue"/>
            <w:noWrap w:val="0"/>
            <w:vAlign w:val="center"/>
          </w:tcPr>
          <w:p>
            <w:pPr>
              <w:adjustRightInd w:val="0"/>
              <w:snapToGrid w:val="0"/>
              <w:spacing w:line="360" w:lineRule="auto"/>
              <w:rPr>
                <w:rFonts w:ascii="宋体" w:hAnsi="宋体" w:cs="仿宋_GB2312"/>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Cs w:val="21"/>
                <w:highlight w:val="none"/>
              </w:rPr>
            </w:pPr>
            <w:r>
              <w:rPr>
                <w:rFonts w:hint="eastAsia" w:ascii="宋体"/>
                <w:szCs w:val="21"/>
                <w:highlight w:val="none"/>
              </w:rPr>
              <w:t>投入本项目机械设备及劳动力安排</w:t>
            </w:r>
          </w:p>
          <w:p>
            <w:pPr>
              <w:pStyle w:val="12"/>
              <w:spacing w:line="360" w:lineRule="auto"/>
              <w:ind w:left="0" w:leftChars="0" w:firstLine="0" w:firstLineChars="0"/>
              <w:jc w:val="center"/>
              <w:rPr>
                <w:rFonts w:ascii="宋体"/>
                <w:szCs w:val="21"/>
                <w:highlight w:val="none"/>
              </w:rPr>
            </w:pPr>
            <w:r>
              <w:rPr>
                <w:rFonts w:hint="eastAsia" w:ascii="宋体"/>
                <w:szCs w:val="21"/>
                <w:highlight w:val="none"/>
              </w:rPr>
              <w:t>（5分）</w:t>
            </w:r>
          </w:p>
        </w:tc>
        <w:tc>
          <w:tcPr>
            <w:tcW w:w="465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机械配备投入合且数量充足、投入计划紧贴项目进度，劳动力安排合理，可操作性强，能够确保项目如期保质完成的得</w:t>
            </w:r>
            <w:r>
              <w:rPr>
                <w:rFonts w:hint="eastAsia"/>
                <w:szCs w:val="22"/>
                <w:highlight w:val="none"/>
                <w:lang w:val="en-US" w:eastAsia="zh-CN"/>
              </w:rPr>
              <w:t>[</w:t>
            </w:r>
            <w:r>
              <w:rPr>
                <w:rFonts w:hint="eastAsia"/>
                <w:szCs w:val="22"/>
                <w:highlight w:val="none"/>
              </w:rPr>
              <w:t>5</w:t>
            </w:r>
            <w:r>
              <w:rPr>
                <w:rFonts w:hint="eastAsia"/>
                <w:szCs w:val="22"/>
                <w:highlight w:val="none"/>
                <w:lang w:val="en-US" w:eastAsia="zh-CN"/>
              </w:rPr>
              <w:t>-3)</w:t>
            </w:r>
            <w:r>
              <w:rPr>
                <w:rFonts w:hint="eastAsia"/>
                <w:szCs w:val="22"/>
                <w:highlight w:val="none"/>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机械配备投入计划基本合理，基本与项目进度匹配，劳动力数量基本合理，计划表基本清晰、可行，能保证项目建设进度的得</w:t>
            </w:r>
            <w:r>
              <w:rPr>
                <w:rFonts w:hint="eastAsia"/>
                <w:szCs w:val="22"/>
                <w:highlight w:val="none"/>
                <w:lang w:val="en-US" w:eastAsia="zh-CN"/>
              </w:rPr>
              <w:t>[3-1)</w:t>
            </w:r>
            <w:r>
              <w:rPr>
                <w:rFonts w:hint="eastAsia"/>
                <w:szCs w:val="22"/>
                <w:highlight w:val="none"/>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机械配备投入数量存在部分不合理，与项目建设进度匹配度较差，劳动力数量存在部分不合理，计划表不清晰、可行性较差的得</w:t>
            </w:r>
            <w:r>
              <w:rPr>
                <w:rFonts w:hint="eastAsia"/>
                <w:szCs w:val="22"/>
                <w:highlight w:val="none"/>
                <w:lang w:val="en-US" w:eastAsia="zh-CN"/>
              </w:rPr>
              <w:t>1</w:t>
            </w:r>
            <w:r>
              <w:rPr>
                <w:rFonts w:hint="eastAsia"/>
                <w:szCs w:val="22"/>
                <w:highlight w:val="none"/>
              </w:rPr>
              <w:t>分；</w:t>
            </w:r>
          </w:p>
          <w:p>
            <w:pPr>
              <w:autoSpaceDE w:val="0"/>
              <w:autoSpaceDN w:val="0"/>
              <w:adjustRightInd w:val="0"/>
              <w:snapToGrid w:val="0"/>
              <w:spacing w:line="360" w:lineRule="auto"/>
              <w:ind w:firstLine="420" w:firstLineChars="200"/>
              <w:jc w:val="left"/>
              <w:rPr>
                <w:highlight w:val="none"/>
              </w:rPr>
            </w:pPr>
            <w:r>
              <w:rPr>
                <w:rFonts w:hint="eastAsia"/>
                <w:szCs w:val="22"/>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12"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szCs w:val="21"/>
                <w:highlight w:val="none"/>
              </w:rPr>
            </w:pPr>
          </w:p>
        </w:tc>
        <w:tc>
          <w:tcPr>
            <w:tcW w:w="1046"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szCs w:val="21"/>
                <w:highlight w:val="none"/>
              </w:rPr>
            </w:pPr>
          </w:p>
        </w:tc>
        <w:tc>
          <w:tcPr>
            <w:tcW w:w="1346" w:type="dxa"/>
            <w:vMerge w:val="continue"/>
            <w:noWrap w:val="0"/>
            <w:vAlign w:val="center"/>
          </w:tcPr>
          <w:p>
            <w:pPr>
              <w:adjustRightInd w:val="0"/>
              <w:snapToGrid w:val="0"/>
              <w:spacing w:line="360" w:lineRule="auto"/>
              <w:rPr>
                <w:rFonts w:hint="eastAsia" w:ascii="宋体" w:hAnsi="宋体" w:cs="仿宋_GB2312"/>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确保工期的技术组织措施</w:t>
            </w:r>
          </w:p>
          <w:p>
            <w:pPr>
              <w:spacing w:line="360" w:lineRule="auto"/>
              <w:jc w:val="center"/>
              <w:rPr>
                <w:rFonts w:hint="eastAsia" w:ascii="宋体" w:hAnsi="宋体"/>
                <w:szCs w:val="21"/>
                <w:highlight w:val="none"/>
              </w:rPr>
            </w:pPr>
            <w:r>
              <w:rPr>
                <w:rFonts w:hint="eastAsia" w:ascii="宋体" w:hAnsi="宋体"/>
                <w:szCs w:val="21"/>
                <w:highlight w:val="none"/>
              </w:rPr>
              <w:t>（5分）</w:t>
            </w:r>
          </w:p>
        </w:tc>
        <w:tc>
          <w:tcPr>
            <w:tcW w:w="465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ind w:firstLine="420" w:firstLineChars="200"/>
              <w:jc w:val="left"/>
              <w:rPr>
                <w:rFonts w:hint="eastAsia" w:ascii="宋体"/>
                <w:szCs w:val="21"/>
                <w:highlight w:val="none"/>
                <w:lang w:val="en-US" w:eastAsia="zh-CN"/>
              </w:rPr>
            </w:pPr>
            <w:r>
              <w:rPr>
                <w:rFonts w:hint="eastAsia" w:ascii="宋体"/>
                <w:szCs w:val="21"/>
                <w:highlight w:val="none"/>
                <w:lang w:val="en-US" w:eastAsia="zh-CN"/>
              </w:rPr>
              <w:t>有清晰合理的工期计划措施，实施进度安排合理，可行性强，具有详细明确的实施进度计划表，能够确保工程如期保质完成的得[5-3)分；</w:t>
            </w:r>
          </w:p>
          <w:p>
            <w:pPr>
              <w:autoSpaceDE w:val="0"/>
              <w:autoSpaceDN w:val="0"/>
              <w:adjustRightInd w:val="0"/>
              <w:snapToGrid w:val="0"/>
              <w:spacing w:line="360" w:lineRule="auto"/>
              <w:ind w:firstLine="420" w:firstLineChars="200"/>
              <w:jc w:val="left"/>
              <w:rPr>
                <w:rFonts w:hint="eastAsia" w:ascii="宋体"/>
                <w:szCs w:val="21"/>
                <w:highlight w:val="none"/>
                <w:lang w:val="en-US" w:eastAsia="zh-CN"/>
              </w:rPr>
            </w:pPr>
            <w:r>
              <w:rPr>
                <w:rFonts w:hint="eastAsia" w:ascii="宋体"/>
                <w:szCs w:val="21"/>
                <w:highlight w:val="none"/>
                <w:lang w:val="en-US" w:eastAsia="zh-CN"/>
              </w:rPr>
              <w:t>进度安排合理，有一定的可行性，实施进度计划基本明确的能够基本保证项目如期完成的得[3-1)分；</w:t>
            </w:r>
          </w:p>
          <w:p>
            <w:pPr>
              <w:autoSpaceDE w:val="0"/>
              <w:autoSpaceDN w:val="0"/>
              <w:adjustRightInd w:val="0"/>
              <w:snapToGrid w:val="0"/>
              <w:spacing w:line="360" w:lineRule="auto"/>
              <w:ind w:firstLine="420" w:firstLineChars="200"/>
              <w:jc w:val="left"/>
              <w:rPr>
                <w:rFonts w:hint="eastAsia" w:ascii="宋体"/>
                <w:szCs w:val="21"/>
                <w:highlight w:val="none"/>
                <w:lang w:val="en-US" w:eastAsia="zh-CN"/>
              </w:rPr>
            </w:pPr>
            <w:r>
              <w:rPr>
                <w:rFonts w:hint="eastAsia" w:ascii="宋体"/>
                <w:szCs w:val="21"/>
                <w:highlight w:val="none"/>
                <w:lang w:val="en-US" w:eastAsia="zh-CN"/>
              </w:rPr>
              <w:t>进度安排合理性、可行性均较差的得1分；</w:t>
            </w:r>
          </w:p>
          <w:p>
            <w:pPr>
              <w:autoSpaceDE w:val="0"/>
              <w:autoSpaceDN w:val="0"/>
              <w:adjustRightInd w:val="0"/>
              <w:snapToGrid w:val="0"/>
              <w:spacing w:line="360" w:lineRule="auto"/>
              <w:ind w:firstLine="420" w:firstLineChars="200"/>
              <w:jc w:val="left"/>
              <w:rPr>
                <w:rFonts w:ascii="宋体"/>
                <w:szCs w:val="21"/>
                <w:highlight w:val="none"/>
              </w:rPr>
            </w:pPr>
            <w:r>
              <w:rPr>
                <w:rFonts w:hint="eastAsia" w:ascii="宋体"/>
                <w:szCs w:val="21"/>
                <w:highlight w:val="none"/>
                <w:lang w:val="en-US" w:eastAsia="zh-CN"/>
              </w:rPr>
              <w:t>未提供或不能保证项目如期完成的不得分。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12"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szCs w:val="21"/>
                <w:highlight w:val="none"/>
              </w:rPr>
            </w:pPr>
          </w:p>
        </w:tc>
        <w:tc>
          <w:tcPr>
            <w:tcW w:w="1046"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szCs w:val="21"/>
                <w:highlight w:val="none"/>
              </w:rPr>
            </w:pPr>
          </w:p>
        </w:tc>
        <w:tc>
          <w:tcPr>
            <w:tcW w:w="1346" w:type="dxa"/>
            <w:vMerge w:val="continue"/>
            <w:noWrap w:val="0"/>
            <w:vAlign w:val="center"/>
          </w:tcPr>
          <w:p>
            <w:pPr>
              <w:adjustRightInd w:val="0"/>
              <w:snapToGrid w:val="0"/>
              <w:spacing w:line="360" w:lineRule="auto"/>
              <w:rPr>
                <w:rFonts w:ascii="宋体" w:hAnsi="宋体" w:cs="仿宋_GB2312"/>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确保文明施工、环境保护的组织措施</w:t>
            </w:r>
          </w:p>
          <w:p>
            <w:pPr>
              <w:spacing w:line="360" w:lineRule="auto"/>
              <w:jc w:val="center"/>
              <w:rPr>
                <w:rFonts w:hint="eastAsia" w:ascii="宋体"/>
                <w:szCs w:val="21"/>
                <w:highlight w:val="none"/>
              </w:rPr>
            </w:pPr>
            <w:r>
              <w:rPr>
                <w:rFonts w:hint="eastAsia" w:ascii="宋体" w:hAnsi="宋体"/>
                <w:szCs w:val="21"/>
                <w:highlight w:val="none"/>
              </w:rPr>
              <w:t>（5分）</w:t>
            </w:r>
          </w:p>
        </w:tc>
        <w:tc>
          <w:tcPr>
            <w:tcW w:w="465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ind w:firstLine="420" w:firstLineChars="200"/>
              <w:jc w:val="left"/>
              <w:rPr>
                <w:rFonts w:hint="eastAsia"/>
                <w:szCs w:val="22"/>
                <w:highlight w:val="none"/>
                <w:lang w:val="en-US" w:eastAsia="zh-CN"/>
              </w:rPr>
            </w:pPr>
            <w:r>
              <w:rPr>
                <w:rFonts w:hint="eastAsia"/>
                <w:szCs w:val="22"/>
                <w:highlight w:val="none"/>
                <w:lang w:val="en-US" w:eastAsia="zh-CN"/>
              </w:rPr>
              <w:t>措施全面、完整，能从多方面确保文明施工、考虑影响环境得因素，并提出相关解决和防治措施，实施度高、可落地性强，可确保达到环境保护的要求得[5-3)分；</w:t>
            </w:r>
          </w:p>
          <w:p>
            <w:pPr>
              <w:autoSpaceDE w:val="0"/>
              <w:autoSpaceDN w:val="0"/>
              <w:adjustRightInd w:val="0"/>
              <w:snapToGrid w:val="0"/>
              <w:spacing w:line="360" w:lineRule="auto"/>
              <w:ind w:firstLine="420" w:firstLineChars="200"/>
              <w:jc w:val="left"/>
              <w:rPr>
                <w:rFonts w:hint="eastAsia"/>
                <w:szCs w:val="22"/>
                <w:highlight w:val="none"/>
                <w:lang w:val="en-US" w:eastAsia="zh-CN"/>
              </w:rPr>
            </w:pPr>
            <w:r>
              <w:rPr>
                <w:rFonts w:hint="eastAsia"/>
                <w:szCs w:val="22"/>
                <w:highlight w:val="none"/>
                <w:lang w:val="en-US" w:eastAsia="zh-CN"/>
              </w:rPr>
              <w:t>措施基本全面、完整，基本有一定的可行性，能基本满足文明施工、环境保护要求的得[3-1)分</w:t>
            </w:r>
          </w:p>
          <w:p>
            <w:pPr>
              <w:autoSpaceDE w:val="0"/>
              <w:autoSpaceDN w:val="0"/>
              <w:adjustRightInd w:val="0"/>
              <w:snapToGrid w:val="0"/>
              <w:spacing w:line="360" w:lineRule="auto"/>
              <w:ind w:firstLine="420" w:firstLineChars="200"/>
              <w:jc w:val="left"/>
              <w:rPr>
                <w:rFonts w:hint="eastAsia"/>
                <w:szCs w:val="22"/>
                <w:highlight w:val="none"/>
                <w:lang w:val="en-US" w:eastAsia="zh-CN"/>
              </w:rPr>
            </w:pPr>
            <w:r>
              <w:rPr>
                <w:rFonts w:hint="eastAsia"/>
                <w:szCs w:val="22"/>
                <w:highlight w:val="none"/>
                <w:lang w:val="en-US" w:eastAsia="zh-CN"/>
              </w:rPr>
              <w:t>措施存在较大不合理性、内容简单的得1分；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12"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szCs w:val="21"/>
                <w:highlight w:val="none"/>
              </w:rPr>
            </w:pPr>
          </w:p>
        </w:tc>
        <w:tc>
          <w:tcPr>
            <w:tcW w:w="1046" w:type="dxa"/>
            <w:vMerge w:val="continue"/>
            <w:tcBorders>
              <w:left w:val="single" w:color="auto" w:sz="4" w:space="0"/>
              <w:right w:val="single" w:color="auto" w:sz="4" w:space="0"/>
            </w:tcBorders>
            <w:noWrap w:val="0"/>
            <w:vAlign w:val="center"/>
          </w:tcPr>
          <w:p>
            <w:pPr>
              <w:widowControl/>
              <w:spacing w:line="360" w:lineRule="auto"/>
              <w:jc w:val="left"/>
              <w:rPr>
                <w:rFonts w:ascii="宋体" w:hAnsi="宋体"/>
                <w:szCs w:val="21"/>
                <w:highlight w:val="none"/>
              </w:rPr>
            </w:pPr>
          </w:p>
        </w:tc>
        <w:tc>
          <w:tcPr>
            <w:tcW w:w="1346" w:type="dxa"/>
            <w:vMerge w:val="continue"/>
            <w:noWrap w:val="0"/>
            <w:vAlign w:val="center"/>
          </w:tcPr>
          <w:p>
            <w:pPr>
              <w:adjustRightInd w:val="0"/>
              <w:snapToGrid w:val="0"/>
              <w:spacing w:line="360" w:lineRule="auto"/>
              <w:rPr>
                <w:rFonts w:ascii="宋体" w:hAnsi="宋体" w:cs="仿宋_GB2312"/>
                <w:szCs w:val="21"/>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Cs w:val="21"/>
                <w:highlight w:val="none"/>
              </w:rPr>
            </w:pPr>
            <w:r>
              <w:rPr>
                <w:rFonts w:hint="eastAsia" w:ascii="宋体"/>
                <w:szCs w:val="21"/>
                <w:highlight w:val="none"/>
              </w:rPr>
              <w:t>安全生产保证措施</w:t>
            </w:r>
          </w:p>
          <w:p>
            <w:pPr>
              <w:spacing w:line="360" w:lineRule="auto"/>
              <w:jc w:val="center"/>
              <w:rPr>
                <w:rFonts w:hint="eastAsia" w:ascii="宋体"/>
                <w:szCs w:val="21"/>
                <w:highlight w:val="none"/>
              </w:rPr>
            </w:pPr>
            <w:r>
              <w:rPr>
                <w:rFonts w:hint="eastAsia" w:ascii="宋体"/>
                <w:szCs w:val="21"/>
                <w:highlight w:val="none"/>
              </w:rPr>
              <w:t>（</w:t>
            </w:r>
            <w:r>
              <w:rPr>
                <w:rFonts w:hint="eastAsia" w:ascii="宋体"/>
                <w:szCs w:val="21"/>
                <w:highlight w:val="none"/>
                <w:lang w:val="en-US" w:eastAsia="zh-CN"/>
              </w:rPr>
              <w:t>5</w:t>
            </w:r>
            <w:r>
              <w:rPr>
                <w:rFonts w:hint="eastAsia" w:ascii="宋体"/>
                <w:szCs w:val="21"/>
                <w:highlight w:val="none"/>
              </w:rPr>
              <w:t>分）</w:t>
            </w:r>
          </w:p>
        </w:tc>
        <w:tc>
          <w:tcPr>
            <w:tcW w:w="465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hint="eastAsia"/>
                <w:szCs w:val="22"/>
                <w:highlight w:val="none"/>
                <w:lang w:val="en-US" w:eastAsia="zh-CN"/>
              </w:rPr>
            </w:pPr>
            <w:r>
              <w:rPr>
                <w:rFonts w:hint="eastAsia"/>
                <w:szCs w:val="22"/>
                <w:highlight w:val="none"/>
                <w:lang w:val="en-US" w:eastAsia="zh-CN"/>
              </w:rPr>
              <w:t>措施完整全面，能够从多方面保证安全生产，且合理性、可行性强的得[5-3)分；</w:t>
            </w:r>
          </w:p>
          <w:p>
            <w:pPr>
              <w:widowControl/>
              <w:spacing w:line="360" w:lineRule="auto"/>
              <w:ind w:firstLine="420" w:firstLineChars="200"/>
              <w:jc w:val="left"/>
              <w:rPr>
                <w:rFonts w:hint="eastAsia"/>
                <w:szCs w:val="22"/>
                <w:highlight w:val="none"/>
                <w:lang w:val="en-US" w:eastAsia="zh-CN"/>
              </w:rPr>
            </w:pPr>
            <w:r>
              <w:rPr>
                <w:rFonts w:hint="eastAsia"/>
                <w:szCs w:val="22"/>
                <w:highlight w:val="none"/>
                <w:lang w:val="en-US" w:eastAsia="zh-CN"/>
              </w:rPr>
              <w:t>措施基本完整全面，能从多个方面确保安全生产，基本合理、可行的得[3-1)分；</w:t>
            </w:r>
          </w:p>
          <w:p>
            <w:pPr>
              <w:widowControl/>
              <w:spacing w:line="360" w:lineRule="auto"/>
              <w:ind w:firstLine="420" w:firstLineChars="200"/>
              <w:jc w:val="left"/>
              <w:rPr>
                <w:rFonts w:hint="eastAsia"/>
                <w:szCs w:val="22"/>
                <w:highlight w:val="none"/>
                <w:lang w:val="en-US" w:eastAsia="zh-CN"/>
              </w:rPr>
            </w:pPr>
            <w:r>
              <w:rPr>
                <w:rFonts w:hint="eastAsia"/>
                <w:szCs w:val="22"/>
                <w:highlight w:val="none"/>
                <w:lang w:val="en-US" w:eastAsia="zh-CN"/>
              </w:rPr>
              <w:t>措施不完整、全面，但有一定的可行性的得1分；</w:t>
            </w:r>
          </w:p>
          <w:p>
            <w:pPr>
              <w:widowControl/>
              <w:spacing w:line="360" w:lineRule="auto"/>
              <w:ind w:firstLine="420" w:firstLineChars="200"/>
              <w:jc w:val="left"/>
              <w:rPr>
                <w:rFonts w:ascii="宋体"/>
                <w:szCs w:val="21"/>
                <w:highlight w:val="none"/>
              </w:rPr>
            </w:pPr>
            <w:r>
              <w:rPr>
                <w:rFonts w:hint="eastAsia"/>
                <w:szCs w:val="22"/>
                <w:highlight w:val="none"/>
                <w:lang w:val="en-US" w:eastAsia="zh-CN"/>
              </w:rPr>
              <w:t>未提供不得分。</w:t>
            </w:r>
            <w:r>
              <w:rPr>
                <w:rFonts w:hint="eastAsia"/>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2"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szCs w:val="21"/>
                <w:highlight w:val="none"/>
                <w:lang w:eastAsia="zh-CN"/>
              </w:rPr>
            </w:pPr>
            <w:r>
              <w:rPr>
                <w:rFonts w:hint="eastAsia" w:ascii="宋体" w:hAnsi="宋体"/>
                <w:szCs w:val="21"/>
                <w:highlight w:val="none"/>
              </w:rPr>
              <w:t>2.2.</w:t>
            </w:r>
            <w:r>
              <w:rPr>
                <w:rFonts w:hint="eastAsia" w:ascii="宋体" w:hAnsi="宋体"/>
                <w:szCs w:val="21"/>
                <w:highlight w:val="none"/>
                <w:lang w:val="en-US" w:eastAsia="zh-CN"/>
              </w:rPr>
              <w:t>2</w:t>
            </w:r>
          </w:p>
          <w:p>
            <w:pPr>
              <w:spacing w:line="360" w:lineRule="auto"/>
              <w:jc w:val="center"/>
              <w:rPr>
                <w:rFonts w:ascii="宋体" w:hAnsi="宋体"/>
                <w:szCs w:val="21"/>
                <w:highlight w:val="none"/>
              </w:rPr>
            </w:pPr>
            <w:r>
              <w:rPr>
                <w:rFonts w:hint="eastAsia" w:ascii="宋体" w:hAnsi="宋体"/>
                <w:szCs w:val="21"/>
                <w:highlight w:val="none"/>
              </w:rPr>
              <w:t>(2)</w:t>
            </w:r>
          </w:p>
        </w:tc>
        <w:tc>
          <w:tcPr>
            <w:tcW w:w="2392" w:type="dxa"/>
            <w:gridSpan w:val="2"/>
            <w:tcBorders>
              <w:top w:val="single" w:color="auto" w:sz="4" w:space="0"/>
              <w:left w:val="single" w:color="auto" w:sz="4" w:space="0"/>
              <w:right w:val="single" w:color="auto" w:sz="4" w:space="0"/>
            </w:tcBorders>
            <w:noWrap w:val="0"/>
            <w:vAlign w:val="center"/>
          </w:tcPr>
          <w:p>
            <w:pPr>
              <w:spacing w:line="360" w:lineRule="auto"/>
              <w:jc w:val="center"/>
              <w:rPr>
                <w:rFonts w:eastAsia="Times New Roman"/>
                <w:szCs w:val="21"/>
                <w:highlight w:val="none"/>
              </w:rPr>
            </w:pPr>
            <w:r>
              <w:rPr>
                <w:rFonts w:hint="eastAsia"/>
                <w:szCs w:val="21"/>
                <w:highlight w:val="none"/>
              </w:rPr>
              <w:t>投标报价评分标准</w:t>
            </w:r>
          </w:p>
          <w:p>
            <w:pPr>
              <w:spacing w:line="360" w:lineRule="auto"/>
              <w:jc w:val="center"/>
              <w:rPr>
                <w:rFonts w:hint="eastAsia" w:ascii="宋体"/>
                <w:szCs w:val="21"/>
                <w:highlight w:val="none"/>
              </w:rPr>
            </w:pPr>
            <w:r>
              <w:rPr>
                <w:szCs w:val="21"/>
                <w:highlight w:val="none"/>
              </w:rPr>
              <w:t>(</w:t>
            </w:r>
            <w:r>
              <w:rPr>
                <w:rFonts w:hint="eastAsia"/>
                <w:szCs w:val="21"/>
                <w:highlight w:val="none"/>
                <w:lang w:val="en-US" w:eastAsia="zh-CN"/>
              </w:rPr>
              <w:t>3</w:t>
            </w:r>
            <w:r>
              <w:rPr>
                <w:szCs w:val="21"/>
                <w:highlight w:val="none"/>
              </w:rPr>
              <w:t>0</w:t>
            </w:r>
            <w:r>
              <w:rPr>
                <w:rFonts w:hint="eastAsia"/>
                <w:szCs w:val="21"/>
                <w:highlight w:val="none"/>
              </w:rPr>
              <w:t>分</w:t>
            </w:r>
            <w:r>
              <w:rPr>
                <w:szCs w:val="21"/>
                <w:highlight w:val="none"/>
              </w:rPr>
              <w:t>)</w:t>
            </w:r>
          </w:p>
        </w:tc>
        <w:tc>
          <w:tcPr>
            <w:tcW w:w="588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ind w:firstLine="420" w:firstLineChars="200"/>
              <w:jc w:val="left"/>
              <w:rPr>
                <w:rFonts w:hint="eastAsia"/>
                <w:szCs w:val="22"/>
                <w:highlight w:val="none"/>
                <w:lang w:val="en-US" w:eastAsia="zh-CN"/>
              </w:rPr>
            </w:pPr>
            <w:r>
              <w:rPr>
                <w:rFonts w:hint="eastAsia" w:ascii="Calibri" w:hAnsi="宋体" w:eastAsia="宋体"/>
                <w:color w:val="auto"/>
                <w:sz w:val="21"/>
              </w:rPr>
              <w:t>有效供应商</w:t>
            </w:r>
            <w:r>
              <w:rPr>
                <w:rFonts w:hint="eastAsia" w:ascii="Calibri" w:hAnsi="宋体" w:eastAsia="宋体"/>
                <w:color w:val="auto"/>
                <w:sz w:val="21"/>
                <w:lang w:val="en-US" w:eastAsia="zh-CN"/>
              </w:rPr>
              <w:t>评审价</w:t>
            </w:r>
            <w:r>
              <w:rPr>
                <w:rFonts w:hint="eastAsia" w:ascii="Calibri" w:hAnsi="宋体" w:eastAsia="宋体"/>
                <w:color w:val="auto"/>
                <w:sz w:val="21"/>
              </w:rPr>
              <w:t>（有效供应商超过5家〈含5家〉的，去掉一个最高和最低价后）的算术平均值的0.9</w:t>
            </w:r>
            <w:r>
              <w:rPr>
                <w:rFonts w:hint="eastAsia" w:ascii="Calibri" w:hAnsi="宋体" w:eastAsia="宋体"/>
                <w:color w:val="auto"/>
                <w:sz w:val="21"/>
                <w:lang w:val="en-US" w:eastAsia="zh-CN"/>
              </w:rPr>
              <w:t>8</w:t>
            </w:r>
            <w:r>
              <w:rPr>
                <w:rFonts w:hint="eastAsia" w:ascii="Calibri" w:hAnsi="宋体" w:eastAsia="宋体"/>
                <w:color w:val="auto"/>
                <w:sz w:val="21"/>
              </w:rPr>
              <w:t>为评审基准价，</w:t>
            </w:r>
            <w:r>
              <w:rPr>
                <w:rFonts w:hint="eastAsia" w:ascii="Calibri" w:hAnsi="宋体" w:eastAsia="宋体"/>
                <w:color w:val="auto"/>
                <w:sz w:val="21"/>
                <w:lang w:val="en-US" w:eastAsia="zh-CN"/>
              </w:rPr>
              <w:t>评审价</w:t>
            </w:r>
            <w:r>
              <w:rPr>
                <w:rFonts w:hint="eastAsia" w:ascii="Calibri" w:hAnsi="宋体" w:eastAsia="宋体"/>
                <w:color w:val="auto"/>
                <w:sz w:val="21"/>
              </w:rPr>
              <w:t>等于评审基准价得</w:t>
            </w:r>
            <w:r>
              <w:rPr>
                <w:rFonts w:hint="eastAsia" w:ascii="Calibri" w:hAnsi="宋体" w:eastAsia="宋体"/>
                <w:color w:val="auto"/>
                <w:sz w:val="21"/>
                <w:lang w:val="en-US" w:eastAsia="zh-CN"/>
              </w:rPr>
              <w:t>3</w:t>
            </w:r>
            <w:r>
              <w:rPr>
                <w:rFonts w:hint="eastAsia" w:ascii="Calibri" w:hAnsi="宋体" w:eastAsia="宋体"/>
                <w:color w:val="auto"/>
                <w:sz w:val="21"/>
              </w:rPr>
              <w:t>0分，其他报价按计算公式F1=F-｜D1-D︱/D*100*E计算得分，其中F1为投标报价得分、F为投标报价分值权重、D1为供应商的</w:t>
            </w:r>
            <w:r>
              <w:rPr>
                <w:rFonts w:hint="eastAsia" w:ascii="Calibri" w:hAnsi="宋体" w:eastAsia="宋体"/>
                <w:color w:val="auto"/>
                <w:sz w:val="21"/>
                <w:lang w:val="en-US" w:eastAsia="zh-CN"/>
              </w:rPr>
              <w:t>评审价</w:t>
            </w:r>
            <w:r>
              <w:rPr>
                <w:rFonts w:hint="eastAsia" w:ascii="Calibri" w:hAnsi="宋体" w:eastAsia="宋体"/>
                <w:color w:val="auto"/>
                <w:sz w:val="21"/>
              </w:rPr>
              <w:t>、D为评审基准价、E为设定的</w:t>
            </w:r>
            <w:r>
              <w:rPr>
                <w:rFonts w:hint="eastAsia" w:ascii="Calibri" w:hAnsi="宋体" w:eastAsia="宋体"/>
                <w:color w:val="auto"/>
                <w:sz w:val="21"/>
                <w:lang w:val="en-US" w:eastAsia="zh-CN"/>
              </w:rPr>
              <w:t>评审价</w:t>
            </w:r>
            <w:r>
              <w:rPr>
                <w:rFonts w:hint="eastAsia" w:ascii="Calibri" w:hAnsi="宋体" w:eastAsia="宋体"/>
                <w:color w:val="auto"/>
                <w:sz w:val="21"/>
              </w:rPr>
              <w:t>高于或低于评审基准价时应扣除分值。当D1＞D时，E=</w:t>
            </w:r>
            <w:r>
              <w:rPr>
                <w:rFonts w:hint="eastAsia" w:ascii="Calibri" w:hAnsi="宋体" w:eastAsia="宋体"/>
                <w:color w:val="auto"/>
                <w:sz w:val="21"/>
                <w:lang w:val="en-US" w:eastAsia="zh-CN"/>
              </w:rPr>
              <w:t>0.5</w:t>
            </w:r>
            <w:r>
              <w:rPr>
                <w:rFonts w:hint="eastAsia" w:ascii="Calibri" w:hAnsi="宋体" w:eastAsia="宋体"/>
                <w:color w:val="auto"/>
                <w:sz w:val="21"/>
              </w:rPr>
              <w:t>分；当D1＜D时，E=0.</w:t>
            </w:r>
            <w:r>
              <w:rPr>
                <w:rFonts w:hint="eastAsia" w:ascii="Calibri" w:hAnsi="宋体" w:eastAsia="宋体"/>
                <w:color w:val="auto"/>
                <w:sz w:val="21"/>
                <w:lang w:val="en-US" w:eastAsia="zh-CN"/>
              </w:rPr>
              <w:t>3</w:t>
            </w:r>
            <w:r>
              <w:rPr>
                <w:rFonts w:hint="eastAsia" w:ascii="Calibri" w:hAnsi="宋体" w:eastAsia="宋体"/>
                <w:color w:val="auto"/>
                <w:sz w:val="21"/>
              </w:rPr>
              <w:t>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备注：通过</w:t>
            </w:r>
            <w:r>
              <w:rPr>
                <w:rFonts w:hint="eastAsia"/>
                <w:szCs w:val="22"/>
                <w:highlight w:val="none"/>
                <w:lang w:val="en-US" w:eastAsia="zh-CN"/>
              </w:rPr>
              <w:t>资格审查</w:t>
            </w:r>
            <w:r>
              <w:rPr>
                <w:rFonts w:hint="eastAsia"/>
                <w:szCs w:val="22"/>
                <w:highlight w:val="none"/>
              </w:rPr>
              <w:t>、</w:t>
            </w:r>
            <w:r>
              <w:rPr>
                <w:rFonts w:hint="eastAsia"/>
                <w:szCs w:val="22"/>
                <w:highlight w:val="none"/>
                <w:lang w:val="en-US" w:eastAsia="zh-CN"/>
              </w:rPr>
              <w:t>符合性审查</w:t>
            </w:r>
            <w:r>
              <w:rPr>
                <w:rFonts w:hint="eastAsia"/>
                <w:szCs w:val="22"/>
                <w:highlight w:val="none"/>
              </w:rPr>
              <w:t>的投标</w:t>
            </w:r>
            <w:r>
              <w:rPr>
                <w:rFonts w:hint="eastAsia"/>
                <w:szCs w:val="22"/>
                <w:highlight w:val="none"/>
                <w:lang w:val="en-US" w:eastAsia="zh-CN"/>
              </w:rPr>
              <w:t>供应商</w:t>
            </w:r>
            <w:r>
              <w:rPr>
                <w:rFonts w:hint="eastAsia"/>
                <w:szCs w:val="22"/>
                <w:highlight w:val="none"/>
              </w:rPr>
              <w:t>的投标报价为</w:t>
            </w:r>
            <w:r>
              <w:rPr>
                <w:rFonts w:hint="eastAsia"/>
                <w:szCs w:val="22"/>
                <w:highlight w:val="none"/>
                <w:lang w:val="en-US" w:eastAsia="zh-CN"/>
              </w:rPr>
              <w:t>评审价</w:t>
            </w:r>
            <w:r>
              <w:rPr>
                <w:rFonts w:hint="eastAsia"/>
                <w:szCs w:val="22"/>
                <w:highlight w:val="none"/>
                <w:lang w:eastAsia="zh-CN"/>
              </w:rPr>
              <w:t>，</w:t>
            </w:r>
            <w:r>
              <w:rPr>
                <w:rFonts w:hint="eastAsia"/>
                <w:szCs w:val="22"/>
                <w:highlight w:val="none"/>
                <w:lang w:val="en-US" w:eastAsia="zh-CN"/>
              </w:rPr>
              <w:t>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12"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szCs w:val="21"/>
                <w:highlight w:val="none"/>
                <w:lang w:eastAsia="zh-CN"/>
              </w:rPr>
            </w:pPr>
            <w:r>
              <w:rPr>
                <w:rFonts w:hint="eastAsia" w:ascii="宋体" w:hAnsi="宋体"/>
                <w:szCs w:val="21"/>
                <w:highlight w:val="none"/>
              </w:rPr>
              <w:t>2.2.</w:t>
            </w:r>
            <w:r>
              <w:rPr>
                <w:rFonts w:hint="eastAsia" w:ascii="宋体" w:hAnsi="宋体"/>
                <w:szCs w:val="21"/>
                <w:highlight w:val="none"/>
                <w:lang w:val="en-US" w:eastAsia="zh-CN"/>
              </w:rPr>
              <w:t>2</w:t>
            </w:r>
          </w:p>
          <w:p>
            <w:pPr>
              <w:spacing w:line="360" w:lineRule="auto"/>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w:t>
            </w:r>
          </w:p>
        </w:tc>
        <w:tc>
          <w:tcPr>
            <w:tcW w:w="1046"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ascii="宋体"/>
                <w:szCs w:val="21"/>
                <w:highlight w:val="none"/>
              </w:rPr>
            </w:pPr>
            <w:r>
              <w:rPr>
                <w:rFonts w:hint="eastAsia" w:ascii="宋体" w:hAnsi="宋体"/>
                <w:szCs w:val="21"/>
                <w:highlight w:val="none"/>
              </w:rPr>
              <w:t>商务标评分标准</w:t>
            </w:r>
          </w:p>
          <w:p>
            <w:pPr>
              <w:spacing w:line="360" w:lineRule="auto"/>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10</w:t>
            </w:r>
            <w:r>
              <w:rPr>
                <w:rFonts w:hint="eastAsia" w:ascii="宋体" w:hAnsi="宋体"/>
                <w:szCs w:val="21"/>
                <w:highlight w:val="none"/>
              </w:rPr>
              <w:t>分)</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left"/>
              <w:rPr>
                <w:rFonts w:hint="eastAsia"/>
                <w:szCs w:val="22"/>
                <w:highlight w:val="none"/>
              </w:rPr>
            </w:pPr>
            <w:r>
              <w:rPr>
                <w:rFonts w:hint="eastAsia"/>
                <w:szCs w:val="22"/>
                <w:highlight w:val="none"/>
              </w:rPr>
              <w:t>业绩（</w:t>
            </w:r>
            <w:r>
              <w:rPr>
                <w:rFonts w:hint="eastAsia"/>
                <w:szCs w:val="22"/>
                <w:highlight w:val="none"/>
                <w:lang w:val="en-US" w:eastAsia="zh-CN"/>
              </w:rPr>
              <w:t>5</w:t>
            </w:r>
            <w:r>
              <w:rPr>
                <w:rFonts w:hint="eastAsia"/>
                <w:szCs w:val="22"/>
                <w:highlight w:val="none"/>
              </w:rPr>
              <w:t>分）</w:t>
            </w:r>
          </w:p>
        </w:tc>
        <w:tc>
          <w:tcPr>
            <w:tcW w:w="588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提供</w:t>
            </w:r>
            <w:r>
              <w:rPr>
                <w:rFonts w:hint="eastAsia"/>
                <w:szCs w:val="22"/>
                <w:highlight w:val="none"/>
                <w:lang w:val="en-US" w:eastAsia="zh-CN"/>
              </w:rPr>
              <w:t>开标日期前</w:t>
            </w:r>
            <w:r>
              <w:rPr>
                <w:rFonts w:hint="eastAsia"/>
                <w:szCs w:val="22"/>
                <w:highlight w:val="none"/>
              </w:rPr>
              <w:t>近两年同类项目业绩（以合同复印件</w:t>
            </w:r>
            <w:r>
              <w:rPr>
                <w:rFonts w:hint="eastAsia"/>
                <w:szCs w:val="22"/>
                <w:highlight w:val="none"/>
                <w:lang w:val="en-US" w:eastAsia="zh-CN"/>
              </w:rPr>
              <w:t>加盖投标供应商公章</w:t>
            </w:r>
            <w:r>
              <w:rPr>
                <w:rFonts w:hint="eastAsia"/>
                <w:szCs w:val="22"/>
                <w:highlight w:val="none"/>
              </w:rPr>
              <w:t>为准），每提供1份得</w:t>
            </w:r>
            <w:r>
              <w:rPr>
                <w:rFonts w:hint="eastAsia"/>
                <w:szCs w:val="22"/>
                <w:highlight w:val="none"/>
                <w:lang w:val="en-US" w:eastAsia="zh-CN"/>
              </w:rPr>
              <w:t>1</w:t>
            </w:r>
            <w:r>
              <w:rPr>
                <w:rFonts w:hint="eastAsia"/>
                <w:szCs w:val="22"/>
                <w:highlight w:val="none"/>
              </w:rPr>
              <w:t>分，本项满分</w:t>
            </w:r>
            <w:r>
              <w:rPr>
                <w:rFonts w:hint="eastAsia"/>
                <w:szCs w:val="22"/>
                <w:highlight w:val="none"/>
                <w:lang w:val="en-US" w:eastAsia="zh-CN"/>
              </w:rPr>
              <w:t>5</w:t>
            </w:r>
            <w:r>
              <w:rPr>
                <w:rFonts w:hint="eastAsia"/>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12"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szCs w:val="21"/>
                <w:highlight w:val="none"/>
              </w:rPr>
            </w:pPr>
          </w:p>
        </w:tc>
        <w:tc>
          <w:tcPr>
            <w:tcW w:w="1046"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jc w:val="left"/>
              <w:rPr>
                <w:rFonts w:hint="eastAsia"/>
                <w:szCs w:val="22"/>
                <w:highlight w:val="none"/>
              </w:rPr>
            </w:pPr>
            <w:r>
              <w:rPr>
                <w:rFonts w:hint="eastAsia"/>
                <w:szCs w:val="22"/>
                <w:highlight w:val="none"/>
              </w:rPr>
              <w:t>承诺（</w:t>
            </w:r>
            <w:r>
              <w:rPr>
                <w:szCs w:val="22"/>
                <w:highlight w:val="none"/>
              </w:rPr>
              <w:t>5</w:t>
            </w:r>
            <w:r>
              <w:rPr>
                <w:rFonts w:hint="eastAsia"/>
                <w:szCs w:val="22"/>
                <w:highlight w:val="none"/>
              </w:rPr>
              <w:t>分）</w:t>
            </w:r>
          </w:p>
        </w:tc>
        <w:tc>
          <w:tcPr>
            <w:tcW w:w="588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ind w:firstLine="420" w:firstLineChars="200"/>
              <w:jc w:val="left"/>
              <w:rPr>
                <w:rFonts w:hint="eastAsia"/>
                <w:b/>
                <w:bCs/>
                <w:szCs w:val="22"/>
                <w:highlight w:val="none"/>
              </w:rPr>
            </w:pPr>
            <w:r>
              <w:rPr>
                <w:rFonts w:hint="eastAsia"/>
                <w:b/>
                <w:bCs/>
                <w:szCs w:val="22"/>
                <w:highlight w:val="none"/>
                <w:lang w:eastAsia="zh-CN"/>
              </w:rPr>
              <w:t>投标供应商</w:t>
            </w:r>
            <w:r>
              <w:rPr>
                <w:rFonts w:hint="eastAsia"/>
                <w:b/>
                <w:bCs/>
                <w:szCs w:val="22"/>
                <w:highlight w:val="none"/>
              </w:rPr>
              <w:t>对工期时限、工程质量及进度、实施过程中沟通、协调及管理方案等内容作出承诺（5分）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承诺全面且从多个角度明确地做出承诺、有可行性且满足项目需求的得5分；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承诺较全面，有可行性的得4分；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承诺较不全面但对承诺内容有可行性的3分；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承诺简单、不全面可行性较差的得2分；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承诺简单、不全面且承诺中存在较大不合理性的得1分；</w:t>
            </w:r>
          </w:p>
          <w:p>
            <w:pPr>
              <w:autoSpaceDE w:val="0"/>
              <w:autoSpaceDN w:val="0"/>
              <w:adjustRightInd w:val="0"/>
              <w:snapToGrid w:val="0"/>
              <w:spacing w:line="360" w:lineRule="auto"/>
              <w:ind w:firstLine="420" w:firstLineChars="200"/>
              <w:jc w:val="left"/>
              <w:rPr>
                <w:rFonts w:hint="eastAsia"/>
                <w:szCs w:val="22"/>
                <w:highlight w:val="none"/>
              </w:rPr>
            </w:pPr>
            <w:r>
              <w:rPr>
                <w:rFonts w:hint="eastAsia"/>
                <w:szCs w:val="22"/>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85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szCs w:val="21"/>
                <w:highlight w:val="none"/>
              </w:rPr>
            </w:pPr>
            <w:r>
              <w:rPr>
                <w:rFonts w:hint="eastAsia" w:ascii="宋体" w:hAnsi="宋体"/>
                <w:b/>
                <w:szCs w:val="21"/>
                <w:highlight w:val="none"/>
              </w:rPr>
              <w:t>条款号</w:t>
            </w:r>
          </w:p>
        </w:tc>
        <w:tc>
          <w:tcPr>
            <w:tcW w:w="723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b/>
                <w:szCs w:val="21"/>
                <w:highlight w:val="none"/>
              </w:rPr>
            </w:pPr>
            <w:r>
              <w:rPr>
                <w:rFonts w:hint="eastAsia" w:ascii="宋体" w:hAnsi="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Cs w:val="21"/>
                <w:highlight w:val="none"/>
              </w:rPr>
              <w:t>3</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szCs w:val="21"/>
                <w:highlight w:val="none"/>
              </w:rPr>
            </w:pPr>
            <w:r>
              <w:rPr>
                <w:rFonts w:hint="eastAsia" w:ascii="宋体" w:hAnsi="宋体"/>
                <w:szCs w:val="21"/>
                <w:highlight w:val="none"/>
              </w:rPr>
              <w:t>评标</w:t>
            </w:r>
          </w:p>
          <w:p>
            <w:pPr>
              <w:spacing w:line="360" w:lineRule="auto"/>
              <w:jc w:val="center"/>
              <w:rPr>
                <w:rFonts w:ascii="宋体"/>
                <w:szCs w:val="21"/>
                <w:highlight w:val="none"/>
              </w:rPr>
            </w:pPr>
            <w:r>
              <w:rPr>
                <w:rFonts w:hint="eastAsia" w:ascii="宋体" w:hAnsi="宋体"/>
                <w:szCs w:val="21"/>
                <w:highlight w:val="none"/>
              </w:rPr>
              <w:t>程序</w:t>
            </w:r>
          </w:p>
        </w:tc>
        <w:tc>
          <w:tcPr>
            <w:tcW w:w="723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szCs w:val="21"/>
                <w:highlight w:val="none"/>
              </w:rPr>
            </w:pPr>
            <w:r>
              <w:rPr>
                <w:rFonts w:hint="eastAsia" w:ascii="宋体" w:hAnsi="宋体"/>
                <w:szCs w:val="21"/>
                <w:highlight w:val="none"/>
              </w:rPr>
              <w:t>详见本章附件A：评标详细程序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Cs w:val="21"/>
                <w:highlight w:val="none"/>
              </w:rPr>
              <w:t>3.1.2</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Cs w:val="21"/>
                <w:highlight w:val="none"/>
              </w:rPr>
            </w:pPr>
            <w:r>
              <w:rPr>
                <w:rFonts w:hint="eastAsia" w:ascii="宋体" w:hAnsi="宋体"/>
                <w:szCs w:val="21"/>
                <w:highlight w:val="none"/>
              </w:rPr>
              <w:t>无效标</w:t>
            </w:r>
          </w:p>
          <w:p>
            <w:pPr>
              <w:spacing w:line="360" w:lineRule="auto"/>
              <w:jc w:val="center"/>
              <w:rPr>
                <w:rFonts w:ascii="宋体"/>
                <w:szCs w:val="21"/>
                <w:highlight w:val="none"/>
              </w:rPr>
            </w:pPr>
            <w:r>
              <w:rPr>
                <w:rFonts w:hint="eastAsia" w:ascii="宋体" w:hAnsi="宋体"/>
                <w:szCs w:val="21"/>
                <w:highlight w:val="none"/>
              </w:rPr>
              <w:t>条件</w:t>
            </w:r>
          </w:p>
        </w:tc>
        <w:tc>
          <w:tcPr>
            <w:tcW w:w="723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szCs w:val="21"/>
                <w:highlight w:val="none"/>
              </w:rPr>
            </w:pPr>
            <w:r>
              <w:rPr>
                <w:rFonts w:hint="eastAsia" w:ascii="宋体" w:hAnsi="宋体"/>
                <w:szCs w:val="21"/>
                <w:highlight w:val="none"/>
              </w:rPr>
              <w:t>详见本章附件B：无效标条件</w:t>
            </w:r>
          </w:p>
        </w:tc>
      </w:tr>
    </w:tbl>
    <w:p>
      <w:pPr>
        <w:spacing w:line="360" w:lineRule="auto"/>
        <w:ind w:firstLine="640" w:firstLineChars="200"/>
        <w:outlineLvl w:val="9"/>
        <w:rPr>
          <w:rFonts w:hint="eastAsia" w:ascii="宋体" w:hAnsi="宋体" w:eastAsia="宋体" w:cs="宋体"/>
          <w:b/>
          <w:bCs/>
          <w:sz w:val="24"/>
          <w:szCs w:val="24"/>
          <w:highlight w:val="none"/>
          <w:lang w:val="en-US" w:eastAsia="zh-CN"/>
        </w:rPr>
      </w:pPr>
      <w:r>
        <w:rPr>
          <w:rFonts w:hint="eastAsia" w:ascii="黑体" w:hAnsi="黑体" w:eastAsia="黑体" w:cs="黑体"/>
          <w:color w:val="000000"/>
          <w:sz w:val="32"/>
          <w:szCs w:val="32"/>
          <w:highlight w:val="none"/>
        </w:rPr>
        <w:br w:type="page"/>
      </w:r>
      <w:bookmarkStart w:id="252" w:name="_Toc144974567"/>
      <w:bookmarkStart w:id="253" w:name="_Toc179632618"/>
      <w:bookmarkStart w:id="254" w:name="_Toc152042377"/>
      <w:bookmarkStart w:id="255" w:name="_Toc152045600"/>
      <w:bookmarkStart w:id="256" w:name="_Toc24660"/>
      <w:bookmarkStart w:id="257" w:name="_Toc405562121"/>
      <w:bookmarkStart w:id="258" w:name="_Toc874"/>
      <w:bookmarkStart w:id="259" w:name="_Toc1697"/>
      <w:bookmarkStart w:id="260" w:name="_Toc8494"/>
      <w:r>
        <w:rPr>
          <w:rFonts w:hint="eastAsia" w:ascii="宋体" w:hAnsi="宋体" w:eastAsia="宋体" w:cs="宋体"/>
          <w:b/>
          <w:bCs/>
          <w:sz w:val="24"/>
          <w:szCs w:val="24"/>
          <w:highlight w:val="none"/>
          <w:lang w:val="en-US" w:eastAsia="zh-CN"/>
        </w:rPr>
        <w:t>1. 评标方法</w:t>
      </w:r>
      <w:bookmarkEnd w:id="252"/>
      <w:bookmarkEnd w:id="253"/>
      <w:bookmarkEnd w:id="254"/>
      <w:bookmarkEnd w:id="255"/>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次评标采用综合评估法。评标委员会对满足招标文件实质性要求的投标文件，按照本章第2.2款规定的评分标准进行打分，并按得分由高到低顺序推荐中标候选人，或根据采购人授权直接确定中标人，但投标报价低于其成本的除外。综合评分相等时，以投标报价低的优先；投标报价也相等的，</w:t>
      </w:r>
      <w:r>
        <w:rPr>
          <w:rFonts w:hint="eastAsia" w:ascii="宋体" w:hAnsi="宋体"/>
          <w:sz w:val="24"/>
          <w:highlight w:val="none"/>
        </w:rPr>
        <w:t>由评标委员会无记名投票推举排名顺序</w:t>
      </w:r>
      <w:r>
        <w:rPr>
          <w:rFonts w:hint="eastAsia" w:ascii="宋体" w:hAnsi="宋体" w:eastAsia="宋体" w:cs="宋体"/>
          <w:sz w:val="24"/>
          <w:szCs w:val="24"/>
          <w:highlight w:val="none"/>
          <w:lang w:val="en-US" w:eastAsia="zh-CN"/>
        </w:rPr>
        <w:t>。</w:t>
      </w:r>
    </w:p>
    <w:p>
      <w:pPr>
        <w:spacing w:line="360" w:lineRule="auto"/>
        <w:ind w:firstLine="480" w:firstLineChars="200"/>
        <w:outlineLvl w:val="9"/>
        <w:rPr>
          <w:rFonts w:hint="eastAsia" w:ascii="宋体" w:hAnsi="宋体" w:eastAsia="宋体" w:cs="宋体"/>
          <w:b/>
          <w:bCs/>
          <w:sz w:val="24"/>
          <w:szCs w:val="24"/>
          <w:highlight w:val="none"/>
          <w:lang w:val="en-US" w:eastAsia="zh-CN"/>
        </w:rPr>
      </w:pPr>
      <w:bookmarkStart w:id="261" w:name="_Toc179632619"/>
      <w:bookmarkStart w:id="262" w:name="_Toc152042378"/>
      <w:bookmarkStart w:id="263" w:name="_Toc144974568"/>
      <w:bookmarkStart w:id="264" w:name="_Toc152045601"/>
      <w:r>
        <w:rPr>
          <w:rFonts w:hint="eastAsia" w:ascii="宋体" w:hAnsi="宋体" w:eastAsia="宋体" w:cs="宋体"/>
          <w:b/>
          <w:bCs/>
          <w:sz w:val="24"/>
          <w:szCs w:val="24"/>
          <w:highlight w:val="none"/>
          <w:lang w:val="en-US" w:eastAsia="zh-CN"/>
        </w:rPr>
        <w:t>2. 评审标准</w:t>
      </w:r>
      <w:bookmarkEnd w:id="261"/>
      <w:bookmarkEnd w:id="262"/>
      <w:bookmarkEnd w:id="263"/>
      <w:bookmarkEnd w:id="264"/>
    </w:p>
    <w:p>
      <w:pPr>
        <w:spacing w:line="360" w:lineRule="auto"/>
        <w:ind w:firstLine="480" w:firstLineChars="200"/>
        <w:outlineLvl w:val="9"/>
        <w:rPr>
          <w:rFonts w:hint="eastAsia" w:ascii="宋体" w:hAnsi="宋体" w:eastAsia="宋体" w:cs="宋体"/>
          <w:b/>
          <w:bCs/>
          <w:sz w:val="24"/>
          <w:szCs w:val="24"/>
          <w:highlight w:val="none"/>
          <w:lang w:val="en-US" w:eastAsia="zh-CN"/>
        </w:rPr>
      </w:pPr>
      <w:bookmarkStart w:id="265" w:name="_Toc144974569"/>
      <w:bookmarkStart w:id="266" w:name="_Toc152045602"/>
      <w:bookmarkStart w:id="267" w:name="_Toc179632620"/>
      <w:bookmarkStart w:id="268" w:name="_Toc152042379"/>
      <w:r>
        <w:rPr>
          <w:rFonts w:hint="eastAsia" w:ascii="宋体" w:hAnsi="宋体" w:eastAsia="宋体" w:cs="宋体"/>
          <w:b/>
          <w:bCs/>
          <w:sz w:val="24"/>
          <w:szCs w:val="24"/>
          <w:highlight w:val="none"/>
          <w:lang w:val="en-US" w:eastAsia="zh-CN"/>
        </w:rPr>
        <w:t>2.1 初步评审标准</w:t>
      </w:r>
      <w:bookmarkEnd w:id="265"/>
      <w:bookmarkEnd w:id="266"/>
      <w:bookmarkEnd w:id="267"/>
      <w:bookmarkEnd w:id="268"/>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 资格审查：见评标办法前附表。</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 符合性审查：见评标办法前附表。</w:t>
      </w:r>
    </w:p>
    <w:p>
      <w:pPr>
        <w:spacing w:line="360" w:lineRule="auto"/>
        <w:ind w:firstLine="480" w:firstLineChars="200"/>
        <w:outlineLvl w:val="9"/>
        <w:rPr>
          <w:rFonts w:hint="eastAsia" w:ascii="宋体" w:hAnsi="宋体" w:eastAsia="宋体" w:cs="宋体"/>
          <w:b/>
          <w:bCs/>
          <w:sz w:val="24"/>
          <w:szCs w:val="24"/>
          <w:highlight w:val="none"/>
          <w:lang w:val="en-US" w:eastAsia="zh-CN"/>
        </w:rPr>
      </w:pPr>
      <w:bookmarkStart w:id="269" w:name="_Toc144974570"/>
      <w:bookmarkStart w:id="270" w:name="_Toc152045603"/>
      <w:bookmarkStart w:id="271" w:name="_Toc179632621"/>
      <w:bookmarkStart w:id="272" w:name="_Toc152042380"/>
      <w:r>
        <w:rPr>
          <w:rFonts w:hint="eastAsia" w:ascii="宋体" w:hAnsi="宋体" w:eastAsia="宋体" w:cs="宋体"/>
          <w:b/>
          <w:bCs/>
          <w:sz w:val="24"/>
          <w:szCs w:val="24"/>
          <w:highlight w:val="none"/>
          <w:lang w:val="en-US" w:eastAsia="zh-CN"/>
        </w:rPr>
        <w:t>2.2 分值构成与评分标准</w:t>
      </w:r>
      <w:bookmarkEnd w:id="269"/>
      <w:bookmarkEnd w:id="270"/>
      <w:bookmarkEnd w:id="271"/>
      <w:bookmarkEnd w:id="272"/>
    </w:p>
    <w:p>
      <w:pPr>
        <w:spacing w:line="360" w:lineRule="auto"/>
        <w:ind w:firstLine="480" w:firstLineChars="200"/>
        <w:rPr>
          <w:rFonts w:ascii="宋体"/>
          <w:sz w:val="24"/>
          <w:highlight w:val="none"/>
        </w:rPr>
      </w:pPr>
      <w:r>
        <w:rPr>
          <w:rFonts w:hint="eastAsia" w:ascii="宋体" w:hAnsi="宋体"/>
          <w:sz w:val="24"/>
          <w:highlight w:val="none"/>
        </w:rPr>
        <w:t>2.2.1分值构成</w:t>
      </w:r>
    </w:p>
    <w:p>
      <w:pPr>
        <w:spacing w:line="360" w:lineRule="auto"/>
        <w:ind w:firstLine="480" w:firstLineChars="200"/>
        <w:rPr>
          <w:rFonts w:ascii="宋体"/>
          <w:sz w:val="24"/>
          <w:highlight w:val="none"/>
        </w:rPr>
      </w:pPr>
      <w:r>
        <w:rPr>
          <w:rFonts w:hint="eastAsia" w:ascii="宋体" w:hAnsi="宋体"/>
          <w:sz w:val="24"/>
          <w:highlight w:val="none"/>
        </w:rPr>
        <w:t>（1）技术标：见评标办法前附表；</w:t>
      </w:r>
    </w:p>
    <w:p>
      <w:pPr>
        <w:spacing w:line="360" w:lineRule="auto"/>
        <w:ind w:firstLine="480" w:firstLineChars="200"/>
        <w:rPr>
          <w:rFonts w:hint="eastAsia" w:ascii="宋体" w:eastAsia="宋体"/>
          <w:sz w:val="24"/>
          <w:highlight w:val="none"/>
          <w:lang w:eastAsia="zh-CN"/>
        </w:rPr>
      </w:pPr>
      <w:r>
        <w:rPr>
          <w:rFonts w:hint="eastAsia" w:ascii="宋体" w:hAnsi="宋体"/>
          <w:sz w:val="24"/>
          <w:highlight w:val="none"/>
        </w:rPr>
        <w:t>（2）商务标：见评标办法前附表</w:t>
      </w:r>
      <w:r>
        <w:rPr>
          <w:rFonts w:hint="eastAsia" w:ascii="宋体" w:hAnsi="宋体"/>
          <w:sz w:val="24"/>
          <w:highlight w:val="none"/>
          <w:lang w:eastAsia="zh-CN"/>
        </w:rPr>
        <w:t>；</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）投标报价：</w:t>
      </w:r>
      <w:r>
        <w:rPr>
          <w:rFonts w:hint="eastAsia" w:ascii="宋体" w:hAnsi="宋体"/>
          <w:sz w:val="24"/>
          <w:highlight w:val="none"/>
        </w:rPr>
        <w:t>见评标办法前附表</w:t>
      </w:r>
      <w:r>
        <w:rPr>
          <w:rFonts w:hint="eastAsia" w:ascii="宋体" w:hAnsi="宋体"/>
          <w:sz w:val="24"/>
          <w:highlight w:val="none"/>
          <w:lang w:eastAsia="zh-CN"/>
        </w:rPr>
        <w:t>。</w:t>
      </w:r>
    </w:p>
    <w:p>
      <w:pPr>
        <w:spacing w:line="360" w:lineRule="auto"/>
        <w:ind w:firstLine="480" w:firstLineChars="200"/>
        <w:rPr>
          <w:rFonts w:ascii="宋体"/>
          <w:sz w:val="24"/>
          <w:highlight w:val="none"/>
        </w:rPr>
      </w:pPr>
      <w:r>
        <w:rPr>
          <w:rFonts w:hint="eastAsia" w:ascii="宋体" w:hAnsi="宋体"/>
          <w:sz w:val="24"/>
          <w:highlight w:val="none"/>
        </w:rPr>
        <w:t>2.2.</w:t>
      </w:r>
      <w:r>
        <w:rPr>
          <w:rFonts w:hint="eastAsia" w:ascii="宋体" w:hAnsi="宋体"/>
          <w:sz w:val="24"/>
          <w:highlight w:val="none"/>
          <w:lang w:val="en-US" w:eastAsia="zh-CN"/>
        </w:rPr>
        <w:t>2</w:t>
      </w:r>
      <w:r>
        <w:rPr>
          <w:rFonts w:hint="eastAsia" w:ascii="宋体" w:hAnsi="宋体"/>
          <w:sz w:val="24"/>
          <w:highlight w:val="none"/>
        </w:rPr>
        <w:t>评分标准</w:t>
      </w:r>
    </w:p>
    <w:p>
      <w:pPr>
        <w:spacing w:line="360" w:lineRule="auto"/>
        <w:ind w:firstLine="480" w:firstLineChars="200"/>
        <w:rPr>
          <w:rFonts w:ascii="宋体"/>
          <w:sz w:val="24"/>
          <w:highlight w:val="none"/>
        </w:rPr>
      </w:pPr>
      <w:r>
        <w:rPr>
          <w:rFonts w:hint="eastAsia" w:ascii="宋体" w:hAnsi="宋体"/>
          <w:sz w:val="24"/>
          <w:highlight w:val="none"/>
        </w:rPr>
        <w:t>（1）技术标：见评标办法前附表；</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sz w:val="24"/>
          <w:highlight w:val="none"/>
        </w:rPr>
        <w:t>（2）商务标：见评标办法前附表。</w:t>
      </w:r>
    </w:p>
    <w:p>
      <w:pPr>
        <w:spacing w:line="360" w:lineRule="auto"/>
        <w:ind w:firstLine="480" w:firstLineChars="200"/>
        <w:rPr>
          <w:rFonts w:hint="eastAsia" w:ascii="宋体" w:hAnsi="宋体" w:eastAsia="宋体" w:cs="宋体"/>
          <w:b/>
          <w:bCs/>
          <w:sz w:val="24"/>
          <w:szCs w:val="24"/>
          <w:highlight w:val="none"/>
          <w:lang w:val="en-US" w:eastAsia="zh-CN"/>
        </w:rPr>
      </w:pPr>
      <w:bookmarkStart w:id="273" w:name="_Toc179632622"/>
      <w:bookmarkStart w:id="274" w:name="_Toc152045604"/>
      <w:bookmarkStart w:id="275" w:name="_Toc144974571"/>
      <w:bookmarkStart w:id="276" w:name="_Toc152042381"/>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）投标报价：</w:t>
      </w:r>
      <w:r>
        <w:rPr>
          <w:rFonts w:hint="eastAsia" w:ascii="宋体" w:hAnsi="宋体"/>
          <w:sz w:val="24"/>
          <w:highlight w:val="none"/>
        </w:rPr>
        <w:t>见评标办法前附表</w:t>
      </w:r>
      <w:r>
        <w:rPr>
          <w:rFonts w:hint="eastAsia" w:ascii="宋体" w:hAnsi="宋体"/>
          <w:sz w:val="24"/>
          <w:highlight w:val="none"/>
          <w:lang w:eastAsia="zh-CN"/>
        </w:rPr>
        <w:t>。</w:t>
      </w:r>
    </w:p>
    <w:p>
      <w:pPr>
        <w:spacing w:line="360" w:lineRule="auto"/>
        <w:ind w:firstLine="480" w:firstLineChars="200"/>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 评标程序</w:t>
      </w:r>
      <w:bookmarkEnd w:id="273"/>
      <w:bookmarkEnd w:id="274"/>
      <w:bookmarkEnd w:id="275"/>
      <w:bookmarkEnd w:id="276"/>
    </w:p>
    <w:p>
      <w:pPr>
        <w:spacing w:line="360" w:lineRule="auto"/>
        <w:ind w:firstLine="480" w:firstLineChars="200"/>
        <w:outlineLvl w:val="9"/>
        <w:rPr>
          <w:rFonts w:hint="eastAsia" w:ascii="宋体" w:hAnsi="宋体" w:eastAsia="宋体" w:cs="宋体"/>
          <w:b/>
          <w:bCs/>
          <w:sz w:val="24"/>
          <w:szCs w:val="24"/>
          <w:highlight w:val="none"/>
          <w:lang w:val="en-US" w:eastAsia="zh-CN"/>
        </w:rPr>
      </w:pPr>
      <w:bookmarkStart w:id="277" w:name="_Toc179632623"/>
      <w:bookmarkStart w:id="278" w:name="_Toc152045605"/>
      <w:bookmarkStart w:id="279" w:name="_Toc144974572"/>
      <w:bookmarkStart w:id="280" w:name="_Toc152042382"/>
      <w:r>
        <w:rPr>
          <w:rFonts w:hint="eastAsia" w:ascii="宋体" w:hAnsi="宋体" w:eastAsia="宋体" w:cs="宋体"/>
          <w:b/>
          <w:bCs/>
          <w:sz w:val="24"/>
          <w:szCs w:val="24"/>
          <w:highlight w:val="none"/>
          <w:lang w:val="en-US" w:eastAsia="zh-CN"/>
        </w:rPr>
        <w:t>3.1 初步评审</w:t>
      </w:r>
      <w:bookmarkEnd w:id="277"/>
      <w:bookmarkEnd w:id="278"/>
      <w:bookmarkEnd w:id="279"/>
      <w:bookmarkEnd w:id="280"/>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 评标委员会可以要求投标供应商提交第二章“投标供应商须知前附表”第3.5项规定的有关证明和证件的原件，以便核验。评标委员会依据本章第2.1款规定的标准对投标文件进行初步评审。有一项不符合评审标准的，作废标处理。</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 投标供应商有以下情形之一的，其投标作废标处理：</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（1）第二章“投标供应商须知”第1.4.3项规定的任何一种情形的；</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（2）串通投标或弄虚作假或有其他违法行为的；</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（3）不按评标委员会要求澄清、说明或补正的。</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3.1.3投标报价有算术错误的，评标委员会按以下原则对投标报价进行修正，修正的价格经投标供应商书面确认后具有约束力。投标供应商不接受修正价格的，其投标作废标处理。</w:t>
      </w:r>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281" w:name="_Toc152042383"/>
      <w:r>
        <w:rPr>
          <w:rFonts w:hint="eastAsia" w:ascii="宋体" w:hAnsi="宋体" w:eastAsia="宋体" w:cs="宋体"/>
          <w:sz w:val="24"/>
          <w:szCs w:val="24"/>
          <w:highlight w:val="none"/>
          <w:lang w:val="en-US" w:eastAsia="zh-CN"/>
        </w:rPr>
        <w:t>（1）投标文件中的大写金额与小写金额不一致的，以大写金额为准；</w:t>
      </w:r>
      <w:bookmarkEnd w:id="281"/>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（2）总价金额与依据单价计算出的结果不一致的，以单价金额为准修正总价，但单价金额小数点有明显错误的除外。</w:t>
      </w:r>
    </w:p>
    <w:p>
      <w:pPr>
        <w:spacing w:line="360" w:lineRule="auto"/>
        <w:ind w:firstLine="480" w:firstLineChars="200"/>
        <w:outlineLvl w:val="9"/>
        <w:rPr>
          <w:rFonts w:hint="eastAsia" w:ascii="宋体" w:hAnsi="宋体" w:eastAsia="宋体" w:cs="宋体"/>
          <w:b/>
          <w:bCs/>
          <w:sz w:val="24"/>
          <w:szCs w:val="24"/>
          <w:highlight w:val="none"/>
          <w:lang w:val="en-US" w:eastAsia="zh-CN"/>
        </w:rPr>
      </w:pPr>
      <w:bookmarkStart w:id="282" w:name="_Toc179632624"/>
      <w:bookmarkStart w:id="283" w:name="_Toc152045606"/>
      <w:bookmarkStart w:id="284" w:name="_Toc144974573"/>
      <w:bookmarkStart w:id="285" w:name="_Toc152042384"/>
      <w:r>
        <w:rPr>
          <w:rFonts w:hint="eastAsia" w:ascii="宋体" w:hAnsi="宋体" w:eastAsia="宋体" w:cs="宋体"/>
          <w:b/>
          <w:bCs/>
          <w:sz w:val="24"/>
          <w:szCs w:val="24"/>
          <w:highlight w:val="none"/>
          <w:lang w:val="en-US" w:eastAsia="zh-CN"/>
        </w:rPr>
        <w:t>3.2 详细评审</w:t>
      </w:r>
      <w:bookmarkEnd w:id="282"/>
      <w:bookmarkEnd w:id="283"/>
      <w:bookmarkEnd w:id="284"/>
      <w:bookmarkEnd w:id="285"/>
    </w:p>
    <w:p>
      <w:pPr>
        <w:spacing w:line="360" w:lineRule="auto"/>
        <w:ind w:firstLine="480" w:firstLineChars="200"/>
        <w:rPr>
          <w:rFonts w:ascii="宋体"/>
          <w:sz w:val="24"/>
          <w:highlight w:val="none"/>
        </w:rPr>
      </w:pPr>
      <w:r>
        <w:rPr>
          <w:rFonts w:hint="eastAsia" w:ascii="宋体" w:hAnsi="宋体"/>
          <w:sz w:val="24"/>
          <w:highlight w:val="none"/>
        </w:rPr>
        <w:t>3.2.1评标委员会按本章第2.2 款规定的量化因素和分值进行打分，并计算出综合评估得分。</w:t>
      </w:r>
    </w:p>
    <w:p>
      <w:pPr>
        <w:spacing w:line="360" w:lineRule="auto"/>
        <w:ind w:firstLine="480" w:firstLineChars="200"/>
        <w:rPr>
          <w:rFonts w:ascii="宋体"/>
          <w:sz w:val="24"/>
          <w:highlight w:val="none"/>
        </w:rPr>
      </w:pPr>
      <w:r>
        <w:rPr>
          <w:rFonts w:hint="eastAsia" w:ascii="宋体" w:hAnsi="宋体"/>
          <w:sz w:val="24"/>
          <w:highlight w:val="none"/>
        </w:rPr>
        <w:t>(1）按本章第2.2.4(1）目规定的评审因素和分值对技术标计算出得分A；</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）按本章第2.2.4(</w:t>
      </w:r>
      <w:r>
        <w:rPr>
          <w:rFonts w:hint="eastAsia" w:ascii="宋体" w:hAnsi="宋体"/>
          <w:sz w:val="24"/>
          <w:highlight w:val="none"/>
          <w:lang w:val="en-US" w:eastAsia="zh-CN"/>
        </w:rPr>
        <w:t>2</w:t>
      </w:r>
      <w:r>
        <w:rPr>
          <w:rFonts w:hint="eastAsia" w:ascii="宋体" w:hAnsi="宋体"/>
          <w:sz w:val="24"/>
          <w:highlight w:val="none"/>
        </w:rPr>
        <w:t>）目规定的评审因素和分值对</w:t>
      </w:r>
      <w:r>
        <w:rPr>
          <w:rFonts w:hint="eastAsia" w:ascii="宋体" w:hAnsi="宋体"/>
          <w:sz w:val="24"/>
          <w:highlight w:val="none"/>
          <w:lang w:val="en-US" w:eastAsia="zh-CN"/>
        </w:rPr>
        <w:t>投标报价</w:t>
      </w:r>
      <w:r>
        <w:rPr>
          <w:rFonts w:hint="eastAsia" w:ascii="宋体" w:hAnsi="宋体"/>
          <w:sz w:val="24"/>
          <w:highlight w:val="none"/>
        </w:rPr>
        <w:t>计算出得分</w:t>
      </w:r>
      <w:r>
        <w:rPr>
          <w:rFonts w:hint="eastAsia" w:ascii="宋体" w:hAnsi="宋体"/>
          <w:sz w:val="24"/>
          <w:highlight w:val="none"/>
          <w:lang w:val="en-US" w:eastAsia="zh-CN"/>
        </w:rPr>
        <w:t>B</w:t>
      </w:r>
      <w:r>
        <w:rPr>
          <w:rFonts w:hint="eastAsia" w:ascii="宋体" w:hAnsi="宋体"/>
          <w:sz w:val="24"/>
          <w:highlight w:val="none"/>
        </w:rPr>
        <w:t>；</w:t>
      </w:r>
    </w:p>
    <w:p>
      <w:pPr>
        <w:spacing w:line="360" w:lineRule="auto"/>
        <w:ind w:firstLine="480" w:firstLineChars="200"/>
        <w:rPr>
          <w:rFonts w:asci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）按本章第2.2.4(</w:t>
      </w:r>
      <w:r>
        <w:rPr>
          <w:rFonts w:hint="eastAsia" w:ascii="宋体" w:hAnsi="宋体"/>
          <w:sz w:val="24"/>
          <w:highlight w:val="none"/>
          <w:lang w:val="en-US" w:eastAsia="zh-CN"/>
        </w:rPr>
        <w:t>3</w:t>
      </w:r>
      <w:r>
        <w:rPr>
          <w:rFonts w:hint="eastAsia" w:ascii="宋体" w:hAnsi="宋体"/>
          <w:sz w:val="24"/>
          <w:highlight w:val="none"/>
        </w:rPr>
        <w:t>）目规定的评审因素和分值对商务标计算出得分</w:t>
      </w:r>
      <w:r>
        <w:rPr>
          <w:rFonts w:hint="eastAsia" w:ascii="宋体" w:hAnsi="宋体"/>
          <w:sz w:val="24"/>
          <w:highlight w:val="none"/>
          <w:lang w:val="en-US" w:eastAsia="zh-CN"/>
        </w:rPr>
        <w:t>C</w:t>
      </w:r>
      <w:r>
        <w:rPr>
          <w:rFonts w:hint="eastAsia" w:ascii="宋体" w:hAnsi="宋体"/>
          <w:sz w:val="24"/>
          <w:highlight w:val="none"/>
        </w:rPr>
        <w:t>。</w:t>
      </w:r>
    </w:p>
    <w:p>
      <w:pPr>
        <w:spacing w:line="360" w:lineRule="auto"/>
        <w:ind w:firstLine="480" w:firstLineChars="200"/>
        <w:rPr>
          <w:rFonts w:ascii="宋体"/>
          <w:sz w:val="24"/>
          <w:highlight w:val="none"/>
        </w:rPr>
      </w:pPr>
      <w:r>
        <w:rPr>
          <w:rFonts w:hint="eastAsia" w:ascii="宋体" w:hAnsi="宋体"/>
          <w:sz w:val="24"/>
          <w:highlight w:val="none"/>
        </w:rPr>
        <w:t>3.2.2评分分值计算保留小数点后两位，小数点后第三位“四舍五入”。</w:t>
      </w:r>
    </w:p>
    <w:p>
      <w:pPr>
        <w:spacing w:line="360" w:lineRule="auto"/>
        <w:ind w:firstLine="480" w:firstLineChars="200"/>
        <w:rPr>
          <w:rFonts w:ascii="宋体"/>
          <w:sz w:val="24"/>
          <w:highlight w:val="none"/>
        </w:rPr>
      </w:pPr>
      <w:r>
        <w:rPr>
          <w:rFonts w:hint="eastAsia" w:ascii="宋体" w:hAnsi="宋体"/>
          <w:sz w:val="24"/>
          <w:highlight w:val="none"/>
        </w:rPr>
        <w:t>3.2.3</w:t>
      </w:r>
      <w:r>
        <w:rPr>
          <w:rFonts w:hint="eastAsia" w:ascii="宋体" w:hAnsi="宋体"/>
          <w:sz w:val="24"/>
          <w:highlight w:val="none"/>
          <w:lang w:eastAsia="zh-CN"/>
        </w:rPr>
        <w:t>投标供应商</w:t>
      </w:r>
      <w:r>
        <w:rPr>
          <w:rFonts w:hint="eastAsia" w:ascii="宋体" w:hAnsi="宋体"/>
          <w:sz w:val="24"/>
          <w:highlight w:val="none"/>
        </w:rPr>
        <w:t>得分=技术标得分+</w:t>
      </w:r>
      <w:r>
        <w:rPr>
          <w:rFonts w:hint="eastAsia" w:ascii="宋体" w:hAnsi="宋体"/>
          <w:sz w:val="24"/>
          <w:highlight w:val="none"/>
          <w:lang w:val="en-US" w:eastAsia="zh-CN"/>
        </w:rPr>
        <w:t>投标报价+</w:t>
      </w:r>
      <w:r>
        <w:rPr>
          <w:rFonts w:hint="eastAsia" w:ascii="宋体" w:hAnsi="宋体"/>
          <w:sz w:val="24"/>
          <w:highlight w:val="none"/>
        </w:rPr>
        <w:t>商务标得分=A</w:t>
      </w:r>
      <w:r>
        <w:rPr>
          <w:rFonts w:hint="eastAsia" w:ascii="宋体" w:hAnsi="宋体"/>
          <w:sz w:val="24"/>
          <w:highlight w:val="none"/>
          <w:lang w:val="en-US" w:eastAsia="zh-CN"/>
        </w:rPr>
        <w:t>+</w:t>
      </w:r>
      <w:r>
        <w:rPr>
          <w:rFonts w:hint="eastAsia" w:ascii="宋体" w:hAnsi="宋体"/>
          <w:sz w:val="24"/>
          <w:highlight w:val="none"/>
        </w:rPr>
        <w:t>B</w:t>
      </w:r>
      <w:r>
        <w:rPr>
          <w:rFonts w:hint="eastAsia" w:ascii="宋体" w:hAnsi="宋体"/>
          <w:sz w:val="24"/>
          <w:highlight w:val="none"/>
          <w:lang w:val="en-US" w:eastAsia="zh-CN"/>
        </w:rPr>
        <w:t>+C</w:t>
      </w:r>
      <w:r>
        <w:rPr>
          <w:rFonts w:hint="eastAsia" w:ascii="宋体" w:hAnsi="宋体"/>
          <w:sz w:val="24"/>
          <w:highlight w:val="none"/>
        </w:rPr>
        <w:t>。</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sz w:val="24"/>
          <w:highlight w:val="none"/>
        </w:rPr>
        <w:t>3.2.4评标委员会发现</w:t>
      </w:r>
      <w:r>
        <w:rPr>
          <w:rFonts w:hint="eastAsia" w:ascii="宋体" w:hAnsi="宋体"/>
          <w:sz w:val="24"/>
          <w:highlight w:val="none"/>
          <w:lang w:eastAsia="zh-CN"/>
        </w:rPr>
        <w:t>投标供应商</w:t>
      </w:r>
      <w:r>
        <w:rPr>
          <w:rFonts w:hint="eastAsia" w:ascii="宋体" w:hAnsi="宋体"/>
          <w:sz w:val="24"/>
          <w:highlight w:val="none"/>
        </w:rPr>
        <w:t>的报价明显低于其他投标报价，或者在设有标底时明显低于标底，使得其投标报价可能低于其个别成本的，应当要求该</w:t>
      </w:r>
      <w:r>
        <w:rPr>
          <w:rFonts w:hint="eastAsia" w:ascii="宋体" w:hAnsi="宋体"/>
          <w:sz w:val="24"/>
          <w:highlight w:val="none"/>
          <w:lang w:eastAsia="zh-CN"/>
        </w:rPr>
        <w:t>投标供应商</w:t>
      </w:r>
      <w:r>
        <w:rPr>
          <w:rFonts w:hint="eastAsia" w:ascii="宋体" w:hAnsi="宋体"/>
          <w:sz w:val="24"/>
          <w:highlight w:val="none"/>
        </w:rPr>
        <w:t>作出书面说明并提供相应的证明材料。</w:t>
      </w:r>
      <w:r>
        <w:rPr>
          <w:rFonts w:hint="eastAsia" w:ascii="宋体" w:hAnsi="宋体"/>
          <w:sz w:val="24"/>
          <w:highlight w:val="none"/>
          <w:lang w:eastAsia="zh-CN"/>
        </w:rPr>
        <w:t>投标供应商</w:t>
      </w:r>
      <w:r>
        <w:rPr>
          <w:rFonts w:hint="eastAsia" w:ascii="宋体" w:hAnsi="宋体"/>
          <w:sz w:val="24"/>
          <w:highlight w:val="none"/>
        </w:rPr>
        <w:t>不能合理说明或者不能提供相应证明材料的，由评标委员会认定该</w:t>
      </w:r>
      <w:r>
        <w:rPr>
          <w:rFonts w:hint="eastAsia" w:ascii="宋体" w:hAnsi="宋体"/>
          <w:sz w:val="24"/>
          <w:highlight w:val="none"/>
          <w:lang w:eastAsia="zh-CN"/>
        </w:rPr>
        <w:t>投标供应商</w:t>
      </w:r>
      <w:r>
        <w:rPr>
          <w:rFonts w:hint="eastAsia" w:ascii="宋体" w:hAnsi="宋体"/>
          <w:sz w:val="24"/>
          <w:highlight w:val="none"/>
        </w:rPr>
        <w:t>以低于成本报价竞标，其投标作无效标处理。</w:t>
      </w:r>
    </w:p>
    <w:p>
      <w:pPr>
        <w:spacing w:line="360" w:lineRule="auto"/>
        <w:ind w:firstLine="480" w:firstLineChars="200"/>
        <w:outlineLvl w:val="9"/>
        <w:rPr>
          <w:rFonts w:hint="eastAsia" w:ascii="宋体" w:hAnsi="宋体" w:eastAsia="宋体" w:cs="宋体"/>
          <w:b/>
          <w:bCs/>
          <w:sz w:val="24"/>
          <w:szCs w:val="24"/>
          <w:highlight w:val="none"/>
          <w:lang w:val="en-US" w:eastAsia="zh-CN"/>
        </w:rPr>
      </w:pPr>
      <w:bookmarkStart w:id="286" w:name="_Toc144974575"/>
      <w:bookmarkStart w:id="287" w:name="_Toc152042385"/>
      <w:bookmarkStart w:id="288" w:name="_Toc179632625"/>
      <w:bookmarkStart w:id="289" w:name="_Toc152045607"/>
      <w:r>
        <w:rPr>
          <w:rFonts w:hint="eastAsia" w:ascii="宋体" w:hAnsi="宋体" w:eastAsia="宋体" w:cs="宋体"/>
          <w:b/>
          <w:bCs/>
          <w:sz w:val="24"/>
          <w:szCs w:val="24"/>
          <w:highlight w:val="none"/>
          <w:lang w:val="en-US" w:eastAsia="zh-CN"/>
        </w:rPr>
        <w:t>3.3 投标文件的澄清</w:t>
      </w:r>
      <w:bookmarkEnd w:id="286"/>
      <w:r>
        <w:rPr>
          <w:rFonts w:hint="eastAsia" w:ascii="宋体" w:hAnsi="宋体" w:eastAsia="宋体" w:cs="宋体"/>
          <w:b/>
          <w:bCs/>
          <w:sz w:val="24"/>
          <w:szCs w:val="24"/>
          <w:highlight w:val="none"/>
          <w:lang w:val="en-US" w:eastAsia="zh-CN"/>
        </w:rPr>
        <w:t>和补正</w:t>
      </w:r>
      <w:bookmarkEnd w:id="287"/>
      <w:bookmarkEnd w:id="288"/>
      <w:bookmarkEnd w:id="289"/>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3.3.1在评标过程中，评标委员会可以书面形式要求投标供应商对所提交投标文件中不明确的内容进行书面澄清或说明，或者对细微偏差进行补正。评标委员会不接受投标供应商主动提出的澄清、说明或补正。</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3.3.2 澄清、说明和补正不得改变投标文件的实质性内容（算术性错误修正的除外）。投标供应商的书面澄清、说明和补正属于投标文件的组成部分。</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3.3.3 评标委员会对投标供应商提交的澄清、说明或补正有疑问的，可以要求投标供应商进一步澄清、说明或补正，直至满足评标委员会的要求。</w:t>
      </w:r>
    </w:p>
    <w:p>
      <w:pPr>
        <w:spacing w:line="360" w:lineRule="auto"/>
        <w:ind w:firstLine="480" w:firstLineChars="200"/>
        <w:outlineLvl w:val="9"/>
        <w:rPr>
          <w:rFonts w:hint="eastAsia" w:ascii="宋体" w:hAnsi="宋体" w:eastAsia="宋体" w:cs="宋体"/>
          <w:b/>
          <w:bCs/>
          <w:sz w:val="24"/>
          <w:szCs w:val="24"/>
          <w:highlight w:val="none"/>
          <w:lang w:val="en-US" w:eastAsia="zh-CN"/>
        </w:rPr>
      </w:pPr>
      <w:bookmarkStart w:id="290" w:name="_Toc152042386"/>
      <w:bookmarkStart w:id="291" w:name="_Toc144974576"/>
      <w:bookmarkStart w:id="292" w:name="_Toc152045608"/>
      <w:bookmarkStart w:id="293" w:name="_Toc179632626"/>
      <w:r>
        <w:rPr>
          <w:rFonts w:hint="eastAsia" w:ascii="宋体" w:hAnsi="宋体" w:eastAsia="宋体" w:cs="宋体"/>
          <w:b/>
          <w:bCs/>
          <w:sz w:val="24"/>
          <w:szCs w:val="24"/>
          <w:highlight w:val="none"/>
          <w:lang w:val="en-US" w:eastAsia="zh-CN"/>
        </w:rPr>
        <w:t>3.4 评标结果</w:t>
      </w:r>
      <w:bookmarkEnd w:id="290"/>
      <w:bookmarkEnd w:id="291"/>
      <w:bookmarkEnd w:id="292"/>
      <w:bookmarkEnd w:id="293"/>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3.4.1除第二章“投标供应商须知”前附表授权直接确定中标人外，评标委员会按照得分由高到低的顺序推荐中标候选人。</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3.4.2 评标委员会完成评标后，应当向采购人提交书面评标报告。</w:t>
      </w:r>
    </w:p>
    <w:bookmarkEnd w:id="256"/>
    <w:bookmarkEnd w:id="257"/>
    <w:bookmarkEnd w:id="258"/>
    <w:bookmarkEnd w:id="259"/>
    <w:bookmarkEnd w:id="260"/>
    <w:p>
      <w:pPr>
        <w:spacing w:line="360" w:lineRule="auto"/>
        <w:ind w:firstLine="480" w:firstLineChars="200"/>
        <w:outlineLvl w:val="9"/>
        <w:rPr>
          <w:rFonts w:hint="eastAsia"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en-US" w:eastAsia="zh-CN"/>
        </w:rPr>
        <w:t xml:space="preserve">3.5 </w:t>
      </w:r>
      <w:r>
        <w:rPr>
          <w:rFonts w:hint="eastAsia" w:ascii="宋体" w:hAnsi="宋体" w:eastAsia="宋体" w:cs="宋体"/>
          <w:b/>
          <w:bCs/>
          <w:sz w:val="24"/>
          <w:szCs w:val="24"/>
          <w:highlight w:val="none"/>
          <w:lang w:val="zh-CN" w:eastAsia="zh-CN"/>
        </w:rPr>
        <w:t>需要落实的政府采购政策</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3.5.1采购政策</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w:t>
      </w:r>
      <w:r>
        <w:rPr>
          <w:rFonts w:hint="eastAsia" w:ascii="宋体" w:hAnsi="宋体" w:eastAsia="宋体" w:cs="宋体"/>
          <w:spacing w:val="0"/>
          <w:w w:val="100"/>
          <w:sz w:val="24"/>
          <w:szCs w:val="24"/>
          <w:highlight w:val="none"/>
          <w:lang w:val="en-US" w:eastAsia="zh-CN"/>
        </w:rPr>
        <w:t>《陕西省财政厅关于加快推进我省中小企业政府采购信用融资工作的通知》(陕财办采〔2020〕15号)、《陕西省中小企业政府采购信用融资办法》(陕财办采〔2018〕23号)</w:t>
      </w:r>
      <w:r>
        <w:rPr>
          <w:rFonts w:hint="eastAsia" w:ascii="宋体" w:hAnsi="宋体" w:eastAsia="宋体" w:cs="宋体"/>
          <w:sz w:val="24"/>
          <w:szCs w:val="24"/>
          <w:highlight w:val="none"/>
          <w:lang w:val="en-US" w:eastAsia="zh-CN"/>
        </w:rPr>
        <w:t>的规定，对政府采购相关政策落实如下：</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（1）小微企业</w:t>
      </w:r>
    </w:p>
    <w:p>
      <w:pPr>
        <w:spacing w:line="360" w:lineRule="auto"/>
        <w:ind w:firstLine="480" w:firstLineChars="200"/>
        <w:outlineLvl w:val="9"/>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本项目为专门面向中小微型企业。</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w:t>
      </w:r>
      <w:r>
        <w:rPr>
          <w:rFonts w:hint="eastAsia" w:ascii="宋体" w:hAnsi="宋体" w:eastAsia="宋体" w:cs="宋体"/>
          <w:spacing w:val="0"/>
          <w:w w:val="100"/>
          <w:sz w:val="24"/>
          <w:szCs w:val="24"/>
          <w:highlight w:val="none"/>
          <w:lang w:val="en-US" w:eastAsia="zh-CN"/>
        </w:rPr>
        <w:t>《政府采购促进中小企业发展管理办法》（财库〔2020〕46号）</w:t>
      </w:r>
      <w:r>
        <w:rPr>
          <w:rFonts w:hint="eastAsia" w:ascii="宋体" w:hAnsi="宋体" w:eastAsia="宋体" w:cs="宋体"/>
          <w:sz w:val="24"/>
          <w:szCs w:val="24"/>
          <w:highlight w:val="none"/>
          <w:lang w:val="en-US" w:eastAsia="zh-CN"/>
        </w:rPr>
        <w:t>规定，</w:t>
      </w:r>
      <w:r>
        <w:rPr>
          <w:rFonts w:hint="eastAsia" w:ascii="宋体" w:hAnsi="宋体" w:eastAsia="宋体" w:cs="宋体"/>
          <w:color w:val="333333"/>
          <w:kern w:val="0"/>
          <w:sz w:val="24"/>
          <w:szCs w:val="24"/>
          <w:lang w:val="en-US" w:eastAsia="zh-CN" w:bidi="ar"/>
        </w:rPr>
        <w:t>工程由中小企业承建，即工程施工单位为中小企业</w:t>
      </w:r>
      <w:r>
        <w:rPr>
          <w:rFonts w:hint="eastAsia" w:ascii="宋体" w:hAnsi="宋体" w:eastAsia="宋体" w:cs="宋体"/>
          <w:sz w:val="24"/>
          <w:szCs w:val="24"/>
          <w:highlight w:val="none"/>
          <w:lang w:val="en-US" w:eastAsia="zh-CN"/>
        </w:rPr>
        <w:t>，投标供应商（即施工单位）须提供《中小企业声明函》，并由投标供应商加盖公章，其划型标准严格按照《工业和信息化部、国际统计局、国家发展和改革委员会、财政部关于印发中小企业划型标准规定的通知》（工信部联企业（2011）300号）执行。投标供应商提供的《中小企业声明函》资料必须真实，否则，按照有关规定予以处理。</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（2）环境标志、节能的产品</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过程中，具有环境标志、节能的产品应当优先采购。在投标时投标单位应提供有效证明材料（证明材料须加盖投标供应商红色公章），否则不予认定（注：环境标志产品是指由财政部、国家环境保护总局颁布的“环境标志产品政府采购清单”中的有效期内的产品；节能产品是指由财政部、国家发改委颁布的“节能产品政府采购清单”中的有效期内的产品）。</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（3）监狱企业</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根据《关于政府采购支持监狱企业发展有关问题的通知》（财库（2014）68号）规定，在政府采购活动中，监狱企业视同小型、微型企业，享受政府采购促进中小企业发展的政府采购政策。</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监狱企业参加政府采购活动时，应当提供省级以上监狱管理局、戒毒管理局（含新疆生产建设兵团）出具的属于监狱企业的证明文件，</w:t>
      </w:r>
      <w:r>
        <w:rPr>
          <w:rFonts w:hint="eastAsia" w:ascii="宋体" w:hAnsi="宋体" w:cs="宋体"/>
          <w:color w:val="auto"/>
          <w:sz w:val="24"/>
          <w:highlight w:val="none"/>
          <w:lang w:val="en-US" w:eastAsia="zh-CN"/>
        </w:rPr>
        <w:t>监狱和戒毒企业视同小型、微型企业。</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（4）福利企业</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根据《关于政府采购优先购买福利性企业产品和服务的意见》（陕民发（2015）1号）规定，在政府采购活动中，本省福利性企业享受我省规定的采购扶持政策。</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福利企业参加政府采购活动时，应当提供市级以上民政局、财政局、残联部门出具的福利性企业的证明文件。</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(5)残疾人福利性单位</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根据财库〔2018〕141号《财政部民政部中国残疾人联合会关于促进残疾人就业政府采购政策的通知》规定，符合条件的残疾人福利性单位，</w:t>
      </w:r>
      <w:r>
        <w:rPr>
          <w:rFonts w:hint="eastAsia" w:ascii="宋体" w:hAnsi="宋体" w:cs="宋体"/>
          <w:color w:val="auto"/>
          <w:sz w:val="24"/>
          <w:szCs w:val="24"/>
          <w:highlight w:val="none"/>
          <w:lang w:val="en-US" w:eastAsia="zh-CN"/>
        </w:rPr>
        <w:t>视同小型、微型企业。</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1.享受政府采购扶持政策的残疾人福利性单位，应当同时符合以下条件：</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①安置的残疾人占本单位在职职工人数的比例不低于25%（含25%），并且安置的残疾人人数不少于10人（含10人）；</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②依法与安置的每位残疾人签订了一年以上（含一年）劳动合同或服务协议；</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③为安置的每位残疾人按月足额缴纳了基本养老保险、基本医疗保险、失业保险、工伤保险和生育保险等社会保险费；</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④通过银行等金融机构向安置的每位残疾人，按月支付了不低于单位所在区县适用的经省级人民政府批准的月最低工资标准的工资；</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前款所称残疾人是指法定劳动年龄内，持有《中华人民共和国残疾人证》或者《中华人民共和国残疾军人证（1至8级）》的自然人，包括具有劳动条件的劳动意愿的精神残疾人）。在职职工人数是指与残疾人福利性单位建立劳动关系并依法签订劳动合同或者服务协议的雇员人数。</w:t>
      </w:r>
    </w:p>
    <w:p>
      <w:pPr>
        <w:spacing w:line="420" w:lineRule="exact"/>
        <w:outlineLvl w:val="9"/>
        <w:rPr>
          <w:rFonts w:ascii="宋体"/>
          <w:b/>
          <w:sz w:val="24"/>
          <w:highlight w:val="none"/>
        </w:rPr>
      </w:pPr>
      <w:bookmarkStart w:id="294" w:name="_Toc152042359"/>
      <w:bookmarkStart w:id="295" w:name="_Toc144974549"/>
      <w:bookmarkStart w:id="296" w:name="_Toc179632600"/>
      <w:bookmarkStart w:id="297" w:name="_Toc152045582"/>
      <w:r>
        <w:rPr>
          <w:highlight w:val="none"/>
        </w:rPr>
        <w:br w:type="page"/>
      </w:r>
      <w:bookmarkStart w:id="298" w:name="_Toc290389726"/>
      <w:bookmarkStart w:id="299" w:name="_Toc316543714"/>
      <w:r>
        <w:rPr>
          <w:rFonts w:hint="eastAsia" w:ascii="宋体" w:hAnsi="宋体"/>
          <w:b/>
          <w:sz w:val="24"/>
          <w:highlight w:val="none"/>
        </w:rPr>
        <w:t>附件A:评标详细程序</w:t>
      </w:r>
      <w:bookmarkEnd w:id="298"/>
      <w:bookmarkEnd w:id="299"/>
    </w:p>
    <w:p>
      <w:pPr>
        <w:adjustRightInd w:val="0"/>
        <w:snapToGrid w:val="0"/>
        <w:spacing w:before="312" w:beforeLines="100" w:after="312" w:afterLines="100" w:line="440" w:lineRule="exact"/>
        <w:jc w:val="center"/>
        <w:outlineLvl w:val="9"/>
        <w:rPr>
          <w:rFonts w:ascii="宋体"/>
          <w:b/>
          <w:sz w:val="24"/>
          <w:highlight w:val="none"/>
        </w:rPr>
      </w:pPr>
      <w:r>
        <w:rPr>
          <w:rFonts w:hint="eastAsia" w:ascii="宋体" w:hAnsi="宋体"/>
          <w:b/>
          <w:sz w:val="24"/>
          <w:highlight w:val="none"/>
        </w:rPr>
        <w:t>评标详细程序</w:t>
      </w:r>
    </w:p>
    <w:p>
      <w:pPr>
        <w:spacing w:line="420" w:lineRule="exact"/>
        <w:ind w:firstLine="480" w:firstLineChars="200"/>
        <w:outlineLvl w:val="9"/>
        <w:rPr>
          <w:rFonts w:ascii="宋体"/>
          <w:b/>
          <w:sz w:val="24"/>
          <w:highlight w:val="none"/>
        </w:rPr>
      </w:pPr>
      <w:r>
        <w:rPr>
          <w:rFonts w:hint="eastAsia" w:ascii="宋体" w:hAnsi="宋体"/>
          <w:b/>
          <w:sz w:val="24"/>
          <w:highlight w:val="none"/>
        </w:rPr>
        <w:t>A0.总则</w:t>
      </w:r>
    </w:p>
    <w:p>
      <w:pPr>
        <w:spacing w:line="420" w:lineRule="exact"/>
        <w:ind w:firstLine="480" w:firstLineChars="200"/>
        <w:outlineLvl w:val="9"/>
        <w:rPr>
          <w:rFonts w:ascii="宋体"/>
          <w:sz w:val="24"/>
          <w:highlight w:val="none"/>
        </w:rPr>
      </w:pPr>
      <w:r>
        <w:rPr>
          <w:rFonts w:hint="eastAsia" w:ascii="宋体" w:hAnsi="宋体"/>
          <w:sz w:val="24"/>
          <w:highlight w:val="none"/>
        </w:rPr>
        <w:t>本附件是本章“评标办法”的组成部分，是对本章第3条所规定的评标程序的进一步细化，评标委员会应当按照本附件所规定的详细程序开展并完成评标工作。</w:t>
      </w:r>
    </w:p>
    <w:p>
      <w:pPr>
        <w:spacing w:before="62" w:beforeLines="20" w:after="62" w:afterLines="20" w:line="420" w:lineRule="exact"/>
        <w:ind w:firstLine="480" w:firstLineChars="200"/>
        <w:outlineLvl w:val="9"/>
        <w:rPr>
          <w:rFonts w:ascii="宋体"/>
          <w:b/>
          <w:sz w:val="24"/>
          <w:highlight w:val="none"/>
        </w:rPr>
      </w:pPr>
      <w:r>
        <w:rPr>
          <w:rFonts w:hint="eastAsia" w:ascii="宋体" w:hAnsi="宋体"/>
          <w:b/>
          <w:sz w:val="24"/>
          <w:highlight w:val="none"/>
        </w:rPr>
        <w:t>A1.基本程序</w:t>
      </w:r>
    </w:p>
    <w:p>
      <w:pPr>
        <w:spacing w:line="420" w:lineRule="exact"/>
        <w:ind w:firstLine="480" w:firstLineChars="200"/>
        <w:outlineLvl w:val="9"/>
        <w:rPr>
          <w:rFonts w:ascii="宋体"/>
          <w:sz w:val="24"/>
          <w:highlight w:val="none"/>
        </w:rPr>
      </w:pPr>
      <w:r>
        <w:rPr>
          <w:rFonts w:hint="eastAsia" w:ascii="宋体" w:hAnsi="宋体"/>
          <w:sz w:val="24"/>
          <w:highlight w:val="none"/>
        </w:rPr>
        <w:t>评标活动将按以下五个步骤进行：</w:t>
      </w:r>
    </w:p>
    <w:p>
      <w:pPr>
        <w:spacing w:before="93" w:beforeLines="30" w:line="420" w:lineRule="exact"/>
        <w:ind w:firstLine="480" w:firstLineChars="200"/>
        <w:outlineLvl w:val="9"/>
        <w:rPr>
          <w:rFonts w:ascii="宋体"/>
          <w:sz w:val="24"/>
          <w:highlight w:val="none"/>
        </w:rPr>
      </w:pPr>
      <w:r>
        <w:rPr>
          <w:rFonts w:hint="eastAsia" w:ascii="宋体" w:hAnsi="宋体"/>
          <w:sz w:val="24"/>
          <w:highlight w:val="none"/>
        </w:rPr>
        <w:t>（1）评标准备；</w:t>
      </w:r>
    </w:p>
    <w:p>
      <w:pPr>
        <w:spacing w:before="93" w:beforeLines="30" w:line="420" w:lineRule="exact"/>
        <w:ind w:firstLine="480" w:firstLineChars="200"/>
        <w:outlineLvl w:val="9"/>
        <w:rPr>
          <w:rFonts w:ascii="宋体"/>
          <w:sz w:val="24"/>
          <w:highlight w:val="none"/>
        </w:rPr>
      </w:pPr>
      <w:r>
        <w:rPr>
          <w:rFonts w:hint="eastAsia" w:ascii="宋体" w:hAnsi="宋体"/>
          <w:sz w:val="24"/>
          <w:highlight w:val="none"/>
        </w:rPr>
        <w:t>（2）初步评审；</w:t>
      </w:r>
    </w:p>
    <w:p>
      <w:pPr>
        <w:spacing w:before="93" w:beforeLines="30" w:line="420" w:lineRule="exact"/>
        <w:ind w:firstLine="480" w:firstLineChars="200"/>
        <w:outlineLvl w:val="9"/>
        <w:rPr>
          <w:rFonts w:ascii="宋体"/>
          <w:sz w:val="24"/>
          <w:highlight w:val="none"/>
        </w:rPr>
      </w:pPr>
      <w:r>
        <w:rPr>
          <w:rFonts w:hint="eastAsia" w:ascii="宋体" w:hAnsi="宋体"/>
          <w:sz w:val="24"/>
          <w:highlight w:val="none"/>
        </w:rPr>
        <w:t>（3）详细评审；</w:t>
      </w:r>
    </w:p>
    <w:p>
      <w:pPr>
        <w:spacing w:before="93" w:beforeLines="30" w:line="420" w:lineRule="exact"/>
        <w:ind w:firstLine="480" w:firstLineChars="200"/>
        <w:outlineLvl w:val="9"/>
        <w:rPr>
          <w:rFonts w:ascii="宋体"/>
          <w:sz w:val="24"/>
          <w:highlight w:val="none"/>
        </w:rPr>
      </w:pPr>
      <w:r>
        <w:rPr>
          <w:rFonts w:hint="eastAsia" w:ascii="宋体" w:hAnsi="宋体"/>
          <w:sz w:val="24"/>
          <w:highlight w:val="none"/>
        </w:rPr>
        <w:t>（4）澄清、说明或补正；</w:t>
      </w:r>
    </w:p>
    <w:p>
      <w:pPr>
        <w:spacing w:before="93" w:beforeLines="30" w:after="93" w:afterLines="30" w:line="420" w:lineRule="exact"/>
        <w:ind w:firstLine="480" w:firstLineChars="200"/>
        <w:outlineLvl w:val="9"/>
        <w:rPr>
          <w:rFonts w:ascii="宋体"/>
          <w:sz w:val="24"/>
          <w:highlight w:val="none"/>
        </w:rPr>
      </w:pPr>
      <w:r>
        <w:rPr>
          <w:rFonts w:hint="eastAsia" w:ascii="宋体" w:hAnsi="宋体"/>
          <w:sz w:val="24"/>
          <w:highlight w:val="none"/>
        </w:rPr>
        <w:t>（5）推荐中标候选人或者直接确定中标人及提交评标报告。</w:t>
      </w:r>
    </w:p>
    <w:p>
      <w:pPr>
        <w:spacing w:line="420" w:lineRule="exact"/>
        <w:ind w:firstLine="480" w:firstLineChars="200"/>
        <w:outlineLvl w:val="9"/>
        <w:rPr>
          <w:rFonts w:ascii="宋体"/>
          <w:b/>
          <w:sz w:val="24"/>
          <w:highlight w:val="none"/>
        </w:rPr>
      </w:pPr>
      <w:r>
        <w:rPr>
          <w:rFonts w:hint="eastAsia" w:ascii="宋体" w:hAnsi="宋体"/>
          <w:b/>
          <w:sz w:val="24"/>
          <w:highlight w:val="none"/>
        </w:rPr>
        <w:t>A2.评标准备</w:t>
      </w:r>
    </w:p>
    <w:p>
      <w:pPr>
        <w:spacing w:line="420" w:lineRule="exact"/>
        <w:ind w:firstLine="480" w:firstLineChars="200"/>
        <w:outlineLvl w:val="9"/>
        <w:rPr>
          <w:rFonts w:ascii="宋体"/>
          <w:b/>
          <w:sz w:val="24"/>
          <w:highlight w:val="none"/>
        </w:rPr>
      </w:pPr>
      <w:r>
        <w:rPr>
          <w:rFonts w:hint="eastAsia" w:ascii="宋体" w:hAnsi="宋体"/>
          <w:b/>
          <w:sz w:val="24"/>
          <w:highlight w:val="none"/>
        </w:rPr>
        <w:t>A2.1 评标委员会成员签到</w:t>
      </w:r>
    </w:p>
    <w:p>
      <w:pPr>
        <w:spacing w:line="420" w:lineRule="exact"/>
        <w:ind w:firstLine="480" w:firstLineChars="200"/>
        <w:outlineLvl w:val="9"/>
        <w:rPr>
          <w:rFonts w:ascii="宋体"/>
          <w:sz w:val="24"/>
          <w:highlight w:val="none"/>
          <w:u w:val="single"/>
        </w:rPr>
      </w:pPr>
      <w:r>
        <w:rPr>
          <w:rFonts w:hint="eastAsia" w:ascii="宋体" w:hAnsi="宋体"/>
          <w:sz w:val="24"/>
          <w:highlight w:val="none"/>
        </w:rPr>
        <w:t>评标委员会成员到达评标现场时应在签到表上签到以证明其出席。</w:t>
      </w:r>
    </w:p>
    <w:p>
      <w:pPr>
        <w:spacing w:before="62" w:beforeLines="20" w:after="62" w:afterLines="20" w:line="420" w:lineRule="exact"/>
        <w:ind w:firstLine="480" w:firstLineChars="200"/>
        <w:outlineLvl w:val="9"/>
        <w:rPr>
          <w:rFonts w:ascii="宋体"/>
          <w:b/>
          <w:sz w:val="24"/>
          <w:highlight w:val="none"/>
        </w:rPr>
      </w:pPr>
      <w:r>
        <w:rPr>
          <w:rFonts w:hint="eastAsia" w:ascii="宋体" w:hAnsi="宋体"/>
          <w:b/>
          <w:sz w:val="24"/>
          <w:highlight w:val="none"/>
        </w:rPr>
        <w:t>A2.2 评标委员会的分工</w:t>
      </w:r>
    </w:p>
    <w:p>
      <w:pPr>
        <w:spacing w:line="420" w:lineRule="exact"/>
        <w:ind w:firstLine="480" w:firstLineChars="200"/>
        <w:outlineLvl w:val="9"/>
        <w:rPr>
          <w:rFonts w:ascii="宋体"/>
          <w:sz w:val="24"/>
          <w:highlight w:val="none"/>
        </w:rPr>
      </w:pPr>
      <w:r>
        <w:rPr>
          <w:rFonts w:hint="eastAsia" w:ascii="宋体" w:hAnsi="宋体"/>
          <w:sz w:val="24"/>
          <w:highlight w:val="none"/>
        </w:rPr>
        <w:t>评标委员会首先推选一名评标委员会主任。评标委员会主任负责评标活动的组织领导工作。</w:t>
      </w:r>
    </w:p>
    <w:p>
      <w:pPr>
        <w:spacing w:before="62" w:beforeLines="20" w:after="62" w:afterLines="20" w:line="420" w:lineRule="exact"/>
        <w:ind w:firstLine="480" w:firstLineChars="200"/>
        <w:outlineLvl w:val="9"/>
        <w:rPr>
          <w:rFonts w:ascii="宋体"/>
          <w:b/>
          <w:sz w:val="24"/>
          <w:highlight w:val="none"/>
        </w:rPr>
      </w:pPr>
      <w:r>
        <w:rPr>
          <w:rFonts w:hint="eastAsia" w:ascii="宋体" w:hAnsi="宋体"/>
          <w:b/>
          <w:sz w:val="24"/>
          <w:highlight w:val="none"/>
        </w:rPr>
        <w:t>A2.3 熟悉文件资料</w:t>
      </w:r>
    </w:p>
    <w:p>
      <w:pPr>
        <w:spacing w:line="420" w:lineRule="exact"/>
        <w:ind w:firstLine="480" w:firstLineChars="200"/>
        <w:outlineLvl w:val="9"/>
        <w:rPr>
          <w:rFonts w:ascii="宋体"/>
          <w:sz w:val="24"/>
          <w:highlight w:val="none"/>
        </w:rPr>
      </w:pPr>
      <w:r>
        <w:rPr>
          <w:rFonts w:hint="eastAsia" w:ascii="宋体" w:hAnsi="宋体"/>
          <w:sz w:val="24"/>
          <w:highlight w:val="none"/>
        </w:rPr>
        <w:t>A2.3.1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djustRightInd w:val="0"/>
        <w:snapToGrid w:val="0"/>
        <w:spacing w:line="420" w:lineRule="exact"/>
        <w:ind w:firstLine="480" w:firstLineChars="200"/>
        <w:outlineLvl w:val="9"/>
        <w:rPr>
          <w:rFonts w:ascii="宋体"/>
          <w:sz w:val="24"/>
          <w:highlight w:val="none"/>
        </w:rPr>
      </w:pPr>
      <w:r>
        <w:rPr>
          <w:rFonts w:hint="eastAsia" w:ascii="宋体" w:hAnsi="宋体"/>
          <w:sz w:val="24"/>
          <w:highlight w:val="none"/>
        </w:rPr>
        <w:t>A2.3.2</w:t>
      </w:r>
      <w:r>
        <w:rPr>
          <w:rFonts w:hint="eastAsia" w:ascii="宋体" w:hAnsi="宋体"/>
          <w:sz w:val="24"/>
          <w:highlight w:val="none"/>
          <w:lang w:eastAsia="zh-CN"/>
        </w:rPr>
        <w:t>采购人</w:t>
      </w:r>
      <w:r>
        <w:rPr>
          <w:rFonts w:hint="eastAsia" w:ascii="宋体" w:hAnsi="宋体"/>
          <w:sz w:val="24"/>
          <w:highlight w:val="none"/>
        </w:rPr>
        <w:t>或</w:t>
      </w:r>
      <w:r>
        <w:rPr>
          <w:rFonts w:hint="eastAsia" w:ascii="宋体" w:hAnsi="宋体"/>
          <w:sz w:val="24"/>
          <w:highlight w:val="none"/>
          <w:lang w:eastAsia="zh-CN"/>
        </w:rPr>
        <w:t>采购代理机构</w:t>
      </w:r>
      <w:r>
        <w:rPr>
          <w:rFonts w:hint="eastAsia" w:ascii="宋体" w:hAnsi="宋体"/>
          <w:sz w:val="24"/>
          <w:highlight w:val="none"/>
        </w:rPr>
        <w:t>应向评标委员会提供评标所需的信息和数据，包括招标文件、未在开标会上当场拒绝的各投标文件、开标会记录、资格预审文件及各</w:t>
      </w:r>
      <w:r>
        <w:rPr>
          <w:rFonts w:hint="eastAsia" w:ascii="宋体" w:hAnsi="宋体"/>
          <w:sz w:val="24"/>
          <w:highlight w:val="none"/>
          <w:lang w:eastAsia="zh-CN"/>
        </w:rPr>
        <w:t>投标供应商</w:t>
      </w:r>
      <w:r>
        <w:rPr>
          <w:rFonts w:hint="eastAsia" w:ascii="宋体" w:hAnsi="宋体"/>
          <w:sz w:val="24"/>
          <w:highlight w:val="none"/>
        </w:rPr>
        <w:t>在资格预审阶段递交的资格预审申请文件(适用于已进行资格预审的)、标底(如有)、工程所在地工程造价管理部门颁布的工程造价信息、定额(如作为计价依据时)、有关的法律、法规、规章、国家标准以及</w:t>
      </w:r>
      <w:r>
        <w:rPr>
          <w:rFonts w:hint="eastAsia" w:ascii="宋体" w:hAnsi="宋体"/>
          <w:sz w:val="24"/>
          <w:highlight w:val="none"/>
          <w:lang w:eastAsia="zh-CN"/>
        </w:rPr>
        <w:t>采购人</w:t>
      </w:r>
      <w:r>
        <w:rPr>
          <w:rFonts w:hint="eastAsia" w:ascii="宋体" w:hAnsi="宋体"/>
          <w:sz w:val="24"/>
          <w:highlight w:val="none"/>
        </w:rPr>
        <w:t>或评标委员会认为必要的其他信息和数据。</w:t>
      </w:r>
    </w:p>
    <w:p>
      <w:pPr>
        <w:adjustRightInd w:val="0"/>
        <w:snapToGrid w:val="0"/>
        <w:spacing w:before="62" w:beforeLines="20" w:after="62" w:afterLines="20" w:line="402" w:lineRule="atLeast"/>
        <w:ind w:firstLine="480" w:firstLineChars="200"/>
        <w:outlineLvl w:val="9"/>
        <w:rPr>
          <w:rFonts w:ascii="宋体" w:hAnsi="宋体"/>
          <w:b/>
          <w:sz w:val="24"/>
          <w:highlight w:val="none"/>
        </w:rPr>
      </w:pPr>
      <w:r>
        <w:rPr>
          <w:rFonts w:hint="eastAsia" w:ascii="宋体" w:hAnsi="宋体"/>
          <w:b/>
          <w:sz w:val="24"/>
          <w:highlight w:val="none"/>
        </w:rPr>
        <w:t>A2.4 对投标文件进行基础性数据分析和整理工作(清标)</w:t>
      </w:r>
    </w:p>
    <w:p>
      <w:pPr>
        <w:adjustRightInd w:val="0"/>
        <w:snapToGrid w:val="0"/>
        <w:spacing w:line="402" w:lineRule="atLeast"/>
        <w:ind w:firstLine="480" w:firstLineChars="200"/>
        <w:outlineLvl w:val="9"/>
        <w:rPr>
          <w:rFonts w:ascii="宋体"/>
          <w:sz w:val="24"/>
          <w:highlight w:val="none"/>
        </w:rPr>
      </w:pPr>
      <w:r>
        <w:rPr>
          <w:rFonts w:hint="eastAsia" w:ascii="宋体" w:hAnsi="宋体"/>
          <w:sz w:val="24"/>
          <w:highlight w:val="none"/>
        </w:rPr>
        <w:t>A2.4.1在不改变</w:t>
      </w:r>
      <w:r>
        <w:rPr>
          <w:rFonts w:hint="eastAsia" w:ascii="宋体" w:hAnsi="宋体"/>
          <w:sz w:val="24"/>
          <w:highlight w:val="none"/>
          <w:lang w:eastAsia="zh-CN"/>
        </w:rPr>
        <w:t>投标供应商</w:t>
      </w:r>
      <w:r>
        <w:rPr>
          <w:rFonts w:hint="eastAsia" w:ascii="宋体" w:hAnsi="宋体"/>
          <w:sz w:val="24"/>
          <w:highlight w:val="none"/>
        </w:rPr>
        <w:t>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w:t>
      </w:r>
      <w:r>
        <w:rPr>
          <w:rFonts w:hint="eastAsia" w:ascii="宋体" w:hAnsi="宋体"/>
          <w:sz w:val="24"/>
          <w:highlight w:val="none"/>
          <w:lang w:eastAsia="zh-CN"/>
        </w:rPr>
        <w:t>投标供应商</w:t>
      </w:r>
      <w:r>
        <w:rPr>
          <w:rFonts w:hint="eastAsia" w:ascii="宋体" w:hAnsi="宋体"/>
          <w:sz w:val="24"/>
          <w:highlight w:val="none"/>
        </w:rPr>
        <w:t>进行书面澄清、说明或补正的问题，形成异议问卷，向</w:t>
      </w:r>
      <w:r>
        <w:rPr>
          <w:rFonts w:hint="eastAsia" w:ascii="宋体" w:hAnsi="宋体"/>
          <w:sz w:val="24"/>
          <w:highlight w:val="none"/>
          <w:lang w:eastAsia="zh-CN"/>
        </w:rPr>
        <w:t>投标供应商</w:t>
      </w:r>
      <w:r>
        <w:rPr>
          <w:rFonts w:hint="eastAsia" w:ascii="宋体" w:hAnsi="宋体"/>
          <w:sz w:val="24"/>
          <w:highlight w:val="none"/>
        </w:rPr>
        <w:t>发出问题澄清通知(包括异议问卷)。</w:t>
      </w:r>
    </w:p>
    <w:p>
      <w:pPr>
        <w:adjustRightInd w:val="0"/>
        <w:snapToGrid w:val="0"/>
        <w:spacing w:line="402" w:lineRule="atLeast"/>
        <w:ind w:firstLine="480" w:firstLineChars="200"/>
        <w:outlineLvl w:val="9"/>
        <w:rPr>
          <w:rFonts w:ascii="宋体"/>
          <w:sz w:val="24"/>
          <w:highlight w:val="none"/>
        </w:rPr>
      </w:pPr>
      <w:r>
        <w:rPr>
          <w:rFonts w:hint="eastAsia" w:ascii="宋体" w:hAnsi="宋体"/>
          <w:sz w:val="24"/>
          <w:highlight w:val="none"/>
        </w:rPr>
        <w:t>A2.4.2</w:t>
      </w:r>
      <w:r>
        <w:rPr>
          <w:rFonts w:hint="eastAsia" w:ascii="宋体" w:hAnsi="宋体"/>
          <w:sz w:val="24"/>
          <w:highlight w:val="none"/>
          <w:lang w:eastAsia="zh-CN"/>
        </w:rPr>
        <w:t>投标供应商</w:t>
      </w:r>
      <w:r>
        <w:rPr>
          <w:rFonts w:hint="eastAsia" w:ascii="宋体" w:hAnsi="宋体"/>
          <w:sz w:val="24"/>
          <w:highlight w:val="none"/>
        </w:rPr>
        <w:t>接到评标委员会发出的问题澄清通知后，应按评标委员会的要求提供书面澄清资料并按要求进行密封，在规定的时间递交到指定地点。</w:t>
      </w:r>
      <w:r>
        <w:rPr>
          <w:rFonts w:hint="eastAsia" w:ascii="宋体" w:hAnsi="宋体"/>
          <w:sz w:val="24"/>
          <w:highlight w:val="none"/>
          <w:lang w:eastAsia="zh-CN"/>
        </w:rPr>
        <w:t>投标供应商</w:t>
      </w:r>
      <w:r>
        <w:rPr>
          <w:rFonts w:hint="eastAsia" w:ascii="宋体" w:hAnsi="宋体"/>
          <w:sz w:val="24"/>
          <w:highlight w:val="none"/>
        </w:rPr>
        <w:t>递交的书面澄清资料由评标委员会开启。</w:t>
      </w:r>
    </w:p>
    <w:p>
      <w:pPr>
        <w:adjustRightInd w:val="0"/>
        <w:snapToGrid w:val="0"/>
        <w:spacing w:before="62" w:beforeLines="20" w:line="402" w:lineRule="atLeast"/>
        <w:ind w:firstLine="480" w:firstLineChars="200"/>
        <w:outlineLvl w:val="9"/>
        <w:rPr>
          <w:rFonts w:ascii="宋体"/>
          <w:b/>
          <w:sz w:val="24"/>
          <w:highlight w:val="none"/>
        </w:rPr>
      </w:pPr>
      <w:r>
        <w:rPr>
          <w:rFonts w:hint="eastAsia" w:ascii="宋体" w:hAnsi="宋体"/>
          <w:b/>
          <w:sz w:val="24"/>
          <w:highlight w:val="none"/>
        </w:rPr>
        <w:t>A3 初步评审</w:t>
      </w:r>
    </w:p>
    <w:p>
      <w:pPr>
        <w:adjustRightInd w:val="0"/>
        <w:snapToGrid w:val="0"/>
        <w:spacing w:before="62" w:beforeLines="20" w:after="62" w:afterLines="20" w:line="402" w:lineRule="atLeast"/>
        <w:ind w:firstLine="480" w:firstLineChars="200"/>
        <w:outlineLvl w:val="9"/>
        <w:rPr>
          <w:rFonts w:ascii="宋体"/>
          <w:b/>
          <w:sz w:val="24"/>
          <w:highlight w:val="none"/>
        </w:rPr>
      </w:pPr>
      <w:r>
        <w:rPr>
          <w:rFonts w:hint="eastAsia" w:ascii="宋体" w:hAnsi="宋体"/>
          <w:b/>
          <w:sz w:val="24"/>
          <w:highlight w:val="none"/>
        </w:rPr>
        <w:t>A3.</w:t>
      </w:r>
      <w:r>
        <w:rPr>
          <w:rFonts w:hint="eastAsia" w:ascii="宋体" w:hAnsi="宋体"/>
          <w:b/>
          <w:sz w:val="24"/>
          <w:highlight w:val="none"/>
          <w:lang w:val="en-US" w:eastAsia="zh-CN"/>
        </w:rPr>
        <w:t>1</w:t>
      </w:r>
      <w:r>
        <w:rPr>
          <w:rFonts w:hint="eastAsia" w:ascii="宋体" w:hAnsi="宋体"/>
          <w:b/>
          <w:sz w:val="24"/>
          <w:highlight w:val="none"/>
        </w:rPr>
        <w:t xml:space="preserve"> 资格评审</w:t>
      </w:r>
    </w:p>
    <w:p>
      <w:pPr>
        <w:adjustRightInd w:val="0"/>
        <w:snapToGrid w:val="0"/>
        <w:spacing w:line="402" w:lineRule="atLeast"/>
        <w:ind w:firstLine="480" w:firstLineChars="200"/>
        <w:outlineLvl w:val="9"/>
        <w:rPr>
          <w:rFonts w:ascii="宋体" w:hAnsi="宋体"/>
          <w:sz w:val="24"/>
          <w:highlight w:val="none"/>
        </w:rPr>
      </w:pPr>
      <w:r>
        <w:rPr>
          <w:rFonts w:hint="eastAsia" w:ascii="宋体" w:hAnsi="宋体"/>
          <w:sz w:val="24"/>
          <w:highlight w:val="none"/>
        </w:rPr>
        <w:t>评标委员会根据评标办法前附表中规定的评审因素和评审标准，对</w:t>
      </w:r>
      <w:r>
        <w:rPr>
          <w:rFonts w:hint="eastAsia" w:ascii="宋体" w:hAnsi="宋体"/>
          <w:sz w:val="24"/>
          <w:highlight w:val="none"/>
          <w:lang w:eastAsia="zh-CN"/>
        </w:rPr>
        <w:t>投标供应商</w:t>
      </w:r>
      <w:r>
        <w:rPr>
          <w:rFonts w:hint="eastAsia" w:ascii="宋体" w:hAnsi="宋体"/>
          <w:sz w:val="24"/>
          <w:highlight w:val="none"/>
        </w:rPr>
        <w:t>的投标文件进行资格评审，并记录评审结果。</w:t>
      </w:r>
    </w:p>
    <w:p>
      <w:pPr>
        <w:adjustRightInd w:val="0"/>
        <w:snapToGrid w:val="0"/>
        <w:spacing w:before="62" w:beforeLines="20" w:after="62" w:afterLines="20" w:line="430" w:lineRule="exact"/>
        <w:ind w:firstLine="480" w:firstLineChars="200"/>
        <w:outlineLvl w:val="9"/>
        <w:rPr>
          <w:rFonts w:ascii="宋体"/>
          <w:b/>
          <w:sz w:val="24"/>
          <w:highlight w:val="none"/>
        </w:rPr>
      </w:pPr>
      <w:r>
        <w:rPr>
          <w:rFonts w:hint="eastAsia" w:ascii="宋体" w:hAnsi="宋体"/>
          <w:b/>
          <w:sz w:val="24"/>
          <w:highlight w:val="none"/>
        </w:rPr>
        <w:t xml:space="preserve">A3.3 </w:t>
      </w:r>
      <w:r>
        <w:rPr>
          <w:rFonts w:hint="eastAsia" w:ascii="宋体" w:hAnsi="宋体"/>
          <w:b/>
          <w:sz w:val="24"/>
          <w:highlight w:val="none"/>
          <w:lang w:val="en-US" w:eastAsia="zh-CN"/>
        </w:rPr>
        <w:t>符合</w:t>
      </w:r>
      <w:r>
        <w:rPr>
          <w:rFonts w:hint="eastAsia" w:ascii="宋体" w:hAnsi="宋体"/>
          <w:b/>
          <w:sz w:val="24"/>
          <w:highlight w:val="none"/>
        </w:rPr>
        <w:t>性评审</w:t>
      </w:r>
    </w:p>
    <w:p>
      <w:pPr>
        <w:adjustRightInd w:val="0"/>
        <w:snapToGrid w:val="0"/>
        <w:spacing w:line="430" w:lineRule="exact"/>
        <w:ind w:firstLine="480" w:firstLineChars="200"/>
        <w:outlineLvl w:val="9"/>
        <w:rPr>
          <w:rFonts w:ascii="宋体"/>
          <w:sz w:val="24"/>
          <w:highlight w:val="none"/>
        </w:rPr>
      </w:pPr>
      <w:r>
        <w:rPr>
          <w:rFonts w:hint="eastAsia" w:ascii="宋体" w:hAnsi="宋体"/>
          <w:sz w:val="24"/>
          <w:highlight w:val="none"/>
        </w:rPr>
        <w:t>评标委员会根据评标办法前附表中规定的评审因素和评审标准，对</w:t>
      </w:r>
      <w:r>
        <w:rPr>
          <w:rFonts w:hint="eastAsia" w:ascii="宋体" w:hAnsi="宋体"/>
          <w:sz w:val="24"/>
          <w:highlight w:val="none"/>
          <w:lang w:eastAsia="zh-CN"/>
        </w:rPr>
        <w:t>投标供应商</w:t>
      </w:r>
      <w:r>
        <w:rPr>
          <w:rFonts w:hint="eastAsia" w:ascii="宋体" w:hAnsi="宋体"/>
          <w:sz w:val="24"/>
          <w:highlight w:val="none"/>
        </w:rPr>
        <w:t>的投标文件进行</w:t>
      </w:r>
      <w:r>
        <w:rPr>
          <w:rFonts w:hint="eastAsia" w:ascii="宋体" w:hAnsi="宋体"/>
          <w:sz w:val="24"/>
          <w:highlight w:val="none"/>
          <w:lang w:val="en-US" w:eastAsia="zh-CN"/>
        </w:rPr>
        <w:t>符合</w:t>
      </w:r>
      <w:r>
        <w:rPr>
          <w:rFonts w:hint="eastAsia" w:ascii="宋体" w:hAnsi="宋体"/>
          <w:sz w:val="24"/>
          <w:highlight w:val="none"/>
        </w:rPr>
        <w:t>性评审，并记录评审结果。</w:t>
      </w:r>
    </w:p>
    <w:p>
      <w:pPr>
        <w:adjustRightInd w:val="0"/>
        <w:snapToGrid w:val="0"/>
        <w:spacing w:line="430" w:lineRule="exact"/>
        <w:ind w:firstLine="480" w:firstLineChars="200"/>
        <w:outlineLvl w:val="9"/>
        <w:rPr>
          <w:rFonts w:hint="eastAsia" w:ascii="宋体"/>
          <w:b/>
          <w:sz w:val="24"/>
          <w:highlight w:val="none"/>
        </w:rPr>
      </w:pPr>
      <w:r>
        <w:rPr>
          <w:rFonts w:hint="eastAsia" w:ascii="宋体" w:hAnsi="宋体"/>
          <w:b/>
          <w:sz w:val="24"/>
          <w:highlight w:val="none"/>
        </w:rPr>
        <w:t>A3.4 判断投标是否为无效标</w:t>
      </w:r>
    </w:p>
    <w:p>
      <w:pPr>
        <w:adjustRightInd w:val="0"/>
        <w:snapToGrid w:val="0"/>
        <w:spacing w:line="430" w:lineRule="exact"/>
        <w:ind w:firstLine="480" w:firstLineChars="200"/>
        <w:outlineLvl w:val="9"/>
        <w:rPr>
          <w:rFonts w:ascii="宋体"/>
          <w:sz w:val="24"/>
          <w:highlight w:val="none"/>
        </w:rPr>
      </w:pPr>
      <w:r>
        <w:rPr>
          <w:rFonts w:hint="eastAsia" w:ascii="宋体" w:hAnsi="宋体"/>
          <w:sz w:val="24"/>
          <w:highlight w:val="none"/>
        </w:rPr>
        <w:t>A3.4.1判断</w:t>
      </w:r>
      <w:r>
        <w:rPr>
          <w:rFonts w:hint="eastAsia" w:ascii="宋体" w:hAnsi="宋体"/>
          <w:sz w:val="24"/>
          <w:highlight w:val="none"/>
          <w:lang w:eastAsia="zh-CN"/>
        </w:rPr>
        <w:t>投标供应商</w:t>
      </w:r>
      <w:r>
        <w:rPr>
          <w:rFonts w:hint="eastAsia" w:ascii="宋体" w:hAnsi="宋体"/>
          <w:sz w:val="24"/>
          <w:highlight w:val="none"/>
        </w:rPr>
        <w:t>的投标是否为无效标的全部条件(包括本章第3．1．2项中规定的条件)，在本章附件B中集中列示。</w:t>
      </w:r>
    </w:p>
    <w:p>
      <w:pPr>
        <w:adjustRightInd w:val="0"/>
        <w:snapToGrid w:val="0"/>
        <w:spacing w:line="430" w:lineRule="exact"/>
        <w:ind w:firstLine="480" w:firstLineChars="200"/>
        <w:outlineLvl w:val="9"/>
        <w:rPr>
          <w:rFonts w:ascii="宋体"/>
          <w:sz w:val="24"/>
          <w:highlight w:val="none"/>
        </w:rPr>
      </w:pPr>
      <w:r>
        <w:rPr>
          <w:rFonts w:hint="eastAsia" w:ascii="宋体" w:hAnsi="宋体"/>
          <w:sz w:val="24"/>
          <w:highlight w:val="none"/>
        </w:rPr>
        <w:t>A3.4.2本章附件B集中列示的无效标条件不应与第二章“</w:t>
      </w:r>
      <w:r>
        <w:rPr>
          <w:rFonts w:hint="eastAsia" w:ascii="宋体" w:hAnsi="宋体"/>
          <w:sz w:val="24"/>
          <w:highlight w:val="none"/>
          <w:lang w:eastAsia="zh-CN"/>
        </w:rPr>
        <w:t>投标供应商</w:t>
      </w:r>
      <w:r>
        <w:rPr>
          <w:rFonts w:hint="eastAsia" w:ascii="宋体" w:hAnsi="宋体"/>
          <w:sz w:val="24"/>
          <w:highlight w:val="none"/>
        </w:rPr>
        <w:t>须知”和本章正文部分包括的无效标条件抵触，如果出现相互矛盾的情况，以第二章“</w:t>
      </w:r>
      <w:r>
        <w:rPr>
          <w:rFonts w:hint="eastAsia" w:ascii="宋体" w:hAnsi="宋体"/>
          <w:sz w:val="24"/>
          <w:highlight w:val="none"/>
          <w:lang w:eastAsia="zh-CN"/>
        </w:rPr>
        <w:t>投标供应商</w:t>
      </w:r>
      <w:r>
        <w:rPr>
          <w:rFonts w:hint="eastAsia" w:ascii="宋体" w:hAnsi="宋体"/>
          <w:sz w:val="24"/>
          <w:highlight w:val="none"/>
        </w:rPr>
        <w:t>须知”和本章正文部分的规定为准。</w:t>
      </w:r>
    </w:p>
    <w:p>
      <w:pPr>
        <w:adjustRightInd w:val="0"/>
        <w:snapToGrid w:val="0"/>
        <w:spacing w:line="430" w:lineRule="exact"/>
        <w:ind w:firstLine="480" w:firstLineChars="200"/>
        <w:outlineLvl w:val="9"/>
        <w:rPr>
          <w:rFonts w:ascii="宋体"/>
          <w:sz w:val="24"/>
          <w:highlight w:val="none"/>
        </w:rPr>
      </w:pPr>
      <w:r>
        <w:rPr>
          <w:rFonts w:hint="eastAsia" w:ascii="宋体" w:hAnsi="宋体"/>
          <w:sz w:val="24"/>
          <w:highlight w:val="none"/>
        </w:rPr>
        <w:t>A3.4.3评标委员会在评标(包括初步评审和详细评审)过程中，依据本章附件B中规定的无效标条件判断</w:t>
      </w:r>
      <w:r>
        <w:rPr>
          <w:rFonts w:hint="eastAsia" w:ascii="宋体" w:hAnsi="宋体"/>
          <w:sz w:val="24"/>
          <w:highlight w:val="none"/>
          <w:lang w:eastAsia="zh-CN"/>
        </w:rPr>
        <w:t>投标供应商</w:t>
      </w:r>
      <w:r>
        <w:rPr>
          <w:rFonts w:hint="eastAsia" w:ascii="宋体" w:hAnsi="宋体"/>
          <w:sz w:val="24"/>
          <w:highlight w:val="none"/>
        </w:rPr>
        <w:t>的投标是否为无效标。</w:t>
      </w:r>
    </w:p>
    <w:p>
      <w:pPr>
        <w:adjustRightInd w:val="0"/>
        <w:snapToGrid w:val="0"/>
        <w:spacing w:line="430" w:lineRule="exact"/>
        <w:ind w:firstLine="480" w:firstLineChars="200"/>
        <w:outlineLvl w:val="9"/>
        <w:rPr>
          <w:rFonts w:ascii="宋体"/>
          <w:b/>
          <w:sz w:val="24"/>
          <w:highlight w:val="none"/>
        </w:rPr>
      </w:pPr>
      <w:r>
        <w:rPr>
          <w:rFonts w:hint="eastAsia" w:ascii="宋体" w:hAnsi="宋体"/>
          <w:b/>
          <w:sz w:val="24"/>
          <w:highlight w:val="none"/>
        </w:rPr>
        <w:t>A3.5 算术错误修正</w:t>
      </w:r>
    </w:p>
    <w:p>
      <w:pPr>
        <w:adjustRightInd w:val="0"/>
        <w:snapToGrid w:val="0"/>
        <w:spacing w:line="430" w:lineRule="exact"/>
        <w:ind w:firstLine="480" w:firstLineChars="200"/>
        <w:outlineLvl w:val="9"/>
        <w:rPr>
          <w:rFonts w:ascii="宋体"/>
          <w:sz w:val="24"/>
          <w:highlight w:val="none"/>
        </w:rPr>
      </w:pPr>
      <w:r>
        <w:rPr>
          <w:rFonts w:hint="eastAsia" w:ascii="宋体" w:hAnsi="宋体"/>
          <w:sz w:val="24"/>
          <w:highlight w:val="none"/>
        </w:rPr>
        <w:t>评标委员会依据本章中规定的相关原则对投标报价中存在的算术错误进行修正，并根据算术错误修正结果计算评标价。</w:t>
      </w:r>
    </w:p>
    <w:p>
      <w:pPr>
        <w:adjustRightInd w:val="0"/>
        <w:snapToGrid w:val="0"/>
        <w:spacing w:before="62" w:beforeLines="20" w:after="62" w:afterLines="20" w:line="430" w:lineRule="exact"/>
        <w:ind w:firstLine="480" w:firstLineChars="200"/>
        <w:outlineLvl w:val="9"/>
        <w:rPr>
          <w:rFonts w:ascii="宋体"/>
          <w:b/>
          <w:sz w:val="24"/>
          <w:highlight w:val="none"/>
        </w:rPr>
      </w:pPr>
      <w:r>
        <w:rPr>
          <w:rFonts w:hint="eastAsia" w:ascii="宋体" w:hAnsi="宋体"/>
          <w:b/>
          <w:sz w:val="24"/>
          <w:highlight w:val="none"/>
        </w:rPr>
        <w:t>A3.6 澄清、说明或补正</w:t>
      </w:r>
    </w:p>
    <w:p>
      <w:pPr>
        <w:adjustRightInd w:val="0"/>
        <w:snapToGrid w:val="0"/>
        <w:spacing w:line="430" w:lineRule="exact"/>
        <w:ind w:firstLine="480" w:firstLineChars="200"/>
        <w:outlineLvl w:val="9"/>
        <w:rPr>
          <w:rFonts w:ascii="宋体"/>
          <w:sz w:val="24"/>
          <w:highlight w:val="none"/>
        </w:rPr>
      </w:pPr>
      <w:r>
        <w:rPr>
          <w:rFonts w:hint="eastAsia" w:ascii="宋体" w:hAnsi="宋体"/>
          <w:sz w:val="24"/>
          <w:highlight w:val="none"/>
        </w:rPr>
        <w:t>在初步评审过程中，评标委员会应当就投标文件中不明确的内容要求</w:t>
      </w:r>
      <w:r>
        <w:rPr>
          <w:rFonts w:hint="eastAsia" w:ascii="宋体" w:hAnsi="宋体"/>
          <w:sz w:val="24"/>
          <w:highlight w:val="none"/>
          <w:lang w:eastAsia="zh-CN"/>
        </w:rPr>
        <w:t>投标供应商</w:t>
      </w:r>
      <w:r>
        <w:rPr>
          <w:rFonts w:hint="eastAsia" w:ascii="宋体" w:hAnsi="宋体"/>
          <w:sz w:val="24"/>
          <w:highlight w:val="none"/>
        </w:rPr>
        <w:t>进行澄清、说明或者补正。</w:t>
      </w:r>
      <w:r>
        <w:rPr>
          <w:rFonts w:hint="eastAsia" w:ascii="宋体" w:hAnsi="宋体"/>
          <w:sz w:val="24"/>
          <w:highlight w:val="none"/>
          <w:lang w:eastAsia="zh-CN"/>
        </w:rPr>
        <w:t>投标供应商</w:t>
      </w:r>
      <w:r>
        <w:rPr>
          <w:rFonts w:hint="eastAsia" w:ascii="宋体" w:hAnsi="宋体"/>
          <w:sz w:val="24"/>
          <w:highlight w:val="none"/>
        </w:rPr>
        <w:t>对此以书面形式予以澄清、说明或者补正。澄清、说明或补正根据本章第3.3款的规定执行。</w:t>
      </w:r>
    </w:p>
    <w:p>
      <w:pPr>
        <w:adjustRightInd w:val="0"/>
        <w:snapToGrid w:val="0"/>
        <w:spacing w:before="62" w:beforeLines="20" w:after="62" w:afterLines="20" w:line="430" w:lineRule="exact"/>
        <w:ind w:firstLine="480" w:firstLineChars="200"/>
        <w:outlineLvl w:val="9"/>
        <w:rPr>
          <w:rFonts w:ascii="宋体"/>
          <w:b/>
          <w:sz w:val="24"/>
          <w:highlight w:val="none"/>
        </w:rPr>
      </w:pPr>
      <w:r>
        <w:rPr>
          <w:rFonts w:hint="eastAsia" w:ascii="宋体" w:hAnsi="宋体"/>
          <w:b/>
          <w:sz w:val="24"/>
          <w:highlight w:val="none"/>
        </w:rPr>
        <w:t>A4.详细评审</w:t>
      </w:r>
    </w:p>
    <w:p>
      <w:pPr>
        <w:adjustRightInd w:val="0"/>
        <w:snapToGrid w:val="0"/>
        <w:spacing w:line="430" w:lineRule="exact"/>
        <w:ind w:firstLine="480" w:firstLineChars="200"/>
        <w:outlineLvl w:val="9"/>
        <w:rPr>
          <w:rFonts w:ascii="宋体"/>
          <w:sz w:val="24"/>
          <w:highlight w:val="none"/>
        </w:rPr>
      </w:pPr>
      <w:r>
        <w:rPr>
          <w:rFonts w:hint="eastAsia" w:ascii="宋体" w:hAnsi="宋体"/>
          <w:sz w:val="24"/>
          <w:highlight w:val="none"/>
        </w:rPr>
        <w:t>只有通过了初步评审、被判定为合格的投标方可进入详细评审。</w:t>
      </w:r>
    </w:p>
    <w:p>
      <w:pPr>
        <w:adjustRightInd w:val="0"/>
        <w:snapToGrid w:val="0"/>
        <w:spacing w:before="62" w:beforeLines="20" w:after="62" w:afterLines="20" w:line="430" w:lineRule="exact"/>
        <w:ind w:firstLine="480" w:firstLineChars="200"/>
        <w:outlineLvl w:val="9"/>
        <w:rPr>
          <w:rFonts w:ascii="宋体"/>
          <w:b/>
          <w:sz w:val="24"/>
          <w:highlight w:val="none"/>
        </w:rPr>
      </w:pPr>
      <w:r>
        <w:rPr>
          <w:rFonts w:hint="eastAsia" w:ascii="宋体" w:hAnsi="宋体"/>
          <w:b/>
          <w:sz w:val="24"/>
          <w:highlight w:val="none"/>
        </w:rPr>
        <w:t>A4.1 详细评审的程序</w:t>
      </w:r>
    </w:p>
    <w:p>
      <w:pPr>
        <w:adjustRightInd w:val="0"/>
        <w:snapToGrid w:val="0"/>
        <w:spacing w:line="430" w:lineRule="exact"/>
        <w:ind w:firstLine="480" w:firstLineChars="200"/>
        <w:outlineLvl w:val="9"/>
        <w:rPr>
          <w:rFonts w:ascii="宋体"/>
          <w:sz w:val="24"/>
          <w:highlight w:val="none"/>
        </w:rPr>
      </w:pPr>
      <w:r>
        <w:rPr>
          <w:rFonts w:hint="eastAsia" w:ascii="宋体" w:hAnsi="宋体"/>
          <w:sz w:val="24"/>
          <w:highlight w:val="none"/>
        </w:rPr>
        <w:t>A4.1.1评标委员会按照本章第3.2款中规定的程序进行详细评审：</w:t>
      </w:r>
    </w:p>
    <w:p>
      <w:pPr>
        <w:adjustRightInd w:val="0"/>
        <w:snapToGrid w:val="0"/>
        <w:spacing w:line="430" w:lineRule="exact"/>
        <w:ind w:firstLine="480" w:firstLineChars="200"/>
        <w:outlineLvl w:val="9"/>
        <w:rPr>
          <w:rFonts w:ascii="宋体"/>
          <w:sz w:val="24"/>
          <w:highlight w:val="none"/>
        </w:rPr>
      </w:pPr>
      <w:r>
        <w:rPr>
          <w:rFonts w:hint="eastAsia" w:ascii="宋体" w:hAnsi="宋体"/>
          <w:sz w:val="24"/>
          <w:highlight w:val="none"/>
        </w:rPr>
        <w:t>（1）技术标评审和评分；</w:t>
      </w:r>
    </w:p>
    <w:p>
      <w:pPr>
        <w:adjustRightInd w:val="0"/>
        <w:snapToGrid w:val="0"/>
        <w:spacing w:line="430" w:lineRule="exact"/>
        <w:ind w:firstLine="480" w:firstLineChars="200"/>
        <w:outlineLvl w:val="9"/>
        <w:rPr>
          <w:rFonts w:ascii="宋体"/>
          <w:sz w:val="24"/>
          <w:highlight w:val="none"/>
        </w:rPr>
      </w:pPr>
      <w:r>
        <w:rPr>
          <w:rFonts w:hint="eastAsia" w:ascii="宋体" w:hAnsi="宋体"/>
          <w:sz w:val="24"/>
          <w:highlight w:val="none"/>
        </w:rPr>
        <w:t>（2）商务标评审和评分；</w:t>
      </w:r>
    </w:p>
    <w:p>
      <w:pPr>
        <w:adjustRightInd w:val="0"/>
        <w:snapToGrid w:val="0"/>
        <w:spacing w:line="430" w:lineRule="exact"/>
        <w:ind w:firstLine="480" w:firstLineChars="200"/>
        <w:outlineLvl w:val="9"/>
        <w:rPr>
          <w:rFonts w:hint="default" w:ascii="宋体" w:hAnsi="宋体" w:eastAsia="宋体"/>
          <w:sz w:val="24"/>
          <w:highlight w:val="none"/>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lang w:val="en-US" w:eastAsia="zh-CN"/>
        </w:rPr>
        <w:t>投标报价评审和评分；</w:t>
      </w:r>
    </w:p>
    <w:p>
      <w:pPr>
        <w:adjustRightInd w:val="0"/>
        <w:snapToGrid w:val="0"/>
        <w:spacing w:line="430" w:lineRule="exact"/>
        <w:ind w:firstLine="480" w:firstLineChars="200"/>
        <w:outlineLvl w:val="9"/>
        <w:rPr>
          <w:rFonts w:asci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）汇总评分结果。</w:t>
      </w:r>
    </w:p>
    <w:p>
      <w:pPr>
        <w:adjustRightInd w:val="0"/>
        <w:snapToGrid w:val="0"/>
        <w:spacing w:before="62" w:beforeLines="20" w:after="62" w:afterLines="20" w:line="430" w:lineRule="exact"/>
        <w:ind w:firstLine="480" w:firstLineChars="200"/>
        <w:outlineLvl w:val="9"/>
        <w:rPr>
          <w:rFonts w:ascii="宋体"/>
          <w:b/>
          <w:sz w:val="24"/>
          <w:highlight w:val="none"/>
        </w:rPr>
      </w:pPr>
      <w:r>
        <w:rPr>
          <w:rFonts w:hint="eastAsia" w:ascii="宋体" w:hAnsi="宋体"/>
          <w:b/>
          <w:sz w:val="24"/>
          <w:highlight w:val="none"/>
        </w:rPr>
        <w:t>A4.2 技术标评审和评分</w:t>
      </w:r>
    </w:p>
    <w:p>
      <w:pPr>
        <w:adjustRightInd w:val="0"/>
        <w:snapToGrid w:val="0"/>
        <w:spacing w:line="430" w:lineRule="exact"/>
        <w:ind w:firstLine="480" w:firstLineChars="200"/>
        <w:outlineLvl w:val="9"/>
        <w:rPr>
          <w:rFonts w:ascii="宋体"/>
          <w:sz w:val="24"/>
          <w:highlight w:val="none"/>
        </w:rPr>
      </w:pPr>
      <w:r>
        <w:rPr>
          <w:rFonts w:hint="eastAsia" w:ascii="宋体" w:hAnsi="宋体"/>
          <w:sz w:val="24"/>
          <w:highlight w:val="none"/>
        </w:rPr>
        <w:t>A4.2.1按照评标办法前附表中规定的分值设定、各项评分因素、评分标准，对技术标进行评审和评分，并记录对技术标的评分结果。</w:t>
      </w:r>
    </w:p>
    <w:p>
      <w:pPr>
        <w:adjustRightInd w:val="0"/>
        <w:snapToGrid w:val="0"/>
        <w:spacing w:before="62" w:beforeLines="20" w:after="62" w:afterLines="20" w:line="430" w:lineRule="exact"/>
        <w:ind w:firstLine="480" w:firstLineChars="200"/>
        <w:outlineLvl w:val="9"/>
        <w:rPr>
          <w:rFonts w:ascii="宋体"/>
          <w:b/>
          <w:sz w:val="24"/>
          <w:highlight w:val="none"/>
        </w:rPr>
      </w:pPr>
      <w:r>
        <w:rPr>
          <w:rFonts w:hint="eastAsia" w:ascii="宋体" w:hAnsi="宋体"/>
          <w:b/>
          <w:sz w:val="24"/>
          <w:highlight w:val="none"/>
        </w:rPr>
        <w:t>A4.</w:t>
      </w:r>
      <w:r>
        <w:rPr>
          <w:rFonts w:hint="eastAsia" w:ascii="宋体" w:hAnsi="宋体"/>
          <w:b/>
          <w:sz w:val="24"/>
          <w:highlight w:val="none"/>
          <w:lang w:val="en-US" w:eastAsia="zh-CN"/>
        </w:rPr>
        <w:t>3</w:t>
      </w:r>
      <w:r>
        <w:rPr>
          <w:rFonts w:hint="eastAsia" w:ascii="宋体" w:hAnsi="宋体"/>
          <w:b/>
          <w:sz w:val="24"/>
          <w:highlight w:val="none"/>
        </w:rPr>
        <w:t xml:space="preserve"> 技术标评审和评分</w:t>
      </w:r>
    </w:p>
    <w:p>
      <w:pPr>
        <w:adjustRightInd w:val="0"/>
        <w:snapToGrid w:val="0"/>
        <w:spacing w:before="62" w:beforeLines="20" w:after="62" w:afterLines="20" w:line="430" w:lineRule="exact"/>
        <w:ind w:left="2" w:firstLine="480" w:firstLineChars="200"/>
        <w:outlineLvl w:val="9"/>
        <w:rPr>
          <w:rFonts w:hint="eastAsia" w:ascii="宋体" w:hAnsi="宋体"/>
          <w:b/>
          <w:sz w:val="24"/>
          <w:highlight w:val="none"/>
        </w:rPr>
      </w:pPr>
      <w:r>
        <w:rPr>
          <w:rFonts w:hint="eastAsia" w:ascii="宋体" w:hAnsi="宋体"/>
          <w:sz w:val="24"/>
          <w:highlight w:val="none"/>
        </w:rPr>
        <w:t>A4.</w:t>
      </w:r>
      <w:r>
        <w:rPr>
          <w:rFonts w:hint="eastAsia" w:ascii="宋体" w:hAnsi="宋体"/>
          <w:sz w:val="24"/>
          <w:highlight w:val="none"/>
          <w:lang w:val="en-US" w:eastAsia="zh-CN"/>
        </w:rPr>
        <w:t>3</w:t>
      </w:r>
      <w:r>
        <w:rPr>
          <w:rFonts w:hint="eastAsia" w:ascii="宋体" w:hAnsi="宋体"/>
          <w:sz w:val="24"/>
          <w:highlight w:val="none"/>
        </w:rPr>
        <w:t>.1按照评标办法前附表中规定的分值设定、各项评分因素、评分标准，对</w:t>
      </w:r>
      <w:r>
        <w:rPr>
          <w:rFonts w:hint="eastAsia" w:ascii="宋体" w:hAnsi="宋体"/>
          <w:sz w:val="24"/>
          <w:highlight w:val="none"/>
          <w:lang w:val="en-US" w:eastAsia="zh-CN"/>
        </w:rPr>
        <w:t>商务</w:t>
      </w:r>
      <w:r>
        <w:rPr>
          <w:rFonts w:hint="eastAsia" w:ascii="宋体" w:hAnsi="宋体"/>
          <w:sz w:val="24"/>
          <w:highlight w:val="none"/>
        </w:rPr>
        <w:t>标进行评审和评分，并记录对</w:t>
      </w:r>
      <w:r>
        <w:rPr>
          <w:rFonts w:hint="eastAsia" w:ascii="宋体" w:hAnsi="宋体"/>
          <w:sz w:val="24"/>
          <w:highlight w:val="none"/>
          <w:lang w:val="en-US" w:eastAsia="zh-CN"/>
        </w:rPr>
        <w:t>商务</w:t>
      </w:r>
      <w:r>
        <w:rPr>
          <w:rFonts w:hint="eastAsia" w:ascii="宋体" w:hAnsi="宋体"/>
          <w:sz w:val="24"/>
          <w:highlight w:val="none"/>
        </w:rPr>
        <w:t>标的评分结果。</w:t>
      </w:r>
    </w:p>
    <w:p>
      <w:pPr>
        <w:adjustRightInd w:val="0"/>
        <w:snapToGrid w:val="0"/>
        <w:spacing w:before="62" w:beforeLines="20" w:after="62" w:afterLines="20" w:line="430" w:lineRule="exact"/>
        <w:ind w:left="2" w:firstLine="480" w:firstLineChars="200"/>
        <w:outlineLvl w:val="9"/>
        <w:rPr>
          <w:rFonts w:ascii="宋体"/>
          <w:b/>
          <w:sz w:val="24"/>
          <w:highlight w:val="none"/>
        </w:rPr>
      </w:pPr>
      <w:r>
        <w:rPr>
          <w:rFonts w:hint="eastAsia" w:ascii="宋体" w:hAnsi="宋体"/>
          <w:b/>
          <w:sz w:val="24"/>
          <w:highlight w:val="none"/>
        </w:rPr>
        <w:t>A4.</w:t>
      </w:r>
      <w:r>
        <w:rPr>
          <w:rFonts w:hint="eastAsia" w:ascii="宋体" w:hAnsi="宋体"/>
          <w:b/>
          <w:sz w:val="24"/>
          <w:highlight w:val="none"/>
          <w:lang w:val="en-US" w:eastAsia="zh-CN"/>
        </w:rPr>
        <w:t>4</w:t>
      </w:r>
      <w:r>
        <w:rPr>
          <w:rFonts w:hint="eastAsia" w:ascii="宋体" w:hAnsi="宋体"/>
          <w:b/>
          <w:sz w:val="24"/>
          <w:highlight w:val="none"/>
        </w:rPr>
        <w:t xml:space="preserve"> </w:t>
      </w:r>
      <w:r>
        <w:rPr>
          <w:rFonts w:hint="eastAsia" w:ascii="宋体" w:hAnsi="宋体"/>
          <w:b/>
          <w:sz w:val="24"/>
          <w:highlight w:val="none"/>
          <w:lang w:val="en-US" w:eastAsia="zh-CN"/>
        </w:rPr>
        <w:t>投标报价</w:t>
      </w:r>
      <w:r>
        <w:rPr>
          <w:rFonts w:hint="eastAsia" w:ascii="宋体" w:hAnsi="宋体"/>
          <w:b/>
          <w:sz w:val="24"/>
          <w:highlight w:val="none"/>
        </w:rPr>
        <w:t>评审和评分</w:t>
      </w:r>
    </w:p>
    <w:p>
      <w:pPr>
        <w:adjustRightInd w:val="0"/>
        <w:snapToGrid w:val="0"/>
        <w:spacing w:before="62" w:beforeLines="20" w:after="62" w:afterLines="20" w:line="430" w:lineRule="exact"/>
        <w:ind w:left="2" w:leftChars="1" w:firstLine="470" w:firstLineChars="196"/>
        <w:outlineLvl w:val="9"/>
        <w:rPr>
          <w:rFonts w:ascii="宋体"/>
          <w:sz w:val="24"/>
          <w:highlight w:val="none"/>
        </w:rPr>
      </w:pPr>
      <w:r>
        <w:rPr>
          <w:rFonts w:hint="eastAsia" w:ascii="宋体" w:hAnsi="宋体"/>
          <w:sz w:val="24"/>
          <w:highlight w:val="none"/>
        </w:rPr>
        <w:t>A4.3.1按照评标办法前附表中规定的方法计算“评标基准价”。</w:t>
      </w:r>
    </w:p>
    <w:p>
      <w:pPr>
        <w:adjustRightInd w:val="0"/>
        <w:snapToGrid w:val="0"/>
        <w:spacing w:before="62" w:beforeLines="20" w:line="430" w:lineRule="exact"/>
        <w:ind w:firstLine="480" w:firstLineChars="200"/>
        <w:outlineLvl w:val="9"/>
        <w:rPr>
          <w:rFonts w:ascii="宋体"/>
          <w:sz w:val="24"/>
          <w:highlight w:val="none"/>
        </w:rPr>
      </w:pPr>
      <w:r>
        <w:rPr>
          <w:rFonts w:hint="eastAsia" w:ascii="宋体" w:hAnsi="宋体"/>
          <w:sz w:val="24"/>
          <w:highlight w:val="none"/>
        </w:rPr>
        <w:t>A4.3.</w:t>
      </w:r>
      <w:r>
        <w:rPr>
          <w:rFonts w:hint="eastAsia" w:ascii="宋体" w:hAnsi="宋体"/>
          <w:sz w:val="24"/>
          <w:highlight w:val="none"/>
          <w:lang w:val="en-US" w:eastAsia="zh-CN"/>
        </w:rPr>
        <w:t>2</w:t>
      </w:r>
      <w:r>
        <w:rPr>
          <w:rFonts w:hint="eastAsia" w:ascii="宋体" w:hAnsi="宋体"/>
          <w:sz w:val="24"/>
          <w:highlight w:val="none"/>
        </w:rPr>
        <w:t>按照评标办法前附表中规定的评分标准，对照</w:t>
      </w:r>
      <w:r>
        <w:rPr>
          <w:rFonts w:hint="eastAsia" w:ascii="宋体" w:hAnsi="宋体"/>
          <w:sz w:val="24"/>
          <w:highlight w:val="none"/>
          <w:lang w:val="en-US" w:eastAsia="zh-CN"/>
        </w:rPr>
        <w:t>投标报价</w:t>
      </w:r>
      <w:r>
        <w:rPr>
          <w:rFonts w:hint="eastAsia" w:ascii="宋体" w:hAnsi="宋体"/>
          <w:sz w:val="24"/>
          <w:highlight w:val="none"/>
        </w:rPr>
        <w:t>的偏差率，分别进行评分，记录评分结果。</w:t>
      </w:r>
    </w:p>
    <w:p>
      <w:pPr>
        <w:adjustRightInd w:val="0"/>
        <w:snapToGrid w:val="0"/>
        <w:spacing w:line="440" w:lineRule="exact"/>
        <w:ind w:firstLine="480" w:firstLineChars="200"/>
        <w:outlineLvl w:val="9"/>
        <w:rPr>
          <w:rFonts w:ascii="宋体"/>
          <w:b/>
          <w:sz w:val="24"/>
          <w:highlight w:val="none"/>
        </w:rPr>
      </w:pPr>
      <w:r>
        <w:rPr>
          <w:rFonts w:hint="eastAsia" w:ascii="宋体" w:hAnsi="宋体"/>
          <w:b/>
          <w:sz w:val="24"/>
          <w:highlight w:val="none"/>
        </w:rPr>
        <w:t>A4.</w:t>
      </w:r>
      <w:r>
        <w:rPr>
          <w:rFonts w:hint="eastAsia" w:ascii="宋体" w:hAnsi="宋体"/>
          <w:b/>
          <w:sz w:val="24"/>
          <w:highlight w:val="none"/>
          <w:lang w:val="en-US" w:eastAsia="zh-CN"/>
        </w:rPr>
        <w:t>5</w:t>
      </w:r>
      <w:r>
        <w:rPr>
          <w:rFonts w:hint="eastAsia" w:ascii="宋体" w:hAnsi="宋体"/>
          <w:b/>
          <w:sz w:val="24"/>
          <w:highlight w:val="none"/>
        </w:rPr>
        <w:t xml:space="preserve"> 其他因素的评审和评分</w:t>
      </w:r>
    </w:p>
    <w:p>
      <w:pPr>
        <w:adjustRightInd w:val="0"/>
        <w:snapToGrid w:val="0"/>
        <w:spacing w:line="440" w:lineRule="exact"/>
        <w:ind w:firstLine="480" w:firstLineChars="200"/>
        <w:outlineLvl w:val="9"/>
        <w:rPr>
          <w:rFonts w:ascii="宋体"/>
          <w:sz w:val="24"/>
          <w:highlight w:val="none"/>
        </w:rPr>
      </w:pPr>
      <w:r>
        <w:rPr>
          <w:rFonts w:hint="eastAsia" w:ascii="宋体" w:hAnsi="宋体"/>
          <w:sz w:val="24"/>
          <w:highlight w:val="none"/>
        </w:rPr>
        <w:t>根据评标办法前附表中规定的分值设定、各项评分因素和相应的评分标准，对其他因素(如果有)进行评审和评分，并记录对其他因素的评分结果。</w:t>
      </w:r>
    </w:p>
    <w:p>
      <w:pPr>
        <w:adjustRightInd w:val="0"/>
        <w:snapToGrid w:val="0"/>
        <w:spacing w:line="440" w:lineRule="exact"/>
        <w:ind w:firstLine="480" w:firstLineChars="200"/>
        <w:outlineLvl w:val="9"/>
        <w:rPr>
          <w:rFonts w:ascii="宋体"/>
          <w:b/>
          <w:sz w:val="24"/>
          <w:highlight w:val="none"/>
        </w:rPr>
      </w:pPr>
      <w:r>
        <w:rPr>
          <w:rFonts w:hint="eastAsia" w:ascii="宋体" w:hAnsi="宋体"/>
          <w:b/>
          <w:sz w:val="24"/>
          <w:highlight w:val="none"/>
        </w:rPr>
        <w:t>A4.</w:t>
      </w:r>
      <w:r>
        <w:rPr>
          <w:rFonts w:hint="eastAsia" w:ascii="宋体" w:hAnsi="宋体"/>
          <w:b/>
          <w:sz w:val="24"/>
          <w:highlight w:val="none"/>
          <w:lang w:val="en-US" w:eastAsia="zh-CN"/>
        </w:rPr>
        <w:t>6</w:t>
      </w:r>
      <w:r>
        <w:rPr>
          <w:rFonts w:hint="eastAsia" w:ascii="宋体" w:hAnsi="宋体"/>
          <w:b/>
          <w:sz w:val="24"/>
          <w:highlight w:val="none"/>
        </w:rPr>
        <w:t xml:space="preserve"> 澄清、说明或补正</w:t>
      </w:r>
    </w:p>
    <w:p>
      <w:pPr>
        <w:adjustRightInd w:val="0"/>
        <w:snapToGrid w:val="0"/>
        <w:spacing w:line="440" w:lineRule="exact"/>
        <w:ind w:firstLine="480" w:firstLineChars="200"/>
        <w:outlineLvl w:val="9"/>
        <w:rPr>
          <w:rFonts w:ascii="宋体"/>
          <w:sz w:val="24"/>
          <w:highlight w:val="none"/>
        </w:rPr>
      </w:pPr>
      <w:r>
        <w:rPr>
          <w:rFonts w:hint="eastAsia" w:ascii="宋体" w:hAnsi="宋体"/>
          <w:sz w:val="24"/>
          <w:highlight w:val="none"/>
        </w:rPr>
        <w:t>在详细评审过程中，评标委员会应当就投标文件中不明确的内容要求</w:t>
      </w:r>
      <w:r>
        <w:rPr>
          <w:rFonts w:hint="eastAsia" w:ascii="宋体" w:hAnsi="宋体"/>
          <w:sz w:val="24"/>
          <w:highlight w:val="none"/>
          <w:lang w:eastAsia="zh-CN"/>
        </w:rPr>
        <w:t>投标供应商</w:t>
      </w:r>
      <w:r>
        <w:rPr>
          <w:rFonts w:hint="eastAsia" w:ascii="宋体" w:hAnsi="宋体"/>
          <w:sz w:val="24"/>
          <w:highlight w:val="none"/>
        </w:rPr>
        <w:t>进行澄清、说明或者补正。</w:t>
      </w:r>
      <w:r>
        <w:rPr>
          <w:rFonts w:hint="eastAsia" w:ascii="宋体" w:hAnsi="宋体"/>
          <w:sz w:val="24"/>
          <w:highlight w:val="none"/>
          <w:lang w:eastAsia="zh-CN"/>
        </w:rPr>
        <w:t>投标供应商</w:t>
      </w:r>
      <w:r>
        <w:rPr>
          <w:rFonts w:hint="eastAsia" w:ascii="宋体" w:hAnsi="宋体"/>
          <w:sz w:val="24"/>
          <w:highlight w:val="none"/>
        </w:rPr>
        <w:t>对此以书面形式予以澄清、说明或者补正。澄清、说明或补正根据本章第3.3款的规定执行。</w:t>
      </w:r>
    </w:p>
    <w:p>
      <w:pPr>
        <w:adjustRightInd w:val="0"/>
        <w:snapToGrid w:val="0"/>
        <w:spacing w:line="440" w:lineRule="exact"/>
        <w:ind w:firstLine="480" w:firstLineChars="200"/>
        <w:outlineLvl w:val="9"/>
        <w:rPr>
          <w:rFonts w:ascii="宋体"/>
          <w:b/>
          <w:sz w:val="24"/>
          <w:highlight w:val="none"/>
        </w:rPr>
      </w:pPr>
      <w:r>
        <w:rPr>
          <w:rFonts w:hint="eastAsia" w:ascii="宋体" w:hAnsi="宋体"/>
          <w:b/>
          <w:sz w:val="24"/>
          <w:highlight w:val="none"/>
        </w:rPr>
        <w:t>A4.</w:t>
      </w:r>
      <w:r>
        <w:rPr>
          <w:rFonts w:hint="eastAsia" w:ascii="宋体" w:hAnsi="宋体"/>
          <w:b/>
          <w:sz w:val="24"/>
          <w:highlight w:val="none"/>
          <w:lang w:val="en-US" w:eastAsia="zh-CN"/>
        </w:rPr>
        <w:t>7</w:t>
      </w:r>
      <w:r>
        <w:rPr>
          <w:rFonts w:hint="eastAsia" w:ascii="宋体" w:hAnsi="宋体"/>
          <w:b/>
          <w:sz w:val="24"/>
          <w:highlight w:val="none"/>
        </w:rPr>
        <w:t xml:space="preserve"> 汇总评分结果</w:t>
      </w:r>
    </w:p>
    <w:p>
      <w:pPr>
        <w:adjustRightInd w:val="0"/>
        <w:snapToGrid w:val="0"/>
        <w:spacing w:line="440" w:lineRule="exact"/>
        <w:ind w:firstLine="480" w:firstLineChars="200"/>
        <w:outlineLvl w:val="9"/>
        <w:rPr>
          <w:rFonts w:ascii="宋体"/>
          <w:sz w:val="24"/>
          <w:highlight w:val="none"/>
        </w:rPr>
      </w:pPr>
      <w:r>
        <w:rPr>
          <w:rFonts w:hint="eastAsia" w:ascii="宋体" w:hAnsi="宋体"/>
          <w:sz w:val="24"/>
          <w:highlight w:val="none"/>
        </w:rPr>
        <w:t>A4.</w:t>
      </w:r>
      <w:r>
        <w:rPr>
          <w:rFonts w:hint="eastAsia" w:ascii="宋体" w:hAnsi="宋体"/>
          <w:sz w:val="24"/>
          <w:highlight w:val="none"/>
          <w:lang w:val="en-US" w:eastAsia="zh-CN"/>
        </w:rPr>
        <w:t>7</w:t>
      </w:r>
      <w:r>
        <w:rPr>
          <w:rFonts w:hint="eastAsia" w:ascii="宋体" w:hAnsi="宋体"/>
          <w:sz w:val="24"/>
          <w:highlight w:val="none"/>
        </w:rPr>
        <w:t>.1评标委员会成员应填写详细评审评分汇总表。</w:t>
      </w:r>
    </w:p>
    <w:p>
      <w:pPr>
        <w:adjustRightInd w:val="0"/>
        <w:snapToGrid w:val="0"/>
        <w:spacing w:line="440" w:lineRule="exact"/>
        <w:ind w:firstLine="480" w:firstLineChars="200"/>
        <w:outlineLvl w:val="9"/>
        <w:rPr>
          <w:rFonts w:ascii="宋体"/>
          <w:sz w:val="24"/>
          <w:highlight w:val="none"/>
        </w:rPr>
      </w:pPr>
      <w:r>
        <w:rPr>
          <w:rFonts w:hint="eastAsia" w:ascii="宋体" w:hAnsi="宋体"/>
          <w:sz w:val="24"/>
          <w:highlight w:val="none"/>
        </w:rPr>
        <w:t>A4.</w:t>
      </w:r>
      <w:r>
        <w:rPr>
          <w:rFonts w:hint="eastAsia" w:ascii="宋体" w:hAnsi="宋体"/>
          <w:sz w:val="24"/>
          <w:highlight w:val="none"/>
          <w:lang w:val="en-US" w:eastAsia="zh-CN"/>
        </w:rPr>
        <w:t>7</w:t>
      </w:r>
      <w:r>
        <w:rPr>
          <w:rFonts w:hint="eastAsia" w:ascii="宋体" w:hAnsi="宋体"/>
          <w:sz w:val="24"/>
          <w:highlight w:val="none"/>
        </w:rPr>
        <w:t>.2详细评审工作全部结束后，汇总各个评标委员会成员的详细评审评分结果，并按照详细评审最终得分由高至低的次序对</w:t>
      </w:r>
      <w:r>
        <w:rPr>
          <w:rFonts w:hint="eastAsia" w:ascii="宋体" w:hAnsi="宋体"/>
          <w:sz w:val="24"/>
          <w:highlight w:val="none"/>
          <w:lang w:eastAsia="zh-CN"/>
        </w:rPr>
        <w:t>投标供应商</w:t>
      </w:r>
      <w:r>
        <w:rPr>
          <w:rFonts w:hint="eastAsia" w:ascii="宋体" w:hAnsi="宋体"/>
          <w:sz w:val="24"/>
          <w:highlight w:val="none"/>
        </w:rPr>
        <w:t>进行排序。</w:t>
      </w:r>
    </w:p>
    <w:p>
      <w:pPr>
        <w:adjustRightInd w:val="0"/>
        <w:snapToGrid w:val="0"/>
        <w:spacing w:before="62" w:beforeLines="20" w:line="440" w:lineRule="exact"/>
        <w:ind w:firstLine="480" w:firstLineChars="200"/>
        <w:outlineLvl w:val="9"/>
        <w:rPr>
          <w:rFonts w:ascii="宋体"/>
          <w:b/>
          <w:sz w:val="24"/>
          <w:highlight w:val="none"/>
        </w:rPr>
      </w:pPr>
      <w:r>
        <w:rPr>
          <w:rFonts w:hint="eastAsia" w:ascii="宋体" w:hAnsi="宋体"/>
          <w:b/>
          <w:sz w:val="24"/>
          <w:highlight w:val="none"/>
        </w:rPr>
        <w:t>A5.推荐中标候选人或者直接确定中标人</w:t>
      </w:r>
    </w:p>
    <w:p>
      <w:pPr>
        <w:adjustRightInd w:val="0"/>
        <w:snapToGrid w:val="0"/>
        <w:spacing w:line="440" w:lineRule="exact"/>
        <w:ind w:firstLine="480" w:firstLineChars="200"/>
        <w:outlineLvl w:val="9"/>
        <w:rPr>
          <w:rFonts w:ascii="宋体"/>
          <w:b/>
          <w:sz w:val="24"/>
          <w:highlight w:val="none"/>
        </w:rPr>
      </w:pPr>
      <w:r>
        <w:rPr>
          <w:rFonts w:hint="eastAsia" w:ascii="宋体" w:hAnsi="宋体"/>
          <w:b/>
          <w:sz w:val="24"/>
          <w:highlight w:val="none"/>
        </w:rPr>
        <w:t>A5.1 推荐中标候选人</w:t>
      </w:r>
    </w:p>
    <w:p>
      <w:pPr>
        <w:adjustRightInd w:val="0"/>
        <w:snapToGrid w:val="0"/>
        <w:spacing w:line="440" w:lineRule="exact"/>
        <w:ind w:firstLine="480" w:firstLineChars="200"/>
        <w:outlineLvl w:val="9"/>
        <w:rPr>
          <w:rFonts w:ascii="宋体" w:hAnsi="宋体"/>
          <w:sz w:val="24"/>
          <w:highlight w:val="none"/>
        </w:rPr>
      </w:pPr>
      <w:r>
        <w:rPr>
          <w:rFonts w:hint="eastAsia" w:ascii="宋体" w:hAnsi="宋体"/>
          <w:sz w:val="24"/>
          <w:highlight w:val="none"/>
        </w:rPr>
        <w:t>A5.1.1除第二章“</w:t>
      </w:r>
      <w:r>
        <w:rPr>
          <w:rFonts w:hint="eastAsia" w:ascii="宋体" w:hAnsi="宋体"/>
          <w:sz w:val="24"/>
          <w:highlight w:val="none"/>
          <w:lang w:eastAsia="zh-CN"/>
        </w:rPr>
        <w:t>投标供应商</w:t>
      </w:r>
      <w:r>
        <w:rPr>
          <w:rFonts w:hint="eastAsia" w:ascii="宋体" w:hAnsi="宋体"/>
          <w:sz w:val="24"/>
          <w:highlight w:val="none"/>
        </w:rPr>
        <w:t>须知”前附表第7.1款授权直接确定中标人外，评标委员会在推荐中标候选人时，应遵照以下原则:</w:t>
      </w:r>
    </w:p>
    <w:p>
      <w:pPr>
        <w:adjustRightInd w:val="0"/>
        <w:snapToGrid w:val="0"/>
        <w:spacing w:line="441" w:lineRule="exact"/>
        <w:ind w:firstLine="448" w:firstLineChars="187"/>
        <w:outlineLvl w:val="9"/>
        <w:rPr>
          <w:rFonts w:ascii="宋体"/>
          <w:sz w:val="24"/>
          <w:highlight w:val="none"/>
        </w:rPr>
      </w:pPr>
      <w:r>
        <w:rPr>
          <w:rFonts w:hint="eastAsia" w:ascii="宋体" w:hAnsi="宋体"/>
          <w:sz w:val="24"/>
          <w:highlight w:val="none"/>
        </w:rPr>
        <w:t>（1）评标委员会按照最终得分由高至低的次序排列，并根据第二章“</w:t>
      </w:r>
      <w:r>
        <w:rPr>
          <w:rFonts w:hint="eastAsia" w:ascii="宋体" w:hAnsi="宋体"/>
          <w:sz w:val="24"/>
          <w:highlight w:val="none"/>
          <w:lang w:eastAsia="zh-CN"/>
        </w:rPr>
        <w:t>投标供应商</w:t>
      </w:r>
      <w:r>
        <w:rPr>
          <w:rFonts w:hint="eastAsia" w:ascii="宋体" w:hAnsi="宋体"/>
          <w:sz w:val="24"/>
          <w:highlight w:val="none"/>
        </w:rPr>
        <w:t>须知”前附表第7.1款规定的中标候选人数量，将排序在前的</w:t>
      </w:r>
      <w:r>
        <w:rPr>
          <w:rFonts w:hint="eastAsia" w:ascii="宋体" w:hAnsi="宋体"/>
          <w:sz w:val="24"/>
          <w:highlight w:val="none"/>
          <w:lang w:eastAsia="zh-CN"/>
        </w:rPr>
        <w:t>投标供应商</w:t>
      </w:r>
      <w:r>
        <w:rPr>
          <w:rFonts w:hint="eastAsia" w:ascii="宋体" w:hAnsi="宋体"/>
          <w:sz w:val="24"/>
          <w:highlight w:val="none"/>
        </w:rPr>
        <w:t>推荐为中标候选人。</w:t>
      </w:r>
    </w:p>
    <w:p>
      <w:pPr>
        <w:adjustRightInd w:val="0"/>
        <w:snapToGrid w:val="0"/>
        <w:spacing w:line="441" w:lineRule="exact"/>
        <w:ind w:firstLine="480" w:firstLineChars="200"/>
        <w:outlineLvl w:val="9"/>
        <w:rPr>
          <w:rFonts w:hint="eastAsia" w:ascii="宋体" w:hAnsi="宋体"/>
          <w:sz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评标总得分相同的，按下列顺序比较确定：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福利企业；</w:t>
      </w:r>
      <w:r>
        <w:rPr>
          <w:rFonts w:hint="eastAsia" w:ascii="宋体" w:hAnsi="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cs="宋体"/>
          <w:sz w:val="24"/>
          <w:szCs w:val="24"/>
          <w:highlight w:val="none"/>
        </w:rPr>
        <w:t>）节能产品占比（由高到低）；（</w:t>
      </w:r>
      <w:r>
        <w:rPr>
          <w:rFonts w:hint="eastAsia" w:ascii="宋体" w:hAnsi="宋体" w:cs="宋体"/>
          <w:sz w:val="24"/>
          <w:szCs w:val="24"/>
          <w:highlight w:val="none"/>
          <w:lang w:val="en-US" w:eastAsia="zh-CN"/>
        </w:rPr>
        <w:t>3</w:t>
      </w:r>
      <w:r>
        <w:rPr>
          <w:rFonts w:hint="eastAsia" w:ascii="宋体" w:hAnsi="宋体" w:cs="宋体"/>
          <w:sz w:val="24"/>
          <w:szCs w:val="24"/>
          <w:highlight w:val="none"/>
        </w:rPr>
        <w:t>）环保产品占比（由高到低）；（</w:t>
      </w:r>
      <w:r>
        <w:rPr>
          <w:rFonts w:hint="eastAsia" w:ascii="宋体" w:hAnsi="宋体" w:cs="宋体"/>
          <w:sz w:val="24"/>
          <w:szCs w:val="24"/>
          <w:highlight w:val="none"/>
          <w:lang w:val="en-US" w:eastAsia="zh-CN"/>
        </w:rPr>
        <w:t>4</w:t>
      </w:r>
      <w:r>
        <w:rPr>
          <w:rFonts w:hint="eastAsia" w:ascii="宋体" w:hAnsi="宋体" w:cs="宋体"/>
          <w:sz w:val="24"/>
          <w:szCs w:val="24"/>
          <w:highlight w:val="none"/>
        </w:rPr>
        <w:t>）投标报价（由低到高）；（</w:t>
      </w:r>
      <w:r>
        <w:rPr>
          <w:rFonts w:hint="eastAsia" w:ascii="宋体" w:hAnsi="宋体" w:cs="宋体"/>
          <w:sz w:val="24"/>
          <w:szCs w:val="24"/>
          <w:highlight w:val="none"/>
          <w:lang w:val="en-US" w:eastAsia="zh-CN"/>
        </w:rPr>
        <w:t>5</w:t>
      </w:r>
      <w:r>
        <w:rPr>
          <w:rFonts w:hint="eastAsia" w:ascii="宋体" w:hAnsi="宋体" w:cs="宋体"/>
          <w:sz w:val="24"/>
          <w:szCs w:val="24"/>
          <w:highlight w:val="none"/>
        </w:rPr>
        <w:t>）技术评分（由高到低），如以上都相同的，名次由评标委员会抽签确定。</w:t>
      </w:r>
    </w:p>
    <w:p>
      <w:pPr>
        <w:adjustRightInd w:val="0"/>
        <w:snapToGrid w:val="0"/>
        <w:spacing w:line="441" w:lineRule="exact"/>
        <w:ind w:firstLine="480" w:firstLineChars="200"/>
        <w:outlineLvl w:val="9"/>
        <w:rPr>
          <w:rFonts w:asci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）如果评标委员会根据本章的规定作无效标处理后，有效投标不足三个，且少于第二章“</w:t>
      </w:r>
      <w:r>
        <w:rPr>
          <w:rFonts w:hint="eastAsia" w:ascii="宋体" w:hAnsi="宋体"/>
          <w:sz w:val="24"/>
          <w:highlight w:val="none"/>
          <w:lang w:eastAsia="zh-CN"/>
        </w:rPr>
        <w:t>投标供应商</w:t>
      </w:r>
      <w:r>
        <w:rPr>
          <w:rFonts w:hint="eastAsia" w:ascii="宋体" w:hAnsi="宋体"/>
          <w:sz w:val="24"/>
          <w:highlight w:val="none"/>
        </w:rPr>
        <w:t>须知”前附表第7.1款规定的中标候选人数量的，则评标委员会可以将所有有效投标按最终得分由高至低的次序作为中标候选人向</w:t>
      </w:r>
      <w:r>
        <w:rPr>
          <w:rFonts w:hint="eastAsia" w:ascii="宋体" w:hAnsi="宋体"/>
          <w:sz w:val="24"/>
          <w:highlight w:val="none"/>
          <w:lang w:eastAsia="zh-CN"/>
        </w:rPr>
        <w:t>采购人</w:t>
      </w:r>
      <w:r>
        <w:rPr>
          <w:rFonts w:hint="eastAsia" w:ascii="宋体" w:hAnsi="宋体"/>
          <w:sz w:val="24"/>
          <w:highlight w:val="none"/>
        </w:rPr>
        <w:t>推荐。如果因有效投标不足三个使得投标明显缺乏竞争的，评标委员会可以建议</w:t>
      </w:r>
      <w:r>
        <w:rPr>
          <w:rFonts w:hint="eastAsia" w:ascii="宋体" w:hAnsi="宋体"/>
          <w:sz w:val="24"/>
          <w:highlight w:val="none"/>
          <w:lang w:eastAsia="zh-CN"/>
        </w:rPr>
        <w:t>采购人</w:t>
      </w:r>
      <w:r>
        <w:rPr>
          <w:rFonts w:hint="eastAsia" w:ascii="宋体" w:hAnsi="宋体"/>
          <w:sz w:val="24"/>
          <w:highlight w:val="none"/>
        </w:rPr>
        <w:t>重新招标。</w:t>
      </w:r>
    </w:p>
    <w:p>
      <w:pPr>
        <w:adjustRightInd w:val="0"/>
        <w:snapToGrid w:val="0"/>
        <w:spacing w:line="441" w:lineRule="exact"/>
        <w:ind w:firstLine="480" w:firstLineChars="200"/>
        <w:outlineLvl w:val="9"/>
        <w:rPr>
          <w:rFonts w:ascii="宋体"/>
          <w:sz w:val="24"/>
          <w:highlight w:val="none"/>
        </w:rPr>
      </w:pPr>
      <w:r>
        <w:rPr>
          <w:rFonts w:hint="eastAsia" w:ascii="宋体" w:hAnsi="宋体"/>
          <w:sz w:val="24"/>
          <w:highlight w:val="none"/>
        </w:rPr>
        <w:t>A5.2.2</w:t>
      </w:r>
      <w:r>
        <w:rPr>
          <w:rFonts w:hint="eastAsia" w:ascii="宋体" w:hAnsi="宋体"/>
          <w:sz w:val="24"/>
          <w:highlight w:val="none"/>
          <w:lang w:eastAsia="zh-CN"/>
        </w:rPr>
        <w:t>投标供应商</w:t>
      </w:r>
      <w:r>
        <w:rPr>
          <w:rFonts w:hint="eastAsia" w:ascii="宋体" w:hAnsi="宋体"/>
          <w:sz w:val="24"/>
          <w:highlight w:val="none"/>
        </w:rPr>
        <w:t>数量少于三个或者所有投标被否决的，</w:t>
      </w:r>
      <w:r>
        <w:rPr>
          <w:rFonts w:hint="eastAsia" w:ascii="宋体" w:hAnsi="宋体"/>
          <w:sz w:val="24"/>
          <w:highlight w:val="none"/>
          <w:lang w:eastAsia="zh-CN"/>
        </w:rPr>
        <w:t>采购人</w:t>
      </w:r>
      <w:r>
        <w:rPr>
          <w:rFonts w:hint="eastAsia" w:ascii="宋体" w:hAnsi="宋体"/>
          <w:sz w:val="24"/>
          <w:highlight w:val="none"/>
        </w:rPr>
        <w:t>应当依法重新招标。</w:t>
      </w:r>
    </w:p>
    <w:p>
      <w:pPr>
        <w:adjustRightInd w:val="0"/>
        <w:snapToGrid w:val="0"/>
        <w:spacing w:before="62" w:beforeLines="20" w:after="62" w:afterLines="20" w:line="441" w:lineRule="exact"/>
        <w:ind w:firstLine="480" w:firstLineChars="200"/>
        <w:outlineLvl w:val="9"/>
        <w:rPr>
          <w:rFonts w:ascii="宋体"/>
          <w:b/>
          <w:sz w:val="24"/>
          <w:highlight w:val="none"/>
        </w:rPr>
      </w:pPr>
      <w:r>
        <w:rPr>
          <w:rFonts w:hint="eastAsia" w:ascii="宋体" w:hAnsi="宋体"/>
          <w:b/>
          <w:sz w:val="24"/>
          <w:highlight w:val="none"/>
        </w:rPr>
        <w:t>A5.2 直接确定中标人</w:t>
      </w:r>
    </w:p>
    <w:p>
      <w:pPr>
        <w:adjustRightInd w:val="0"/>
        <w:snapToGrid w:val="0"/>
        <w:spacing w:line="441" w:lineRule="exact"/>
        <w:ind w:firstLine="480" w:firstLineChars="200"/>
        <w:outlineLvl w:val="9"/>
        <w:rPr>
          <w:rFonts w:ascii="宋体"/>
          <w:sz w:val="24"/>
          <w:highlight w:val="none"/>
        </w:rPr>
      </w:pPr>
      <w:r>
        <w:rPr>
          <w:rFonts w:hint="eastAsia" w:ascii="宋体" w:hAnsi="宋体"/>
          <w:sz w:val="24"/>
          <w:highlight w:val="none"/>
        </w:rPr>
        <w:t>第二章“</w:t>
      </w:r>
      <w:r>
        <w:rPr>
          <w:rFonts w:hint="eastAsia" w:ascii="宋体" w:hAnsi="宋体"/>
          <w:sz w:val="24"/>
          <w:highlight w:val="none"/>
          <w:lang w:eastAsia="zh-CN"/>
        </w:rPr>
        <w:t>投标供应商</w:t>
      </w:r>
      <w:r>
        <w:rPr>
          <w:rFonts w:hint="eastAsia" w:ascii="宋体" w:hAnsi="宋体"/>
          <w:sz w:val="24"/>
          <w:highlight w:val="none"/>
        </w:rPr>
        <w:t>须知”前附表授权评标委员会直接确定中标人的，评标委员会按照最终得分由高至低的次序排列，并确定排名第一的</w:t>
      </w:r>
      <w:r>
        <w:rPr>
          <w:rFonts w:hint="eastAsia" w:ascii="宋体" w:hAnsi="宋体"/>
          <w:sz w:val="24"/>
          <w:highlight w:val="none"/>
          <w:lang w:eastAsia="zh-CN"/>
        </w:rPr>
        <w:t>投标供应商</w:t>
      </w:r>
      <w:r>
        <w:rPr>
          <w:rFonts w:hint="eastAsia" w:ascii="宋体" w:hAnsi="宋体"/>
          <w:sz w:val="24"/>
          <w:highlight w:val="none"/>
        </w:rPr>
        <w:t>为中标人。</w:t>
      </w:r>
    </w:p>
    <w:p>
      <w:pPr>
        <w:adjustRightInd w:val="0"/>
        <w:snapToGrid w:val="0"/>
        <w:spacing w:before="62" w:beforeLines="20" w:after="62" w:afterLines="20" w:line="441" w:lineRule="exact"/>
        <w:ind w:firstLine="480" w:firstLineChars="200"/>
        <w:outlineLvl w:val="9"/>
        <w:rPr>
          <w:rFonts w:ascii="宋体"/>
          <w:b/>
          <w:sz w:val="24"/>
          <w:highlight w:val="none"/>
        </w:rPr>
      </w:pPr>
      <w:r>
        <w:rPr>
          <w:rFonts w:hint="eastAsia" w:ascii="宋体" w:hAnsi="宋体"/>
          <w:b/>
          <w:sz w:val="24"/>
          <w:highlight w:val="none"/>
        </w:rPr>
        <w:t>A5.3 编制评标报告</w:t>
      </w:r>
    </w:p>
    <w:p>
      <w:pPr>
        <w:adjustRightInd w:val="0"/>
        <w:snapToGrid w:val="0"/>
        <w:spacing w:line="441" w:lineRule="exact"/>
        <w:ind w:firstLine="480" w:firstLineChars="200"/>
        <w:outlineLvl w:val="9"/>
        <w:rPr>
          <w:rFonts w:ascii="宋体"/>
          <w:sz w:val="24"/>
          <w:highlight w:val="none"/>
        </w:rPr>
      </w:pPr>
      <w:r>
        <w:rPr>
          <w:rFonts w:hint="eastAsia" w:ascii="宋体" w:hAnsi="宋体"/>
          <w:sz w:val="24"/>
          <w:highlight w:val="none"/>
        </w:rPr>
        <w:t>评标委员会根据本章第3.4.2项的规定向</w:t>
      </w:r>
      <w:r>
        <w:rPr>
          <w:rFonts w:hint="eastAsia" w:ascii="宋体" w:hAnsi="宋体"/>
          <w:sz w:val="24"/>
          <w:highlight w:val="none"/>
          <w:lang w:eastAsia="zh-CN"/>
        </w:rPr>
        <w:t>采购人</w:t>
      </w:r>
      <w:r>
        <w:rPr>
          <w:rFonts w:hint="eastAsia" w:ascii="宋体" w:hAnsi="宋体"/>
          <w:sz w:val="24"/>
          <w:highlight w:val="none"/>
        </w:rPr>
        <w:t>提交评标报告。评标报告应当由全体评标委员会成员签字，并于评标结束时抄送有关行政监督部门。评标报告应当包括以下内容：</w:t>
      </w:r>
    </w:p>
    <w:p>
      <w:pPr>
        <w:adjustRightInd w:val="0"/>
        <w:snapToGrid w:val="0"/>
        <w:spacing w:line="441" w:lineRule="exact"/>
        <w:ind w:firstLine="480" w:firstLineChars="200"/>
        <w:outlineLvl w:val="9"/>
        <w:rPr>
          <w:rFonts w:ascii="宋体"/>
          <w:sz w:val="24"/>
          <w:highlight w:val="none"/>
        </w:rPr>
      </w:pPr>
      <w:r>
        <w:rPr>
          <w:rFonts w:hint="eastAsia" w:ascii="宋体" w:hAnsi="宋体"/>
          <w:sz w:val="24"/>
          <w:highlight w:val="none"/>
        </w:rPr>
        <w:t>（1）基本情况和数据表；</w:t>
      </w:r>
    </w:p>
    <w:p>
      <w:pPr>
        <w:adjustRightInd w:val="0"/>
        <w:snapToGrid w:val="0"/>
        <w:spacing w:line="441" w:lineRule="exact"/>
        <w:ind w:firstLine="480" w:firstLineChars="200"/>
        <w:outlineLvl w:val="9"/>
        <w:rPr>
          <w:rFonts w:ascii="宋体"/>
          <w:sz w:val="24"/>
          <w:highlight w:val="none"/>
        </w:rPr>
      </w:pPr>
      <w:r>
        <w:rPr>
          <w:rFonts w:hint="eastAsia" w:ascii="宋体" w:hAnsi="宋体"/>
          <w:sz w:val="24"/>
          <w:highlight w:val="none"/>
        </w:rPr>
        <w:t>（2）评标委员会成员名单；</w:t>
      </w:r>
    </w:p>
    <w:p>
      <w:pPr>
        <w:adjustRightInd w:val="0"/>
        <w:snapToGrid w:val="0"/>
        <w:spacing w:line="441" w:lineRule="exact"/>
        <w:ind w:firstLine="480" w:firstLineChars="200"/>
        <w:outlineLvl w:val="9"/>
        <w:rPr>
          <w:rFonts w:ascii="宋体"/>
          <w:sz w:val="24"/>
          <w:highlight w:val="none"/>
        </w:rPr>
      </w:pPr>
      <w:r>
        <w:rPr>
          <w:rFonts w:hint="eastAsia" w:ascii="宋体" w:hAnsi="宋体"/>
          <w:sz w:val="24"/>
          <w:highlight w:val="none"/>
        </w:rPr>
        <w:t>（3）开标记录；</w:t>
      </w:r>
    </w:p>
    <w:p>
      <w:pPr>
        <w:adjustRightInd w:val="0"/>
        <w:snapToGrid w:val="0"/>
        <w:spacing w:line="441" w:lineRule="exact"/>
        <w:ind w:firstLine="480" w:firstLineChars="200"/>
        <w:outlineLvl w:val="9"/>
        <w:rPr>
          <w:rFonts w:ascii="宋体"/>
          <w:sz w:val="24"/>
          <w:highlight w:val="none"/>
        </w:rPr>
      </w:pPr>
      <w:r>
        <w:rPr>
          <w:rFonts w:hint="eastAsia" w:ascii="宋体" w:hAnsi="宋体"/>
          <w:sz w:val="24"/>
          <w:highlight w:val="none"/>
        </w:rPr>
        <w:t>（4）符合要求的投标一览表；</w:t>
      </w:r>
    </w:p>
    <w:p>
      <w:pPr>
        <w:adjustRightInd w:val="0"/>
        <w:snapToGrid w:val="0"/>
        <w:spacing w:line="441" w:lineRule="exact"/>
        <w:ind w:firstLine="480" w:firstLineChars="200"/>
        <w:outlineLvl w:val="9"/>
        <w:rPr>
          <w:rFonts w:ascii="宋体"/>
          <w:sz w:val="24"/>
          <w:highlight w:val="none"/>
        </w:rPr>
      </w:pPr>
      <w:r>
        <w:rPr>
          <w:rFonts w:hint="eastAsia" w:ascii="宋体" w:hAnsi="宋体"/>
          <w:sz w:val="24"/>
          <w:highlight w:val="none"/>
        </w:rPr>
        <w:t>（5）无效标情况说明；</w:t>
      </w:r>
    </w:p>
    <w:p>
      <w:pPr>
        <w:adjustRightInd w:val="0"/>
        <w:snapToGrid w:val="0"/>
        <w:spacing w:line="441" w:lineRule="exact"/>
        <w:ind w:firstLine="480" w:firstLineChars="200"/>
        <w:outlineLvl w:val="9"/>
        <w:rPr>
          <w:rFonts w:ascii="宋体"/>
          <w:sz w:val="24"/>
          <w:highlight w:val="none"/>
        </w:rPr>
      </w:pPr>
      <w:r>
        <w:rPr>
          <w:rFonts w:hint="eastAsia" w:ascii="宋体" w:hAnsi="宋体"/>
          <w:sz w:val="24"/>
          <w:highlight w:val="none"/>
        </w:rPr>
        <w:t>（6）评标标准、评标方法或者评标因素一览表；</w:t>
      </w:r>
    </w:p>
    <w:p>
      <w:pPr>
        <w:adjustRightInd w:val="0"/>
        <w:snapToGrid w:val="0"/>
        <w:spacing w:line="441" w:lineRule="exact"/>
        <w:ind w:firstLine="480" w:firstLineChars="200"/>
        <w:outlineLvl w:val="9"/>
        <w:rPr>
          <w:rFonts w:ascii="宋体"/>
          <w:sz w:val="24"/>
          <w:highlight w:val="none"/>
        </w:rPr>
      </w:pPr>
      <w:r>
        <w:rPr>
          <w:rFonts w:hint="eastAsia" w:ascii="宋体" w:hAnsi="宋体"/>
          <w:sz w:val="24"/>
          <w:highlight w:val="none"/>
        </w:rPr>
        <w:t>（7）经评审的价格一览表(包括评标委员会在评标过程中所形成的所有记载评标结果、结论的表格、说明、记录等文件)；</w:t>
      </w:r>
    </w:p>
    <w:p>
      <w:pPr>
        <w:adjustRightInd w:val="0"/>
        <w:snapToGrid w:val="0"/>
        <w:spacing w:line="441" w:lineRule="exact"/>
        <w:ind w:firstLine="480" w:firstLineChars="200"/>
        <w:outlineLvl w:val="9"/>
        <w:rPr>
          <w:rFonts w:ascii="宋体"/>
          <w:sz w:val="24"/>
          <w:highlight w:val="none"/>
        </w:rPr>
      </w:pPr>
      <w:r>
        <w:rPr>
          <w:rFonts w:hint="eastAsia" w:ascii="宋体" w:hAnsi="宋体"/>
          <w:sz w:val="24"/>
          <w:highlight w:val="none"/>
        </w:rPr>
        <w:t>（8）经评审的</w:t>
      </w:r>
      <w:r>
        <w:rPr>
          <w:rFonts w:hint="eastAsia" w:ascii="宋体" w:hAnsi="宋体"/>
          <w:sz w:val="24"/>
          <w:highlight w:val="none"/>
          <w:lang w:eastAsia="zh-CN"/>
        </w:rPr>
        <w:t>投标供应商</w:t>
      </w:r>
      <w:r>
        <w:rPr>
          <w:rFonts w:hint="eastAsia" w:ascii="宋体" w:hAnsi="宋体"/>
          <w:sz w:val="24"/>
          <w:highlight w:val="none"/>
        </w:rPr>
        <w:t>排序；</w:t>
      </w:r>
    </w:p>
    <w:p>
      <w:pPr>
        <w:adjustRightInd w:val="0"/>
        <w:snapToGrid w:val="0"/>
        <w:spacing w:line="441" w:lineRule="exact"/>
        <w:ind w:firstLine="480" w:firstLineChars="200"/>
        <w:outlineLvl w:val="9"/>
        <w:rPr>
          <w:rFonts w:ascii="宋体"/>
          <w:sz w:val="24"/>
          <w:highlight w:val="none"/>
        </w:rPr>
      </w:pPr>
      <w:r>
        <w:rPr>
          <w:rFonts w:hint="eastAsia" w:ascii="宋体" w:hAnsi="宋体"/>
          <w:sz w:val="24"/>
          <w:highlight w:val="none"/>
        </w:rPr>
        <w:t>（9）推荐的中标候选人名单(如果第二章“</w:t>
      </w:r>
      <w:r>
        <w:rPr>
          <w:rFonts w:hint="eastAsia" w:ascii="宋体" w:hAnsi="宋体"/>
          <w:sz w:val="24"/>
          <w:highlight w:val="none"/>
          <w:lang w:eastAsia="zh-CN"/>
        </w:rPr>
        <w:t>投标供应商</w:t>
      </w:r>
      <w:r>
        <w:rPr>
          <w:rFonts w:hint="eastAsia" w:ascii="宋体" w:hAnsi="宋体"/>
          <w:sz w:val="24"/>
          <w:highlight w:val="none"/>
        </w:rPr>
        <w:t>须知”前附表授权评标委员会直接确定中标人，则为“确定的中标人”)与签订合同前要处理的事宜；</w:t>
      </w:r>
    </w:p>
    <w:p>
      <w:pPr>
        <w:adjustRightInd w:val="0"/>
        <w:snapToGrid w:val="0"/>
        <w:spacing w:line="441" w:lineRule="exact"/>
        <w:ind w:firstLine="480" w:firstLineChars="200"/>
        <w:outlineLvl w:val="9"/>
        <w:rPr>
          <w:rFonts w:ascii="宋体"/>
          <w:sz w:val="24"/>
          <w:highlight w:val="none"/>
        </w:rPr>
      </w:pPr>
      <w:r>
        <w:rPr>
          <w:rFonts w:hint="eastAsia" w:ascii="宋体" w:hAnsi="宋体"/>
          <w:sz w:val="24"/>
          <w:highlight w:val="none"/>
        </w:rPr>
        <w:t>（10）澄清、说明、补正事项纪要。</w:t>
      </w:r>
    </w:p>
    <w:p>
      <w:pPr>
        <w:adjustRightInd w:val="0"/>
        <w:snapToGrid w:val="0"/>
        <w:spacing w:before="62" w:beforeLines="20" w:after="62" w:afterLines="20" w:line="441" w:lineRule="exact"/>
        <w:ind w:firstLine="480" w:firstLineChars="200"/>
        <w:outlineLvl w:val="9"/>
        <w:rPr>
          <w:rFonts w:ascii="宋体"/>
          <w:b/>
          <w:sz w:val="24"/>
          <w:highlight w:val="none"/>
        </w:rPr>
      </w:pPr>
      <w:r>
        <w:rPr>
          <w:rFonts w:hint="eastAsia" w:ascii="宋体" w:hAnsi="宋体"/>
          <w:b/>
          <w:sz w:val="24"/>
          <w:highlight w:val="none"/>
        </w:rPr>
        <w:t>A6.特殊情况的处置程序</w:t>
      </w:r>
    </w:p>
    <w:p>
      <w:pPr>
        <w:adjustRightInd w:val="0"/>
        <w:snapToGrid w:val="0"/>
        <w:spacing w:before="62" w:beforeLines="20" w:after="62" w:afterLines="20" w:line="440" w:lineRule="exact"/>
        <w:ind w:firstLine="480" w:firstLineChars="200"/>
        <w:outlineLvl w:val="9"/>
        <w:rPr>
          <w:rFonts w:ascii="宋体"/>
          <w:b/>
          <w:sz w:val="24"/>
          <w:highlight w:val="none"/>
        </w:rPr>
      </w:pPr>
      <w:r>
        <w:rPr>
          <w:rFonts w:hint="eastAsia" w:ascii="宋体" w:hAnsi="宋体"/>
          <w:b/>
          <w:sz w:val="24"/>
          <w:highlight w:val="none"/>
        </w:rPr>
        <w:t>A6.1 关于评标活动暂停</w:t>
      </w:r>
    </w:p>
    <w:p>
      <w:pPr>
        <w:adjustRightInd w:val="0"/>
        <w:snapToGrid w:val="0"/>
        <w:spacing w:line="440" w:lineRule="exact"/>
        <w:ind w:firstLine="480" w:firstLineChars="200"/>
        <w:outlineLvl w:val="9"/>
        <w:rPr>
          <w:rFonts w:ascii="宋体"/>
          <w:sz w:val="24"/>
          <w:highlight w:val="none"/>
        </w:rPr>
      </w:pPr>
      <w:r>
        <w:rPr>
          <w:rFonts w:hint="eastAsia" w:ascii="宋体" w:hAnsi="宋体"/>
          <w:sz w:val="24"/>
          <w:highlight w:val="none"/>
        </w:rPr>
        <w:t>A6.1.1评标委员会应当执行连续评标的原则，按评标办法中规定的程序、内容、方法、标准完成全部评标工作。只有发生不可抗力导致评标工作无法继续时，评标活动方可暂停。</w:t>
      </w:r>
    </w:p>
    <w:p>
      <w:pPr>
        <w:adjustRightInd w:val="0"/>
        <w:snapToGrid w:val="0"/>
        <w:spacing w:before="62" w:beforeLines="20" w:line="440" w:lineRule="exact"/>
        <w:ind w:firstLine="480" w:firstLineChars="200"/>
        <w:outlineLvl w:val="9"/>
        <w:rPr>
          <w:rFonts w:ascii="宋体"/>
          <w:sz w:val="24"/>
          <w:highlight w:val="none"/>
        </w:rPr>
      </w:pPr>
      <w:r>
        <w:rPr>
          <w:rFonts w:hint="eastAsia" w:ascii="宋体" w:hAnsi="宋体"/>
          <w:sz w:val="24"/>
          <w:highlight w:val="none"/>
        </w:rPr>
        <w:t>A6.1.2发生评标暂停情况时，评标委员会应当封存全部投标文件和评标记录，待不可抗力的影响结束且具备继续评标的条件时，由原评标委员会继续评标。</w:t>
      </w:r>
    </w:p>
    <w:p>
      <w:pPr>
        <w:adjustRightInd w:val="0"/>
        <w:snapToGrid w:val="0"/>
        <w:spacing w:line="440" w:lineRule="exact"/>
        <w:ind w:firstLine="480" w:firstLineChars="200"/>
        <w:outlineLvl w:val="9"/>
        <w:rPr>
          <w:rFonts w:ascii="宋体"/>
          <w:b/>
          <w:sz w:val="24"/>
          <w:highlight w:val="none"/>
        </w:rPr>
      </w:pPr>
      <w:r>
        <w:rPr>
          <w:rFonts w:hint="eastAsia" w:ascii="宋体" w:hAnsi="宋体"/>
          <w:b/>
          <w:sz w:val="24"/>
          <w:highlight w:val="none"/>
        </w:rPr>
        <w:t>A6.2 关于评标中途更换评委</w:t>
      </w:r>
    </w:p>
    <w:p>
      <w:pPr>
        <w:adjustRightInd w:val="0"/>
        <w:snapToGrid w:val="0"/>
        <w:spacing w:line="440" w:lineRule="exact"/>
        <w:ind w:firstLine="480" w:firstLineChars="200"/>
        <w:outlineLvl w:val="9"/>
        <w:rPr>
          <w:rFonts w:ascii="宋体"/>
          <w:sz w:val="24"/>
          <w:highlight w:val="none"/>
        </w:rPr>
      </w:pPr>
      <w:r>
        <w:rPr>
          <w:rFonts w:hint="eastAsia" w:ascii="宋体" w:hAnsi="宋体"/>
          <w:sz w:val="24"/>
          <w:highlight w:val="none"/>
        </w:rPr>
        <w:t>A6.2.1除非发生下列情况之一，评标委员会成员不得在评标中途更换：</w:t>
      </w:r>
    </w:p>
    <w:p>
      <w:pPr>
        <w:adjustRightInd w:val="0"/>
        <w:snapToGrid w:val="0"/>
        <w:spacing w:line="440" w:lineRule="exact"/>
        <w:ind w:firstLine="480" w:firstLineChars="200"/>
        <w:outlineLvl w:val="9"/>
        <w:rPr>
          <w:rFonts w:ascii="宋体"/>
          <w:sz w:val="24"/>
          <w:highlight w:val="none"/>
        </w:rPr>
      </w:pPr>
      <w:r>
        <w:rPr>
          <w:rFonts w:hint="eastAsia" w:ascii="宋体" w:hAnsi="宋体"/>
          <w:sz w:val="24"/>
          <w:highlight w:val="none"/>
        </w:rPr>
        <w:t>（1）因不可抗拒的客观原因，不能到场或需在评标中途退出评标活动。</w:t>
      </w:r>
    </w:p>
    <w:p>
      <w:pPr>
        <w:adjustRightInd w:val="0"/>
        <w:snapToGrid w:val="0"/>
        <w:spacing w:line="440" w:lineRule="exact"/>
        <w:ind w:firstLine="480" w:firstLineChars="200"/>
        <w:outlineLvl w:val="9"/>
        <w:rPr>
          <w:rFonts w:ascii="宋体"/>
          <w:sz w:val="24"/>
          <w:highlight w:val="none"/>
        </w:rPr>
      </w:pPr>
      <w:r>
        <w:rPr>
          <w:rFonts w:hint="eastAsia" w:ascii="宋体" w:hAnsi="宋体"/>
          <w:sz w:val="24"/>
          <w:highlight w:val="none"/>
        </w:rPr>
        <w:t>（2）根据法律法规规定，某个或某几个评标委员会成员需要回避。</w:t>
      </w:r>
    </w:p>
    <w:p>
      <w:pPr>
        <w:adjustRightInd w:val="0"/>
        <w:snapToGrid w:val="0"/>
        <w:spacing w:line="440" w:lineRule="exact"/>
        <w:ind w:firstLine="480" w:firstLineChars="200"/>
        <w:outlineLvl w:val="9"/>
        <w:rPr>
          <w:rFonts w:ascii="宋体"/>
          <w:sz w:val="24"/>
          <w:highlight w:val="none"/>
        </w:rPr>
      </w:pPr>
      <w:r>
        <w:rPr>
          <w:rFonts w:hint="eastAsia" w:ascii="宋体" w:hAnsi="宋体"/>
          <w:sz w:val="24"/>
          <w:highlight w:val="none"/>
        </w:rPr>
        <w:t>A6.2.2退出评标的评标委员会成员，其已完成的评标行为无效。由</w:t>
      </w:r>
      <w:r>
        <w:rPr>
          <w:rFonts w:hint="eastAsia" w:ascii="宋体" w:hAnsi="宋体"/>
          <w:sz w:val="24"/>
          <w:highlight w:val="none"/>
          <w:lang w:eastAsia="zh-CN"/>
        </w:rPr>
        <w:t>采购人</w:t>
      </w:r>
      <w:r>
        <w:rPr>
          <w:rFonts w:hint="eastAsia" w:ascii="宋体" w:hAnsi="宋体"/>
          <w:sz w:val="24"/>
          <w:highlight w:val="none"/>
        </w:rPr>
        <w:t>根据本招标文件规定的评标委员会成员生产方式另行确定替代者进行评标。</w:t>
      </w:r>
    </w:p>
    <w:p>
      <w:pPr>
        <w:adjustRightInd w:val="0"/>
        <w:snapToGrid w:val="0"/>
        <w:spacing w:before="62" w:beforeLines="20" w:after="62" w:afterLines="20" w:line="440" w:lineRule="exact"/>
        <w:ind w:firstLine="480" w:firstLineChars="200"/>
        <w:outlineLvl w:val="9"/>
        <w:rPr>
          <w:rFonts w:ascii="宋体"/>
          <w:b/>
          <w:sz w:val="24"/>
          <w:highlight w:val="none"/>
        </w:rPr>
      </w:pPr>
      <w:r>
        <w:rPr>
          <w:rFonts w:hint="eastAsia" w:ascii="宋体" w:hAnsi="宋体"/>
          <w:b/>
          <w:sz w:val="24"/>
          <w:highlight w:val="none"/>
        </w:rPr>
        <w:t>A6.3 记名投票</w:t>
      </w:r>
    </w:p>
    <w:p>
      <w:pPr>
        <w:adjustRightInd w:val="0"/>
        <w:snapToGrid w:val="0"/>
        <w:spacing w:line="440" w:lineRule="exact"/>
        <w:ind w:firstLine="480" w:firstLineChars="200"/>
        <w:outlineLvl w:val="9"/>
        <w:rPr>
          <w:rFonts w:ascii="宋体"/>
          <w:sz w:val="24"/>
          <w:highlight w:val="none"/>
        </w:rPr>
      </w:pPr>
      <w:r>
        <w:rPr>
          <w:rFonts w:hint="eastAsia" w:ascii="宋体" w:hAnsi="宋体"/>
          <w:sz w:val="24"/>
          <w:highlight w:val="none"/>
        </w:rPr>
        <w:t>在任何评标环节中，需评标委员会就某项定性的评审结论做出表决的，由评标委员会全体成员按照少数服从多数的原则，以记名投票方式表决。</w:t>
      </w:r>
    </w:p>
    <w:p>
      <w:pPr>
        <w:pageBreakBefore/>
        <w:spacing w:line="420" w:lineRule="exact"/>
        <w:outlineLvl w:val="9"/>
        <w:rPr>
          <w:rFonts w:ascii="宋体"/>
          <w:b/>
          <w:sz w:val="24"/>
          <w:highlight w:val="none"/>
        </w:rPr>
      </w:pPr>
      <w:bookmarkStart w:id="300" w:name="_Toc290389727"/>
      <w:bookmarkStart w:id="301" w:name="_Toc316543715"/>
      <w:r>
        <w:rPr>
          <w:rFonts w:hint="eastAsia" w:ascii="宋体" w:hAnsi="宋体"/>
          <w:b/>
          <w:sz w:val="24"/>
          <w:highlight w:val="none"/>
        </w:rPr>
        <w:t>附件B:无效标条件</w:t>
      </w:r>
      <w:bookmarkEnd w:id="300"/>
      <w:bookmarkEnd w:id="301"/>
    </w:p>
    <w:p>
      <w:pPr>
        <w:adjustRightInd w:val="0"/>
        <w:snapToGrid w:val="0"/>
        <w:spacing w:before="312" w:beforeLines="100" w:after="312" w:afterLines="100" w:line="440" w:lineRule="exact"/>
        <w:jc w:val="center"/>
        <w:outlineLvl w:val="9"/>
        <w:rPr>
          <w:rFonts w:ascii="宋体"/>
          <w:b/>
          <w:sz w:val="24"/>
          <w:highlight w:val="none"/>
        </w:rPr>
      </w:pPr>
      <w:r>
        <w:rPr>
          <w:rFonts w:hint="eastAsia" w:ascii="宋体" w:hAnsi="宋体"/>
          <w:b/>
          <w:sz w:val="24"/>
          <w:highlight w:val="none"/>
        </w:rPr>
        <w:t>无效标条件</w:t>
      </w:r>
    </w:p>
    <w:p>
      <w:pPr>
        <w:adjustRightInd w:val="0"/>
        <w:snapToGrid w:val="0"/>
        <w:spacing w:line="440" w:lineRule="exact"/>
        <w:ind w:firstLine="480" w:firstLineChars="200"/>
        <w:outlineLvl w:val="9"/>
        <w:rPr>
          <w:rFonts w:ascii="宋体"/>
          <w:b/>
          <w:sz w:val="24"/>
          <w:highlight w:val="none"/>
        </w:rPr>
      </w:pPr>
      <w:r>
        <w:rPr>
          <w:rFonts w:hint="eastAsia" w:ascii="宋体" w:hAnsi="宋体"/>
          <w:b/>
          <w:sz w:val="24"/>
          <w:highlight w:val="none"/>
        </w:rPr>
        <w:t>B0.总则</w:t>
      </w:r>
    </w:p>
    <w:p>
      <w:pPr>
        <w:adjustRightInd w:val="0"/>
        <w:snapToGrid w:val="0"/>
        <w:spacing w:line="440" w:lineRule="exact"/>
        <w:ind w:firstLine="480" w:firstLineChars="200"/>
        <w:outlineLvl w:val="9"/>
        <w:rPr>
          <w:rFonts w:ascii="宋体"/>
          <w:sz w:val="24"/>
          <w:highlight w:val="none"/>
        </w:rPr>
      </w:pPr>
      <w:r>
        <w:rPr>
          <w:rFonts w:hint="eastAsia" w:ascii="宋体" w:hAnsi="宋体"/>
          <w:sz w:val="24"/>
          <w:highlight w:val="none"/>
        </w:rPr>
        <w:t>本附件所集中列示的无效标条件，是本章“评标办法”的组成部分，是对第二章“</w:t>
      </w:r>
      <w:r>
        <w:rPr>
          <w:rFonts w:hint="eastAsia" w:ascii="宋体" w:hAnsi="宋体"/>
          <w:sz w:val="24"/>
          <w:highlight w:val="none"/>
          <w:lang w:eastAsia="zh-CN"/>
        </w:rPr>
        <w:t>投标供应商</w:t>
      </w:r>
      <w:r>
        <w:rPr>
          <w:rFonts w:hint="eastAsia" w:ascii="宋体" w:hAnsi="宋体"/>
          <w:sz w:val="24"/>
          <w:highlight w:val="none"/>
        </w:rPr>
        <w:t>须知”和本章正文部分所规定的无效标条件的总结和补充，如果出现相互矛盾的情况，以第二章“</w:t>
      </w:r>
      <w:r>
        <w:rPr>
          <w:rFonts w:hint="eastAsia" w:ascii="宋体" w:hAnsi="宋体"/>
          <w:sz w:val="24"/>
          <w:highlight w:val="none"/>
          <w:lang w:eastAsia="zh-CN"/>
        </w:rPr>
        <w:t>投标供应商</w:t>
      </w:r>
      <w:r>
        <w:rPr>
          <w:rFonts w:hint="eastAsia" w:ascii="宋体" w:hAnsi="宋体"/>
          <w:sz w:val="24"/>
          <w:highlight w:val="none"/>
        </w:rPr>
        <w:t>须知”和本章正文部分的规定为准。</w:t>
      </w:r>
    </w:p>
    <w:p>
      <w:pPr>
        <w:adjustRightInd w:val="0"/>
        <w:snapToGrid w:val="0"/>
        <w:spacing w:line="440" w:lineRule="exact"/>
        <w:ind w:firstLine="480" w:firstLineChars="200"/>
        <w:outlineLvl w:val="9"/>
        <w:rPr>
          <w:rFonts w:ascii="宋体"/>
          <w:b/>
          <w:sz w:val="24"/>
          <w:highlight w:val="none"/>
        </w:rPr>
      </w:pPr>
      <w:r>
        <w:rPr>
          <w:rFonts w:hint="eastAsia" w:ascii="宋体" w:hAnsi="宋体"/>
          <w:b/>
          <w:sz w:val="24"/>
          <w:highlight w:val="none"/>
        </w:rPr>
        <w:t>B1.无效标条件</w:t>
      </w:r>
    </w:p>
    <w:p>
      <w:pPr>
        <w:adjustRightInd w:val="0"/>
        <w:snapToGrid w:val="0"/>
        <w:spacing w:line="440" w:lineRule="exact"/>
        <w:ind w:firstLine="480" w:firstLineChars="200"/>
        <w:rPr>
          <w:rFonts w:hint="eastAsia" w:ascii="宋体" w:hAnsi="宋体"/>
          <w:sz w:val="24"/>
          <w:highlight w:val="none"/>
        </w:rPr>
      </w:pPr>
      <w:r>
        <w:rPr>
          <w:rFonts w:hint="eastAsia" w:ascii="宋体" w:hAnsi="宋体"/>
          <w:sz w:val="24"/>
          <w:highlight w:val="none"/>
          <w:lang w:eastAsia="zh-CN"/>
        </w:rPr>
        <w:t>投标供应商</w:t>
      </w:r>
      <w:r>
        <w:rPr>
          <w:rFonts w:hint="eastAsia" w:ascii="宋体" w:hAnsi="宋体"/>
          <w:sz w:val="24"/>
          <w:highlight w:val="none"/>
        </w:rPr>
        <w:t>或其投标文件有下列情形之一的，经评标委员会认定，其投标将被否决：</w:t>
      </w:r>
    </w:p>
    <w:p>
      <w:pPr>
        <w:adjustRightInd w:val="0"/>
        <w:snapToGrid w:val="0"/>
        <w:spacing w:line="440" w:lineRule="exact"/>
        <w:ind w:firstLine="480" w:firstLineChars="200"/>
        <w:rPr>
          <w:rFonts w:ascii="宋体"/>
          <w:sz w:val="24"/>
          <w:highlight w:val="none"/>
        </w:rPr>
      </w:pPr>
      <w:r>
        <w:rPr>
          <w:rFonts w:hint="eastAsia" w:ascii="宋体" w:hAnsi="宋体"/>
          <w:sz w:val="24"/>
          <w:highlight w:val="none"/>
        </w:rPr>
        <w:t>B1.1 有第二章“</w:t>
      </w:r>
      <w:r>
        <w:rPr>
          <w:rFonts w:hint="eastAsia" w:ascii="宋体" w:hAnsi="宋体"/>
          <w:sz w:val="24"/>
          <w:highlight w:val="none"/>
          <w:lang w:eastAsia="zh-CN"/>
        </w:rPr>
        <w:t>投标供应商</w:t>
      </w:r>
      <w:r>
        <w:rPr>
          <w:rFonts w:hint="eastAsia" w:ascii="宋体" w:hAnsi="宋体"/>
          <w:sz w:val="24"/>
          <w:highlight w:val="none"/>
        </w:rPr>
        <w:t>须知”第1.4.3项规定的任何一种情形的。</w:t>
      </w:r>
    </w:p>
    <w:p>
      <w:pPr>
        <w:adjustRightInd w:val="0"/>
        <w:snapToGrid w:val="0"/>
        <w:spacing w:line="440" w:lineRule="exact"/>
        <w:ind w:firstLine="480" w:firstLineChars="200"/>
        <w:rPr>
          <w:rFonts w:ascii="宋体"/>
          <w:sz w:val="24"/>
          <w:highlight w:val="none"/>
        </w:rPr>
      </w:pPr>
      <w:r>
        <w:rPr>
          <w:rFonts w:hint="eastAsia" w:ascii="宋体" w:hAnsi="宋体"/>
          <w:sz w:val="24"/>
          <w:highlight w:val="none"/>
        </w:rPr>
        <w:t>B1.2 有串通投标或弄虚作假或有其他违法行为的。</w:t>
      </w:r>
    </w:p>
    <w:p>
      <w:pPr>
        <w:adjustRightInd w:val="0"/>
        <w:snapToGrid w:val="0"/>
        <w:spacing w:line="440" w:lineRule="exact"/>
        <w:ind w:firstLine="480" w:firstLineChars="200"/>
        <w:rPr>
          <w:rFonts w:ascii="宋体"/>
          <w:sz w:val="24"/>
          <w:highlight w:val="none"/>
        </w:rPr>
      </w:pPr>
      <w:r>
        <w:rPr>
          <w:rFonts w:hint="eastAsia" w:ascii="宋体" w:hAnsi="宋体"/>
          <w:sz w:val="24"/>
          <w:highlight w:val="none"/>
        </w:rPr>
        <w:t>B1.3 不按评标委员会要求澄清、说明或补正的。</w:t>
      </w:r>
    </w:p>
    <w:p>
      <w:pPr>
        <w:adjustRightInd w:val="0"/>
        <w:snapToGrid w:val="0"/>
        <w:spacing w:line="440" w:lineRule="exact"/>
        <w:ind w:firstLine="480" w:firstLineChars="200"/>
        <w:rPr>
          <w:rFonts w:ascii="宋体"/>
          <w:sz w:val="24"/>
          <w:highlight w:val="none"/>
        </w:rPr>
      </w:pPr>
      <w:r>
        <w:rPr>
          <w:rFonts w:hint="eastAsia" w:ascii="宋体" w:hAnsi="宋体"/>
          <w:sz w:val="24"/>
          <w:highlight w:val="none"/>
        </w:rPr>
        <w:t>B1.4 在资格评审、</w:t>
      </w:r>
      <w:r>
        <w:rPr>
          <w:rFonts w:hint="eastAsia" w:ascii="宋体" w:hAnsi="宋体"/>
          <w:sz w:val="24"/>
          <w:highlight w:val="none"/>
          <w:lang w:val="en-US" w:eastAsia="zh-CN"/>
        </w:rPr>
        <w:t>符合</w:t>
      </w:r>
      <w:r>
        <w:rPr>
          <w:rFonts w:hint="eastAsia" w:ascii="宋体" w:hAnsi="宋体"/>
          <w:sz w:val="24"/>
          <w:highlight w:val="none"/>
        </w:rPr>
        <w:t>性评审中，评标委员会认定</w:t>
      </w:r>
      <w:r>
        <w:rPr>
          <w:rFonts w:hint="eastAsia" w:ascii="宋体" w:hAnsi="宋体"/>
          <w:sz w:val="24"/>
          <w:highlight w:val="none"/>
          <w:lang w:eastAsia="zh-CN"/>
        </w:rPr>
        <w:t>投标供应商</w:t>
      </w:r>
      <w:r>
        <w:rPr>
          <w:rFonts w:hint="eastAsia" w:ascii="宋体" w:hAnsi="宋体"/>
          <w:sz w:val="24"/>
          <w:highlight w:val="none"/>
        </w:rPr>
        <w:t>的投标不符合评标办法前附表中规定的任何一项评审标准的。</w:t>
      </w:r>
    </w:p>
    <w:p>
      <w:pPr>
        <w:adjustRightInd w:val="0"/>
        <w:snapToGrid w:val="0"/>
        <w:spacing w:line="440" w:lineRule="exact"/>
        <w:ind w:firstLine="480" w:firstLineChars="200"/>
        <w:rPr>
          <w:rFonts w:ascii="宋体"/>
          <w:sz w:val="24"/>
          <w:highlight w:val="none"/>
        </w:rPr>
      </w:pPr>
      <w:r>
        <w:rPr>
          <w:rFonts w:hint="eastAsia" w:ascii="宋体" w:hAnsi="宋体"/>
          <w:sz w:val="24"/>
          <w:highlight w:val="none"/>
        </w:rPr>
        <w:t>B1.</w:t>
      </w:r>
      <w:r>
        <w:rPr>
          <w:rFonts w:hint="eastAsia" w:ascii="宋体" w:hAnsi="宋体"/>
          <w:sz w:val="24"/>
          <w:highlight w:val="none"/>
          <w:lang w:val="en-US" w:eastAsia="zh-CN"/>
        </w:rPr>
        <w:t>5</w:t>
      </w:r>
      <w:r>
        <w:rPr>
          <w:rFonts w:hint="eastAsia" w:ascii="宋体" w:hAnsi="宋体"/>
          <w:sz w:val="24"/>
          <w:highlight w:val="none"/>
        </w:rPr>
        <w:t xml:space="preserve"> 在技术标评审中，评标委员会认定</w:t>
      </w:r>
      <w:r>
        <w:rPr>
          <w:rFonts w:hint="eastAsia" w:ascii="宋体" w:hAnsi="宋体"/>
          <w:sz w:val="24"/>
          <w:highlight w:val="none"/>
          <w:lang w:eastAsia="zh-CN"/>
        </w:rPr>
        <w:t>投标供应商</w:t>
      </w:r>
      <w:r>
        <w:rPr>
          <w:rFonts w:hint="eastAsia" w:ascii="宋体" w:hAnsi="宋体"/>
          <w:sz w:val="24"/>
          <w:highlight w:val="none"/>
        </w:rPr>
        <w:t>的投标未能通过此项评审的。</w:t>
      </w:r>
    </w:p>
    <w:p>
      <w:pPr>
        <w:adjustRightInd w:val="0"/>
        <w:snapToGrid w:val="0"/>
        <w:spacing w:line="440" w:lineRule="exact"/>
        <w:ind w:firstLine="480" w:firstLineChars="200"/>
        <w:rPr>
          <w:rFonts w:ascii="宋体"/>
          <w:sz w:val="24"/>
          <w:highlight w:val="none"/>
        </w:rPr>
      </w:pPr>
      <w:r>
        <w:rPr>
          <w:rFonts w:hint="eastAsia" w:ascii="宋体" w:hAnsi="宋体"/>
          <w:sz w:val="24"/>
          <w:highlight w:val="none"/>
        </w:rPr>
        <w:t>B1.</w:t>
      </w:r>
      <w:r>
        <w:rPr>
          <w:rFonts w:hint="eastAsia" w:ascii="宋体" w:hAnsi="宋体"/>
          <w:sz w:val="24"/>
          <w:highlight w:val="none"/>
          <w:lang w:val="en-US" w:eastAsia="zh-CN"/>
        </w:rPr>
        <w:t>6</w:t>
      </w:r>
      <w:r>
        <w:rPr>
          <w:rFonts w:hint="eastAsia" w:ascii="宋体" w:hAnsi="宋体"/>
          <w:sz w:val="24"/>
          <w:highlight w:val="none"/>
        </w:rPr>
        <w:t xml:space="preserve"> 评标委员会认定</w:t>
      </w:r>
      <w:r>
        <w:rPr>
          <w:rFonts w:hint="eastAsia" w:ascii="宋体" w:hAnsi="宋体"/>
          <w:sz w:val="24"/>
          <w:highlight w:val="none"/>
          <w:lang w:eastAsia="zh-CN"/>
        </w:rPr>
        <w:t>投标供应商</w:t>
      </w:r>
      <w:r>
        <w:rPr>
          <w:rFonts w:hint="eastAsia" w:ascii="宋体" w:hAnsi="宋体"/>
          <w:sz w:val="24"/>
          <w:highlight w:val="none"/>
        </w:rPr>
        <w:t>以低于成本报价竞标的。</w:t>
      </w:r>
    </w:p>
    <w:p>
      <w:pPr>
        <w:spacing w:line="430" w:lineRule="exact"/>
        <w:ind w:firstLine="480" w:firstLineChars="200"/>
        <w:rPr>
          <w:rFonts w:hint="eastAsia" w:ascii="宋体" w:hAnsi="宋体"/>
          <w:sz w:val="24"/>
          <w:highlight w:val="none"/>
        </w:rPr>
      </w:pPr>
      <w:r>
        <w:rPr>
          <w:rFonts w:hint="eastAsia" w:ascii="宋体" w:hAnsi="宋体"/>
          <w:sz w:val="24"/>
          <w:highlight w:val="none"/>
        </w:rPr>
        <w:t>B1.</w:t>
      </w:r>
      <w:r>
        <w:rPr>
          <w:rFonts w:hint="eastAsia" w:ascii="宋体" w:hAnsi="宋体"/>
          <w:sz w:val="24"/>
          <w:highlight w:val="none"/>
          <w:lang w:val="en-US" w:eastAsia="zh-CN"/>
        </w:rPr>
        <w:t>7</w:t>
      </w:r>
      <w:r>
        <w:rPr>
          <w:rFonts w:hint="eastAsia" w:ascii="宋体" w:hAnsi="宋体"/>
          <w:sz w:val="24"/>
          <w:highlight w:val="none"/>
        </w:rPr>
        <w:t xml:space="preserve"> 其他经评委会确认的未能实质性响应招标文件要求的投标。</w:t>
      </w:r>
    </w:p>
    <w:p>
      <w:pPr>
        <w:pStyle w:val="6"/>
        <w:spacing w:before="120" w:after="120" w:line="400" w:lineRule="exact"/>
        <w:jc w:val="center"/>
        <w:rPr>
          <w:rFonts w:hint="eastAsia" w:ascii="黑体" w:hAnsi="黑体" w:eastAsia="黑体"/>
          <w:b w:val="0"/>
          <w:bCs w:val="0"/>
          <w:sz w:val="32"/>
          <w:highlight w:val="none"/>
        </w:rPr>
      </w:pPr>
      <w:r>
        <w:rPr>
          <w:rFonts w:hint="eastAsia" w:ascii="宋体" w:hAnsi="宋体"/>
          <w:sz w:val="24"/>
          <w:highlight w:val="none"/>
        </w:rPr>
        <w:br w:type="page"/>
      </w:r>
      <w:bookmarkEnd w:id="294"/>
      <w:bookmarkEnd w:id="295"/>
      <w:bookmarkEnd w:id="296"/>
      <w:bookmarkEnd w:id="297"/>
      <w:bookmarkStart w:id="302" w:name="_Toc179632627"/>
      <w:bookmarkStart w:id="303" w:name="_Toc19661"/>
      <w:bookmarkStart w:id="304" w:name="_Toc144974577"/>
      <w:bookmarkStart w:id="305" w:name="_Toc152045609"/>
      <w:bookmarkStart w:id="306" w:name="_Toc152042387"/>
      <w:bookmarkStart w:id="307" w:name="_Toc6779"/>
      <w:bookmarkStart w:id="308" w:name="_Toc179632789"/>
      <w:bookmarkStart w:id="309" w:name="_Toc144974834"/>
      <w:bookmarkStart w:id="310" w:name="_Toc152045772"/>
      <w:bookmarkStart w:id="311" w:name="_Toc152042554"/>
      <w:r>
        <w:rPr>
          <w:rStyle w:val="53"/>
          <w:rFonts w:hint="eastAsia" w:ascii="黑体" w:hAnsi="黑体" w:eastAsia="黑体" w:cs="黑体"/>
          <w:b/>
          <w:bCs/>
          <w:sz w:val="32"/>
          <w:szCs w:val="32"/>
          <w:highlight w:val="none"/>
          <w:lang w:val="en-US" w:eastAsia="zh-CN" w:bidi="ar-SA"/>
        </w:rPr>
        <w:t>第四章 合同条款及格式</w:t>
      </w:r>
      <w:bookmarkEnd w:id="302"/>
      <w:bookmarkEnd w:id="303"/>
      <w:bookmarkEnd w:id="304"/>
      <w:bookmarkEnd w:id="305"/>
      <w:bookmarkEnd w:id="306"/>
      <w:bookmarkEnd w:id="307"/>
    </w:p>
    <w:p>
      <w:pPr>
        <w:jc w:val="left"/>
        <w:rPr>
          <w:rFonts w:ascii="Times New Roman" w:hAnsi="Times New Roman" w:eastAsia="仿宋_GB2312"/>
          <w:bCs/>
          <w:color w:val="000000"/>
          <w:sz w:val="32"/>
          <w:szCs w:val="32"/>
          <w:highlight w:val="none"/>
        </w:rPr>
      </w:pPr>
      <w:r>
        <w:rPr>
          <w:rFonts w:ascii="Times New Roman" w:hAnsi="Times New Roman" w:eastAsia="仿宋_GB2312"/>
          <w:bCs/>
          <w:color w:val="000000"/>
          <w:sz w:val="32"/>
          <w:szCs w:val="32"/>
          <w:highlight w:val="none"/>
        </w:rPr>
        <w:t>（GF—201</w:t>
      </w:r>
      <w:r>
        <w:rPr>
          <w:rFonts w:hint="eastAsia" w:ascii="Times New Roman" w:hAnsi="Times New Roman" w:eastAsia="仿宋_GB2312"/>
          <w:bCs/>
          <w:color w:val="000000"/>
          <w:sz w:val="32"/>
          <w:szCs w:val="32"/>
          <w:highlight w:val="none"/>
          <w:lang w:val="en-US" w:eastAsia="zh-CN"/>
        </w:rPr>
        <w:t>7</w:t>
      </w:r>
      <w:r>
        <w:rPr>
          <w:rFonts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0201</w:t>
      </w:r>
      <w:r>
        <w:rPr>
          <w:rFonts w:hint="eastAsia" w:ascii="Times New Roman" w:hAnsi="Times New Roman" w:eastAsia="仿宋_GB2312"/>
          <w:bCs/>
          <w:color w:val="000000"/>
          <w:sz w:val="32"/>
          <w:szCs w:val="32"/>
          <w:highlight w:val="none"/>
        </w:rPr>
        <w:t>）</w:t>
      </w:r>
    </w:p>
    <w:p>
      <w:pPr>
        <w:jc w:val="center"/>
        <w:rPr>
          <w:rFonts w:ascii="Times New Roman" w:hAnsi="Times New Roman" w:eastAsia="华文中宋"/>
          <w:b/>
          <w:color w:val="000000"/>
          <w:sz w:val="52"/>
          <w:szCs w:val="52"/>
          <w:highlight w:val="none"/>
        </w:rPr>
      </w:pPr>
    </w:p>
    <w:p>
      <w:pPr>
        <w:jc w:val="center"/>
        <w:rPr>
          <w:rFonts w:ascii="Times New Roman" w:hAnsi="Times New Roman" w:eastAsia="华文中宋"/>
          <w:b/>
          <w:color w:val="000000"/>
          <w:sz w:val="52"/>
          <w:szCs w:val="52"/>
          <w:highlight w:val="none"/>
        </w:rPr>
      </w:pPr>
    </w:p>
    <w:p>
      <w:pPr>
        <w:jc w:val="center"/>
        <w:rPr>
          <w:rFonts w:ascii="Times New Roman" w:hAnsi="Times New Roman" w:eastAsia="华文中宋"/>
          <w:b/>
          <w:color w:val="000000"/>
          <w:sz w:val="52"/>
          <w:szCs w:val="52"/>
          <w:highlight w:val="none"/>
        </w:rPr>
      </w:pPr>
    </w:p>
    <w:p>
      <w:pPr>
        <w:jc w:val="center"/>
        <w:rPr>
          <w:rFonts w:ascii="Times New Roman" w:hAnsi="Times New Roman" w:eastAsia="华文中宋"/>
          <w:b/>
          <w:color w:val="000000"/>
          <w:sz w:val="52"/>
          <w:szCs w:val="52"/>
          <w:highlight w:val="none"/>
        </w:rPr>
      </w:pPr>
    </w:p>
    <w:p>
      <w:pPr>
        <w:jc w:val="center"/>
        <w:rPr>
          <w:rFonts w:ascii="Times New Roman" w:hAnsi="Times New Roman" w:eastAsia="华文中宋"/>
          <w:b/>
          <w:color w:val="000000"/>
          <w:sz w:val="52"/>
          <w:szCs w:val="52"/>
          <w:highlight w:val="none"/>
        </w:rPr>
      </w:pPr>
      <w:r>
        <w:rPr>
          <w:rFonts w:ascii="Times New Roman" w:hAnsi="Times New Roman" w:eastAsia="华文中宋"/>
          <w:b/>
          <w:color w:val="000000"/>
          <w:sz w:val="72"/>
          <w:szCs w:val="52"/>
          <w:highlight w:val="none"/>
        </w:rPr>
        <w:t>建设工程施工合同</w:t>
      </w:r>
      <w:r>
        <w:rPr>
          <w:rFonts w:ascii="Times New Roman" w:hAnsi="Times New Roman" w:eastAsia="华文中宋"/>
          <w:b/>
          <w:color w:val="000000"/>
          <w:sz w:val="52"/>
          <w:szCs w:val="52"/>
          <w:highlight w:val="none"/>
        </w:rPr>
        <w:br w:type="textWrapping"/>
      </w:r>
      <w:r>
        <w:rPr>
          <w:rFonts w:ascii="Times New Roman" w:hAnsi="Times New Roman" w:eastAsia="华文中宋"/>
          <w:b/>
          <w:color w:val="000000"/>
          <w:sz w:val="52"/>
          <w:szCs w:val="52"/>
          <w:highlight w:val="none"/>
        </w:rPr>
        <w:t>（示范文本）</w:t>
      </w:r>
    </w:p>
    <w:p>
      <w:pPr>
        <w:jc w:val="center"/>
        <w:rPr>
          <w:rFonts w:ascii="Times New Roman" w:hAnsi="Times New Roman" w:eastAsia="华文中宋"/>
          <w:b/>
          <w:color w:val="000000"/>
          <w:sz w:val="52"/>
          <w:szCs w:val="52"/>
          <w:highlight w:val="none"/>
        </w:rPr>
      </w:pPr>
    </w:p>
    <w:p>
      <w:pPr>
        <w:jc w:val="center"/>
        <w:rPr>
          <w:rFonts w:ascii="Times New Roman" w:hAnsi="Times New Roman" w:eastAsia="黑体"/>
          <w:b/>
          <w:color w:val="000000"/>
          <w:sz w:val="72"/>
          <w:szCs w:val="72"/>
          <w:highlight w:val="none"/>
        </w:rPr>
      </w:pPr>
    </w:p>
    <w:p>
      <w:pPr>
        <w:jc w:val="center"/>
        <w:rPr>
          <w:rFonts w:ascii="Times New Roman" w:hAnsi="Times New Roman" w:eastAsia="楷体_GB2312"/>
          <w:b/>
          <w:color w:val="000000"/>
          <w:sz w:val="72"/>
          <w:szCs w:val="72"/>
          <w:highlight w:val="none"/>
        </w:rPr>
      </w:pPr>
    </w:p>
    <w:p>
      <w:pPr>
        <w:jc w:val="center"/>
        <w:rPr>
          <w:rFonts w:ascii="Times New Roman" w:hAnsi="Times New Roman" w:eastAsia="黑体"/>
          <w:b/>
          <w:color w:val="000000"/>
          <w:sz w:val="52"/>
          <w:szCs w:val="52"/>
          <w:highlight w:val="none"/>
        </w:rPr>
      </w:pPr>
    </w:p>
    <w:p>
      <w:pPr>
        <w:rPr>
          <w:rFonts w:ascii="Times New Roman" w:hAnsi="Times New Roman"/>
          <w:b/>
          <w:color w:val="000000"/>
          <w:sz w:val="28"/>
          <w:szCs w:val="28"/>
          <w:highlight w:val="none"/>
        </w:rPr>
      </w:pPr>
    </w:p>
    <w:p>
      <w:pPr>
        <w:rPr>
          <w:rFonts w:ascii="Times New Roman" w:hAnsi="Times New Roman"/>
          <w:b/>
          <w:color w:val="000000"/>
          <w:sz w:val="28"/>
          <w:szCs w:val="28"/>
          <w:highlight w:val="none"/>
        </w:rPr>
      </w:pPr>
    </w:p>
    <w:p>
      <w:pPr>
        <w:rPr>
          <w:rFonts w:ascii="Times New Roman" w:hAnsi="Times New Roman"/>
          <w:b/>
          <w:color w:val="000000"/>
          <w:sz w:val="28"/>
          <w:szCs w:val="28"/>
          <w:highlight w:val="none"/>
        </w:rPr>
      </w:pPr>
    </w:p>
    <w:p>
      <w:pPr>
        <w:rPr>
          <w:rFonts w:ascii="Times New Roman" w:hAnsi="Times New Roman"/>
          <w:b/>
          <w:color w:val="000000"/>
          <w:sz w:val="28"/>
          <w:szCs w:val="28"/>
          <w:highlight w:val="none"/>
        </w:rPr>
      </w:pPr>
    </w:p>
    <w:p>
      <w:pPr>
        <w:rPr>
          <w:rFonts w:ascii="Times New Roman" w:hAnsi="Times New Roman"/>
          <w:b/>
          <w:color w:val="000000"/>
          <w:sz w:val="28"/>
          <w:szCs w:val="28"/>
          <w:highlight w:val="none"/>
        </w:rPr>
      </w:pPr>
    </w:p>
    <w:p>
      <w:pPr>
        <w:ind w:right="2719" w:rightChars="1295" w:firstLine="2738" w:firstLineChars="1304"/>
        <w:jc w:val="distribute"/>
        <w:rPr>
          <w:rFonts w:ascii="Times New Roman" w:hAnsi="Times New Roman"/>
          <w:b/>
          <w:color w:val="000000"/>
          <w:sz w:val="32"/>
          <w:szCs w:val="28"/>
          <w:highlight w:val="none"/>
        </w:rPr>
      </w:pPr>
      <w:r>
        <w:rPr>
          <w:rFonts w:ascii="Times New Roman" w:hAnsi="Times New Roman"/>
          <w:highlight w:val="none"/>
        </w:rPr>
        <mc:AlternateContent>
          <mc:Choice Requires="wps">
            <w:drawing>
              <wp:anchor distT="0" distB="0" distL="114300" distR="114300" simplePos="0" relativeHeight="251661312" behindDoc="0" locked="0" layoutInCell="1" allowOverlap="1">
                <wp:simplePos x="0" y="0"/>
                <wp:positionH relativeFrom="column">
                  <wp:posOffset>4658360</wp:posOffset>
                </wp:positionH>
                <wp:positionV relativeFrom="paragraph">
                  <wp:posOffset>162560</wp:posOffset>
                </wp:positionV>
                <wp:extent cx="723900" cy="4572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wrap="square" upright="1"/>
                    </wps:wsp>
                  </a:graphicData>
                </a:graphic>
              </wp:anchor>
            </w:drawing>
          </mc:Choice>
          <mc:Fallback>
            <w:pict>
              <v:shape id="文本框 16" o:spid="_x0000_s1026" o:spt="202" type="#_x0000_t202" style="position:absolute;left:0pt;margin-left:366.8pt;margin-top:12.8pt;height:36pt;width:57pt;z-index:251661312;mso-width-relative:page;mso-height-relative:page;" filled="f" stroked="t" coordsize="21600,21600" o:gfxdata="UEsDBAoAAAAAAIdO4kAAAAAAAAAAAAAAAAAEAAAAZHJzL1BLAwQUAAAACACHTuJA0TztV9kAAAAJ&#10;AQAADwAAAGRycy9kb3ducmV2LnhtbE2PzU7DMBCE70i8g7VIXCrq9Ic0hDg9IHHgUEpLH8CNlzgQ&#10;r6PYScrbs5zgNLua0ey3xfbiWjFiHxpPChbzBARS5U1DtYLT+/NdBiJETUa3nlDBNwbYltdXhc6N&#10;n+iA4zHWgkso5FqBjbHLpQyVRafD3HdI7H343unIa19L0+uJy10rl0mSSqcb4gtWd/hksfo6Dk7B&#10;4cW+zWi927VGjunn6XXYT9lMqdubRfIIIuIl/oXhF5/RoWSmsx/IBNEq2KxWKUcVLO9ZOZCtNzyc&#10;FTywyrKQ/z8ofwBQSwMEFAAAAAgAh07iQO1YswcPAgAAGwQAAA4AAABkcnMvZTJvRG9jLnhtbK1T&#10;S5LTMBDdU8UdVNoTJ4HMMK44UwUhbCigauAAHVm2VaUfaiV2LgA3YMWG/Zwr56AlhwwMmyzwwm6r&#10;n173e2otbwej2V4GVM5WfDaZciatcLWybcU/f9o8e8kZRrA1aGdlxQ8S+e3q6ZNl70s5d53TtQyM&#10;SCyWva94F6MviwJFJw3gxHlpKdm4YCDSb2iLOkBP7EYX8+n0quhdqH1wQiLS6npM8hNjuITQNY0S&#10;cu3EzkgbR9YgNUSShJ3yyFe526aRIn5oGpSR6YqT0pjfVITibXoXqyWUbQDfKXFqAS5p4ZEmA8pS&#10;0TPVGiKwXVD/UBklgkPXxIlwphiFZEdIxWz6yJu7DrzMWshq9GfT8f/Rivf7j4GpmiaBMwuGDvz4&#10;/dvxx/3x51c2u0r+9B5Lgt15AsbhlRsS9rSOtJhkD00w6UuCGOXJ3cPZXTlEJmjxev78ZkoZQakX&#10;i2uahcRSPGz2AeNb6QxLQcUDHV72FPbvMI7Q35BUy7qN0prWodSW9RW/WcwXRA80lA0NA4XGkzC0&#10;baZBp1WdtqQdGNrtax3YHmgwNvk5dfMXLNVbA3YjLqcSDEqjogw56iTUb2zN4sGTeZbuDE/NGFlz&#10;piVdsRRlZASlL0GSJdqSM8n40eAUxWE7EE0Kt64+0GH0NLYk78sOAtXc+aDajnzLh5M308xkg0/z&#10;nYbyz/9c4uFOr3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TztV9kAAAAJAQAADwAAAAAAAAAB&#10;ACAAAAAiAAAAZHJzL2Rvd25yZXYueG1sUEsBAhQAFAAAAAgAh07iQO1YswcPAgAAGwQAAA4AAAAA&#10;AAAAAQAgAAAAKAEAAGRycy9lMm9Eb2MueG1sUEsFBgAAAAAGAAYAWQEAAKk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ascii="Times New Roman" w:hAnsi="Times New Roman"/>
          <w:b/>
          <w:color w:val="000000"/>
          <w:sz w:val="32"/>
          <w:szCs w:val="28"/>
          <w:highlight w:val="none"/>
        </w:rPr>
        <w:t>住房城乡建设部</w:t>
      </w:r>
    </w:p>
    <w:p>
      <w:pPr>
        <w:ind w:right="2719" w:rightChars="1295" w:firstLine="2739" w:firstLineChars="856"/>
        <w:jc w:val="distribute"/>
        <w:rPr>
          <w:rFonts w:ascii="Times New Roman" w:hAnsi="Times New Roman"/>
          <w:b/>
          <w:color w:val="000000"/>
          <w:sz w:val="32"/>
          <w:szCs w:val="28"/>
          <w:highlight w:val="none"/>
        </w:rPr>
      </w:pPr>
      <w:r>
        <w:rPr>
          <w:rFonts w:ascii="Times New Roman" w:hAnsi="Times New Roman"/>
          <w:b/>
          <w:color w:val="000000"/>
          <w:sz w:val="32"/>
          <w:szCs w:val="28"/>
          <w:highlight w:val="none"/>
        </w:rPr>
        <w:t>国家工商行政管理总局</w:t>
      </w:r>
    </w:p>
    <w:p>
      <w:pPr>
        <w:spacing w:line="360" w:lineRule="auto"/>
        <w:jc w:val="center"/>
        <w:outlineLvl w:val="1"/>
        <w:rPr>
          <w:rFonts w:hint="eastAsia" w:ascii="黑体" w:hAnsi="??" w:eastAsia="黑体" w:cs="??"/>
          <w:b w:val="0"/>
          <w:bCs/>
          <w:sz w:val="32"/>
          <w:szCs w:val="32"/>
          <w:highlight w:val="none"/>
        </w:rPr>
      </w:pPr>
      <w:r>
        <w:rPr>
          <w:highlight w:val="none"/>
        </w:rPr>
        <w:br w:type="page"/>
      </w:r>
      <w:bookmarkStart w:id="312" w:name="_Toc12488"/>
      <w:bookmarkStart w:id="313" w:name="_Toc17560"/>
      <w:bookmarkStart w:id="314" w:name="_Toc296503025"/>
      <w:bookmarkStart w:id="315" w:name="_Toc296890982"/>
      <w:bookmarkStart w:id="316" w:name="_Toc351203480"/>
      <w:r>
        <w:rPr>
          <w:rFonts w:hint="eastAsia" w:ascii="黑体" w:hAnsi="??" w:eastAsia="黑体" w:cs="??"/>
          <w:b w:val="0"/>
          <w:bCs/>
          <w:sz w:val="32"/>
          <w:szCs w:val="32"/>
          <w:highlight w:val="none"/>
        </w:rPr>
        <w:t>第一部分 合同协议书</w:t>
      </w:r>
      <w:bookmarkEnd w:id="312"/>
      <w:bookmarkEnd w:id="313"/>
      <w:bookmarkEnd w:id="314"/>
      <w:bookmarkEnd w:id="315"/>
      <w:bookmarkEnd w:id="316"/>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发包人（全称）</w:t>
      </w:r>
      <w:r>
        <w:rPr>
          <w:rFonts w:hint="eastAsia" w:ascii="宋体" w:hAnsi="宋体" w:eastAsia="宋体" w:cs="宋体"/>
          <w:sz w:val="24"/>
          <w:szCs w:val="24"/>
          <w:highlight w:val="none"/>
          <w:u w:val="none"/>
          <w:lang w:val="zh-CN"/>
        </w:rPr>
        <w:t>：</w:t>
      </w:r>
      <w:r>
        <w:rPr>
          <w:rFonts w:hint="eastAsia" w:ascii="宋体" w:hAnsi="宋体" w:eastAsia="宋体" w:cs="宋体"/>
          <w:sz w:val="24"/>
          <w:szCs w:val="24"/>
          <w:highlight w:val="none"/>
          <w:u w:val="single"/>
          <w:lang w:val="zh-CN"/>
        </w:rPr>
        <w:t>                       </w:t>
      </w:r>
    </w:p>
    <w:p>
      <w:pPr>
        <w:spacing w:line="360" w:lineRule="auto"/>
        <w:ind w:firstLine="480" w:firstLineChars="200"/>
        <w:rPr>
          <w:rFonts w:hint="eastAsia" w:ascii="宋体" w:hAnsi="宋体" w:eastAsia="宋体" w:cs="宋体"/>
          <w:sz w:val="24"/>
          <w:szCs w:val="24"/>
          <w:highlight w:val="none"/>
          <w:u w:val="single"/>
          <w:lang w:val="zh-CN"/>
        </w:rPr>
      </w:pPr>
      <w:r>
        <w:rPr>
          <w:rFonts w:hint="eastAsia" w:ascii="宋体" w:hAnsi="宋体" w:eastAsia="宋体" w:cs="宋体"/>
          <w:sz w:val="24"/>
          <w:szCs w:val="24"/>
          <w:highlight w:val="none"/>
          <w:lang w:val="zh-CN"/>
        </w:rPr>
        <w:t>承包人（全称）：</w:t>
      </w:r>
      <w:r>
        <w:rPr>
          <w:rFonts w:hint="eastAsia" w:ascii="宋体" w:hAnsi="宋体" w:eastAsia="宋体" w:cs="宋体"/>
          <w:sz w:val="24"/>
          <w:szCs w:val="24"/>
          <w:highlight w:val="none"/>
          <w:u w:val="single"/>
          <w:lang w:val="zh-CN"/>
        </w:rPr>
        <w:t xml:space="preserve">              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zh-CN"/>
        </w:rPr>
        <w:t xml:space="preserve">    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根据《中华人民共和国合同法》、《中华人民共和国建筑法》及有关法律规定，遵循平等、自愿、公平和诚实信用的原则，双方就</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工程施工及有关事项协商一致，共同达成如下协议：</w:t>
      </w:r>
    </w:p>
    <w:p>
      <w:pPr>
        <w:spacing w:line="360" w:lineRule="auto"/>
        <w:ind w:firstLine="480" w:firstLineChars="200"/>
        <w:rPr>
          <w:rFonts w:hint="eastAsia" w:ascii="宋体" w:hAnsi="宋体" w:eastAsia="宋体" w:cs="宋体"/>
          <w:sz w:val="24"/>
          <w:szCs w:val="24"/>
          <w:highlight w:val="none"/>
          <w:lang w:val="zh-CN"/>
        </w:rPr>
      </w:pPr>
      <w:bookmarkStart w:id="317" w:name="_Toc351203481"/>
      <w:r>
        <w:rPr>
          <w:rFonts w:hint="eastAsia" w:ascii="宋体" w:hAnsi="宋体" w:eastAsia="宋体" w:cs="宋体"/>
          <w:sz w:val="24"/>
          <w:szCs w:val="24"/>
          <w:highlight w:val="none"/>
          <w:lang w:val="zh-CN"/>
        </w:rPr>
        <w:t>一、工程概况</w:t>
      </w:r>
      <w:bookmarkEnd w:id="317"/>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1.工程名称：</w:t>
      </w:r>
      <w:r>
        <w:rPr>
          <w:rFonts w:hint="eastAsia" w:ascii="宋体" w:hAnsi="宋体" w:eastAsia="宋体" w:cs="宋体"/>
          <w:sz w:val="24"/>
          <w:szCs w:val="24"/>
          <w:highlight w:val="none"/>
          <w:u w:val="single"/>
          <w:lang w:val="zh-CN"/>
        </w:rPr>
        <w:t>                       </w:t>
      </w:r>
      <w:r>
        <w:rPr>
          <w:rFonts w:hint="eastAsia" w:ascii="宋体" w:hAnsi="宋体" w:eastAsia="宋体" w:cs="宋体"/>
          <w:sz w:val="24"/>
          <w:szCs w:val="24"/>
          <w:highlight w:val="none"/>
          <w:lang w:val="zh-CN"/>
        </w:rPr>
        <w:t>。</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2.工程地点：</w:t>
      </w:r>
      <w:r>
        <w:rPr>
          <w:rFonts w:hint="eastAsia" w:ascii="宋体" w:hAnsi="宋体" w:eastAsia="宋体" w:cs="宋体"/>
          <w:sz w:val="24"/>
          <w:szCs w:val="24"/>
          <w:highlight w:val="none"/>
          <w:u w:val="single"/>
          <w:lang w:val="zh-CN"/>
        </w:rPr>
        <w:t>                       </w:t>
      </w:r>
      <w:r>
        <w:rPr>
          <w:rFonts w:hint="eastAsia" w:ascii="宋体" w:hAnsi="宋体" w:eastAsia="宋体" w:cs="宋体"/>
          <w:sz w:val="24"/>
          <w:szCs w:val="24"/>
          <w:highlight w:val="none"/>
          <w:lang w:val="zh-CN"/>
        </w:rPr>
        <w:t>。</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3.工程立项批准文号：</w:t>
      </w:r>
      <w:r>
        <w:rPr>
          <w:rFonts w:hint="eastAsia" w:ascii="宋体" w:hAnsi="宋体" w:eastAsia="宋体" w:cs="宋体"/>
          <w:sz w:val="24"/>
          <w:szCs w:val="24"/>
          <w:highlight w:val="none"/>
          <w:u w:val="single"/>
          <w:lang w:val="zh-CN"/>
        </w:rPr>
        <w:t>                   </w:t>
      </w:r>
      <w:r>
        <w:rPr>
          <w:rFonts w:hint="eastAsia" w:ascii="宋体" w:hAnsi="宋体" w:eastAsia="宋体" w:cs="宋体"/>
          <w:sz w:val="24"/>
          <w:szCs w:val="24"/>
          <w:highlight w:val="none"/>
          <w:lang w:val="zh-CN"/>
        </w:rPr>
        <w:t>。</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4.资金来源：</w:t>
      </w:r>
      <w:r>
        <w:rPr>
          <w:rFonts w:hint="eastAsia" w:ascii="宋体" w:hAnsi="宋体" w:eastAsia="宋体" w:cs="宋体"/>
          <w:sz w:val="24"/>
          <w:szCs w:val="24"/>
          <w:highlight w:val="none"/>
          <w:u w:val="single"/>
          <w:lang w:val="zh-CN"/>
        </w:rPr>
        <w:t>                       </w:t>
      </w:r>
      <w:r>
        <w:rPr>
          <w:rFonts w:hint="eastAsia" w:ascii="宋体" w:hAnsi="宋体" w:eastAsia="宋体" w:cs="宋体"/>
          <w:sz w:val="24"/>
          <w:szCs w:val="24"/>
          <w:highlight w:val="none"/>
          <w:lang w:val="zh-CN"/>
        </w:rPr>
        <w:t>。</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5.工程内容：</w:t>
      </w:r>
      <w:r>
        <w:rPr>
          <w:rFonts w:hint="eastAsia" w:ascii="宋体" w:hAnsi="宋体" w:eastAsia="宋体" w:cs="宋体"/>
          <w:sz w:val="24"/>
          <w:szCs w:val="24"/>
          <w:highlight w:val="none"/>
          <w:u w:val="single"/>
          <w:lang w:val="zh-CN"/>
        </w:rPr>
        <w:t>                       </w:t>
      </w:r>
      <w:r>
        <w:rPr>
          <w:rFonts w:hint="eastAsia" w:ascii="宋体" w:hAnsi="宋体" w:eastAsia="宋体" w:cs="宋体"/>
          <w:sz w:val="24"/>
          <w:szCs w:val="24"/>
          <w:highlight w:val="none"/>
          <w:lang w:val="zh-CN"/>
        </w:rPr>
        <w:t>。</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群体工程应附《承包人承揽工程项目一览表》（附件1）。</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6.工程承包范围：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zh-CN"/>
        </w:rPr>
        <w:t xml:space="preserve">                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w:t>
      </w:r>
    </w:p>
    <w:p>
      <w:pPr>
        <w:spacing w:line="360" w:lineRule="auto"/>
        <w:ind w:firstLine="480" w:firstLineChars="200"/>
        <w:rPr>
          <w:rFonts w:hint="eastAsia" w:ascii="宋体" w:hAnsi="宋体" w:eastAsia="宋体" w:cs="宋体"/>
          <w:sz w:val="24"/>
          <w:szCs w:val="24"/>
          <w:highlight w:val="none"/>
          <w:lang w:val="zh-CN"/>
        </w:rPr>
      </w:pPr>
      <w:bookmarkStart w:id="318" w:name="_Toc351203482"/>
      <w:r>
        <w:rPr>
          <w:rFonts w:hint="eastAsia" w:ascii="宋体" w:hAnsi="宋体" w:eastAsia="宋体" w:cs="宋体"/>
          <w:sz w:val="24"/>
          <w:szCs w:val="24"/>
          <w:highlight w:val="none"/>
          <w:lang w:val="zh-CN"/>
        </w:rPr>
        <w:t>二、合同工期</w:t>
      </w:r>
      <w:bookmarkEnd w:id="318"/>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计划开工日期：</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lang w:val="zh-CN"/>
        </w:rPr>
        <w:t>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计划竣工日期：</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lang w:val="zh-CN"/>
        </w:rPr>
        <w:t>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工期总日历天数：</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lang w:val="zh-CN"/>
        </w:rPr>
        <w:t>天。工期总日历天数与根据前述计划开竣工日期计算的工期天数不一致的，以工期总日历天数为准。</w:t>
      </w:r>
    </w:p>
    <w:p>
      <w:pPr>
        <w:spacing w:line="360" w:lineRule="auto"/>
        <w:ind w:firstLine="480" w:firstLineChars="200"/>
        <w:rPr>
          <w:rFonts w:hint="eastAsia" w:ascii="宋体" w:hAnsi="宋体" w:eastAsia="宋体" w:cs="宋体"/>
          <w:sz w:val="24"/>
          <w:szCs w:val="24"/>
          <w:highlight w:val="none"/>
          <w:lang w:val="zh-CN"/>
        </w:rPr>
      </w:pPr>
      <w:bookmarkStart w:id="319" w:name="_Toc351203483"/>
      <w:r>
        <w:rPr>
          <w:rFonts w:hint="eastAsia" w:ascii="宋体" w:hAnsi="宋体" w:eastAsia="宋体" w:cs="宋体"/>
          <w:sz w:val="24"/>
          <w:szCs w:val="24"/>
          <w:highlight w:val="none"/>
          <w:lang w:val="zh-CN"/>
        </w:rPr>
        <w:t>三、质量标准</w:t>
      </w:r>
      <w:bookmarkEnd w:id="319"/>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工程质量符合</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lang w:val="zh-CN"/>
        </w:rPr>
        <w:t>标准。</w:t>
      </w:r>
    </w:p>
    <w:p>
      <w:pPr>
        <w:spacing w:line="360" w:lineRule="auto"/>
        <w:ind w:firstLine="480" w:firstLineChars="200"/>
        <w:rPr>
          <w:rFonts w:hint="eastAsia" w:ascii="宋体" w:hAnsi="宋体" w:eastAsia="宋体" w:cs="宋体"/>
          <w:sz w:val="24"/>
          <w:szCs w:val="24"/>
          <w:highlight w:val="none"/>
          <w:lang w:val="zh-CN"/>
        </w:rPr>
      </w:pPr>
      <w:bookmarkStart w:id="320" w:name="_Toc351203484"/>
      <w:r>
        <w:rPr>
          <w:rFonts w:hint="eastAsia" w:ascii="宋体" w:hAnsi="宋体" w:eastAsia="宋体" w:cs="宋体"/>
          <w:sz w:val="24"/>
          <w:szCs w:val="24"/>
          <w:highlight w:val="none"/>
          <w:lang w:val="zh-CN"/>
        </w:rPr>
        <w:t>四、签约合同价与合同价格形式</w:t>
      </w:r>
      <w:bookmarkEnd w:id="320"/>
      <w:r>
        <w:rPr>
          <w:rFonts w:hint="eastAsia" w:ascii="宋体" w:hAnsi="宋体" w:eastAsia="宋体" w:cs="宋体"/>
          <w:sz w:val="24"/>
          <w:szCs w:val="24"/>
          <w:highlight w:val="none"/>
          <w:lang w:val="zh-CN"/>
        </w:rPr>
        <w:tab/>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1.签约合同价为：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人民币（大写）</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元)；</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其中：</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（1）安全文明施工费：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人民币（大写）</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元)；</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（2）材料和工程设备暂估价金额：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人民币（大写）</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元)；</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（3）专业工程暂估价金额：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人民币（大写）</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元)；</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（4）暂列金额：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人民币（大写）</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元)；</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2.合同价格形式：</w:t>
      </w:r>
      <w:r>
        <w:rPr>
          <w:rFonts w:hint="eastAsia" w:ascii="宋体" w:hAnsi="宋体" w:eastAsia="宋体" w:cs="宋体"/>
          <w:sz w:val="24"/>
          <w:szCs w:val="24"/>
          <w:highlight w:val="none"/>
          <w:u w:val="single"/>
          <w:lang w:val="zh-CN"/>
        </w:rPr>
        <w:t>                      </w:t>
      </w:r>
      <w:r>
        <w:rPr>
          <w:rFonts w:hint="eastAsia" w:ascii="宋体" w:hAnsi="宋体" w:eastAsia="宋体" w:cs="宋体"/>
          <w:sz w:val="24"/>
          <w:szCs w:val="24"/>
          <w:highlight w:val="none"/>
          <w:lang w:val="zh-CN"/>
        </w:rPr>
        <w:t>。</w:t>
      </w:r>
    </w:p>
    <w:p>
      <w:pPr>
        <w:spacing w:line="360" w:lineRule="auto"/>
        <w:ind w:firstLine="480" w:firstLineChars="200"/>
        <w:rPr>
          <w:rFonts w:hint="eastAsia" w:ascii="宋体" w:hAnsi="宋体" w:eastAsia="宋体" w:cs="宋体"/>
          <w:sz w:val="24"/>
          <w:szCs w:val="24"/>
          <w:highlight w:val="none"/>
          <w:lang w:val="zh-CN"/>
        </w:rPr>
      </w:pPr>
      <w:bookmarkStart w:id="321" w:name="_Toc351203485"/>
      <w:r>
        <w:rPr>
          <w:rFonts w:hint="eastAsia" w:ascii="宋体" w:hAnsi="宋体" w:eastAsia="宋体" w:cs="宋体"/>
          <w:sz w:val="24"/>
          <w:szCs w:val="24"/>
          <w:highlight w:val="none"/>
          <w:lang w:val="zh-CN"/>
        </w:rPr>
        <w:t>五、</w:t>
      </w:r>
      <w:bookmarkEnd w:id="321"/>
      <w:r>
        <w:rPr>
          <w:rFonts w:hint="eastAsia" w:ascii="宋体" w:hAnsi="宋体" w:eastAsia="宋体" w:cs="宋体"/>
          <w:sz w:val="24"/>
          <w:szCs w:val="24"/>
          <w:highlight w:val="none"/>
          <w:lang w:val="zh-CN"/>
        </w:rPr>
        <w:t>项目经理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承包人项目经理：</w:t>
      </w:r>
      <w:r>
        <w:rPr>
          <w:rFonts w:hint="eastAsia" w:ascii="宋体" w:hAnsi="宋体" w:eastAsia="宋体" w:cs="宋体"/>
          <w:sz w:val="24"/>
          <w:szCs w:val="24"/>
          <w:highlight w:val="none"/>
          <w:u w:val="single"/>
          <w:lang w:val="zh-CN"/>
        </w:rPr>
        <w:t>                     </w:t>
      </w:r>
      <w:r>
        <w:rPr>
          <w:rFonts w:hint="eastAsia" w:ascii="宋体" w:hAnsi="宋体" w:eastAsia="宋体" w:cs="宋体"/>
          <w:sz w:val="24"/>
          <w:szCs w:val="24"/>
          <w:highlight w:val="none"/>
          <w:lang w:val="zh-CN"/>
        </w:rPr>
        <w:t>。</w:t>
      </w:r>
    </w:p>
    <w:p>
      <w:pPr>
        <w:spacing w:line="360" w:lineRule="auto"/>
        <w:ind w:firstLine="480" w:firstLineChars="200"/>
        <w:rPr>
          <w:rFonts w:hint="eastAsia" w:ascii="宋体" w:hAnsi="宋体" w:eastAsia="宋体" w:cs="宋体"/>
          <w:sz w:val="24"/>
          <w:szCs w:val="24"/>
          <w:highlight w:val="none"/>
          <w:lang w:val="zh-CN"/>
        </w:rPr>
      </w:pPr>
      <w:bookmarkStart w:id="322" w:name="_Toc351203486"/>
      <w:r>
        <w:rPr>
          <w:rFonts w:hint="eastAsia" w:ascii="宋体" w:hAnsi="宋体" w:eastAsia="宋体" w:cs="宋体"/>
          <w:sz w:val="24"/>
          <w:szCs w:val="24"/>
          <w:highlight w:val="none"/>
          <w:lang w:val="zh-CN"/>
        </w:rPr>
        <w:t>六、合同文件构成</w:t>
      </w:r>
      <w:bookmarkEnd w:id="322"/>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本协议书与下列文件一起构成合同文件：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（1）中标通知书（如果有）；</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（2）投标函及其附录（如果有）；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（3）专用合同条款及其附件；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（4）通用合同条款；</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（5）技术标准和要求；</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（6）图纸；</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（7）已标价工程量清单或预算书；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（8）其他合同文件。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在合同订立及履行过程中形成的与合同有关的文件均构成合同文件组成部分。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上述各项合同文件包括合同当事人就该项合同文件所作出的补充和修改，属于同一类内容的文件，应以最新签署的为准。专用合同条款及其附件须经合同当事人签字或盖章。</w:t>
      </w:r>
    </w:p>
    <w:p>
      <w:pPr>
        <w:spacing w:line="360" w:lineRule="auto"/>
        <w:ind w:firstLine="480" w:firstLineChars="200"/>
        <w:rPr>
          <w:rFonts w:hint="eastAsia" w:ascii="宋体" w:hAnsi="宋体" w:eastAsia="宋体" w:cs="宋体"/>
          <w:sz w:val="24"/>
          <w:szCs w:val="24"/>
          <w:highlight w:val="none"/>
          <w:lang w:val="zh-CN"/>
        </w:rPr>
      </w:pPr>
      <w:bookmarkStart w:id="323" w:name="_Toc351203487"/>
      <w:r>
        <w:rPr>
          <w:rFonts w:hint="eastAsia" w:ascii="宋体" w:hAnsi="宋体" w:eastAsia="宋体" w:cs="宋体"/>
          <w:sz w:val="24"/>
          <w:szCs w:val="24"/>
          <w:highlight w:val="none"/>
          <w:lang w:val="zh-CN"/>
        </w:rPr>
        <w:t>七、承诺</w:t>
      </w:r>
      <w:bookmarkEnd w:id="323"/>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1.发包人承诺按照法律规定履行项目审批手续、筹集工程建设资金并按照合同约定的期限和方式支付合同价款。</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3.发包人和承包人通过招投标形式签订合同的，双方理解并承诺不再就同一工程另行签订与合同实质性内容相背离的协议。</w:t>
      </w:r>
    </w:p>
    <w:p>
      <w:pPr>
        <w:spacing w:line="360" w:lineRule="auto"/>
        <w:ind w:firstLine="480" w:firstLineChars="200"/>
        <w:rPr>
          <w:rFonts w:hint="eastAsia" w:ascii="宋体" w:hAnsi="宋体" w:eastAsia="宋体" w:cs="宋体"/>
          <w:sz w:val="24"/>
          <w:szCs w:val="24"/>
          <w:highlight w:val="none"/>
          <w:lang w:val="zh-CN"/>
        </w:rPr>
      </w:pPr>
      <w:bookmarkStart w:id="324" w:name="_Toc351203488"/>
      <w:r>
        <w:rPr>
          <w:rFonts w:hint="eastAsia" w:ascii="宋体" w:hAnsi="宋体" w:eastAsia="宋体" w:cs="宋体"/>
          <w:sz w:val="24"/>
          <w:szCs w:val="24"/>
          <w:highlight w:val="none"/>
          <w:lang w:val="zh-CN"/>
        </w:rPr>
        <w:t>八、词语含义</w:t>
      </w:r>
      <w:bookmarkEnd w:id="324"/>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本协议书中词语含义与第二部分通用合同条款中赋予的含义相同。</w:t>
      </w:r>
    </w:p>
    <w:p>
      <w:pPr>
        <w:spacing w:line="360" w:lineRule="auto"/>
        <w:ind w:firstLine="480" w:firstLineChars="200"/>
        <w:rPr>
          <w:rFonts w:hint="eastAsia" w:ascii="宋体" w:hAnsi="宋体" w:eastAsia="宋体" w:cs="宋体"/>
          <w:sz w:val="24"/>
          <w:szCs w:val="24"/>
          <w:highlight w:val="none"/>
          <w:lang w:val="zh-CN"/>
        </w:rPr>
      </w:pPr>
      <w:bookmarkStart w:id="325" w:name="_Toc351203489"/>
      <w:r>
        <w:rPr>
          <w:rFonts w:hint="eastAsia" w:ascii="宋体" w:hAnsi="宋体" w:eastAsia="宋体" w:cs="宋体"/>
          <w:sz w:val="24"/>
          <w:szCs w:val="24"/>
          <w:highlight w:val="none"/>
          <w:lang w:val="zh-CN"/>
        </w:rPr>
        <w:t>九、签订时间</w:t>
      </w:r>
      <w:bookmarkEnd w:id="325"/>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本合同于</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日签订。</w:t>
      </w:r>
    </w:p>
    <w:p>
      <w:pPr>
        <w:spacing w:line="360" w:lineRule="auto"/>
        <w:ind w:firstLine="480" w:firstLineChars="200"/>
        <w:rPr>
          <w:rFonts w:hint="eastAsia" w:ascii="宋体" w:hAnsi="宋体" w:eastAsia="宋体" w:cs="宋体"/>
          <w:sz w:val="24"/>
          <w:szCs w:val="24"/>
          <w:highlight w:val="none"/>
          <w:lang w:val="zh-CN"/>
        </w:rPr>
      </w:pPr>
      <w:bookmarkStart w:id="326" w:name="_Toc351203490"/>
      <w:r>
        <w:rPr>
          <w:rFonts w:hint="eastAsia" w:ascii="宋体" w:hAnsi="宋体" w:eastAsia="宋体" w:cs="宋体"/>
          <w:sz w:val="24"/>
          <w:szCs w:val="24"/>
          <w:highlight w:val="none"/>
          <w:lang w:val="zh-CN"/>
        </w:rPr>
        <w:t>十、签订地点</w:t>
      </w:r>
      <w:bookmarkEnd w:id="326"/>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本合同在</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签订。</w:t>
      </w:r>
    </w:p>
    <w:p>
      <w:pPr>
        <w:spacing w:line="360" w:lineRule="auto"/>
        <w:ind w:firstLine="480" w:firstLineChars="200"/>
        <w:rPr>
          <w:rFonts w:hint="eastAsia" w:ascii="宋体" w:hAnsi="宋体" w:eastAsia="宋体" w:cs="宋体"/>
          <w:sz w:val="24"/>
          <w:szCs w:val="24"/>
          <w:highlight w:val="none"/>
          <w:lang w:val="zh-CN"/>
        </w:rPr>
      </w:pPr>
      <w:bookmarkStart w:id="327" w:name="_Toc351203491"/>
      <w:r>
        <w:rPr>
          <w:rFonts w:hint="eastAsia" w:ascii="宋体" w:hAnsi="宋体" w:eastAsia="宋体" w:cs="宋体"/>
          <w:sz w:val="24"/>
          <w:szCs w:val="24"/>
          <w:highlight w:val="none"/>
          <w:lang w:val="zh-CN"/>
        </w:rPr>
        <w:t>十一、补充协议</w:t>
      </w:r>
      <w:bookmarkEnd w:id="327"/>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合同未尽事宜，合同当事人另行签订补充协议，补充协议是合同的组成部分。</w:t>
      </w:r>
    </w:p>
    <w:p>
      <w:pPr>
        <w:spacing w:line="360" w:lineRule="auto"/>
        <w:ind w:firstLine="480" w:firstLineChars="200"/>
        <w:rPr>
          <w:rFonts w:hint="eastAsia" w:ascii="宋体" w:hAnsi="宋体" w:eastAsia="宋体" w:cs="宋体"/>
          <w:sz w:val="24"/>
          <w:szCs w:val="24"/>
          <w:highlight w:val="none"/>
          <w:lang w:val="zh-CN"/>
        </w:rPr>
      </w:pPr>
      <w:bookmarkStart w:id="328" w:name="_Toc351203492"/>
      <w:r>
        <w:rPr>
          <w:rFonts w:hint="eastAsia" w:ascii="宋体" w:hAnsi="宋体" w:eastAsia="宋体" w:cs="宋体"/>
          <w:sz w:val="24"/>
          <w:szCs w:val="24"/>
          <w:highlight w:val="none"/>
          <w:lang w:val="zh-CN"/>
        </w:rPr>
        <w:t>十二、合同生效</w:t>
      </w:r>
      <w:bookmarkEnd w:id="328"/>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本合同自</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生效。</w:t>
      </w:r>
    </w:p>
    <w:p>
      <w:pPr>
        <w:spacing w:line="360" w:lineRule="auto"/>
        <w:ind w:firstLine="480" w:firstLineChars="200"/>
        <w:rPr>
          <w:rFonts w:hint="eastAsia" w:ascii="宋体" w:hAnsi="宋体" w:eastAsia="宋体" w:cs="宋体"/>
          <w:sz w:val="24"/>
          <w:szCs w:val="24"/>
          <w:highlight w:val="none"/>
          <w:lang w:val="zh-CN"/>
        </w:rPr>
      </w:pPr>
      <w:bookmarkStart w:id="329" w:name="_Toc351203493"/>
      <w:r>
        <w:rPr>
          <w:rFonts w:hint="eastAsia" w:ascii="宋体" w:hAnsi="宋体" w:eastAsia="宋体" w:cs="宋体"/>
          <w:sz w:val="24"/>
          <w:szCs w:val="24"/>
          <w:highlight w:val="none"/>
          <w:lang w:val="zh-CN"/>
        </w:rPr>
        <w:t>十三、合同份数</w:t>
      </w:r>
      <w:bookmarkEnd w:id="329"/>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本合同一式</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份，均具有同等法律效力，发包人执</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份，承包人执</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份。</w:t>
      </w:r>
    </w:p>
    <w:p>
      <w:pPr>
        <w:spacing w:line="360" w:lineRule="auto"/>
        <w:ind w:firstLine="480" w:firstLineChars="200"/>
        <w:rPr>
          <w:rFonts w:hint="eastAsia" w:ascii="宋体" w:hAnsi="宋体" w:eastAsia="宋体" w:cs="宋体"/>
          <w:sz w:val="24"/>
          <w:szCs w:val="24"/>
          <w:highlight w:val="none"/>
          <w:lang w:val="zh-CN"/>
        </w:rPr>
      </w:pPr>
    </w:p>
    <w:p>
      <w:pPr>
        <w:spacing w:line="360" w:lineRule="auto"/>
        <w:ind w:firstLine="480" w:firstLineChars="200"/>
        <w:rPr>
          <w:rFonts w:hint="eastAsia" w:ascii="宋体" w:hAnsi="宋体" w:eastAsia="宋体" w:cs="宋体"/>
          <w:sz w:val="24"/>
          <w:szCs w:val="24"/>
          <w:highlight w:val="none"/>
          <w:lang w:val="zh-CN"/>
        </w:rPr>
      </w:pP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  (公章)             承包人：  (公章)</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法定代表人或其委托代理人：  法定代表人或其委托代理人：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（签字）                    （签字）</w:t>
      </w:r>
    </w:p>
    <w:p>
      <w:pPr>
        <w:spacing w:line="360" w:lineRule="auto"/>
        <w:ind w:firstLine="480" w:firstLineChars="200"/>
        <w:rPr>
          <w:rFonts w:hint="eastAsia" w:ascii="宋体" w:hAnsi="宋体" w:eastAsia="宋体" w:cs="宋体"/>
          <w:sz w:val="24"/>
          <w:szCs w:val="24"/>
          <w:highlight w:val="none"/>
          <w:lang w:val="zh-CN"/>
        </w:rPr>
      </w:pP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组织机构代码：</w:t>
      </w:r>
      <w:r>
        <w:rPr>
          <w:rFonts w:hint="eastAsia" w:ascii="宋体" w:hAnsi="宋体" w:eastAsia="宋体" w:cs="宋体"/>
          <w:sz w:val="24"/>
          <w:szCs w:val="24"/>
          <w:highlight w:val="none"/>
          <w:u w:val="single"/>
          <w:lang w:val="zh-CN"/>
        </w:rPr>
        <w:t xml:space="preserve">       </w:t>
      </w:r>
      <w:r>
        <w:rPr>
          <w:rFonts w:hint="eastAsia" w:ascii="宋体" w:hAnsi="宋体" w:eastAsia="宋体" w:cs="宋体"/>
          <w:sz w:val="24"/>
          <w:szCs w:val="24"/>
          <w:highlight w:val="none"/>
          <w:lang w:val="zh-CN"/>
        </w:rPr>
        <w:t xml:space="preserve">  组织机构代码：</w:t>
      </w:r>
      <w:r>
        <w:rPr>
          <w:rFonts w:hint="eastAsia" w:ascii="宋体" w:hAnsi="宋体" w:eastAsia="宋体" w:cs="宋体"/>
          <w:sz w:val="24"/>
          <w:szCs w:val="24"/>
          <w:highlight w:val="none"/>
          <w:u w:val="single"/>
          <w:lang w:val="zh-CN"/>
        </w:rPr>
        <w:t xml:space="preserve">  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地  址：</w:t>
      </w:r>
      <w:r>
        <w:rPr>
          <w:rFonts w:hint="eastAsia" w:ascii="宋体" w:hAnsi="宋体" w:eastAsia="宋体" w:cs="宋体"/>
          <w:sz w:val="24"/>
          <w:szCs w:val="24"/>
          <w:highlight w:val="none"/>
          <w:u w:val="single"/>
          <w:lang w:val="zh-CN"/>
        </w:rPr>
        <w:t xml:space="preserve">     </w:t>
      </w:r>
      <w:r>
        <w:rPr>
          <w:rFonts w:hint="eastAsia" w:ascii="宋体" w:hAnsi="宋体" w:eastAsia="宋体" w:cs="宋体"/>
          <w:sz w:val="24"/>
          <w:szCs w:val="24"/>
          <w:highlight w:val="none"/>
          <w:lang w:val="zh-CN"/>
        </w:rPr>
        <w:t xml:space="preserve">  地  址：</w:t>
      </w:r>
      <w:r>
        <w:rPr>
          <w:rFonts w:hint="eastAsia" w:ascii="宋体" w:hAnsi="宋体" w:eastAsia="宋体" w:cs="宋体"/>
          <w:sz w:val="24"/>
          <w:szCs w:val="24"/>
          <w:highlight w:val="none"/>
          <w:u w:val="single"/>
          <w:lang w:val="zh-CN"/>
        </w:rPr>
        <w:t xml:space="preserve">  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邮政编码：</w:t>
      </w:r>
      <w:r>
        <w:rPr>
          <w:rFonts w:hint="eastAsia" w:ascii="宋体" w:hAnsi="宋体" w:eastAsia="宋体" w:cs="宋体"/>
          <w:sz w:val="24"/>
          <w:szCs w:val="24"/>
          <w:highlight w:val="none"/>
          <w:u w:val="single"/>
          <w:lang w:val="zh-CN"/>
        </w:rPr>
        <w:t xml:space="preserve">      </w:t>
      </w:r>
      <w:r>
        <w:rPr>
          <w:rFonts w:hint="eastAsia" w:ascii="宋体" w:hAnsi="宋体" w:eastAsia="宋体" w:cs="宋体"/>
          <w:sz w:val="24"/>
          <w:szCs w:val="24"/>
          <w:highlight w:val="none"/>
          <w:lang w:val="zh-CN"/>
        </w:rPr>
        <w:t xml:space="preserve">  邮政编码：</w:t>
      </w:r>
      <w:r>
        <w:rPr>
          <w:rFonts w:hint="eastAsia" w:ascii="宋体" w:hAnsi="宋体" w:eastAsia="宋体" w:cs="宋体"/>
          <w:sz w:val="24"/>
          <w:szCs w:val="24"/>
          <w:highlight w:val="none"/>
          <w:u w:val="single"/>
          <w:lang w:val="zh-CN"/>
        </w:rPr>
        <w:t xml:space="preserve">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w:t>
      </w:r>
      <w:r>
        <w:rPr>
          <w:rFonts w:hint="eastAsia" w:ascii="宋体" w:hAnsi="宋体" w:eastAsia="宋体" w:cs="宋体"/>
          <w:sz w:val="24"/>
          <w:szCs w:val="24"/>
          <w:highlight w:val="none"/>
          <w:u w:val="single"/>
          <w:lang w:val="zh-CN"/>
        </w:rPr>
        <w:t xml:space="preserve">           </w:t>
      </w:r>
      <w:r>
        <w:rPr>
          <w:rFonts w:hint="eastAsia" w:ascii="宋体" w:hAnsi="宋体" w:eastAsia="宋体" w:cs="宋体"/>
          <w:sz w:val="24"/>
          <w:szCs w:val="24"/>
          <w:highlight w:val="none"/>
          <w:lang w:val="zh-CN"/>
        </w:rPr>
        <w:t xml:space="preserve">  法定代表人：</w:t>
      </w:r>
      <w:r>
        <w:rPr>
          <w:rFonts w:hint="eastAsia" w:ascii="宋体" w:hAnsi="宋体" w:eastAsia="宋体" w:cs="宋体"/>
          <w:sz w:val="24"/>
          <w:szCs w:val="24"/>
          <w:highlight w:val="none"/>
          <w:u w:val="single"/>
          <w:lang w:val="zh-CN"/>
        </w:rPr>
        <w:t xml:space="preserve">      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委托代理人：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  委托代理人：</w:t>
      </w:r>
      <w:r>
        <w:rPr>
          <w:rFonts w:hint="eastAsia" w:ascii="宋体" w:hAnsi="宋体" w:eastAsia="宋体" w:cs="宋体"/>
          <w:sz w:val="24"/>
          <w:szCs w:val="24"/>
          <w:highlight w:val="none"/>
          <w:u w:val="single"/>
          <w:lang w:val="zh-CN"/>
        </w:rPr>
        <w:t xml:space="preserve">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电  话：</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  电  话：</w:t>
      </w:r>
      <w:r>
        <w:rPr>
          <w:rFonts w:hint="eastAsia" w:ascii="宋体" w:hAnsi="宋体" w:eastAsia="宋体" w:cs="宋体"/>
          <w:sz w:val="24"/>
          <w:szCs w:val="24"/>
          <w:highlight w:val="none"/>
          <w:u w:val="single"/>
          <w:lang w:val="zh-CN"/>
        </w:rPr>
        <w:t xml:space="preserve">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传  真：</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  传  真：</w:t>
      </w:r>
      <w:r>
        <w:rPr>
          <w:rFonts w:hint="eastAsia" w:ascii="宋体" w:hAnsi="宋体" w:eastAsia="宋体" w:cs="宋体"/>
          <w:sz w:val="24"/>
          <w:szCs w:val="24"/>
          <w:highlight w:val="none"/>
          <w:u w:val="single"/>
          <w:lang w:val="zh-CN"/>
        </w:rPr>
        <w:t xml:space="preserve">  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电子信箱：</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  电子信箱：</w:t>
      </w:r>
      <w:r>
        <w:rPr>
          <w:rFonts w:hint="eastAsia" w:ascii="宋体" w:hAnsi="宋体" w:eastAsia="宋体" w:cs="宋体"/>
          <w:sz w:val="24"/>
          <w:szCs w:val="24"/>
          <w:highlight w:val="none"/>
          <w:u w:val="single"/>
          <w:lang w:val="zh-CN"/>
        </w:rPr>
        <w:t xml:space="preserve">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开户银行：</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  开户银行：</w:t>
      </w:r>
      <w:r>
        <w:rPr>
          <w:rFonts w:hint="eastAsia" w:ascii="宋体" w:hAnsi="宋体" w:eastAsia="宋体" w:cs="宋体"/>
          <w:sz w:val="24"/>
          <w:szCs w:val="24"/>
          <w:highlight w:val="none"/>
          <w:u w:val="single"/>
          <w:lang w:val="zh-CN"/>
        </w:rPr>
        <w:t xml:space="preserve">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账  号：</w:t>
      </w:r>
      <w:r>
        <w:rPr>
          <w:rFonts w:hint="eastAsia" w:ascii="宋体" w:hAnsi="宋体" w:eastAsia="宋体" w:cs="宋体"/>
          <w:sz w:val="24"/>
          <w:szCs w:val="24"/>
          <w:highlight w:val="none"/>
          <w:u w:val="single"/>
          <w:lang w:val="zh-CN"/>
        </w:rPr>
        <w:t xml:space="preserve">       </w:t>
      </w:r>
      <w:r>
        <w:rPr>
          <w:rFonts w:hint="eastAsia" w:ascii="宋体" w:hAnsi="宋体" w:eastAsia="宋体" w:cs="宋体"/>
          <w:sz w:val="24"/>
          <w:szCs w:val="24"/>
          <w:highlight w:val="none"/>
          <w:lang w:val="zh-CN"/>
        </w:rPr>
        <w:t xml:space="preserve">   账  号：</w:t>
      </w:r>
      <w:r>
        <w:rPr>
          <w:rFonts w:hint="eastAsia" w:ascii="宋体" w:hAnsi="宋体" w:eastAsia="宋体" w:cs="宋体"/>
          <w:sz w:val="24"/>
          <w:szCs w:val="24"/>
          <w:highlight w:val="none"/>
          <w:u w:val="single"/>
          <w:lang w:val="zh-CN"/>
        </w:rPr>
        <w:t xml:space="preserve">     </w:t>
      </w:r>
    </w:p>
    <w:p>
      <w:pPr>
        <w:spacing w:line="360" w:lineRule="auto"/>
        <w:jc w:val="center"/>
        <w:outlineLvl w:val="1"/>
        <w:rPr>
          <w:rFonts w:hint="eastAsia" w:ascii="黑体" w:hAnsi="??" w:eastAsia="黑体" w:cs="??"/>
          <w:b w:val="0"/>
          <w:bCs/>
          <w:sz w:val="32"/>
          <w:szCs w:val="32"/>
          <w:highlight w:val="none"/>
          <w:lang w:val="en-US" w:eastAsia="zh-CN"/>
        </w:rPr>
      </w:pPr>
      <w:r>
        <w:rPr>
          <w:rFonts w:eastAsia="仿宋_GB2312"/>
          <w:highlight w:val="none"/>
        </w:rPr>
        <w:br w:type="page"/>
      </w:r>
      <w:bookmarkStart w:id="330" w:name="_Toc351203494"/>
      <w:bookmarkStart w:id="331" w:name="_Toc20885"/>
      <w:bookmarkStart w:id="332" w:name="_Toc26464"/>
      <w:r>
        <w:rPr>
          <w:rFonts w:hint="eastAsia" w:ascii="黑体" w:hAnsi="??" w:eastAsia="黑体" w:cs="??"/>
          <w:b w:val="0"/>
          <w:bCs/>
          <w:sz w:val="32"/>
          <w:szCs w:val="32"/>
          <w:highlight w:val="none"/>
          <w:lang w:val="en-US" w:eastAsia="zh-CN"/>
        </w:rPr>
        <w:t>第二部分 通用合同条款</w:t>
      </w:r>
      <w:bookmarkEnd w:id="330"/>
      <w:bookmarkEnd w:id="331"/>
      <w:bookmarkEnd w:id="332"/>
      <w:bookmarkStart w:id="333" w:name="_Toc337558727"/>
    </w:p>
    <w:p>
      <w:pPr>
        <w:spacing w:line="360" w:lineRule="auto"/>
        <w:ind w:firstLine="480" w:firstLineChars="200"/>
        <w:rPr>
          <w:rFonts w:hint="eastAsia" w:ascii="宋体" w:hAnsi="宋体" w:eastAsia="宋体" w:cs="宋体"/>
          <w:sz w:val="24"/>
          <w:szCs w:val="24"/>
          <w:highlight w:val="none"/>
          <w:lang w:val="zh-CN"/>
        </w:rPr>
      </w:pPr>
      <w:bookmarkStart w:id="334" w:name="_Toc351203495"/>
      <w:r>
        <w:rPr>
          <w:rFonts w:hint="eastAsia" w:ascii="宋体" w:hAnsi="宋体" w:eastAsia="宋体" w:cs="宋体"/>
          <w:sz w:val="24"/>
          <w:szCs w:val="24"/>
          <w:highlight w:val="none"/>
          <w:lang w:val="zh-CN"/>
        </w:rPr>
        <w:t>1.</w:t>
      </w:r>
      <w:bookmarkStart w:id="335" w:name="_Toc303538974"/>
      <w:bookmarkEnd w:id="335"/>
      <w:bookmarkStart w:id="336" w:name="_Toc303538972"/>
      <w:bookmarkEnd w:id="336"/>
      <w:bookmarkStart w:id="337" w:name="_Toc303538973"/>
      <w:bookmarkEnd w:id="337"/>
      <w:bookmarkStart w:id="338" w:name="_Toc303538975"/>
      <w:bookmarkEnd w:id="338"/>
      <w:bookmarkStart w:id="339" w:name="_Toc303538976"/>
      <w:bookmarkEnd w:id="339"/>
      <w:bookmarkStart w:id="340" w:name="_Toc296346528"/>
      <w:bookmarkStart w:id="341" w:name="_Toc296503027"/>
      <w:r>
        <w:rPr>
          <w:rFonts w:hint="eastAsia" w:ascii="宋体" w:hAnsi="宋体" w:eastAsia="宋体" w:cs="宋体"/>
          <w:sz w:val="24"/>
          <w:szCs w:val="24"/>
          <w:highlight w:val="none"/>
          <w:lang w:val="zh-CN"/>
        </w:rPr>
        <w:t xml:space="preserve"> 一般约定</w:t>
      </w:r>
      <w:bookmarkEnd w:id="333"/>
      <w:bookmarkEnd w:id="334"/>
      <w:bookmarkEnd w:id="340"/>
      <w:bookmarkEnd w:id="341"/>
    </w:p>
    <w:p>
      <w:pPr>
        <w:spacing w:line="360" w:lineRule="auto"/>
        <w:ind w:firstLine="480" w:firstLineChars="200"/>
        <w:rPr>
          <w:rFonts w:hint="eastAsia" w:ascii="宋体" w:hAnsi="宋体" w:eastAsia="宋体" w:cs="宋体"/>
          <w:sz w:val="24"/>
          <w:szCs w:val="24"/>
          <w:highlight w:val="none"/>
          <w:lang w:val="zh-CN"/>
        </w:rPr>
      </w:pPr>
      <w:bookmarkStart w:id="342" w:name="_Toc296503028"/>
      <w:bookmarkStart w:id="343" w:name="_Toc296346529"/>
      <w:bookmarkStart w:id="344" w:name="_Toc337558728"/>
      <w:bookmarkStart w:id="345" w:name="_Toc351203496"/>
      <w:r>
        <w:rPr>
          <w:rFonts w:hint="eastAsia" w:ascii="宋体" w:hAnsi="宋体" w:eastAsia="宋体" w:cs="宋体"/>
          <w:sz w:val="24"/>
          <w:szCs w:val="24"/>
          <w:highlight w:val="none"/>
          <w:lang w:val="zh-CN"/>
        </w:rPr>
        <w:t>1.1词语定义</w:t>
      </w:r>
      <w:bookmarkEnd w:id="342"/>
      <w:bookmarkEnd w:id="343"/>
      <w:bookmarkEnd w:id="344"/>
      <w:r>
        <w:rPr>
          <w:rFonts w:hint="eastAsia" w:ascii="宋体" w:hAnsi="宋体" w:eastAsia="宋体" w:cs="宋体"/>
          <w:sz w:val="24"/>
          <w:szCs w:val="24"/>
          <w:highlight w:val="none"/>
          <w:lang w:val="zh-CN"/>
        </w:rPr>
        <w:t>与解释</w:t>
      </w:r>
      <w:bookmarkEnd w:id="345"/>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合同协议书、通用合同条款、专用合同条款中的下列词语具有本款所赋予的含义：</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 合同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1.1.1.2 合同协议书：是指构成合同的由发包人和承包人共同签署的称为“合同协议书”的书面文件。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1.1.1.3 中标通知书：是指构成合同的由发包人通知承包人中标的书面文件。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1.1.1.4 投标函：是指构成合同的由承包人填写并签署的用于投标的称为“投标函”的文件。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1.1.1.5 投标函附录：是指构成合同的附在投标函后的称为“投标函附录”的文件。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1.1.1.6 技术标准和要求：是指构成合同的施工应当遵守的或指导施工的国家、行业或地方的技术标准和要求，以及合同约定的技术标准和要求。</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1.1.1.7 图纸：是指构成合同的图纸，包括由发包人按照合同约定提供或经发包人批准的设计文件、施工图、鸟瞰图及模型等，以及在合同履行过程中形成的图纸文件。图纸应当按照法律规定审查合格。</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1.1.1.8 已标价工程量清单：是指构成合同的由承包人按照规定的格式和要求填写并标明价格的工程量清单，包括说明和表格。</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1.1.1.9 预算书：是指构成合同的由承包人按照发包人规定的格式和要求编制的工程预算文件。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1.1.1.10 其他合同文件：是指经合同当事人约定的与工程施工有关的具有合同约束力的文件或书面协议。合同当事人可以在专用合同条款中进行约定。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1.1.2 合同当事人及其他相关方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1.1.2.1 合同当事人：是指发包人和（或）承包人。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1.1.2.2 发包人：是指与承包人签订合同协议书的当事人及取得该当事人资格的合法继承人。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1.1.2.3 承包人：是指与发包人签订合同协议书的，具有相应工程施工承包资质的当事人及取得该当事人资格的合法继承人。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1.1.2.4 监理人：是指在专用合同条款中指明的，受发包人委托按照法律规定进行工程监督管理的法人或其他组织。</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1.1.2.5 设计人：是指在专用合同条款中指明的，受发包人委托负责工程设计并具备相应工程设计资质的法人或其他组织。</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1.1.2.6 分包人：</w:t>
      </w:r>
      <w:bookmarkStart w:id="346" w:name="#go5"/>
      <w:bookmarkEnd w:id="346"/>
      <w:r>
        <w:rPr>
          <w:rFonts w:hint="eastAsia" w:ascii="宋体" w:hAnsi="宋体" w:eastAsia="宋体" w:cs="宋体"/>
          <w:sz w:val="24"/>
          <w:szCs w:val="24"/>
          <w:highlight w:val="none"/>
          <w:lang w:val="zh-CN"/>
        </w:rPr>
        <w:t>是指按照法律规定和合同约定，分包部分工程或工作，并与承包人签订分包合同的具有相应资质的法人。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1.1.2.7 发包人代表：是指由发包人任命并派驻施工现场在发包人授权范围内行使发包人权利的人。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1.1.2.8 项目经理：是指由承包人任命并派驻施工现场，在承包人授权范围内负责合同履行，且按照法律规定具有相应资格的项目负责人。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1.1.2.9 总监理工程师：是指由监理人任命并派驻施工现场进行工程监理的总负责人。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1.1.3 工程和设备</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1.1.3.1 工程：是指与合同协议书中工程承包范围对应的永久工程和（或）临时工程。</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1.1.3.2 永久工程：是指按合同约定建造并移交给发包人的工程，包括工程设备。</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1.1.3.3 临时工程：是指为完成合同约定的永久工程所修建的各类临时性工程，不包括施工设备。</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1.1.3.4 单位工程：是指在合同协议书中指明的，具备独立施工条件并能形成独立使用功能的永久工程。</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1.1.3.5 工程设备：是指构成永久工程的机电设备、金属结构设备、仪器及其他类似的设备和装置。</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1.1.3.6 施工设备：是指为完成合同约定的各项工作所需的设备、器具和其他物品，但不包括工程设备、临时工程和材料。</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1.1.3.7 施工现场：是指用于工程施工的场所，以及在专用合同条款中指明作为施工场所组成部分的其他场所，包括永久占地和临时占地。</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1.1.3.8临时设施：是指为完成合同约定的各项工作所服务的临时性生产和生活设施。</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1.1.3.9 永久占地：是指专用合同条款中指明为实施工程需永久占用的土地。</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1.1.3.10 临时占地：是指专用合同条款中指明为实施工程需要临时占用的土地。</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1.1.4 日期和期限</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1.1.4.2 竣工日期：包括计划竣工日期和实际竣工日期。计划竣工日期是指合同协议书约定的竣工日期；实际竣工日期按照第13.2.3项〔竣工日期〕的约定确定。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1.1.4.3 工期：是指在合同协议书约定的承包人完成工程所需的期限，包括按照合同约定所作的期限变更。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1.1.4.4 缺陷责任期：是指承包人按照合同约定承担缺陷修复义务，且发包人预留质量保证金</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zh-CN"/>
        </w:rPr>
        <w:t>已缴纳履约保证金的除外</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zh-CN"/>
        </w:rPr>
        <w:t>的期限，自工程实际竣工日期起计算。</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1.1.4.5 保修期：是指承包人按照合同约定对工程承担保修责任的期限，从工程竣工验收合格之日起计算。</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1.1.4.6 基准日期：招标发包的工程以投标截止日前28天的日期为基准日期，直接发包的工程以合同签订日前28天的日期为基准日期。</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1.1.4.7 天：除特别指明外，均指日历天。合同中按天计算时间的，开始当天不计入，从次日开始计算，期限最后一天的截止时间为当天24:00时。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1.1.5 合同价格和费用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1.1.5.1 签约合同价：是指发包人和承包人在合同协议书中确定的总金额，包括安全文明施工费、暂估价及暂列金额等。</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1.1.5.2 合同价格：是指发包人用于支付承包人按照合同约定完成承包范围内全部工作的金额，包括合同履行过程中按合同约定发生的价格变化。</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1.1.5.3 费用：是指为履行合同所发生的或将要发生的所有必需的开支，包括管理费和应分摊的其他费用，但不包括利润。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1.1.5.4 暂估价：是指发包人在工程量清单或预算书中提供的用于支付必然发生但暂时不能确定价格的材料、工程设备的单价、专业工程以及服务工作的金额。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1.1.5.6 计日工：是指合同履行过程中，承包人完成发包人提出的零星工作或需要采用计日工计价的变更工作时，按合同中约定的单价计价的一种方式。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1.1.5.7 质量保证金</w:t>
      </w:r>
      <w:bookmarkStart w:id="347" w:name="#go2"/>
      <w:bookmarkEnd w:id="347"/>
      <w:r>
        <w:rPr>
          <w:rFonts w:hint="eastAsia" w:ascii="宋体" w:hAnsi="宋体" w:eastAsia="宋体" w:cs="宋体"/>
          <w:sz w:val="24"/>
          <w:szCs w:val="24"/>
          <w:highlight w:val="none"/>
          <w:lang w:val="zh-CN"/>
        </w:rPr>
        <w:t>：是指按照第15.3款〔质量保证金〕约定承包人用于保证其在缺陷责任期内履行缺陷修补义务的担保。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1.1.5.8 总价项目：是指在现行国家、行业以及地方的计量规则中无工程量计算规则，在已标价工程量清单或预算书中以总价或以费率形式计算的项目。</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1.1.6 其他</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1.1.6.1 书面形式：是指合同文件、信函、电报、传真等可以有形地表现所载内容的形式。</w:t>
      </w:r>
    </w:p>
    <w:p>
      <w:pPr>
        <w:spacing w:line="360" w:lineRule="auto"/>
        <w:ind w:firstLine="480" w:firstLineChars="200"/>
        <w:rPr>
          <w:rFonts w:hint="eastAsia" w:ascii="宋体" w:hAnsi="宋体" w:eastAsia="宋体" w:cs="宋体"/>
          <w:sz w:val="24"/>
          <w:szCs w:val="24"/>
          <w:highlight w:val="none"/>
          <w:lang w:val="zh-CN"/>
        </w:rPr>
      </w:pPr>
      <w:bookmarkStart w:id="348" w:name="_Toc351203497"/>
      <w:bookmarkStart w:id="349" w:name="_Toc296346530"/>
      <w:bookmarkStart w:id="350" w:name="_Toc296503029"/>
      <w:bookmarkStart w:id="351" w:name="_Toc337558729"/>
      <w:r>
        <w:rPr>
          <w:rFonts w:hint="eastAsia" w:ascii="宋体" w:hAnsi="宋体" w:eastAsia="宋体" w:cs="宋体"/>
          <w:sz w:val="24"/>
          <w:szCs w:val="24"/>
          <w:highlight w:val="none"/>
          <w:lang w:val="zh-CN"/>
        </w:rPr>
        <w:t>1.2语言文字</w:t>
      </w:r>
      <w:bookmarkEnd w:id="348"/>
      <w:bookmarkEnd w:id="349"/>
      <w:bookmarkEnd w:id="350"/>
      <w:bookmarkEnd w:id="351"/>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合同以中国的汉语简体文字编写、解释和说明。合同当事人在专用合同条款中约定使用两种以上语言时，汉语为优先解释和说明合同的语言。</w:t>
      </w:r>
    </w:p>
    <w:p>
      <w:pPr>
        <w:spacing w:line="360" w:lineRule="auto"/>
        <w:ind w:firstLine="480" w:firstLineChars="200"/>
        <w:rPr>
          <w:rFonts w:hint="eastAsia" w:ascii="宋体" w:hAnsi="宋体" w:eastAsia="宋体" w:cs="宋体"/>
          <w:sz w:val="24"/>
          <w:szCs w:val="24"/>
          <w:highlight w:val="none"/>
          <w:lang w:val="zh-CN"/>
        </w:rPr>
      </w:pPr>
      <w:bookmarkStart w:id="352" w:name="_Toc337558730"/>
      <w:bookmarkStart w:id="353" w:name="_Toc296346531"/>
      <w:bookmarkStart w:id="354" w:name="_Toc296503030"/>
      <w:bookmarkStart w:id="355" w:name="_Toc351203498"/>
      <w:r>
        <w:rPr>
          <w:rFonts w:hint="eastAsia" w:ascii="宋体" w:hAnsi="宋体" w:eastAsia="宋体" w:cs="宋体"/>
          <w:sz w:val="24"/>
          <w:szCs w:val="24"/>
          <w:highlight w:val="none"/>
          <w:lang w:val="zh-CN"/>
        </w:rPr>
        <w:t>1.3法律</w:t>
      </w:r>
      <w:bookmarkEnd w:id="352"/>
      <w:bookmarkEnd w:id="353"/>
      <w:bookmarkEnd w:id="354"/>
      <w:bookmarkEnd w:id="355"/>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合同所称法律是指中华人民共和国法律、行政法规、部门规章，以及工程所在地的地方性法规、自治条例、单行条例和地方政府规章等。</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合同当事人可以在专用合同条款中约定合同适用的其他规范性文件。</w:t>
      </w:r>
    </w:p>
    <w:p>
      <w:pPr>
        <w:spacing w:line="360" w:lineRule="auto"/>
        <w:ind w:firstLine="480" w:firstLineChars="200"/>
        <w:rPr>
          <w:rFonts w:hint="eastAsia" w:ascii="宋体" w:hAnsi="宋体" w:eastAsia="宋体" w:cs="宋体"/>
          <w:sz w:val="24"/>
          <w:szCs w:val="24"/>
          <w:highlight w:val="none"/>
          <w:lang w:val="zh-CN"/>
        </w:rPr>
      </w:pPr>
      <w:bookmarkStart w:id="356" w:name="_Toc351203499"/>
      <w:r>
        <w:rPr>
          <w:rFonts w:hint="eastAsia" w:ascii="宋体" w:hAnsi="宋体" w:eastAsia="宋体" w:cs="宋体"/>
          <w:sz w:val="24"/>
          <w:szCs w:val="24"/>
          <w:highlight w:val="none"/>
          <w:lang w:val="zh-CN"/>
        </w:rPr>
        <w:t>1.4 标准和规范</w:t>
      </w:r>
      <w:bookmarkEnd w:id="356"/>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1.4.1 适用于工程的国家标准、行业标准、工程所在地的地方性标准，以及相应的规范、规程等，合同当事人有特别要求的，应在专用合同条款中约定。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1.4.2 发包人要求使用国外标准、规范的，发包人负责提供原文版本和中文译本，并在专用合同条款中约定提供标准规范的名称、份数和时间。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spacing w:line="360" w:lineRule="auto"/>
        <w:ind w:firstLine="480" w:firstLineChars="200"/>
        <w:rPr>
          <w:rFonts w:hint="eastAsia" w:ascii="宋体" w:hAnsi="宋体" w:eastAsia="宋体" w:cs="宋体"/>
          <w:sz w:val="24"/>
          <w:szCs w:val="24"/>
          <w:highlight w:val="none"/>
          <w:lang w:val="zh-CN"/>
        </w:rPr>
      </w:pPr>
      <w:bookmarkStart w:id="357" w:name="_Toc351203500"/>
      <w:r>
        <w:rPr>
          <w:rFonts w:hint="eastAsia" w:ascii="宋体" w:hAnsi="宋体" w:eastAsia="宋体" w:cs="宋体"/>
          <w:sz w:val="24"/>
          <w:szCs w:val="24"/>
          <w:highlight w:val="none"/>
          <w:lang w:val="zh-CN"/>
        </w:rPr>
        <w:t>1</w:t>
      </w:r>
      <w:bookmarkStart w:id="358" w:name="_Toc296503031"/>
      <w:bookmarkStart w:id="359" w:name="_Toc296346532"/>
      <w:bookmarkStart w:id="360" w:name="_Toc337558731"/>
      <w:r>
        <w:rPr>
          <w:rFonts w:hint="eastAsia" w:ascii="宋体" w:hAnsi="宋体" w:eastAsia="宋体" w:cs="宋体"/>
          <w:sz w:val="24"/>
          <w:szCs w:val="24"/>
          <w:highlight w:val="none"/>
          <w:lang w:val="zh-CN"/>
        </w:rPr>
        <w:t>.5 合同文件的优先顺序</w:t>
      </w:r>
      <w:bookmarkEnd w:id="357"/>
    </w:p>
    <w:bookmarkEnd w:id="358"/>
    <w:bookmarkEnd w:id="359"/>
    <w:bookmarkEnd w:id="360"/>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组成合同的各项文件应互相解释，互为说明。除专用合同条款另有约定外，解释合同文件的优先顺序如下：</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（1）合同协议书；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（2）中标通知书（如果有）；</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（3）投标函及其附录（如果有）；</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（4）专用合同条款及其附件；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（5）通用合同条款；</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（6）技术标准和要求；</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（7）图纸；</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（8）已标价工程量清单或预算书；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（9）其他合同文件。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上述各项合同文件包括合同当事人就该项合同文件所作出的补充和修改，属于同一类内容的文件，应以最新签署的为准。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在合同订立及履行过程中形成的与合同有关的文件均构成合同文件组成部分，并根据其性质确定优先解释顺序。</w:t>
      </w:r>
    </w:p>
    <w:p>
      <w:pPr>
        <w:spacing w:line="360" w:lineRule="auto"/>
        <w:ind w:firstLine="480" w:firstLineChars="200"/>
        <w:rPr>
          <w:rFonts w:hint="eastAsia" w:ascii="宋体" w:hAnsi="宋体" w:eastAsia="宋体" w:cs="宋体"/>
          <w:sz w:val="24"/>
          <w:szCs w:val="24"/>
          <w:highlight w:val="none"/>
          <w:lang w:val="zh-CN"/>
        </w:rPr>
      </w:pPr>
      <w:bookmarkStart w:id="361" w:name="_Toc351203501"/>
      <w:r>
        <w:rPr>
          <w:rFonts w:hint="eastAsia" w:ascii="宋体" w:hAnsi="宋体" w:eastAsia="宋体" w:cs="宋体"/>
          <w:sz w:val="24"/>
          <w:szCs w:val="24"/>
          <w:highlight w:val="none"/>
          <w:lang w:val="zh-CN"/>
        </w:rPr>
        <w:t>1</w:t>
      </w:r>
      <w:bookmarkStart w:id="362" w:name="_Toc296346533"/>
      <w:bookmarkStart w:id="363" w:name="_Toc296503032"/>
      <w:bookmarkStart w:id="364" w:name="_Toc337558732"/>
      <w:r>
        <w:rPr>
          <w:rFonts w:hint="eastAsia" w:ascii="宋体" w:hAnsi="宋体" w:eastAsia="宋体" w:cs="宋体"/>
          <w:sz w:val="24"/>
          <w:szCs w:val="24"/>
          <w:highlight w:val="none"/>
          <w:lang w:val="zh-CN"/>
        </w:rPr>
        <w:t>.6图纸和承包人文件</w:t>
      </w:r>
      <w:bookmarkEnd w:id="361"/>
    </w:p>
    <w:bookmarkEnd w:id="362"/>
    <w:bookmarkEnd w:id="363"/>
    <w:bookmarkEnd w:id="364"/>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1.6.1 图纸的提供和交底</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因发包人未按合同约定提供图纸导致承包人费用增加和（或）工期延误的，按照第7.5.1项〔因发包人原因导致工期延误〕约定办理。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1.6.2 图纸的错误</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1.6.3 图纸的修改和补充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1.6.4 承包人文件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承包人应按照专用合同条款的约定提供应当由其编制的与工程施工有关的文件，并按照专用合同条款约定的期限、数量和形式提交监理人，并由监理人报送发包人。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1.6.5 图纸和承包人文件的保管</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除专用合同条款另有约定外，承包人应在施工现场另外保存一套完整的图纸和承包人文件，供发包人、监理人及有关人员进行工程检查时使用。</w:t>
      </w:r>
    </w:p>
    <w:p>
      <w:pPr>
        <w:spacing w:line="360" w:lineRule="auto"/>
        <w:ind w:firstLine="480" w:firstLineChars="200"/>
        <w:rPr>
          <w:rFonts w:hint="eastAsia" w:ascii="宋体" w:hAnsi="宋体" w:eastAsia="宋体" w:cs="宋体"/>
          <w:sz w:val="24"/>
          <w:szCs w:val="24"/>
          <w:highlight w:val="none"/>
          <w:lang w:val="zh-CN"/>
        </w:rPr>
      </w:pPr>
      <w:bookmarkStart w:id="365" w:name="_Toc351203502"/>
      <w:r>
        <w:rPr>
          <w:rFonts w:hint="eastAsia" w:ascii="宋体" w:hAnsi="宋体" w:eastAsia="宋体" w:cs="宋体"/>
          <w:sz w:val="24"/>
          <w:szCs w:val="24"/>
          <w:highlight w:val="none"/>
          <w:lang w:val="zh-CN"/>
        </w:rPr>
        <w:t>1</w:t>
      </w:r>
      <w:bookmarkStart w:id="366" w:name="_Toc337558733"/>
      <w:bookmarkStart w:id="367" w:name="_Toc296346534"/>
      <w:bookmarkStart w:id="368" w:name="_Toc296503033"/>
      <w:r>
        <w:rPr>
          <w:rFonts w:hint="eastAsia" w:ascii="宋体" w:hAnsi="宋体" w:eastAsia="宋体" w:cs="宋体"/>
          <w:sz w:val="24"/>
          <w:szCs w:val="24"/>
          <w:highlight w:val="none"/>
          <w:lang w:val="zh-CN"/>
        </w:rPr>
        <w:t>.7联络</w:t>
      </w:r>
      <w:bookmarkEnd w:id="365"/>
    </w:p>
    <w:bookmarkEnd w:id="366"/>
    <w:bookmarkEnd w:id="367"/>
    <w:bookmarkEnd w:id="368"/>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1.7.1 与合同有关的通知、批准、证明、证书、指示、指令、要求、请求、同意、意见、确定和决定等，均应采用书面形式，并应在合同约定的期限内送达接收人和送达地点。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1.7.2 发包人和承包人应在专用合同条款中约定各自的送达接收人和送达地点。任何一方合同当事人指定的接收人或送达地点发生变动的，应提前3天以书面形式通知对方。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1.7.3 发包人和承包人应当及时签收另一方送达至送达地点和指定接收人的来往信函。拒不签收的，由此增加的费用和（或）延误的工期由拒绝接收一方承担。</w:t>
      </w:r>
    </w:p>
    <w:p>
      <w:pPr>
        <w:spacing w:line="360" w:lineRule="auto"/>
        <w:ind w:firstLine="480" w:firstLineChars="200"/>
        <w:rPr>
          <w:rFonts w:hint="eastAsia" w:ascii="宋体" w:hAnsi="宋体" w:eastAsia="宋体" w:cs="宋体"/>
          <w:sz w:val="24"/>
          <w:szCs w:val="24"/>
          <w:highlight w:val="none"/>
          <w:lang w:val="zh-CN"/>
        </w:rPr>
      </w:pPr>
      <w:bookmarkStart w:id="369" w:name="_Toc351203503"/>
      <w:r>
        <w:rPr>
          <w:rFonts w:hint="eastAsia" w:ascii="宋体" w:hAnsi="宋体" w:eastAsia="宋体" w:cs="宋体"/>
          <w:sz w:val="24"/>
          <w:szCs w:val="24"/>
          <w:highlight w:val="none"/>
          <w:lang w:val="zh-CN"/>
        </w:rPr>
        <w:t>1</w:t>
      </w:r>
      <w:bookmarkStart w:id="370" w:name="_Toc296503035"/>
      <w:bookmarkStart w:id="371" w:name="_Toc337558734"/>
      <w:bookmarkStart w:id="372" w:name="_Toc296346536"/>
      <w:r>
        <w:rPr>
          <w:rFonts w:hint="eastAsia" w:ascii="宋体" w:hAnsi="宋体" w:eastAsia="宋体" w:cs="宋体"/>
          <w:sz w:val="24"/>
          <w:szCs w:val="24"/>
          <w:highlight w:val="none"/>
          <w:lang w:val="zh-CN"/>
        </w:rPr>
        <w:t>.8严禁贿赂</w:t>
      </w:r>
      <w:bookmarkEnd w:id="369"/>
    </w:p>
    <w:bookmarkEnd w:id="370"/>
    <w:bookmarkEnd w:id="371"/>
    <w:bookmarkEnd w:id="372"/>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合同当事人不得以贿赂或变相贿赂的方式，谋取非法利益或损害对方权益。因一方合同当事人的贿赂造成对方损失的，应赔偿损失，并承担相应的法律责任。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360" w:lineRule="auto"/>
        <w:ind w:firstLine="480" w:firstLineChars="200"/>
        <w:rPr>
          <w:rFonts w:hint="eastAsia" w:ascii="宋体" w:hAnsi="宋体" w:eastAsia="宋体" w:cs="宋体"/>
          <w:sz w:val="24"/>
          <w:szCs w:val="24"/>
          <w:highlight w:val="none"/>
          <w:lang w:val="zh-CN"/>
        </w:rPr>
      </w:pPr>
      <w:bookmarkStart w:id="373" w:name="_Toc351203504"/>
      <w:r>
        <w:rPr>
          <w:rFonts w:hint="eastAsia" w:ascii="宋体" w:hAnsi="宋体" w:eastAsia="宋体" w:cs="宋体"/>
          <w:sz w:val="24"/>
          <w:szCs w:val="24"/>
          <w:highlight w:val="none"/>
          <w:lang w:val="zh-CN"/>
        </w:rPr>
        <w:t>1</w:t>
      </w:r>
      <w:bookmarkStart w:id="374" w:name="_Toc296346537"/>
      <w:bookmarkStart w:id="375" w:name="_Toc296503036"/>
      <w:bookmarkStart w:id="376" w:name="_Toc337558735"/>
      <w:r>
        <w:rPr>
          <w:rFonts w:hint="eastAsia" w:ascii="宋体" w:hAnsi="宋体" w:eastAsia="宋体" w:cs="宋体"/>
          <w:sz w:val="24"/>
          <w:szCs w:val="24"/>
          <w:highlight w:val="none"/>
          <w:lang w:val="zh-CN"/>
        </w:rPr>
        <w:t>.9化石、文物</w:t>
      </w:r>
      <w:bookmarkEnd w:id="373"/>
    </w:p>
    <w:bookmarkEnd w:id="374"/>
    <w:bookmarkEnd w:id="375"/>
    <w:bookmarkEnd w:id="376"/>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发包人、监理人和承包人应按有关政府行政管理部门要求采取妥善的保护措施，由此增加的费用和（或）延误的工期由发包人承担。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承包人发现文物后不及时报告或隐瞒不报，致使文物丢失或损坏的，应赔偿损失，并承担相应的法律责任。</w:t>
      </w:r>
    </w:p>
    <w:p>
      <w:pPr>
        <w:spacing w:line="360" w:lineRule="auto"/>
        <w:ind w:firstLine="480" w:firstLineChars="200"/>
        <w:rPr>
          <w:rFonts w:hint="eastAsia" w:ascii="宋体" w:hAnsi="宋体" w:eastAsia="宋体" w:cs="宋体"/>
          <w:sz w:val="24"/>
          <w:szCs w:val="24"/>
          <w:highlight w:val="none"/>
          <w:lang w:val="zh-CN"/>
        </w:rPr>
      </w:pPr>
      <w:bookmarkStart w:id="377" w:name="_Toc351203505"/>
      <w:r>
        <w:rPr>
          <w:rFonts w:hint="eastAsia" w:ascii="宋体" w:hAnsi="宋体" w:eastAsia="宋体" w:cs="宋体"/>
          <w:sz w:val="24"/>
          <w:szCs w:val="24"/>
          <w:highlight w:val="none"/>
          <w:lang w:val="zh-CN"/>
        </w:rPr>
        <w:t>1</w:t>
      </w:r>
      <w:bookmarkStart w:id="378" w:name="_Toc337558736"/>
      <w:r>
        <w:rPr>
          <w:rFonts w:hint="eastAsia" w:ascii="宋体" w:hAnsi="宋体" w:eastAsia="宋体" w:cs="宋体"/>
          <w:sz w:val="24"/>
          <w:szCs w:val="24"/>
          <w:highlight w:val="none"/>
          <w:lang w:val="zh-CN"/>
        </w:rPr>
        <w:t>.10交通运输</w:t>
      </w:r>
      <w:bookmarkEnd w:id="377"/>
    </w:p>
    <w:bookmarkEnd w:id="378"/>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1.10.1 出入现场的权利</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1.10.2 场外交通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1.10.3场内交通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场外交通和场内交通的边界由合同当事人在专用合同条款中约定。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1.10.4 超大件和超重件的运输</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1.10.5 道路和桥梁的损坏责任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因承包人运输造成施工场地内外公共道路和桥梁损坏的，由承包人承担修复损坏的全部费用和可能引起的赔偿。</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1.10.6 水路和航空运输</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本款前述各项的内容适用于水路运输和航空运输，其中“道路”一词的涵义包括河道、航线、船闸、机场、码头、堤防以及水路或航空运输中其他相似结构物；“车辆”一词的涵义包括船舶和飞机等。</w:t>
      </w:r>
    </w:p>
    <w:p>
      <w:pPr>
        <w:spacing w:line="360" w:lineRule="auto"/>
        <w:ind w:firstLine="480" w:firstLineChars="200"/>
        <w:rPr>
          <w:rFonts w:hint="eastAsia" w:ascii="宋体" w:hAnsi="宋体" w:eastAsia="宋体" w:cs="宋体"/>
          <w:sz w:val="24"/>
          <w:szCs w:val="24"/>
          <w:highlight w:val="none"/>
          <w:lang w:val="zh-CN"/>
        </w:rPr>
      </w:pPr>
      <w:bookmarkStart w:id="379" w:name="_Toc351203506"/>
      <w:r>
        <w:rPr>
          <w:rFonts w:hint="eastAsia" w:ascii="宋体" w:hAnsi="宋体" w:eastAsia="宋体" w:cs="宋体"/>
          <w:sz w:val="24"/>
          <w:szCs w:val="24"/>
          <w:highlight w:val="none"/>
          <w:lang w:val="zh-CN"/>
        </w:rPr>
        <w:t>1</w:t>
      </w:r>
      <w:bookmarkStart w:id="380" w:name="_Toc337558737"/>
      <w:bookmarkStart w:id="381" w:name="_Toc296346538"/>
      <w:bookmarkStart w:id="382" w:name="_Toc296503037"/>
      <w:r>
        <w:rPr>
          <w:rFonts w:hint="eastAsia" w:ascii="宋体" w:hAnsi="宋体" w:eastAsia="宋体" w:cs="宋体"/>
          <w:sz w:val="24"/>
          <w:szCs w:val="24"/>
          <w:highlight w:val="none"/>
          <w:lang w:val="zh-CN"/>
        </w:rPr>
        <w:t>.11知识产权</w:t>
      </w:r>
      <w:bookmarkEnd w:id="379"/>
      <w:r>
        <w:rPr>
          <w:rFonts w:hint="eastAsia" w:ascii="宋体" w:hAnsi="宋体" w:eastAsia="宋体" w:cs="宋体"/>
          <w:sz w:val="24"/>
          <w:szCs w:val="24"/>
          <w:highlight w:val="none"/>
          <w:lang w:val="zh-CN"/>
        </w:rPr>
        <w:t xml:space="preserve"> </w:t>
      </w:r>
      <w:bookmarkEnd w:id="380"/>
    </w:p>
    <w:bookmarkEnd w:id="381"/>
    <w:bookmarkEnd w:id="382"/>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1.11.4 除专用合同条款另有约定外，承包人在合同签订前和签订时已确定采用的专利、专有技术、技术秘密的使用费已包含在签约合同价中。</w:t>
      </w:r>
    </w:p>
    <w:p>
      <w:pPr>
        <w:spacing w:line="360" w:lineRule="auto"/>
        <w:ind w:firstLine="480" w:firstLineChars="200"/>
        <w:rPr>
          <w:rFonts w:hint="eastAsia" w:ascii="宋体" w:hAnsi="宋体" w:eastAsia="宋体" w:cs="宋体"/>
          <w:sz w:val="24"/>
          <w:szCs w:val="24"/>
          <w:highlight w:val="none"/>
          <w:lang w:val="zh-CN"/>
        </w:rPr>
      </w:pPr>
      <w:bookmarkStart w:id="383" w:name="_Toc351203507"/>
      <w:r>
        <w:rPr>
          <w:rFonts w:hint="eastAsia" w:ascii="宋体" w:hAnsi="宋体" w:eastAsia="宋体" w:cs="宋体"/>
          <w:sz w:val="24"/>
          <w:szCs w:val="24"/>
          <w:highlight w:val="none"/>
          <w:lang w:val="zh-CN"/>
        </w:rPr>
        <w:t>1</w:t>
      </w:r>
      <w:bookmarkStart w:id="384" w:name="_Toc337558738"/>
      <w:r>
        <w:rPr>
          <w:rFonts w:hint="eastAsia" w:ascii="宋体" w:hAnsi="宋体" w:eastAsia="宋体" w:cs="宋体"/>
          <w:sz w:val="24"/>
          <w:szCs w:val="24"/>
          <w:highlight w:val="none"/>
          <w:lang w:val="zh-CN"/>
        </w:rPr>
        <w:t>.12保密</w:t>
      </w:r>
      <w:bookmarkEnd w:id="383"/>
    </w:p>
    <w:bookmarkEnd w:id="384"/>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除法律规定或合同另有约定外，未经发包人同意，承包人不得将发包人提供的图纸、文件以及声明需要保密的资料信息等商业秘密泄露给第三方。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除法律规定或合同另有约定外，未经承包人同意，发包人不得将承包人提供的技术秘密及声明需要保密的资料信息等商业秘密泄露给第三方。</w:t>
      </w:r>
    </w:p>
    <w:p>
      <w:pPr>
        <w:spacing w:line="360" w:lineRule="auto"/>
        <w:ind w:firstLine="480" w:firstLineChars="200"/>
        <w:rPr>
          <w:rFonts w:hint="eastAsia" w:ascii="宋体" w:hAnsi="宋体" w:eastAsia="宋体" w:cs="宋体"/>
          <w:sz w:val="24"/>
          <w:szCs w:val="24"/>
          <w:highlight w:val="none"/>
          <w:lang w:val="zh-CN"/>
        </w:rPr>
      </w:pPr>
      <w:bookmarkStart w:id="385" w:name="_Toc351203508"/>
      <w:r>
        <w:rPr>
          <w:rFonts w:hint="eastAsia" w:ascii="宋体" w:hAnsi="宋体" w:eastAsia="宋体" w:cs="宋体"/>
          <w:sz w:val="24"/>
          <w:szCs w:val="24"/>
          <w:highlight w:val="none"/>
          <w:lang w:val="zh-CN"/>
        </w:rPr>
        <w:t>1.13工程量清单错误的修正</w:t>
      </w:r>
      <w:bookmarkEnd w:id="385"/>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除专用合同条款另有约定外，发包人提供的工程量清单，应被认为是准确的和完整的。出现下列情形之一时，发包人应予以修正，并相应调整合同价格：</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（1）工程量清单存在缺项、漏项的；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（2）工程量清单偏差超出专用合同条款约定的工程量偏差范围的；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（3）未按照国家现行计量规范强制性规定计量的。</w:t>
      </w:r>
    </w:p>
    <w:p>
      <w:pPr>
        <w:spacing w:line="360" w:lineRule="auto"/>
        <w:ind w:firstLine="480" w:firstLineChars="200"/>
        <w:rPr>
          <w:rFonts w:hint="eastAsia" w:ascii="宋体" w:hAnsi="宋体" w:eastAsia="宋体" w:cs="宋体"/>
          <w:sz w:val="24"/>
          <w:szCs w:val="24"/>
          <w:highlight w:val="none"/>
          <w:lang w:val="zh-CN"/>
        </w:rPr>
      </w:pPr>
      <w:bookmarkStart w:id="386" w:name="_Toc351203509"/>
      <w:r>
        <w:rPr>
          <w:rFonts w:hint="eastAsia" w:ascii="宋体" w:hAnsi="宋体" w:eastAsia="宋体" w:cs="宋体"/>
          <w:sz w:val="24"/>
          <w:szCs w:val="24"/>
          <w:highlight w:val="none"/>
          <w:lang w:val="zh-CN"/>
        </w:rPr>
        <w:t>2</w:t>
      </w:r>
      <w:bookmarkStart w:id="387" w:name="_Toc296503038"/>
      <w:bookmarkStart w:id="388" w:name="_Toc296346539"/>
      <w:bookmarkStart w:id="389" w:name="_Toc337558739"/>
      <w:bookmarkStart w:id="390" w:name="OLE_LINK2"/>
      <w:bookmarkStart w:id="391" w:name="OLE_LINK1"/>
      <w:r>
        <w:rPr>
          <w:rFonts w:hint="eastAsia" w:ascii="宋体" w:hAnsi="宋体" w:eastAsia="宋体" w:cs="宋体"/>
          <w:sz w:val="24"/>
          <w:szCs w:val="24"/>
          <w:highlight w:val="none"/>
          <w:lang w:val="zh-CN"/>
        </w:rPr>
        <w:t>. 发包人</w:t>
      </w:r>
      <w:bookmarkEnd w:id="386"/>
    </w:p>
    <w:bookmarkEnd w:id="387"/>
    <w:bookmarkEnd w:id="388"/>
    <w:bookmarkEnd w:id="389"/>
    <w:p>
      <w:pPr>
        <w:spacing w:line="360" w:lineRule="auto"/>
        <w:ind w:firstLine="480" w:firstLineChars="200"/>
        <w:rPr>
          <w:rFonts w:hint="eastAsia" w:ascii="宋体" w:hAnsi="宋体" w:eastAsia="宋体" w:cs="宋体"/>
          <w:sz w:val="24"/>
          <w:szCs w:val="24"/>
          <w:highlight w:val="none"/>
          <w:lang w:val="zh-CN"/>
        </w:rPr>
      </w:pPr>
      <w:bookmarkStart w:id="392" w:name="_Toc351203510"/>
      <w:r>
        <w:rPr>
          <w:rFonts w:hint="eastAsia" w:ascii="宋体" w:hAnsi="宋体" w:eastAsia="宋体" w:cs="宋体"/>
          <w:sz w:val="24"/>
          <w:szCs w:val="24"/>
          <w:highlight w:val="none"/>
          <w:lang w:val="zh-CN"/>
        </w:rPr>
        <w:t>2</w:t>
      </w:r>
      <w:bookmarkStart w:id="393" w:name="_Toc296346540"/>
      <w:bookmarkStart w:id="394" w:name="_Toc337558740"/>
      <w:bookmarkStart w:id="395" w:name="_Toc296503039"/>
      <w:r>
        <w:rPr>
          <w:rFonts w:hint="eastAsia" w:ascii="宋体" w:hAnsi="宋体" w:eastAsia="宋体" w:cs="宋体"/>
          <w:sz w:val="24"/>
          <w:szCs w:val="24"/>
          <w:highlight w:val="none"/>
          <w:lang w:val="zh-CN"/>
        </w:rPr>
        <w:t>.1 许可或批准</w:t>
      </w:r>
      <w:bookmarkEnd w:id="392"/>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因发包人原因未能及时办理完毕前述许可、批准或备案，由发包人承担由此增加的费用和（或）延误的工期，并支付承包人合理的利润。</w:t>
      </w:r>
    </w:p>
    <w:p>
      <w:pPr>
        <w:spacing w:line="360" w:lineRule="auto"/>
        <w:ind w:firstLine="480" w:firstLineChars="200"/>
        <w:rPr>
          <w:rFonts w:hint="eastAsia" w:ascii="宋体" w:hAnsi="宋体" w:eastAsia="宋体" w:cs="宋体"/>
          <w:sz w:val="24"/>
          <w:szCs w:val="24"/>
          <w:highlight w:val="none"/>
          <w:lang w:val="zh-CN"/>
        </w:rPr>
      </w:pPr>
      <w:bookmarkStart w:id="396" w:name="_Toc351203511"/>
      <w:r>
        <w:rPr>
          <w:rFonts w:hint="eastAsia" w:ascii="宋体" w:hAnsi="宋体" w:eastAsia="宋体" w:cs="宋体"/>
          <w:sz w:val="24"/>
          <w:szCs w:val="24"/>
          <w:highlight w:val="none"/>
          <w:lang w:val="zh-CN"/>
        </w:rPr>
        <w:t>2.2 发包人代表</w:t>
      </w:r>
      <w:bookmarkEnd w:id="396"/>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发包人代表不能按照合同约定履行其职责及义务，并导致合同无法继续正常履行的，承包人可以要求发包人撤换发包人代表。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不属于法定必须监理的工程，监理人的职权可以由发包人代表或发包人指定的其他人员行使。</w:t>
      </w:r>
    </w:p>
    <w:p>
      <w:pPr>
        <w:spacing w:line="360" w:lineRule="auto"/>
        <w:ind w:firstLine="480" w:firstLineChars="200"/>
        <w:rPr>
          <w:rFonts w:hint="eastAsia" w:ascii="宋体" w:hAnsi="宋体" w:eastAsia="宋体" w:cs="宋体"/>
          <w:sz w:val="24"/>
          <w:szCs w:val="24"/>
          <w:highlight w:val="none"/>
          <w:lang w:val="zh-CN"/>
        </w:rPr>
      </w:pPr>
      <w:bookmarkStart w:id="397" w:name="_Toc351203512"/>
      <w:r>
        <w:rPr>
          <w:rFonts w:hint="eastAsia" w:ascii="宋体" w:hAnsi="宋体" w:eastAsia="宋体" w:cs="宋体"/>
          <w:sz w:val="24"/>
          <w:szCs w:val="24"/>
          <w:highlight w:val="none"/>
          <w:lang w:val="zh-CN"/>
        </w:rPr>
        <w:t>2.3 发包人人员</w:t>
      </w:r>
      <w:bookmarkEnd w:id="397"/>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发包人人员包括发包人代表及其他由发包人派驻施工现场的人员。</w:t>
      </w:r>
      <w:bookmarkEnd w:id="393"/>
      <w:bookmarkEnd w:id="394"/>
      <w:bookmarkEnd w:id="395"/>
    </w:p>
    <w:p>
      <w:pPr>
        <w:spacing w:line="360" w:lineRule="auto"/>
        <w:ind w:firstLine="480" w:firstLineChars="200"/>
        <w:rPr>
          <w:rFonts w:hint="eastAsia" w:ascii="宋体" w:hAnsi="宋体" w:eastAsia="宋体" w:cs="宋体"/>
          <w:sz w:val="24"/>
          <w:szCs w:val="24"/>
          <w:highlight w:val="none"/>
          <w:lang w:val="zh-CN"/>
        </w:rPr>
      </w:pPr>
      <w:bookmarkStart w:id="398" w:name="_Toc351203513"/>
      <w:r>
        <w:rPr>
          <w:rFonts w:hint="eastAsia" w:ascii="宋体" w:hAnsi="宋体" w:eastAsia="宋体" w:cs="宋体"/>
          <w:sz w:val="24"/>
          <w:szCs w:val="24"/>
          <w:highlight w:val="none"/>
          <w:lang w:val="zh-CN"/>
        </w:rPr>
        <w:t>2</w:t>
      </w:r>
      <w:bookmarkStart w:id="399" w:name="_Toc296503040"/>
      <w:bookmarkStart w:id="400" w:name="_Toc296346541"/>
      <w:bookmarkStart w:id="401" w:name="_Toc337558741"/>
      <w:r>
        <w:rPr>
          <w:rFonts w:hint="eastAsia" w:ascii="宋体" w:hAnsi="宋体" w:eastAsia="宋体" w:cs="宋体"/>
          <w:sz w:val="24"/>
          <w:szCs w:val="24"/>
          <w:highlight w:val="none"/>
          <w:lang w:val="zh-CN"/>
        </w:rPr>
        <w:t>.4 施工现场、施工条件和基础资料的提供</w:t>
      </w:r>
      <w:bookmarkEnd w:id="398"/>
      <w:r>
        <w:rPr>
          <w:rFonts w:hint="eastAsia" w:ascii="宋体" w:hAnsi="宋体" w:eastAsia="宋体" w:cs="宋体"/>
          <w:sz w:val="24"/>
          <w:szCs w:val="24"/>
          <w:highlight w:val="none"/>
          <w:lang w:val="zh-CN"/>
        </w:rPr>
        <w:t xml:space="preserve"> </w:t>
      </w:r>
      <w:bookmarkEnd w:id="399"/>
      <w:bookmarkEnd w:id="400"/>
      <w:bookmarkEnd w:id="401"/>
      <w:r>
        <w:rPr>
          <w:rFonts w:hint="eastAsia" w:ascii="宋体" w:hAnsi="宋体" w:eastAsia="宋体" w:cs="宋体"/>
          <w:sz w:val="24"/>
          <w:szCs w:val="24"/>
          <w:highlight w:val="none"/>
          <w:lang w:val="zh-CN"/>
        </w:rPr>
        <w:t xml:space="preserve">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2.4.1 提供施工现场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w:t>
      </w:r>
      <w:bookmarkEnd w:id="390"/>
      <w:bookmarkEnd w:id="391"/>
      <w:r>
        <w:rPr>
          <w:rFonts w:hint="eastAsia" w:ascii="宋体" w:hAnsi="宋体" w:eastAsia="宋体" w:cs="宋体"/>
          <w:sz w:val="24"/>
          <w:szCs w:val="24"/>
          <w:highlight w:val="none"/>
          <w:lang w:val="zh-CN"/>
        </w:rPr>
        <w:t>专用合同条款另有约定外，发包人应最迟于开工日期7天前向承包人移交施工现场。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2.4.2 提供施工条件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除专用合同条款另有约定外，发包人应负责提供施工所需要的条件，包括：</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（1）将施工用水、电力、通讯线路等施工所必需的条件接至施工现场内；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（2）保证向承包人提供正常施工所需要的进入施工现场的交通条件；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（3）协调处理施工现场周围地下管线和邻近建筑物、构筑物、古树名木的保护工作，并承担相关费用；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（4）按照专用合同条款约定应提供的其他设施和条件。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2.4.3 提供基础资料</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按照法律规定确需在开工后方能提供的基础资料，发包人应尽其努力及时地在相应工程施工前的合理期限内提供，合理期限应以不影响承包人的正常施工为限。</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2.4.4 逾期提供的责任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因发包人原因未能按合同约定及时向承包人提供施工现场、施工条件、基础资料的，由发包人承担由此增加的费用和（或）延误的工期。</w:t>
      </w:r>
    </w:p>
    <w:p>
      <w:pPr>
        <w:spacing w:line="360" w:lineRule="auto"/>
        <w:ind w:firstLine="480" w:firstLineChars="200"/>
        <w:rPr>
          <w:rFonts w:hint="eastAsia" w:ascii="宋体" w:hAnsi="宋体" w:eastAsia="宋体" w:cs="宋体"/>
          <w:sz w:val="24"/>
          <w:szCs w:val="24"/>
          <w:highlight w:val="none"/>
          <w:lang w:val="zh-CN"/>
        </w:rPr>
      </w:pPr>
      <w:bookmarkStart w:id="402" w:name="_Toc351203514"/>
      <w:r>
        <w:rPr>
          <w:rFonts w:hint="eastAsia" w:ascii="宋体" w:hAnsi="宋体" w:eastAsia="宋体" w:cs="宋体"/>
          <w:sz w:val="24"/>
          <w:szCs w:val="24"/>
          <w:highlight w:val="none"/>
          <w:lang w:val="zh-CN"/>
        </w:rPr>
        <w:t>2</w:t>
      </w:r>
      <w:bookmarkStart w:id="403" w:name="_Toc296346543"/>
      <w:bookmarkStart w:id="404" w:name="_Toc296503042"/>
      <w:bookmarkStart w:id="405" w:name="_Toc337558745"/>
      <w:r>
        <w:rPr>
          <w:rFonts w:hint="eastAsia" w:ascii="宋体" w:hAnsi="宋体" w:eastAsia="宋体" w:cs="宋体"/>
          <w:sz w:val="24"/>
          <w:szCs w:val="24"/>
          <w:highlight w:val="none"/>
          <w:lang w:val="zh-CN"/>
        </w:rPr>
        <w:t>.5 资</w:t>
      </w:r>
      <w:bookmarkEnd w:id="403"/>
      <w:bookmarkEnd w:id="404"/>
      <w:bookmarkEnd w:id="405"/>
      <w:r>
        <w:rPr>
          <w:rFonts w:hint="eastAsia" w:ascii="宋体" w:hAnsi="宋体" w:eastAsia="宋体" w:cs="宋体"/>
          <w:sz w:val="24"/>
          <w:szCs w:val="24"/>
          <w:highlight w:val="none"/>
          <w:lang w:val="zh-CN"/>
        </w:rPr>
        <w:t>金来源证明及支付担保</w:t>
      </w:r>
      <w:bookmarkEnd w:id="402"/>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360" w:lineRule="auto"/>
        <w:ind w:firstLine="480" w:firstLineChars="200"/>
        <w:rPr>
          <w:rFonts w:hint="eastAsia" w:ascii="宋体" w:hAnsi="宋体" w:eastAsia="宋体" w:cs="宋体"/>
          <w:sz w:val="24"/>
          <w:szCs w:val="24"/>
          <w:highlight w:val="none"/>
          <w:lang w:val="zh-CN"/>
        </w:rPr>
      </w:pPr>
      <w:bookmarkStart w:id="406" w:name="_Toc351203515"/>
      <w:r>
        <w:rPr>
          <w:rFonts w:hint="eastAsia" w:ascii="宋体" w:hAnsi="宋体" w:eastAsia="宋体" w:cs="宋体"/>
          <w:sz w:val="24"/>
          <w:szCs w:val="24"/>
          <w:highlight w:val="none"/>
          <w:lang w:val="zh-CN"/>
        </w:rPr>
        <w:t>2.6 支付合同价款</w:t>
      </w:r>
      <w:bookmarkEnd w:id="406"/>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发包人应按合同约定向承包人及时支付合同价款。</w:t>
      </w:r>
    </w:p>
    <w:p>
      <w:pPr>
        <w:spacing w:line="360" w:lineRule="auto"/>
        <w:ind w:firstLine="480" w:firstLineChars="200"/>
        <w:rPr>
          <w:rFonts w:hint="eastAsia" w:ascii="宋体" w:hAnsi="宋体" w:eastAsia="宋体" w:cs="宋体"/>
          <w:sz w:val="24"/>
          <w:szCs w:val="24"/>
          <w:highlight w:val="none"/>
          <w:lang w:val="zh-CN"/>
        </w:rPr>
      </w:pPr>
      <w:bookmarkStart w:id="407" w:name="_Toc351203516"/>
      <w:r>
        <w:rPr>
          <w:rFonts w:hint="eastAsia" w:ascii="宋体" w:hAnsi="宋体" w:eastAsia="宋体" w:cs="宋体"/>
          <w:sz w:val="24"/>
          <w:szCs w:val="24"/>
          <w:highlight w:val="none"/>
          <w:lang w:val="zh-CN"/>
        </w:rPr>
        <w:t>2.7 组织竣工验收</w:t>
      </w:r>
      <w:bookmarkEnd w:id="407"/>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发包人应按合同约定及时组织竣工验收。</w:t>
      </w:r>
    </w:p>
    <w:p>
      <w:pPr>
        <w:spacing w:line="360" w:lineRule="auto"/>
        <w:ind w:firstLine="480" w:firstLineChars="200"/>
        <w:rPr>
          <w:rFonts w:hint="eastAsia" w:ascii="宋体" w:hAnsi="宋体" w:eastAsia="宋体" w:cs="宋体"/>
          <w:sz w:val="24"/>
          <w:szCs w:val="24"/>
          <w:highlight w:val="none"/>
          <w:lang w:val="zh-CN"/>
        </w:rPr>
      </w:pPr>
      <w:bookmarkStart w:id="408" w:name="_Toc351203517"/>
      <w:r>
        <w:rPr>
          <w:rFonts w:hint="eastAsia" w:ascii="宋体" w:hAnsi="宋体" w:eastAsia="宋体" w:cs="宋体"/>
          <w:sz w:val="24"/>
          <w:szCs w:val="24"/>
          <w:highlight w:val="none"/>
          <w:lang w:val="zh-CN"/>
        </w:rPr>
        <w:t>2.8 现场统一管理协议</w:t>
      </w:r>
      <w:bookmarkEnd w:id="408"/>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发包人应与承包人、由发包人直接发包的专业工程的承包人签订施工现场统一管理协议，明确各方的权利义务。施工现场统一管理协议作为专用合同条款的附件。</w:t>
      </w:r>
    </w:p>
    <w:p>
      <w:pPr>
        <w:spacing w:line="360" w:lineRule="auto"/>
        <w:ind w:firstLine="480" w:firstLineChars="200"/>
        <w:rPr>
          <w:rFonts w:hint="eastAsia" w:ascii="宋体" w:hAnsi="宋体" w:eastAsia="宋体" w:cs="宋体"/>
          <w:sz w:val="24"/>
          <w:szCs w:val="24"/>
          <w:highlight w:val="none"/>
          <w:lang w:val="zh-CN"/>
        </w:rPr>
      </w:pPr>
      <w:bookmarkStart w:id="409" w:name="_Toc351203518"/>
      <w:r>
        <w:rPr>
          <w:rFonts w:hint="eastAsia" w:ascii="宋体" w:hAnsi="宋体" w:eastAsia="宋体" w:cs="宋体"/>
          <w:sz w:val="24"/>
          <w:szCs w:val="24"/>
          <w:highlight w:val="none"/>
          <w:lang w:val="zh-CN"/>
        </w:rPr>
        <w:t>3</w:t>
      </w:r>
      <w:bookmarkStart w:id="410" w:name="_Toc296346546"/>
      <w:bookmarkStart w:id="411" w:name="_Toc296503045"/>
      <w:bookmarkStart w:id="412" w:name="_Toc337558746"/>
      <w:r>
        <w:rPr>
          <w:rFonts w:hint="eastAsia" w:ascii="宋体" w:hAnsi="宋体" w:eastAsia="宋体" w:cs="宋体"/>
          <w:sz w:val="24"/>
          <w:szCs w:val="24"/>
          <w:highlight w:val="none"/>
          <w:lang w:val="zh-CN"/>
        </w:rPr>
        <w:t>. 承包人</w:t>
      </w:r>
      <w:bookmarkEnd w:id="409"/>
    </w:p>
    <w:bookmarkEnd w:id="410"/>
    <w:bookmarkEnd w:id="411"/>
    <w:bookmarkEnd w:id="412"/>
    <w:p>
      <w:pPr>
        <w:spacing w:line="360" w:lineRule="auto"/>
        <w:ind w:firstLine="480" w:firstLineChars="200"/>
        <w:rPr>
          <w:rFonts w:hint="eastAsia" w:ascii="宋体" w:hAnsi="宋体" w:eastAsia="宋体" w:cs="宋体"/>
          <w:sz w:val="24"/>
          <w:szCs w:val="24"/>
          <w:highlight w:val="none"/>
          <w:lang w:val="zh-CN"/>
        </w:rPr>
      </w:pPr>
      <w:bookmarkStart w:id="413" w:name="_Toc351203519"/>
      <w:r>
        <w:rPr>
          <w:rFonts w:hint="eastAsia" w:ascii="宋体" w:hAnsi="宋体" w:eastAsia="宋体" w:cs="宋体"/>
          <w:sz w:val="24"/>
          <w:szCs w:val="24"/>
          <w:highlight w:val="none"/>
          <w:lang w:val="zh-CN"/>
        </w:rPr>
        <w:t>3</w:t>
      </w:r>
      <w:bookmarkStart w:id="414" w:name="_Toc296346547"/>
      <w:bookmarkStart w:id="415" w:name="_Toc337558747"/>
      <w:bookmarkStart w:id="416" w:name="_Toc296503046"/>
      <w:r>
        <w:rPr>
          <w:rFonts w:hint="eastAsia" w:ascii="宋体" w:hAnsi="宋体" w:eastAsia="宋体" w:cs="宋体"/>
          <w:sz w:val="24"/>
          <w:szCs w:val="24"/>
          <w:highlight w:val="none"/>
          <w:lang w:val="zh-CN"/>
        </w:rPr>
        <w:t>.1 承包人的一般义务</w:t>
      </w:r>
      <w:bookmarkEnd w:id="413"/>
    </w:p>
    <w:bookmarkEnd w:id="414"/>
    <w:bookmarkEnd w:id="415"/>
    <w:bookmarkEnd w:id="416"/>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承包人在履行合同过程中应遵守法律和工程建设标准规范，并履行以下义务：</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办理法律规定应由承包人办理的许可和批准，并将办理结果书面报送发包人留存；</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（2）按法律规定和合同约定完成工程，并在保修期内承担保修义务；</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（3）按法律规定和合同约定采取施工安全和环境保护措施，办理工伤保险，确保工程及人员、材料、设备和设施的安全；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（4）按合同约定的工作内容和施工进度要求，编制施工组织设计和施工措施计划，并对所有施工作业和施工方法的完备性和安全可靠性负责；</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（6）按照第6.3款〔环境保护〕约定负责施工场地及其周边环境与生态的保护工作；</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（7）按第6.1款〔安全文明施工〕约定采取施工安全措施，确保工程及其人员、材料、设备和设施的安全，防止因工程施工造成的人身伤害和财产损失；</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（8）将发包人按合同约定支付的各项价款专用于合同工程，且应及时支付其雇用人员工资，并及时向分包人支付合同价款；</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（9）按照法律规定和合同约定编制竣工资料，完成竣工资料立卷及归档，并按专用合同条款约定的竣工资料的套数、内容、时间等要求移交发包人；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（10）应履行的其他义务。</w:t>
      </w:r>
    </w:p>
    <w:p>
      <w:pPr>
        <w:spacing w:line="360" w:lineRule="auto"/>
        <w:ind w:firstLine="480" w:firstLineChars="200"/>
        <w:rPr>
          <w:rFonts w:hint="eastAsia" w:ascii="宋体" w:hAnsi="宋体" w:eastAsia="宋体" w:cs="宋体"/>
          <w:sz w:val="24"/>
          <w:szCs w:val="24"/>
          <w:highlight w:val="none"/>
          <w:lang w:val="zh-CN"/>
        </w:rPr>
      </w:pPr>
      <w:bookmarkStart w:id="417" w:name="_Toc351203520"/>
      <w:r>
        <w:rPr>
          <w:rFonts w:hint="eastAsia" w:ascii="宋体" w:hAnsi="宋体" w:eastAsia="宋体" w:cs="宋体"/>
          <w:sz w:val="24"/>
          <w:szCs w:val="24"/>
          <w:highlight w:val="none"/>
          <w:lang w:val="zh-CN"/>
        </w:rPr>
        <w:t>3</w:t>
      </w:r>
      <w:bookmarkStart w:id="418" w:name="_Toc337558748"/>
      <w:bookmarkStart w:id="419" w:name="_Toc296503047"/>
      <w:bookmarkStart w:id="420" w:name="_Toc296346548"/>
      <w:r>
        <w:rPr>
          <w:rFonts w:hint="eastAsia" w:ascii="宋体" w:hAnsi="宋体" w:eastAsia="宋体" w:cs="宋体"/>
          <w:sz w:val="24"/>
          <w:szCs w:val="24"/>
          <w:highlight w:val="none"/>
          <w:lang w:val="zh-CN"/>
        </w:rPr>
        <w:t xml:space="preserve">.2 </w:t>
      </w:r>
      <w:bookmarkEnd w:id="417"/>
      <w:r>
        <w:rPr>
          <w:rFonts w:hint="eastAsia" w:ascii="宋体" w:hAnsi="宋体" w:eastAsia="宋体" w:cs="宋体"/>
          <w:sz w:val="24"/>
          <w:szCs w:val="24"/>
          <w:highlight w:val="none"/>
          <w:lang w:val="zh-CN"/>
        </w:rPr>
        <w:t>项目经理</w:t>
      </w:r>
    </w:p>
    <w:bookmarkEnd w:id="418"/>
    <w:bookmarkEnd w:id="419"/>
    <w:bookmarkEnd w:id="420"/>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承包人违反上述约定的，应按照专用合同条款的约定，承担违约责任。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3.2.5 项目经理因特殊情况授权其下属人员履行其某项工作职责的，该下属人员应具备履行相应职责的能力，并应提前7天将上述人员的姓名和授权范围书面通知监理人，并征得发包人书面同意。</w:t>
      </w:r>
    </w:p>
    <w:p>
      <w:pPr>
        <w:spacing w:line="360" w:lineRule="auto"/>
        <w:ind w:firstLine="480" w:firstLineChars="200"/>
        <w:rPr>
          <w:rFonts w:hint="eastAsia" w:ascii="宋体" w:hAnsi="宋体" w:eastAsia="宋体" w:cs="宋体"/>
          <w:sz w:val="24"/>
          <w:szCs w:val="24"/>
          <w:highlight w:val="none"/>
          <w:lang w:val="zh-CN"/>
        </w:rPr>
      </w:pPr>
      <w:bookmarkStart w:id="421" w:name="_Toc351203521"/>
      <w:r>
        <w:rPr>
          <w:rFonts w:hint="eastAsia" w:ascii="宋体" w:hAnsi="宋体" w:eastAsia="宋体" w:cs="宋体"/>
          <w:sz w:val="24"/>
          <w:szCs w:val="24"/>
          <w:highlight w:val="none"/>
          <w:lang w:val="zh-CN"/>
        </w:rPr>
        <w:t>3</w:t>
      </w:r>
      <w:bookmarkStart w:id="422" w:name="_Toc296503048"/>
      <w:bookmarkStart w:id="423" w:name="_Toc296346549"/>
      <w:bookmarkStart w:id="424" w:name="_Toc337558749"/>
      <w:r>
        <w:rPr>
          <w:rFonts w:hint="eastAsia" w:ascii="宋体" w:hAnsi="宋体" w:eastAsia="宋体" w:cs="宋体"/>
          <w:sz w:val="24"/>
          <w:szCs w:val="24"/>
          <w:highlight w:val="none"/>
          <w:lang w:val="zh-CN"/>
        </w:rPr>
        <w:t xml:space="preserve">.3 </w:t>
      </w:r>
      <w:bookmarkEnd w:id="422"/>
      <w:bookmarkEnd w:id="423"/>
      <w:r>
        <w:rPr>
          <w:rFonts w:hint="eastAsia" w:ascii="宋体" w:hAnsi="宋体" w:eastAsia="宋体" w:cs="宋体"/>
          <w:sz w:val="24"/>
          <w:szCs w:val="24"/>
          <w:highlight w:val="none"/>
          <w:lang w:val="zh-CN"/>
        </w:rPr>
        <w:t>承包人人员</w:t>
      </w:r>
      <w:bookmarkEnd w:id="421"/>
    </w:p>
    <w:bookmarkEnd w:id="424"/>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特殊工种作业人员均应持有相应的资格证明，监理人可以随时检查。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3.3.5 承包人擅自更换主要施工管理人员，或前述人员未经监理人或发包人同意擅自离开施工现场的，应按照专用合同条款约定承担违约责任。</w:t>
      </w:r>
    </w:p>
    <w:p>
      <w:pPr>
        <w:spacing w:line="360" w:lineRule="auto"/>
        <w:ind w:firstLine="480" w:firstLineChars="200"/>
        <w:rPr>
          <w:rFonts w:hint="eastAsia" w:ascii="宋体" w:hAnsi="宋体" w:eastAsia="宋体" w:cs="宋体"/>
          <w:sz w:val="24"/>
          <w:szCs w:val="24"/>
          <w:highlight w:val="none"/>
          <w:lang w:val="zh-CN"/>
        </w:rPr>
      </w:pPr>
      <w:bookmarkStart w:id="425" w:name="_Toc351203522"/>
      <w:r>
        <w:rPr>
          <w:rFonts w:hint="eastAsia" w:ascii="宋体" w:hAnsi="宋体" w:eastAsia="宋体" w:cs="宋体"/>
          <w:sz w:val="24"/>
          <w:szCs w:val="24"/>
          <w:highlight w:val="none"/>
          <w:lang w:val="zh-CN"/>
        </w:rPr>
        <w:t>3</w:t>
      </w:r>
      <w:bookmarkStart w:id="426" w:name="_Toc296346551"/>
      <w:bookmarkStart w:id="427" w:name="_Toc296503050"/>
      <w:bookmarkStart w:id="428" w:name="_Toc337558750"/>
      <w:r>
        <w:rPr>
          <w:rFonts w:hint="eastAsia" w:ascii="宋体" w:hAnsi="宋体" w:eastAsia="宋体" w:cs="宋体"/>
          <w:sz w:val="24"/>
          <w:szCs w:val="24"/>
          <w:highlight w:val="none"/>
          <w:lang w:val="zh-CN"/>
        </w:rPr>
        <w:t>.4 承包人现场查勘</w:t>
      </w:r>
      <w:bookmarkEnd w:id="425"/>
    </w:p>
    <w:bookmarkEnd w:id="426"/>
    <w:bookmarkEnd w:id="427"/>
    <w:bookmarkEnd w:id="428"/>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承包人应对基于发包人按照第2.4.3项〔提供基础资料〕提交的基础资料所做出的解释和推断负责，但因基础资料存在错误、遗漏导致承包人解释或推断失实的，由发包人承担责任。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360" w:lineRule="auto"/>
        <w:ind w:firstLine="480" w:firstLineChars="200"/>
        <w:rPr>
          <w:rFonts w:hint="eastAsia" w:ascii="宋体" w:hAnsi="宋体" w:eastAsia="宋体" w:cs="宋体"/>
          <w:sz w:val="24"/>
          <w:szCs w:val="24"/>
          <w:highlight w:val="none"/>
          <w:lang w:val="zh-CN"/>
        </w:rPr>
      </w:pPr>
      <w:bookmarkStart w:id="429" w:name="_Toc351203523"/>
      <w:r>
        <w:rPr>
          <w:rFonts w:hint="eastAsia" w:ascii="宋体" w:hAnsi="宋体" w:eastAsia="宋体" w:cs="宋体"/>
          <w:sz w:val="24"/>
          <w:szCs w:val="24"/>
          <w:highlight w:val="none"/>
          <w:lang w:val="zh-CN"/>
        </w:rPr>
        <w:t>3</w:t>
      </w:r>
      <w:bookmarkStart w:id="430" w:name="_Toc337558751"/>
      <w:bookmarkStart w:id="431" w:name="_Toc296503051"/>
      <w:bookmarkStart w:id="432" w:name="_Toc296346552"/>
      <w:r>
        <w:rPr>
          <w:rFonts w:hint="eastAsia" w:ascii="宋体" w:hAnsi="宋体" w:eastAsia="宋体" w:cs="宋体"/>
          <w:sz w:val="24"/>
          <w:szCs w:val="24"/>
          <w:highlight w:val="none"/>
          <w:lang w:val="zh-CN"/>
        </w:rPr>
        <w:t>.5 分包</w:t>
      </w:r>
      <w:bookmarkEnd w:id="429"/>
    </w:p>
    <w:bookmarkEnd w:id="430"/>
    <w:bookmarkEnd w:id="431"/>
    <w:bookmarkEnd w:id="432"/>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3.5.1 分包的一般约定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承包人不得以劳务分包的名义转包或违法分包工程。</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3.5.2 分包的确定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3.5.3 分包管理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承包人应向监理人提交分包人的主要施工管理人员表，并对分包人的施工人员进行实名制管理，包括但不限于进出场管理、登记造册以及各种证照的办理。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3.5.4 分包合同价款</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（1）除本项第（2）目约定的情况或专用合同条款另有约定外，分包合同价款由承包人与分包人结算，未经承包人同意，发包人不得向分包人支付分包工程价款；</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（2）生效法律文书要求发包人向分包人支付分包合同价款的，发包人有权从应付承包人工程款中扣除该部分款项。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3.5.5 分包合同权益的转让</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433" w:name="_Toc351203524"/>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3.6 工程照管与成品、半成品保护</w:t>
      </w:r>
      <w:bookmarkEnd w:id="433"/>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（1）除专用合同条款另有约定外，自发包人向承包人移交施工现场之日起，承包人应负责照管工程及工程相关的材料、工程设备，直到颁发工程接收证书之日止。</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（2）在承包人负责照管期间，因承包人原因造成工程、材料、工程设备损坏的，由承包人负责修复或更换，并承担由此增加的费用和（或）延误的工期。</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（3）对合同内分期完成的成品和半成品，在工程接收证书颁发前，由承包人承担保护责任。因承包人原因造成成品或半成品损坏的，由承包人负责修复或更换，并承担由此增加的费用和（或）延误的工期。</w:t>
      </w:r>
    </w:p>
    <w:p>
      <w:pPr>
        <w:spacing w:line="360" w:lineRule="auto"/>
        <w:ind w:firstLine="480" w:firstLineChars="200"/>
        <w:rPr>
          <w:rFonts w:hint="eastAsia" w:ascii="宋体" w:hAnsi="宋体" w:eastAsia="宋体" w:cs="宋体"/>
          <w:sz w:val="24"/>
          <w:szCs w:val="24"/>
          <w:highlight w:val="none"/>
          <w:lang w:val="zh-CN"/>
        </w:rPr>
      </w:pPr>
      <w:bookmarkStart w:id="434" w:name="_Toc351203525"/>
      <w:r>
        <w:rPr>
          <w:rFonts w:hint="eastAsia" w:ascii="宋体" w:hAnsi="宋体" w:eastAsia="宋体" w:cs="宋体"/>
          <w:sz w:val="24"/>
          <w:szCs w:val="24"/>
          <w:highlight w:val="none"/>
          <w:lang w:val="zh-CN"/>
        </w:rPr>
        <w:t>3</w:t>
      </w:r>
      <w:bookmarkStart w:id="435" w:name="_Toc337558752"/>
      <w:bookmarkStart w:id="436" w:name="_Toc296346553"/>
      <w:bookmarkStart w:id="437" w:name="_Toc296503052"/>
      <w:r>
        <w:rPr>
          <w:rFonts w:hint="eastAsia" w:ascii="宋体" w:hAnsi="宋体" w:eastAsia="宋体" w:cs="宋体"/>
          <w:sz w:val="24"/>
          <w:szCs w:val="24"/>
          <w:highlight w:val="none"/>
          <w:lang w:val="zh-CN"/>
        </w:rPr>
        <w:t>.7 履约担保</w:t>
      </w:r>
      <w:bookmarkEnd w:id="434"/>
    </w:p>
    <w:bookmarkEnd w:id="435"/>
    <w:bookmarkEnd w:id="436"/>
    <w:bookmarkEnd w:id="437"/>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发包人需要承包人提供履约担保的，由合同当事人在专用合同条款中约定履约担保的方式、金额及期限等。履约担保可以采用银行保函或担保公司担保等形式，具体由合同当事人在专用合同条款中约定。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因承包人原因导致工期延长的，继续提供履约担保所增加的费用由承包人承担；非因承包人原因导致工期延长的，继续提供履约担保所增加的费用由发包人承担。</w:t>
      </w:r>
    </w:p>
    <w:p>
      <w:pPr>
        <w:spacing w:line="360" w:lineRule="auto"/>
        <w:ind w:firstLine="480" w:firstLineChars="200"/>
        <w:rPr>
          <w:rFonts w:hint="eastAsia" w:ascii="宋体" w:hAnsi="宋体" w:eastAsia="宋体" w:cs="宋体"/>
          <w:sz w:val="24"/>
          <w:szCs w:val="24"/>
          <w:highlight w:val="none"/>
          <w:lang w:val="zh-CN"/>
        </w:rPr>
      </w:pPr>
      <w:bookmarkStart w:id="438" w:name="_Toc351203526"/>
      <w:r>
        <w:rPr>
          <w:rFonts w:hint="eastAsia" w:ascii="宋体" w:hAnsi="宋体" w:eastAsia="宋体" w:cs="宋体"/>
          <w:sz w:val="24"/>
          <w:szCs w:val="24"/>
          <w:highlight w:val="none"/>
          <w:lang w:val="zh-CN"/>
        </w:rPr>
        <w:t>3.8 联合体</w:t>
      </w:r>
      <w:bookmarkEnd w:id="438"/>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3.8.1 联合体各方应共同与发包人签订合同协议书。联合体各方应为履行合同向发包人承担连带责任。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3.8.2 联合体协议经发包人确认后作为合同附件。在履行合同过程中，未经发包人同意，不得修改联合体协议。</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3.8.3 联合体牵头人负责与发包人和监理人联系，并接受指示，负责组织联合体各成员全面履行合同。</w:t>
      </w:r>
    </w:p>
    <w:p>
      <w:pPr>
        <w:spacing w:line="360" w:lineRule="auto"/>
        <w:ind w:firstLine="480" w:firstLineChars="200"/>
        <w:rPr>
          <w:rFonts w:hint="eastAsia" w:ascii="宋体" w:hAnsi="宋体" w:eastAsia="宋体" w:cs="宋体"/>
          <w:sz w:val="24"/>
          <w:szCs w:val="24"/>
          <w:highlight w:val="none"/>
          <w:lang w:val="zh-CN"/>
        </w:rPr>
      </w:pPr>
      <w:bookmarkStart w:id="439" w:name="_Toc351203527"/>
      <w:r>
        <w:rPr>
          <w:rFonts w:hint="eastAsia" w:ascii="宋体" w:hAnsi="宋体" w:eastAsia="宋体" w:cs="宋体"/>
          <w:sz w:val="24"/>
          <w:szCs w:val="24"/>
          <w:highlight w:val="none"/>
          <w:lang w:val="zh-CN"/>
        </w:rPr>
        <w:t>4</w:t>
      </w:r>
      <w:bookmarkStart w:id="440" w:name="_Toc296503053"/>
      <w:bookmarkStart w:id="441" w:name="_Toc296346554"/>
      <w:bookmarkStart w:id="442" w:name="_Toc337558753"/>
      <w:r>
        <w:rPr>
          <w:rFonts w:hint="eastAsia" w:ascii="宋体" w:hAnsi="宋体" w:eastAsia="宋体" w:cs="宋体"/>
          <w:sz w:val="24"/>
          <w:szCs w:val="24"/>
          <w:highlight w:val="none"/>
          <w:lang w:val="zh-CN"/>
        </w:rPr>
        <w:t>. 监</w:t>
      </w:r>
      <w:bookmarkEnd w:id="440"/>
      <w:bookmarkEnd w:id="441"/>
      <w:r>
        <w:rPr>
          <w:rFonts w:hint="eastAsia" w:ascii="宋体" w:hAnsi="宋体" w:eastAsia="宋体" w:cs="宋体"/>
          <w:sz w:val="24"/>
          <w:szCs w:val="24"/>
          <w:highlight w:val="none"/>
          <w:lang w:val="zh-CN"/>
        </w:rPr>
        <w:t>理人</w:t>
      </w:r>
      <w:bookmarkEnd w:id="439"/>
    </w:p>
    <w:bookmarkEnd w:id="442"/>
    <w:p>
      <w:pPr>
        <w:spacing w:line="360" w:lineRule="auto"/>
        <w:ind w:firstLine="480" w:firstLineChars="200"/>
        <w:rPr>
          <w:rFonts w:hint="eastAsia" w:ascii="宋体" w:hAnsi="宋体" w:eastAsia="宋体" w:cs="宋体"/>
          <w:sz w:val="24"/>
          <w:szCs w:val="24"/>
          <w:highlight w:val="none"/>
          <w:lang w:val="zh-CN"/>
        </w:rPr>
      </w:pPr>
      <w:bookmarkStart w:id="443" w:name="_Toc351203528"/>
      <w:r>
        <w:rPr>
          <w:rFonts w:hint="eastAsia" w:ascii="宋体" w:hAnsi="宋体" w:eastAsia="宋体" w:cs="宋体"/>
          <w:sz w:val="24"/>
          <w:szCs w:val="24"/>
          <w:highlight w:val="none"/>
          <w:lang w:val="zh-CN"/>
        </w:rPr>
        <w:t>4</w:t>
      </w:r>
      <w:bookmarkStart w:id="444" w:name="_Toc296346555"/>
      <w:bookmarkStart w:id="445" w:name="_Toc337558754"/>
      <w:bookmarkStart w:id="446" w:name="_Toc296503054"/>
      <w:r>
        <w:rPr>
          <w:rFonts w:hint="eastAsia" w:ascii="宋体" w:hAnsi="宋体" w:eastAsia="宋体" w:cs="宋体"/>
          <w:sz w:val="24"/>
          <w:szCs w:val="24"/>
          <w:highlight w:val="none"/>
          <w:lang w:val="zh-CN"/>
        </w:rPr>
        <w:t>.1监理人的一般规定</w:t>
      </w:r>
      <w:bookmarkEnd w:id="443"/>
    </w:p>
    <w:bookmarkEnd w:id="444"/>
    <w:bookmarkEnd w:id="445"/>
    <w:bookmarkEnd w:id="446"/>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除专用合同条款另有约定外，监理人在施工现场的办公场所、生活场所由承包人提供，所发生的费用由发包人承担。</w:t>
      </w:r>
    </w:p>
    <w:p>
      <w:pPr>
        <w:spacing w:line="360" w:lineRule="auto"/>
        <w:ind w:firstLine="480" w:firstLineChars="200"/>
        <w:rPr>
          <w:rFonts w:hint="eastAsia" w:ascii="宋体" w:hAnsi="宋体" w:eastAsia="宋体" w:cs="宋体"/>
          <w:sz w:val="24"/>
          <w:szCs w:val="24"/>
          <w:highlight w:val="none"/>
          <w:lang w:val="zh-CN"/>
        </w:rPr>
      </w:pPr>
      <w:bookmarkStart w:id="447" w:name="_Toc351203529"/>
      <w:r>
        <w:rPr>
          <w:rFonts w:hint="eastAsia" w:ascii="宋体" w:hAnsi="宋体" w:eastAsia="宋体" w:cs="宋体"/>
          <w:sz w:val="24"/>
          <w:szCs w:val="24"/>
          <w:highlight w:val="none"/>
          <w:lang w:val="zh-CN"/>
        </w:rPr>
        <w:t>4</w:t>
      </w:r>
      <w:bookmarkStart w:id="448" w:name="_Toc337558755"/>
      <w:r>
        <w:rPr>
          <w:rFonts w:hint="eastAsia" w:ascii="宋体" w:hAnsi="宋体" w:eastAsia="宋体" w:cs="宋体"/>
          <w:sz w:val="24"/>
          <w:szCs w:val="24"/>
          <w:highlight w:val="none"/>
          <w:lang w:val="zh-CN"/>
        </w:rPr>
        <w:t>.2监理人员</w:t>
      </w:r>
      <w:bookmarkEnd w:id="447"/>
    </w:p>
    <w:bookmarkEnd w:id="448"/>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360" w:lineRule="auto"/>
        <w:ind w:firstLine="480" w:firstLineChars="200"/>
        <w:rPr>
          <w:rFonts w:hint="eastAsia" w:ascii="宋体" w:hAnsi="宋体" w:eastAsia="宋体" w:cs="宋体"/>
          <w:sz w:val="24"/>
          <w:szCs w:val="24"/>
          <w:highlight w:val="none"/>
          <w:lang w:val="zh-CN"/>
        </w:rPr>
      </w:pPr>
      <w:bookmarkStart w:id="449" w:name="_Toc351203530"/>
      <w:r>
        <w:rPr>
          <w:rFonts w:hint="eastAsia" w:ascii="宋体" w:hAnsi="宋体" w:eastAsia="宋体" w:cs="宋体"/>
          <w:sz w:val="24"/>
          <w:szCs w:val="24"/>
          <w:highlight w:val="none"/>
          <w:lang w:val="zh-CN"/>
        </w:rPr>
        <w:t>4</w:t>
      </w:r>
      <w:bookmarkStart w:id="450" w:name="_Toc296503055"/>
      <w:bookmarkStart w:id="451" w:name="_Toc296346556"/>
      <w:bookmarkStart w:id="452" w:name="_Toc337558756"/>
      <w:r>
        <w:rPr>
          <w:rFonts w:hint="eastAsia" w:ascii="宋体" w:hAnsi="宋体" w:eastAsia="宋体" w:cs="宋体"/>
          <w:sz w:val="24"/>
          <w:szCs w:val="24"/>
          <w:highlight w:val="none"/>
          <w:lang w:val="zh-CN"/>
        </w:rPr>
        <w:t>.3</w:t>
      </w:r>
      <w:bookmarkEnd w:id="450"/>
      <w:bookmarkEnd w:id="451"/>
      <w:r>
        <w:rPr>
          <w:rFonts w:hint="eastAsia" w:ascii="宋体" w:hAnsi="宋体" w:eastAsia="宋体" w:cs="宋体"/>
          <w:sz w:val="24"/>
          <w:szCs w:val="24"/>
          <w:highlight w:val="none"/>
          <w:lang w:val="zh-CN"/>
        </w:rPr>
        <w:t>监理人的指</w:t>
      </w:r>
      <w:bookmarkEnd w:id="452"/>
      <w:r>
        <w:rPr>
          <w:rFonts w:hint="eastAsia" w:ascii="宋体" w:hAnsi="宋体" w:eastAsia="宋体" w:cs="宋体"/>
          <w:sz w:val="24"/>
          <w:szCs w:val="24"/>
          <w:highlight w:val="none"/>
          <w:lang w:val="zh-CN"/>
        </w:rPr>
        <w:t>示</w:t>
      </w:r>
      <w:bookmarkEnd w:id="449"/>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承包人对监理人发出的指示有疑问的，应向监理人提出书面异议，监理人应在48小时内对该指示予以确认、更改或撤销，监理人逾期未回复的，承包人有权拒绝执行上述指示。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监理人对承包人的任何工作、工程或其采用的材料和工程设备未在约定的或合理期限内提出意见的，视为批准，但不免除或减轻承包人对该工作、工程、材料、工程设备等应承担的责任和义务。</w:t>
      </w:r>
    </w:p>
    <w:p>
      <w:pPr>
        <w:spacing w:line="360" w:lineRule="auto"/>
        <w:ind w:firstLine="480" w:firstLineChars="200"/>
        <w:rPr>
          <w:rFonts w:hint="eastAsia" w:ascii="宋体" w:hAnsi="宋体" w:eastAsia="宋体" w:cs="宋体"/>
          <w:sz w:val="24"/>
          <w:szCs w:val="24"/>
          <w:highlight w:val="none"/>
          <w:lang w:val="zh-CN"/>
        </w:rPr>
      </w:pPr>
      <w:bookmarkStart w:id="453" w:name="_Toc351203531"/>
      <w:r>
        <w:rPr>
          <w:rFonts w:hint="eastAsia" w:ascii="宋体" w:hAnsi="宋体" w:eastAsia="宋体" w:cs="宋体"/>
          <w:sz w:val="24"/>
          <w:szCs w:val="24"/>
          <w:highlight w:val="none"/>
          <w:lang w:val="zh-CN"/>
        </w:rPr>
        <w:t>4</w:t>
      </w:r>
      <w:bookmarkStart w:id="454" w:name="_Toc296346558"/>
      <w:bookmarkStart w:id="455" w:name="_Toc296503057"/>
      <w:bookmarkStart w:id="456" w:name="_Toc337558757"/>
      <w:r>
        <w:rPr>
          <w:rFonts w:hint="eastAsia" w:ascii="宋体" w:hAnsi="宋体" w:eastAsia="宋体" w:cs="宋体"/>
          <w:sz w:val="24"/>
          <w:szCs w:val="24"/>
          <w:highlight w:val="none"/>
          <w:lang w:val="zh-CN"/>
        </w:rPr>
        <w:t>.4 商定或确定</w:t>
      </w:r>
      <w:bookmarkEnd w:id="453"/>
    </w:p>
    <w:bookmarkEnd w:id="454"/>
    <w:bookmarkEnd w:id="455"/>
    <w:bookmarkEnd w:id="456"/>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合同当事人进行商定或确定时，总监理工程师应当会同合同当事人尽量通过协商达成一致，不能达成一致的，由总监理工程师按照合同约定审慎做出公正的确定。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360" w:lineRule="auto"/>
        <w:ind w:firstLine="480" w:firstLineChars="200"/>
        <w:rPr>
          <w:rFonts w:hint="eastAsia" w:ascii="宋体" w:hAnsi="宋体" w:eastAsia="宋体" w:cs="宋体"/>
          <w:sz w:val="24"/>
          <w:szCs w:val="24"/>
          <w:highlight w:val="none"/>
          <w:lang w:val="zh-CN"/>
        </w:rPr>
      </w:pPr>
      <w:bookmarkStart w:id="457" w:name="_Toc351203532"/>
      <w:r>
        <w:rPr>
          <w:rFonts w:hint="eastAsia" w:ascii="宋体" w:hAnsi="宋体" w:eastAsia="宋体" w:cs="宋体"/>
          <w:sz w:val="24"/>
          <w:szCs w:val="24"/>
          <w:highlight w:val="none"/>
          <w:lang w:val="zh-CN"/>
        </w:rPr>
        <w:t>5</w:t>
      </w:r>
      <w:bookmarkStart w:id="458" w:name="_Toc337558758"/>
      <w:r>
        <w:rPr>
          <w:rFonts w:hint="eastAsia" w:ascii="宋体" w:hAnsi="宋体" w:eastAsia="宋体" w:cs="宋体"/>
          <w:sz w:val="24"/>
          <w:szCs w:val="24"/>
          <w:highlight w:val="none"/>
          <w:lang w:val="zh-CN"/>
        </w:rPr>
        <w:t>. 工程质量</w:t>
      </w:r>
      <w:bookmarkEnd w:id="457"/>
    </w:p>
    <w:bookmarkEnd w:id="458"/>
    <w:p>
      <w:pPr>
        <w:spacing w:line="360" w:lineRule="auto"/>
        <w:ind w:firstLine="480" w:firstLineChars="200"/>
        <w:rPr>
          <w:rFonts w:hint="eastAsia" w:ascii="宋体" w:hAnsi="宋体" w:eastAsia="宋体" w:cs="宋体"/>
          <w:sz w:val="24"/>
          <w:szCs w:val="24"/>
          <w:highlight w:val="none"/>
          <w:lang w:val="zh-CN"/>
        </w:rPr>
      </w:pPr>
      <w:bookmarkStart w:id="459" w:name="_Toc351203533"/>
      <w:r>
        <w:rPr>
          <w:rFonts w:hint="eastAsia" w:ascii="宋体" w:hAnsi="宋体" w:eastAsia="宋体" w:cs="宋体"/>
          <w:sz w:val="24"/>
          <w:szCs w:val="24"/>
          <w:highlight w:val="none"/>
          <w:lang w:val="zh-CN"/>
        </w:rPr>
        <w:t>5</w:t>
      </w:r>
      <w:bookmarkStart w:id="460" w:name="_Toc337558759"/>
      <w:r>
        <w:rPr>
          <w:rFonts w:hint="eastAsia" w:ascii="宋体" w:hAnsi="宋体" w:eastAsia="宋体" w:cs="宋体"/>
          <w:sz w:val="24"/>
          <w:szCs w:val="24"/>
          <w:highlight w:val="none"/>
          <w:lang w:val="zh-CN"/>
        </w:rPr>
        <w:t>.1质量要求</w:t>
      </w:r>
      <w:bookmarkEnd w:id="459"/>
    </w:p>
    <w:bookmarkEnd w:id="460"/>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5.1.1 工程质量标准必须符合现行国家有关工程施工质量验收规范和标准的要求。有关工程质量的特殊标准或要求由合同当事人在专用合同条款中约定。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5.1.2 因发包人原因造成工程质量未达到合同约定标准的，由发包人承担由此增加的费用和（或）延误的工期，并支付承包人合理的利润。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5.1.3 因承包人原因造成工程质量未达到合同约定标准的，发包人有权要求承包人返工直至工程质量达到合同约定的标准为止，并由承包人承担由此增加的费用和（或）延误的工期。</w:t>
      </w:r>
    </w:p>
    <w:p>
      <w:pPr>
        <w:spacing w:line="360" w:lineRule="auto"/>
        <w:ind w:firstLine="480" w:firstLineChars="200"/>
        <w:rPr>
          <w:rFonts w:hint="eastAsia" w:ascii="宋体" w:hAnsi="宋体" w:eastAsia="宋体" w:cs="宋体"/>
          <w:sz w:val="24"/>
          <w:szCs w:val="24"/>
          <w:highlight w:val="none"/>
          <w:lang w:val="zh-CN"/>
        </w:rPr>
      </w:pPr>
      <w:bookmarkStart w:id="461" w:name="_Toc351203534"/>
      <w:r>
        <w:rPr>
          <w:rFonts w:hint="eastAsia" w:ascii="宋体" w:hAnsi="宋体" w:eastAsia="宋体" w:cs="宋体"/>
          <w:sz w:val="24"/>
          <w:szCs w:val="24"/>
          <w:highlight w:val="none"/>
          <w:lang w:val="zh-CN"/>
        </w:rPr>
        <w:t>5</w:t>
      </w:r>
      <w:bookmarkStart w:id="462" w:name="_Toc337558760"/>
      <w:r>
        <w:rPr>
          <w:rFonts w:hint="eastAsia" w:ascii="宋体" w:hAnsi="宋体" w:eastAsia="宋体" w:cs="宋体"/>
          <w:sz w:val="24"/>
          <w:szCs w:val="24"/>
          <w:highlight w:val="none"/>
          <w:lang w:val="zh-CN"/>
        </w:rPr>
        <w:t>.2质量保证措施</w:t>
      </w:r>
      <w:bookmarkEnd w:id="461"/>
    </w:p>
    <w:bookmarkEnd w:id="462"/>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5.2.1 发包人的质量管理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发包人应按照法律规定及合同约定完成与工程质量有关的各项工作。</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5.2.2 承包人的质量管理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承包人应对施工人员进行质量教育和技术培训，定期考核施工人员的劳动技能，严格执行施工规范和操作规程。</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5.2.3 监理人的质量检查和检验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360" w:lineRule="auto"/>
        <w:ind w:firstLine="480" w:firstLineChars="200"/>
        <w:rPr>
          <w:rFonts w:hint="eastAsia" w:ascii="宋体" w:hAnsi="宋体" w:eastAsia="宋体" w:cs="宋体"/>
          <w:sz w:val="24"/>
          <w:szCs w:val="24"/>
          <w:highlight w:val="none"/>
          <w:lang w:val="zh-CN"/>
        </w:rPr>
      </w:pPr>
      <w:bookmarkStart w:id="463" w:name="_Toc351203535"/>
      <w:r>
        <w:rPr>
          <w:rFonts w:hint="eastAsia" w:ascii="宋体" w:hAnsi="宋体" w:eastAsia="宋体" w:cs="宋体"/>
          <w:sz w:val="24"/>
          <w:szCs w:val="24"/>
          <w:highlight w:val="none"/>
          <w:lang w:val="zh-CN"/>
        </w:rPr>
        <w:t>5</w:t>
      </w:r>
      <w:bookmarkStart w:id="464" w:name="_Toc337558761"/>
      <w:r>
        <w:rPr>
          <w:rFonts w:hint="eastAsia" w:ascii="宋体" w:hAnsi="宋体" w:eastAsia="宋体" w:cs="宋体"/>
          <w:sz w:val="24"/>
          <w:szCs w:val="24"/>
          <w:highlight w:val="none"/>
          <w:lang w:val="zh-CN"/>
        </w:rPr>
        <w:t>.3 隐蔽工程检查</w:t>
      </w:r>
      <w:bookmarkEnd w:id="463"/>
    </w:p>
    <w:bookmarkEnd w:id="464"/>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5.3.1承包人自检</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承包人应当对工程隐蔽部位进行自检，并经自检确认是否具备覆盖条件。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5.3.2检查程序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5.3.3 重新检查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5.3.4 承包人私自覆盖</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承包人未通知监理人到场检查，私自将工程隐蔽部位覆盖的，监理人有权指示承包人钻孔探测或揭开检查，无论工程隐蔽部位质量是否合格，由此增加的费用和（或）延误的工期均由承包人承担。</w:t>
      </w:r>
    </w:p>
    <w:p>
      <w:pPr>
        <w:spacing w:line="360" w:lineRule="auto"/>
        <w:ind w:firstLine="480" w:firstLineChars="200"/>
        <w:rPr>
          <w:rFonts w:hint="eastAsia" w:ascii="宋体" w:hAnsi="宋体" w:eastAsia="宋体" w:cs="宋体"/>
          <w:sz w:val="24"/>
          <w:szCs w:val="24"/>
          <w:highlight w:val="none"/>
          <w:lang w:val="zh-CN"/>
        </w:rPr>
      </w:pPr>
      <w:bookmarkStart w:id="465" w:name="_Toc351203536"/>
      <w:r>
        <w:rPr>
          <w:rFonts w:hint="eastAsia" w:ascii="宋体" w:hAnsi="宋体" w:eastAsia="宋体" w:cs="宋体"/>
          <w:sz w:val="24"/>
          <w:szCs w:val="24"/>
          <w:highlight w:val="none"/>
          <w:lang w:val="zh-CN"/>
        </w:rPr>
        <w:t>5</w:t>
      </w:r>
      <w:bookmarkStart w:id="466" w:name="_Toc337558762"/>
      <w:r>
        <w:rPr>
          <w:rFonts w:hint="eastAsia" w:ascii="宋体" w:hAnsi="宋体" w:eastAsia="宋体" w:cs="宋体"/>
          <w:sz w:val="24"/>
          <w:szCs w:val="24"/>
          <w:highlight w:val="none"/>
          <w:lang w:val="zh-CN"/>
        </w:rPr>
        <w:t>.4不合格工程的处理</w:t>
      </w:r>
      <w:bookmarkEnd w:id="465"/>
    </w:p>
    <w:bookmarkEnd w:id="466"/>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5.4.2 因发包人原因造成工程不合格的，由此增加的费用和（或）延误的工期由发包人承担，并支付承包人合理的利润。</w:t>
      </w:r>
    </w:p>
    <w:p>
      <w:pPr>
        <w:spacing w:line="360" w:lineRule="auto"/>
        <w:ind w:firstLine="480" w:firstLineChars="200"/>
        <w:rPr>
          <w:rFonts w:hint="eastAsia" w:ascii="宋体" w:hAnsi="宋体" w:eastAsia="宋体" w:cs="宋体"/>
          <w:sz w:val="24"/>
          <w:szCs w:val="24"/>
          <w:highlight w:val="none"/>
          <w:lang w:val="zh-CN"/>
        </w:rPr>
      </w:pPr>
      <w:bookmarkStart w:id="467" w:name="_Toc351203537"/>
      <w:r>
        <w:rPr>
          <w:rFonts w:hint="eastAsia" w:ascii="宋体" w:hAnsi="宋体" w:eastAsia="宋体" w:cs="宋体"/>
          <w:sz w:val="24"/>
          <w:szCs w:val="24"/>
          <w:highlight w:val="none"/>
          <w:lang w:val="zh-CN"/>
        </w:rPr>
        <w:t>5.5 质量争议检测</w:t>
      </w:r>
      <w:bookmarkEnd w:id="467"/>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合同当事人对工程质量有争议的，由双方协商确定的工程质量检测机构鉴定，由此产生的费用及因此造成的损失，由责任方承担。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合同当事人均有责任的，由双方根据其责任分别承担。合同当事人无法达成一致的，按照第4.4款〔商定或确定〕执行。</w:t>
      </w:r>
    </w:p>
    <w:p>
      <w:pPr>
        <w:spacing w:line="360" w:lineRule="auto"/>
        <w:ind w:firstLine="480" w:firstLineChars="200"/>
        <w:rPr>
          <w:rFonts w:hint="eastAsia" w:ascii="宋体" w:hAnsi="宋体" w:eastAsia="宋体" w:cs="宋体"/>
          <w:sz w:val="24"/>
          <w:szCs w:val="24"/>
          <w:highlight w:val="none"/>
          <w:lang w:val="zh-CN"/>
        </w:rPr>
      </w:pPr>
      <w:bookmarkStart w:id="468" w:name="_Toc351203538"/>
      <w:r>
        <w:rPr>
          <w:rFonts w:hint="eastAsia" w:ascii="宋体" w:hAnsi="宋体" w:eastAsia="宋体" w:cs="宋体"/>
          <w:sz w:val="24"/>
          <w:szCs w:val="24"/>
          <w:highlight w:val="none"/>
          <w:lang w:val="zh-CN"/>
        </w:rPr>
        <w:t>6</w:t>
      </w:r>
      <w:bookmarkStart w:id="469" w:name="_Toc337558763"/>
      <w:r>
        <w:rPr>
          <w:rFonts w:hint="eastAsia" w:ascii="宋体" w:hAnsi="宋体" w:eastAsia="宋体" w:cs="宋体"/>
          <w:sz w:val="24"/>
          <w:szCs w:val="24"/>
          <w:highlight w:val="none"/>
          <w:lang w:val="zh-CN"/>
        </w:rPr>
        <w:t>. 安全文明施工与环境保护</w:t>
      </w:r>
      <w:bookmarkEnd w:id="468"/>
    </w:p>
    <w:bookmarkEnd w:id="469"/>
    <w:p>
      <w:pPr>
        <w:spacing w:line="360" w:lineRule="auto"/>
        <w:ind w:firstLine="480" w:firstLineChars="200"/>
        <w:rPr>
          <w:rFonts w:hint="eastAsia" w:ascii="宋体" w:hAnsi="宋体" w:eastAsia="宋体" w:cs="宋体"/>
          <w:sz w:val="24"/>
          <w:szCs w:val="24"/>
          <w:highlight w:val="none"/>
          <w:lang w:val="zh-CN"/>
        </w:rPr>
      </w:pPr>
      <w:bookmarkStart w:id="470" w:name="_Toc351203539"/>
      <w:r>
        <w:rPr>
          <w:rFonts w:hint="eastAsia" w:ascii="宋体" w:hAnsi="宋体" w:eastAsia="宋体" w:cs="宋体"/>
          <w:sz w:val="24"/>
          <w:szCs w:val="24"/>
          <w:highlight w:val="none"/>
          <w:lang w:val="zh-CN"/>
        </w:rPr>
        <w:t>6</w:t>
      </w:r>
      <w:bookmarkStart w:id="471" w:name="_Toc337558764"/>
      <w:r>
        <w:rPr>
          <w:rFonts w:hint="eastAsia" w:ascii="宋体" w:hAnsi="宋体" w:eastAsia="宋体" w:cs="宋体"/>
          <w:sz w:val="24"/>
          <w:szCs w:val="24"/>
          <w:highlight w:val="none"/>
          <w:lang w:val="zh-CN"/>
        </w:rPr>
        <w:t>.1安全文明施工</w:t>
      </w:r>
      <w:bookmarkEnd w:id="470"/>
    </w:p>
    <w:bookmarkEnd w:id="471"/>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6.1.1安全生产要求</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因安全生产需要暂停施工的，按照第7.8款〔暂停施工〕的约定执行。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6.1.2 安全生产保证措施</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6.1.3特别安全生产事项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需单独编制危险性较大分部分项专项工程施工方案的，及要求进行专家论证的超过一定规模的危险性较大的分部分项工程，承包人应及时编制和组织论证。</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6.1.4 治安保卫</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发包人和承包人除应协助现场治安管理机构或联防组织维护施工场地的社会治安外，还应做好包括生活区在内的各自管辖区的治安保卫工作。</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6.1.5 文明施工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6.1.6 安全文明施工费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安全文明施工费由发包人承担，发包人不得以任何形式扣减该部分费用。因基准日期后合同所适用的法律或政府有关规定发生变化，增加的安全文明施工费由发包人承担。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6.1.7 紧急情况处理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6.1.8 事故处理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6.1.9 安全生产责任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6.1.9.1 发包人的安全责任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发包人应负责赔偿以下各种情况造成的损失：</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（1）工程或工程的任何部分对土地的占用所造成的第三者财产损失；</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（2）由于发包人原因在施工场地及其毗邻地带造成的第三者人身伤亡和财产损失；</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（3）由于发包人原因对承包人、监理人造成的人员人身伤亡和财产损失；</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（4）由于发包人原因造成的发包人自身人员的人身伤害以及财产损失。</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6.1.9.2 承包人的安全责任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由于承包人原因在施工场地内及其毗邻地带造成的发包人、监理人以及第三者人员伤亡和财产损失，由承包人负责赔偿。</w:t>
      </w:r>
    </w:p>
    <w:p>
      <w:pPr>
        <w:spacing w:line="360" w:lineRule="auto"/>
        <w:ind w:firstLine="480" w:firstLineChars="200"/>
        <w:rPr>
          <w:rFonts w:hint="eastAsia" w:ascii="宋体" w:hAnsi="宋体" w:eastAsia="宋体" w:cs="宋体"/>
          <w:sz w:val="24"/>
          <w:szCs w:val="24"/>
          <w:highlight w:val="none"/>
          <w:lang w:val="zh-CN"/>
        </w:rPr>
      </w:pPr>
      <w:bookmarkStart w:id="472" w:name="_Toc351203540"/>
      <w:r>
        <w:rPr>
          <w:rFonts w:hint="eastAsia" w:ascii="宋体" w:hAnsi="宋体" w:eastAsia="宋体" w:cs="宋体"/>
          <w:sz w:val="24"/>
          <w:szCs w:val="24"/>
          <w:highlight w:val="none"/>
          <w:lang w:val="zh-CN"/>
        </w:rPr>
        <w:t>6</w:t>
      </w:r>
      <w:bookmarkStart w:id="473" w:name="_Toc337558765"/>
      <w:r>
        <w:rPr>
          <w:rFonts w:hint="eastAsia" w:ascii="宋体" w:hAnsi="宋体" w:eastAsia="宋体" w:cs="宋体"/>
          <w:sz w:val="24"/>
          <w:szCs w:val="24"/>
          <w:highlight w:val="none"/>
          <w:lang w:val="zh-CN"/>
        </w:rPr>
        <w:t>.2 职业健康</w:t>
      </w:r>
      <w:bookmarkEnd w:id="472"/>
    </w:p>
    <w:bookmarkEnd w:id="473"/>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6.2.1 劳动保护</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承包人应按法律规定安排工作时间，保证其雇佣人员享有休息和休假的权利。因工程施工的特殊需要占用休假日或延长工作时间的，应不超过法律规定的限度，并按法律规定给予补休或付酬。</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6.2.2 生活条件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ind w:firstLine="480" w:firstLineChars="200"/>
        <w:rPr>
          <w:rFonts w:hint="eastAsia" w:ascii="宋体" w:hAnsi="宋体" w:eastAsia="宋体" w:cs="宋体"/>
          <w:sz w:val="24"/>
          <w:szCs w:val="24"/>
          <w:highlight w:val="none"/>
          <w:lang w:val="zh-CN"/>
        </w:rPr>
      </w:pPr>
      <w:bookmarkStart w:id="474" w:name="_Toc351203541"/>
      <w:r>
        <w:rPr>
          <w:rFonts w:hint="eastAsia" w:ascii="宋体" w:hAnsi="宋体" w:eastAsia="宋体" w:cs="宋体"/>
          <w:sz w:val="24"/>
          <w:szCs w:val="24"/>
          <w:highlight w:val="none"/>
          <w:lang w:val="zh-CN"/>
        </w:rPr>
        <w:t>6</w:t>
      </w:r>
      <w:bookmarkStart w:id="475" w:name="_Toc337558766"/>
      <w:r>
        <w:rPr>
          <w:rFonts w:hint="eastAsia" w:ascii="宋体" w:hAnsi="宋体" w:eastAsia="宋体" w:cs="宋体"/>
          <w:sz w:val="24"/>
          <w:szCs w:val="24"/>
          <w:highlight w:val="none"/>
          <w:lang w:val="zh-CN"/>
        </w:rPr>
        <w:t>.3 环境保护</w:t>
      </w:r>
      <w:bookmarkEnd w:id="474"/>
    </w:p>
    <w:bookmarkEnd w:id="475"/>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承包人应当承担因其原因引起的环境污染侵权损害赔偿责任，因上述环境污染引起纠纷而导致暂停施工的，由此增加的费用和（或）延误的工期由承包人承担。</w:t>
      </w:r>
    </w:p>
    <w:p>
      <w:pPr>
        <w:spacing w:line="360" w:lineRule="auto"/>
        <w:ind w:firstLine="480" w:firstLineChars="200"/>
        <w:rPr>
          <w:rFonts w:hint="eastAsia" w:ascii="宋体" w:hAnsi="宋体" w:eastAsia="宋体" w:cs="宋体"/>
          <w:sz w:val="24"/>
          <w:szCs w:val="24"/>
          <w:highlight w:val="none"/>
          <w:lang w:val="zh-CN"/>
        </w:rPr>
      </w:pPr>
      <w:bookmarkStart w:id="476" w:name="_Toc351203542"/>
      <w:r>
        <w:rPr>
          <w:rFonts w:hint="eastAsia" w:ascii="宋体" w:hAnsi="宋体" w:eastAsia="宋体" w:cs="宋体"/>
          <w:sz w:val="24"/>
          <w:szCs w:val="24"/>
          <w:highlight w:val="none"/>
          <w:lang w:val="zh-CN"/>
        </w:rPr>
        <w:t>7</w:t>
      </w:r>
      <w:bookmarkStart w:id="477" w:name="_Toc337558767"/>
      <w:r>
        <w:rPr>
          <w:rFonts w:hint="eastAsia" w:ascii="宋体" w:hAnsi="宋体" w:eastAsia="宋体" w:cs="宋体"/>
          <w:sz w:val="24"/>
          <w:szCs w:val="24"/>
          <w:highlight w:val="none"/>
          <w:lang w:val="zh-CN"/>
        </w:rPr>
        <w:t>. 工期和进度</w:t>
      </w:r>
      <w:bookmarkEnd w:id="476"/>
    </w:p>
    <w:bookmarkEnd w:id="477"/>
    <w:p>
      <w:pPr>
        <w:spacing w:line="360" w:lineRule="auto"/>
        <w:ind w:firstLine="480" w:firstLineChars="200"/>
        <w:rPr>
          <w:rFonts w:hint="eastAsia" w:ascii="宋体" w:hAnsi="宋体" w:eastAsia="宋体" w:cs="宋体"/>
          <w:sz w:val="24"/>
          <w:szCs w:val="24"/>
          <w:highlight w:val="none"/>
          <w:lang w:val="zh-CN"/>
        </w:rPr>
      </w:pPr>
      <w:bookmarkStart w:id="478" w:name="_Toc351203543"/>
      <w:r>
        <w:rPr>
          <w:rFonts w:hint="eastAsia" w:ascii="宋体" w:hAnsi="宋体" w:eastAsia="宋体" w:cs="宋体"/>
          <w:sz w:val="24"/>
          <w:szCs w:val="24"/>
          <w:highlight w:val="none"/>
          <w:lang w:val="zh-CN"/>
        </w:rPr>
        <w:t>7</w:t>
      </w:r>
      <w:bookmarkStart w:id="479" w:name="_Toc337558768"/>
      <w:bookmarkStart w:id="480" w:name="_Toc296503066"/>
      <w:bookmarkStart w:id="481" w:name="_Toc296346567"/>
      <w:r>
        <w:rPr>
          <w:rFonts w:hint="eastAsia" w:ascii="宋体" w:hAnsi="宋体" w:eastAsia="宋体" w:cs="宋体"/>
          <w:sz w:val="24"/>
          <w:szCs w:val="24"/>
          <w:highlight w:val="none"/>
          <w:lang w:val="zh-CN"/>
        </w:rPr>
        <w:t>.1施工组织设计</w:t>
      </w:r>
      <w:bookmarkEnd w:id="478"/>
    </w:p>
    <w:bookmarkEnd w:id="479"/>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7.1.1 施工组织设计的内容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施工组织设计应包含以下内容：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（1）施工方案；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（2）施工现场平面布置图；</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（3）施工进度计划和保证措施；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（4）劳动力及材料供应计划；</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（5）施工机械设备的选用；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（6）质量保证体系及措施；</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（7）安全生产、文明施工措施；</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（8）环境保护、成本控制措施；</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（9）合同当事人约定的其他内容。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7.1.2 施工组织设计的提交和修改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施工进度计划的编制和修改按照第7.2款〔施工进度计划〕执行。</w:t>
      </w:r>
    </w:p>
    <w:p>
      <w:pPr>
        <w:spacing w:line="360" w:lineRule="auto"/>
        <w:ind w:firstLine="480" w:firstLineChars="200"/>
        <w:rPr>
          <w:rFonts w:hint="eastAsia" w:ascii="宋体" w:hAnsi="宋体" w:eastAsia="宋体" w:cs="宋体"/>
          <w:sz w:val="24"/>
          <w:szCs w:val="24"/>
          <w:highlight w:val="none"/>
          <w:lang w:val="zh-CN"/>
        </w:rPr>
      </w:pPr>
      <w:bookmarkStart w:id="482" w:name="_Toc351203544"/>
      <w:r>
        <w:rPr>
          <w:rFonts w:hint="eastAsia" w:ascii="宋体" w:hAnsi="宋体" w:eastAsia="宋体" w:cs="宋体"/>
          <w:sz w:val="24"/>
          <w:szCs w:val="24"/>
          <w:highlight w:val="none"/>
          <w:lang w:val="zh-CN"/>
        </w:rPr>
        <w:t>7</w:t>
      </w:r>
      <w:bookmarkStart w:id="483" w:name="_Toc337558769"/>
      <w:r>
        <w:rPr>
          <w:rFonts w:hint="eastAsia" w:ascii="宋体" w:hAnsi="宋体" w:eastAsia="宋体" w:cs="宋体"/>
          <w:sz w:val="24"/>
          <w:szCs w:val="24"/>
          <w:highlight w:val="none"/>
          <w:lang w:val="zh-CN"/>
        </w:rPr>
        <w:t>.2 施工进度计划</w:t>
      </w:r>
      <w:bookmarkEnd w:id="482"/>
    </w:p>
    <w:bookmarkEnd w:id="483"/>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7.2.1 施工进度计划的编制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7.2.2 施工进度计划的修订</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360" w:lineRule="auto"/>
        <w:ind w:firstLine="480" w:firstLineChars="200"/>
        <w:rPr>
          <w:rFonts w:hint="eastAsia" w:ascii="宋体" w:hAnsi="宋体" w:eastAsia="宋体" w:cs="宋体"/>
          <w:sz w:val="24"/>
          <w:szCs w:val="24"/>
          <w:highlight w:val="none"/>
          <w:lang w:val="zh-CN"/>
        </w:rPr>
      </w:pPr>
      <w:bookmarkStart w:id="484" w:name="_Toc351203545"/>
      <w:r>
        <w:rPr>
          <w:rFonts w:hint="eastAsia" w:ascii="宋体" w:hAnsi="宋体" w:eastAsia="宋体" w:cs="宋体"/>
          <w:sz w:val="24"/>
          <w:szCs w:val="24"/>
          <w:highlight w:val="none"/>
          <w:lang w:val="zh-CN"/>
        </w:rPr>
        <w:t>7</w:t>
      </w:r>
      <w:bookmarkStart w:id="485" w:name="_Toc337558770"/>
      <w:r>
        <w:rPr>
          <w:rFonts w:hint="eastAsia" w:ascii="宋体" w:hAnsi="宋体" w:eastAsia="宋体" w:cs="宋体"/>
          <w:sz w:val="24"/>
          <w:szCs w:val="24"/>
          <w:highlight w:val="none"/>
          <w:lang w:val="zh-CN"/>
        </w:rPr>
        <w:t>.3 开工</w:t>
      </w:r>
      <w:bookmarkEnd w:id="484"/>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7.3.1 开工准备</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除专用合同条款另有约定外，合同当事人应按约定完成开工准备工作。</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7.3.2 开工通知</w:t>
      </w:r>
    </w:p>
    <w:bookmarkEnd w:id="485"/>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360" w:lineRule="auto"/>
        <w:ind w:firstLine="480" w:firstLineChars="200"/>
        <w:rPr>
          <w:rFonts w:hint="eastAsia" w:ascii="宋体" w:hAnsi="宋体" w:eastAsia="宋体" w:cs="宋体"/>
          <w:sz w:val="24"/>
          <w:szCs w:val="24"/>
          <w:highlight w:val="none"/>
          <w:lang w:val="zh-CN"/>
        </w:rPr>
      </w:pPr>
      <w:bookmarkStart w:id="486" w:name="_Toc351203546"/>
      <w:r>
        <w:rPr>
          <w:rFonts w:hint="eastAsia" w:ascii="宋体" w:hAnsi="宋体" w:eastAsia="宋体" w:cs="宋体"/>
          <w:sz w:val="24"/>
          <w:szCs w:val="24"/>
          <w:highlight w:val="none"/>
          <w:lang w:val="zh-CN"/>
        </w:rPr>
        <w:t>7.4测量放线</w:t>
      </w:r>
      <w:bookmarkEnd w:id="486"/>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7.4.2 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施工过程中对施工现场内水准点等测量标志物的保护工作由承包人负责。</w:t>
      </w:r>
      <w:bookmarkStart w:id="487" w:name="_Toc351203547"/>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w:t>
      </w:r>
      <w:bookmarkEnd w:id="480"/>
      <w:bookmarkEnd w:id="481"/>
      <w:bookmarkStart w:id="488" w:name="_Toc296346574"/>
      <w:bookmarkStart w:id="489" w:name="_Toc296503073"/>
      <w:bookmarkStart w:id="490" w:name="_Toc337558772"/>
      <w:r>
        <w:rPr>
          <w:rFonts w:hint="eastAsia" w:ascii="宋体" w:hAnsi="宋体" w:eastAsia="宋体" w:cs="宋体"/>
          <w:sz w:val="24"/>
          <w:szCs w:val="24"/>
          <w:highlight w:val="none"/>
          <w:lang w:val="zh-CN"/>
        </w:rPr>
        <w:t>.5 工期延误</w:t>
      </w:r>
      <w:bookmarkEnd w:id="487"/>
    </w:p>
    <w:bookmarkEnd w:id="488"/>
    <w:bookmarkEnd w:id="489"/>
    <w:bookmarkEnd w:id="490"/>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7.5.1 因发包人原因导致工期延误</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在合同履行过程中，因下列情况导致工期延误和（或）费用增加的，由发包人承担由此延误的工期和（或）增加的费用，且发包人应支付承包人合理的利润：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（1）发包人未能按合同约定提供图纸或所提供图纸不符合合同约定的；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（2）发包人未能按合同约定提供施工现场、施工条件、基础资料、许可、批准等开工条件的；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（3）发包人提供的测量基准点、基准线和水准点及其书面资料存在错误或疏漏的；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（4）发包人未能在计划开工日期之日起7天内同意下达开工通知的；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（5）发包人未能按合同约定日期支付工程预付款、进度款或竣工结算款的；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（6）监理人未按合同约定发出指示、批准等文件的；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（7）专用合同条款中约定的其他情形。</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7.5.2 因承包人原因导致工期延误</w:t>
      </w:r>
    </w:p>
    <w:p>
      <w:pPr>
        <w:spacing w:line="360" w:lineRule="auto"/>
        <w:ind w:firstLine="480" w:firstLineChars="200"/>
        <w:rPr>
          <w:rFonts w:hint="eastAsia" w:ascii="宋体" w:hAnsi="宋体" w:eastAsia="宋体" w:cs="宋体"/>
          <w:sz w:val="24"/>
          <w:szCs w:val="24"/>
          <w:highlight w:val="none"/>
          <w:lang w:val="zh-CN"/>
        </w:rPr>
      </w:pPr>
      <w:bookmarkStart w:id="491" w:name="_Toc296503076"/>
      <w:bookmarkStart w:id="492" w:name="_Toc296346577"/>
      <w:r>
        <w:rPr>
          <w:rFonts w:hint="eastAsia" w:ascii="宋体" w:hAnsi="宋体" w:eastAsia="宋体" w:cs="宋体"/>
          <w:sz w:val="24"/>
          <w:szCs w:val="24"/>
          <w:highlight w:val="none"/>
          <w:lang w:val="zh-CN"/>
        </w:rPr>
        <w:t>因</w:t>
      </w:r>
      <w:bookmarkEnd w:id="491"/>
      <w:bookmarkEnd w:id="492"/>
      <w:r>
        <w:rPr>
          <w:rFonts w:hint="eastAsia" w:ascii="宋体" w:hAnsi="宋体" w:eastAsia="宋体" w:cs="宋体"/>
          <w:sz w:val="24"/>
          <w:szCs w:val="24"/>
          <w:highlight w:val="none"/>
          <w:lang w:val="zh-CN"/>
        </w:rPr>
        <w:t>承包人原因造成工期延误的，可以在专用合同条款中约定逾期竣工违约金的计算方法和逾期竣工违约金的上限。承包人支付逾期竣工违约金后，不免除承包人继续完成工程及修补缺陷的义务。</w:t>
      </w:r>
    </w:p>
    <w:p>
      <w:pPr>
        <w:spacing w:line="360" w:lineRule="auto"/>
        <w:ind w:firstLine="480" w:firstLineChars="200"/>
        <w:rPr>
          <w:rFonts w:hint="eastAsia" w:ascii="宋体" w:hAnsi="宋体" w:eastAsia="宋体" w:cs="宋体"/>
          <w:sz w:val="24"/>
          <w:szCs w:val="24"/>
          <w:highlight w:val="none"/>
          <w:lang w:val="zh-CN"/>
        </w:rPr>
      </w:pPr>
      <w:bookmarkStart w:id="493" w:name="_Toc351203548"/>
      <w:r>
        <w:rPr>
          <w:rFonts w:hint="eastAsia" w:ascii="宋体" w:hAnsi="宋体" w:eastAsia="宋体" w:cs="宋体"/>
          <w:sz w:val="24"/>
          <w:szCs w:val="24"/>
          <w:highlight w:val="none"/>
          <w:lang w:val="zh-CN"/>
        </w:rPr>
        <w:t>7</w:t>
      </w:r>
      <w:bookmarkStart w:id="494" w:name="_Toc296346575"/>
      <w:bookmarkStart w:id="495" w:name="_Toc296503074"/>
      <w:bookmarkStart w:id="496" w:name="_Toc337558773"/>
      <w:bookmarkStart w:id="497" w:name="_Toc296503077"/>
      <w:bookmarkStart w:id="498" w:name="_Toc296346578"/>
      <w:r>
        <w:rPr>
          <w:rFonts w:hint="eastAsia" w:ascii="宋体" w:hAnsi="宋体" w:eastAsia="宋体" w:cs="宋体"/>
          <w:sz w:val="24"/>
          <w:szCs w:val="24"/>
          <w:highlight w:val="none"/>
          <w:lang w:val="zh-CN"/>
        </w:rPr>
        <w:t>.6 不利物质条件</w:t>
      </w:r>
      <w:bookmarkEnd w:id="493"/>
    </w:p>
    <w:bookmarkEnd w:id="494"/>
    <w:bookmarkEnd w:id="495"/>
    <w:bookmarkEnd w:id="496"/>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spacing w:line="360" w:lineRule="auto"/>
        <w:ind w:firstLine="480" w:firstLineChars="200"/>
        <w:rPr>
          <w:rFonts w:hint="eastAsia" w:ascii="宋体" w:hAnsi="宋体" w:eastAsia="宋体" w:cs="宋体"/>
          <w:sz w:val="24"/>
          <w:szCs w:val="24"/>
          <w:highlight w:val="none"/>
          <w:lang w:val="zh-CN"/>
        </w:rPr>
      </w:pPr>
      <w:bookmarkStart w:id="499" w:name="_Toc351203549"/>
      <w:r>
        <w:rPr>
          <w:rFonts w:hint="eastAsia" w:ascii="宋体" w:hAnsi="宋体" w:eastAsia="宋体" w:cs="宋体"/>
          <w:sz w:val="24"/>
          <w:szCs w:val="24"/>
          <w:highlight w:val="none"/>
          <w:lang w:val="zh-CN"/>
        </w:rPr>
        <w:t>7</w:t>
      </w:r>
      <w:bookmarkStart w:id="500" w:name="_Toc337558774"/>
      <w:bookmarkStart w:id="501" w:name="_Toc296503075"/>
      <w:bookmarkStart w:id="502" w:name="_Toc296346576"/>
      <w:r>
        <w:rPr>
          <w:rFonts w:hint="eastAsia" w:ascii="宋体" w:hAnsi="宋体" w:eastAsia="宋体" w:cs="宋体"/>
          <w:sz w:val="24"/>
          <w:szCs w:val="24"/>
          <w:highlight w:val="none"/>
          <w:lang w:val="zh-CN"/>
        </w:rPr>
        <w:t>.7 异常恶劣的气候条件</w:t>
      </w:r>
      <w:bookmarkEnd w:id="499"/>
    </w:p>
    <w:bookmarkEnd w:id="500"/>
    <w:bookmarkEnd w:id="501"/>
    <w:bookmarkEnd w:id="502"/>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503" w:name="_Toc351203550"/>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w:t>
      </w:r>
      <w:bookmarkStart w:id="504" w:name="_Toc337558775"/>
      <w:r>
        <w:rPr>
          <w:rFonts w:hint="eastAsia" w:ascii="宋体" w:hAnsi="宋体" w:eastAsia="宋体" w:cs="宋体"/>
          <w:sz w:val="24"/>
          <w:szCs w:val="24"/>
          <w:highlight w:val="none"/>
          <w:lang w:val="zh-CN"/>
        </w:rPr>
        <w:t>.8 暂停施工</w:t>
      </w:r>
      <w:bookmarkEnd w:id="503"/>
    </w:p>
    <w:bookmarkEnd w:id="497"/>
    <w:bookmarkEnd w:id="498"/>
    <w:bookmarkEnd w:id="504"/>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7.8.1发包人原因引起的暂停施工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因发包人原因引起的暂停施工，发包人应承担由此增加的费用和（或）延误的工期，并支付承包人合理的利润。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7.8.2 承包人原因引起的暂停施工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7.8.3 指示暂停施工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监理人认为有必要时，并经发包人批准后，可向承包人作出暂停施工的指示，承包人应按监理人指示暂停施工。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7.8.4 紧急情况下的暂停施工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7.8.5 暂停施工后的复工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承包人无故拖延和拒绝复工的，承包人承担由此增加的费用和（或）延误的工期；因发包人原因无法按时复工的，按照第7.5.1项〔因发包人原因导致工期延误〕约定办理。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7.8.6 暂停施工持续56天以上</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7.8.7 暂停施工期间的工程照管</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暂停施工期间，承包人应负责妥善照管工程并提供安全保障，由此增加的费用由责任方承担。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7.8.8 暂停施工的措施</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暂停施工期间，发包人和承包人均应采取必要的措施确保工程质量及安全，防止因暂停施工扩大损失。</w:t>
      </w:r>
    </w:p>
    <w:p>
      <w:pPr>
        <w:spacing w:line="360" w:lineRule="auto"/>
        <w:ind w:firstLine="480" w:firstLineChars="200"/>
        <w:rPr>
          <w:rFonts w:hint="eastAsia" w:ascii="宋体" w:hAnsi="宋体" w:eastAsia="宋体" w:cs="宋体"/>
          <w:sz w:val="24"/>
          <w:szCs w:val="24"/>
          <w:highlight w:val="none"/>
          <w:lang w:val="zh-CN"/>
        </w:rPr>
      </w:pPr>
      <w:bookmarkStart w:id="505" w:name="_Toc351203551"/>
      <w:r>
        <w:rPr>
          <w:rFonts w:hint="eastAsia" w:ascii="宋体" w:hAnsi="宋体" w:eastAsia="宋体" w:cs="宋体"/>
          <w:sz w:val="24"/>
          <w:szCs w:val="24"/>
          <w:highlight w:val="none"/>
          <w:lang w:val="zh-CN"/>
        </w:rPr>
        <w:t>7.9提前竣工</w:t>
      </w:r>
      <w:bookmarkEnd w:id="505"/>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7.9.2 发包人要求承包人提前竣工，或承包人提出提前竣工的建议能够给发包人带来效益的，合同当事人可以在专用合同条款中约定提前竣工的奖励。</w:t>
      </w:r>
    </w:p>
    <w:p>
      <w:pPr>
        <w:spacing w:line="360" w:lineRule="auto"/>
        <w:ind w:firstLine="480" w:firstLineChars="200"/>
        <w:rPr>
          <w:rFonts w:hint="eastAsia" w:ascii="宋体" w:hAnsi="宋体" w:eastAsia="宋体" w:cs="宋体"/>
          <w:sz w:val="24"/>
          <w:szCs w:val="24"/>
          <w:highlight w:val="none"/>
          <w:lang w:val="zh-CN"/>
        </w:rPr>
      </w:pPr>
      <w:bookmarkStart w:id="506" w:name="_Toc351203552"/>
      <w:r>
        <w:rPr>
          <w:rFonts w:hint="eastAsia" w:ascii="宋体" w:hAnsi="宋体" w:eastAsia="宋体" w:cs="宋体"/>
          <w:sz w:val="24"/>
          <w:szCs w:val="24"/>
          <w:highlight w:val="none"/>
          <w:lang w:val="zh-CN"/>
        </w:rPr>
        <w:t>8</w:t>
      </w:r>
      <w:bookmarkStart w:id="507" w:name="_Toc296503058"/>
      <w:bookmarkStart w:id="508" w:name="_Toc296346559"/>
      <w:bookmarkStart w:id="509" w:name="_Toc337558776"/>
      <w:r>
        <w:rPr>
          <w:rFonts w:hint="eastAsia" w:ascii="宋体" w:hAnsi="宋体" w:eastAsia="宋体" w:cs="宋体"/>
          <w:sz w:val="24"/>
          <w:szCs w:val="24"/>
          <w:highlight w:val="none"/>
          <w:lang w:val="zh-CN"/>
        </w:rPr>
        <w:t>. 材料与设备</w:t>
      </w:r>
      <w:bookmarkEnd w:id="506"/>
    </w:p>
    <w:bookmarkEnd w:id="507"/>
    <w:bookmarkEnd w:id="508"/>
    <w:bookmarkEnd w:id="509"/>
    <w:p>
      <w:pPr>
        <w:spacing w:line="360" w:lineRule="auto"/>
        <w:ind w:firstLine="480" w:firstLineChars="200"/>
        <w:rPr>
          <w:rFonts w:hint="eastAsia" w:ascii="宋体" w:hAnsi="宋体" w:eastAsia="宋体" w:cs="宋体"/>
          <w:sz w:val="24"/>
          <w:szCs w:val="24"/>
          <w:highlight w:val="none"/>
          <w:lang w:val="zh-CN"/>
        </w:rPr>
      </w:pPr>
      <w:bookmarkStart w:id="510" w:name="_Toc351203553"/>
      <w:r>
        <w:rPr>
          <w:rFonts w:hint="eastAsia" w:ascii="宋体" w:hAnsi="宋体" w:eastAsia="宋体" w:cs="宋体"/>
          <w:sz w:val="24"/>
          <w:szCs w:val="24"/>
          <w:highlight w:val="none"/>
          <w:lang w:val="zh-CN"/>
        </w:rPr>
        <w:t>8</w:t>
      </w:r>
      <w:bookmarkStart w:id="511" w:name="_Toc296503059"/>
      <w:bookmarkStart w:id="512" w:name="_Toc337558777"/>
      <w:bookmarkStart w:id="513" w:name="_Toc296346560"/>
      <w:bookmarkStart w:id="514" w:name="_Toc468936960"/>
      <w:r>
        <w:rPr>
          <w:rFonts w:hint="eastAsia" w:ascii="宋体" w:hAnsi="宋体" w:eastAsia="宋体" w:cs="宋体"/>
          <w:sz w:val="24"/>
          <w:szCs w:val="24"/>
          <w:highlight w:val="none"/>
          <w:lang w:val="zh-CN"/>
        </w:rPr>
        <w:t>.1发包人供应材料与工程设备</w:t>
      </w:r>
      <w:bookmarkEnd w:id="510"/>
    </w:p>
    <w:bookmarkEnd w:id="511"/>
    <w:bookmarkEnd w:id="512"/>
    <w:bookmarkEnd w:id="513"/>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发包人自行供应材料、工程设备的，应在签订合同时在专用合同条款的附件《发包人供应材料设备一览表》中明确材料、工程设备的品种、规格、型号、数量、单价、质量等级和送达地点。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line="360" w:lineRule="auto"/>
        <w:ind w:firstLine="480" w:firstLineChars="200"/>
        <w:rPr>
          <w:rFonts w:hint="eastAsia" w:ascii="宋体" w:hAnsi="宋体" w:eastAsia="宋体" w:cs="宋体"/>
          <w:sz w:val="24"/>
          <w:szCs w:val="24"/>
          <w:highlight w:val="none"/>
          <w:lang w:val="zh-CN"/>
        </w:rPr>
      </w:pPr>
      <w:bookmarkStart w:id="515" w:name="_Toc351203554"/>
      <w:r>
        <w:rPr>
          <w:rFonts w:hint="eastAsia" w:ascii="宋体" w:hAnsi="宋体" w:eastAsia="宋体" w:cs="宋体"/>
          <w:sz w:val="24"/>
          <w:szCs w:val="24"/>
          <w:highlight w:val="none"/>
          <w:lang w:val="zh-CN"/>
        </w:rPr>
        <w:t>8</w:t>
      </w:r>
      <w:bookmarkStart w:id="516" w:name="_Toc337558778"/>
      <w:bookmarkStart w:id="517" w:name="_Toc296503060"/>
      <w:bookmarkStart w:id="518" w:name="_Toc296346561"/>
      <w:r>
        <w:rPr>
          <w:rFonts w:hint="eastAsia" w:ascii="宋体" w:hAnsi="宋体" w:eastAsia="宋体" w:cs="宋体"/>
          <w:sz w:val="24"/>
          <w:szCs w:val="24"/>
          <w:highlight w:val="none"/>
          <w:lang w:val="zh-CN"/>
        </w:rPr>
        <w:t>.2承包人采购材料与工程设备</w:t>
      </w:r>
      <w:bookmarkEnd w:id="515"/>
    </w:p>
    <w:bookmarkEnd w:id="516"/>
    <w:bookmarkEnd w:id="517"/>
    <w:bookmarkEnd w:id="518"/>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line="360" w:lineRule="auto"/>
        <w:ind w:firstLine="480" w:firstLineChars="200"/>
        <w:rPr>
          <w:rFonts w:hint="eastAsia" w:ascii="宋体" w:hAnsi="宋体" w:eastAsia="宋体" w:cs="宋体"/>
          <w:sz w:val="24"/>
          <w:szCs w:val="24"/>
          <w:highlight w:val="none"/>
          <w:lang w:val="zh-CN"/>
        </w:rPr>
      </w:pPr>
      <w:bookmarkStart w:id="519" w:name="_Toc351203555"/>
      <w:r>
        <w:rPr>
          <w:rFonts w:hint="eastAsia" w:ascii="宋体" w:hAnsi="宋体" w:eastAsia="宋体" w:cs="宋体"/>
          <w:sz w:val="24"/>
          <w:szCs w:val="24"/>
          <w:highlight w:val="none"/>
          <w:lang w:val="zh-CN"/>
        </w:rPr>
        <w:t>8</w:t>
      </w:r>
      <w:bookmarkStart w:id="520" w:name="_Toc337558779"/>
      <w:bookmarkStart w:id="521" w:name="_Toc296346562"/>
      <w:bookmarkStart w:id="522" w:name="_Toc296503061"/>
      <w:r>
        <w:rPr>
          <w:rFonts w:hint="eastAsia" w:ascii="宋体" w:hAnsi="宋体" w:eastAsia="宋体" w:cs="宋体"/>
          <w:sz w:val="24"/>
          <w:szCs w:val="24"/>
          <w:highlight w:val="none"/>
          <w:lang w:val="zh-CN"/>
        </w:rPr>
        <w:t>.3材料与工程设备的接收与拒收</w:t>
      </w:r>
      <w:bookmarkEnd w:id="519"/>
    </w:p>
    <w:bookmarkEnd w:id="520"/>
    <w:bookmarkEnd w:id="521"/>
    <w:bookmarkEnd w:id="522"/>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发包人提供的材料和工程设备的规格、数量或质量不符合合同约定的，或因发包人原因导致交货日期延误或交货地点变更等情况的，按照第16.1款〔发包人违约〕约定办理。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8.3.2 承包人采购的材料和工程设备，应保证产品质量合格，承包人应在材料和工程设备到货前24小时通知监理人检验。承</w:t>
      </w:r>
      <w:bookmarkStart w:id="523" w:name="_Toc250655469"/>
      <w:r>
        <w:rPr>
          <w:rFonts w:hint="eastAsia" w:ascii="宋体" w:hAnsi="宋体" w:eastAsia="宋体" w:cs="宋体"/>
          <w:sz w:val="24"/>
          <w:szCs w:val="24"/>
          <w:highlight w:val="none"/>
          <w:lang w:val="zh-CN"/>
        </w:rPr>
        <w:t>包人进行永久设备、材料的制造和生产的，应符合相关质量标准，并向监理人提交材料的样本以及有关资料，并应在使用该材料或工程设备之前获得监理人同意。</w:t>
      </w:r>
    </w:p>
    <w:bookmarkEnd w:id="523"/>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360" w:lineRule="auto"/>
        <w:ind w:firstLine="480" w:firstLineChars="200"/>
        <w:rPr>
          <w:rFonts w:hint="eastAsia" w:ascii="宋体" w:hAnsi="宋体" w:eastAsia="宋体" w:cs="宋体"/>
          <w:sz w:val="24"/>
          <w:szCs w:val="24"/>
          <w:highlight w:val="none"/>
          <w:lang w:val="zh-CN"/>
        </w:rPr>
      </w:pPr>
      <w:bookmarkStart w:id="524" w:name="_Toc351203556"/>
      <w:r>
        <w:rPr>
          <w:rFonts w:hint="eastAsia" w:ascii="宋体" w:hAnsi="宋体" w:eastAsia="宋体" w:cs="宋体"/>
          <w:sz w:val="24"/>
          <w:szCs w:val="24"/>
          <w:highlight w:val="none"/>
          <w:lang w:val="zh-CN"/>
        </w:rPr>
        <w:t>8</w:t>
      </w:r>
      <w:bookmarkStart w:id="525" w:name="_Toc337558780"/>
      <w:bookmarkStart w:id="526" w:name="_Toc296346563"/>
      <w:bookmarkStart w:id="527" w:name="_Toc296503062"/>
      <w:r>
        <w:rPr>
          <w:rFonts w:hint="eastAsia" w:ascii="宋体" w:hAnsi="宋体" w:eastAsia="宋体" w:cs="宋体"/>
          <w:sz w:val="24"/>
          <w:szCs w:val="24"/>
          <w:highlight w:val="none"/>
          <w:lang w:val="zh-CN"/>
        </w:rPr>
        <w:t>.4材料与工程设备的保管与使用</w:t>
      </w:r>
      <w:bookmarkEnd w:id="524"/>
    </w:p>
    <w:bookmarkEnd w:id="525"/>
    <w:bookmarkEnd w:id="526"/>
    <w:bookmarkEnd w:id="527"/>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8.4.1 发包人供应材料与工程设备的保管与使用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发包人供应的材料和工程设备使用前，由承包人负责检验，检验费用由发包人承担，不合格的不得使用。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8.4.2 承包人采购材料与工程设备的保管与使用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发包人或监理人发现承包人使用不符合设计或有关标准要求的材料和工程设备时，有权要求承包人进行修复、拆除或重新采购，由此增加的费用和（或）延误的工期，由承包人承担。</w:t>
      </w:r>
    </w:p>
    <w:p>
      <w:pPr>
        <w:spacing w:line="360" w:lineRule="auto"/>
        <w:ind w:firstLine="480" w:firstLineChars="200"/>
        <w:rPr>
          <w:rFonts w:hint="eastAsia" w:ascii="宋体" w:hAnsi="宋体" w:eastAsia="宋体" w:cs="宋体"/>
          <w:sz w:val="24"/>
          <w:szCs w:val="24"/>
          <w:highlight w:val="none"/>
          <w:lang w:val="zh-CN"/>
        </w:rPr>
      </w:pPr>
      <w:bookmarkStart w:id="528" w:name="_Toc351203557"/>
      <w:r>
        <w:rPr>
          <w:rFonts w:hint="eastAsia" w:ascii="宋体" w:hAnsi="宋体" w:eastAsia="宋体" w:cs="宋体"/>
          <w:sz w:val="24"/>
          <w:szCs w:val="24"/>
          <w:highlight w:val="none"/>
          <w:lang w:val="zh-CN"/>
        </w:rPr>
        <w:t>8.5禁止使用不合格的材料和工程设备</w:t>
      </w:r>
      <w:bookmarkEnd w:id="528"/>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8.5.1 监理人有权拒绝承包人提供的不合格材料或工程设备，并要求承包人立即进行更换。监理人应在更换后再次进行检查和检验，由此增加的费用和（或）延误的工期由承包人承担。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8.5.2 监理人发现承包人使用了不合格的材料和工程设备，承包人应按照监理人的指示立即改正，并禁止在工程中继续使用不合格的材料和工程设备。</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8.5.3 发包人提供的材料或工程设备不符合合同要求的，承包人有权拒绝，并可要求发包人更换，由此增加的费用和（或）延误的工期由发包人承担，并支付承包人合理的利润。</w:t>
      </w:r>
    </w:p>
    <w:p>
      <w:pPr>
        <w:spacing w:line="360" w:lineRule="auto"/>
        <w:ind w:firstLine="480" w:firstLineChars="200"/>
        <w:rPr>
          <w:rFonts w:hint="eastAsia" w:ascii="宋体" w:hAnsi="宋体" w:eastAsia="宋体" w:cs="宋体"/>
          <w:sz w:val="24"/>
          <w:szCs w:val="24"/>
          <w:highlight w:val="none"/>
          <w:lang w:val="zh-CN"/>
        </w:rPr>
      </w:pPr>
      <w:bookmarkStart w:id="529" w:name="_Toc351203558"/>
      <w:r>
        <w:rPr>
          <w:rFonts w:hint="eastAsia" w:ascii="宋体" w:hAnsi="宋体" w:eastAsia="宋体" w:cs="宋体"/>
          <w:sz w:val="24"/>
          <w:szCs w:val="24"/>
          <w:highlight w:val="none"/>
          <w:lang w:val="zh-CN"/>
        </w:rPr>
        <w:t>8.6 样品</w:t>
      </w:r>
      <w:bookmarkEnd w:id="529"/>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8.6.1</w:t>
      </w: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样品的报送与封存</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需要承包人报送样品的材料或工程设备，样品的种类、名称、规格、数量等要求均应在专用合同条款中约定。样品的报送程序如下：</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（3）经发包人和监理人审批确认的样品应按约定的方法封样，封存的样品作为检验工程相关部分的标准之一。承包人在施工过程中不得使用与样品不符的材料或工程设备。</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8.6.2 样品的保管</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经批准的样品应由监理人负责封存于现场，承包人应在现场为保存样品提供适当和固定的场所并保持适当和良好的存储环境条件。</w:t>
      </w:r>
    </w:p>
    <w:p>
      <w:pPr>
        <w:spacing w:line="360" w:lineRule="auto"/>
        <w:ind w:firstLine="480" w:firstLineChars="200"/>
        <w:rPr>
          <w:rFonts w:hint="eastAsia" w:ascii="宋体" w:hAnsi="宋体" w:eastAsia="宋体" w:cs="宋体"/>
          <w:sz w:val="24"/>
          <w:szCs w:val="24"/>
          <w:highlight w:val="none"/>
          <w:lang w:val="zh-CN"/>
        </w:rPr>
      </w:pPr>
      <w:bookmarkStart w:id="530" w:name="_Toc351203559"/>
      <w:r>
        <w:rPr>
          <w:rFonts w:hint="eastAsia" w:ascii="宋体" w:hAnsi="宋体" w:eastAsia="宋体" w:cs="宋体"/>
          <w:sz w:val="24"/>
          <w:szCs w:val="24"/>
          <w:highlight w:val="none"/>
          <w:lang w:val="zh-CN"/>
        </w:rPr>
        <w:t>8.7材料与工程设备的替代</w:t>
      </w:r>
      <w:bookmarkEnd w:id="530"/>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8.7.1 出现下列情况需要使用替代材料和工程设备的，承包人应按照第8.7.2项约定的程序执行：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（1）基准日期后生效的法律规定禁止使用的；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（2）发包人要求使用替代品的；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（3）因其他原因必须使用替代品的。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8.7.2 承包人应在使用替代材料和工程设备28天前书面通知监理人，并附下列文件：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（1）被替代的材料和工程设备的名称、数量、规格、型号、品牌、性能、价格及其他相关资料；</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（2）替代品的名称、数量、规格、型号、品牌、性能、价格及其他相关资料；</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（3）替代品与被替代产品之间的差异以及使用替代品可能对工程产生的影响；</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（4）替代品与被替代产品的价格差异；</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（5）使用替代品的理由和原因说明；</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（6）监理人要求的其他文件。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监理人应在收到通知后14天内向承包人发出经发包人签认的书面指示；监理人逾期发出书面指示的，视为发包人和监理人同意使用替代品。</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line="360" w:lineRule="auto"/>
        <w:ind w:firstLine="480" w:firstLineChars="200"/>
        <w:rPr>
          <w:rFonts w:hint="eastAsia" w:ascii="宋体" w:hAnsi="宋体" w:eastAsia="宋体" w:cs="宋体"/>
          <w:sz w:val="24"/>
          <w:szCs w:val="24"/>
          <w:highlight w:val="none"/>
          <w:lang w:val="zh-CN"/>
        </w:rPr>
      </w:pPr>
      <w:bookmarkStart w:id="531" w:name="_Toc351203560"/>
      <w:r>
        <w:rPr>
          <w:rFonts w:hint="eastAsia" w:ascii="宋体" w:hAnsi="宋体" w:eastAsia="宋体" w:cs="宋体"/>
          <w:sz w:val="24"/>
          <w:szCs w:val="24"/>
          <w:highlight w:val="none"/>
          <w:lang w:val="zh-CN"/>
        </w:rPr>
        <w:t>8.8施工设备和临时设施</w:t>
      </w:r>
      <w:bookmarkEnd w:id="531"/>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8.8.1 承包人提供的施工设备和临时设施</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除专用合同条款另有约定外，承包人应自行承担修建临时设施的费用，需要临时占地的，应由发包人办理申请手续并承担相应费用。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8.8.2发包人提供的施工设备和临时设施</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发包人提供的施工设备或临时设施在专用合同条款中约定。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8.8.3要求承包人增加或更换施工设备</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承包人使用的施工设备不能满足合同进度计划和（或）质量要求时，监理人有权要求承包人增加或更换施工设备，承包人应及时增加或更换，由此增加的费用和（或）延误的工期由承包人承担。</w:t>
      </w:r>
    </w:p>
    <w:p>
      <w:pPr>
        <w:spacing w:line="360" w:lineRule="auto"/>
        <w:ind w:firstLine="480" w:firstLineChars="200"/>
        <w:rPr>
          <w:rFonts w:hint="eastAsia" w:ascii="宋体" w:hAnsi="宋体" w:eastAsia="宋体" w:cs="宋体"/>
          <w:sz w:val="24"/>
          <w:szCs w:val="24"/>
          <w:highlight w:val="none"/>
          <w:lang w:val="zh-CN"/>
        </w:rPr>
      </w:pPr>
      <w:bookmarkStart w:id="532" w:name="_Toc351203561"/>
      <w:r>
        <w:rPr>
          <w:rFonts w:hint="eastAsia" w:ascii="宋体" w:hAnsi="宋体" w:eastAsia="宋体" w:cs="宋体"/>
          <w:sz w:val="24"/>
          <w:szCs w:val="24"/>
          <w:highlight w:val="none"/>
          <w:lang w:val="zh-CN"/>
        </w:rPr>
        <w:t>8</w:t>
      </w:r>
      <w:bookmarkStart w:id="533" w:name="_Toc337558781"/>
      <w:bookmarkStart w:id="534" w:name="_Toc296346564"/>
      <w:bookmarkStart w:id="535" w:name="_Toc296503063"/>
      <w:r>
        <w:rPr>
          <w:rFonts w:hint="eastAsia" w:ascii="宋体" w:hAnsi="宋体" w:eastAsia="宋体" w:cs="宋体"/>
          <w:sz w:val="24"/>
          <w:szCs w:val="24"/>
          <w:highlight w:val="none"/>
          <w:lang w:val="zh-CN"/>
        </w:rPr>
        <w:t>.9材料与设备专用</w:t>
      </w:r>
      <w:bookmarkEnd w:id="532"/>
      <w:r>
        <w:rPr>
          <w:rFonts w:hint="eastAsia" w:ascii="宋体" w:hAnsi="宋体" w:eastAsia="宋体" w:cs="宋体"/>
          <w:sz w:val="24"/>
          <w:szCs w:val="24"/>
          <w:highlight w:val="none"/>
          <w:lang w:val="zh-CN"/>
        </w:rPr>
        <w:t>要求</w:t>
      </w:r>
    </w:p>
    <w:bookmarkEnd w:id="533"/>
    <w:bookmarkEnd w:id="534"/>
    <w:bookmarkEnd w:id="535"/>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承包人运入施工现场的材料、工程设备、施工设备以及在施工场地建设的临时设施，包括备品备件、安装工具与资料，必须专用于工程。未经发包人批准，承包人不得运出施工现场或挪作他用；</w:t>
      </w:r>
      <w:bookmarkEnd w:id="514"/>
      <w:r>
        <w:rPr>
          <w:rFonts w:hint="eastAsia" w:ascii="宋体" w:hAnsi="宋体" w:eastAsia="宋体" w:cs="宋体"/>
          <w:sz w:val="24"/>
          <w:szCs w:val="24"/>
          <w:highlight w:val="none"/>
          <w:lang w:val="zh-CN"/>
        </w:rPr>
        <w:t>经发包人批准，承包人可以根据施工进度计划撤走闲置的施工设备和其他物品。</w:t>
      </w:r>
    </w:p>
    <w:p>
      <w:pPr>
        <w:spacing w:line="360" w:lineRule="auto"/>
        <w:ind w:firstLine="480" w:firstLineChars="200"/>
        <w:rPr>
          <w:rFonts w:hint="eastAsia" w:ascii="宋体" w:hAnsi="宋体" w:eastAsia="宋体" w:cs="宋体"/>
          <w:sz w:val="24"/>
          <w:szCs w:val="24"/>
          <w:highlight w:val="none"/>
          <w:lang w:val="zh-CN"/>
        </w:rPr>
      </w:pPr>
      <w:bookmarkStart w:id="536" w:name="_Toc351203562"/>
      <w:r>
        <w:rPr>
          <w:rFonts w:hint="eastAsia" w:ascii="宋体" w:hAnsi="宋体" w:eastAsia="宋体" w:cs="宋体"/>
          <w:sz w:val="24"/>
          <w:szCs w:val="24"/>
          <w:highlight w:val="none"/>
          <w:lang w:val="zh-CN"/>
        </w:rPr>
        <w:t>9</w:t>
      </w:r>
      <w:bookmarkStart w:id="537" w:name="_Toc337558782"/>
      <w:bookmarkStart w:id="538" w:name="_Toc296346584"/>
      <w:bookmarkStart w:id="539" w:name="_Toc296503083"/>
      <w:r>
        <w:rPr>
          <w:rFonts w:hint="eastAsia" w:ascii="宋体" w:hAnsi="宋体" w:eastAsia="宋体" w:cs="宋体"/>
          <w:sz w:val="24"/>
          <w:szCs w:val="24"/>
          <w:highlight w:val="none"/>
          <w:lang w:val="zh-CN"/>
        </w:rPr>
        <w:t>. 试验与检验</w:t>
      </w:r>
      <w:bookmarkEnd w:id="536"/>
    </w:p>
    <w:bookmarkEnd w:id="537"/>
    <w:p>
      <w:pPr>
        <w:spacing w:line="360" w:lineRule="auto"/>
        <w:ind w:firstLine="480" w:firstLineChars="200"/>
        <w:rPr>
          <w:rFonts w:hint="eastAsia" w:ascii="宋体" w:hAnsi="宋体" w:eastAsia="宋体" w:cs="宋体"/>
          <w:sz w:val="24"/>
          <w:szCs w:val="24"/>
          <w:highlight w:val="none"/>
          <w:lang w:val="zh-CN"/>
        </w:rPr>
      </w:pPr>
      <w:bookmarkStart w:id="540" w:name="_Toc351203563"/>
      <w:r>
        <w:rPr>
          <w:rFonts w:hint="eastAsia" w:ascii="宋体" w:hAnsi="宋体" w:eastAsia="宋体" w:cs="宋体"/>
          <w:sz w:val="24"/>
          <w:szCs w:val="24"/>
          <w:highlight w:val="none"/>
          <w:lang w:val="zh-CN"/>
        </w:rPr>
        <w:t>9</w:t>
      </w:r>
      <w:bookmarkStart w:id="541" w:name="_Toc337558783"/>
      <w:r>
        <w:rPr>
          <w:rFonts w:hint="eastAsia" w:ascii="宋体" w:hAnsi="宋体" w:eastAsia="宋体" w:cs="宋体"/>
          <w:sz w:val="24"/>
          <w:szCs w:val="24"/>
          <w:highlight w:val="none"/>
          <w:lang w:val="zh-CN"/>
        </w:rPr>
        <w:t>.1试验设备与试验人员</w:t>
      </w:r>
      <w:bookmarkEnd w:id="540"/>
    </w:p>
    <w:bookmarkEnd w:id="541"/>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9.1.2 承包人应按专用合同条款的约定提供试验设备、取样装置、试验场所和试验条件，并向监理人提交相应进场计划表。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承包人配置的试验设备要符合相应试验规程的要求并经过具有资质的检测单位检测，且在正式使用该试验设备前，需要经过监理人与承包人共同校定。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9.1.3 承包人应向监理人提交试验人员的名单及其岗位、资格等证明资料，试验人员必须能够熟练进行相应的检测试验，承包人对试验人员的试验程序和试验结果的正确性负责。</w:t>
      </w:r>
    </w:p>
    <w:p>
      <w:pPr>
        <w:spacing w:line="360" w:lineRule="auto"/>
        <w:ind w:firstLine="480" w:firstLineChars="200"/>
        <w:rPr>
          <w:rFonts w:hint="eastAsia" w:ascii="宋体" w:hAnsi="宋体" w:eastAsia="宋体" w:cs="宋体"/>
          <w:sz w:val="24"/>
          <w:szCs w:val="24"/>
          <w:highlight w:val="none"/>
          <w:lang w:val="zh-CN"/>
        </w:rPr>
      </w:pPr>
      <w:bookmarkStart w:id="542" w:name="_Toc351203564"/>
      <w:r>
        <w:rPr>
          <w:rFonts w:hint="eastAsia" w:ascii="宋体" w:hAnsi="宋体" w:eastAsia="宋体" w:cs="宋体"/>
          <w:sz w:val="24"/>
          <w:szCs w:val="24"/>
          <w:highlight w:val="none"/>
          <w:lang w:val="zh-CN"/>
        </w:rPr>
        <w:t>9</w:t>
      </w:r>
      <w:bookmarkStart w:id="543" w:name="_Toc337558784"/>
      <w:r>
        <w:rPr>
          <w:rFonts w:hint="eastAsia" w:ascii="宋体" w:hAnsi="宋体" w:eastAsia="宋体" w:cs="宋体"/>
          <w:sz w:val="24"/>
          <w:szCs w:val="24"/>
          <w:highlight w:val="none"/>
          <w:lang w:val="zh-CN"/>
        </w:rPr>
        <w:t>.2取样</w:t>
      </w:r>
      <w:bookmarkEnd w:id="542"/>
    </w:p>
    <w:bookmarkEnd w:id="543"/>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试验属于自检性质的，承包人可以单独取样。试验属于监理人抽检性质的，可由监理人取样，也可由承包人的试验人员在监理人的监督下取样。</w:t>
      </w:r>
    </w:p>
    <w:p>
      <w:pPr>
        <w:spacing w:line="360" w:lineRule="auto"/>
        <w:ind w:firstLine="480" w:firstLineChars="200"/>
        <w:rPr>
          <w:rFonts w:hint="eastAsia" w:ascii="宋体" w:hAnsi="宋体" w:eastAsia="宋体" w:cs="宋体"/>
          <w:sz w:val="24"/>
          <w:szCs w:val="24"/>
          <w:highlight w:val="none"/>
          <w:lang w:val="zh-CN"/>
        </w:rPr>
      </w:pPr>
      <w:bookmarkStart w:id="544" w:name="_Toc351203565"/>
      <w:r>
        <w:rPr>
          <w:rFonts w:hint="eastAsia" w:ascii="宋体" w:hAnsi="宋体" w:eastAsia="宋体" w:cs="宋体"/>
          <w:sz w:val="24"/>
          <w:szCs w:val="24"/>
          <w:highlight w:val="none"/>
          <w:lang w:val="zh-CN"/>
        </w:rPr>
        <w:t>9</w:t>
      </w:r>
      <w:bookmarkStart w:id="545" w:name="_Toc337558785"/>
      <w:r>
        <w:rPr>
          <w:rFonts w:hint="eastAsia" w:ascii="宋体" w:hAnsi="宋体" w:eastAsia="宋体" w:cs="宋体"/>
          <w:sz w:val="24"/>
          <w:szCs w:val="24"/>
          <w:highlight w:val="none"/>
          <w:lang w:val="zh-CN"/>
        </w:rPr>
        <w:t>.3材料、工程设备和工程的试验和检验</w:t>
      </w:r>
      <w:bookmarkEnd w:id="544"/>
    </w:p>
    <w:bookmarkEnd w:id="545"/>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60" w:lineRule="auto"/>
        <w:ind w:firstLine="480" w:firstLineChars="200"/>
        <w:rPr>
          <w:rFonts w:hint="eastAsia" w:ascii="宋体" w:hAnsi="宋体" w:eastAsia="宋体" w:cs="宋体"/>
          <w:sz w:val="24"/>
          <w:szCs w:val="24"/>
          <w:highlight w:val="none"/>
          <w:lang w:val="zh-CN"/>
        </w:rPr>
      </w:pPr>
      <w:bookmarkStart w:id="546" w:name="_Toc351203566"/>
      <w:r>
        <w:rPr>
          <w:rFonts w:hint="eastAsia" w:ascii="宋体" w:hAnsi="宋体" w:eastAsia="宋体" w:cs="宋体"/>
          <w:sz w:val="24"/>
          <w:szCs w:val="24"/>
          <w:highlight w:val="none"/>
          <w:lang w:val="zh-CN"/>
        </w:rPr>
        <w:t>9</w:t>
      </w:r>
      <w:bookmarkStart w:id="547" w:name="_Toc337558786"/>
      <w:r>
        <w:rPr>
          <w:rFonts w:hint="eastAsia" w:ascii="宋体" w:hAnsi="宋体" w:eastAsia="宋体" w:cs="宋体"/>
          <w:sz w:val="24"/>
          <w:szCs w:val="24"/>
          <w:highlight w:val="none"/>
          <w:lang w:val="zh-CN"/>
        </w:rPr>
        <w:t>.4现场工艺试验</w:t>
      </w:r>
      <w:bookmarkEnd w:id="546"/>
    </w:p>
    <w:bookmarkEnd w:id="547"/>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承包人应按合同约定或监理人指示进行现场工艺试验。对大型的现场工艺试验，监理人认为必要时，承包人应根据监理人提出的工艺试验要求，编制工艺试验措施计划，报送监理人审查。</w:t>
      </w:r>
    </w:p>
    <w:p>
      <w:pPr>
        <w:spacing w:line="360" w:lineRule="auto"/>
        <w:ind w:firstLine="480" w:firstLineChars="200"/>
        <w:rPr>
          <w:rFonts w:hint="eastAsia" w:ascii="宋体" w:hAnsi="宋体" w:eastAsia="宋体" w:cs="宋体"/>
          <w:sz w:val="24"/>
          <w:szCs w:val="24"/>
          <w:highlight w:val="none"/>
          <w:lang w:val="zh-CN"/>
        </w:rPr>
      </w:pPr>
      <w:bookmarkStart w:id="548" w:name="_Toc351203567"/>
      <w:r>
        <w:rPr>
          <w:rFonts w:hint="eastAsia" w:ascii="宋体" w:hAnsi="宋体" w:eastAsia="宋体" w:cs="宋体"/>
          <w:sz w:val="24"/>
          <w:szCs w:val="24"/>
          <w:highlight w:val="none"/>
          <w:lang w:val="zh-CN"/>
        </w:rPr>
        <w:t>1</w:t>
      </w:r>
      <w:bookmarkStart w:id="549" w:name="_Toc337558787"/>
      <w:r>
        <w:rPr>
          <w:rFonts w:hint="eastAsia" w:ascii="宋体" w:hAnsi="宋体" w:eastAsia="宋体" w:cs="宋体"/>
          <w:sz w:val="24"/>
          <w:szCs w:val="24"/>
          <w:highlight w:val="none"/>
          <w:lang w:val="zh-CN"/>
        </w:rPr>
        <w:t>0. 变更</w:t>
      </w:r>
      <w:bookmarkEnd w:id="538"/>
      <w:bookmarkEnd w:id="539"/>
      <w:bookmarkEnd w:id="548"/>
    </w:p>
    <w:bookmarkEnd w:id="549"/>
    <w:p>
      <w:pPr>
        <w:spacing w:line="360" w:lineRule="auto"/>
        <w:ind w:firstLine="480" w:firstLineChars="200"/>
        <w:rPr>
          <w:rFonts w:hint="eastAsia" w:ascii="宋体" w:hAnsi="宋体" w:eastAsia="宋体" w:cs="宋体"/>
          <w:sz w:val="24"/>
          <w:szCs w:val="24"/>
          <w:highlight w:val="none"/>
          <w:lang w:val="zh-CN"/>
        </w:rPr>
      </w:pPr>
      <w:bookmarkStart w:id="550" w:name="_Toc351203568"/>
      <w:r>
        <w:rPr>
          <w:rFonts w:hint="eastAsia" w:ascii="宋体" w:hAnsi="宋体" w:eastAsia="宋体" w:cs="宋体"/>
          <w:sz w:val="24"/>
          <w:szCs w:val="24"/>
          <w:highlight w:val="none"/>
          <w:lang w:val="zh-CN"/>
        </w:rPr>
        <w:t>1</w:t>
      </w:r>
      <w:bookmarkStart w:id="551" w:name="_Toc296503084"/>
      <w:bookmarkStart w:id="552" w:name="_Toc337558788"/>
      <w:bookmarkStart w:id="553" w:name="_Toc296346585"/>
      <w:r>
        <w:rPr>
          <w:rFonts w:hint="eastAsia" w:ascii="宋体" w:hAnsi="宋体" w:eastAsia="宋体" w:cs="宋体"/>
          <w:sz w:val="24"/>
          <w:szCs w:val="24"/>
          <w:highlight w:val="none"/>
          <w:lang w:val="zh-CN"/>
        </w:rPr>
        <w:t>0.1变更的范围</w:t>
      </w:r>
      <w:bookmarkEnd w:id="550"/>
    </w:p>
    <w:bookmarkEnd w:id="551"/>
    <w:bookmarkEnd w:id="552"/>
    <w:bookmarkEnd w:id="553"/>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除专用合同条款另有约定外，合同履行过程中发生以下情形的，应按照本条约定进行变更：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（1）增加或减少合同中任何工作，或追加额外的工作；</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（2）取消合同中任何工作，但转由他人实施的工作除外；</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（3）改变合同中任何工作的质量标准或其他特性；</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（4）改变工程的基线、标高、位置和尺寸；</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（5）改变工程的时间安排或实施顺序。</w:t>
      </w:r>
    </w:p>
    <w:p>
      <w:pPr>
        <w:spacing w:line="360" w:lineRule="auto"/>
        <w:ind w:firstLine="480" w:firstLineChars="200"/>
        <w:rPr>
          <w:rFonts w:hint="eastAsia" w:ascii="宋体" w:hAnsi="宋体" w:eastAsia="宋体" w:cs="宋体"/>
          <w:sz w:val="24"/>
          <w:szCs w:val="24"/>
          <w:highlight w:val="none"/>
          <w:lang w:val="zh-CN"/>
        </w:rPr>
      </w:pPr>
      <w:bookmarkStart w:id="554" w:name="_Toc351203569"/>
      <w:r>
        <w:rPr>
          <w:rFonts w:hint="eastAsia" w:ascii="宋体" w:hAnsi="宋体" w:eastAsia="宋体" w:cs="宋体"/>
          <w:sz w:val="24"/>
          <w:szCs w:val="24"/>
          <w:highlight w:val="none"/>
          <w:lang w:val="zh-CN"/>
        </w:rPr>
        <w:t>1</w:t>
      </w:r>
      <w:bookmarkStart w:id="555" w:name="_Toc337558789"/>
      <w:bookmarkStart w:id="556" w:name="_Toc296503085"/>
      <w:bookmarkStart w:id="557" w:name="_Toc296346586"/>
      <w:r>
        <w:rPr>
          <w:rFonts w:hint="eastAsia" w:ascii="宋体" w:hAnsi="宋体" w:eastAsia="宋体" w:cs="宋体"/>
          <w:sz w:val="24"/>
          <w:szCs w:val="24"/>
          <w:highlight w:val="none"/>
          <w:lang w:val="zh-CN"/>
        </w:rPr>
        <w:t>0.2变更权</w:t>
      </w:r>
      <w:bookmarkEnd w:id="554"/>
    </w:p>
    <w:bookmarkEnd w:id="555"/>
    <w:bookmarkEnd w:id="556"/>
    <w:bookmarkEnd w:id="557"/>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涉及设计变更的，应由设计人提供变更后的图纸和说明。如变更超过原设计标准或批准的建设规模时，发包人应及时办理规划、设计变更等审批手续。</w:t>
      </w:r>
    </w:p>
    <w:p>
      <w:pPr>
        <w:spacing w:line="360" w:lineRule="auto"/>
        <w:ind w:firstLine="480" w:firstLineChars="200"/>
        <w:rPr>
          <w:rFonts w:hint="eastAsia" w:ascii="宋体" w:hAnsi="宋体" w:eastAsia="宋体" w:cs="宋体"/>
          <w:sz w:val="24"/>
          <w:szCs w:val="24"/>
          <w:highlight w:val="none"/>
          <w:lang w:val="zh-CN"/>
        </w:rPr>
      </w:pPr>
      <w:bookmarkStart w:id="558" w:name="_Toc351203570"/>
      <w:r>
        <w:rPr>
          <w:rFonts w:hint="eastAsia" w:ascii="宋体" w:hAnsi="宋体" w:eastAsia="宋体" w:cs="宋体"/>
          <w:sz w:val="24"/>
          <w:szCs w:val="24"/>
          <w:highlight w:val="none"/>
          <w:lang w:val="zh-CN"/>
        </w:rPr>
        <w:t>1</w:t>
      </w:r>
      <w:bookmarkStart w:id="559" w:name="_Toc296503086"/>
      <w:bookmarkStart w:id="560" w:name="_Toc337558790"/>
      <w:bookmarkStart w:id="561" w:name="_Toc296346587"/>
      <w:r>
        <w:rPr>
          <w:rFonts w:hint="eastAsia" w:ascii="宋体" w:hAnsi="宋体" w:eastAsia="宋体" w:cs="宋体"/>
          <w:sz w:val="24"/>
          <w:szCs w:val="24"/>
          <w:highlight w:val="none"/>
          <w:lang w:val="zh-CN"/>
        </w:rPr>
        <w:t>0.3变更程序</w:t>
      </w:r>
      <w:bookmarkEnd w:id="558"/>
    </w:p>
    <w:bookmarkEnd w:id="559"/>
    <w:bookmarkEnd w:id="560"/>
    <w:bookmarkEnd w:id="561"/>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10.3.1 发包人提出变更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发包人提出变更的，应通过监理人向承包人发出变更指示，变更指示应说明计划变更的工程范围和变更的内容。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10.3.2 监理人提出变更建议</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10.3.3 变更执行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line="360" w:lineRule="auto"/>
        <w:ind w:firstLine="480" w:firstLineChars="200"/>
        <w:rPr>
          <w:rFonts w:hint="eastAsia" w:ascii="宋体" w:hAnsi="宋体" w:eastAsia="宋体" w:cs="宋体"/>
          <w:sz w:val="24"/>
          <w:szCs w:val="24"/>
          <w:highlight w:val="none"/>
          <w:lang w:val="zh-CN"/>
        </w:rPr>
      </w:pPr>
      <w:bookmarkStart w:id="562" w:name="_Toc351203571"/>
      <w:r>
        <w:rPr>
          <w:rFonts w:hint="eastAsia" w:ascii="宋体" w:hAnsi="宋体" w:eastAsia="宋体" w:cs="宋体"/>
          <w:sz w:val="24"/>
          <w:szCs w:val="24"/>
          <w:highlight w:val="none"/>
          <w:lang w:val="zh-CN"/>
        </w:rPr>
        <w:t>1</w:t>
      </w:r>
      <w:bookmarkStart w:id="563" w:name="_Toc337558791"/>
      <w:bookmarkStart w:id="564" w:name="_Toc296503087"/>
      <w:bookmarkStart w:id="565" w:name="_Toc296346588"/>
      <w:r>
        <w:rPr>
          <w:rFonts w:hint="eastAsia" w:ascii="宋体" w:hAnsi="宋体" w:eastAsia="宋体" w:cs="宋体"/>
          <w:sz w:val="24"/>
          <w:szCs w:val="24"/>
          <w:highlight w:val="none"/>
          <w:lang w:val="zh-CN"/>
        </w:rPr>
        <w:t>0.4变更估价</w:t>
      </w:r>
      <w:bookmarkEnd w:id="562"/>
    </w:p>
    <w:bookmarkEnd w:id="563"/>
    <w:bookmarkEnd w:id="564"/>
    <w:bookmarkEnd w:id="565"/>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10.4.1 变更估价原则</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除专用合同条款另有约定外，变更估价按照本款约定处理：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（1）已标价工程量清单或预算书有相同项目的，按照相同项目单价认定；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（2）已标价工程量清单或预算书中无相同项目，但有类似项目的，参照类似项目的单价认定；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10.4.2 变更估价程序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因变更引起的价格调整应计入最近一期的进度款中支付。</w:t>
      </w:r>
    </w:p>
    <w:p>
      <w:pPr>
        <w:spacing w:line="360" w:lineRule="auto"/>
        <w:ind w:firstLine="480" w:firstLineChars="200"/>
        <w:rPr>
          <w:rFonts w:hint="eastAsia" w:ascii="宋体" w:hAnsi="宋体" w:eastAsia="宋体" w:cs="宋体"/>
          <w:sz w:val="24"/>
          <w:szCs w:val="24"/>
          <w:highlight w:val="none"/>
          <w:lang w:val="zh-CN"/>
        </w:rPr>
      </w:pPr>
      <w:bookmarkStart w:id="566" w:name="_Toc351203572"/>
      <w:r>
        <w:rPr>
          <w:rFonts w:hint="eastAsia" w:ascii="宋体" w:hAnsi="宋体" w:eastAsia="宋体" w:cs="宋体"/>
          <w:sz w:val="24"/>
          <w:szCs w:val="24"/>
          <w:highlight w:val="none"/>
          <w:lang w:val="zh-CN"/>
        </w:rPr>
        <w:t>1</w:t>
      </w:r>
      <w:bookmarkStart w:id="567" w:name="_Toc296346595"/>
      <w:bookmarkStart w:id="568" w:name="_Toc337558792"/>
      <w:bookmarkStart w:id="569" w:name="_Toc296503094"/>
      <w:r>
        <w:rPr>
          <w:rFonts w:hint="eastAsia" w:ascii="宋体" w:hAnsi="宋体" w:eastAsia="宋体" w:cs="宋体"/>
          <w:sz w:val="24"/>
          <w:szCs w:val="24"/>
          <w:highlight w:val="none"/>
          <w:lang w:val="zh-CN"/>
        </w:rPr>
        <w:t>0.5承包人的合理化建议</w:t>
      </w:r>
      <w:bookmarkEnd w:id="566"/>
    </w:p>
    <w:bookmarkEnd w:id="567"/>
    <w:bookmarkEnd w:id="568"/>
    <w:bookmarkEnd w:id="569"/>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承包人提出合理化建议的，应向监理人提交合理化建议说明，说明建议的内容和理由，以及实施该建议对合同价格和工期的影响。</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合理化建议降低了合同价格或者提高了工程经济效益的，发包人可对承包人给予奖励，奖励的方法和金额在专用合同条款中约定。</w:t>
      </w:r>
    </w:p>
    <w:p>
      <w:pPr>
        <w:spacing w:line="360" w:lineRule="auto"/>
        <w:ind w:firstLine="480" w:firstLineChars="200"/>
        <w:rPr>
          <w:rFonts w:hint="eastAsia" w:ascii="宋体" w:hAnsi="宋体" w:eastAsia="宋体" w:cs="宋体"/>
          <w:sz w:val="24"/>
          <w:szCs w:val="24"/>
          <w:highlight w:val="none"/>
          <w:lang w:val="zh-CN"/>
        </w:rPr>
      </w:pPr>
      <w:bookmarkStart w:id="570" w:name="_Toc351203573"/>
      <w:r>
        <w:rPr>
          <w:rFonts w:hint="eastAsia" w:ascii="宋体" w:hAnsi="宋体" w:eastAsia="宋体" w:cs="宋体"/>
          <w:sz w:val="24"/>
          <w:szCs w:val="24"/>
          <w:highlight w:val="none"/>
          <w:lang w:val="zh-CN"/>
        </w:rPr>
        <w:t>1</w:t>
      </w:r>
      <w:bookmarkStart w:id="571" w:name="_Toc337558793"/>
      <w:r>
        <w:rPr>
          <w:rFonts w:hint="eastAsia" w:ascii="宋体" w:hAnsi="宋体" w:eastAsia="宋体" w:cs="宋体"/>
          <w:sz w:val="24"/>
          <w:szCs w:val="24"/>
          <w:highlight w:val="none"/>
          <w:lang w:val="zh-CN"/>
        </w:rPr>
        <w:t>0.6变更引起的工期调整</w:t>
      </w:r>
      <w:bookmarkEnd w:id="570"/>
      <w:r>
        <w:rPr>
          <w:rFonts w:hint="eastAsia" w:ascii="宋体" w:hAnsi="宋体" w:eastAsia="宋体" w:cs="宋体"/>
          <w:sz w:val="24"/>
          <w:szCs w:val="24"/>
          <w:highlight w:val="none"/>
          <w:lang w:val="zh-CN"/>
        </w:rPr>
        <w:t xml:space="preserve"> </w:t>
      </w:r>
      <w:bookmarkEnd w:id="571"/>
      <w:r>
        <w:rPr>
          <w:rFonts w:hint="eastAsia" w:ascii="宋体" w:hAnsi="宋体" w:eastAsia="宋体" w:cs="宋体"/>
          <w:sz w:val="24"/>
          <w:szCs w:val="24"/>
          <w:highlight w:val="none"/>
          <w:lang w:val="zh-CN"/>
        </w:rPr>
        <w:t xml:space="preserve">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因变更引起工期变化的，合同当事人均可要求调整合同工期，由合同当事人按照第4.4款〔商定或确定〕并参考工程所在地的工期定额标准确定增减工期天数。</w:t>
      </w:r>
    </w:p>
    <w:p>
      <w:pPr>
        <w:spacing w:line="360" w:lineRule="auto"/>
        <w:ind w:firstLine="480" w:firstLineChars="200"/>
        <w:rPr>
          <w:rFonts w:hint="eastAsia" w:ascii="宋体" w:hAnsi="宋体" w:eastAsia="宋体" w:cs="宋体"/>
          <w:sz w:val="24"/>
          <w:szCs w:val="24"/>
          <w:highlight w:val="none"/>
          <w:lang w:val="zh-CN"/>
        </w:rPr>
      </w:pPr>
      <w:bookmarkStart w:id="572" w:name="_Toc351203574"/>
      <w:r>
        <w:rPr>
          <w:rFonts w:hint="eastAsia" w:ascii="宋体" w:hAnsi="宋体" w:eastAsia="宋体" w:cs="宋体"/>
          <w:sz w:val="24"/>
          <w:szCs w:val="24"/>
          <w:highlight w:val="none"/>
          <w:lang w:val="zh-CN"/>
        </w:rPr>
        <w:t>10.7暂估价</w:t>
      </w:r>
      <w:bookmarkEnd w:id="572"/>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暂估价专业分包工程、服务、材料和工程设备的明细由合同当事人在专用合同条款中约定。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10.7.1 依法必须招标的暂估价项目</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对于依法必须招标的暂估价项目，采取以下第1种方式确定。合同当事人也可以在专用合同条款中选择其他招标方式。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第1种方式：对于依法必须招标的暂估价项目，由承包人招标，对该暂估价项目的确认和批准按照以下约定执行：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10.7.2不属于依法必须招标的暂估价项目</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除专用合同条款另有约定外，对于不属于依法必须招标的暂估价项目，采取以下第1种方式确定：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第1种方式：对于不属于依法必须招标的暂估价项目，按本项约定确认和批准：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（2）发包人认为承包人确定的供应商、分包人无法满足工程质量或合同要求的，发包人可以要求承包人重新确定暂估价项目的供应商、分包人;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（3）承包人应当在签订暂估价合同后7天内，将暂估价合同副本报送发包人留存。</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第2种方式：承包人按照第10.7.1项〔依法必须招标的暂估价项目〕约定的第1种方式确定暂估价项目。</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第3种方式：承包人直接实施的暂估价项目</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承包人具备实施暂估价项目的资格和条件的，经发包人和承包人协商一致后，可由承包人自行实施暂估价项目，合同当事人可以在专用合同条款约定具体事项。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360" w:lineRule="auto"/>
        <w:ind w:firstLine="480" w:firstLineChars="200"/>
        <w:rPr>
          <w:rFonts w:hint="eastAsia" w:ascii="宋体" w:hAnsi="宋体" w:eastAsia="宋体" w:cs="宋体"/>
          <w:sz w:val="24"/>
          <w:szCs w:val="24"/>
          <w:highlight w:val="none"/>
          <w:lang w:val="zh-CN"/>
        </w:rPr>
      </w:pPr>
      <w:bookmarkStart w:id="573" w:name="_Toc351203575"/>
      <w:r>
        <w:rPr>
          <w:rFonts w:hint="eastAsia" w:ascii="宋体" w:hAnsi="宋体" w:eastAsia="宋体" w:cs="宋体"/>
          <w:sz w:val="24"/>
          <w:szCs w:val="24"/>
          <w:highlight w:val="none"/>
          <w:lang w:val="zh-CN"/>
        </w:rPr>
        <w:t>1</w:t>
      </w:r>
      <w:bookmarkStart w:id="574" w:name="_Toc337558794"/>
      <w:bookmarkStart w:id="575" w:name="_Toc322522561"/>
      <w:bookmarkStart w:id="576" w:name="_Toc296503090"/>
      <w:bookmarkStart w:id="577" w:name="_Toc296346591"/>
      <w:r>
        <w:rPr>
          <w:rFonts w:hint="eastAsia" w:ascii="宋体" w:hAnsi="宋体" w:eastAsia="宋体" w:cs="宋体"/>
          <w:sz w:val="24"/>
          <w:szCs w:val="24"/>
          <w:highlight w:val="none"/>
          <w:lang w:val="zh-CN"/>
        </w:rPr>
        <w:t>0.8暂列金额</w:t>
      </w:r>
      <w:bookmarkEnd w:id="573"/>
    </w:p>
    <w:bookmarkEnd w:id="574"/>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暂列金额应按照发包人的要求使用，发包人的要求应通过监理人发出。合同当事人可以在专用合同条款中协商确定有关事项。</w:t>
      </w:r>
    </w:p>
    <w:bookmarkEnd w:id="575"/>
    <w:bookmarkEnd w:id="576"/>
    <w:bookmarkEnd w:id="577"/>
    <w:p>
      <w:pPr>
        <w:spacing w:line="360" w:lineRule="auto"/>
        <w:ind w:firstLine="480" w:firstLineChars="200"/>
        <w:rPr>
          <w:rFonts w:hint="eastAsia" w:ascii="宋体" w:hAnsi="宋体" w:eastAsia="宋体" w:cs="宋体"/>
          <w:sz w:val="24"/>
          <w:szCs w:val="24"/>
          <w:highlight w:val="none"/>
          <w:lang w:val="zh-CN"/>
        </w:rPr>
      </w:pPr>
      <w:bookmarkStart w:id="578" w:name="_Toc351203576"/>
      <w:r>
        <w:rPr>
          <w:rFonts w:hint="eastAsia" w:ascii="宋体" w:hAnsi="宋体" w:eastAsia="宋体" w:cs="宋体"/>
          <w:sz w:val="24"/>
          <w:szCs w:val="24"/>
          <w:highlight w:val="none"/>
          <w:lang w:val="zh-CN"/>
        </w:rPr>
        <w:t>1</w:t>
      </w:r>
      <w:bookmarkStart w:id="579" w:name="_Toc296346592"/>
      <w:bookmarkStart w:id="580" w:name="_Toc337558796"/>
      <w:bookmarkStart w:id="581" w:name="_Toc296503091"/>
      <w:r>
        <w:rPr>
          <w:rFonts w:hint="eastAsia" w:ascii="宋体" w:hAnsi="宋体" w:eastAsia="宋体" w:cs="宋体"/>
          <w:sz w:val="24"/>
          <w:szCs w:val="24"/>
          <w:highlight w:val="none"/>
          <w:lang w:val="zh-CN"/>
        </w:rPr>
        <w:t>0.9计日工</w:t>
      </w:r>
      <w:bookmarkEnd w:id="578"/>
      <w:r>
        <w:rPr>
          <w:rFonts w:hint="eastAsia" w:ascii="宋体" w:hAnsi="宋体" w:eastAsia="宋体" w:cs="宋体"/>
          <w:sz w:val="24"/>
          <w:szCs w:val="24"/>
          <w:highlight w:val="none"/>
          <w:lang w:val="zh-CN"/>
        </w:rPr>
        <w:t xml:space="preserve"> </w:t>
      </w:r>
      <w:bookmarkEnd w:id="579"/>
      <w:bookmarkEnd w:id="580"/>
      <w:bookmarkEnd w:id="581"/>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采用计日工计价的任何一项工作，承包人应在该项工作实施过程中，每天提交以下报表和有关凭证报送监理人审查：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（1）工作名称、内容和数量；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（2）投入该工作的所有人员的姓名、专业、工种、级别和耗用工时；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（3）投入该工作的材料类别和数量；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（4）投入该工作的施工设备型号、台数和耗用台时；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（5）其他有关资料和凭证。</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计日工由承包人汇总后，列入最近一期进度付款申请单，由监理人审查并经发包人批准后列入进度付款。</w:t>
      </w:r>
    </w:p>
    <w:p>
      <w:pPr>
        <w:spacing w:line="360" w:lineRule="auto"/>
        <w:ind w:firstLine="480" w:firstLineChars="200"/>
        <w:rPr>
          <w:rFonts w:hint="eastAsia" w:ascii="宋体" w:hAnsi="宋体" w:eastAsia="宋体" w:cs="宋体"/>
          <w:sz w:val="24"/>
          <w:szCs w:val="24"/>
          <w:highlight w:val="none"/>
          <w:lang w:val="zh-CN"/>
        </w:rPr>
      </w:pPr>
      <w:bookmarkStart w:id="582" w:name="_Toc351203577"/>
      <w:r>
        <w:rPr>
          <w:rFonts w:hint="eastAsia" w:ascii="宋体" w:hAnsi="宋体" w:eastAsia="宋体" w:cs="宋体"/>
          <w:sz w:val="24"/>
          <w:szCs w:val="24"/>
          <w:highlight w:val="none"/>
          <w:lang w:val="zh-CN"/>
        </w:rPr>
        <w:t>11. 价格调整</w:t>
      </w:r>
      <w:bookmarkEnd w:id="582"/>
    </w:p>
    <w:p>
      <w:pPr>
        <w:spacing w:line="360" w:lineRule="auto"/>
        <w:ind w:firstLine="480" w:firstLineChars="200"/>
        <w:rPr>
          <w:rFonts w:hint="eastAsia" w:ascii="宋体" w:hAnsi="宋体" w:eastAsia="宋体" w:cs="宋体"/>
          <w:sz w:val="24"/>
          <w:szCs w:val="24"/>
          <w:highlight w:val="none"/>
          <w:lang w:val="zh-CN"/>
        </w:rPr>
      </w:pPr>
      <w:bookmarkStart w:id="583" w:name="_Toc351203578"/>
      <w:bookmarkStart w:id="584" w:name="_Toc296503092"/>
      <w:bookmarkStart w:id="585" w:name="_Toc337558797"/>
      <w:bookmarkStart w:id="586" w:name="_Toc296346593"/>
      <w:r>
        <w:rPr>
          <w:rFonts w:hint="eastAsia" w:ascii="宋体" w:hAnsi="宋体" w:eastAsia="宋体" w:cs="宋体"/>
          <w:sz w:val="24"/>
          <w:szCs w:val="24"/>
          <w:highlight w:val="none"/>
          <w:lang w:val="zh-CN"/>
        </w:rPr>
        <w:t>11.1市场价格波动引起的调整</w:t>
      </w:r>
      <w:bookmarkEnd w:id="583"/>
    </w:p>
    <w:bookmarkEnd w:id="584"/>
    <w:bookmarkEnd w:id="585"/>
    <w:bookmarkEnd w:id="586"/>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第1种方式：采用价格指数进行价格调整。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（1）价格调整公式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因人工、材料和设备等价格波动影响合同价格时，根据专用合同条款中约定的数据，按以下公式计算差额并调整合同价格：</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object>
          <v:shape id="_x0000_i1025" o:spt="75" type="#_x0000_t75" style="height:43.9pt;width:359.85pt;" o:ole="t" filled="f" stroked="f" coordsize="21600,21600">
            <v:path/>
            <v:fill on="f" focussize="0,0"/>
            <v:stroke on="f"/>
            <v:imagedata r:id="rId11" o:title=""/>
            <o:lock v:ext="edit" grouping="f" rotation="f" text="f" aspectratio="t"/>
            <w10:wrap type="none"/>
            <w10:anchorlock/>
          </v:shape>
          <o:OLEObject Type="Embed" ProgID="Equation.KSEE3" ShapeID="_x0000_i1025" DrawAspect="Content" ObjectID="_1468075725" r:id="rId10">
            <o:LockedField>false</o:LockedField>
          </o:OLEObject>
        </w:objec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公式中：ΔP——需调整的价格差额；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object>
          <v:shape id="_x0000_i1026" o:spt="75" type="#_x0000_t75" style="height:17.95pt;width:17.95pt;" o:ole="t" filled="f" stroked="f" coordsize="21600,21600">
            <v:path/>
            <v:fill on="f" focussize="0,0"/>
            <v:stroke on="f"/>
            <v:imagedata r:id="rId13" o:title=""/>
            <o:lock v:ext="edit" grouping="f" rotation="f" text="f" aspectratio="t"/>
            <w10:wrap type="none"/>
            <w10:anchorlock/>
          </v:shape>
          <o:OLEObject Type="Embed" ProgID="Equation.KSEE3" ShapeID="_x0000_i1026" DrawAspect="Content" ObjectID="_1468075726" r:id="rId12">
            <o:LockedField>false</o:LockedField>
          </o:OLEObject>
        </w:object>
      </w:r>
      <w:r>
        <w:rPr>
          <w:rFonts w:hint="eastAsia" w:ascii="宋体" w:hAnsi="宋体" w:eastAsia="宋体" w:cs="宋体"/>
          <w:sz w:val="24"/>
          <w:szCs w:val="24"/>
          <w:highlight w:val="none"/>
          <w:lang w:val="zh-CN"/>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A——定值权重（即不调部分的权重）；</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object>
          <v:shape id="_x0000_i1027" o:spt="75" type="#_x0000_t75" style="height:21.05pt;width:101pt;" o:ole="t" filled="f" stroked="f" coordsize="21600,21600">
            <v:path/>
            <v:fill on="f" focussize="0,0"/>
            <v:stroke on="f"/>
            <v:imagedata r:id="rId15" o:title=""/>
            <o:lock v:ext="edit" grouping="f" rotation="f" text="f" aspectratio="t"/>
            <w10:wrap type="none"/>
            <w10:anchorlock/>
          </v:shape>
          <o:OLEObject Type="Embed" ProgID="Equation.KSEE3" ShapeID="_x0000_i1027" DrawAspect="Content" ObjectID="_1468075727" r:id="rId14">
            <o:LockedField>false</o:LockedField>
          </o:OLEObject>
        </w:object>
      </w:r>
      <w:r>
        <w:rPr>
          <w:rFonts w:hint="eastAsia" w:ascii="宋体" w:hAnsi="宋体" w:eastAsia="宋体" w:cs="宋体"/>
          <w:sz w:val="24"/>
          <w:szCs w:val="24"/>
          <w:highlight w:val="none"/>
          <w:lang w:val="zh-CN"/>
        </w:rPr>
        <w:t>——各可调因子的变值权重（即可调部分的权重），为各可调因子在签约合同价中所占的比例；</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object>
          <v:shape id="_x0000_i1028" o:spt="75" type="#_x0000_t75" style="height:20.6pt;width:102.1pt;" o:ole="t" filled="f" stroked="f" coordsize="21600,21600">
            <v:path/>
            <v:fill on="f" focussize="0,0"/>
            <v:stroke on="f"/>
            <v:imagedata r:id="rId17" o:title=""/>
            <o:lock v:ext="edit" grouping="f" rotation="f" text="f" aspectratio="t"/>
            <w10:wrap type="none"/>
            <w10:anchorlock/>
          </v:shape>
          <o:OLEObject Type="Embed" ProgID="Equation.KSEE3" ShapeID="_x0000_i1028" DrawAspect="Content" ObjectID="_1468075728" r:id="rId16">
            <o:LockedField>false</o:LockedField>
          </o:OLEObject>
        </w:object>
      </w:r>
      <w:r>
        <w:rPr>
          <w:rFonts w:hint="eastAsia" w:ascii="宋体" w:hAnsi="宋体" w:eastAsia="宋体" w:cs="宋体"/>
          <w:sz w:val="24"/>
          <w:szCs w:val="24"/>
          <w:highlight w:val="none"/>
          <w:lang w:val="zh-CN"/>
        </w:rPr>
        <w:t>——各可调因子的现行价格指数，指约定的付款证书相关周期最后一天的前42天的各可调因子的价格指数；</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object>
          <v:shape id="_x0000_i1029" o:spt="75" type="#_x0000_t75" style="height:20.2pt;width:108pt;" o:ole="t" filled="f" stroked="f" coordsize="21600,21600">
            <v:path/>
            <v:fill on="f" focussize="0,0"/>
            <v:stroke on="f"/>
            <v:imagedata r:id="rId19" o:title=""/>
            <o:lock v:ext="edit" grouping="f" rotation="f" text="f" aspectratio="t"/>
            <w10:wrap type="none"/>
            <w10:anchorlock/>
          </v:shape>
          <o:OLEObject Type="Embed" ProgID="Equation.KSEE3" ShapeID="_x0000_i1029" DrawAspect="Content" ObjectID="_1468075729" r:id="rId18">
            <o:LockedField>false</o:LockedField>
          </o:OLEObject>
        </w:object>
      </w:r>
      <w:r>
        <w:rPr>
          <w:rFonts w:hint="eastAsia" w:ascii="宋体" w:hAnsi="宋体" w:eastAsia="宋体" w:cs="宋体"/>
          <w:sz w:val="24"/>
          <w:szCs w:val="24"/>
          <w:highlight w:val="none"/>
          <w:lang w:val="zh-CN"/>
        </w:rPr>
        <w:t>——各可调因子的基本价格指数，指基准日期的各可调因子的价格指数。</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（2）暂时确定调整差额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在计算调整差额时无现行价格指数的，合同当事人同意暂用前次价格指数计算。实际价格指数有调整的，合同当事人进行相应调整。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（3）权重的调整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因变更导致合同约定的权重不合理时，按照第4.4款〔商定或确定〕执行。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（4）因承包人原因工期延误后的价格调整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第2种方式：采用造价信息进行价格调整。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（2）材料、工程设备价格变化的价款调整按照发包人提供的基准价格，按以下风险范围规定执行: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80" w:firstLineChars="200"/>
        <w:rPr>
          <w:rFonts w:hint="eastAsia" w:ascii="宋体" w:hAnsi="宋体" w:eastAsia="宋体" w:cs="宋体"/>
          <w:sz w:val="24"/>
          <w:szCs w:val="24"/>
          <w:highlight w:val="none"/>
          <w:lang w:val="zh-CN"/>
        </w:rPr>
      </w:pPr>
      <w:bookmarkStart w:id="587" w:name="OLE_LINK3"/>
      <w:r>
        <w:rPr>
          <w:rFonts w:hint="eastAsia" w:ascii="宋体" w:hAnsi="宋体" w:eastAsia="宋体" w:cs="宋体"/>
          <w:sz w:val="24"/>
          <w:szCs w:val="24"/>
          <w:highlight w:val="none"/>
          <w:lang w:val="zh-CN"/>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（3）施工机械台班单价或施工机械使用费发生变化超过省级或行业建设主管部门或其授权的工程造价管理机构规定的范围时，按规定调整合同价格。</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第3种方式：专用合同条款约定的其他方式。</w:t>
      </w:r>
    </w:p>
    <w:p>
      <w:pPr>
        <w:spacing w:line="360" w:lineRule="auto"/>
        <w:ind w:firstLine="480" w:firstLineChars="200"/>
        <w:rPr>
          <w:rFonts w:hint="eastAsia" w:ascii="宋体" w:hAnsi="宋体" w:eastAsia="宋体" w:cs="宋体"/>
          <w:sz w:val="24"/>
          <w:szCs w:val="24"/>
          <w:highlight w:val="none"/>
          <w:lang w:val="zh-CN"/>
        </w:rPr>
      </w:pPr>
      <w:bookmarkStart w:id="588" w:name="_Toc351203579"/>
      <w:bookmarkStart w:id="589" w:name="_Toc337558798"/>
      <w:bookmarkStart w:id="590" w:name="_Toc296503093"/>
      <w:bookmarkStart w:id="591" w:name="_Toc296346594"/>
      <w:r>
        <w:rPr>
          <w:rFonts w:hint="eastAsia" w:ascii="宋体" w:hAnsi="宋体" w:eastAsia="宋体" w:cs="宋体"/>
          <w:sz w:val="24"/>
          <w:szCs w:val="24"/>
          <w:highlight w:val="none"/>
          <w:lang w:val="zh-CN"/>
        </w:rPr>
        <w:t>11.2法律变化引起的调整</w:t>
      </w:r>
      <w:bookmarkEnd w:id="588"/>
    </w:p>
    <w:bookmarkEnd w:id="589"/>
    <w:bookmarkEnd w:id="590"/>
    <w:bookmarkEnd w:id="591"/>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因法律变化引起的合同价格和工期调整，合同当事人无法达成一致的，由总监理工程师按第4.4款〔商定或确定〕的约定处理。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因承包人原因造成工期延误，在工期延误期间出现法律变化的，由此增加的费用和（或）延误的工期由承包人承担。</w:t>
      </w:r>
    </w:p>
    <w:p>
      <w:pPr>
        <w:spacing w:line="360" w:lineRule="auto"/>
        <w:ind w:firstLine="480" w:firstLineChars="200"/>
        <w:rPr>
          <w:rFonts w:hint="eastAsia" w:ascii="宋体" w:hAnsi="宋体" w:eastAsia="宋体" w:cs="宋体"/>
          <w:sz w:val="24"/>
          <w:szCs w:val="24"/>
          <w:highlight w:val="none"/>
          <w:lang w:val="zh-CN"/>
        </w:rPr>
      </w:pPr>
      <w:bookmarkStart w:id="592" w:name="_Toc351203580"/>
      <w:bookmarkStart w:id="593" w:name="_Toc337558799"/>
      <w:bookmarkStart w:id="594" w:name="_Toc296503096"/>
      <w:bookmarkStart w:id="595" w:name="_Toc296346597"/>
      <w:r>
        <w:rPr>
          <w:rFonts w:hint="eastAsia" w:ascii="宋体" w:hAnsi="宋体" w:eastAsia="宋体" w:cs="宋体"/>
          <w:sz w:val="24"/>
          <w:szCs w:val="24"/>
          <w:highlight w:val="none"/>
          <w:lang w:val="zh-CN"/>
        </w:rPr>
        <w:t>12. 合同价格、计量与支付</w:t>
      </w:r>
      <w:bookmarkEnd w:id="592"/>
    </w:p>
    <w:bookmarkEnd w:id="593"/>
    <w:p>
      <w:pPr>
        <w:spacing w:line="360" w:lineRule="auto"/>
        <w:ind w:firstLine="480" w:firstLineChars="200"/>
        <w:rPr>
          <w:rFonts w:hint="eastAsia" w:ascii="宋体" w:hAnsi="宋体" w:eastAsia="宋体" w:cs="宋体"/>
          <w:sz w:val="24"/>
          <w:szCs w:val="24"/>
          <w:highlight w:val="none"/>
          <w:lang w:val="zh-CN"/>
        </w:rPr>
      </w:pPr>
      <w:bookmarkStart w:id="596" w:name="_Toc351203581"/>
      <w:bookmarkStart w:id="597" w:name="_Toc337558800"/>
      <w:r>
        <w:rPr>
          <w:rFonts w:hint="eastAsia" w:ascii="宋体" w:hAnsi="宋体" w:eastAsia="宋体" w:cs="宋体"/>
          <w:sz w:val="24"/>
          <w:szCs w:val="24"/>
          <w:highlight w:val="none"/>
          <w:lang w:val="zh-CN"/>
        </w:rPr>
        <w:t>12.1 合同价</w:t>
      </w:r>
      <w:bookmarkEnd w:id="594"/>
      <w:bookmarkEnd w:id="595"/>
      <w:r>
        <w:rPr>
          <w:rFonts w:hint="eastAsia" w:ascii="宋体" w:hAnsi="宋体" w:eastAsia="宋体" w:cs="宋体"/>
          <w:sz w:val="24"/>
          <w:szCs w:val="24"/>
          <w:highlight w:val="none"/>
          <w:lang w:val="zh-CN"/>
        </w:rPr>
        <w:t>格形式</w:t>
      </w:r>
      <w:bookmarkEnd w:id="596"/>
    </w:p>
    <w:bookmarkEnd w:id="597"/>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发包人和承包人应在合同协议书中选择下列一种合同价格形式：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zh-CN"/>
        </w:rPr>
        <w:t>单价合同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zh-CN"/>
        </w:rPr>
        <w:t>总价合同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zh-CN"/>
        </w:rPr>
        <w:t>其它价格形式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合同当事人可在专用合同条款中约定其他合同价格形式。</w:t>
      </w:r>
    </w:p>
    <w:p>
      <w:pPr>
        <w:spacing w:line="360" w:lineRule="auto"/>
        <w:ind w:firstLine="480" w:firstLineChars="200"/>
        <w:rPr>
          <w:rFonts w:hint="eastAsia" w:ascii="宋体" w:hAnsi="宋体" w:eastAsia="宋体" w:cs="宋体"/>
          <w:sz w:val="24"/>
          <w:szCs w:val="24"/>
          <w:highlight w:val="none"/>
          <w:lang w:val="zh-CN"/>
        </w:rPr>
      </w:pPr>
      <w:bookmarkStart w:id="598" w:name="_Toc296346598"/>
      <w:bookmarkStart w:id="599" w:name="_Toc296503097"/>
      <w:bookmarkStart w:id="600" w:name="_Toc351203582"/>
      <w:bookmarkStart w:id="601" w:name="_Toc337558801"/>
      <w:r>
        <w:rPr>
          <w:rFonts w:hint="eastAsia" w:ascii="宋体" w:hAnsi="宋体" w:eastAsia="宋体" w:cs="宋体"/>
          <w:sz w:val="24"/>
          <w:szCs w:val="24"/>
          <w:highlight w:val="none"/>
          <w:lang w:val="zh-CN"/>
        </w:rPr>
        <w:t>12.2预</w:t>
      </w:r>
      <w:bookmarkEnd w:id="598"/>
      <w:bookmarkEnd w:id="599"/>
      <w:bookmarkStart w:id="602" w:name="_Toc296346601"/>
      <w:bookmarkStart w:id="603" w:name="_Toc296503100"/>
      <w:r>
        <w:rPr>
          <w:rFonts w:hint="eastAsia" w:ascii="宋体" w:hAnsi="宋体" w:eastAsia="宋体" w:cs="宋体"/>
          <w:sz w:val="24"/>
          <w:szCs w:val="24"/>
          <w:highlight w:val="none"/>
          <w:lang w:val="zh-CN"/>
        </w:rPr>
        <w:t>付款</w:t>
      </w:r>
      <w:bookmarkEnd w:id="600"/>
    </w:p>
    <w:bookmarkEnd w:id="601"/>
    <w:bookmarkEnd w:id="602"/>
    <w:bookmarkEnd w:id="603"/>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12.2.1预付款的支付</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除专用合同条款另有约定外，预付款在进度付款中同比例扣回。</w:t>
      </w:r>
      <w:bookmarkEnd w:id="587"/>
      <w:r>
        <w:rPr>
          <w:rFonts w:hint="eastAsia" w:ascii="宋体" w:hAnsi="宋体" w:eastAsia="宋体" w:cs="宋体"/>
          <w:sz w:val="24"/>
          <w:szCs w:val="24"/>
          <w:highlight w:val="none"/>
          <w:lang w:val="zh-CN"/>
        </w:rPr>
        <w:t>在颁发工程接收证书前，提前解除合同的，尚未扣完的预付款应与合同价款一并结算。</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12.2.2 预付款担保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发包人在工程款中逐期扣回预付款后，预付款担保额度应相应减少，但剩余的预付款担保金额不得低于未被扣回的预付款金额。</w:t>
      </w:r>
    </w:p>
    <w:p>
      <w:pPr>
        <w:spacing w:line="360" w:lineRule="auto"/>
        <w:ind w:firstLine="480" w:firstLineChars="200"/>
        <w:rPr>
          <w:rFonts w:hint="eastAsia" w:ascii="宋体" w:hAnsi="宋体" w:eastAsia="宋体" w:cs="宋体"/>
          <w:sz w:val="24"/>
          <w:szCs w:val="24"/>
          <w:highlight w:val="none"/>
          <w:lang w:val="zh-CN"/>
        </w:rPr>
      </w:pPr>
      <w:bookmarkStart w:id="604" w:name="_Toc351203583"/>
      <w:bookmarkStart w:id="605" w:name="_Toc337558802"/>
      <w:r>
        <w:rPr>
          <w:rFonts w:hint="eastAsia" w:ascii="宋体" w:hAnsi="宋体" w:eastAsia="宋体" w:cs="宋体"/>
          <w:sz w:val="24"/>
          <w:szCs w:val="24"/>
          <w:highlight w:val="none"/>
          <w:lang w:val="zh-CN"/>
        </w:rPr>
        <w:t>12.3计量</w:t>
      </w:r>
      <w:bookmarkEnd w:id="604"/>
    </w:p>
    <w:bookmarkEnd w:id="605"/>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12.3.1 计量原则</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12.3.2 计量周期</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除专用合同条款另有约定外，工程量的计量按月进行。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12.3.3 单价合同的计量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除专用合同条款另有约定外，单价合同的计量按照本项约定执行：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（1）承包人应于每月25日向监理人报送上月20日至当月19日已完成的工程量报告，并附具进度付款申请单、已完成工程量报表和有关资料。</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（3）监理人未在收到承包人提交的工程量报表后的7天内完成审核的，承包人报送的工程量报告中的工程量视为承包人实际完成的工程量，据此计算工程价款。</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12.3.4 总价合同的计量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除专用合同条款另有约定外，按月计量支付的总价合同，按照本项约定执行：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（1）承包人应于每月25日向监理人报送上月20日至当月19日已完成的工程量报告，并附具进度付款申请单、已完成工程量报表和有关资料。</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（3）监理人未在收到承包人提交的工程量报表后的7天内完成复核的，承包人提交的工程量报告中的工程量视为承包人实际完成的工程量。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12.3.5 总价合同采用支付分解表计量支付的，可以按照第12.3.4项〔总价合同的计量〕约定进行计量，但合同价款按照支付分解表进行支付。</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12.3.6 其他价格形式合同的计量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合同当事人可在专用合同条款中约定其他价格形式合同的计量方式和程序。</w:t>
      </w:r>
    </w:p>
    <w:p>
      <w:pPr>
        <w:spacing w:line="360" w:lineRule="auto"/>
        <w:ind w:firstLine="480" w:firstLineChars="200"/>
        <w:rPr>
          <w:rFonts w:hint="eastAsia" w:ascii="宋体" w:hAnsi="宋体" w:eastAsia="宋体" w:cs="宋体"/>
          <w:sz w:val="24"/>
          <w:szCs w:val="24"/>
          <w:highlight w:val="none"/>
          <w:lang w:val="zh-CN"/>
        </w:rPr>
      </w:pPr>
      <w:bookmarkStart w:id="606" w:name="_Toc296346602"/>
      <w:bookmarkStart w:id="607" w:name="_Toc296503101"/>
      <w:bookmarkStart w:id="608" w:name="_Toc351203584"/>
      <w:bookmarkStart w:id="609" w:name="_Toc337558803"/>
      <w:r>
        <w:rPr>
          <w:rFonts w:hint="eastAsia" w:ascii="宋体" w:hAnsi="宋体" w:eastAsia="宋体" w:cs="宋体"/>
          <w:sz w:val="24"/>
          <w:szCs w:val="24"/>
          <w:highlight w:val="none"/>
          <w:lang w:val="zh-CN"/>
        </w:rPr>
        <w:t>12.4工程进度款支</w:t>
      </w:r>
      <w:bookmarkEnd w:id="606"/>
      <w:bookmarkEnd w:id="607"/>
      <w:r>
        <w:rPr>
          <w:rFonts w:hint="eastAsia" w:ascii="宋体" w:hAnsi="宋体" w:eastAsia="宋体" w:cs="宋体"/>
          <w:sz w:val="24"/>
          <w:szCs w:val="24"/>
          <w:highlight w:val="none"/>
          <w:lang w:val="zh-CN"/>
        </w:rPr>
        <w:t>付</w:t>
      </w:r>
      <w:bookmarkEnd w:id="608"/>
    </w:p>
    <w:bookmarkEnd w:id="609"/>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12.4.1 付款周期</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除专用合同条款另有约定外，付款周期应按照第12.3.2项〔计量周期〕的约定与计量周期保持一致。</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12.4.2 进度付款申请单的编制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除专用合同条款另有约定外，进度付款申请单应包括下列内容：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（1）截至本次付款周期已完成工作对应的金额；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（2）根据第10条〔变更〕应增加和扣减的变更金额；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（3）根据第12.2款〔预付款〕约定应支付的预付款和扣减的返还预付款；</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（4）根据第15.3款〔质量保证金〕约定应扣减的质量保证金；</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（5）根据第19条〔索赔〕应增加和扣减的索赔金额；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（6）对已签发的进度款支付证书中出现错误的修正，应在本次进度付款中支付或扣除的金额；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（7）根据合同约定应增加和扣减的其他金额。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12.4.3 进度付款申请单的提交</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（1）单价合同进度付款申请单的提交</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（2）总价合同进度付款申请单的提交</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总价合同按月计量支付的，承包人按照第12.3.4项〔总价合同的计量〕约定的时间按月向监理人提交进度付款申请单，并附上已完成工程量报表和有关资料。</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总价合同按支付分解表支付的，承包人应按照第12.4.6项〔支付分解表〕及第12.4.2项〔进度付款申请单的编制〕的约定向监理人提交进度付款申请单。</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（3）其他价格形式合同的进度付款申请单的提交</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合同当事人可在专用合同条款中约定其他价格形式合同的进度付款申请单的编制和提交程序。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12.4.4 进度款审核和支付</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（3）发包人签发进度款支付证书或临时进度款支付证书，不表明发包人已同意、批准或接受了承包人完成的相应部分的工作。</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12.4.5 进度付款的修正</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在对已签发的进度款支付证书进行阶段汇总和复核中发现错误、遗漏或重复的，发包人和承包人均有权提出修正申请。经发包人和承包人同意的修正，应在下期进度付款中支付或扣除。</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12.4.6 支付分解表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zh-CN"/>
        </w:rPr>
        <w:t>支付分解表的编制要求</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（1）支付分解表中所列的每期付款金额，应为第12.4.2项〔进度付款申请单的编制〕第（1）目的估算金额；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（2）实际进度与施工进度计划不一致的，合同当事人可按照第4.4款〔商定或确定〕修改支付分解表；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（3）不采用支付分解表的，承包人应向发包人和监理人提交按季度编制的支付估算分解表，用于支付参考。</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zh-CN"/>
        </w:rPr>
        <w:t>总价合同支付分解表的编制与审批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（3）发包人逾期未完成支付分解表审批的，也未及时要求承包人进行修正和提供补充资料的，则承包人提交的支付分解表视为已经获得发包人批准。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zh-CN"/>
        </w:rPr>
        <w:t>单价合同的总价项目支付分解表的编制与审批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360" w:lineRule="auto"/>
        <w:ind w:firstLine="480" w:firstLineChars="200"/>
        <w:rPr>
          <w:rFonts w:hint="eastAsia" w:ascii="宋体" w:hAnsi="宋体" w:eastAsia="宋体" w:cs="宋体"/>
          <w:sz w:val="24"/>
          <w:szCs w:val="24"/>
          <w:highlight w:val="none"/>
          <w:lang w:val="zh-CN"/>
        </w:rPr>
      </w:pPr>
      <w:bookmarkStart w:id="610" w:name="_Toc351203585"/>
      <w:r>
        <w:rPr>
          <w:rFonts w:hint="eastAsia" w:ascii="宋体" w:hAnsi="宋体" w:eastAsia="宋体" w:cs="宋体"/>
          <w:sz w:val="24"/>
          <w:szCs w:val="24"/>
          <w:highlight w:val="none"/>
          <w:lang w:val="zh-CN"/>
        </w:rPr>
        <w:t>12.5支付账户</w:t>
      </w:r>
      <w:bookmarkEnd w:id="610"/>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发包人应将合同价款支付至合同协议书中约定的承包人账户。</w:t>
      </w:r>
    </w:p>
    <w:p>
      <w:pPr>
        <w:spacing w:line="360" w:lineRule="auto"/>
        <w:ind w:firstLine="480" w:firstLineChars="200"/>
        <w:rPr>
          <w:rFonts w:hint="eastAsia" w:ascii="宋体" w:hAnsi="宋体" w:eastAsia="宋体" w:cs="宋体"/>
          <w:sz w:val="24"/>
          <w:szCs w:val="24"/>
          <w:highlight w:val="none"/>
          <w:lang w:val="zh-CN"/>
        </w:rPr>
      </w:pPr>
      <w:bookmarkStart w:id="611" w:name="_Toc351203586"/>
      <w:bookmarkStart w:id="612" w:name="_Toc296346607"/>
      <w:bookmarkStart w:id="613" w:name="_Toc296503106"/>
      <w:bookmarkStart w:id="614" w:name="_Toc322522574"/>
      <w:bookmarkStart w:id="615" w:name="_Toc337558804"/>
      <w:r>
        <w:rPr>
          <w:rFonts w:hint="eastAsia" w:ascii="宋体" w:hAnsi="宋体" w:eastAsia="宋体" w:cs="宋体"/>
          <w:sz w:val="24"/>
          <w:szCs w:val="24"/>
          <w:highlight w:val="none"/>
          <w:lang w:val="zh-CN"/>
        </w:rPr>
        <w:t>13. 验收和工程试车</w:t>
      </w:r>
      <w:bookmarkEnd w:id="611"/>
    </w:p>
    <w:bookmarkEnd w:id="612"/>
    <w:bookmarkEnd w:id="613"/>
    <w:bookmarkEnd w:id="614"/>
    <w:bookmarkEnd w:id="615"/>
    <w:p>
      <w:pPr>
        <w:spacing w:line="360" w:lineRule="auto"/>
        <w:ind w:firstLine="480" w:firstLineChars="200"/>
        <w:rPr>
          <w:rFonts w:hint="eastAsia" w:ascii="宋体" w:hAnsi="宋体" w:eastAsia="宋体" w:cs="宋体"/>
          <w:sz w:val="24"/>
          <w:szCs w:val="24"/>
          <w:highlight w:val="none"/>
          <w:lang w:val="zh-CN"/>
        </w:rPr>
      </w:pPr>
      <w:bookmarkStart w:id="616" w:name="_Toc351203587"/>
      <w:bookmarkStart w:id="617" w:name="_Toc337558805"/>
      <w:bookmarkStart w:id="618" w:name="_Toc296346611"/>
      <w:bookmarkStart w:id="619" w:name="_Toc296503110"/>
      <w:r>
        <w:rPr>
          <w:rFonts w:hint="eastAsia" w:ascii="宋体" w:hAnsi="宋体" w:eastAsia="宋体" w:cs="宋体"/>
          <w:sz w:val="24"/>
          <w:szCs w:val="24"/>
          <w:highlight w:val="none"/>
          <w:lang w:val="zh-CN"/>
        </w:rPr>
        <w:t>13.1分部分项工程验收</w:t>
      </w:r>
      <w:bookmarkEnd w:id="616"/>
    </w:p>
    <w:bookmarkEnd w:id="617"/>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13.1.1 分部分项工程质量应符合国家有关工程施工验收规范、标准及合同约定，承包人应按照施工组织设计的要求完成分部分项工程施工。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分部分项工程的验收资料应当作为竣工资料的组成部分。</w:t>
      </w:r>
    </w:p>
    <w:p>
      <w:pPr>
        <w:spacing w:line="360" w:lineRule="auto"/>
        <w:ind w:firstLine="480" w:firstLineChars="200"/>
        <w:rPr>
          <w:rFonts w:hint="eastAsia" w:ascii="宋体" w:hAnsi="宋体" w:eastAsia="宋体" w:cs="宋体"/>
          <w:sz w:val="24"/>
          <w:szCs w:val="24"/>
          <w:highlight w:val="none"/>
          <w:lang w:val="zh-CN"/>
        </w:rPr>
      </w:pPr>
      <w:bookmarkStart w:id="620" w:name="_Toc351203588"/>
      <w:bookmarkStart w:id="621" w:name="_Toc337558806"/>
      <w:r>
        <w:rPr>
          <w:rFonts w:hint="eastAsia" w:ascii="宋体" w:hAnsi="宋体" w:eastAsia="宋体" w:cs="宋体"/>
          <w:sz w:val="24"/>
          <w:szCs w:val="24"/>
          <w:highlight w:val="none"/>
          <w:lang w:val="zh-CN"/>
        </w:rPr>
        <w:t>13.2竣工验收</w:t>
      </w:r>
      <w:bookmarkEnd w:id="620"/>
    </w:p>
    <w:bookmarkEnd w:id="618"/>
    <w:bookmarkEnd w:id="619"/>
    <w:bookmarkEnd w:id="621"/>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13.2.1竣工验收条件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工程具备以下条件的，承包人可以申请竣工验收：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（1）除发包人同意的甩项工作和缺陷修补工作外，合同范围内的全部工程以及有关工作，包括合同要求的试验、试运行以及检验均已完成，并符合合同要求；</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（2）已按合同约定编制了甩项工作和缺陷修补工作清单以及相应的施工计划；</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（3）已按合同约定的内容和份数备齐竣工资料。</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13.2.2竣工验收程序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除专用合同条款另有约定外，承包人申请竣工验收的，应当按照以下程序进行：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13.2.3竣工日期</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622" w:name="#go14"/>
      <w:bookmarkEnd w:id="622"/>
      <w:r>
        <w:rPr>
          <w:rFonts w:hint="eastAsia" w:ascii="宋体" w:hAnsi="宋体" w:eastAsia="宋体" w:cs="宋体"/>
          <w:sz w:val="24"/>
          <w:szCs w:val="24"/>
          <w:highlight w:val="none"/>
          <w:lang w:val="zh-CN"/>
        </w:rPr>
        <w:t>收申请报告的日期为实际竣工日期；工程未经竣工验收，发包人擅自使用的，以转移占有工程之日为实际竣工日期。</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13.2.4 拒绝接收全部或部分工程</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13.2.5 移交、接收全部与部分工程</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除专用合同条款另有约定外，合同当事人应当在颁发工程接收证书后7天内完成工程的移交。</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发包人无正当理由不接收工程的，发包人自应当接收工程之日起，承担工程照管、成品保护、保管等与工程有关的各项费用，合同当事人可以在专用合同条款中另行约定发包人逾期接收工程的违约责任。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承包人无正当理由不移交工程的，承包人应承担工程照管、成品保护、保管等与工程有关的各项费用，合同当事人可以在专用合同条款中另行约定承包人无正当理由不移交工程的违约责任。</w:t>
      </w:r>
    </w:p>
    <w:p>
      <w:pPr>
        <w:spacing w:line="360" w:lineRule="auto"/>
        <w:ind w:firstLine="480" w:firstLineChars="200"/>
        <w:rPr>
          <w:rFonts w:hint="eastAsia" w:ascii="宋体" w:hAnsi="宋体" w:eastAsia="宋体" w:cs="宋体"/>
          <w:sz w:val="24"/>
          <w:szCs w:val="24"/>
          <w:highlight w:val="none"/>
          <w:lang w:val="zh-CN"/>
        </w:rPr>
      </w:pPr>
      <w:bookmarkStart w:id="623" w:name="_Toc351203589"/>
      <w:bookmarkStart w:id="624" w:name="_Toc296503111"/>
      <w:bookmarkStart w:id="625" w:name="_Toc337558807"/>
      <w:bookmarkStart w:id="626" w:name="_Toc296346612"/>
      <w:r>
        <w:rPr>
          <w:rFonts w:hint="eastAsia" w:ascii="宋体" w:hAnsi="宋体" w:eastAsia="宋体" w:cs="宋体"/>
          <w:sz w:val="24"/>
          <w:szCs w:val="24"/>
          <w:highlight w:val="none"/>
          <w:lang w:val="zh-CN"/>
        </w:rPr>
        <w:t>13.3工程试车</w:t>
      </w:r>
      <w:bookmarkEnd w:id="623"/>
    </w:p>
    <w:bookmarkEnd w:id="624"/>
    <w:bookmarkEnd w:id="625"/>
    <w:bookmarkEnd w:id="626"/>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13.3.1试车程序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工程需要试车的，除专用合同条款另有约定外，试车内容应与承包人承包范围相一致，试车费用由承包人承担。工程试车应按如下程序进行：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13.3.2 试车中的责任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13.3.3 投料试车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line="360" w:lineRule="auto"/>
        <w:ind w:firstLine="480" w:firstLineChars="200"/>
        <w:rPr>
          <w:rFonts w:hint="eastAsia" w:ascii="宋体" w:hAnsi="宋体" w:eastAsia="宋体" w:cs="宋体"/>
          <w:sz w:val="24"/>
          <w:szCs w:val="24"/>
          <w:highlight w:val="none"/>
          <w:lang w:val="zh-CN"/>
        </w:rPr>
      </w:pPr>
      <w:bookmarkStart w:id="627" w:name="_Toc337558808"/>
      <w:r>
        <w:rPr>
          <w:rFonts w:hint="eastAsia" w:ascii="宋体" w:hAnsi="宋体" w:eastAsia="宋体" w:cs="宋体"/>
          <w:sz w:val="24"/>
          <w:szCs w:val="24"/>
          <w:highlight w:val="none"/>
          <w:lang w:val="zh-CN"/>
        </w:rPr>
        <w:t xml:space="preserve">    </w:t>
      </w:r>
      <w:bookmarkStart w:id="628" w:name="_Toc351203590"/>
      <w:r>
        <w:rPr>
          <w:rFonts w:hint="eastAsia" w:ascii="宋体" w:hAnsi="宋体" w:eastAsia="宋体" w:cs="宋体"/>
          <w:sz w:val="24"/>
          <w:szCs w:val="24"/>
          <w:highlight w:val="none"/>
          <w:lang w:val="zh-CN"/>
        </w:rPr>
        <w:t>13.4提前交付单位工程的验收</w:t>
      </w:r>
      <w:bookmarkEnd w:id="628"/>
    </w:p>
    <w:bookmarkEnd w:id="627"/>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13.4.2 发包人要求在工程竣工前交付单位工程，由此导致承包人费用增加和（或）工期延误的，由发包人承担由此增加的费用和（或）延误的工期，并支付承包人合理的利润。</w:t>
      </w:r>
    </w:p>
    <w:p>
      <w:pPr>
        <w:spacing w:line="360" w:lineRule="auto"/>
        <w:ind w:firstLine="480" w:firstLineChars="200"/>
        <w:rPr>
          <w:rFonts w:hint="eastAsia" w:ascii="宋体" w:hAnsi="宋体" w:eastAsia="宋体" w:cs="宋体"/>
          <w:sz w:val="24"/>
          <w:szCs w:val="24"/>
          <w:highlight w:val="none"/>
          <w:lang w:val="zh-CN"/>
        </w:rPr>
      </w:pPr>
      <w:bookmarkStart w:id="629" w:name="_Toc351203591"/>
      <w:r>
        <w:rPr>
          <w:rFonts w:hint="eastAsia" w:ascii="宋体" w:hAnsi="宋体" w:eastAsia="宋体" w:cs="宋体"/>
          <w:sz w:val="24"/>
          <w:szCs w:val="24"/>
          <w:highlight w:val="none"/>
          <w:lang w:val="zh-CN"/>
        </w:rPr>
        <w:t>13.5 施工期运行</w:t>
      </w:r>
      <w:bookmarkEnd w:id="629"/>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13.5.2 在施工期运行中发现工程或工程设备损坏或存在缺陷的，由承包人按第15.2款〔缺陷责任期〕约定进行修复。</w:t>
      </w:r>
    </w:p>
    <w:p>
      <w:pPr>
        <w:spacing w:line="360" w:lineRule="auto"/>
        <w:ind w:firstLine="480" w:firstLineChars="200"/>
        <w:rPr>
          <w:rFonts w:hint="eastAsia" w:ascii="宋体" w:hAnsi="宋体" w:eastAsia="宋体" w:cs="宋体"/>
          <w:sz w:val="24"/>
          <w:szCs w:val="24"/>
          <w:highlight w:val="none"/>
          <w:lang w:val="zh-CN"/>
        </w:rPr>
      </w:pPr>
      <w:bookmarkStart w:id="630" w:name="_Toc296503112"/>
      <w:bookmarkStart w:id="631" w:name="_Toc296346613"/>
      <w:bookmarkStart w:id="632" w:name="_Toc351203592"/>
      <w:bookmarkStart w:id="633" w:name="_Toc337558809"/>
      <w:r>
        <w:rPr>
          <w:rFonts w:hint="eastAsia" w:ascii="宋体" w:hAnsi="宋体" w:eastAsia="宋体" w:cs="宋体"/>
          <w:sz w:val="24"/>
          <w:szCs w:val="24"/>
          <w:highlight w:val="none"/>
          <w:lang w:val="zh-CN"/>
        </w:rPr>
        <w:t>13.6 竣工退</w:t>
      </w:r>
      <w:bookmarkEnd w:id="630"/>
      <w:bookmarkEnd w:id="631"/>
      <w:r>
        <w:rPr>
          <w:rFonts w:hint="eastAsia" w:ascii="宋体" w:hAnsi="宋体" w:eastAsia="宋体" w:cs="宋体"/>
          <w:sz w:val="24"/>
          <w:szCs w:val="24"/>
          <w:highlight w:val="none"/>
          <w:lang w:val="zh-CN"/>
        </w:rPr>
        <w:t>场</w:t>
      </w:r>
      <w:bookmarkEnd w:id="632"/>
    </w:p>
    <w:bookmarkEnd w:id="633"/>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13.6.1 竣工退场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颁发工程接收证书后，承包人应按以下要求对施工现场进行清理：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（1）施工现场内残留的垃圾已全部清除出场；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（2）临时工程已拆除，场地已进行清理、平整或复原；</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（3）按合同约定应撤离的人员、承包人施工设备和剩余的材料，包括废弃的施工设备和材料，已按计划撤离施工现场；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（4）施工现场周边及其附近道路、河道的施工堆积物，已全部清理；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（5）施工现场其他场地清理工作已全部完成。</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13.6.2 地表还原</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承包人应按发包人要求恢复临时占地及清理场地，承包人未按发包人的要求恢复临时占地，或者场地清理未达到合同约定要求的，发包人有权委托其他人恢复或清理，所发生的费用由承包人承担。</w:t>
      </w:r>
    </w:p>
    <w:p>
      <w:pPr>
        <w:spacing w:line="360" w:lineRule="auto"/>
        <w:ind w:firstLine="480" w:firstLineChars="200"/>
        <w:rPr>
          <w:rFonts w:hint="eastAsia" w:ascii="宋体" w:hAnsi="宋体" w:eastAsia="宋体" w:cs="宋体"/>
          <w:sz w:val="24"/>
          <w:szCs w:val="24"/>
          <w:highlight w:val="none"/>
          <w:lang w:val="zh-CN"/>
        </w:rPr>
      </w:pPr>
      <w:bookmarkStart w:id="634" w:name="_Toc351203593"/>
      <w:bookmarkStart w:id="635" w:name="_Toc337558810"/>
      <w:bookmarkStart w:id="636" w:name="_Toc296503113"/>
      <w:bookmarkStart w:id="637" w:name="_Toc296346614"/>
      <w:r>
        <w:rPr>
          <w:rFonts w:hint="eastAsia" w:ascii="宋体" w:hAnsi="宋体" w:eastAsia="宋体" w:cs="宋体"/>
          <w:sz w:val="24"/>
          <w:szCs w:val="24"/>
          <w:highlight w:val="none"/>
          <w:lang w:val="zh-CN"/>
        </w:rPr>
        <w:t>14. 竣工结算</w:t>
      </w:r>
      <w:bookmarkEnd w:id="634"/>
    </w:p>
    <w:bookmarkEnd w:id="635"/>
    <w:p>
      <w:pPr>
        <w:spacing w:line="360" w:lineRule="auto"/>
        <w:ind w:firstLine="480" w:firstLineChars="200"/>
        <w:rPr>
          <w:rFonts w:hint="eastAsia" w:ascii="宋体" w:hAnsi="宋体" w:eastAsia="宋体" w:cs="宋体"/>
          <w:sz w:val="24"/>
          <w:szCs w:val="24"/>
          <w:highlight w:val="none"/>
          <w:lang w:val="zh-CN"/>
        </w:rPr>
      </w:pPr>
      <w:bookmarkStart w:id="638" w:name="_Toc351203594"/>
      <w:bookmarkStart w:id="639" w:name="_Toc337558811"/>
      <w:r>
        <w:rPr>
          <w:rFonts w:hint="eastAsia" w:ascii="宋体" w:hAnsi="宋体" w:eastAsia="宋体" w:cs="宋体"/>
          <w:sz w:val="24"/>
          <w:szCs w:val="24"/>
          <w:highlight w:val="none"/>
          <w:lang w:val="zh-CN"/>
        </w:rPr>
        <w:t>14.1 竣工结算申请</w:t>
      </w:r>
      <w:bookmarkEnd w:id="638"/>
    </w:p>
    <w:bookmarkEnd w:id="639"/>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除专用合同条款另有约定外，竣工结算申请单应包括以下内容：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（1）竣工结算合同价格；</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（2）发包人已支付承包人的款项；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（3）应扣留的质量保证金。已缴纳履约保证金的或提供其他工程质量担保方式的除外；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（4）发包人应支付承包人的合同价款。</w:t>
      </w:r>
    </w:p>
    <w:p>
      <w:pPr>
        <w:spacing w:line="360" w:lineRule="auto"/>
        <w:ind w:firstLine="480" w:firstLineChars="200"/>
        <w:rPr>
          <w:rFonts w:hint="eastAsia" w:ascii="宋体" w:hAnsi="宋体" w:eastAsia="宋体" w:cs="宋体"/>
          <w:sz w:val="24"/>
          <w:szCs w:val="24"/>
          <w:highlight w:val="none"/>
          <w:lang w:val="zh-CN"/>
        </w:rPr>
      </w:pPr>
      <w:bookmarkStart w:id="640" w:name="_Toc351203595"/>
      <w:bookmarkStart w:id="641" w:name="_Toc337558812"/>
      <w:r>
        <w:rPr>
          <w:rFonts w:hint="eastAsia" w:ascii="宋体" w:hAnsi="宋体" w:eastAsia="宋体" w:cs="宋体"/>
          <w:sz w:val="24"/>
          <w:szCs w:val="24"/>
          <w:highlight w:val="none"/>
          <w:lang w:val="zh-CN"/>
        </w:rPr>
        <w:t>14.2 竣工结算审核</w:t>
      </w:r>
      <w:bookmarkEnd w:id="640"/>
    </w:p>
    <w:bookmarkEnd w:id="641"/>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spacing w:line="360" w:lineRule="auto"/>
        <w:ind w:firstLine="480" w:firstLineChars="200"/>
        <w:rPr>
          <w:rFonts w:hint="eastAsia" w:ascii="宋体" w:hAnsi="宋体" w:eastAsia="宋体" w:cs="宋体"/>
          <w:sz w:val="24"/>
          <w:szCs w:val="24"/>
          <w:highlight w:val="none"/>
          <w:lang w:val="zh-CN"/>
        </w:rPr>
      </w:pPr>
      <w:bookmarkStart w:id="642" w:name="_Toc351203596"/>
      <w:bookmarkStart w:id="643" w:name="_Toc337558813"/>
      <w:r>
        <w:rPr>
          <w:rFonts w:hint="eastAsia" w:ascii="宋体" w:hAnsi="宋体" w:eastAsia="宋体" w:cs="宋体"/>
          <w:sz w:val="24"/>
          <w:szCs w:val="24"/>
          <w:highlight w:val="none"/>
          <w:lang w:val="zh-CN"/>
        </w:rPr>
        <w:t>14.3 甩项竣工协议</w:t>
      </w:r>
      <w:bookmarkEnd w:id="642"/>
    </w:p>
    <w:bookmarkEnd w:id="643"/>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line="360" w:lineRule="auto"/>
        <w:ind w:firstLine="480" w:firstLineChars="200"/>
        <w:rPr>
          <w:rFonts w:hint="eastAsia" w:ascii="宋体" w:hAnsi="宋体" w:eastAsia="宋体" w:cs="宋体"/>
          <w:sz w:val="24"/>
          <w:szCs w:val="24"/>
          <w:highlight w:val="none"/>
          <w:lang w:val="zh-CN"/>
        </w:rPr>
      </w:pPr>
      <w:bookmarkStart w:id="644" w:name="_Toc351203597"/>
      <w:bookmarkStart w:id="645" w:name="_Toc337558814"/>
      <w:r>
        <w:rPr>
          <w:rFonts w:hint="eastAsia" w:ascii="宋体" w:hAnsi="宋体" w:eastAsia="宋体" w:cs="宋体"/>
          <w:sz w:val="24"/>
          <w:szCs w:val="24"/>
          <w:highlight w:val="none"/>
          <w:lang w:val="zh-CN"/>
        </w:rPr>
        <w:t>14.4 最终结清</w:t>
      </w:r>
      <w:bookmarkEnd w:id="644"/>
    </w:p>
    <w:bookmarkEnd w:id="645"/>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14.4.1 最终结清申请单</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（1）除专用合同条款另有约定外，承包人应在缺陷责任期终止证书颁发后7天内，按专用合同条款约定的份数向发包人提交最终结清申请单，并提供相关证明材料。</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除专用合同条款另有约定外，最终结清申请单应列明质量保证金、应扣除的质量保证金、缺陷责任期内发生的增减费用。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（2）发包人对最终结清申请单内容有异议的，有权要求承包人进行修正和提供补充资料，承包人应向发包人提交修正后的最终结清申请单。</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14.4.2 最终结清证书和支付</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（3）承包人对发包人颁发的最终结清证书有异议的，按第20条〔争议解决〕的约定办理。</w:t>
      </w:r>
    </w:p>
    <w:p>
      <w:pPr>
        <w:spacing w:line="360" w:lineRule="auto"/>
        <w:ind w:firstLine="480" w:firstLineChars="200"/>
        <w:rPr>
          <w:rFonts w:hint="eastAsia" w:ascii="宋体" w:hAnsi="宋体" w:eastAsia="宋体" w:cs="宋体"/>
          <w:sz w:val="24"/>
          <w:szCs w:val="24"/>
          <w:highlight w:val="none"/>
          <w:lang w:val="zh-CN"/>
        </w:rPr>
      </w:pPr>
      <w:bookmarkStart w:id="646" w:name="_Toc351203598"/>
      <w:bookmarkStart w:id="647" w:name="_Toc337558815"/>
      <w:r>
        <w:rPr>
          <w:rFonts w:hint="eastAsia" w:ascii="宋体" w:hAnsi="宋体" w:eastAsia="宋体" w:cs="宋体"/>
          <w:sz w:val="24"/>
          <w:szCs w:val="24"/>
          <w:highlight w:val="none"/>
          <w:lang w:val="zh-CN"/>
        </w:rPr>
        <w:t>15. 缺陷责任与保修</w:t>
      </w:r>
      <w:bookmarkEnd w:id="646"/>
    </w:p>
    <w:bookmarkEnd w:id="636"/>
    <w:bookmarkEnd w:id="637"/>
    <w:bookmarkEnd w:id="647"/>
    <w:p>
      <w:pPr>
        <w:spacing w:line="360" w:lineRule="auto"/>
        <w:ind w:firstLine="480" w:firstLineChars="200"/>
        <w:rPr>
          <w:rFonts w:hint="eastAsia" w:ascii="宋体" w:hAnsi="宋体" w:eastAsia="宋体" w:cs="宋体"/>
          <w:sz w:val="24"/>
          <w:szCs w:val="24"/>
          <w:highlight w:val="none"/>
          <w:lang w:val="zh-CN"/>
        </w:rPr>
      </w:pPr>
      <w:bookmarkStart w:id="648" w:name="_Toc351203599"/>
      <w:bookmarkStart w:id="649" w:name="_Toc337558816"/>
      <w:bookmarkStart w:id="650" w:name="_Toc296346615"/>
      <w:bookmarkStart w:id="651" w:name="_Toc296503114"/>
      <w:r>
        <w:rPr>
          <w:rFonts w:hint="eastAsia" w:ascii="宋体" w:hAnsi="宋体" w:eastAsia="宋体" w:cs="宋体"/>
          <w:sz w:val="24"/>
          <w:szCs w:val="24"/>
          <w:highlight w:val="none"/>
          <w:lang w:val="zh-CN"/>
        </w:rPr>
        <w:t>15.1 工程保修的原则</w:t>
      </w:r>
      <w:bookmarkEnd w:id="648"/>
    </w:p>
    <w:bookmarkEnd w:id="649"/>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在工程移交发包人后，因承包人原因产生的质量缺陷，承包人应承担质量缺陷责任和保修义务。缺陷责任期届满，承包人仍应按合同约定的工程各部位保修年限承担保修义务。</w:t>
      </w:r>
    </w:p>
    <w:p>
      <w:pPr>
        <w:spacing w:line="360" w:lineRule="auto"/>
        <w:ind w:firstLine="480" w:firstLineChars="200"/>
        <w:rPr>
          <w:rFonts w:hint="eastAsia" w:ascii="宋体" w:hAnsi="宋体" w:eastAsia="宋体" w:cs="宋体"/>
          <w:sz w:val="24"/>
          <w:szCs w:val="24"/>
          <w:highlight w:val="none"/>
          <w:lang w:val="zh-CN"/>
        </w:rPr>
      </w:pPr>
      <w:bookmarkStart w:id="652" w:name="_Toc351203600"/>
      <w:bookmarkStart w:id="653" w:name="_Toc337558817"/>
      <w:r>
        <w:rPr>
          <w:rFonts w:hint="eastAsia" w:ascii="宋体" w:hAnsi="宋体" w:eastAsia="宋体" w:cs="宋体"/>
          <w:sz w:val="24"/>
          <w:szCs w:val="24"/>
          <w:highlight w:val="none"/>
          <w:lang w:val="zh-CN"/>
        </w:rPr>
        <w:t>15.2 缺陷责任期</w:t>
      </w:r>
      <w:bookmarkEnd w:id="650"/>
      <w:bookmarkEnd w:id="651"/>
      <w:bookmarkEnd w:id="652"/>
    </w:p>
    <w:bookmarkEnd w:id="653"/>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15.2.1 缺陷责任期从工程通过竣工验收之日起计算，合同当事人应在专用合同条款约定缺陷责任期的具体期限，但该期限最长不超过24个月。</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zh-CN"/>
        </w:rPr>
        <w:t>但缺陷责任期</w:t>
      </w:r>
      <w:r>
        <w:rPr>
          <w:rFonts w:hint="eastAsia" w:ascii="宋体" w:hAnsi="宋体" w:eastAsia="宋体" w:cs="宋体"/>
          <w:sz w:val="24"/>
          <w:szCs w:val="24"/>
          <w:highlight w:val="none"/>
          <w:lang w:val="zh-CN" w:eastAsia="zh-CN"/>
        </w:rPr>
        <w:t>（含延长部分）</w:t>
      </w:r>
      <w:r>
        <w:rPr>
          <w:rFonts w:hint="eastAsia" w:ascii="宋体" w:hAnsi="宋体" w:eastAsia="宋体" w:cs="宋体"/>
          <w:sz w:val="24"/>
          <w:szCs w:val="24"/>
          <w:highlight w:val="none"/>
          <w:lang w:val="zh-CN"/>
        </w:rPr>
        <w:t>最长不能超过24个月。</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由他人原因造成的缺陷，发包人负责组织维修，承包人不承担费用，且发包人不得从保证金中扣除费用。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15.2.3 任何一项缺陷或损坏修复后，经检查证明其影响了工程或工程设备的使用性能，承包人应重新进行合同约定的试验和试运行，试验和试运行的全部费用应由责任方承担。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line="360" w:lineRule="auto"/>
        <w:ind w:firstLine="480" w:firstLineChars="200"/>
        <w:rPr>
          <w:rFonts w:hint="eastAsia" w:ascii="宋体" w:hAnsi="宋体" w:eastAsia="宋体" w:cs="宋体"/>
          <w:sz w:val="24"/>
          <w:szCs w:val="24"/>
          <w:highlight w:val="none"/>
          <w:lang w:val="zh-CN"/>
        </w:rPr>
      </w:pPr>
      <w:bookmarkStart w:id="654" w:name="_Toc351203601"/>
      <w:bookmarkStart w:id="655" w:name="_Toc337558818"/>
      <w:bookmarkStart w:id="656" w:name="_Toc296503115"/>
      <w:bookmarkStart w:id="657" w:name="_Toc296346616"/>
      <w:r>
        <w:rPr>
          <w:rFonts w:hint="eastAsia" w:ascii="宋体" w:hAnsi="宋体" w:eastAsia="宋体" w:cs="宋体"/>
          <w:sz w:val="24"/>
          <w:szCs w:val="24"/>
          <w:highlight w:val="none"/>
          <w:lang w:val="zh-CN"/>
        </w:rPr>
        <w:t>15.3 质量保证金</w:t>
      </w:r>
      <w:bookmarkEnd w:id="654"/>
    </w:p>
    <w:bookmarkEnd w:id="655"/>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经合同当事人协商一致扣留质量保证金的，应在专用合同条款中予以明确。</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在工程项目竣工前，承包人已经提供履约担保的，发包人不得同时预留工程质量保证金。</w:t>
      </w:r>
    </w:p>
    <w:p>
      <w:pPr>
        <w:spacing w:line="360" w:lineRule="auto"/>
        <w:ind w:firstLine="480" w:firstLineChars="200"/>
        <w:rPr>
          <w:rFonts w:hint="eastAsia" w:ascii="宋体" w:hAnsi="宋体" w:eastAsia="宋体" w:cs="宋体"/>
          <w:sz w:val="24"/>
          <w:szCs w:val="24"/>
          <w:highlight w:val="none"/>
          <w:lang w:val="zh-CN"/>
        </w:rPr>
      </w:pP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15.3.1 承包人提供质量保证金的方式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承包人提供质量保证金有以下三种方式：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（1）质量保证金保函；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（2）相应比例的工程款；</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（3）双方约定的其他方式。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除专用合同条款另有约定外，质量保证金原则上采用上述第（1）种方式。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15.3.2 质量保证金的扣留</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质量保证金的扣留有以下三种方式：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（1）在支付工程进度款时逐次扣留，在此情形下，质量保证金的计算基数不包括预付款的支付、扣回以及价格调整的金额；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（2）工</w:t>
      </w:r>
      <w:bookmarkStart w:id="658" w:name="#go6"/>
      <w:bookmarkEnd w:id="658"/>
      <w:r>
        <w:rPr>
          <w:rFonts w:hint="eastAsia" w:ascii="宋体" w:hAnsi="宋体" w:eastAsia="宋体" w:cs="宋体"/>
          <w:sz w:val="24"/>
          <w:szCs w:val="24"/>
          <w:highlight w:val="none"/>
          <w:lang w:val="zh-CN"/>
        </w:rPr>
        <w:t>程竣工结算时一次性扣留质量保证金；</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（3）双方约定的其他扣留方式。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除专用合同条款另有约定外，质量保证金的扣留原则上采用上述第（1）种方式。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w:t>
      </w:r>
      <w:bookmarkStart w:id="659" w:name="#go4"/>
      <w:bookmarkEnd w:id="659"/>
      <w:r>
        <w:rPr>
          <w:rFonts w:hint="eastAsia" w:ascii="宋体" w:hAnsi="宋体" w:eastAsia="宋体" w:cs="宋体"/>
          <w:sz w:val="24"/>
          <w:szCs w:val="24"/>
          <w:highlight w:val="none"/>
          <w:lang w:val="zh-CN"/>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发包人在退还质量保证金的同时按照中国人民银行发布的同期同类贷款基准利率支付利息。</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15.3.3 质量保证金的退还</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缺陷责任期内，承包人认真履行合同约定的责任，到期后，承包人可向发包人申请返还保证金。</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发包人和承包人对保证金预留、返还以及工程维修质量、费用有争议的，按本合同第20条约定的争议和纠纷解决程序处理。</w:t>
      </w:r>
    </w:p>
    <w:p>
      <w:pPr>
        <w:spacing w:line="360" w:lineRule="auto"/>
        <w:ind w:firstLine="480" w:firstLineChars="200"/>
        <w:rPr>
          <w:rFonts w:hint="eastAsia" w:ascii="宋体" w:hAnsi="宋体" w:eastAsia="宋体" w:cs="宋体"/>
          <w:sz w:val="24"/>
          <w:szCs w:val="24"/>
          <w:highlight w:val="none"/>
          <w:lang w:val="zh-CN"/>
        </w:rPr>
      </w:pPr>
      <w:bookmarkStart w:id="660" w:name="_Toc351203602"/>
      <w:bookmarkStart w:id="661" w:name="_Toc337558819"/>
      <w:r>
        <w:rPr>
          <w:rFonts w:hint="eastAsia" w:ascii="宋体" w:hAnsi="宋体" w:eastAsia="宋体" w:cs="宋体"/>
          <w:sz w:val="24"/>
          <w:szCs w:val="24"/>
          <w:highlight w:val="none"/>
          <w:lang w:val="zh-CN"/>
        </w:rPr>
        <w:t>15.4 保修</w:t>
      </w:r>
      <w:bookmarkEnd w:id="660"/>
    </w:p>
    <w:bookmarkEnd w:id="656"/>
    <w:bookmarkEnd w:id="657"/>
    <w:bookmarkEnd w:id="661"/>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15.4.1保修责任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发包人未经竣工验收擅自使用工程的，保修期自转移占有之日起算。</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15.4.2 修复费用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保修期内，修复的费用按照以下约定处理：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（1）保修期内，因承包人原因造成工程的缺陷、损坏，承包人应负责修复，并承担修复的费用以及因工程的缺陷、损坏造成的人身伤害和财产损失；</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（2）保修期内，因发包人使用不当造成工程的缺陷、损坏，可以委托承包人修复，但发包人应承担修复的费用，并支付承包人合理利润；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（3）因其他原因造成工程的缺陷、损坏，可以委托承包人修复，发包人应承担修复的费用，并支付承包人合理的利润，因工程的缺陷、损坏造成的人身伤害和财产损失由责任方承担。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15.4.3 修复通知</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15.4.4 未能修复</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15.4.5 承包人出入权</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360" w:lineRule="auto"/>
        <w:ind w:firstLine="480" w:firstLineChars="200"/>
        <w:rPr>
          <w:rFonts w:hint="eastAsia" w:ascii="宋体" w:hAnsi="宋体" w:eastAsia="宋体" w:cs="宋体"/>
          <w:sz w:val="24"/>
          <w:szCs w:val="24"/>
          <w:highlight w:val="none"/>
          <w:lang w:val="zh-CN"/>
        </w:rPr>
      </w:pPr>
      <w:bookmarkStart w:id="662" w:name="_Toc351203603"/>
      <w:bookmarkStart w:id="663" w:name="_Toc337558820"/>
      <w:r>
        <w:rPr>
          <w:rFonts w:hint="eastAsia" w:ascii="宋体" w:hAnsi="宋体" w:eastAsia="宋体" w:cs="宋体"/>
          <w:sz w:val="24"/>
          <w:szCs w:val="24"/>
          <w:highlight w:val="none"/>
          <w:lang w:val="zh-CN"/>
        </w:rPr>
        <w:t>16. 违约</w:t>
      </w:r>
      <w:bookmarkEnd w:id="662"/>
    </w:p>
    <w:bookmarkEnd w:id="663"/>
    <w:p>
      <w:pPr>
        <w:spacing w:line="360" w:lineRule="auto"/>
        <w:ind w:firstLine="480" w:firstLineChars="200"/>
        <w:rPr>
          <w:rFonts w:hint="eastAsia" w:ascii="宋体" w:hAnsi="宋体" w:eastAsia="宋体" w:cs="宋体"/>
          <w:sz w:val="24"/>
          <w:szCs w:val="24"/>
          <w:highlight w:val="none"/>
          <w:lang w:val="zh-CN"/>
        </w:rPr>
      </w:pPr>
      <w:bookmarkStart w:id="664" w:name="_Toc296346630"/>
      <w:bookmarkStart w:id="665" w:name="_Toc296503129"/>
      <w:bookmarkStart w:id="666" w:name="_Toc351203604"/>
      <w:bookmarkStart w:id="667" w:name="_Toc337558821"/>
      <w:r>
        <w:rPr>
          <w:rFonts w:hint="eastAsia" w:ascii="宋体" w:hAnsi="宋体" w:eastAsia="宋体" w:cs="宋体"/>
          <w:sz w:val="24"/>
          <w:szCs w:val="24"/>
          <w:highlight w:val="none"/>
          <w:lang w:val="zh-CN"/>
        </w:rPr>
        <w:t>16.1 发</w:t>
      </w:r>
      <w:bookmarkEnd w:id="664"/>
      <w:bookmarkEnd w:id="665"/>
      <w:r>
        <w:rPr>
          <w:rFonts w:hint="eastAsia" w:ascii="宋体" w:hAnsi="宋体" w:eastAsia="宋体" w:cs="宋体"/>
          <w:sz w:val="24"/>
          <w:szCs w:val="24"/>
          <w:highlight w:val="none"/>
          <w:lang w:val="zh-CN"/>
        </w:rPr>
        <w:t>包人违约</w:t>
      </w:r>
      <w:bookmarkEnd w:id="666"/>
    </w:p>
    <w:bookmarkEnd w:id="667"/>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16.1.1 发包人违约的情形</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在合同履行过程中发生的下列情形，属于发包人违约：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（1）因发包人原因未能在计划开工日期前7天内下达开工通知的；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（2）因发包人原因未能按合同约定支付合同价款的；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（3）发包人违反第10.1款〔变更的范围〕第（2）项约定，自行实施被取消的工作或转由他人实施的；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（4）发包人提供的材料、工程设备的规格、数量或质量不符合合同约定，或因发包人原因导致交货日期延误或交货地点变更等情况的；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（5）因发包人违反合同约定造成暂停施工的；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（6）发包人无正当理由没有在约定期限内发出复工指示，导致承包人无法复工的；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（7）发包人明确表示或者以其行为表明不履行合同主要义务的；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（8）发包人未能按照合同约定履行其他义务的。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16.1.2 发包人违约的责任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发包人应承担因其违约给承包人增加的费用和（或）延误的工期，并支付承包人合理的利润。此外，合同当事人可在专用合同条款中另行约定发包人违约责任的承担方式和计算方法。</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16.1.3 因发包人违约解除合同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16.1.4 因发包人违约解除合同后的付款</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承包人按照本款约定解除合同的，发包人应在解除合同后28天内支付下列款项，并解除履约担保：</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（1）合同解除前所完成工作的价款；</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（2）承包人为工程施工订购并已付款的材料、工程设备和其他物品的价款；</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（3）承包人撤离施工现场以及遣散承包人人员的款项；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（4）按照合同约定在合同解除前应支付的违约金；</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（5）按照合同约定应当支付给承包人的其他款项；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（6）按照合同约定应退还的质量保证金；</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（7）因解除合同给承包人造成的损失。</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合同当事人未能就解除合同后的结清达成一致的，按照第20条〔争议解决〕的约定处理。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承包人应妥善做好已完工程和与工程有关的已购材料、工程设备的保护和移交工作，并将施工设备和人员撤出施工现场，发包人应为承包人撤出提供必要条件。</w:t>
      </w:r>
    </w:p>
    <w:p>
      <w:pPr>
        <w:spacing w:line="360" w:lineRule="auto"/>
        <w:ind w:firstLine="480" w:firstLineChars="200"/>
        <w:rPr>
          <w:rFonts w:hint="eastAsia" w:ascii="宋体" w:hAnsi="宋体" w:eastAsia="宋体" w:cs="宋体"/>
          <w:sz w:val="24"/>
          <w:szCs w:val="24"/>
          <w:highlight w:val="none"/>
          <w:lang w:val="zh-CN"/>
        </w:rPr>
      </w:pPr>
      <w:bookmarkStart w:id="668" w:name="_Toc351203605"/>
      <w:bookmarkStart w:id="669" w:name="_Toc337558822"/>
      <w:bookmarkStart w:id="670" w:name="_Toc296503131"/>
      <w:bookmarkStart w:id="671" w:name="_Toc296346632"/>
      <w:r>
        <w:rPr>
          <w:rFonts w:hint="eastAsia" w:ascii="宋体" w:hAnsi="宋体" w:eastAsia="宋体" w:cs="宋体"/>
          <w:sz w:val="24"/>
          <w:szCs w:val="24"/>
          <w:highlight w:val="none"/>
          <w:lang w:val="zh-CN"/>
        </w:rPr>
        <w:t>16.2 承包人违约</w:t>
      </w:r>
      <w:bookmarkEnd w:id="668"/>
    </w:p>
    <w:bookmarkEnd w:id="669"/>
    <w:bookmarkEnd w:id="670"/>
    <w:bookmarkEnd w:id="671"/>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16.2.1 承包人违约的情形</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在合同履行过程中发生的下列情形，属于承包人违约：</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（1）承包人违反合同约定进行转包或违法分包的；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（2）承包人违反合同约定采购和使用不合格的材料和工程设备的；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（3）因承包人原因导致工程质量不符合合同要求的；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（4）承包人违反第8.9款〔材料与设备专用要求〕的约定，未经批准，私自将已按照合同约定进入施工现场的材料或设备撤离施工现场的；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（5）承包人未能按施工进度计划及时完成合同约定的工作，造成工期延误的；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（6）承包人在缺陷责任期及保修期内，未能在合理期限对工程缺陷进行修复，或拒绝按发包人要求进行修复的；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（7）承包人明确表示或者以其行为表明不履行合同主要义务的；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（8）承包人未能按照合同约定履行其他义务的。</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承包人发生除本项第（7）目约定以外的其他违约情况时，监理人可向承包人发出整改通知，要求其在指定的期限内改正。</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16.2.2 承包人违约的责任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承包人应承担因其违约行为而增加的费用和（或）延误的工期。此外，合同当事人可在专用合同条款中另行约定承包人违约责任的承担方式和计算方法。</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16.2.3 因承包人违约解除合同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16.2.4因承包人违约解除合同后的处理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因承包人原因导致合同解除的，则合同当事人应在合同解除后28天内完成估价、付款和清算，并按以下约定执行：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（1）合同解除后，按第4.4款〔商定或确定〕商定或确定承包人实际完成工作对应的合同价款，以及承包人已提供的材料、工程设备、施工设备和临时工程等的价值；</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（2）合同解除后，承包人应支付的违约金；</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（3）合同解除后，因解除合同给发包人造成的损失；</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（4）合同解除后，承包人应按照发包人要求和监理人的指示完成现场的清理和撤离；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（5）发包人和承包人应在合同解除后进行清算，出具最终结清付款证书，结清全部款项。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16.2.5采购合同权益转让</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360" w:lineRule="auto"/>
        <w:ind w:firstLine="480" w:firstLineChars="200"/>
        <w:rPr>
          <w:rFonts w:hint="eastAsia" w:ascii="宋体" w:hAnsi="宋体" w:eastAsia="宋体" w:cs="宋体"/>
          <w:sz w:val="24"/>
          <w:szCs w:val="24"/>
          <w:highlight w:val="none"/>
          <w:lang w:val="zh-CN"/>
        </w:rPr>
      </w:pPr>
      <w:bookmarkStart w:id="672" w:name="_Toc351203606"/>
      <w:r>
        <w:rPr>
          <w:rFonts w:hint="eastAsia" w:ascii="宋体" w:hAnsi="宋体" w:eastAsia="宋体" w:cs="宋体"/>
          <w:sz w:val="24"/>
          <w:szCs w:val="24"/>
          <w:highlight w:val="none"/>
          <w:lang w:val="zh-CN"/>
        </w:rPr>
        <w:t>16.3 第三人造成的违约</w:t>
      </w:r>
      <w:bookmarkEnd w:id="672"/>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在履行合同过程中，一方当事人因第三人的原因造成违约的，应当向对方当事人承担违约责任。一方当事人和第三人之间的纠纷，依照法律规定或者按照约定解决。</w:t>
      </w:r>
    </w:p>
    <w:p>
      <w:pPr>
        <w:spacing w:line="360" w:lineRule="auto"/>
        <w:ind w:firstLine="480" w:firstLineChars="200"/>
        <w:rPr>
          <w:rFonts w:hint="eastAsia" w:ascii="宋体" w:hAnsi="宋体" w:eastAsia="宋体" w:cs="宋体"/>
          <w:sz w:val="24"/>
          <w:szCs w:val="24"/>
          <w:highlight w:val="none"/>
          <w:lang w:val="zh-CN"/>
        </w:rPr>
      </w:pPr>
      <w:bookmarkStart w:id="673" w:name="_Toc351203607"/>
      <w:bookmarkStart w:id="674" w:name="_Toc296346617"/>
      <w:bookmarkStart w:id="675" w:name="_Toc337558823"/>
      <w:bookmarkStart w:id="676" w:name="_Toc296503116"/>
      <w:r>
        <w:rPr>
          <w:rFonts w:hint="eastAsia" w:ascii="宋体" w:hAnsi="宋体" w:eastAsia="宋体" w:cs="宋体"/>
          <w:sz w:val="24"/>
          <w:szCs w:val="24"/>
          <w:highlight w:val="none"/>
          <w:lang w:val="zh-CN"/>
        </w:rPr>
        <w:t>17. 不可抗力</w:t>
      </w:r>
      <w:bookmarkEnd w:id="673"/>
      <w:r>
        <w:rPr>
          <w:rFonts w:hint="eastAsia" w:ascii="宋体" w:hAnsi="宋体" w:eastAsia="宋体" w:cs="宋体"/>
          <w:sz w:val="24"/>
          <w:szCs w:val="24"/>
          <w:highlight w:val="none"/>
          <w:lang w:val="zh-CN"/>
        </w:rPr>
        <w:t xml:space="preserve"> </w:t>
      </w:r>
      <w:bookmarkEnd w:id="674"/>
      <w:bookmarkEnd w:id="675"/>
      <w:bookmarkEnd w:id="676"/>
    </w:p>
    <w:p>
      <w:pPr>
        <w:spacing w:line="360" w:lineRule="auto"/>
        <w:ind w:firstLine="480" w:firstLineChars="200"/>
        <w:rPr>
          <w:rFonts w:hint="eastAsia" w:ascii="宋体" w:hAnsi="宋体" w:eastAsia="宋体" w:cs="宋体"/>
          <w:sz w:val="24"/>
          <w:szCs w:val="24"/>
          <w:highlight w:val="none"/>
          <w:lang w:val="zh-CN"/>
        </w:rPr>
      </w:pPr>
      <w:bookmarkStart w:id="677" w:name="_Toc351203608"/>
      <w:bookmarkStart w:id="678" w:name="_Toc296346618"/>
      <w:bookmarkStart w:id="679" w:name="_Toc337558824"/>
      <w:bookmarkStart w:id="680" w:name="_Toc296503117"/>
      <w:r>
        <w:rPr>
          <w:rFonts w:hint="eastAsia" w:ascii="宋体" w:hAnsi="宋体" w:eastAsia="宋体" w:cs="宋体"/>
          <w:sz w:val="24"/>
          <w:szCs w:val="24"/>
          <w:highlight w:val="none"/>
          <w:lang w:val="zh-CN"/>
        </w:rPr>
        <w:t>17.1 不可抗力的确认</w:t>
      </w:r>
      <w:bookmarkEnd w:id="677"/>
    </w:p>
    <w:bookmarkEnd w:id="678"/>
    <w:bookmarkEnd w:id="679"/>
    <w:bookmarkEnd w:id="680"/>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line="360" w:lineRule="auto"/>
        <w:ind w:firstLine="480" w:firstLineChars="200"/>
        <w:rPr>
          <w:rFonts w:hint="eastAsia" w:ascii="宋体" w:hAnsi="宋体" w:eastAsia="宋体" w:cs="宋体"/>
          <w:sz w:val="24"/>
          <w:szCs w:val="24"/>
          <w:highlight w:val="none"/>
          <w:lang w:val="zh-CN"/>
        </w:rPr>
      </w:pPr>
      <w:bookmarkStart w:id="681" w:name="_Toc351203609"/>
      <w:bookmarkStart w:id="682" w:name="_Toc296503118"/>
      <w:bookmarkStart w:id="683" w:name="_Toc296346619"/>
      <w:bookmarkStart w:id="684" w:name="_Toc337558825"/>
      <w:r>
        <w:rPr>
          <w:rFonts w:hint="eastAsia" w:ascii="宋体" w:hAnsi="宋体" w:eastAsia="宋体" w:cs="宋体"/>
          <w:sz w:val="24"/>
          <w:szCs w:val="24"/>
          <w:highlight w:val="none"/>
          <w:lang w:val="zh-CN"/>
        </w:rPr>
        <w:t>17.2 不可抗力的通知</w:t>
      </w:r>
      <w:bookmarkEnd w:id="681"/>
    </w:p>
    <w:bookmarkEnd w:id="682"/>
    <w:bookmarkEnd w:id="683"/>
    <w:bookmarkEnd w:id="684"/>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合同一方当事人遇到不可抗力事件，使其履行合同义务受到阻碍时，应立即通知合同另一方当事人和监理人，书面说明不可抗力和受阻碍的详细情况，并提供必要的证明。</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不可抗力持续发生的，合同一方当事人应及时向合同另一方当事人和监理人提交中间报告，说明不可抗力和履行合同受阻的情况，并于不可抗力事件结束后28天内提交最终报告及有关资料。</w:t>
      </w:r>
    </w:p>
    <w:p>
      <w:pPr>
        <w:spacing w:line="360" w:lineRule="auto"/>
        <w:ind w:firstLine="480" w:firstLineChars="200"/>
        <w:rPr>
          <w:rFonts w:hint="eastAsia" w:ascii="宋体" w:hAnsi="宋体" w:eastAsia="宋体" w:cs="宋体"/>
          <w:sz w:val="24"/>
          <w:szCs w:val="24"/>
          <w:highlight w:val="none"/>
          <w:lang w:val="zh-CN"/>
        </w:rPr>
      </w:pPr>
      <w:bookmarkStart w:id="685" w:name="_Toc351203610"/>
      <w:bookmarkStart w:id="686" w:name="_Toc337558826"/>
      <w:bookmarkStart w:id="687" w:name="_Toc296503119"/>
      <w:bookmarkStart w:id="688" w:name="_Toc296346620"/>
      <w:r>
        <w:rPr>
          <w:rFonts w:hint="eastAsia" w:ascii="宋体" w:hAnsi="宋体" w:eastAsia="宋体" w:cs="宋体"/>
          <w:sz w:val="24"/>
          <w:szCs w:val="24"/>
          <w:highlight w:val="none"/>
          <w:lang w:val="zh-CN"/>
        </w:rPr>
        <w:t>17.3 不可抗力后果的承担</w:t>
      </w:r>
      <w:bookmarkEnd w:id="685"/>
    </w:p>
    <w:bookmarkEnd w:id="686"/>
    <w:bookmarkEnd w:id="687"/>
    <w:bookmarkEnd w:id="688"/>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17.3.1 不可抗力引起的后果及造成的损失由合同当事人按照法律规定及合同约定各自承担。不可抗力发生前已完成的工程应当按照合同约定进行计量支付。</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17.3.2 不可抗力导致的人员伤亡、财产损失、费用增加和（或）工期延误等后果，由合同当事人按以下原则承担：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（1）永久工程、已运至施工现场的材料和工程设备的损坏，以及因工程损坏造成的第三人人员伤亡和财产损失由发包人承担；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（2）承包人施工设备的损坏由承包人承担；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（3）发包人和承包人承担各自人员伤亡和财产的损失；</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（5）因不可抗力引起或将引起工期延误，发包人要求赶工的，由此增加的赶工费用由发包人承担；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（6）承包人在停工期间按照发包人要求照管、清理和修复工程的费用由发包人承担。</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不可抗力发生后，合同当事人均应采取措施尽量避免和减少损失的扩大，任何一方当事人没有采取有效措施导致损失扩大的，应对扩大的损失承担责任。</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因合同一方迟延履行合同义务，在迟延履行期间遭遇不可抗力的，不免除其违约责任。</w:t>
      </w:r>
    </w:p>
    <w:p>
      <w:pPr>
        <w:spacing w:line="360" w:lineRule="auto"/>
        <w:ind w:firstLine="480" w:firstLineChars="200"/>
        <w:rPr>
          <w:rFonts w:hint="eastAsia" w:ascii="宋体" w:hAnsi="宋体" w:eastAsia="宋体" w:cs="宋体"/>
          <w:sz w:val="24"/>
          <w:szCs w:val="24"/>
          <w:highlight w:val="none"/>
          <w:lang w:val="zh-CN"/>
        </w:rPr>
      </w:pPr>
      <w:bookmarkStart w:id="689" w:name="_Toc351203611"/>
      <w:bookmarkStart w:id="690" w:name="_Toc337558827"/>
      <w:r>
        <w:rPr>
          <w:rFonts w:hint="eastAsia" w:ascii="宋体" w:hAnsi="宋体" w:eastAsia="宋体" w:cs="宋体"/>
          <w:sz w:val="24"/>
          <w:szCs w:val="24"/>
          <w:highlight w:val="none"/>
          <w:lang w:val="zh-CN"/>
        </w:rPr>
        <w:t>17.4 因不可抗力解除合同</w:t>
      </w:r>
      <w:bookmarkEnd w:id="689"/>
    </w:p>
    <w:bookmarkEnd w:id="690"/>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（1）合同解除前承包人已完成工作的价款；</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（2）承包人为工程订购的并已交付给承包人，或承包人有责任接受交付的材料、工程设备和其他物品的价款；</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（3）发包人要求承包人退货或解除订货合同而产生的费用，或因不能退货或解除合同而产生的损失；</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（4）承包人撤离施工现场以及遣散承包人人员的费用；</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（5）按照合同约定在合同解除前应支付给承包人的其他款项；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（6）扣减承包人按照合同约定应向发包人支付的款项；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（7）双方商定或确定的其他款项。</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除专用合同条款另有约定外，合同解除后，发包人应在商定或确定上述款项后28天内完成上述款项的支付。</w:t>
      </w:r>
    </w:p>
    <w:p>
      <w:pPr>
        <w:spacing w:line="360" w:lineRule="auto"/>
        <w:ind w:firstLine="480" w:firstLineChars="200"/>
        <w:rPr>
          <w:rFonts w:hint="eastAsia" w:ascii="宋体" w:hAnsi="宋体" w:eastAsia="宋体" w:cs="宋体"/>
          <w:sz w:val="24"/>
          <w:szCs w:val="24"/>
          <w:highlight w:val="none"/>
          <w:lang w:val="zh-CN"/>
        </w:rPr>
      </w:pPr>
      <w:bookmarkStart w:id="691" w:name="_Toc351203612"/>
      <w:bookmarkStart w:id="692" w:name="_Toc296503120"/>
      <w:bookmarkStart w:id="693" w:name="_Toc337558828"/>
      <w:bookmarkStart w:id="694" w:name="_Toc296346621"/>
      <w:r>
        <w:rPr>
          <w:rFonts w:hint="eastAsia" w:ascii="宋体" w:hAnsi="宋体" w:eastAsia="宋体" w:cs="宋体"/>
          <w:sz w:val="24"/>
          <w:szCs w:val="24"/>
          <w:highlight w:val="none"/>
          <w:lang w:val="zh-CN"/>
        </w:rPr>
        <w:t>18. 保险</w:t>
      </w:r>
      <w:bookmarkEnd w:id="691"/>
    </w:p>
    <w:bookmarkEnd w:id="692"/>
    <w:bookmarkEnd w:id="693"/>
    <w:bookmarkEnd w:id="694"/>
    <w:p>
      <w:pPr>
        <w:spacing w:line="360" w:lineRule="auto"/>
        <w:ind w:firstLine="480" w:firstLineChars="200"/>
        <w:rPr>
          <w:rFonts w:hint="eastAsia" w:ascii="宋体" w:hAnsi="宋体" w:eastAsia="宋体" w:cs="宋体"/>
          <w:sz w:val="24"/>
          <w:szCs w:val="24"/>
          <w:highlight w:val="none"/>
          <w:lang w:val="zh-CN"/>
        </w:rPr>
      </w:pPr>
      <w:bookmarkStart w:id="695" w:name="_Toc351203613"/>
      <w:bookmarkStart w:id="696" w:name="_Toc296346622"/>
      <w:bookmarkStart w:id="697" w:name="_Toc296503121"/>
      <w:bookmarkStart w:id="698" w:name="_Toc337558829"/>
      <w:r>
        <w:rPr>
          <w:rFonts w:hint="eastAsia" w:ascii="宋体" w:hAnsi="宋体" w:eastAsia="宋体" w:cs="宋体"/>
          <w:sz w:val="24"/>
          <w:szCs w:val="24"/>
          <w:highlight w:val="none"/>
          <w:lang w:val="zh-CN"/>
        </w:rPr>
        <w:t>18.1 工程保险</w:t>
      </w:r>
      <w:bookmarkEnd w:id="695"/>
    </w:p>
    <w:bookmarkEnd w:id="696"/>
    <w:bookmarkEnd w:id="697"/>
    <w:bookmarkEnd w:id="698"/>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除专用合同条款另有约定外，发包人应投保建筑工程一切险或安装工程一切险；发包人委托承包人投保的，因投保产生的保险费和其他相关费用由发包人承担。</w:t>
      </w:r>
    </w:p>
    <w:p>
      <w:pPr>
        <w:spacing w:line="360" w:lineRule="auto"/>
        <w:ind w:firstLine="480" w:firstLineChars="200"/>
        <w:rPr>
          <w:rFonts w:hint="eastAsia" w:ascii="宋体" w:hAnsi="宋体" w:eastAsia="宋体" w:cs="宋体"/>
          <w:sz w:val="24"/>
          <w:szCs w:val="24"/>
          <w:highlight w:val="none"/>
          <w:lang w:val="zh-CN"/>
        </w:rPr>
      </w:pPr>
      <w:bookmarkStart w:id="699" w:name="_Toc351203614"/>
      <w:bookmarkStart w:id="700" w:name="_Toc296346623"/>
      <w:bookmarkStart w:id="701" w:name="_Toc337558830"/>
      <w:bookmarkStart w:id="702" w:name="_Toc296503122"/>
      <w:r>
        <w:rPr>
          <w:rFonts w:hint="eastAsia" w:ascii="宋体" w:hAnsi="宋体" w:eastAsia="宋体" w:cs="宋体"/>
          <w:sz w:val="24"/>
          <w:szCs w:val="24"/>
          <w:highlight w:val="none"/>
          <w:lang w:val="zh-CN"/>
        </w:rPr>
        <w:t>18.2 工伤保险</w:t>
      </w:r>
      <w:bookmarkEnd w:id="699"/>
    </w:p>
    <w:bookmarkEnd w:id="700"/>
    <w:bookmarkEnd w:id="701"/>
    <w:bookmarkEnd w:id="702"/>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18.2.1 发包人应依照法律规定参加工伤保险，并为在施工现场的全部员工办理工伤保险，缴纳工伤保险费，并要求监理人及由发包人为履行合同聘请的第三方依法参加工伤保险。</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18.2.2 承包人应依照法律规定参加工伤保险，并为其履行合同的全部员工办理工伤保险，缴纳工伤保险费，并要求分包人及由承包人为履行合同聘请的第三方依法参加工伤保险。</w:t>
      </w:r>
    </w:p>
    <w:p>
      <w:pPr>
        <w:spacing w:line="360" w:lineRule="auto"/>
        <w:ind w:firstLine="480" w:firstLineChars="200"/>
        <w:rPr>
          <w:rFonts w:hint="eastAsia" w:ascii="宋体" w:hAnsi="宋体" w:eastAsia="宋体" w:cs="宋体"/>
          <w:sz w:val="24"/>
          <w:szCs w:val="24"/>
          <w:highlight w:val="none"/>
          <w:lang w:val="zh-CN"/>
        </w:rPr>
      </w:pPr>
      <w:bookmarkStart w:id="703" w:name="_Toc351203615"/>
      <w:bookmarkStart w:id="704" w:name="_Toc337558831"/>
      <w:bookmarkStart w:id="705" w:name="_Toc296346626"/>
      <w:bookmarkStart w:id="706" w:name="_Toc296503125"/>
      <w:r>
        <w:rPr>
          <w:rFonts w:hint="eastAsia" w:ascii="宋体" w:hAnsi="宋体" w:eastAsia="宋体" w:cs="宋体"/>
          <w:sz w:val="24"/>
          <w:szCs w:val="24"/>
          <w:highlight w:val="none"/>
          <w:lang w:val="zh-CN"/>
        </w:rPr>
        <w:t>18.3其他保险</w:t>
      </w:r>
      <w:bookmarkEnd w:id="703"/>
    </w:p>
    <w:bookmarkEnd w:id="704"/>
    <w:bookmarkEnd w:id="705"/>
    <w:bookmarkEnd w:id="706"/>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除专用合同条款另有约定外，承包人应为其施工设备等办理财产保险。</w:t>
      </w:r>
    </w:p>
    <w:p>
      <w:pPr>
        <w:spacing w:line="360" w:lineRule="auto"/>
        <w:ind w:firstLine="480" w:firstLineChars="200"/>
        <w:rPr>
          <w:rFonts w:hint="eastAsia" w:ascii="宋体" w:hAnsi="宋体" w:eastAsia="宋体" w:cs="宋体"/>
          <w:sz w:val="24"/>
          <w:szCs w:val="24"/>
          <w:highlight w:val="none"/>
          <w:lang w:val="zh-CN"/>
        </w:rPr>
      </w:pPr>
      <w:bookmarkStart w:id="707" w:name="_Toc351203616"/>
      <w:r>
        <w:rPr>
          <w:rFonts w:hint="eastAsia" w:ascii="宋体" w:hAnsi="宋体" w:eastAsia="宋体" w:cs="宋体"/>
          <w:sz w:val="24"/>
          <w:szCs w:val="24"/>
          <w:highlight w:val="none"/>
          <w:lang w:val="zh-CN"/>
        </w:rPr>
        <w:t>18.4持续保险</w:t>
      </w:r>
      <w:bookmarkEnd w:id="707"/>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合同当事人应与保险人保持联系，使保险人能够随时了解工程实施中的变动，并确保按保险合同条款要求持续保险。</w:t>
      </w:r>
    </w:p>
    <w:p>
      <w:pPr>
        <w:spacing w:line="360" w:lineRule="auto"/>
        <w:ind w:firstLine="480" w:firstLineChars="200"/>
        <w:rPr>
          <w:rFonts w:hint="eastAsia" w:ascii="宋体" w:hAnsi="宋体" w:eastAsia="宋体" w:cs="宋体"/>
          <w:sz w:val="24"/>
          <w:szCs w:val="24"/>
          <w:highlight w:val="none"/>
          <w:lang w:val="zh-CN"/>
        </w:rPr>
      </w:pPr>
      <w:bookmarkStart w:id="708" w:name="_Toc351203617"/>
      <w:bookmarkStart w:id="709" w:name="_Toc296346627"/>
      <w:bookmarkStart w:id="710" w:name="_Toc296503126"/>
      <w:bookmarkStart w:id="711" w:name="_Toc337558832"/>
      <w:r>
        <w:rPr>
          <w:rFonts w:hint="eastAsia" w:ascii="宋体" w:hAnsi="宋体" w:eastAsia="宋体" w:cs="宋体"/>
          <w:sz w:val="24"/>
          <w:szCs w:val="24"/>
          <w:highlight w:val="none"/>
          <w:lang w:val="zh-CN"/>
        </w:rPr>
        <w:t>18.5 保险凭证</w:t>
      </w:r>
      <w:bookmarkEnd w:id="708"/>
    </w:p>
    <w:bookmarkEnd w:id="709"/>
    <w:bookmarkEnd w:id="710"/>
    <w:bookmarkEnd w:id="711"/>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合同当事人应及时向另一方当事人提交其已投保的各项保险的凭证和保险单复印件。</w:t>
      </w:r>
    </w:p>
    <w:p>
      <w:pPr>
        <w:spacing w:line="360" w:lineRule="auto"/>
        <w:ind w:firstLine="480" w:firstLineChars="200"/>
        <w:rPr>
          <w:rFonts w:hint="eastAsia" w:ascii="宋体" w:hAnsi="宋体" w:eastAsia="宋体" w:cs="宋体"/>
          <w:sz w:val="24"/>
          <w:szCs w:val="24"/>
          <w:highlight w:val="none"/>
          <w:lang w:val="zh-CN"/>
        </w:rPr>
      </w:pPr>
      <w:bookmarkStart w:id="712" w:name="_Toc351203618"/>
      <w:bookmarkStart w:id="713" w:name="_Toc337558833"/>
      <w:bookmarkStart w:id="714" w:name="_Toc296346628"/>
      <w:bookmarkStart w:id="715" w:name="_Toc296503127"/>
      <w:r>
        <w:rPr>
          <w:rFonts w:hint="eastAsia" w:ascii="宋体" w:hAnsi="宋体" w:eastAsia="宋体" w:cs="宋体"/>
          <w:sz w:val="24"/>
          <w:szCs w:val="24"/>
          <w:highlight w:val="none"/>
          <w:lang w:val="zh-CN"/>
        </w:rPr>
        <w:t>18.6 未按约定投保的补救</w:t>
      </w:r>
      <w:bookmarkEnd w:id="712"/>
    </w:p>
    <w:bookmarkEnd w:id="713"/>
    <w:bookmarkEnd w:id="714"/>
    <w:bookmarkEnd w:id="715"/>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18.6.2承包人未按合同约定办理保险，或未能使保险持续有效的，则发包人可代为办理，所需费用由承包人承担。承包人未按合同约定办理保险，导致未能得到足额赔偿的，由承包人负责补足。</w:t>
      </w:r>
    </w:p>
    <w:p>
      <w:pPr>
        <w:spacing w:line="360" w:lineRule="auto"/>
        <w:ind w:firstLine="480" w:firstLineChars="200"/>
        <w:rPr>
          <w:rFonts w:hint="eastAsia" w:ascii="宋体" w:hAnsi="宋体" w:eastAsia="宋体" w:cs="宋体"/>
          <w:sz w:val="24"/>
          <w:szCs w:val="24"/>
          <w:highlight w:val="none"/>
          <w:lang w:val="zh-CN"/>
        </w:rPr>
      </w:pPr>
      <w:bookmarkStart w:id="716" w:name="_Toc351203619"/>
      <w:bookmarkStart w:id="717" w:name="_Toc337558834"/>
      <w:r>
        <w:rPr>
          <w:rFonts w:hint="eastAsia" w:ascii="宋体" w:hAnsi="宋体" w:eastAsia="宋体" w:cs="宋体"/>
          <w:sz w:val="24"/>
          <w:szCs w:val="24"/>
          <w:highlight w:val="none"/>
          <w:lang w:val="zh-CN"/>
        </w:rPr>
        <w:t>18.7 通知义务</w:t>
      </w:r>
      <w:bookmarkEnd w:id="716"/>
    </w:p>
    <w:bookmarkEnd w:id="717"/>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保险事故发生时，投保人应按照保险合同规定的条件和期限及时向保险人报告。发包人和承包人应当在知道保险事故发生后及时通知对方。</w:t>
      </w:r>
    </w:p>
    <w:p>
      <w:pPr>
        <w:spacing w:line="360" w:lineRule="auto"/>
        <w:ind w:firstLine="480" w:firstLineChars="200"/>
        <w:rPr>
          <w:rFonts w:hint="eastAsia" w:ascii="宋体" w:hAnsi="宋体" w:eastAsia="宋体" w:cs="宋体"/>
          <w:sz w:val="24"/>
          <w:szCs w:val="24"/>
          <w:highlight w:val="none"/>
          <w:lang w:val="zh-CN"/>
        </w:rPr>
      </w:pPr>
      <w:bookmarkStart w:id="718" w:name="_Toc351203620"/>
      <w:bookmarkStart w:id="719" w:name="_Toc296346641"/>
      <w:bookmarkStart w:id="720" w:name="_Toc296503140"/>
      <w:bookmarkStart w:id="721" w:name="_Toc337558835"/>
      <w:r>
        <w:rPr>
          <w:rFonts w:hint="eastAsia" w:ascii="宋体" w:hAnsi="宋体" w:eastAsia="宋体" w:cs="宋体"/>
          <w:sz w:val="24"/>
          <w:szCs w:val="24"/>
          <w:highlight w:val="none"/>
          <w:lang w:val="zh-CN"/>
        </w:rPr>
        <w:t>19. 索赔</w:t>
      </w:r>
      <w:bookmarkEnd w:id="718"/>
    </w:p>
    <w:bookmarkEnd w:id="719"/>
    <w:bookmarkEnd w:id="720"/>
    <w:bookmarkEnd w:id="721"/>
    <w:p>
      <w:pPr>
        <w:spacing w:line="360" w:lineRule="auto"/>
        <w:ind w:firstLine="480" w:firstLineChars="200"/>
        <w:rPr>
          <w:rFonts w:hint="eastAsia" w:ascii="宋体" w:hAnsi="宋体" w:eastAsia="宋体" w:cs="宋体"/>
          <w:sz w:val="24"/>
          <w:szCs w:val="24"/>
          <w:highlight w:val="none"/>
          <w:lang w:val="zh-CN"/>
        </w:rPr>
      </w:pPr>
      <w:bookmarkStart w:id="722" w:name="_Toc351203621"/>
      <w:bookmarkStart w:id="723" w:name="_Toc337558836"/>
      <w:bookmarkStart w:id="724" w:name="_Toc296346642"/>
      <w:bookmarkStart w:id="725" w:name="_Toc296503141"/>
      <w:r>
        <w:rPr>
          <w:rFonts w:hint="eastAsia" w:ascii="宋体" w:hAnsi="宋体" w:eastAsia="宋体" w:cs="宋体"/>
          <w:sz w:val="24"/>
          <w:szCs w:val="24"/>
          <w:highlight w:val="none"/>
          <w:lang w:val="zh-CN"/>
        </w:rPr>
        <w:t>19.1承包人的索赔</w:t>
      </w:r>
      <w:bookmarkEnd w:id="722"/>
    </w:p>
    <w:bookmarkEnd w:id="723"/>
    <w:bookmarkEnd w:id="724"/>
    <w:bookmarkEnd w:id="725"/>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根据合同约定，承包人认为有权得到追加付款和（或）延长工期的，应按以下程序向发包人提出索赔：</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（2）承包人应在发出索赔意向通知书后28天内，向监理人正式递交索赔报告；索赔报告应详细说明索赔理由以及要求追加的付款金额和（或）延长的工期，并附必要的记录和证明材料；</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（3）索赔事件具有持续影响的，承包人应按合理时间间隔继续递交延续索赔通知，说明持续影响的实际情况和记录，列出累计的追加付款金额和（或）工期延长天数；</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（4）在索赔事件影响结束后28天内，承包人应向监理人递交最终索赔报告，说明最终要求索赔的追加付款金额和（或）延长的工期，并附必要的记录和证明材料。</w:t>
      </w:r>
    </w:p>
    <w:p>
      <w:pPr>
        <w:spacing w:line="360" w:lineRule="auto"/>
        <w:ind w:firstLine="480" w:firstLineChars="200"/>
        <w:rPr>
          <w:rFonts w:hint="eastAsia" w:ascii="宋体" w:hAnsi="宋体" w:eastAsia="宋体" w:cs="宋体"/>
          <w:sz w:val="24"/>
          <w:szCs w:val="24"/>
          <w:highlight w:val="none"/>
          <w:lang w:val="zh-CN"/>
        </w:rPr>
      </w:pPr>
      <w:bookmarkStart w:id="726" w:name="_Toc351203622"/>
      <w:bookmarkStart w:id="727" w:name="_Toc337558837"/>
      <w:bookmarkStart w:id="728" w:name="_Toc296503142"/>
      <w:bookmarkStart w:id="729" w:name="_Toc296346643"/>
      <w:r>
        <w:rPr>
          <w:rFonts w:hint="eastAsia" w:ascii="宋体" w:hAnsi="宋体" w:eastAsia="宋体" w:cs="宋体"/>
          <w:sz w:val="24"/>
          <w:szCs w:val="24"/>
          <w:highlight w:val="none"/>
          <w:lang w:val="zh-CN"/>
        </w:rPr>
        <w:t>19.2 对承包人索赔的处理</w:t>
      </w:r>
      <w:bookmarkEnd w:id="726"/>
    </w:p>
    <w:bookmarkEnd w:id="727"/>
    <w:bookmarkEnd w:id="728"/>
    <w:bookmarkEnd w:id="729"/>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对承包人索赔的处理如下：</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（1）监理人应在收到索赔报告后14天内完成审查并报送发包人。监理人对索赔报告存在异议的，有权要求承包人提交全部原始记录副本；</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（2）发包人应在监理人收到索赔报告或有关索赔的进一步证明材料后的28天内，由监理人向承包人出具经发包人签认的索赔处理结果。发包人逾期答复的，则视为认可承包人的索赔要求；</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（3）承包人接受索赔处理结果的，索赔款项在当期进度款中进行支付；承包人不接受索赔处理结果的，按照第20条〔争议解决〕约定处理。</w:t>
      </w:r>
    </w:p>
    <w:p>
      <w:pPr>
        <w:spacing w:line="360" w:lineRule="auto"/>
        <w:ind w:firstLine="480" w:firstLineChars="200"/>
        <w:rPr>
          <w:rFonts w:hint="eastAsia" w:ascii="宋体" w:hAnsi="宋体" w:eastAsia="宋体" w:cs="宋体"/>
          <w:sz w:val="24"/>
          <w:szCs w:val="24"/>
          <w:highlight w:val="none"/>
          <w:lang w:val="zh-CN"/>
        </w:rPr>
      </w:pPr>
      <w:bookmarkStart w:id="730" w:name="_Toc351203623"/>
      <w:bookmarkStart w:id="731" w:name="_Toc337558838"/>
      <w:bookmarkStart w:id="732" w:name="_Toc296346644"/>
      <w:bookmarkStart w:id="733" w:name="_Toc296503143"/>
      <w:r>
        <w:rPr>
          <w:rFonts w:hint="eastAsia" w:ascii="宋体" w:hAnsi="宋体" w:eastAsia="宋体" w:cs="宋体"/>
          <w:sz w:val="24"/>
          <w:szCs w:val="24"/>
          <w:highlight w:val="none"/>
          <w:lang w:val="zh-CN"/>
        </w:rPr>
        <w:t>19.3发包人的索赔</w:t>
      </w:r>
      <w:bookmarkEnd w:id="730"/>
    </w:p>
    <w:bookmarkEnd w:id="731"/>
    <w:bookmarkEnd w:id="732"/>
    <w:bookmarkEnd w:id="733"/>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根据合同约定，发包人认为有权得到赔付金额和（或）延长缺陷责任期的，监理人应向承包人发出通知并附有详细的证明。</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360" w:lineRule="auto"/>
        <w:ind w:firstLine="480" w:firstLineChars="200"/>
        <w:rPr>
          <w:rFonts w:hint="eastAsia" w:ascii="宋体" w:hAnsi="宋体" w:eastAsia="宋体" w:cs="宋体"/>
          <w:sz w:val="24"/>
          <w:szCs w:val="24"/>
          <w:highlight w:val="none"/>
          <w:lang w:val="zh-CN"/>
        </w:rPr>
      </w:pPr>
      <w:bookmarkStart w:id="734" w:name="_Toc351203624"/>
      <w:bookmarkStart w:id="735" w:name="_Toc296503144"/>
      <w:bookmarkStart w:id="736" w:name="_Toc337558839"/>
      <w:bookmarkStart w:id="737" w:name="_Toc296346645"/>
      <w:r>
        <w:rPr>
          <w:rFonts w:hint="eastAsia" w:ascii="宋体" w:hAnsi="宋体" w:eastAsia="宋体" w:cs="宋体"/>
          <w:sz w:val="24"/>
          <w:szCs w:val="24"/>
          <w:highlight w:val="none"/>
          <w:lang w:val="zh-CN"/>
        </w:rPr>
        <w:t>19.4 对发包人索赔的处理</w:t>
      </w:r>
      <w:bookmarkEnd w:id="734"/>
    </w:p>
    <w:bookmarkEnd w:id="735"/>
    <w:bookmarkEnd w:id="736"/>
    <w:bookmarkEnd w:id="737"/>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对发包人索赔的处理如下：</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（1）承包人收到发包人提交的索赔报告后，应及时审查索赔报告的内容、查验发包人证明材料；</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（2）承包人应在收到索赔报告或有关索赔的进一步证明材料后28天内，将索赔处理结果答复发包人。如果承包人未在上述期限内作出答复的，则视为对发包人索赔要求的认可；</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（3）承包人接受索赔处理结果的，发包人可从应支付给承包人的合同价款中扣除赔付的金额或延长缺陷责任期；发包人不接受索赔处理结果的，按第20条〔争议解决〕约定处理。</w:t>
      </w:r>
    </w:p>
    <w:p>
      <w:pPr>
        <w:spacing w:line="360" w:lineRule="auto"/>
        <w:ind w:firstLine="480" w:firstLineChars="200"/>
        <w:rPr>
          <w:rFonts w:hint="eastAsia" w:ascii="宋体" w:hAnsi="宋体" w:eastAsia="宋体" w:cs="宋体"/>
          <w:sz w:val="24"/>
          <w:szCs w:val="24"/>
          <w:highlight w:val="none"/>
          <w:lang w:val="zh-CN"/>
        </w:rPr>
      </w:pPr>
      <w:bookmarkStart w:id="738" w:name="_Toc351203625"/>
      <w:r>
        <w:rPr>
          <w:rFonts w:hint="eastAsia" w:ascii="宋体" w:hAnsi="宋体" w:eastAsia="宋体" w:cs="宋体"/>
          <w:sz w:val="24"/>
          <w:szCs w:val="24"/>
          <w:highlight w:val="none"/>
          <w:lang w:val="zh-CN"/>
        </w:rPr>
        <w:t>19.5 提出索赔的期限</w:t>
      </w:r>
      <w:bookmarkEnd w:id="738"/>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（1）承包人按第14.2款〔竣工结算审核〕约定接收竣工付款证书后，应被视为已无权再提出在工程接收证书颁发前所发生的任何索赔。</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（2）承包人按第14.4款〔最终结清〕提交的最终结清申请单中，只限于提出工程接收证书颁发后发生的索赔。提出索赔的期限自接受最终结清证书时终止。</w:t>
      </w:r>
    </w:p>
    <w:p>
      <w:pPr>
        <w:spacing w:line="360" w:lineRule="auto"/>
        <w:ind w:firstLine="480" w:firstLineChars="200"/>
        <w:rPr>
          <w:rFonts w:hint="eastAsia" w:ascii="宋体" w:hAnsi="宋体" w:eastAsia="宋体" w:cs="宋体"/>
          <w:sz w:val="24"/>
          <w:szCs w:val="24"/>
          <w:highlight w:val="none"/>
          <w:lang w:val="zh-CN"/>
        </w:rPr>
      </w:pPr>
      <w:bookmarkStart w:id="739" w:name="_Toc351203626"/>
      <w:r>
        <w:rPr>
          <w:rFonts w:hint="eastAsia" w:ascii="宋体" w:hAnsi="宋体" w:eastAsia="宋体" w:cs="宋体"/>
          <w:sz w:val="24"/>
          <w:szCs w:val="24"/>
          <w:highlight w:val="none"/>
          <w:lang w:val="zh-CN"/>
        </w:rPr>
        <w:t>20</w:t>
      </w:r>
      <w:bookmarkStart w:id="740" w:name="_Toc337558840"/>
      <w:bookmarkStart w:id="741" w:name="_Toc296346647"/>
      <w:bookmarkStart w:id="742" w:name="_Toc296503146"/>
      <w:r>
        <w:rPr>
          <w:rFonts w:hint="eastAsia" w:ascii="宋体" w:hAnsi="宋体" w:eastAsia="宋体" w:cs="宋体"/>
          <w:sz w:val="24"/>
          <w:szCs w:val="24"/>
          <w:highlight w:val="none"/>
          <w:lang w:val="zh-CN"/>
        </w:rPr>
        <w:t>. 争议解决</w:t>
      </w:r>
      <w:bookmarkEnd w:id="739"/>
    </w:p>
    <w:bookmarkEnd w:id="740"/>
    <w:bookmarkEnd w:id="741"/>
    <w:bookmarkEnd w:id="742"/>
    <w:p>
      <w:pPr>
        <w:spacing w:line="360" w:lineRule="auto"/>
        <w:ind w:firstLine="480" w:firstLineChars="200"/>
        <w:rPr>
          <w:rFonts w:hint="eastAsia" w:ascii="宋体" w:hAnsi="宋体" w:eastAsia="宋体" w:cs="宋体"/>
          <w:sz w:val="24"/>
          <w:szCs w:val="24"/>
          <w:highlight w:val="none"/>
          <w:lang w:val="zh-CN"/>
        </w:rPr>
      </w:pPr>
      <w:bookmarkStart w:id="743" w:name="_Toc351203627"/>
      <w:bookmarkStart w:id="744" w:name="_Toc337558841"/>
      <w:bookmarkStart w:id="745" w:name="_Toc296346648"/>
      <w:bookmarkStart w:id="746" w:name="_Toc296503147"/>
      <w:r>
        <w:rPr>
          <w:rFonts w:hint="eastAsia" w:ascii="宋体" w:hAnsi="宋体" w:eastAsia="宋体" w:cs="宋体"/>
          <w:sz w:val="24"/>
          <w:szCs w:val="24"/>
          <w:highlight w:val="none"/>
          <w:lang w:val="zh-CN"/>
        </w:rPr>
        <w:t>20.1和解</w:t>
      </w:r>
      <w:bookmarkEnd w:id="743"/>
    </w:p>
    <w:bookmarkEnd w:id="744"/>
    <w:bookmarkEnd w:id="745"/>
    <w:bookmarkEnd w:id="746"/>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合同当事人可以就争议自行和解，自行和解达成协议的经双方签字并盖章后作为合同补充文件，双方均应遵照执行。</w:t>
      </w:r>
    </w:p>
    <w:p>
      <w:pPr>
        <w:spacing w:line="360" w:lineRule="auto"/>
        <w:ind w:firstLine="480" w:firstLineChars="200"/>
        <w:rPr>
          <w:rFonts w:hint="eastAsia" w:ascii="宋体" w:hAnsi="宋体" w:eastAsia="宋体" w:cs="宋体"/>
          <w:sz w:val="24"/>
          <w:szCs w:val="24"/>
          <w:highlight w:val="none"/>
          <w:lang w:val="zh-CN"/>
        </w:rPr>
      </w:pPr>
      <w:bookmarkStart w:id="747" w:name="_Toc351203628"/>
      <w:r>
        <w:rPr>
          <w:rFonts w:hint="eastAsia" w:ascii="宋体" w:hAnsi="宋体" w:eastAsia="宋体" w:cs="宋体"/>
          <w:sz w:val="24"/>
          <w:szCs w:val="24"/>
          <w:highlight w:val="none"/>
          <w:lang w:val="zh-CN"/>
        </w:rPr>
        <w:t>20</w:t>
      </w:r>
      <w:bookmarkStart w:id="748" w:name="_Toc296346649"/>
      <w:bookmarkStart w:id="749" w:name="_Toc337558842"/>
      <w:bookmarkStart w:id="750" w:name="_Toc296503148"/>
      <w:r>
        <w:rPr>
          <w:rFonts w:hint="eastAsia" w:ascii="宋体" w:hAnsi="宋体" w:eastAsia="宋体" w:cs="宋体"/>
          <w:sz w:val="24"/>
          <w:szCs w:val="24"/>
          <w:highlight w:val="none"/>
          <w:lang w:val="zh-CN"/>
        </w:rPr>
        <w:t>.2调解</w:t>
      </w:r>
      <w:bookmarkEnd w:id="747"/>
    </w:p>
    <w:bookmarkEnd w:id="748"/>
    <w:bookmarkEnd w:id="749"/>
    <w:bookmarkEnd w:id="750"/>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合同当事人可以就争议请求建设行政主管部门、行业协会或其他第三方进行调解，调解达成协议的，经双方签字并盖章后作为合同补充文件，双方均应遵照执行。</w:t>
      </w:r>
    </w:p>
    <w:p>
      <w:pPr>
        <w:spacing w:line="360" w:lineRule="auto"/>
        <w:ind w:firstLine="480" w:firstLineChars="200"/>
        <w:rPr>
          <w:rFonts w:hint="eastAsia" w:ascii="宋体" w:hAnsi="宋体" w:eastAsia="宋体" w:cs="宋体"/>
          <w:sz w:val="24"/>
          <w:szCs w:val="24"/>
          <w:highlight w:val="none"/>
          <w:lang w:val="zh-CN"/>
        </w:rPr>
      </w:pPr>
      <w:bookmarkStart w:id="751" w:name="_Toc351203629"/>
      <w:bookmarkStart w:id="752" w:name="_Toc296503149"/>
      <w:bookmarkStart w:id="753" w:name="_Toc337558843"/>
      <w:bookmarkStart w:id="754" w:name="_Toc296346650"/>
      <w:r>
        <w:rPr>
          <w:rFonts w:hint="eastAsia" w:ascii="宋体" w:hAnsi="宋体" w:eastAsia="宋体" w:cs="宋体"/>
          <w:sz w:val="24"/>
          <w:szCs w:val="24"/>
          <w:highlight w:val="none"/>
          <w:lang w:val="zh-CN"/>
        </w:rPr>
        <w:t>20.3争议评审</w:t>
      </w:r>
      <w:bookmarkEnd w:id="751"/>
    </w:p>
    <w:bookmarkEnd w:id="752"/>
    <w:bookmarkEnd w:id="753"/>
    <w:bookmarkEnd w:id="754"/>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合同当事人在专用合同条款中约定采取争议评审方式解决争议以及评审规则，并按下列约定执行：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20.3.1 争议评审小组的确定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合同当事人可以共同选择一名或三名争议评审员，组成争议评审小组。除专用合同条款另有约定外，合同当事人应当自合同签订后28天内，或者争议发生后14天内，选定争议评审员。</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除专用合同条款另有约定外，评审员报酬由发包人和承包人各承担一半。</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20.3.2 争议评审小组的决定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20.3.3 争议评审小组决定的效力</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争议评审小组作出的书面决定经合同当事人签字确认后，对双方具有约束力，双方应遵照执行。</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任何一方当事人不接受争议评审小组决定或不履行争议评审小组决定的，双方可选择采用其他争议解决方式。</w:t>
      </w:r>
    </w:p>
    <w:p>
      <w:pPr>
        <w:spacing w:line="360" w:lineRule="auto"/>
        <w:ind w:firstLine="480" w:firstLineChars="200"/>
        <w:rPr>
          <w:rFonts w:hint="eastAsia" w:ascii="宋体" w:hAnsi="宋体" w:eastAsia="宋体" w:cs="宋体"/>
          <w:sz w:val="24"/>
          <w:szCs w:val="24"/>
          <w:highlight w:val="none"/>
          <w:lang w:val="zh-CN"/>
        </w:rPr>
      </w:pPr>
      <w:bookmarkStart w:id="755" w:name="_Toc351203630"/>
      <w:bookmarkStart w:id="756" w:name="_Toc337558844"/>
      <w:bookmarkStart w:id="757" w:name="_Toc296503150"/>
      <w:bookmarkStart w:id="758" w:name="_Toc296346651"/>
      <w:r>
        <w:rPr>
          <w:rFonts w:hint="eastAsia" w:ascii="宋体" w:hAnsi="宋体" w:eastAsia="宋体" w:cs="宋体"/>
          <w:sz w:val="24"/>
          <w:szCs w:val="24"/>
          <w:highlight w:val="none"/>
          <w:lang w:val="zh-CN"/>
        </w:rPr>
        <w:t>20.4仲裁或诉讼</w:t>
      </w:r>
      <w:bookmarkEnd w:id="755"/>
    </w:p>
    <w:bookmarkEnd w:id="756"/>
    <w:bookmarkEnd w:id="757"/>
    <w:bookmarkEnd w:id="758"/>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因合同及合同有关事项产生的争议，合同当事人可以在专用合同条款中约定以下一种方式解决争议：</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（1）向约定的仲裁委员会申请仲裁；</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（2）向有管辖权的人民法院起诉。</w:t>
      </w:r>
    </w:p>
    <w:p>
      <w:pPr>
        <w:spacing w:line="360" w:lineRule="auto"/>
        <w:ind w:firstLine="480" w:firstLineChars="200"/>
        <w:rPr>
          <w:rFonts w:hint="eastAsia" w:ascii="宋体" w:hAnsi="宋体" w:eastAsia="宋体" w:cs="宋体"/>
          <w:sz w:val="24"/>
          <w:szCs w:val="24"/>
          <w:highlight w:val="none"/>
          <w:lang w:val="zh-CN"/>
        </w:rPr>
      </w:pPr>
      <w:bookmarkStart w:id="759" w:name="_Toc351203631"/>
      <w:bookmarkStart w:id="760" w:name="_Toc296503152"/>
      <w:bookmarkStart w:id="761" w:name="_Toc337558845"/>
      <w:bookmarkStart w:id="762" w:name="_Toc296346653"/>
      <w:r>
        <w:rPr>
          <w:rFonts w:hint="eastAsia" w:ascii="宋体" w:hAnsi="宋体" w:eastAsia="宋体" w:cs="宋体"/>
          <w:sz w:val="24"/>
          <w:szCs w:val="24"/>
          <w:highlight w:val="none"/>
          <w:lang w:val="zh-CN"/>
        </w:rPr>
        <w:t>20.5争议解决条款效力</w:t>
      </w:r>
      <w:bookmarkEnd w:id="759"/>
    </w:p>
    <w:bookmarkEnd w:id="760"/>
    <w:bookmarkEnd w:id="761"/>
    <w:bookmarkEnd w:id="762"/>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合同有关争议解决的条款独立存在，合同的变更、解除、终止、无效或者被撤销均不影响其效力。 </w:t>
      </w:r>
    </w:p>
    <w:p>
      <w:pPr>
        <w:spacing w:line="360" w:lineRule="auto"/>
        <w:jc w:val="center"/>
        <w:outlineLvl w:val="1"/>
        <w:rPr>
          <w:rFonts w:hint="eastAsia" w:ascii="黑体" w:hAnsi="??" w:eastAsia="黑体" w:cs="??"/>
          <w:b w:val="0"/>
          <w:bCs/>
          <w:sz w:val="32"/>
          <w:szCs w:val="32"/>
          <w:highlight w:val="none"/>
          <w:lang w:val="en-US" w:eastAsia="zh-CN"/>
        </w:rPr>
      </w:pPr>
      <w:bookmarkStart w:id="763" w:name="_Toc351203632"/>
      <w:r>
        <w:rPr>
          <w:rFonts w:ascii="华文中宋" w:hAnsi="华文中宋" w:eastAsia="华文中宋"/>
          <w:sz w:val="44"/>
          <w:szCs w:val="44"/>
          <w:highlight w:val="none"/>
        </w:rPr>
        <w:br w:type="page"/>
      </w:r>
      <w:bookmarkStart w:id="764" w:name="_Toc16659"/>
      <w:bookmarkStart w:id="765" w:name="_Toc1328"/>
      <w:r>
        <w:rPr>
          <w:rFonts w:hint="eastAsia" w:ascii="黑体" w:hAnsi="??" w:eastAsia="黑体" w:cs="??"/>
          <w:b w:val="0"/>
          <w:bCs/>
          <w:sz w:val="32"/>
          <w:szCs w:val="32"/>
          <w:highlight w:val="none"/>
          <w:lang w:val="en-US" w:eastAsia="zh-CN"/>
        </w:rPr>
        <w:t>第三部分 专用合同条款</w:t>
      </w:r>
      <w:bookmarkEnd w:id="763"/>
      <w:bookmarkEnd w:id="764"/>
      <w:bookmarkEnd w:id="765"/>
    </w:p>
    <w:p>
      <w:pPr>
        <w:spacing w:line="360" w:lineRule="auto"/>
        <w:ind w:firstLine="480" w:firstLineChars="200"/>
        <w:rPr>
          <w:rFonts w:hint="eastAsia" w:ascii="宋体" w:hAnsi="宋体" w:eastAsia="宋体" w:cs="宋体"/>
          <w:sz w:val="24"/>
          <w:szCs w:val="24"/>
          <w:highlight w:val="none"/>
          <w:lang w:val="zh-CN"/>
        </w:rPr>
      </w:pPr>
      <w:bookmarkStart w:id="766" w:name="_Toc351203633"/>
      <w:r>
        <w:rPr>
          <w:rFonts w:hint="eastAsia" w:ascii="宋体" w:hAnsi="宋体" w:eastAsia="宋体" w:cs="宋体"/>
          <w:sz w:val="24"/>
          <w:szCs w:val="24"/>
          <w:highlight w:val="none"/>
          <w:lang w:val="zh-CN"/>
        </w:rPr>
        <w:t>1</w:t>
      </w:r>
      <w:bookmarkStart w:id="767" w:name="_Toc296944495"/>
      <w:bookmarkStart w:id="768" w:name="_Toc296346657"/>
      <w:bookmarkStart w:id="769" w:name="_Toc296891196"/>
      <w:bookmarkStart w:id="770" w:name="_Toc296890984"/>
      <w:bookmarkStart w:id="771" w:name="_Toc297120456"/>
      <w:bookmarkStart w:id="772" w:name="_Toc292559361"/>
      <w:bookmarkStart w:id="773" w:name="_Toc296503156"/>
      <w:bookmarkStart w:id="774" w:name="_Toc297048342"/>
      <w:bookmarkStart w:id="775" w:name="_Toc292559866"/>
      <w:bookmarkStart w:id="776" w:name="_Toc296347155"/>
      <w:r>
        <w:rPr>
          <w:rFonts w:hint="eastAsia" w:ascii="宋体" w:hAnsi="宋体" w:eastAsia="宋体" w:cs="宋体"/>
          <w:sz w:val="24"/>
          <w:szCs w:val="24"/>
          <w:highlight w:val="none"/>
          <w:lang w:val="zh-CN"/>
        </w:rPr>
        <w:t>. 一般约定</w:t>
      </w:r>
      <w:bookmarkEnd w:id="766"/>
    </w:p>
    <w:bookmarkEnd w:id="767"/>
    <w:bookmarkEnd w:id="768"/>
    <w:bookmarkEnd w:id="769"/>
    <w:bookmarkEnd w:id="770"/>
    <w:bookmarkEnd w:id="771"/>
    <w:bookmarkEnd w:id="772"/>
    <w:bookmarkEnd w:id="773"/>
    <w:bookmarkEnd w:id="774"/>
    <w:bookmarkEnd w:id="775"/>
    <w:bookmarkEnd w:id="776"/>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 词语定义</w:t>
      </w:r>
    </w:p>
    <w:p>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1.1.1合同</w:t>
      </w:r>
    </w:p>
    <w:p>
      <w:pPr>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1.1.1.10其他合同文件包括：</w:t>
      </w:r>
      <w:r>
        <w:rPr>
          <w:rFonts w:hint="eastAsia" w:ascii="宋体" w:hAnsi="宋体" w:eastAsia="宋体" w:cs="宋体"/>
          <w:color w:val="000000"/>
          <w:kern w:val="0"/>
          <w:sz w:val="24"/>
          <w:szCs w:val="24"/>
          <w:highlight w:val="none"/>
          <w:u w:val="single"/>
        </w:rPr>
        <w:t>中标通知书、招标文件及补遗文件（答疑文件）、标准规范及其有关文件、图纸、工程量清单、投标书及其附件、工程报价单或预算书</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合同当事人及其他相关方</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1.1.2.4监理人：</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    称：</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资质类别和等级：</w:t>
      </w:r>
      <w:r>
        <w:rPr>
          <w:rFonts w:hint="eastAsia" w:ascii="宋体" w:hAnsi="宋体" w:eastAsia="宋体" w:cs="宋体"/>
          <w:color w:val="000000"/>
          <w:sz w:val="24"/>
          <w:szCs w:val="24"/>
          <w:highlight w:val="none"/>
          <w:u w:val="single"/>
        </w:rPr>
        <w:t>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通信地址：</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1.1.2.5 设计人：</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    称：</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资质类别和等级：</w:t>
      </w:r>
      <w:r>
        <w:rPr>
          <w:rFonts w:hint="eastAsia" w:ascii="宋体" w:hAnsi="宋体" w:eastAsia="宋体" w:cs="宋体"/>
          <w:color w:val="000000"/>
          <w:sz w:val="24"/>
          <w:szCs w:val="24"/>
          <w:highlight w:val="none"/>
          <w:u w:val="single"/>
        </w:rPr>
        <w:t>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通信地址：</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工程和设备</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1.1.3.7 作为施工现场组成部分的其他场所包括：</w:t>
      </w:r>
      <w:r>
        <w:rPr>
          <w:rFonts w:hint="eastAsia" w:ascii="宋体" w:hAnsi="宋体" w:eastAsia="宋体" w:cs="宋体"/>
          <w:color w:val="000000"/>
          <w:sz w:val="24"/>
          <w:szCs w:val="24"/>
          <w:highlight w:val="none"/>
          <w:u w:val="single"/>
        </w:rPr>
        <w:t xml:space="preserve">                                                 </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永久占地包括：</w:t>
      </w:r>
      <w:r>
        <w:rPr>
          <w:rFonts w:hint="eastAsia" w:ascii="宋体" w:hAnsi="宋体" w:eastAsia="宋体" w:cs="宋体"/>
          <w:color w:val="000000"/>
          <w:sz w:val="24"/>
          <w:szCs w:val="24"/>
          <w:highlight w:val="none"/>
          <w:u w:val="single"/>
        </w:rPr>
        <w:t xml:space="preserve">                        </w:t>
      </w:r>
      <w:r>
        <w:rPr>
          <w:rFonts w:hint="eastAsia" w:ascii="宋体" w:hAnsi="宋体" w:eastAsia="宋体" w:cs="宋体"/>
          <w:color w:val="000000"/>
          <w:kern w:val="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1.1.3.10 临时占地包括：</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kern w:val="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1.3法律 </w:t>
      </w:r>
    </w:p>
    <w:p>
      <w:pPr>
        <w:autoSpaceDE w:val="0"/>
        <w:autoSpaceDN w:val="0"/>
        <w:adjustRightInd w:val="0"/>
        <w:spacing w:line="360" w:lineRule="auto"/>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适用于合同的其他规范性文件：</w:t>
      </w:r>
      <w:r>
        <w:rPr>
          <w:rFonts w:hint="eastAsia" w:ascii="宋体" w:hAnsi="宋体" w:eastAsia="宋体" w:cs="宋体"/>
          <w:color w:val="000000"/>
          <w:sz w:val="24"/>
          <w:szCs w:val="24"/>
          <w:highlight w:val="none"/>
          <w:u w:val="single"/>
        </w:rPr>
        <w:t>《中华人民共和国</w:t>
      </w:r>
      <w:r>
        <w:rPr>
          <w:rFonts w:hint="eastAsia" w:ascii="宋体" w:hAnsi="宋体" w:eastAsia="宋体" w:cs="宋体"/>
          <w:color w:val="000000"/>
          <w:sz w:val="24"/>
          <w:szCs w:val="24"/>
          <w:highlight w:val="none"/>
          <w:u w:val="single"/>
          <w:lang w:val="en-US" w:eastAsia="zh-CN"/>
        </w:rPr>
        <w:t>民法典</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u w:val="single"/>
          <w:lang w:val="zh-CN"/>
        </w:rPr>
        <w:t>《中华人民共和国招标投标法》、</w:t>
      </w:r>
      <w:r>
        <w:rPr>
          <w:rFonts w:hint="eastAsia" w:ascii="宋体" w:hAnsi="宋体" w:eastAsia="宋体" w:cs="宋体"/>
          <w:color w:val="000000"/>
          <w:sz w:val="24"/>
          <w:szCs w:val="24"/>
          <w:highlight w:val="none"/>
          <w:u w:val="single"/>
        </w:rPr>
        <w:t>《中华人民共和国建筑法》、《建设工程质量管理条例》、《建设工程安全生产管理条例》、《工程建设标准强制性条文》、《房屋建筑工程质量保修办法》、《陕西省建筑市场管理条例》、《陕西省建设工程工程量清单计价规则》（2009年）及其配套文件、陕西省建设行政主管部门有关基本建设的相关规定等</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 标准和规范</w:t>
      </w:r>
    </w:p>
    <w:p>
      <w:pPr>
        <w:spacing w:line="360" w:lineRule="auto"/>
        <w:ind w:left="14" w:leftChars="7" w:firstLine="578" w:firstLineChars="241"/>
        <w:outlineLvl w:val="9"/>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1.4.1适用于工程的标准规范包括：</w:t>
      </w:r>
      <w:r>
        <w:rPr>
          <w:rFonts w:hint="eastAsia" w:ascii="宋体" w:hAnsi="宋体" w:eastAsia="宋体" w:cs="宋体"/>
          <w:color w:val="000000"/>
          <w:kern w:val="0"/>
          <w:sz w:val="24"/>
          <w:szCs w:val="24"/>
          <w:highlight w:val="none"/>
          <w:u w:val="single"/>
        </w:rPr>
        <w:t>执行国家建筑工程施工及验收规范标准以及材料、设备所涉及、设计图要求的现行国家、省、市或行业的工程建设标准、规范和标准图集的要求。</w:t>
      </w:r>
    </w:p>
    <w:p>
      <w:pPr>
        <w:spacing w:line="360" w:lineRule="auto"/>
        <w:ind w:firstLine="480" w:firstLineChars="200"/>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spacing w:line="360" w:lineRule="auto"/>
        <w:ind w:firstLine="480" w:firstLineChars="200"/>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spacing w:line="360" w:lineRule="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1.4.3发包人对工程的技术标准和功能要求的特殊要求：</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 合同文件的优先顺序</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合同文件组成及优先顺序为：</w:t>
      </w:r>
      <w:r>
        <w:rPr>
          <w:rFonts w:hint="eastAsia" w:ascii="宋体" w:hAnsi="宋体" w:eastAsia="宋体" w:cs="宋体"/>
          <w:color w:val="000000"/>
          <w:sz w:val="24"/>
          <w:szCs w:val="24"/>
          <w:highlight w:val="none"/>
          <w:u w:val="single"/>
        </w:rPr>
        <w:t>①合同协议书、②本合同专用条款、③本合同补充条款、④本合同通用条款、⑤中标通知书、⑥招标文件及补遗文件（答疑文件）、⑦标准规范及其有关文件、⑧图纸、⑨工程量清单、投标书及其附件、⑩工程报价单或预算书</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 图纸和承包人文件</w:t>
      </w:r>
      <w:r>
        <w:rPr>
          <w:rFonts w:hint="eastAsia" w:ascii="宋体" w:hAnsi="宋体" w:eastAsia="宋体" w:cs="宋体"/>
          <w:color w:val="000000"/>
          <w:sz w:val="24"/>
          <w:szCs w:val="24"/>
          <w:highlight w:val="none"/>
        </w:rPr>
        <w:tab/>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 图纸的提供</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发包人向承包人提供图纸的期限：</w:t>
      </w:r>
      <w:r>
        <w:rPr>
          <w:rFonts w:hint="eastAsia" w:ascii="宋体" w:hAnsi="宋体" w:cs="仿宋_GB2312"/>
          <w:color w:val="000000"/>
          <w:szCs w:val="21"/>
          <w:highlight w:val="none"/>
          <w:u w:val="single"/>
        </w:rPr>
        <w:t>/</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发包人向承包人提供图纸的数量：</w:t>
      </w:r>
      <w:r>
        <w:rPr>
          <w:rFonts w:hint="eastAsia" w:ascii="宋体" w:hAnsi="宋体" w:cs="仿宋_GB2312"/>
          <w:color w:val="000000"/>
          <w:szCs w:val="21"/>
          <w:highlight w:val="none"/>
          <w:u w:val="single"/>
        </w:rPr>
        <w:t>/</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发包人向承包人提供图纸的内容：</w:t>
      </w:r>
      <w:r>
        <w:rPr>
          <w:rFonts w:hint="eastAsia" w:ascii="宋体" w:hAnsi="宋体" w:cs="仿宋_GB2312"/>
          <w:color w:val="000000"/>
          <w:szCs w:val="21"/>
          <w:highlight w:val="none"/>
          <w:u w:val="single"/>
        </w:rPr>
        <w:t>/</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 承包人文件</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需要由承包人提供的文件，包括：</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承包人提供的文件的期限为：</w:t>
      </w:r>
      <w:r>
        <w:rPr>
          <w:rFonts w:hint="eastAsia" w:ascii="宋体" w:hAnsi="宋体" w:eastAsia="宋体" w:cs="宋体"/>
          <w:color w:val="000000"/>
          <w:sz w:val="24"/>
          <w:szCs w:val="24"/>
          <w:highlight w:val="none"/>
          <w:u w:val="single"/>
        </w:rPr>
        <w:t> 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承包人提供的文件的数量为：</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承包人提供的文件的形式为：</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发包人审批承包人文件的期限：</w:t>
      </w:r>
      <w:r>
        <w:rPr>
          <w:rFonts w:hint="eastAsia" w:ascii="宋体" w:hAnsi="宋体" w:eastAsia="宋体" w:cs="宋体"/>
          <w:color w:val="000000"/>
          <w:sz w:val="24"/>
          <w:szCs w:val="24"/>
          <w:highlight w:val="none"/>
          <w:u w:val="single"/>
        </w:rPr>
        <w:t>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 现场图纸准备</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关于现场图纸准备的约定：</w:t>
      </w:r>
      <w:r>
        <w:rPr>
          <w:rFonts w:hint="eastAsia" w:ascii="宋体" w:hAnsi="宋体" w:cs="仿宋_GB2312"/>
          <w:color w:val="000000"/>
          <w:szCs w:val="21"/>
          <w:highlight w:val="none"/>
          <w:u w:val="single"/>
        </w:rPr>
        <w:t>/</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 联络</w:t>
      </w:r>
    </w:p>
    <w:p>
      <w:pPr>
        <w:spacing w:line="360" w:lineRule="auto"/>
        <w:ind w:firstLine="480" w:firstLineChars="200"/>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1.7.1发包人和承包人应当在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kern w:val="0"/>
          <w:sz w:val="24"/>
          <w:szCs w:val="24"/>
          <w:highlight w:val="none"/>
        </w:rPr>
        <w:t>天内将与合同有关的通知、批准、证明、证书、指示、指令、要求、请求、同意、意见、确定和决定等书面函件送达对方当事人。</w:t>
      </w:r>
    </w:p>
    <w:p>
      <w:pPr>
        <w:spacing w:line="360" w:lineRule="auto"/>
        <w:ind w:firstLine="480" w:firstLineChars="200"/>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 发包人接收文件的地点：</w:t>
      </w:r>
      <w:r>
        <w:rPr>
          <w:rFonts w:hint="eastAsia" w:ascii="宋体" w:hAnsi="宋体" w:eastAsia="宋体" w:cs="宋体"/>
          <w:color w:val="000000"/>
          <w:sz w:val="24"/>
          <w:szCs w:val="24"/>
          <w:highlight w:val="none"/>
          <w:u w:val="single"/>
        </w:rPr>
        <w:t>      </w:t>
      </w:r>
      <w:r>
        <w:rPr>
          <w:rFonts w:hint="eastAsia" w:ascii="宋体" w:hAnsi="宋体" w:eastAsia="宋体" w:cs="宋体"/>
          <w:color w:val="000000"/>
          <w:kern w:val="0"/>
          <w:sz w:val="24"/>
          <w:szCs w:val="24"/>
          <w:highlight w:val="none"/>
        </w:rPr>
        <w:t>；</w:t>
      </w:r>
    </w:p>
    <w:p>
      <w:pPr>
        <w:spacing w:line="360" w:lineRule="auto"/>
        <w:ind w:firstLine="480" w:firstLineChars="200"/>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发包人指定的接收人为：</w:t>
      </w:r>
      <w:r>
        <w:rPr>
          <w:rFonts w:hint="eastAsia" w:ascii="宋体" w:hAnsi="宋体" w:eastAsia="宋体" w:cs="宋体"/>
          <w:color w:val="000000"/>
          <w:sz w:val="24"/>
          <w:szCs w:val="24"/>
          <w:highlight w:val="none"/>
          <w:u w:val="single"/>
        </w:rPr>
        <w:t>               </w:t>
      </w:r>
      <w:r>
        <w:rPr>
          <w:rFonts w:hint="eastAsia" w:ascii="宋体" w:hAnsi="宋体" w:eastAsia="宋体" w:cs="宋体"/>
          <w:color w:val="000000"/>
          <w:kern w:val="0"/>
          <w:sz w:val="24"/>
          <w:szCs w:val="24"/>
          <w:highlight w:val="none"/>
        </w:rPr>
        <w:t>。</w:t>
      </w:r>
    </w:p>
    <w:p>
      <w:pPr>
        <w:spacing w:line="360" w:lineRule="auto"/>
        <w:ind w:firstLine="480" w:firstLineChars="200"/>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承包人接收文件的地点：</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kern w:val="0"/>
          <w:sz w:val="24"/>
          <w:szCs w:val="24"/>
          <w:highlight w:val="none"/>
        </w:rPr>
        <w:t>；</w:t>
      </w:r>
    </w:p>
    <w:p>
      <w:pPr>
        <w:spacing w:line="360" w:lineRule="auto"/>
        <w:ind w:firstLine="480" w:firstLineChars="200"/>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承包人指定的接收人为：</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kern w:val="0"/>
          <w:sz w:val="24"/>
          <w:szCs w:val="24"/>
          <w:highlight w:val="none"/>
        </w:rPr>
        <w:t>。</w:t>
      </w:r>
    </w:p>
    <w:p>
      <w:pPr>
        <w:spacing w:line="360" w:lineRule="auto"/>
        <w:ind w:firstLine="480" w:firstLineChars="200"/>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监理人接收文件的地点：</w:t>
      </w:r>
      <w:r>
        <w:rPr>
          <w:rFonts w:hint="eastAsia" w:ascii="宋体" w:hAnsi="宋体" w:eastAsia="宋体" w:cs="宋体"/>
          <w:color w:val="000000"/>
          <w:sz w:val="24"/>
          <w:szCs w:val="24"/>
          <w:highlight w:val="none"/>
          <w:u w:val="single"/>
        </w:rPr>
        <w:t>            </w:t>
      </w:r>
      <w:r>
        <w:rPr>
          <w:rFonts w:hint="eastAsia" w:ascii="宋体" w:hAnsi="宋体" w:eastAsia="宋体" w:cs="宋体"/>
          <w:color w:val="000000"/>
          <w:kern w:val="0"/>
          <w:sz w:val="24"/>
          <w:szCs w:val="24"/>
          <w:highlight w:val="none"/>
        </w:rPr>
        <w:t>；</w:t>
      </w:r>
    </w:p>
    <w:p>
      <w:pPr>
        <w:spacing w:line="360" w:lineRule="auto"/>
        <w:ind w:firstLine="480" w:firstLineChars="200"/>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监理人指定的接收人为：</w:t>
      </w:r>
      <w:r>
        <w:rPr>
          <w:rFonts w:hint="eastAsia" w:ascii="宋体" w:hAnsi="宋体" w:eastAsia="宋体" w:cs="宋体"/>
          <w:color w:val="000000"/>
          <w:sz w:val="24"/>
          <w:szCs w:val="24"/>
          <w:highlight w:val="none"/>
          <w:u w:val="single"/>
        </w:rPr>
        <w:t>            </w:t>
      </w:r>
      <w:r>
        <w:rPr>
          <w:rFonts w:hint="eastAsia" w:ascii="宋体" w:hAnsi="宋体" w:eastAsia="宋体" w:cs="宋体"/>
          <w:color w:val="000000"/>
          <w:kern w:val="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 交通运输</w:t>
      </w:r>
    </w:p>
    <w:p>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Start w:id="777" w:name="_Toc318581155"/>
      <w:bookmarkStart w:id="778" w:name="_Toc304295521"/>
      <w:bookmarkStart w:id="779" w:name="_Toc303539100"/>
      <w:bookmarkStart w:id="780" w:name="_Toc300934943"/>
      <w:bookmarkStart w:id="781" w:name="_Toc312677986"/>
      <w:r>
        <w:rPr>
          <w:rFonts w:hint="eastAsia" w:ascii="宋体" w:hAnsi="宋体" w:eastAsia="宋体" w:cs="宋体"/>
          <w:sz w:val="24"/>
          <w:szCs w:val="24"/>
          <w:highlight w:val="none"/>
        </w:rPr>
        <w:t>.10.1 出入现场的权利</w:t>
      </w:r>
    </w:p>
    <w:p>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关于出入现场的权利的约定：</w:t>
      </w:r>
      <w:r>
        <w:rPr>
          <w:rFonts w:hint="eastAsia" w:ascii="宋体" w:hAnsi="宋体" w:eastAsia="宋体" w:cs="宋体"/>
          <w:sz w:val="24"/>
          <w:szCs w:val="24"/>
          <w:highlight w:val="none"/>
          <w:u w:val="single"/>
        </w:rPr>
        <w:t>执行通用条款</w:t>
      </w:r>
      <w:r>
        <w:rPr>
          <w:rFonts w:hint="eastAsia" w:ascii="宋体" w:hAnsi="宋体" w:eastAsia="宋体" w:cs="宋体"/>
          <w:sz w:val="24"/>
          <w:szCs w:val="24"/>
          <w:highlight w:val="none"/>
        </w:rPr>
        <w:t>。</w:t>
      </w:r>
    </w:p>
    <w:bookmarkEnd w:id="777"/>
    <w:bookmarkEnd w:id="778"/>
    <w:bookmarkEnd w:id="779"/>
    <w:bookmarkEnd w:id="780"/>
    <w:bookmarkEnd w:id="781"/>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Start w:id="782" w:name="_Toc303539101"/>
      <w:bookmarkStart w:id="783" w:name="_Toc304295522"/>
      <w:bookmarkStart w:id="784" w:name="_Toc300934944"/>
      <w:bookmarkStart w:id="785" w:name="_Toc318581156"/>
      <w:bookmarkStart w:id="786" w:name="_Toc312677987"/>
      <w:r>
        <w:rPr>
          <w:rFonts w:hint="eastAsia" w:ascii="宋体" w:hAnsi="宋体" w:eastAsia="宋体" w:cs="宋体"/>
          <w:sz w:val="24"/>
          <w:szCs w:val="24"/>
          <w:highlight w:val="none"/>
        </w:rPr>
        <w:t>.10.3 场内交通</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关于场外交通和场内交通的边界的约定：</w:t>
      </w:r>
      <w:r>
        <w:rPr>
          <w:rFonts w:hint="eastAsia" w:ascii="宋体" w:hAnsi="宋体" w:eastAsia="宋体" w:cs="宋体"/>
          <w:color w:val="000000"/>
          <w:kern w:val="0"/>
          <w:sz w:val="24"/>
          <w:szCs w:val="24"/>
          <w:highlight w:val="none"/>
          <w:u w:val="single"/>
        </w:rPr>
        <w:t>开工前3日内，施工场地与红线外公共道路的通道达到施工进场的运输需要</w:t>
      </w:r>
      <w:r>
        <w:rPr>
          <w:rFonts w:hint="eastAsia" w:ascii="宋体" w:hAnsi="宋体" w:eastAsia="宋体" w:cs="宋体"/>
          <w:sz w:val="24"/>
          <w:szCs w:val="24"/>
          <w:highlight w:val="none"/>
        </w:rPr>
        <w:t>。</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关于发包人向承包人免费提供满足工程施工需要的场内道路和交通设施的约定：</w:t>
      </w:r>
      <w:r>
        <w:rPr>
          <w:rFonts w:hint="eastAsia" w:ascii="宋体" w:hAnsi="宋体" w:eastAsia="宋体" w:cs="宋体"/>
          <w:sz w:val="24"/>
          <w:szCs w:val="24"/>
          <w:highlight w:val="none"/>
          <w:u w:val="single"/>
        </w:rPr>
        <w:t>执行通用条款</w:t>
      </w:r>
      <w:r>
        <w:rPr>
          <w:rFonts w:hint="eastAsia" w:ascii="宋体" w:hAnsi="宋体" w:eastAsia="宋体" w:cs="宋体"/>
          <w:sz w:val="24"/>
          <w:szCs w:val="24"/>
          <w:highlight w:val="none"/>
        </w:rPr>
        <w:t>。</w:t>
      </w:r>
      <w:bookmarkEnd w:id="782"/>
      <w:bookmarkEnd w:id="783"/>
      <w:bookmarkEnd w:id="784"/>
      <w:bookmarkEnd w:id="785"/>
      <w:bookmarkEnd w:id="786"/>
      <w:r>
        <w:rPr>
          <w:rFonts w:hint="eastAsia" w:ascii="宋体" w:hAnsi="宋体" w:eastAsia="宋体" w:cs="宋体"/>
          <w:sz w:val="24"/>
          <w:szCs w:val="24"/>
          <w:highlight w:val="none"/>
        </w:rPr>
        <w:t xml:space="preserve">  </w:t>
      </w:r>
      <w:bookmarkStart w:id="787" w:name="_Toc318581157"/>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1.10.4超大件和超重件的运输</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运输超大件或超重件所需的道路和桥梁临时加固改造费用和其他有关费用由</w:t>
      </w:r>
      <w:r>
        <w:rPr>
          <w:rFonts w:hint="eastAsia" w:ascii="宋体" w:hAnsi="宋体" w:eastAsia="宋体" w:cs="宋体"/>
          <w:sz w:val="24"/>
          <w:szCs w:val="24"/>
          <w:highlight w:val="none"/>
          <w:u w:val="single"/>
          <w:lang w:val="en-US" w:eastAsia="zh-CN"/>
        </w:rPr>
        <w:t>承包人</w:t>
      </w:r>
      <w:r>
        <w:rPr>
          <w:rFonts w:hint="eastAsia" w:ascii="宋体" w:hAnsi="宋体" w:eastAsia="宋体" w:cs="宋体"/>
          <w:sz w:val="24"/>
          <w:szCs w:val="24"/>
          <w:highlight w:val="none"/>
        </w:rPr>
        <w:t>承担。</w:t>
      </w:r>
    </w:p>
    <w:bookmarkEnd w:id="787"/>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 知识产权</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highlight w:val="none"/>
          <w:u w:val="single"/>
        </w:rPr>
        <w:t>执行通用条款</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关于发包人提供的上述文件的使用限制的要求：</w:t>
      </w:r>
      <w:r>
        <w:rPr>
          <w:rFonts w:hint="eastAsia" w:ascii="宋体" w:hAnsi="宋体" w:eastAsia="宋体" w:cs="宋体"/>
          <w:color w:val="000000"/>
          <w:sz w:val="24"/>
          <w:szCs w:val="24"/>
          <w:highlight w:val="none"/>
          <w:u w:val="single"/>
        </w:rPr>
        <w:t>本工程所有图纸及所有相关资料不得外借，未经发包人同意不得用于其它工程或向第三方透漏有关该工程的一切信息</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1.11.2 关于承包人为实施工程所编制文件的著作权的归属：</w:t>
      </w:r>
      <w:r>
        <w:rPr>
          <w:rFonts w:hint="eastAsia" w:ascii="宋体" w:hAnsi="宋体" w:eastAsia="宋体" w:cs="宋体"/>
          <w:color w:val="000000"/>
          <w:sz w:val="24"/>
          <w:szCs w:val="24"/>
          <w:highlight w:val="none"/>
          <w:u w:val="single"/>
        </w:rPr>
        <w:t>执行通用条款</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关于承包人提供的上述文件的使用限制的要求：</w:t>
      </w:r>
      <w:r>
        <w:rPr>
          <w:rFonts w:hint="eastAsia" w:ascii="宋体" w:hAnsi="宋体" w:eastAsia="宋体" w:cs="宋体"/>
          <w:color w:val="000000"/>
          <w:sz w:val="24"/>
          <w:szCs w:val="24"/>
          <w:highlight w:val="none"/>
          <w:u w:val="single"/>
        </w:rPr>
        <w:t>执行通用条款</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1.11.4 承包人在施工过程中所采用的专利、专有技术、技术秘密的使用费的承担方式：</w:t>
      </w:r>
      <w:r>
        <w:rPr>
          <w:rFonts w:hint="eastAsia" w:ascii="宋体" w:hAnsi="宋体" w:eastAsia="宋体" w:cs="宋体"/>
          <w:color w:val="000000"/>
          <w:sz w:val="24"/>
          <w:szCs w:val="24"/>
          <w:highlight w:val="none"/>
          <w:u w:val="single"/>
        </w:rPr>
        <w:t>执行通用条款</w:t>
      </w:r>
      <w:r>
        <w:rPr>
          <w:rFonts w:hint="eastAsia" w:ascii="宋体" w:hAnsi="宋体" w:eastAsia="宋体" w:cs="宋体"/>
          <w:color w:val="000000"/>
          <w:kern w:val="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1.13工程量清单错误的修正</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出现工程量清单错误时，是否调整合同价格：</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kern w:val="0"/>
          <w:sz w:val="24"/>
          <w:szCs w:val="24"/>
          <w:highlight w:val="none"/>
        </w:rPr>
        <w:t>。</w:t>
      </w:r>
    </w:p>
    <w:p>
      <w:pPr>
        <w:spacing w:line="360" w:lineRule="auto"/>
        <w:ind w:left="3118" w:leftChars="228" w:hanging="2640" w:hangingChars="11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允许调整合同价格的工程量偏差范围：</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w:t>
      </w:r>
    </w:p>
    <w:p>
      <w:pPr>
        <w:spacing w:after="120" w:line="360" w:lineRule="auto"/>
        <w:ind w:firstLine="480" w:firstLineChars="200"/>
        <w:outlineLvl w:val="9"/>
        <w:rPr>
          <w:rFonts w:hint="eastAsia" w:ascii="宋体" w:hAnsi="宋体" w:eastAsia="宋体" w:cs="宋体"/>
          <w:color w:val="000000"/>
          <w:sz w:val="24"/>
          <w:szCs w:val="24"/>
          <w:highlight w:val="none"/>
        </w:rPr>
      </w:pPr>
      <w:bookmarkStart w:id="788" w:name="_Toc351203634"/>
      <w:r>
        <w:rPr>
          <w:rFonts w:hint="eastAsia" w:ascii="宋体" w:hAnsi="宋体" w:eastAsia="宋体" w:cs="宋体"/>
          <w:color w:val="000000"/>
          <w:sz w:val="24"/>
          <w:szCs w:val="24"/>
          <w:highlight w:val="none"/>
        </w:rPr>
        <w:t>2</w:t>
      </w:r>
      <w:bookmarkStart w:id="789" w:name="_Toc296944496"/>
      <w:bookmarkStart w:id="790" w:name="_Toc297120457"/>
      <w:bookmarkStart w:id="791" w:name="_Toc292559362"/>
      <w:bookmarkStart w:id="792" w:name="_Toc296346658"/>
      <w:bookmarkStart w:id="793" w:name="_Toc297048343"/>
      <w:bookmarkStart w:id="794" w:name="_Toc296347156"/>
      <w:bookmarkStart w:id="795" w:name="_Toc296891197"/>
      <w:bookmarkStart w:id="796" w:name="_Toc292559867"/>
      <w:bookmarkStart w:id="797" w:name="_Toc296890985"/>
      <w:bookmarkStart w:id="798" w:name="_Toc296503157"/>
      <w:r>
        <w:rPr>
          <w:rFonts w:hint="eastAsia" w:ascii="宋体" w:hAnsi="宋体" w:eastAsia="宋体" w:cs="宋体"/>
          <w:color w:val="000000"/>
          <w:sz w:val="24"/>
          <w:szCs w:val="24"/>
          <w:highlight w:val="none"/>
        </w:rPr>
        <w:t>. 发包人</w:t>
      </w:r>
      <w:bookmarkEnd w:id="788"/>
    </w:p>
    <w:bookmarkEnd w:id="789"/>
    <w:bookmarkEnd w:id="790"/>
    <w:bookmarkEnd w:id="791"/>
    <w:bookmarkEnd w:id="792"/>
    <w:bookmarkEnd w:id="793"/>
    <w:bookmarkEnd w:id="794"/>
    <w:bookmarkEnd w:id="795"/>
    <w:bookmarkEnd w:id="796"/>
    <w:bookmarkEnd w:id="797"/>
    <w:bookmarkEnd w:id="798"/>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 发包人代表</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发包人代表：</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    名：</w:t>
      </w:r>
      <w:r>
        <w:rPr>
          <w:rFonts w:hint="eastAsia" w:ascii="宋体" w:hAnsi="宋体" w:eastAsia="宋体" w:cs="宋体"/>
          <w:color w:val="000000"/>
          <w:sz w:val="24"/>
          <w:szCs w:val="24"/>
          <w:highlight w:val="none"/>
          <w:u w:val="single"/>
        </w:rPr>
        <w:t>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身份证号：</w:t>
      </w:r>
      <w:r>
        <w:rPr>
          <w:rFonts w:hint="eastAsia" w:ascii="宋体" w:hAnsi="宋体" w:eastAsia="宋体" w:cs="宋体"/>
          <w:color w:val="000000"/>
          <w:sz w:val="24"/>
          <w:szCs w:val="24"/>
          <w:highlight w:val="none"/>
          <w:u w:val="single"/>
        </w:rPr>
        <w:t>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    务：</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通信地址：</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发包人对发包人代表的授权范围如下：</w:t>
      </w:r>
      <w:r>
        <w:rPr>
          <w:rFonts w:hint="eastAsia" w:ascii="宋体" w:hAnsi="宋体" w:eastAsia="宋体" w:cs="宋体"/>
          <w:color w:val="000000"/>
          <w:sz w:val="24"/>
          <w:szCs w:val="24"/>
          <w:highlight w:val="none"/>
          <w:u w:val="single"/>
        </w:rPr>
        <w:t xml:space="preserve">具有安全管理、项目总投资控制和成本控制、质量控制、进度控制、合同管理、信息管理的权力，受理有关的通知、指示、同意、批准、证书、决定及其他通讯联络，负责有关的组织和协调等 </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 施工现场、施工条件和基础资料的提供</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 提供施工现场</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关于发包人移交施工现场的期限要求：</w:t>
      </w:r>
      <w:r>
        <w:rPr>
          <w:rFonts w:hint="eastAsia" w:ascii="宋体" w:hAnsi="宋体" w:eastAsia="宋体" w:cs="宋体"/>
          <w:color w:val="000000"/>
          <w:sz w:val="24"/>
          <w:szCs w:val="24"/>
          <w:highlight w:val="none"/>
          <w:u w:val="single"/>
        </w:rPr>
        <w:t>已具备开工条件</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 提供施工条件</w:t>
      </w:r>
    </w:p>
    <w:p>
      <w:pPr>
        <w:spacing w:line="360" w:lineRule="auto"/>
        <w:ind w:firstLine="480" w:firstLineChars="200"/>
        <w:outlineLvl w:val="9"/>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关于发包人应负责提供施工所需要的条件，包括：</w:t>
      </w:r>
      <w:r>
        <w:rPr>
          <w:rFonts w:hint="eastAsia" w:ascii="宋体" w:hAnsi="宋体" w:eastAsia="宋体" w:cs="宋体"/>
          <w:color w:val="000000"/>
          <w:sz w:val="24"/>
          <w:szCs w:val="24"/>
          <w:highlight w:val="none"/>
          <w:u w:val="single"/>
        </w:rPr>
        <w:t>1、工程开工前，发包人负责将水准点与坐标控制点以书面形式交给承包人，并进行现场交验，承包人正式放线后，由发包人负责及时请城建管理部门进行验线。2、将施工所需的水、电线路接至施工场地的时间、地点和供应要求：发包人提供临时用水及临时用电接驳点，由承包人分别装表，用量按表计量并分摊损耗，费用按双方商定标准执行且从每月应付承包人的工程进度款中扣除</w:t>
      </w:r>
      <w:r>
        <w:rPr>
          <w:rFonts w:hint="eastAsia" w:ascii="宋体" w:hAnsi="宋体" w:eastAsia="宋体" w:cs="宋体"/>
          <w:color w:val="000000"/>
          <w:sz w:val="24"/>
          <w:szCs w:val="24"/>
          <w:highlight w:val="none"/>
          <w:u w:val="single"/>
          <w:lang w:eastAsia="zh-CN"/>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 资金来源证明及支付担保</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发包人提供资金来源证明的期限要求：</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发包人是否提供支付担保：</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发包人提供支付担保的形式：</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bookmarkStart w:id="799" w:name="_Toc351203635"/>
      <w:r>
        <w:rPr>
          <w:rFonts w:hint="eastAsia" w:ascii="宋体" w:hAnsi="宋体" w:eastAsia="宋体" w:cs="宋体"/>
          <w:color w:val="000000"/>
          <w:sz w:val="24"/>
          <w:szCs w:val="24"/>
          <w:highlight w:val="none"/>
        </w:rPr>
        <w:t>3</w:t>
      </w:r>
      <w:bookmarkStart w:id="800" w:name="_Toc296503158"/>
      <w:bookmarkStart w:id="801" w:name="_Toc296346659"/>
      <w:bookmarkStart w:id="802" w:name="_Toc292559363"/>
      <w:bookmarkStart w:id="803" w:name="_Toc297048344"/>
      <w:bookmarkStart w:id="804" w:name="_Toc297120458"/>
      <w:bookmarkStart w:id="805" w:name="_Toc292559868"/>
      <w:bookmarkStart w:id="806" w:name="_Toc296890986"/>
      <w:bookmarkStart w:id="807" w:name="_Toc296944497"/>
      <w:bookmarkStart w:id="808" w:name="_Toc296347157"/>
      <w:bookmarkStart w:id="809" w:name="_Toc296891198"/>
      <w:r>
        <w:rPr>
          <w:rFonts w:hint="eastAsia" w:ascii="宋体" w:hAnsi="宋体" w:eastAsia="宋体" w:cs="宋体"/>
          <w:color w:val="000000"/>
          <w:sz w:val="24"/>
          <w:szCs w:val="24"/>
          <w:highlight w:val="none"/>
        </w:rPr>
        <w:t>. 承包人</w:t>
      </w:r>
      <w:bookmarkEnd w:id="799"/>
    </w:p>
    <w:bookmarkEnd w:id="800"/>
    <w:bookmarkEnd w:id="801"/>
    <w:bookmarkEnd w:id="802"/>
    <w:bookmarkEnd w:id="803"/>
    <w:bookmarkEnd w:id="804"/>
    <w:bookmarkEnd w:id="805"/>
    <w:bookmarkEnd w:id="806"/>
    <w:bookmarkEnd w:id="807"/>
    <w:bookmarkEnd w:id="808"/>
    <w:bookmarkEnd w:id="809"/>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 承包人的一般义务</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w:t>
      </w:r>
      <w:r>
        <w:rPr>
          <w:rFonts w:hint="eastAsia" w:ascii="宋体" w:hAnsi="宋体" w:eastAsia="宋体" w:cs="宋体"/>
          <w:color w:val="000000"/>
          <w:sz w:val="24"/>
          <w:szCs w:val="24"/>
          <w:highlight w:val="none"/>
        </w:rPr>
        <w:t>承包人提交的竣工资料的内容：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承包人需要提交的竣工资料套数：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left="638" w:leftChars="304"/>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承包人提交的竣工资料的费用承担：</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left="638" w:leftChars="304"/>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承包人提交的竣工资料移交时间：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承包人提交的竣工资料形式要求：</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（10）承包人应履行的其他义务：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fldChar w:fldCharType="begin"/>
      </w:r>
      <w:r>
        <w:rPr>
          <w:rFonts w:hint="eastAsia" w:ascii="宋体" w:hAnsi="宋体" w:eastAsia="宋体" w:cs="宋体"/>
          <w:color w:val="000000"/>
          <w:sz w:val="24"/>
          <w:szCs w:val="24"/>
          <w:highlight w:val="none"/>
          <w:u w:val="single"/>
        </w:rPr>
        <w:instrText xml:space="preserve">eq \o\ac(○,1)</w:instrText>
      </w:r>
      <w:r>
        <w:rPr>
          <w:rFonts w:hint="eastAsia" w:ascii="宋体" w:hAnsi="宋体" w:eastAsia="宋体" w:cs="宋体"/>
          <w:color w:val="000000"/>
          <w:sz w:val="24"/>
          <w:szCs w:val="24"/>
          <w:highlight w:val="none"/>
          <w:u w:val="single"/>
        </w:rPr>
        <w:fldChar w:fldCharType="end"/>
      </w:r>
      <w:r>
        <w:rPr>
          <w:rFonts w:hint="eastAsia" w:ascii="宋体" w:hAnsi="宋体" w:eastAsia="宋体" w:cs="宋体"/>
          <w:color w:val="000000"/>
          <w:sz w:val="24"/>
          <w:szCs w:val="24"/>
          <w:highlight w:val="none"/>
          <w:u w:val="single"/>
        </w:rPr>
        <w:t>需由设计资质等级和业务范围允许的承包人完成的设计文件提交时间：对于计入清单且图纸中注明需二次设计的内容（甲分包及甩项项目除外），承包人应委托具有相应资质的单位依据设计图纸和甲控材（主要材料、设备参照企业、品牌或技术要求）相应要求进行二次设计，出具二次设计图纸、并经原设计单位确认后方可实施，结算时不调整。</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fldChar w:fldCharType="begin"/>
      </w:r>
      <w:r>
        <w:rPr>
          <w:rFonts w:hint="eastAsia" w:ascii="宋体" w:hAnsi="宋体" w:eastAsia="宋体" w:cs="宋体"/>
          <w:color w:val="000000"/>
          <w:sz w:val="24"/>
          <w:szCs w:val="24"/>
          <w:highlight w:val="none"/>
          <w:u w:val="single"/>
        </w:rPr>
        <w:instrText xml:space="preserve">eq \o\ac(○,2)</w:instrText>
      </w:r>
      <w:r>
        <w:rPr>
          <w:rFonts w:hint="eastAsia" w:ascii="宋体" w:hAnsi="宋体" w:eastAsia="宋体" w:cs="宋体"/>
          <w:color w:val="000000"/>
          <w:sz w:val="24"/>
          <w:szCs w:val="24"/>
          <w:highlight w:val="none"/>
          <w:u w:val="single"/>
        </w:rPr>
        <w:fldChar w:fldCharType="end"/>
      </w:r>
      <w:r>
        <w:rPr>
          <w:rFonts w:hint="eastAsia" w:ascii="宋体" w:hAnsi="宋体" w:eastAsia="宋体" w:cs="宋体"/>
          <w:color w:val="000000"/>
          <w:sz w:val="24"/>
          <w:szCs w:val="24"/>
          <w:highlight w:val="none"/>
          <w:u w:val="single"/>
        </w:rPr>
        <w:t>应提供计划、报表的名称及完成时间：开工前3日内提供详细的施工组织设计和总计划；每月25日前提交已完工程量报表及下个月详细工程进度计划。</w:t>
      </w:r>
    </w:p>
    <w:p>
      <w:pPr>
        <w:spacing w:line="360" w:lineRule="auto"/>
        <w:ind w:firstLine="480" w:firstLineChars="200"/>
        <w:outlineLvl w:val="9"/>
        <w:rPr>
          <w:rFonts w:hint="eastAsia" w:ascii="宋体" w:hAnsi="宋体" w:eastAsia="宋体" w:cs="宋体"/>
          <w:color w:val="000000"/>
          <w:sz w:val="24"/>
          <w:szCs w:val="24"/>
          <w:highlight w:val="none"/>
          <w:u w:val="single"/>
          <w:lang w:val="zh-CN"/>
        </w:rPr>
      </w:pPr>
      <w:r>
        <w:rPr>
          <w:rFonts w:hint="eastAsia" w:ascii="宋体" w:hAnsi="宋体" w:eastAsia="宋体" w:cs="宋体"/>
          <w:color w:val="000000"/>
          <w:sz w:val="24"/>
          <w:szCs w:val="24"/>
          <w:highlight w:val="none"/>
          <w:u w:val="single"/>
        </w:rPr>
        <w:fldChar w:fldCharType="begin"/>
      </w:r>
      <w:r>
        <w:rPr>
          <w:rFonts w:hint="eastAsia" w:ascii="宋体" w:hAnsi="宋体" w:eastAsia="宋体" w:cs="宋体"/>
          <w:color w:val="000000"/>
          <w:sz w:val="24"/>
          <w:szCs w:val="24"/>
          <w:highlight w:val="none"/>
          <w:u w:val="single"/>
        </w:rPr>
        <w:instrText xml:space="preserve">eq \o\ac(○,3)</w:instrText>
      </w:r>
      <w:r>
        <w:rPr>
          <w:rFonts w:hint="eastAsia" w:ascii="宋体" w:hAnsi="宋体" w:eastAsia="宋体" w:cs="宋体"/>
          <w:color w:val="000000"/>
          <w:sz w:val="24"/>
          <w:szCs w:val="24"/>
          <w:highlight w:val="none"/>
          <w:u w:val="single"/>
        </w:rPr>
        <w:fldChar w:fldCharType="end"/>
      </w:r>
      <w:r>
        <w:rPr>
          <w:rFonts w:hint="eastAsia" w:ascii="宋体" w:hAnsi="宋体" w:eastAsia="宋体" w:cs="宋体"/>
          <w:color w:val="000000"/>
          <w:sz w:val="24"/>
          <w:szCs w:val="24"/>
          <w:highlight w:val="none"/>
          <w:u w:val="single"/>
        </w:rPr>
        <w:t>承担施工安全保卫工作及非夜间施工照明的责任和要求：承包人应按建设相关条例和有关部门的要求自费承担这些工作（如警卫）和提供相应设施（如护板、围栏等），以保护公共安全，并提供方便</w:t>
      </w:r>
      <w:r>
        <w:rPr>
          <w:rFonts w:hint="eastAsia" w:ascii="宋体" w:hAnsi="宋体" w:eastAsia="宋体" w:cs="宋体"/>
          <w:color w:val="000000"/>
          <w:sz w:val="24"/>
          <w:szCs w:val="24"/>
          <w:highlight w:val="none"/>
          <w:u w:val="single"/>
          <w:lang w:val="zh-CN"/>
        </w:rPr>
        <w:t>。</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fldChar w:fldCharType="begin"/>
      </w:r>
      <w:r>
        <w:rPr>
          <w:rFonts w:hint="eastAsia" w:ascii="宋体" w:hAnsi="宋体" w:eastAsia="宋体" w:cs="宋体"/>
          <w:color w:val="000000"/>
          <w:sz w:val="24"/>
          <w:szCs w:val="24"/>
          <w:highlight w:val="none"/>
          <w:u w:val="single"/>
        </w:rPr>
        <w:instrText xml:space="preserve">eq \o\ac(○,4)</w:instrText>
      </w:r>
      <w:r>
        <w:rPr>
          <w:rFonts w:hint="eastAsia" w:ascii="宋体" w:hAnsi="宋体" w:eastAsia="宋体" w:cs="宋体"/>
          <w:color w:val="000000"/>
          <w:sz w:val="24"/>
          <w:szCs w:val="24"/>
          <w:highlight w:val="none"/>
          <w:u w:val="single"/>
        </w:rPr>
        <w:fldChar w:fldCharType="end"/>
      </w:r>
      <w:r>
        <w:rPr>
          <w:rFonts w:hint="eastAsia" w:ascii="宋体" w:hAnsi="宋体" w:eastAsia="宋体" w:cs="宋体"/>
          <w:color w:val="000000"/>
          <w:sz w:val="24"/>
          <w:szCs w:val="24"/>
          <w:highlight w:val="none"/>
          <w:u w:val="single"/>
        </w:rPr>
        <w:t>向发包人提供的办公和生活房屋及设施的要求：/。</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fldChar w:fldCharType="begin"/>
      </w:r>
      <w:r>
        <w:rPr>
          <w:rFonts w:hint="eastAsia" w:ascii="宋体" w:hAnsi="宋体" w:eastAsia="宋体" w:cs="宋体"/>
          <w:color w:val="000000"/>
          <w:sz w:val="24"/>
          <w:szCs w:val="24"/>
          <w:highlight w:val="none"/>
          <w:u w:val="single"/>
        </w:rPr>
        <w:instrText xml:space="preserve">eq \o\ac(○,5)</w:instrText>
      </w:r>
      <w:r>
        <w:rPr>
          <w:rFonts w:hint="eastAsia" w:ascii="宋体" w:hAnsi="宋体" w:eastAsia="宋体" w:cs="宋体"/>
          <w:color w:val="000000"/>
          <w:sz w:val="24"/>
          <w:szCs w:val="24"/>
          <w:highlight w:val="none"/>
          <w:u w:val="single"/>
        </w:rPr>
        <w:fldChar w:fldCharType="end"/>
      </w:r>
      <w:r>
        <w:rPr>
          <w:rFonts w:hint="eastAsia" w:ascii="宋体" w:hAnsi="宋体" w:eastAsia="宋体" w:cs="宋体"/>
          <w:color w:val="000000"/>
          <w:sz w:val="24"/>
          <w:szCs w:val="24"/>
          <w:highlight w:val="none"/>
          <w:u w:val="single"/>
        </w:rPr>
        <w:t>需承包人办理的有关施工场地交通、环卫和施工噪音管理等手续：需要办理交通特别通行证和出入证时，由承包人负责办证，费用自理；施工现场需要排放有害污水时，由承包人办理有关手续，费用自理；施工噪音超过标准规定时，由承包人办理有关手续，费用自理并应立即整改。</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fldChar w:fldCharType="begin"/>
      </w:r>
      <w:r>
        <w:rPr>
          <w:rFonts w:hint="eastAsia" w:ascii="宋体" w:hAnsi="宋体" w:eastAsia="宋体" w:cs="宋体"/>
          <w:color w:val="000000"/>
          <w:sz w:val="24"/>
          <w:szCs w:val="24"/>
          <w:highlight w:val="none"/>
          <w:u w:val="single"/>
        </w:rPr>
        <w:instrText xml:space="preserve">eq \o\ac(○,6)</w:instrText>
      </w:r>
      <w:r>
        <w:rPr>
          <w:rFonts w:hint="eastAsia" w:ascii="宋体" w:hAnsi="宋体" w:eastAsia="宋体" w:cs="宋体"/>
          <w:color w:val="000000"/>
          <w:sz w:val="24"/>
          <w:szCs w:val="24"/>
          <w:highlight w:val="none"/>
          <w:u w:val="single"/>
        </w:rPr>
        <w:fldChar w:fldCharType="end"/>
      </w:r>
      <w:r>
        <w:rPr>
          <w:rFonts w:hint="eastAsia" w:ascii="宋体" w:hAnsi="宋体" w:eastAsia="宋体" w:cs="宋体"/>
          <w:color w:val="000000"/>
          <w:sz w:val="24"/>
          <w:szCs w:val="24"/>
          <w:highlight w:val="none"/>
          <w:u w:val="single"/>
        </w:rPr>
        <w:t>已完工程成品保护的特殊要求及费用承担：成品保护责任由承包人承担，费用自理。</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fldChar w:fldCharType="begin"/>
      </w:r>
      <w:r>
        <w:rPr>
          <w:rFonts w:hint="eastAsia" w:ascii="宋体" w:hAnsi="宋体" w:eastAsia="宋体" w:cs="宋体"/>
          <w:color w:val="000000"/>
          <w:sz w:val="24"/>
          <w:szCs w:val="24"/>
          <w:highlight w:val="none"/>
          <w:u w:val="single"/>
        </w:rPr>
        <w:instrText xml:space="preserve">eq \o\ac(○,7)</w:instrText>
      </w:r>
      <w:r>
        <w:rPr>
          <w:rFonts w:hint="eastAsia" w:ascii="宋体" w:hAnsi="宋体" w:eastAsia="宋体" w:cs="宋体"/>
          <w:color w:val="000000"/>
          <w:sz w:val="24"/>
          <w:szCs w:val="24"/>
          <w:highlight w:val="none"/>
          <w:u w:val="single"/>
        </w:rPr>
        <w:fldChar w:fldCharType="end"/>
      </w:r>
      <w:r>
        <w:rPr>
          <w:rFonts w:hint="eastAsia" w:ascii="宋体" w:hAnsi="宋体" w:eastAsia="宋体" w:cs="宋体"/>
          <w:color w:val="000000"/>
          <w:sz w:val="24"/>
          <w:szCs w:val="24"/>
          <w:highlight w:val="none"/>
          <w:u w:val="single"/>
        </w:rPr>
        <w:t>施工场地周围地下管线和邻近建筑物、构筑物（含文物保护建筑）、古树名木的保护要求及费用承担：根据建设单位提供的施工现场地下管线图和施工单位现场踏勘情况考虑相关费用，保护责任由承包人承担，费用自理。</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fldChar w:fldCharType="begin"/>
      </w:r>
      <w:r>
        <w:rPr>
          <w:rFonts w:hint="eastAsia" w:ascii="宋体" w:hAnsi="宋体" w:eastAsia="宋体" w:cs="宋体"/>
          <w:color w:val="000000"/>
          <w:sz w:val="24"/>
          <w:szCs w:val="24"/>
          <w:highlight w:val="none"/>
          <w:u w:val="single"/>
        </w:rPr>
        <w:instrText xml:space="preserve">eq \o\ac(○,8)</w:instrText>
      </w:r>
      <w:r>
        <w:rPr>
          <w:rFonts w:hint="eastAsia" w:ascii="宋体" w:hAnsi="宋体" w:eastAsia="宋体" w:cs="宋体"/>
          <w:color w:val="000000"/>
          <w:sz w:val="24"/>
          <w:szCs w:val="24"/>
          <w:highlight w:val="none"/>
          <w:u w:val="single"/>
        </w:rPr>
        <w:fldChar w:fldCharType="end"/>
      </w:r>
      <w:r>
        <w:rPr>
          <w:rFonts w:hint="eastAsia" w:ascii="宋体" w:hAnsi="宋体" w:eastAsia="宋体" w:cs="宋体"/>
          <w:color w:val="000000"/>
          <w:sz w:val="24"/>
          <w:szCs w:val="24"/>
          <w:highlight w:val="none"/>
          <w:u w:val="single"/>
        </w:rPr>
        <w:t>施工场地清洁卫生的要求：承包人按建设行政主管部门和相关部门的规定办理执行，所需费用由承包人负担。施工现场应达到市级文明工地标准，移交时工程的清洁卫生应符合标准。竣工后3日内，承包人负责搬走其所有材料设备，施工场地清理平整，否则每拖延1天，违约金人民币2000元。发包人进行不定期安全文明施工检查（每月至少一次），未达到市级文明工地标准的，每次违约金2000元。</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fldChar w:fldCharType="begin"/>
      </w:r>
      <w:r>
        <w:rPr>
          <w:rFonts w:hint="eastAsia" w:ascii="宋体" w:hAnsi="宋体" w:eastAsia="宋体" w:cs="宋体"/>
          <w:color w:val="000000"/>
          <w:sz w:val="24"/>
          <w:szCs w:val="24"/>
          <w:highlight w:val="none"/>
          <w:u w:val="single"/>
        </w:rPr>
        <w:instrText xml:space="preserve">eq \o\ac(○,9)</w:instrText>
      </w:r>
      <w:r>
        <w:rPr>
          <w:rFonts w:hint="eastAsia" w:ascii="宋体" w:hAnsi="宋体" w:eastAsia="宋体" w:cs="宋体"/>
          <w:color w:val="000000"/>
          <w:sz w:val="24"/>
          <w:szCs w:val="24"/>
          <w:highlight w:val="none"/>
          <w:u w:val="single"/>
        </w:rPr>
        <w:fldChar w:fldCharType="end"/>
      </w:r>
      <w:r>
        <w:rPr>
          <w:rFonts w:hint="eastAsia" w:ascii="宋体" w:hAnsi="宋体" w:eastAsia="宋体" w:cs="宋体"/>
          <w:color w:val="000000"/>
          <w:sz w:val="24"/>
          <w:szCs w:val="24"/>
          <w:highlight w:val="none"/>
          <w:u w:val="single"/>
        </w:rPr>
        <w:t>双方约定承包人应做的其他工作：</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1）本工程招标过程中，发包人已明确向承包人说明本项目现场所具备的开工条件，承包人已完全明白发包人能够提供的现场条件，施工过程中，承包人不得再已现场不具备开工条件而要求发包人支付任何费用，所需费用均已包括在合同价款中。</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2）承包人应根据合同中所给定的(若未给定，则按工程师书面给出的)原始基准点、基准红线和基准标高对工程进行定位和放线。本款中提及的定位和放线是指工程的初始坐标定位、基准标高定位以及控制轴线的定位。此类定位和放线工作完成后，承包人应通知工程师要求发包人及时组织相关部门或机构进行复验并确认。如果此类复验发现承包人的定位或放线有误，承包人应立即予以矫正。一旦复验确认，则视为解除了承包人在工程定位和放线方面的责任。与工程定位和放线的复验有关的开支由承包人承担。</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3）承包人应对整个现场的施工组织和施工方案的适用性、稳定性和安全性负全面责任。对于合同第4．5款提及的由承包人设计的部分工程的情况，即使已经获取工程师的批准，承包人也应对这部分工程负全面责任。</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4）承包人应当为完成合同而设置合理可行的的现场组织机构并为此任用那些在他们各自行业或职业内具有岗位资格的管理人员。但是，除非事先获得对方同意，严禁承包人从为发包人、设计单位服务的人员中招收或试图招收职员和工人。</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5）承包人应自行雇佣所有职员和劳务人员，支付报酬及安排食宿、遣返交通并承担相应费用。除此以外，承包人还应履行以下职责和义务并承担相应的开支：</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(1) 遵守劳动法及所有适用于本合同的有关法律、法规或规章中关于工人工资标准、劳动时间和劳动条件的规定，向他们合理支付以及保障他们享有法律规定的所有权利。承包人应按政府或有关管理机构的规定为本合同下雇佣的职员和工人办理任何必要的证件、许可和注册等；</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(2) 承包人应依法为本合同下雇佣的职员和工人提供适当和充分的劳动保护，包括安全保护、防寒防雨、常用药品、急救设备、传染病预防、身体检查等；</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(3) 承包人应依据劳动合同的约定，为本合同下雇佣的职员和工人提供必要的食宿条件和生活环境，包括：住房、围栏、供水(饮用及其他目的的用水)、供电、卫生设备、食堂及炊具、防火及灭火设备、供热、家具及其他正常食宿条件和生活环境所需的必需品等。承包人还应安排向其职员和工人供应足够的、价格合理的、合适的食品并应考虑宗教或民族习惯。</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6）承包人为本合同雇佣的特殊工种的工人和操作人员应受过专门的培训并已取得有关管理机构规定的上岗证书。这些特殊工种包括：电工、焊工、锅炉工、塔吊司机、信号工、架子工、施工机械操作人员等。</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7）承包人应为下述人员从事其工作免费提供服务和配合，并负责工程实施过程中的必要协调：</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(1) 将承包人负责修建、维修及保养的任何道路或通道，提供给其它施工人员使用；</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(2) 允许其它施工单位人员使用承包人提供的临时工程、临时设施、脚手架和垂直运输机械和设备；</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(3) 为保证承包人和其他承包人的工作不发生冲突，承包人应对他们的工作场所或材料存放等负责协调；</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(4) 为其他承包人或分包人提供施工现场水电源。楼内临时水电管线由分包人自行自总包工地接入，总承包单位装表计量按照本招标文件规定单价收取水电费；</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(5) 清理现场垃圾（其他承包人将施工产生的垃圾运到承包人指定的合理堆放点）；</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(6) 在施工期间对于暂定价材料的卸车、清点、验收、保管等；</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(7) 在分包单位完成工作并将工作面给总包后，总包人应采取成品保护措施；</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(8) 汇总整理施工竣工资料，负责城市档案管理和相关材料的报送工作；</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(9) 对包括分包在内的工程总体施工进度计划的安排和日常协调；</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(10) 现场安全及文明施工的管理；</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(11) 为分包单位及时提供足够的和无障碍的工作面；</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(12) 分包人进驻现场后，总包人提供分包人所需的基准定位轴线、定位标高、主要轴线和其它定位点；</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(13) 无条件的按发包人要求提供分包工程的便利工作条件；</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(14) 分包人的埋管及设备安装后，总包人负责完成所余孔洞、勾槽的塞口等收尾工作。</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（15）配合分包单位做好相关的联动调试工作。</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 项目经理</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3.2.1 </w:t>
      </w:r>
      <w:r>
        <w:rPr>
          <w:rFonts w:hint="eastAsia" w:ascii="宋体" w:hAnsi="宋体" w:eastAsia="宋体" w:cs="宋体"/>
          <w:color w:val="000000"/>
          <w:sz w:val="24"/>
          <w:szCs w:val="24"/>
          <w:highlight w:val="none"/>
        </w:rPr>
        <w:t>项目经理：</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    名：</w:t>
      </w:r>
      <w:r>
        <w:rPr>
          <w:rFonts w:hint="eastAsia" w:ascii="宋体" w:hAnsi="宋体" w:eastAsia="宋体" w:cs="宋体"/>
          <w:color w:val="000000"/>
          <w:sz w:val="24"/>
          <w:szCs w:val="24"/>
          <w:highlight w:val="none"/>
          <w:u w:val="single"/>
        </w:rPr>
        <w:t>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身份证号：</w:t>
      </w:r>
      <w:r>
        <w:rPr>
          <w:rFonts w:hint="eastAsia" w:ascii="宋体" w:hAnsi="宋体" w:eastAsia="宋体" w:cs="宋体"/>
          <w:color w:val="000000"/>
          <w:sz w:val="24"/>
          <w:szCs w:val="24"/>
          <w:highlight w:val="none"/>
          <w:u w:val="single"/>
        </w:rPr>
        <w:t>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建造师执业资格等级：</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建造师注册证书号：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建造师执业印章号：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安全生产考核合格证书号：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通信地址：</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承包人对项目经理的授权范围如下：</w:t>
      </w:r>
      <w:r>
        <w:rPr>
          <w:rFonts w:hint="eastAsia" w:ascii="宋体" w:hAnsi="宋体" w:eastAsia="宋体" w:cs="宋体"/>
          <w:color w:val="000000"/>
          <w:sz w:val="24"/>
          <w:szCs w:val="24"/>
          <w:highlight w:val="none"/>
          <w:u w:val="single"/>
        </w:rPr>
        <w:t>1）严格按照相关施工管理的规范、规定等要求组织施工，并严格要求项目部的其他人员；2）遵守与发包人的廉洁从业协议；3）项目经理必须常驻施工现场，负责工程施工全过程的管理、协调工作，并处理往来文件；4）全面管理工程施工过程的质量、安全、进度、造价，及时解决施工工程中的问题；5）必须参加监理例会及其他由监理单位或发包人组织的有关工程施工的会议</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关于项目经理每月在施工现场的时间要求：</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承包人未提交劳动合同，以及没有为项目经理缴纳社会保险证明的违约责任：</w:t>
      </w:r>
      <w:r>
        <w:rPr>
          <w:rFonts w:hint="eastAsia" w:ascii="宋体" w:hAnsi="宋体" w:eastAsia="宋体" w:cs="宋体"/>
          <w:color w:val="000000"/>
          <w:sz w:val="24"/>
          <w:szCs w:val="24"/>
          <w:highlight w:val="none"/>
          <w:u w:val="single"/>
        </w:rPr>
        <w:t xml:space="preserve">          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kern w:val="0"/>
          <w:sz w:val="24"/>
          <w:szCs w:val="24"/>
          <w:highlight w:val="none"/>
        </w:rPr>
        <w:t>项目经理未经批准，擅自离开施工现场的违约责任：</w:t>
      </w:r>
      <w:r>
        <w:rPr>
          <w:rFonts w:hint="eastAsia" w:ascii="宋体" w:hAnsi="宋体" w:eastAsia="宋体" w:cs="宋体"/>
          <w:color w:val="000000"/>
          <w:kern w:val="0"/>
          <w:sz w:val="24"/>
          <w:szCs w:val="24"/>
          <w:highlight w:val="none"/>
          <w:u w:val="single"/>
        </w:rPr>
        <w:t>项目经理必须到位，认真履行职责</w:t>
      </w:r>
      <w:r>
        <w:rPr>
          <w:rFonts w:hint="eastAsia" w:ascii="宋体" w:hAnsi="宋体" w:eastAsia="宋体" w:cs="宋体"/>
          <w:color w:val="000000"/>
          <w:sz w:val="24"/>
          <w:szCs w:val="24"/>
          <w:highlight w:val="none"/>
        </w:rPr>
        <w:t>。</w:t>
      </w:r>
    </w:p>
    <w:p>
      <w:pPr>
        <w:spacing w:line="360" w:lineRule="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 承包人擅自更换项目经理的违约责任：</w:t>
      </w:r>
      <w:r>
        <w:rPr>
          <w:rFonts w:hint="eastAsia" w:ascii="宋体" w:hAnsi="宋体" w:eastAsia="宋体" w:cs="宋体"/>
          <w:color w:val="000000"/>
          <w:sz w:val="24"/>
          <w:szCs w:val="24"/>
          <w:highlight w:val="none"/>
          <w:u w:val="single"/>
        </w:rPr>
        <w:t>必须按照投标文件中明确的项目部人员组成配备到位，本工程不允许擅自更换项目经理及其他主要管理人员，工程实施期间，建设单位认为相关人员不符合要求，建设单位有权要求更换相关人员，所更换人员需报建设单位审批。如施工方确需更换的，需报建设单位审批</w:t>
      </w:r>
      <w:r>
        <w:rPr>
          <w:rFonts w:hint="eastAsia" w:ascii="宋体" w:hAnsi="宋体" w:eastAsia="宋体" w:cs="宋体"/>
          <w:color w:val="000000"/>
          <w:sz w:val="24"/>
          <w:szCs w:val="24"/>
          <w:highlight w:val="none"/>
        </w:rPr>
        <w:t>。</w:t>
      </w:r>
    </w:p>
    <w:p>
      <w:pPr>
        <w:spacing w:line="360" w:lineRule="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3.2.4 承包人无正当理由拒绝更换项目经理的违约责任：</w:t>
      </w:r>
      <w:r>
        <w:rPr>
          <w:rFonts w:hint="eastAsia" w:ascii="宋体" w:hAnsi="宋体" w:eastAsia="宋体" w:cs="宋体"/>
          <w:color w:val="000000"/>
          <w:sz w:val="24"/>
          <w:szCs w:val="24"/>
          <w:highlight w:val="none"/>
          <w:u w:val="single"/>
        </w:rPr>
        <w:t xml:space="preserve">                                                          </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 承包人人员</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3.3.1 承包人提交项目管理机构及施工现场管理人员安排报告的期限：</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3.3.3 承包人无正当理由拒绝撤换主要施工管理人员的违约责任：</w:t>
      </w:r>
      <w:r>
        <w:rPr>
          <w:rFonts w:hint="eastAsia" w:ascii="宋体" w:hAnsi="宋体" w:eastAsia="宋体" w:cs="宋体"/>
          <w:color w:val="000000"/>
          <w:sz w:val="24"/>
          <w:szCs w:val="24"/>
          <w:highlight w:val="none"/>
          <w:u w:val="single"/>
        </w:rPr>
        <w:t xml:space="preserve">                          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rPr>
        <w:t>3.3.4 承包人主要施工管理人员离开施工现场的批准要求：</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pPr>
        <w:spacing w:line="360" w:lineRule="auto"/>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3.3.5承包人擅自更换主要施工管理人员的违约责任：</w:t>
      </w:r>
      <w:r>
        <w:rPr>
          <w:rFonts w:hint="eastAsia" w:ascii="宋体" w:hAnsi="宋体" w:eastAsia="宋体" w:cs="宋体"/>
          <w:color w:val="000000"/>
          <w:sz w:val="24"/>
          <w:szCs w:val="24"/>
          <w:highlight w:val="none"/>
          <w:u w:val="single"/>
        </w:rPr>
        <w:t>必须按照投标文件中明确的项目部人员组成配备到位，本工程不允许擅自更换项目经理及其他主要管理人员，工程实施期间，建设单位认为相关人员不符合要求，建设单位有权要求更换相关人员，所更换人员需报建设单位审批。如施工方确需更换的，需报建设单位审批</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承包人主要施工管理人员擅自离开施工现场的违约责任：</w:t>
      </w:r>
      <w:r>
        <w:rPr>
          <w:rFonts w:hint="eastAsia" w:ascii="宋体" w:hAnsi="宋体" w:eastAsia="宋体" w:cs="宋体"/>
          <w:color w:val="000000"/>
          <w:sz w:val="24"/>
          <w:szCs w:val="24"/>
          <w:highlight w:val="none"/>
          <w:u w:val="single"/>
        </w:rPr>
        <w:t xml:space="preserve">                                                           </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bookmarkStart w:id="810" w:name="_Toc297048345"/>
      <w:bookmarkStart w:id="811" w:name="_Toc297216151"/>
      <w:bookmarkStart w:id="812" w:name="_Toc297120459"/>
      <w:bookmarkStart w:id="813" w:name="_Toc296347158"/>
      <w:bookmarkStart w:id="814" w:name="_Toc292559869"/>
      <w:bookmarkStart w:id="815" w:name="_Toc303539102"/>
      <w:bookmarkStart w:id="816" w:name="_Toc304295523"/>
      <w:bookmarkStart w:id="817" w:name="_Toc296944498"/>
      <w:bookmarkStart w:id="818" w:name="_Toc296346660"/>
      <w:bookmarkStart w:id="819" w:name="_Toc296503159"/>
      <w:bookmarkStart w:id="820" w:name="_Toc297123492"/>
      <w:bookmarkStart w:id="821" w:name="_Toc300934945"/>
      <w:bookmarkStart w:id="822" w:name="_Toc296891199"/>
      <w:bookmarkStart w:id="823" w:name="_Toc292559364"/>
      <w:bookmarkStart w:id="824" w:name="_Toc296890987"/>
      <w:bookmarkStart w:id="825" w:name="_Toc312677988"/>
      <w:r>
        <w:rPr>
          <w:rFonts w:hint="eastAsia" w:ascii="宋体" w:hAnsi="宋体" w:eastAsia="宋体" w:cs="宋体"/>
          <w:color w:val="000000"/>
          <w:sz w:val="24"/>
          <w:szCs w:val="24"/>
          <w:highlight w:val="none"/>
        </w:rPr>
        <w:t>.5 分包</w:t>
      </w:r>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bookmarkStart w:id="826" w:name="_Toc296944499"/>
      <w:bookmarkStart w:id="827" w:name="_Toc297216152"/>
      <w:bookmarkStart w:id="828" w:name="_Toc296891200"/>
      <w:bookmarkStart w:id="829" w:name="_Toc304295524"/>
      <w:bookmarkStart w:id="830" w:name="_Toc297123493"/>
      <w:bookmarkStart w:id="831" w:name="_Toc292559365"/>
      <w:bookmarkStart w:id="832" w:name="_Toc296890988"/>
      <w:bookmarkStart w:id="833" w:name="_Toc297048346"/>
      <w:bookmarkStart w:id="834" w:name="_Toc300934946"/>
      <w:bookmarkStart w:id="835" w:name="_Toc296347159"/>
      <w:bookmarkStart w:id="836" w:name="_Toc303539103"/>
      <w:bookmarkStart w:id="837" w:name="_Toc296503160"/>
      <w:bookmarkStart w:id="838" w:name="_Toc296346661"/>
      <w:bookmarkStart w:id="839" w:name="_Toc297120460"/>
      <w:bookmarkStart w:id="840" w:name="_Toc292559870"/>
      <w:bookmarkStart w:id="841" w:name="_Toc312677989"/>
      <w:bookmarkStart w:id="842" w:name="_Toc318581158"/>
      <w:r>
        <w:rPr>
          <w:rFonts w:hint="eastAsia" w:ascii="宋体" w:hAnsi="宋体" w:eastAsia="宋体" w:cs="宋体"/>
          <w:sz w:val="24"/>
          <w:szCs w:val="24"/>
          <w:highlight w:val="none"/>
        </w:rPr>
        <w:t>.5.1 分包的一般约定</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禁止分包的工程包括：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u w:val="single"/>
        </w:rPr>
      </w:pPr>
      <w:r>
        <w:rPr>
          <w:rFonts w:hint="eastAsia" w:ascii="宋体" w:hAnsi="宋体" w:eastAsia="宋体" w:cs="宋体"/>
          <w:sz w:val="24"/>
          <w:szCs w:val="24"/>
          <w:highlight w:val="none"/>
        </w:rPr>
        <w:t>主体结构、关键性工作的范围：</w:t>
      </w:r>
      <w:r>
        <w:rPr>
          <w:rFonts w:hint="eastAsia" w:ascii="宋体" w:hAnsi="宋体" w:eastAsia="宋体" w:cs="宋体"/>
          <w:color w:val="000000"/>
          <w:sz w:val="24"/>
          <w:szCs w:val="24"/>
          <w:highlight w:val="none"/>
          <w:u w:val="single"/>
        </w:rPr>
        <w:t xml:space="preserve">                                                        </w:t>
      </w:r>
    </w:p>
    <w:p>
      <w:pPr>
        <w:spacing w:line="360" w:lineRule="auto"/>
        <w:jc w:val="left"/>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Start w:id="843" w:name="_Toc297048347"/>
      <w:bookmarkStart w:id="844" w:name="_Toc296347160"/>
      <w:bookmarkStart w:id="845" w:name="_Toc296891201"/>
      <w:bookmarkStart w:id="846" w:name="_Toc297120461"/>
      <w:bookmarkStart w:id="847" w:name="_Toc297123494"/>
      <w:bookmarkStart w:id="848" w:name="_Toc300934947"/>
      <w:bookmarkStart w:id="849" w:name="_Toc297216153"/>
      <w:bookmarkStart w:id="850" w:name="_Toc296503161"/>
      <w:bookmarkStart w:id="851" w:name="_Toc296890989"/>
      <w:bookmarkStart w:id="852" w:name="_Toc296346662"/>
      <w:bookmarkStart w:id="853" w:name="_Toc303539104"/>
      <w:bookmarkStart w:id="854" w:name="_Toc296944500"/>
      <w:bookmarkStart w:id="855" w:name="_Toc304295525"/>
    </w:p>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P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w:t>
      </w:r>
      <w:bookmarkStart w:id="856" w:name="_Toc312677990"/>
      <w:bookmarkStart w:id="857" w:name="_Toc318581159"/>
      <w:r>
        <w:rPr>
          <w:rFonts w:hint="eastAsia" w:ascii="宋体" w:hAnsi="宋体" w:eastAsia="宋体" w:cs="宋体"/>
          <w:sz w:val="24"/>
          <w:szCs w:val="24"/>
          <w:highlight w:val="none"/>
        </w:rPr>
        <w:t>.5.2分包的确定</w:t>
      </w:r>
    </w:p>
    <w:p>
      <w:pPr>
        <w:spacing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sz w:val="24"/>
          <w:szCs w:val="24"/>
          <w:highlight w:val="none"/>
        </w:rPr>
        <w:t>允许分包的专业工程包括：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其他关于分包的约定：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p>
    <w:p>
      <w:pPr>
        <w:spacing w:line="360" w:lineRule="auto"/>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3.5.4 分包合同价款</w:t>
      </w:r>
    </w:p>
    <w:p>
      <w:pPr>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关于分包合同价款支付的约定：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bookmarkEnd w:id="856"/>
    <w:bookmarkEnd w:id="857"/>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 工程照管与成品、半成品保护</w:t>
      </w:r>
    </w:p>
    <w:p>
      <w:pPr>
        <w:spacing w:before="120" w:after="120" w:line="360" w:lineRule="auto"/>
        <w:ind w:firstLine="480" w:firstLineChars="200"/>
        <w:outlineLvl w:val="9"/>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承包人负责照管工程及工程相关的材料、工程设备的起始时间：</w:t>
      </w:r>
      <w:r>
        <w:rPr>
          <w:rFonts w:hint="eastAsia" w:ascii="宋体" w:hAnsi="宋体" w:eastAsia="宋体" w:cs="宋体"/>
          <w:color w:val="000000"/>
          <w:kern w:val="0"/>
          <w:sz w:val="24"/>
          <w:szCs w:val="24"/>
          <w:highlight w:val="none"/>
          <w:u w:val="single"/>
        </w:rPr>
        <w:t>工程开工之日起至工程竣工验收合格并交付发包人之日止</w:t>
      </w:r>
      <w:r>
        <w:rPr>
          <w:rFonts w:hint="eastAsia" w:ascii="宋体" w:hAnsi="宋体" w:eastAsia="宋体" w:cs="宋体"/>
          <w:color w:val="000000"/>
          <w:kern w:val="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 履约担保</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承包人是否提供履约担保：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是</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承包人提供履约担保的形式、金额及期限的：</w:t>
      </w:r>
    </w:p>
    <w:p>
      <w:pPr>
        <w:spacing w:after="120"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担保方式为：</w:t>
      </w:r>
      <w:r>
        <w:rPr>
          <w:rFonts w:hint="eastAsia" w:ascii="宋体" w:hAnsi="宋体" w:eastAsia="宋体" w:cs="宋体"/>
          <w:color w:val="000000"/>
          <w:sz w:val="24"/>
          <w:szCs w:val="24"/>
          <w:highlight w:val="none"/>
          <w:u w:val="single"/>
        </w:rPr>
        <w:t>___</w:t>
      </w:r>
      <w:r>
        <w:rPr>
          <w:rFonts w:hint="eastAsia" w:ascii="宋体" w:hAnsi="宋体" w:eastAsia="宋体" w:cs="宋体"/>
          <w:color w:val="000000"/>
          <w:sz w:val="24"/>
          <w:szCs w:val="24"/>
          <w:highlight w:val="none"/>
          <w:u w:val="single"/>
          <w:lang w:eastAsia="zh-CN"/>
        </w:rPr>
        <w:t>承包人基本户银行出具的银行保函</w:t>
      </w:r>
      <w:r>
        <w:rPr>
          <w:rFonts w:hint="eastAsia" w:ascii="宋体" w:hAnsi="宋体" w:eastAsia="宋体" w:cs="宋体"/>
          <w:color w:val="000000"/>
          <w:sz w:val="24"/>
          <w:szCs w:val="24"/>
          <w:highlight w:val="none"/>
          <w:u w:val="single"/>
        </w:rPr>
        <w:t>；</w:t>
      </w:r>
    </w:p>
    <w:p>
      <w:pPr>
        <w:spacing w:after="120" w:line="360" w:lineRule="auto"/>
        <w:ind w:firstLine="480" w:firstLineChars="200"/>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担保金额：</w:t>
      </w:r>
      <w:r>
        <w:rPr>
          <w:rFonts w:hint="eastAsia" w:ascii="宋体" w:hAnsi="宋体" w:eastAsia="宋体" w:cs="宋体"/>
          <w:color w:val="000000"/>
          <w:sz w:val="24"/>
          <w:szCs w:val="24"/>
          <w:highlight w:val="none"/>
          <w:u w:val="single"/>
        </w:rPr>
        <w:t>_</w:t>
      </w:r>
      <w:r>
        <w:rPr>
          <w:rFonts w:hint="eastAsia" w:ascii="宋体" w:hAnsi="宋体" w:eastAsia="宋体" w:cs="宋体"/>
          <w:color w:val="000000"/>
          <w:sz w:val="24"/>
          <w:szCs w:val="24"/>
          <w:highlight w:val="none"/>
          <w:u w:val="single"/>
          <w:lang w:eastAsia="zh-CN"/>
        </w:rPr>
        <w:t>签约合同价的</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w:t>
      </w:r>
    </w:p>
    <w:p>
      <w:pPr>
        <w:spacing w:after="120" w:line="360" w:lineRule="auto"/>
        <w:ind w:firstLine="480" w:firstLineChars="200"/>
        <w:outlineLvl w:val="9"/>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担保有效期：</w:t>
      </w:r>
      <w:r>
        <w:rPr>
          <w:rFonts w:hint="eastAsia" w:ascii="宋体" w:hAnsi="宋体" w:eastAsia="宋体" w:cs="宋体"/>
          <w:color w:val="000000"/>
          <w:sz w:val="24"/>
          <w:szCs w:val="24"/>
          <w:highlight w:val="none"/>
          <w:u w:val="single"/>
          <w:lang w:eastAsia="zh-CN"/>
        </w:rPr>
        <w:t>自合同签订之日至</w:t>
      </w:r>
      <w:r>
        <w:rPr>
          <w:rFonts w:hint="eastAsia" w:ascii="宋体" w:hAnsi="宋体" w:eastAsia="宋体" w:cs="宋体"/>
          <w:color w:val="000000"/>
          <w:sz w:val="24"/>
          <w:szCs w:val="24"/>
          <w:highlight w:val="none"/>
          <w:u w:val="single"/>
        </w:rPr>
        <w:t>工程竣工验收合格。</w:t>
      </w:r>
    </w:p>
    <w:p>
      <w:pPr>
        <w:spacing w:after="120" w:line="360" w:lineRule="auto"/>
        <w:ind w:firstLine="480" w:firstLineChars="200"/>
        <w:outlineLvl w:val="9"/>
        <w:rPr>
          <w:rFonts w:hint="eastAsia" w:ascii="宋体" w:hAnsi="宋体" w:eastAsia="宋体" w:cs="宋体"/>
          <w:color w:val="000000"/>
          <w:sz w:val="24"/>
          <w:szCs w:val="24"/>
          <w:highlight w:val="none"/>
        </w:rPr>
      </w:pPr>
      <w:bookmarkStart w:id="858" w:name="_Toc351203636"/>
      <w:r>
        <w:rPr>
          <w:rFonts w:hint="eastAsia" w:ascii="宋体" w:hAnsi="宋体" w:eastAsia="宋体" w:cs="宋体"/>
          <w:color w:val="000000"/>
          <w:sz w:val="24"/>
          <w:szCs w:val="24"/>
          <w:highlight w:val="none"/>
        </w:rPr>
        <w:t>4</w:t>
      </w:r>
      <w:bookmarkStart w:id="859" w:name="_Toc267251413"/>
      <w:bookmarkStart w:id="860" w:name="_Toc296347161"/>
      <w:bookmarkStart w:id="861" w:name="_Toc296346663"/>
      <w:bookmarkStart w:id="862" w:name="_Toc296944501"/>
      <w:bookmarkStart w:id="863" w:name="_Toc292559871"/>
      <w:bookmarkStart w:id="864" w:name="_Toc296503162"/>
      <w:bookmarkStart w:id="865" w:name="_Toc297048348"/>
      <w:bookmarkStart w:id="866" w:name="_Toc296891202"/>
      <w:bookmarkStart w:id="867" w:name="_Toc297120462"/>
      <w:bookmarkStart w:id="868" w:name="_Toc296890990"/>
      <w:bookmarkStart w:id="869" w:name="_Toc292559366"/>
      <w:r>
        <w:rPr>
          <w:rFonts w:hint="eastAsia" w:ascii="宋体" w:hAnsi="宋体" w:eastAsia="宋体" w:cs="宋体"/>
          <w:color w:val="000000"/>
          <w:sz w:val="24"/>
          <w:szCs w:val="24"/>
          <w:highlight w:val="none"/>
        </w:rPr>
        <w:t>. 监</w:t>
      </w:r>
      <w:bookmarkEnd w:id="859"/>
      <w:bookmarkEnd w:id="860"/>
      <w:bookmarkEnd w:id="861"/>
      <w:bookmarkEnd w:id="862"/>
      <w:bookmarkEnd w:id="863"/>
      <w:bookmarkEnd w:id="864"/>
      <w:bookmarkEnd w:id="865"/>
      <w:bookmarkEnd w:id="866"/>
      <w:bookmarkEnd w:id="867"/>
      <w:bookmarkEnd w:id="868"/>
      <w:bookmarkEnd w:id="869"/>
      <w:r>
        <w:rPr>
          <w:rFonts w:hint="eastAsia" w:ascii="宋体" w:hAnsi="宋体" w:eastAsia="宋体" w:cs="宋体"/>
          <w:color w:val="000000"/>
          <w:sz w:val="24"/>
          <w:szCs w:val="24"/>
          <w:highlight w:val="none"/>
        </w:rPr>
        <w:t>理人</w:t>
      </w:r>
      <w:bookmarkEnd w:id="858"/>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4.1监理人的一般规定</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关于监理人的监理内容</w:t>
      </w:r>
      <w:r>
        <w:rPr>
          <w:rFonts w:hint="eastAsia" w:ascii="宋体" w:hAnsi="宋体" w:eastAsia="宋体" w:cs="宋体"/>
          <w:color w:val="000000"/>
          <w:sz w:val="24"/>
          <w:szCs w:val="24"/>
          <w:highlight w:val="none"/>
          <w:u w:val="single"/>
        </w:rPr>
        <w:t>：总分包项目的施工准备阶段、施工阶段、竣工保修阶段的全过程、全内容监理工作</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关于监理人的监理权限：</w:t>
      </w:r>
      <w:r>
        <w:rPr>
          <w:rFonts w:hint="eastAsia" w:ascii="宋体" w:hAnsi="宋体" w:eastAsia="宋体" w:cs="宋体"/>
          <w:color w:val="000000"/>
          <w:sz w:val="24"/>
          <w:szCs w:val="24"/>
          <w:highlight w:val="none"/>
          <w:u w:val="single"/>
        </w:rPr>
        <w:t>（1）按照合同约定进行工程质量、施工进度及进度投资的管理和控制；（2）按照国家法律法规，进行施工现场安全、文明施工管理；（3）对工程资料的审查；（4）对施工现场相关各种关系进行协调。需要取得发包人批准才能行使的职权：顺延工期、停工指令、重大工程洽商、设计变更、材料代用、发包人指定价的认质认价等。在决策之前需经发包人同意。</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关于监理人在施工现场的办公场所、生活场所的提供和费用承担的约定：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 监理人员</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总监理工程师：</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    名：</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    务：</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监理工程师执业资格证书号：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电子信箱：</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通信地址：</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spacing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关于监理人的其他约定：</w:t>
      </w:r>
      <w:r>
        <w:rPr>
          <w:rFonts w:hint="eastAsia" w:ascii="宋体" w:hAnsi="宋体" w:eastAsia="宋体" w:cs="宋体"/>
          <w:color w:val="000000"/>
          <w:sz w:val="24"/>
          <w:szCs w:val="24"/>
          <w:highlight w:val="none"/>
          <w:u w:val="single"/>
        </w:rPr>
        <w:t>   </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商定或确定</w:t>
      </w:r>
    </w:p>
    <w:p>
      <w:pPr>
        <w:spacing w:line="360" w:lineRule="auto"/>
        <w:ind w:firstLine="480" w:firstLineChars="200"/>
        <w:outlineLvl w:val="9"/>
        <w:rPr>
          <w:rFonts w:hint="eastAsia" w:ascii="宋体" w:hAnsi="宋体" w:eastAsia="宋体" w:cs="宋体"/>
          <w:color w:val="000000"/>
          <w:sz w:val="24"/>
          <w:szCs w:val="24"/>
          <w:highlight w:val="none"/>
        </w:rPr>
      </w:pPr>
      <w:bookmarkStart w:id="870" w:name="_Toc267251418"/>
      <w:r>
        <w:rPr>
          <w:rFonts w:hint="eastAsia" w:ascii="宋体" w:hAnsi="宋体" w:eastAsia="宋体" w:cs="宋体"/>
          <w:color w:val="000000"/>
          <w:sz w:val="24"/>
          <w:szCs w:val="24"/>
          <w:highlight w:val="none"/>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autoSpaceDE w:val="0"/>
        <w:autoSpaceDN w:val="0"/>
        <w:adjustRightInd w:val="0"/>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autoSpaceDE w:val="0"/>
        <w:autoSpaceDN w:val="0"/>
        <w:adjustRightInd w:val="0"/>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lang w:val="en-US" w:eastAsia="zh-CN"/>
        </w:rPr>
      </w:pPr>
      <w:bookmarkStart w:id="871" w:name="_Toc351203637"/>
      <w:r>
        <w:rPr>
          <w:rFonts w:hint="eastAsia" w:ascii="宋体" w:hAnsi="宋体" w:eastAsia="宋体" w:cs="宋体"/>
          <w:color w:val="000000"/>
          <w:sz w:val="24"/>
          <w:szCs w:val="24"/>
          <w:highlight w:val="none"/>
          <w:lang w:val="en-US" w:eastAsia="zh-CN"/>
        </w:rPr>
        <w:t>5</w:t>
      </w:r>
      <w:bookmarkEnd w:id="870"/>
      <w:bookmarkStart w:id="872" w:name="_Toc297120463"/>
      <w:bookmarkStart w:id="873" w:name="_Toc296890991"/>
      <w:bookmarkStart w:id="874" w:name="_Toc292559872"/>
      <w:bookmarkStart w:id="875" w:name="_Toc296944502"/>
      <w:bookmarkStart w:id="876" w:name="_Toc296503163"/>
      <w:bookmarkStart w:id="877" w:name="_Toc296891203"/>
      <w:bookmarkStart w:id="878" w:name="_Toc296346664"/>
      <w:bookmarkStart w:id="879" w:name="_Toc297048349"/>
      <w:bookmarkStart w:id="880" w:name="_Toc292559367"/>
      <w:bookmarkStart w:id="881" w:name="_Toc296347162"/>
      <w:r>
        <w:rPr>
          <w:rFonts w:hint="eastAsia" w:ascii="宋体" w:hAnsi="宋体" w:eastAsia="宋体" w:cs="宋体"/>
          <w:color w:val="000000"/>
          <w:sz w:val="24"/>
          <w:szCs w:val="24"/>
          <w:highlight w:val="none"/>
          <w:lang w:val="en-US" w:eastAsia="zh-CN"/>
        </w:rPr>
        <w:t>. 工程质量</w:t>
      </w:r>
      <w:bookmarkEnd w:id="871"/>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 质量要求</w:t>
      </w:r>
    </w:p>
    <w:p>
      <w:pPr>
        <w:spacing w:after="120"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w:t>
      </w:r>
      <w:bookmarkStart w:id="882" w:name="_Toc297216155"/>
      <w:bookmarkStart w:id="883" w:name="_Toc318581164"/>
      <w:bookmarkStart w:id="884" w:name="_Toc312677997"/>
      <w:bookmarkStart w:id="885" w:name="_Toc304295527"/>
      <w:bookmarkStart w:id="886" w:name="_Toc303539106"/>
      <w:bookmarkStart w:id="887" w:name="_Toc300934949"/>
      <w:bookmarkStart w:id="888" w:name="_Toc297123496"/>
      <w:r>
        <w:rPr>
          <w:rFonts w:hint="eastAsia" w:ascii="宋体" w:hAnsi="宋体" w:eastAsia="宋体" w:cs="宋体"/>
          <w:sz w:val="24"/>
          <w:szCs w:val="24"/>
          <w:highlight w:val="none"/>
        </w:rPr>
        <w:t>.1.1 特殊质量标准和要求：</w:t>
      </w:r>
      <w:r>
        <w:rPr>
          <w:rFonts w:hint="eastAsia" w:ascii="宋体" w:hAnsi="宋体" w:eastAsia="宋体" w:cs="宋体"/>
          <w:sz w:val="24"/>
          <w:szCs w:val="24"/>
          <w:highlight w:val="none"/>
          <w:u w:val="single"/>
        </w:rPr>
        <w:t>工程验收合格率100%，重大质量事故发生率为0；承包人在开工前，根据项目工程特点和合同规定的质量目标，编制《项目质量计划》，并上报发包人和监理单位。由发包人和监理单位审查其质量保证体系、质量保证措施、主要工程施工方案选择的合理性和有效性、质量通病防治措施等，并将意见以书面形式反馈给承包人进行修改，修改审批完成后严格执行</w:t>
      </w:r>
      <w:r>
        <w:rPr>
          <w:rFonts w:hint="eastAsia" w:ascii="宋体" w:hAnsi="宋体" w:eastAsia="宋体" w:cs="宋体"/>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关于工程奖项的约定：</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5.3 隐蔽工程检查</w:t>
      </w:r>
    </w:p>
    <w:p>
      <w:pPr>
        <w:spacing w:after="120"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5.3.2承包人提前通知监理人隐蔽工程检查的期限的约定：</w:t>
      </w:r>
      <w:r>
        <w:rPr>
          <w:rFonts w:hint="eastAsia" w:ascii="宋体" w:hAnsi="宋体" w:eastAsia="宋体" w:cs="宋体"/>
          <w:sz w:val="24"/>
          <w:szCs w:val="24"/>
          <w:highlight w:val="none"/>
          <w:u w:val="single"/>
        </w:rPr>
        <w:t>工程具备隐蔽条件或达到专用条款约定的中间验收部位，承包人进行自检，并在隐蔽或中间验收前48小时以书面形式通知工程师验收。通知包括隐蔽和中间验收的内容、验收时间和地点</w:t>
      </w:r>
      <w:r>
        <w:rPr>
          <w:rFonts w:hint="eastAsia" w:ascii="宋体" w:hAnsi="宋体" w:eastAsia="宋体" w:cs="宋体"/>
          <w:sz w:val="24"/>
          <w:szCs w:val="24"/>
          <w:highlight w:val="none"/>
        </w:rPr>
        <w:t>。</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监理人不能按时进行检查时，应提前</w:t>
      </w:r>
      <w:r>
        <w:rPr>
          <w:rFonts w:hint="eastAsia" w:ascii="宋体" w:hAnsi="宋体" w:eastAsia="宋体" w:cs="宋体"/>
          <w:sz w:val="24"/>
          <w:szCs w:val="24"/>
          <w:highlight w:val="none"/>
          <w:u w:val="single"/>
          <w:lang w:val="en-US" w:eastAsia="zh-CN"/>
        </w:rPr>
        <w:t>24</w:t>
      </w:r>
      <w:r>
        <w:rPr>
          <w:rFonts w:hint="eastAsia" w:ascii="宋体" w:hAnsi="宋体" w:eastAsia="宋体" w:cs="宋体"/>
          <w:sz w:val="24"/>
          <w:szCs w:val="24"/>
          <w:highlight w:val="none"/>
        </w:rPr>
        <w:t>小时提交书面延期要求。</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关于延期最长不得超过：</w:t>
      </w:r>
      <w:r>
        <w:rPr>
          <w:rFonts w:hint="eastAsia" w:ascii="宋体" w:hAnsi="宋体" w:eastAsia="宋体" w:cs="宋体"/>
          <w:sz w:val="24"/>
          <w:szCs w:val="24"/>
          <w:highlight w:val="none"/>
          <w:u w:val="single"/>
          <w:lang w:val="en-US" w:eastAsia="zh-CN"/>
        </w:rPr>
        <w:t>48</w:t>
      </w:r>
      <w:r>
        <w:rPr>
          <w:rFonts w:hint="eastAsia" w:ascii="宋体" w:hAnsi="宋体" w:eastAsia="宋体" w:cs="宋体"/>
          <w:sz w:val="24"/>
          <w:szCs w:val="24"/>
          <w:highlight w:val="none"/>
        </w:rPr>
        <w:t>小时。</w:t>
      </w:r>
    </w:p>
    <w:p>
      <w:pPr>
        <w:spacing w:after="120" w:line="360" w:lineRule="auto"/>
        <w:ind w:firstLine="480" w:firstLineChars="200"/>
        <w:outlineLvl w:val="9"/>
        <w:rPr>
          <w:rFonts w:hint="eastAsia" w:ascii="宋体" w:hAnsi="宋体" w:eastAsia="宋体" w:cs="宋体"/>
          <w:color w:val="000000"/>
          <w:sz w:val="24"/>
          <w:szCs w:val="24"/>
          <w:highlight w:val="none"/>
          <w:lang w:val="en-US" w:eastAsia="zh-CN"/>
        </w:rPr>
      </w:pPr>
      <w:bookmarkStart w:id="889" w:name="_Toc351203638"/>
      <w:r>
        <w:rPr>
          <w:rFonts w:hint="eastAsia" w:ascii="宋体" w:hAnsi="宋体" w:eastAsia="宋体" w:cs="宋体"/>
          <w:color w:val="000000"/>
          <w:sz w:val="24"/>
          <w:szCs w:val="24"/>
          <w:highlight w:val="none"/>
          <w:lang w:val="en-US" w:eastAsia="zh-CN"/>
        </w:rPr>
        <w:t>6. 安全文明施工与环境保护</w:t>
      </w:r>
      <w:bookmarkEnd w:id="889"/>
    </w:p>
    <w:p>
      <w:pPr>
        <w:spacing w:after="120" w:line="360" w:lineRule="auto"/>
        <w:ind w:firstLine="480" w:firstLineChars="200"/>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6.1安全文明施工</w:t>
      </w:r>
    </w:p>
    <w:p>
      <w:pPr>
        <w:spacing w:after="120" w:line="360" w:lineRule="auto"/>
        <w:ind w:firstLine="480" w:firstLineChars="200"/>
        <w:outlineLvl w:val="9"/>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6.1.1 项目安全生产的达标目标及相应事项的约定：</w:t>
      </w:r>
      <w:r>
        <w:rPr>
          <w:rFonts w:hint="eastAsia" w:ascii="宋体" w:hAnsi="宋体" w:eastAsia="宋体" w:cs="宋体"/>
          <w:color w:val="000000"/>
          <w:sz w:val="24"/>
          <w:szCs w:val="24"/>
          <w:highlight w:val="none"/>
          <w:u w:val="single"/>
          <w:lang w:val="en-US" w:eastAsia="zh-CN"/>
        </w:rPr>
        <w:t>执行《通用条款》和本合同有关条款，以及国家、省、市、区各级主管部门关于安全防护、文明施工、扬尘治理、治污减霾等有关规定，承包人按建设行政主管部门和相关部门的规定办理执行，所需费用由承包人负担。施工现场应达到市级文明工地标准，移交时工程的清洁卫生应符合标准。竣工后3日内，承包人负责搬走其所有材料设备，施工场地清理平整，否则每拖延1天，违约金人民币2000元。发包人进行不定期安全文明施工检查（每月至少一次），未达到市级文明工地标准的，每次违约金2000元。</w:t>
      </w:r>
    </w:p>
    <w:p>
      <w:pPr>
        <w:spacing w:after="120" w:line="360" w:lineRule="auto"/>
        <w:ind w:firstLine="480" w:firstLineChars="200"/>
        <w:outlineLvl w:val="9"/>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6.1.4 关于治安保卫的特别约定：</w:t>
      </w:r>
      <w:r>
        <w:rPr>
          <w:rFonts w:hint="eastAsia" w:ascii="宋体" w:hAnsi="宋体" w:eastAsia="宋体" w:cs="宋体"/>
          <w:color w:val="000000"/>
          <w:sz w:val="24"/>
          <w:szCs w:val="24"/>
          <w:highlight w:val="none"/>
          <w:u w:val="single"/>
          <w:lang w:val="en-US" w:eastAsia="zh-CN"/>
        </w:rPr>
        <w:t>承包人应编制施工场地治安管理计划，并制定应对突发治安事件的紧急预案。</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关于编制施工场地治安管理计划的约定：</w:t>
      </w:r>
      <w:r>
        <w:rPr>
          <w:rFonts w:hint="eastAsia" w:ascii="宋体" w:hAnsi="宋体" w:eastAsia="宋体" w:cs="宋体"/>
          <w:sz w:val="24"/>
          <w:szCs w:val="24"/>
          <w:highlight w:val="none"/>
          <w:u w:val="single"/>
        </w:rPr>
        <w:t>工程开工后3日内</w:t>
      </w:r>
      <w:r>
        <w:rPr>
          <w:rFonts w:hint="eastAsia" w:ascii="宋体" w:hAnsi="宋体" w:eastAsia="宋体" w:cs="宋体"/>
          <w:sz w:val="24"/>
          <w:szCs w:val="24"/>
          <w:highlight w:val="none"/>
        </w:rPr>
        <w:t>。</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6.1.5 文明施工</w:t>
      </w:r>
    </w:p>
    <w:p>
      <w:pPr>
        <w:spacing w:line="360" w:lineRule="auto"/>
        <w:ind w:firstLine="480" w:firstLineChars="200"/>
        <w:jc w:val="left"/>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合同当事人对文明施工的要求：</w:t>
      </w:r>
      <w:r>
        <w:rPr>
          <w:rFonts w:hint="eastAsia" w:ascii="宋体" w:hAnsi="宋体" w:eastAsia="宋体" w:cs="宋体"/>
          <w:sz w:val="24"/>
          <w:szCs w:val="24"/>
          <w:highlight w:val="none"/>
          <w:u w:val="single"/>
        </w:rPr>
        <w:t>执行《通用条款》第6条全部条款和国家、省、市关于安全文明施工的要求规定。</w:t>
      </w:r>
    </w:p>
    <w:p>
      <w:pPr>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6.1.6 关于安全文明施工费支付比例和支付期限的约定：</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p>
    <w:bookmarkEnd w:id="882"/>
    <w:bookmarkEnd w:id="883"/>
    <w:bookmarkEnd w:id="884"/>
    <w:bookmarkEnd w:id="885"/>
    <w:bookmarkEnd w:id="886"/>
    <w:bookmarkEnd w:id="887"/>
    <w:bookmarkEnd w:id="888"/>
    <w:p>
      <w:pPr>
        <w:spacing w:after="120" w:line="360" w:lineRule="auto"/>
        <w:ind w:firstLine="480" w:firstLineChars="200"/>
        <w:outlineLvl w:val="9"/>
        <w:rPr>
          <w:rFonts w:hint="eastAsia" w:ascii="宋体" w:hAnsi="宋体" w:eastAsia="宋体" w:cs="宋体"/>
          <w:color w:val="000000"/>
          <w:sz w:val="24"/>
          <w:szCs w:val="24"/>
          <w:highlight w:val="none"/>
          <w:lang w:val="en-US" w:eastAsia="zh-CN"/>
        </w:rPr>
      </w:pPr>
      <w:bookmarkStart w:id="890" w:name="_Toc351203639"/>
      <w:r>
        <w:rPr>
          <w:rFonts w:hint="eastAsia" w:ascii="宋体" w:hAnsi="宋体" w:eastAsia="宋体" w:cs="宋体"/>
          <w:color w:val="000000"/>
          <w:sz w:val="24"/>
          <w:szCs w:val="24"/>
          <w:highlight w:val="none"/>
          <w:lang w:val="en-US" w:eastAsia="zh-CN"/>
        </w:rPr>
        <w:t>7. 工期和进度</w:t>
      </w:r>
      <w:bookmarkEnd w:id="890"/>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 施工组织设计</w:t>
      </w:r>
    </w:p>
    <w:p>
      <w:pPr>
        <w:spacing w:after="120" w:line="360" w:lineRule="auto"/>
        <w:ind w:firstLine="480" w:firstLineChars="200"/>
        <w:outlineLvl w:val="9"/>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 xml:space="preserve">7.1.1 </w:t>
      </w:r>
      <w:r>
        <w:rPr>
          <w:rFonts w:hint="eastAsia" w:ascii="宋体" w:hAnsi="宋体" w:eastAsia="宋体" w:cs="宋体"/>
          <w:color w:val="000000"/>
          <w:sz w:val="24"/>
          <w:szCs w:val="24"/>
          <w:highlight w:val="none"/>
        </w:rPr>
        <w:t>合</w:t>
      </w:r>
      <w:r>
        <w:rPr>
          <w:rFonts w:hint="eastAsia" w:ascii="宋体" w:hAnsi="宋体" w:eastAsia="宋体" w:cs="宋体"/>
          <w:color w:val="000000"/>
          <w:kern w:val="0"/>
          <w:sz w:val="24"/>
          <w:szCs w:val="24"/>
          <w:highlight w:val="none"/>
        </w:rPr>
        <w:t>同当事人约定的施工组织设计应包括的其他内容：</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sz w:val="24"/>
          <w:szCs w:val="24"/>
          <w:highlight w:val="none"/>
        </w:rPr>
        <w:t>。</w:t>
      </w:r>
    </w:p>
    <w:p>
      <w:pPr>
        <w:autoSpaceDE w:val="0"/>
        <w:autoSpaceDN w:val="0"/>
        <w:adjustRightInd w:val="0"/>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7.1.2</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施工组织设计的提交和修改</w:t>
      </w:r>
    </w:p>
    <w:p>
      <w:pPr>
        <w:autoSpaceDE w:val="0"/>
        <w:autoSpaceDN w:val="0"/>
        <w:adjustRightIn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承包人提交详细施工组织设计的期限的约定：</w:t>
      </w:r>
      <w:r>
        <w:rPr>
          <w:rFonts w:hint="eastAsia" w:ascii="宋体" w:hAnsi="宋体" w:eastAsia="宋体" w:cs="宋体"/>
          <w:color w:val="000000"/>
          <w:kern w:val="0"/>
          <w:sz w:val="24"/>
          <w:szCs w:val="24"/>
          <w:highlight w:val="none"/>
          <w:u w:val="single"/>
        </w:rPr>
        <w:t>开工后三天内</w:t>
      </w:r>
      <w:r>
        <w:rPr>
          <w:rFonts w:hint="eastAsia" w:ascii="宋体" w:hAnsi="宋体" w:eastAsia="宋体" w:cs="宋体"/>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发包人和监理人在收到详细的施工组织设计后确认或提出修改意见的期限：</w:t>
      </w:r>
      <w:r>
        <w:rPr>
          <w:rFonts w:hint="eastAsia" w:ascii="宋体" w:hAnsi="宋体" w:eastAsia="宋体" w:cs="宋体"/>
          <w:color w:val="000000"/>
          <w:sz w:val="24"/>
          <w:szCs w:val="24"/>
          <w:highlight w:val="none"/>
          <w:u w:val="single"/>
        </w:rPr>
        <w:t>三天内</w:t>
      </w:r>
      <w:r>
        <w:rPr>
          <w:rFonts w:hint="eastAsia" w:ascii="宋体" w:hAnsi="宋体" w:eastAsia="宋体" w:cs="宋体"/>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bookmarkStart w:id="891" w:name="_Toc297216173"/>
      <w:bookmarkStart w:id="892" w:name="_Toc297123514"/>
      <w:bookmarkStart w:id="893" w:name="_Toc312677479"/>
      <w:bookmarkStart w:id="894" w:name="_Toc303539123"/>
      <w:bookmarkStart w:id="895" w:name="_Toc312678005"/>
      <w:bookmarkStart w:id="896" w:name="_Toc300934966"/>
      <w:bookmarkStart w:id="897" w:name="_Toc304295541"/>
      <w:r>
        <w:rPr>
          <w:rFonts w:hint="eastAsia" w:ascii="宋体" w:hAnsi="宋体" w:eastAsia="宋体" w:cs="宋体"/>
          <w:color w:val="000000"/>
          <w:sz w:val="24"/>
          <w:szCs w:val="24"/>
          <w:highlight w:val="none"/>
        </w:rPr>
        <w:t>.2 施工进度计划</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7.2.2 施工进度计划的修订</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发包人和监理人在收到修订的施工进度计划后确认或提出修改意见的期限：</w:t>
      </w:r>
      <w:r>
        <w:rPr>
          <w:rFonts w:hint="eastAsia" w:ascii="宋体" w:hAnsi="宋体" w:eastAsia="宋体" w:cs="宋体"/>
          <w:color w:val="000000"/>
          <w:sz w:val="24"/>
          <w:szCs w:val="24"/>
          <w:highlight w:val="none"/>
          <w:u w:val="single"/>
        </w:rPr>
        <w:t>（1）开工后五天内承包人须向发包人和监理单位提供施工组织设计壹式伍份。（2）每月25日，须提供下月施工进度计划表壹式伍份。</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 开工</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7.3.1 开工准备</w:t>
      </w:r>
    </w:p>
    <w:p>
      <w:pPr>
        <w:spacing w:line="360" w:lineRule="auto"/>
        <w:ind w:firstLine="645"/>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关于承包人提交</w:t>
      </w:r>
      <w:r>
        <w:rPr>
          <w:rFonts w:hint="eastAsia" w:ascii="宋体" w:hAnsi="宋体" w:eastAsia="宋体" w:cs="宋体"/>
          <w:color w:val="000000"/>
          <w:kern w:val="0"/>
          <w:sz w:val="24"/>
          <w:szCs w:val="24"/>
          <w:highlight w:val="none"/>
        </w:rPr>
        <w:t>工程开工报审表的期限：</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sz w:val="24"/>
          <w:szCs w:val="24"/>
          <w:highlight w:val="none"/>
        </w:rPr>
        <w:t>。</w:t>
      </w:r>
    </w:p>
    <w:p>
      <w:pPr>
        <w:spacing w:line="360" w:lineRule="auto"/>
        <w:ind w:firstLine="645"/>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关于发包人应完成的其他开工准备工作及期限：</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p>
    <w:p>
      <w:pPr>
        <w:spacing w:line="360" w:lineRule="auto"/>
        <w:ind w:firstLine="645"/>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关于承包人应完成的其他开工准备工作及期限：</w:t>
      </w:r>
      <w:r>
        <w:rPr>
          <w:rFonts w:hint="eastAsia" w:ascii="宋体" w:hAnsi="宋体" w:eastAsia="宋体" w:cs="宋体"/>
          <w:color w:val="000000"/>
          <w:sz w:val="24"/>
          <w:szCs w:val="24"/>
          <w:highlight w:val="none"/>
          <w:u w:val="single"/>
        </w:rPr>
        <w:t>开工前三天</w:t>
      </w:r>
      <w:r>
        <w:rPr>
          <w:rFonts w:hint="eastAsia" w:ascii="宋体" w:hAnsi="宋体" w:eastAsia="宋体" w:cs="宋体"/>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7.3.2开工通知</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因发包人原因造成监理人未能在计划开工日期之日起</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rPr>
        <w:t>天内发出开工通知的，承包人有权提出价格调整要求，或者解除合同。</w:t>
      </w:r>
    </w:p>
    <w:bookmarkEnd w:id="891"/>
    <w:bookmarkEnd w:id="892"/>
    <w:bookmarkEnd w:id="893"/>
    <w:bookmarkEnd w:id="894"/>
    <w:bookmarkEnd w:id="895"/>
    <w:bookmarkEnd w:id="896"/>
    <w:bookmarkEnd w:id="897"/>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 测量放线</w:t>
      </w:r>
    </w:p>
    <w:p>
      <w:pPr>
        <w:spacing w:line="360" w:lineRule="auto"/>
        <w:ind w:firstLine="480" w:firstLineChars="200"/>
        <w:jc w:val="left"/>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7.4.1发包人通过监理人向承包人提供测量基准点、基准线和水准点及其书面资料的期限：</w:t>
      </w:r>
      <w:r>
        <w:rPr>
          <w:rFonts w:hint="eastAsia" w:ascii="宋体" w:hAnsi="宋体" w:cs="仿宋_GB2312"/>
          <w:color w:val="000000"/>
          <w:szCs w:val="21"/>
          <w:highlight w:val="none"/>
          <w:u w:val="single"/>
        </w:rPr>
        <w:t xml:space="preserve">  /  </w:t>
      </w:r>
      <w:r>
        <w:rPr>
          <w:rFonts w:hint="eastAsia" w:ascii="宋体" w:hAnsi="宋体" w:eastAsia="宋体" w:cs="宋体"/>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bookmarkStart w:id="898" w:name="_Toc312677484"/>
      <w:bookmarkStart w:id="899" w:name="_Toc312678010"/>
      <w:bookmarkStart w:id="900" w:name="_Toc303539125"/>
      <w:bookmarkStart w:id="901" w:name="_Toc297123516"/>
      <w:bookmarkStart w:id="902" w:name="_Toc300934968"/>
      <w:bookmarkStart w:id="903" w:name="_Toc304295546"/>
      <w:bookmarkStart w:id="904" w:name="_Toc297216175"/>
      <w:r>
        <w:rPr>
          <w:rFonts w:hint="eastAsia" w:ascii="宋体" w:hAnsi="宋体" w:eastAsia="宋体" w:cs="宋体"/>
          <w:color w:val="000000"/>
          <w:sz w:val="24"/>
          <w:szCs w:val="24"/>
          <w:highlight w:val="none"/>
        </w:rPr>
        <w:t>.5 工期延误</w:t>
      </w:r>
    </w:p>
    <w:bookmarkEnd w:id="898"/>
    <w:bookmarkEnd w:id="899"/>
    <w:bookmarkEnd w:id="900"/>
    <w:bookmarkEnd w:id="901"/>
    <w:bookmarkEnd w:id="902"/>
    <w:bookmarkEnd w:id="903"/>
    <w:bookmarkEnd w:id="904"/>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7.5.1 因发包人原因导致工期延误</w:t>
      </w:r>
    </w:p>
    <w:p>
      <w:pPr>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（7）因发包人原因导致工期延误的其他情形：</w:t>
      </w:r>
      <w:r>
        <w:rPr>
          <w:rFonts w:hint="eastAsia" w:ascii="宋体" w:hAnsi="宋体" w:eastAsia="宋体" w:cs="宋体"/>
          <w:sz w:val="24"/>
          <w:szCs w:val="24"/>
          <w:highlight w:val="none"/>
          <w:u w:val="single"/>
        </w:rPr>
        <w:t>（1）若发包人连续停电、停水在8小时以内且未对施工造成影响，不顺延工期。如每周累计停电、停水8小时以上，且给承包人施工造成实质性延误的，经发包人和监理单位确认后工期予以顺延。其它关于工期顺延的约定按通用条款执行。（2）在施工过程中因设计变更引起承包人不能正常施工，承包人应随时进行工种调整，不计取误工费，经发包人和监理单位确认后工期顺延。（3）施工中遇到不可预见的障碍物或古墓、文物需处理；外部干扰无法施工，经发包人和监理单位确认后工期顺延。</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w:t>
      </w:r>
      <w:bookmarkStart w:id="905" w:name="_Toc318581169"/>
      <w:bookmarkStart w:id="906" w:name="_Toc312677486"/>
      <w:bookmarkStart w:id="907" w:name="_Toc312678012"/>
      <w:bookmarkStart w:id="908" w:name="_Toc297123518"/>
      <w:bookmarkStart w:id="909" w:name="_Toc297216177"/>
      <w:bookmarkStart w:id="910" w:name="_Toc300934970"/>
      <w:bookmarkStart w:id="911" w:name="_Toc304295548"/>
      <w:bookmarkStart w:id="912" w:name="_Toc303539127"/>
      <w:r>
        <w:rPr>
          <w:rFonts w:hint="eastAsia" w:ascii="宋体" w:hAnsi="宋体" w:eastAsia="宋体" w:cs="宋体"/>
          <w:sz w:val="24"/>
          <w:szCs w:val="24"/>
          <w:highlight w:val="none"/>
        </w:rPr>
        <w:t>.5.2 因承包人原因导致工期延误</w:t>
      </w:r>
      <w:bookmarkEnd w:id="905"/>
      <w:bookmarkEnd w:id="906"/>
      <w:bookmarkEnd w:id="907"/>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因</w:t>
      </w:r>
      <w:bookmarkStart w:id="913" w:name="_Toc318581170"/>
      <w:bookmarkStart w:id="914" w:name="_Toc312678013"/>
      <w:bookmarkStart w:id="915" w:name="_Toc312677487"/>
      <w:r>
        <w:rPr>
          <w:rFonts w:hint="eastAsia" w:ascii="宋体" w:hAnsi="宋体" w:eastAsia="宋体" w:cs="宋体"/>
          <w:sz w:val="24"/>
          <w:szCs w:val="24"/>
          <w:highlight w:val="none"/>
        </w:rPr>
        <w:t>承包人原因造成工期延误，逾期竣工违约金的计算方法为：</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bookmarkEnd w:id="908"/>
      <w:bookmarkEnd w:id="909"/>
      <w:bookmarkEnd w:id="910"/>
      <w:bookmarkEnd w:id="911"/>
      <w:bookmarkEnd w:id="912"/>
      <w:bookmarkEnd w:id="913"/>
      <w:bookmarkEnd w:id="914"/>
      <w:bookmarkEnd w:id="915"/>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因承包人原因造成工期延误，逾</w:t>
      </w:r>
      <w:bookmarkStart w:id="916" w:name="_Toc318581171"/>
      <w:bookmarkStart w:id="917" w:name="_Toc312678014"/>
      <w:r>
        <w:rPr>
          <w:rFonts w:hint="eastAsia" w:ascii="宋体" w:hAnsi="宋体" w:eastAsia="宋体" w:cs="宋体"/>
          <w:sz w:val="24"/>
          <w:szCs w:val="24"/>
          <w:highlight w:val="none"/>
        </w:rPr>
        <w:t>期竣工违约金的上限</w:t>
      </w:r>
      <w:r>
        <w:rPr>
          <w:rFonts w:hint="eastAsia" w:ascii="宋体" w:hAnsi="宋体" w:eastAsia="宋体" w:cs="宋体"/>
          <w:sz w:val="24"/>
          <w:szCs w:val="24"/>
          <w:highlight w:val="none"/>
          <w:u w:val="single"/>
        </w:rPr>
        <w:t>：不设上限</w:t>
      </w:r>
      <w:r>
        <w:rPr>
          <w:rFonts w:hint="eastAsia" w:ascii="宋体" w:hAnsi="宋体" w:eastAsia="宋体" w:cs="宋体"/>
          <w:sz w:val="24"/>
          <w:szCs w:val="24"/>
          <w:highlight w:val="none"/>
        </w:rPr>
        <w:t>。</w:t>
      </w:r>
    </w:p>
    <w:bookmarkEnd w:id="916"/>
    <w:bookmarkEnd w:id="917"/>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bookmarkStart w:id="918" w:name="_Toc303539128"/>
      <w:bookmarkStart w:id="919" w:name="_Toc300934971"/>
      <w:bookmarkStart w:id="920" w:name="_Toc312678015"/>
      <w:bookmarkStart w:id="921" w:name="_Toc304295549"/>
      <w:bookmarkStart w:id="922" w:name="_Toc297216178"/>
      <w:bookmarkStart w:id="923" w:name="_Toc297123519"/>
      <w:r>
        <w:rPr>
          <w:rFonts w:hint="eastAsia" w:ascii="宋体" w:hAnsi="宋体" w:eastAsia="宋体" w:cs="宋体"/>
          <w:color w:val="000000"/>
          <w:sz w:val="24"/>
          <w:szCs w:val="24"/>
          <w:highlight w:val="none"/>
        </w:rPr>
        <w:t>.6 不</w:t>
      </w:r>
      <w:bookmarkEnd w:id="918"/>
      <w:bookmarkEnd w:id="919"/>
      <w:bookmarkEnd w:id="920"/>
      <w:bookmarkEnd w:id="921"/>
      <w:bookmarkEnd w:id="922"/>
      <w:bookmarkEnd w:id="923"/>
      <w:r>
        <w:rPr>
          <w:rFonts w:hint="eastAsia" w:ascii="宋体" w:hAnsi="宋体" w:eastAsia="宋体" w:cs="宋体"/>
          <w:color w:val="000000"/>
          <w:sz w:val="24"/>
          <w:szCs w:val="24"/>
          <w:highlight w:val="none"/>
        </w:rPr>
        <w:t>利物质条件</w:t>
      </w:r>
      <w:bookmarkStart w:id="924" w:name="_Toc300934972"/>
      <w:bookmarkStart w:id="925" w:name="_Toc297123520"/>
      <w:bookmarkStart w:id="926" w:name="_Toc303539129"/>
      <w:bookmarkStart w:id="927" w:name="_Toc312678016"/>
      <w:bookmarkStart w:id="928" w:name="_Toc297216179"/>
      <w:bookmarkStart w:id="929" w:name="_Toc304295550"/>
      <w:bookmarkStart w:id="930" w:name="_Toc318581172"/>
    </w:p>
    <w:p>
      <w:pPr>
        <w:spacing w:after="120"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不利物质条件的其他情形和有关约定：</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p>
    <w:bookmarkEnd w:id="924"/>
    <w:bookmarkEnd w:id="925"/>
    <w:bookmarkEnd w:id="926"/>
    <w:bookmarkEnd w:id="927"/>
    <w:bookmarkEnd w:id="928"/>
    <w:bookmarkEnd w:id="929"/>
    <w:bookmarkEnd w:id="930"/>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bookmarkStart w:id="931" w:name="_Toc304295551"/>
      <w:bookmarkStart w:id="932" w:name="_Toc303539130"/>
      <w:bookmarkStart w:id="933" w:name="_Toc297216180"/>
      <w:bookmarkStart w:id="934" w:name="_Toc297123521"/>
      <w:bookmarkStart w:id="935" w:name="_Toc300934973"/>
      <w:bookmarkStart w:id="936" w:name="_Toc312678017"/>
      <w:r>
        <w:rPr>
          <w:rFonts w:hint="eastAsia" w:ascii="宋体" w:hAnsi="宋体" w:eastAsia="宋体" w:cs="宋体"/>
          <w:color w:val="000000"/>
          <w:sz w:val="24"/>
          <w:szCs w:val="24"/>
          <w:highlight w:val="none"/>
        </w:rPr>
        <w:t>.7异常恶劣的气候条件</w:t>
      </w:r>
    </w:p>
    <w:bookmarkEnd w:id="931"/>
    <w:bookmarkEnd w:id="932"/>
    <w:bookmarkEnd w:id="933"/>
    <w:bookmarkEnd w:id="934"/>
    <w:bookmarkEnd w:id="935"/>
    <w:bookmarkEnd w:id="936"/>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发包人和承包人同意以下情形视为异常恶劣的气候条件：</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7.9 提前竣工的奖励</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7.9.2提前竣工的奖励：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bookmarkStart w:id="937" w:name="_Toc351203640"/>
      <w:r>
        <w:rPr>
          <w:rFonts w:hint="eastAsia" w:ascii="宋体" w:hAnsi="宋体" w:eastAsia="宋体" w:cs="宋体"/>
          <w:color w:val="000000"/>
          <w:sz w:val="24"/>
          <w:szCs w:val="24"/>
          <w:highlight w:val="none"/>
        </w:rPr>
        <w:t>8. 材料与设备</w:t>
      </w:r>
      <w:bookmarkEnd w:id="937"/>
    </w:p>
    <w:bookmarkEnd w:id="872"/>
    <w:bookmarkEnd w:id="873"/>
    <w:bookmarkEnd w:id="874"/>
    <w:bookmarkEnd w:id="875"/>
    <w:bookmarkEnd w:id="876"/>
    <w:bookmarkEnd w:id="877"/>
    <w:bookmarkEnd w:id="878"/>
    <w:bookmarkEnd w:id="879"/>
    <w:bookmarkEnd w:id="880"/>
    <w:bookmarkEnd w:id="881"/>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bookmarkStart w:id="938" w:name="_Toc296347166"/>
      <w:bookmarkStart w:id="939" w:name="_Toc297120467"/>
      <w:bookmarkStart w:id="940" w:name="_Toc296890995"/>
      <w:bookmarkStart w:id="941" w:name="_Toc296891207"/>
      <w:bookmarkStart w:id="942" w:name="_Toc297048353"/>
      <w:bookmarkStart w:id="943" w:name="_Toc296944506"/>
      <w:bookmarkStart w:id="944" w:name="_Toc312677493"/>
      <w:bookmarkStart w:id="945" w:name="_Toc292559877"/>
      <w:bookmarkStart w:id="946" w:name="_Toc280868654"/>
      <w:bookmarkStart w:id="947" w:name="_Toc296346668"/>
      <w:bookmarkStart w:id="948" w:name="_Toc312678019"/>
      <w:bookmarkStart w:id="949" w:name="_Toc292559372"/>
      <w:bookmarkStart w:id="950" w:name="_Toc300934979"/>
      <w:bookmarkStart w:id="951" w:name="_Toc297123527"/>
      <w:bookmarkStart w:id="952" w:name="_Toc296503167"/>
      <w:bookmarkStart w:id="953" w:name="_Toc303539136"/>
      <w:bookmarkStart w:id="954" w:name="_Toc297216186"/>
      <w:bookmarkStart w:id="955" w:name="_Toc304295556"/>
      <w:bookmarkStart w:id="956" w:name="_Toc280868656"/>
      <w:bookmarkStart w:id="957" w:name="_Toc267251424"/>
      <w:bookmarkStart w:id="958" w:name="_Toc280868655"/>
      <w:r>
        <w:rPr>
          <w:rFonts w:hint="eastAsia" w:ascii="宋体" w:hAnsi="宋体" w:eastAsia="宋体" w:cs="宋体"/>
          <w:color w:val="000000"/>
          <w:sz w:val="24"/>
          <w:szCs w:val="24"/>
          <w:highlight w:val="none"/>
        </w:rPr>
        <w:t>.4材料与工程设备的保管与使用</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pPr>
        <w:spacing w:after="120"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w:t>
      </w:r>
      <w:bookmarkStart w:id="959" w:name="_Toc292559373"/>
      <w:bookmarkStart w:id="960" w:name="_Toc292559878"/>
      <w:bookmarkStart w:id="961" w:name="_Toc297120468"/>
      <w:bookmarkStart w:id="962" w:name="_Toc318581173"/>
      <w:bookmarkStart w:id="963" w:name="_Toc300934980"/>
      <w:bookmarkStart w:id="964" w:name="_Toc297048354"/>
      <w:bookmarkStart w:id="965" w:name="_Toc303539137"/>
      <w:bookmarkStart w:id="966" w:name="_Toc296944507"/>
      <w:bookmarkStart w:id="967" w:name="_Toc297123528"/>
      <w:bookmarkStart w:id="968" w:name="_Toc296891208"/>
      <w:bookmarkStart w:id="969" w:name="_Toc296346669"/>
      <w:bookmarkStart w:id="970" w:name="_Toc297216187"/>
      <w:bookmarkStart w:id="971" w:name="_Toc312678020"/>
      <w:bookmarkStart w:id="972" w:name="_Toc296890996"/>
      <w:bookmarkStart w:id="973" w:name="_Toc296503168"/>
      <w:bookmarkStart w:id="974" w:name="_Toc296347167"/>
      <w:bookmarkStart w:id="975" w:name="_Toc304295557"/>
      <w:bookmarkStart w:id="976" w:name="_Toc312677494"/>
      <w:r>
        <w:rPr>
          <w:rFonts w:hint="eastAsia" w:ascii="宋体" w:hAnsi="宋体" w:eastAsia="宋体" w:cs="宋体"/>
          <w:sz w:val="24"/>
          <w:szCs w:val="24"/>
          <w:highlight w:val="none"/>
        </w:rPr>
        <w:t>.4.1发包人供应的材料设备的保管费用的承担：</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bookmarkEnd w:id="959"/>
      <w:bookmarkEnd w:id="960"/>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8.6 样品</w:t>
      </w:r>
    </w:p>
    <w:p>
      <w:pPr>
        <w:autoSpaceDE w:val="0"/>
        <w:autoSpaceDN w:val="0"/>
        <w:adjustRightInd w:val="0"/>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pPr>
        <w:autoSpaceDE w:val="0"/>
        <w:autoSpaceDN w:val="0"/>
        <w:adjustRightInd w:val="0"/>
        <w:spacing w:line="360" w:lineRule="auto"/>
        <w:ind w:firstLine="480" w:firstLineChars="200"/>
        <w:jc w:val="left"/>
        <w:outlineLvl w:val="9"/>
        <w:rPr>
          <w:rFonts w:hint="eastAsia" w:ascii="宋体" w:hAnsi="宋体" w:eastAsia="宋体" w:cs="宋体"/>
          <w:sz w:val="24"/>
          <w:szCs w:val="24"/>
          <w:highlight w:val="none"/>
          <w:u w:val="single"/>
        </w:rPr>
      </w:pPr>
      <w:r>
        <w:rPr>
          <w:rFonts w:hint="eastAsia" w:ascii="宋体" w:hAnsi="宋体" w:eastAsia="宋体" w:cs="宋体"/>
          <w:color w:val="000000"/>
          <w:kern w:val="0"/>
          <w:sz w:val="24"/>
          <w:szCs w:val="24"/>
          <w:highlight w:val="none"/>
        </w:rPr>
        <w:t>需要承包人报送样品的材料或工程设备，样品的种类、名称、规格、数量要求：</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rPr>
        <w:t xml:space="preserve">                        </w:t>
      </w:r>
    </w:p>
    <w:p>
      <w:pPr>
        <w:autoSpaceDE w:val="0"/>
        <w:autoSpaceDN w:val="0"/>
        <w:adjustRightInd w:val="0"/>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8.8 施工设备和临时设施</w:t>
      </w:r>
    </w:p>
    <w:p>
      <w:pPr>
        <w:autoSpaceDE w:val="0"/>
        <w:autoSpaceDN w:val="0"/>
        <w:adjustRightIn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8.8.1 承包人提供的施工设备和临时设施</w:t>
      </w:r>
    </w:p>
    <w:p>
      <w:pPr>
        <w:autoSpaceDE w:val="0"/>
        <w:autoSpaceDN w:val="0"/>
        <w:adjustRightIn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关于修建临时设施费用承担的约定：</w:t>
      </w:r>
      <w:r>
        <w:rPr>
          <w:rFonts w:hint="eastAsia" w:ascii="宋体" w:hAnsi="宋体" w:eastAsia="宋体" w:cs="宋体"/>
          <w:sz w:val="24"/>
          <w:szCs w:val="24"/>
          <w:highlight w:val="none"/>
          <w:u w:val="single"/>
        </w:rPr>
        <w:t>关于修建临时设施费用承担的约定：负责工地现场临时设施、道路、管线的施工和保养（包括标段范围内的沉淀池、临时排水设施、化粪池的清理和修补等，其费用已包含在合同价款中），从发包人指定的水电接驳点接驳施工用水用电，采取措施避免工程施工对红线周围地下管线、临近建筑物及市政设施造成破坏，变压器的看管等，以上费用均由承包人负责</w:t>
      </w:r>
      <w:r>
        <w:rPr>
          <w:rFonts w:hint="eastAsia" w:ascii="宋体" w:hAnsi="宋体" w:eastAsia="宋体" w:cs="宋体"/>
          <w:sz w:val="24"/>
          <w:szCs w:val="24"/>
          <w:highlight w:val="none"/>
        </w:rPr>
        <w:t>。</w:t>
      </w:r>
    </w:p>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Pr>
        <w:spacing w:after="120" w:line="360" w:lineRule="auto"/>
        <w:ind w:firstLine="480" w:firstLineChars="200"/>
        <w:outlineLvl w:val="9"/>
        <w:rPr>
          <w:rFonts w:hint="eastAsia" w:ascii="宋体" w:hAnsi="宋体" w:eastAsia="宋体" w:cs="宋体"/>
          <w:color w:val="000000"/>
          <w:sz w:val="24"/>
          <w:szCs w:val="24"/>
          <w:highlight w:val="none"/>
        </w:rPr>
      </w:pPr>
      <w:bookmarkStart w:id="977" w:name="_Toc351203641"/>
      <w:r>
        <w:rPr>
          <w:rFonts w:hint="eastAsia" w:ascii="宋体" w:hAnsi="宋体" w:eastAsia="宋体" w:cs="宋体"/>
          <w:color w:val="000000"/>
          <w:sz w:val="24"/>
          <w:szCs w:val="24"/>
          <w:highlight w:val="none"/>
        </w:rPr>
        <w:t>9</w:t>
      </w:r>
      <w:bookmarkEnd w:id="956"/>
      <w:bookmarkEnd w:id="957"/>
      <w:bookmarkEnd w:id="958"/>
      <w:bookmarkStart w:id="978" w:name="_Toc312678021"/>
      <w:bookmarkStart w:id="979" w:name="_Toc303539139"/>
      <w:bookmarkStart w:id="980" w:name="_Toc304295559"/>
      <w:bookmarkStart w:id="981" w:name="_Toc297216192"/>
      <w:bookmarkStart w:id="982" w:name="_Toc300934982"/>
      <w:bookmarkStart w:id="983" w:name="_Toc297123533"/>
      <w:bookmarkStart w:id="984" w:name="_Toc312677495"/>
      <w:bookmarkStart w:id="985" w:name="_Toc297120473"/>
      <w:bookmarkStart w:id="986" w:name="_Toc267251427"/>
      <w:bookmarkStart w:id="987" w:name="_Toc267251428"/>
      <w:bookmarkStart w:id="988" w:name="_Toc297048359"/>
      <w:bookmarkStart w:id="989" w:name="_Toc296347172"/>
      <w:bookmarkStart w:id="990" w:name="_Toc296346674"/>
      <w:bookmarkStart w:id="991" w:name="_Toc296944512"/>
      <w:bookmarkStart w:id="992" w:name="_Toc296891213"/>
      <w:bookmarkStart w:id="993" w:name="_Toc292559378"/>
      <w:bookmarkStart w:id="994" w:name="_Toc296503173"/>
      <w:bookmarkStart w:id="995" w:name="_Toc296891001"/>
      <w:bookmarkStart w:id="996" w:name="_Toc292559883"/>
      <w:r>
        <w:rPr>
          <w:rFonts w:hint="eastAsia" w:ascii="宋体" w:hAnsi="宋体" w:eastAsia="宋体" w:cs="宋体"/>
          <w:color w:val="000000"/>
          <w:sz w:val="24"/>
          <w:szCs w:val="24"/>
          <w:highlight w:val="none"/>
        </w:rPr>
        <w:t>. 试验与检验</w:t>
      </w:r>
      <w:bookmarkEnd w:id="977"/>
    </w:p>
    <w:bookmarkEnd w:id="978"/>
    <w:bookmarkEnd w:id="979"/>
    <w:bookmarkEnd w:id="980"/>
    <w:bookmarkEnd w:id="981"/>
    <w:bookmarkEnd w:id="982"/>
    <w:bookmarkEnd w:id="983"/>
    <w:bookmarkEnd w:id="984"/>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bookmarkStart w:id="997" w:name="_Toc304295560"/>
      <w:bookmarkStart w:id="998" w:name="_Toc300934983"/>
      <w:bookmarkStart w:id="999" w:name="_Toc297123534"/>
      <w:bookmarkStart w:id="1000" w:name="_Toc297216193"/>
      <w:bookmarkStart w:id="1001" w:name="_Toc312678022"/>
      <w:bookmarkStart w:id="1002" w:name="_Toc312677496"/>
      <w:bookmarkStart w:id="1003" w:name="_Toc303539140"/>
      <w:r>
        <w:rPr>
          <w:rFonts w:hint="eastAsia" w:ascii="宋体" w:hAnsi="宋体" w:eastAsia="宋体" w:cs="宋体"/>
          <w:color w:val="000000"/>
          <w:sz w:val="24"/>
          <w:szCs w:val="24"/>
          <w:highlight w:val="none"/>
        </w:rPr>
        <w:t>.1试验设备与试验人员</w:t>
      </w:r>
    </w:p>
    <w:bookmarkEnd w:id="997"/>
    <w:bookmarkEnd w:id="998"/>
    <w:bookmarkEnd w:id="999"/>
    <w:bookmarkEnd w:id="1000"/>
    <w:bookmarkEnd w:id="1001"/>
    <w:bookmarkEnd w:id="1002"/>
    <w:bookmarkEnd w:id="1003"/>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w:t>
      </w:r>
      <w:bookmarkStart w:id="1004" w:name="_Toc300934984"/>
      <w:bookmarkStart w:id="1005" w:name="_Toc297216194"/>
      <w:bookmarkStart w:id="1006" w:name="_Toc297123535"/>
      <w:bookmarkStart w:id="1007" w:name="_Toc312678023"/>
      <w:bookmarkStart w:id="1008" w:name="_Toc312677497"/>
      <w:bookmarkStart w:id="1009" w:name="_Toc304295561"/>
      <w:bookmarkStart w:id="1010" w:name="_Toc303539141"/>
      <w:bookmarkStart w:id="1011" w:name="_Toc318581174"/>
      <w:r>
        <w:rPr>
          <w:rFonts w:hint="eastAsia" w:ascii="宋体" w:hAnsi="宋体" w:eastAsia="宋体" w:cs="宋体"/>
          <w:sz w:val="24"/>
          <w:szCs w:val="24"/>
          <w:highlight w:val="none"/>
        </w:rPr>
        <w:t>.1.2 试验设备</w:t>
      </w:r>
    </w:p>
    <w:p>
      <w:pPr>
        <w:spacing w:line="360" w:lineRule="auto"/>
        <w:ind w:firstLine="480" w:firstLineChars="200"/>
        <w:jc w:val="left"/>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施工现场需要配置的试验场所：</w:t>
      </w:r>
      <w:bookmarkEnd w:id="1004"/>
      <w:bookmarkEnd w:id="1005"/>
      <w:bookmarkEnd w:id="1006"/>
      <w:bookmarkEnd w:id="1007"/>
      <w:bookmarkEnd w:id="1008"/>
      <w:bookmarkEnd w:id="1009"/>
      <w:bookmarkEnd w:id="1010"/>
      <w:bookmarkStart w:id="1012" w:name="_Toc312677498"/>
      <w:bookmarkStart w:id="1013" w:name="_Toc297216195"/>
      <w:bookmarkStart w:id="1014" w:name="_Toc312678024"/>
      <w:bookmarkStart w:id="1015" w:name="_Toc297123536"/>
      <w:bookmarkStart w:id="1016" w:name="_Toc300934985"/>
      <w:bookmarkStart w:id="1017" w:name="_Toc304295562"/>
      <w:bookmarkStart w:id="1018" w:name="_Toc303539142"/>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spacing w:line="360" w:lineRule="auto"/>
        <w:ind w:firstLine="480" w:firstLineChars="200"/>
        <w:jc w:val="left"/>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施工现场需要配备的试验设备：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360" w:lineRule="auto"/>
        <w:ind w:firstLine="480" w:firstLineChars="200"/>
        <w:jc w:val="left"/>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施工现场需要具备的其他试验条件：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9.4 现场工艺试验 </w:t>
      </w:r>
    </w:p>
    <w:p>
      <w:pPr>
        <w:spacing w:after="120"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现场工艺试验的有关约定：</w:t>
      </w:r>
      <w:r>
        <w:rPr>
          <w:rFonts w:hint="eastAsia" w:ascii="宋体" w:hAnsi="宋体" w:eastAsia="宋体" w:cs="宋体"/>
          <w:sz w:val="24"/>
          <w:szCs w:val="24"/>
          <w:highlight w:val="none"/>
          <w:u w:val="single"/>
          <w:lang w:val="en-US" w:eastAsia="zh-CN"/>
        </w:rPr>
        <w:t>无</w:t>
      </w:r>
      <w:r>
        <w:rPr>
          <w:rFonts w:hint="eastAsia" w:ascii="宋体" w:hAnsi="宋体" w:eastAsia="宋体" w:cs="宋体"/>
          <w:sz w:val="24"/>
          <w:szCs w:val="24"/>
          <w:highlight w:val="none"/>
        </w:rPr>
        <w:t>。</w:t>
      </w:r>
    </w:p>
    <w:bookmarkEnd w:id="1011"/>
    <w:bookmarkEnd w:id="1012"/>
    <w:bookmarkEnd w:id="1013"/>
    <w:bookmarkEnd w:id="1014"/>
    <w:bookmarkEnd w:id="1015"/>
    <w:bookmarkEnd w:id="1016"/>
    <w:bookmarkEnd w:id="1017"/>
    <w:bookmarkEnd w:id="1018"/>
    <w:p>
      <w:pPr>
        <w:spacing w:after="120" w:line="360" w:lineRule="auto"/>
        <w:ind w:firstLine="480" w:firstLineChars="200"/>
        <w:outlineLvl w:val="9"/>
        <w:rPr>
          <w:rFonts w:hint="eastAsia" w:ascii="宋体" w:hAnsi="宋体" w:eastAsia="宋体" w:cs="宋体"/>
          <w:color w:val="000000"/>
          <w:sz w:val="24"/>
          <w:szCs w:val="24"/>
          <w:highlight w:val="none"/>
        </w:rPr>
      </w:pPr>
      <w:bookmarkStart w:id="1019" w:name="_Toc351203642"/>
      <w:r>
        <w:rPr>
          <w:rFonts w:hint="eastAsia" w:ascii="宋体" w:hAnsi="宋体" w:eastAsia="宋体" w:cs="宋体"/>
          <w:color w:val="000000"/>
          <w:sz w:val="24"/>
          <w:szCs w:val="24"/>
          <w:highlight w:val="none"/>
        </w:rPr>
        <w:t>1</w:t>
      </w:r>
      <w:bookmarkEnd w:id="985"/>
      <w:bookmarkEnd w:id="986"/>
      <w:bookmarkEnd w:id="987"/>
      <w:bookmarkEnd w:id="988"/>
      <w:bookmarkEnd w:id="989"/>
      <w:bookmarkEnd w:id="990"/>
      <w:bookmarkEnd w:id="991"/>
      <w:bookmarkEnd w:id="992"/>
      <w:bookmarkEnd w:id="993"/>
      <w:bookmarkEnd w:id="994"/>
      <w:bookmarkEnd w:id="995"/>
      <w:bookmarkEnd w:id="996"/>
      <w:bookmarkStart w:id="1020" w:name="_Toc296503193"/>
      <w:bookmarkStart w:id="1021" w:name="_Toc296944532"/>
      <w:bookmarkStart w:id="1022" w:name="_Toc304295566"/>
      <w:bookmarkStart w:id="1023" w:name="_Toc303539146"/>
      <w:bookmarkStart w:id="1024" w:name="_Toc296346694"/>
      <w:bookmarkStart w:id="1025" w:name="_Toc297216199"/>
      <w:bookmarkStart w:id="1026" w:name="_Toc292559398"/>
      <w:bookmarkStart w:id="1027" w:name="_Toc297120493"/>
      <w:bookmarkStart w:id="1028" w:name="_Toc296891021"/>
      <w:bookmarkStart w:id="1029" w:name="_Toc297123540"/>
      <w:bookmarkStart w:id="1030" w:name="_Toc300934989"/>
      <w:bookmarkStart w:id="1031" w:name="_Toc296891233"/>
      <w:bookmarkStart w:id="1032" w:name="_Toc296347192"/>
      <w:bookmarkStart w:id="1033" w:name="_Toc297048379"/>
      <w:bookmarkStart w:id="1034" w:name="_Toc292559903"/>
      <w:bookmarkStart w:id="1035" w:name="_Toc312678025"/>
      <w:bookmarkStart w:id="1036" w:name="_Toc312677499"/>
      <w:bookmarkStart w:id="1037" w:name="_Toc267251441"/>
      <w:bookmarkStart w:id="1038" w:name="_Toc267251433"/>
      <w:bookmarkStart w:id="1039" w:name="_Toc267251437"/>
      <w:bookmarkStart w:id="1040" w:name="_Toc267251435"/>
      <w:bookmarkStart w:id="1041" w:name="_Toc267251439"/>
      <w:bookmarkStart w:id="1042" w:name="_Toc267251440"/>
      <w:bookmarkStart w:id="1043" w:name="_Toc267251442"/>
      <w:r>
        <w:rPr>
          <w:rFonts w:hint="eastAsia" w:ascii="宋体" w:hAnsi="宋体" w:eastAsia="宋体" w:cs="宋体"/>
          <w:color w:val="000000"/>
          <w:sz w:val="24"/>
          <w:szCs w:val="24"/>
          <w:highlight w:val="none"/>
        </w:rPr>
        <w:t>0. 变更</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bookmarkEnd w:id="1035"/>
    <w:bookmarkEnd w:id="1036"/>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bookmarkStart w:id="1044" w:name="_Toc296346695"/>
      <w:bookmarkStart w:id="1045" w:name="_Toc296944533"/>
      <w:bookmarkStart w:id="1046" w:name="_Toc296891022"/>
      <w:bookmarkStart w:id="1047" w:name="_Toc297123541"/>
      <w:bookmarkStart w:id="1048" w:name="_Toc296347193"/>
      <w:bookmarkStart w:id="1049" w:name="_Toc296503194"/>
      <w:bookmarkStart w:id="1050" w:name="_Toc292559399"/>
      <w:bookmarkStart w:id="1051" w:name="_Toc312678026"/>
      <w:bookmarkStart w:id="1052" w:name="_Toc297120494"/>
      <w:bookmarkStart w:id="1053" w:name="_Toc300934990"/>
      <w:bookmarkStart w:id="1054" w:name="_Toc312677500"/>
      <w:bookmarkStart w:id="1055" w:name="_Toc292559904"/>
      <w:bookmarkStart w:id="1056" w:name="_Toc297048380"/>
      <w:bookmarkStart w:id="1057" w:name="_Toc296891234"/>
      <w:bookmarkStart w:id="1058" w:name="_Toc304295567"/>
      <w:bookmarkStart w:id="1059" w:name="_Toc297216200"/>
      <w:bookmarkStart w:id="1060" w:name="_Toc303539147"/>
      <w:r>
        <w:rPr>
          <w:rFonts w:hint="eastAsia" w:ascii="宋体" w:hAnsi="宋体" w:eastAsia="宋体" w:cs="宋体"/>
          <w:color w:val="000000"/>
          <w:sz w:val="24"/>
          <w:szCs w:val="24"/>
          <w:highlight w:val="none"/>
        </w:rPr>
        <w:t>0.1变更的范围</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关于变更的范围的约定：</w:t>
      </w:r>
      <w:r>
        <w:rPr>
          <w:rFonts w:hint="eastAsia" w:ascii="宋体" w:hAnsi="宋体" w:eastAsia="宋体" w:cs="宋体"/>
          <w:color w:val="000000"/>
          <w:sz w:val="24"/>
          <w:szCs w:val="24"/>
          <w:highlight w:val="none"/>
          <w:u w:val="single"/>
        </w:rPr>
        <w:t>如无发包人提出的现场变更，不再增减合同费用</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变更估价</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10.4.1 变更估价原则</w:t>
      </w:r>
    </w:p>
    <w:p>
      <w:pPr>
        <w:spacing w:line="360" w:lineRule="auto"/>
        <w:ind w:firstLine="480" w:firstLineChars="200"/>
        <w:jc w:val="left"/>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关于变更估价的约定:</w:t>
      </w:r>
      <w:r>
        <w:rPr>
          <w:rFonts w:hint="eastAsia" w:ascii="宋体" w:hAnsi="宋体" w:eastAsia="宋体" w:cs="宋体"/>
          <w:color w:val="000000"/>
          <w:sz w:val="24"/>
          <w:szCs w:val="24"/>
          <w:highlight w:val="none"/>
          <w:u w:val="single"/>
        </w:rPr>
        <w:t xml:space="preserve"> 1、变更合同价款的方法。2、本工程发生变更、由发包人下达变更通知、经发包人认可的由监理工程师发出的变更指令、发包人暂定价材料认质认价单以及不可抗力事件发生的现场签证均按变更对待，发生费用由发包人承担。如承包人更改施工方法，而引起费用增加时，其费用均由承包人负责。3、本工程施工过程中，发生设计变更，依照实际发生的工程量按原合同中发包人及承包人确认的综合单价进行结算。4、本工程施工过程中，发生设计变更时措施费的调整原则：参照专用条款。5、新增变更项目发生时，工程量以实际签证量为准。变更合同价款按下列方法进行：合同中已有适用于变更工程的价格，按相应项目合同已确认的综合单价办理结算；合同中只有类似于变更工程的价格，只调整相应的主材费，主材单价按投标文件主材价格计算；若投标文件中无相同主材单价时，则执行经发包人认质认价程序确认的价格，差价只计取规费和税金，在类似工程价格的基础上组成新的单价，按新的单价办理结算；合同中没有适用或类似于工程变更的价格，由承包人提出适当的变更签证价格，经发包人确认后，按确认的单价办理结算。</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Start w:id="1061" w:name="_Toc296891237"/>
      <w:bookmarkStart w:id="1062" w:name="_Toc296503197"/>
      <w:bookmarkStart w:id="1063" w:name="_Toc300934993"/>
      <w:bookmarkStart w:id="1064" w:name="_Toc292559402"/>
      <w:bookmarkStart w:id="1065" w:name="_Toc296891025"/>
      <w:bookmarkStart w:id="1066" w:name="_Toc296944536"/>
      <w:bookmarkStart w:id="1067" w:name="_Toc303539150"/>
      <w:bookmarkStart w:id="1068" w:name="_Toc297048383"/>
      <w:bookmarkStart w:id="1069" w:name="_Toc297120497"/>
      <w:bookmarkStart w:id="1070" w:name="_Toc292559907"/>
      <w:bookmarkStart w:id="1071" w:name="_Toc297123544"/>
      <w:bookmarkStart w:id="1072" w:name="_Toc296347196"/>
      <w:bookmarkStart w:id="1073" w:name="_Toc297216203"/>
      <w:bookmarkStart w:id="1074" w:name="_Toc296346698"/>
      <w:bookmarkStart w:id="1075" w:name="_Toc312678029"/>
      <w:bookmarkStart w:id="1076" w:name="_Toc312677503"/>
      <w:bookmarkStart w:id="1077" w:name="_Toc304295570"/>
      <w:r>
        <w:rPr>
          <w:rFonts w:hint="eastAsia" w:ascii="宋体" w:hAnsi="宋体" w:eastAsia="宋体" w:cs="宋体"/>
          <w:color w:val="000000"/>
          <w:sz w:val="24"/>
          <w:szCs w:val="24"/>
          <w:highlight w:val="none"/>
        </w:rPr>
        <w:t>0.5承</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Start w:id="1078" w:name="_Toc292559913"/>
      <w:bookmarkStart w:id="1079" w:name="_Toc296347202"/>
      <w:bookmarkStart w:id="1080" w:name="_Toc296891243"/>
      <w:bookmarkStart w:id="1081" w:name="_Toc296503203"/>
      <w:bookmarkStart w:id="1082" w:name="_Toc296891031"/>
      <w:bookmarkStart w:id="1083" w:name="_Toc297123545"/>
      <w:bookmarkStart w:id="1084" w:name="_Toc297048389"/>
      <w:bookmarkStart w:id="1085" w:name="_Toc297216204"/>
      <w:bookmarkStart w:id="1086" w:name="_Toc296944542"/>
      <w:bookmarkStart w:id="1087" w:name="_Toc297120503"/>
      <w:bookmarkStart w:id="1088" w:name="_Toc300934994"/>
      <w:bookmarkStart w:id="1089" w:name="_Toc292559408"/>
      <w:bookmarkStart w:id="1090" w:name="_Toc296346704"/>
      <w:bookmarkStart w:id="1091" w:name="_Toc303539151"/>
      <w:r>
        <w:rPr>
          <w:rFonts w:hint="eastAsia" w:ascii="宋体" w:hAnsi="宋体" w:eastAsia="宋体" w:cs="宋体"/>
          <w:color w:val="000000"/>
          <w:sz w:val="24"/>
          <w:szCs w:val="24"/>
          <w:highlight w:val="none"/>
        </w:rPr>
        <w:t>包人的合理化建议</w:t>
      </w:r>
    </w:p>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监理人审查承包人合理化建议的期限：</w:t>
      </w:r>
      <w:r>
        <w:rPr>
          <w:rFonts w:hint="eastAsia" w:ascii="宋体" w:hAnsi="宋体" w:eastAsia="宋体" w:cs="宋体"/>
          <w:sz w:val="24"/>
          <w:szCs w:val="24"/>
          <w:highlight w:val="none"/>
          <w:u w:val="single"/>
        </w:rPr>
        <w:t xml:space="preserve">  天</w:t>
      </w:r>
      <w:r>
        <w:rPr>
          <w:rFonts w:hint="eastAsia" w:ascii="宋体" w:hAnsi="宋体" w:eastAsia="宋体" w:cs="宋体"/>
          <w:sz w:val="24"/>
          <w:szCs w:val="24"/>
          <w:highlight w:val="none"/>
        </w:rPr>
        <w:t>。</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发包人审批承包人合理化建议的期限：</w:t>
      </w:r>
      <w:r>
        <w:rPr>
          <w:rFonts w:hint="eastAsia" w:ascii="宋体" w:hAnsi="宋体" w:eastAsia="宋体" w:cs="宋体"/>
          <w:sz w:val="24"/>
          <w:szCs w:val="24"/>
          <w:highlight w:val="none"/>
          <w:u w:val="single"/>
        </w:rPr>
        <w:t xml:space="preserve">  天</w:t>
      </w:r>
      <w:r>
        <w:rPr>
          <w:rFonts w:hint="eastAsia" w:ascii="宋体" w:hAnsi="宋体" w:eastAsia="宋体" w:cs="宋体"/>
          <w:sz w:val="24"/>
          <w:szCs w:val="24"/>
          <w:highlight w:val="none"/>
        </w:rPr>
        <w:t>。</w:t>
      </w:r>
    </w:p>
    <w:p>
      <w:pPr>
        <w:spacing w:line="360" w:lineRule="auto"/>
        <w:ind w:firstLine="480" w:firstLineChars="200"/>
        <w:jc w:val="left"/>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承</w:t>
      </w:r>
      <w:bookmarkStart w:id="1092" w:name="_Toc292559914"/>
      <w:bookmarkStart w:id="1093" w:name="_Toc297048390"/>
      <w:bookmarkStart w:id="1094" w:name="_Toc296944543"/>
      <w:bookmarkStart w:id="1095" w:name="_Toc312678030"/>
      <w:bookmarkStart w:id="1096" w:name="_Toc296346705"/>
      <w:bookmarkStart w:id="1097" w:name="_Toc297123546"/>
      <w:bookmarkStart w:id="1098" w:name="_Toc296891032"/>
      <w:bookmarkStart w:id="1099" w:name="_Toc312677504"/>
      <w:bookmarkStart w:id="1100" w:name="_Toc300934995"/>
      <w:bookmarkStart w:id="1101" w:name="_Toc297216205"/>
      <w:bookmarkStart w:id="1102" w:name="_Toc297120504"/>
      <w:bookmarkStart w:id="1103" w:name="_Toc318581175"/>
      <w:bookmarkStart w:id="1104" w:name="_Toc303539152"/>
      <w:bookmarkStart w:id="1105" w:name="_Toc296891244"/>
      <w:bookmarkStart w:id="1106" w:name="_Toc304295571"/>
      <w:bookmarkStart w:id="1107" w:name="_Toc296347203"/>
      <w:bookmarkStart w:id="1108" w:name="_Toc292559409"/>
      <w:bookmarkStart w:id="1109" w:name="_Toc296503204"/>
      <w:r>
        <w:rPr>
          <w:rFonts w:hint="eastAsia" w:ascii="宋体" w:hAnsi="宋体" w:eastAsia="宋体" w:cs="宋体"/>
          <w:sz w:val="24"/>
          <w:szCs w:val="24"/>
          <w:highlight w:val="none"/>
        </w:rPr>
        <w:t>包人提出的合理化建议降低了合同价格或者提高了工程经济效益的奖励的方法和金额为：</w:t>
      </w:r>
      <w:r>
        <w:rPr>
          <w:rFonts w:hint="eastAsia" w:ascii="宋体" w:hAnsi="宋体" w:eastAsia="宋体" w:cs="宋体"/>
          <w:sz w:val="24"/>
          <w:szCs w:val="24"/>
          <w:highlight w:val="none"/>
          <w:u w:val="single"/>
        </w:rPr>
        <w:t>承包人提出的合理化建议经发包人同意采纳后，如导致费用增，发包人对此不予补偿；如合理化建议更改不影响原设计意图或不降低原有功能，节省的费用应从合同价款中扣除承包人相应费用，合理化建议更改造成的影响及损失由承包人承担</w:t>
      </w:r>
      <w:r>
        <w:rPr>
          <w:rFonts w:hint="eastAsia" w:ascii="宋体" w:hAnsi="宋体" w:eastAsia="宋体" w:cs="宋体"/>
          <w:sz w:val="24"/>
          <w:szCs w:val="24"/>
          <w:highlight w:val="none"/>
        </w:rPr>
        <w:t>。</w:t>
      </w:r>
    </w:p>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bookmarkStart w:id="1110" w:name="_Toc297216207"/>
      <w:bookmarkStart w:id="1111" w:name="_Toc297120499"/>
      <w:bookmarkStart w:id="1112" w:name="_Toc296346700"/>
      <w:bookmarkStart w:id="1113" w:name="_Toc312677507"/>
      <w:bookmarkStart w:id="1114" w:name="_Toc296891027"/>
      <w:bookmarkStart w:id="1115" w:name="_Toc297123548"/>
      <w:bookmarkStart w:id="1116" w:name="_Toc292559404"/>
      <w:bookmarkStart w:id="1117" w:name="_Toc296347198"/>
      <w:bookmarkStart w:id="1118" w:name="_Toc303539154"/>
      <w:bookmarkStart w:id="1119" w:name="_Toc296944538"/>
      <w:bookmarkStart w:id="1120" w:name="_Toc292559909"/>
      <w:bookmarkStart w:id="1121" w:name="_Toc297048385"/>
      <w:bookmarkStart w:id="1122" w:name="_Toc300934997"/>
      <w:bookmarkStart w:id="1123" w:name="_Toc312678033"/>
      <w:bookmarkStart w:id="1124" w:name="_Toc304295574"/>
      <w:bookmarkStart w:id="1125" w:name="_Toc296891239"/>
      <w:bookmarkStart w:id="1126" w:name="_Toc296503199"/>
      <w:r>
        <w:rPr>
          <w:rFonts w:hint="eastAsia" w:ascii="宋体" w:hAnsi="宋体" w:eastAsia="宋体" w:cs="宋体"/>
          <w:color w:val="000000"/>
          <w:sz w:val="24"/>
          <w:szCs w:val="24"/>
          <w:highlight w:val="none"/>
        </w:rPr>
        <w:t>0.7 暂估价</w:t>
      </w:r>
    </w:p>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暂</w:t>
      </w:r>
      <w:bookmarkStart w:id="1127" w:name="_Toc318581176"/>
      <w:bookmarkStart w:id="1128" w:name="_Toc312678034"/>
      <w:bookmarkStart w:id="1129" w:name="_Toc312677508"/>
      <w:r>
        <w:rPr>
          <w:rFonts w:hint="eastAsia" w:ascii="宋体" w:hAnsi="宋体" w:eastAsia="宋体" w:cs="宋体"/>
          <w:kern w:val="0"/>
          <w:sz w:val="24"/>
          <w:szCs w:val="24"/>
          <w:highlight w:val="none"/>
        </w:rPr>
        <w:t>估价材料和工程设备的明细详见附件11：《</w:t>
      </w:r>
      <w:r>
        <w:rPr>
          <w:rFonts w:hint="eastAsia" w:ascii="宋体" w:hAnsi="宋体" w:eastAsia="宋体" w:cs="宋体"/>
          <w:color w:val="000000"/>
          <w:sz w:val="24"/>
          <w:szCs w:val="24"/>
          <w:highlight w:val="none"/>
        </w:rPr>
        <w:t>暂估价一览表》</w:t>
      </w:r>
      <w:r>
        <w:rPr>
          <w:rFonts w:hint="eastAsia" w:ascii="宋体" w:hAnsi="宋体" w:eastAsia="宋体" w:cs="宋体"/>
          <w:kern w:val="0"/>
          <w:sz w:val="24"/>
          <w:szCs w:val="24"/>
          <w:highlight w:val="none"/>
        </w:rPr>
        <w:t>。</w:t>
      </w:r>
    </w:p>
    <w:bookmarkEnd w:id="1127"/>
    <w:bookmarkEnd w:id="1128"/>
    <w:bookmarkEnd w:id="1129"/>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Start w:id="1130" w:name="_Toc312678035"/>
      <w:bookmarkStart w:id="1131" w:name="_Toc312677509"/>
      <w:bookmarkStart w:id="1132" w:name="_Toc318581177"/>
      <w:r>
        <w:rPr>
          <w:rFonts w:hint="eastAsia" w:ascii="宋体" w:hAnsi="宋体" w:eastAsia="宋体" w:cs="宋体"/>
          <w:sz w:val="24"/>
          <w:szCs w:val="24"/>
          <w:highlight w:val="none"/>
        </w:rPr>
        <w:t>0.7.1 依法必须招标的暂估价项目</w:t>
      </w:r>
    </w:p>
    <w:bookmarkEnd w:id="1130"/>
    <w:bookmarkEnd w:id="1131"/>
    <w:bookmarkEnd w:id="1132"/>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对于依法必须招标的暂估价项目的确认和批准采取第</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rPr>
        <w:t>种方式确定。</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10.7.2 不属于依法必须招标的暂估价项目</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对于不属于依法必须招标的暂估价项目的确认和批准采取第</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rPr>
        <w:t>种方式确定。</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第3种方式：</w:t>
      </w:r>
      <w:r>
        <w:rPr>
          <w:rFonts w:hint="eastAsia" w:ascii="宋体" w:hAnsi="宋体" w:eastAsia="宋体" w:cs="宋体"/>
          <w:color w:val="000000"/>
          <w:kern w:val="0"/>
          <w:sz w:val="24"/>
          <w:szCs w:val="24"/>
          <w:highlight w:val="none"/>
        </w:rPr>
        <w:t>承包人直接实施的暂估价项目</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承包人直接实施的暂估价项目的约定：</w:t>
      </w:r>
      <w:r>
        <w:rPr>
          <w:rFonts w:hint="eastAsia" w:ascii="宋体" w:hAnsi="宋体" w:eastAsia="宋体" w:cs="宋体"/>
          <w:sz w:val="24"/>
          <w:szCs w:val="24"/>
          <w:highlight w:val="none"/>
          <w:u w:val="single"/>
        </w:rPr>
        <w:t>执行通用条款</w:t>
      </w:r>
      <w:r>
        <w:rPr>
          <w:rFonts w:hint="eastAsia" w:ascii="宋体" w:hAnsi="宋体" w:eastAsia="宋体" w:cs="宋体"/>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10.8 暂列金额</w:t>
      </w:r>
    </w:p>
    <w:p>
      <w:pPr>
        <w:spacing w:after="120" w:line="360" w:lineRule="auto"/>
        <w:ind w:firstLine="480" w:firstLineChars="200"/>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合同当事人关于暂列金额使用的约定：</w:t>
      </w:r>
      <w:r>
        <w:rPr>
          <w:rFonts w:hint="eastAsia" w:ascii="宋体" w:hAnsi="宋体" w:eastAsia="宋体" w:cs="宋体"/>
          <w:color w:val="000000"/>
          <w:kern w:val="0"/>
          <w:sz w:val="24"/>
          <w:szCs w:val="24"/>
          <w:highlight w:val="none"/>
          <w:u w:val="single"/>
        </w:rPr>
        <w:t>暂列金用于支付设计变更和签证费用，以及其他不可预见费用</w:t>
      </w:r>
      <w:r>
        <w:rPr>
          <w:rFonts w:hint="eastAsia" w:ascii="宋体" w:hAnsi="宋体" w:eastAsia="宋体" w:cs="宋体"/>
          <w:color w:val="000000"/>
          <w:kern w:val="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bookmarkStart w:id="1133" w:name="_Toc351203643"/>
      <w:r>
        <w:rPr>
          <w:rFonts w:hint="eastAsia" w:ascii="宋体" w:hAnsi="宋体" w:eastAsia="宋体" w:cs="宋体"/>
          <w:color w:val="000000"/>
          <w:sz w:val="24"/>
          <w:szCs w:val="24"/>
          <w:highlight w:val="none"/>
        </w:rPr>
        <w:t>11. 价格调整</w:t>
      </w:r>
      <w:bookmarkEnd w:id="1133"/>
    </w:p>
    <w:p>
      <w:pPr>
        <w:spacing w:after="120" w:line="360" w:lineRule="auto"/>
        <w:ind w:firstLine="480" w:firstLineChars="200"/>
        <w:outlineLvl w:val="9"/>
        <w:rPr>
          <w:rFonts w:hint="eastAsia" w:ascii="宋体" w:hAnsi="宋体" w:eastAsia="宋体" w:cs="宋体"/>
          <w:color w:val="000000"/>
          <w:sz w:val="24"/>
          <w:szCs w:val="24"/>
          <w:highlight w:val="none"/>
        </w:rPr>
      </w:pPr>
      <w:bookmarkStart w:id="1134" w:name="_Toc297216209"/>
      <w:bookmarkStart w:id="1135" w:name="_Toc303539157"/>
      <w:bookmarkStart w:id="1136" w:name="_Toc297048387"/>
      <w:bookmarkStart w:id="1137" w:name="_Toc296346702"/>
      <w:bookmarkStart w:id="1138" w:name="_Toc312678039"/>
      <w:bookmarkStart w:id="1139" w:name="_Toc296503201"/>
      <w:bookmarkStart w:id="1140" w:name="_Toc292559406"/>
      <w:bookmarkStart w:id="1141" w:name="_Toc296891241"/>
      <w:bookmarkStart w:id="1142" w:name="_Toc300935000"/>
      <w:bookmarkStart w:id="1143" w:name="_Toc296891029"/>
      <w:bookmarkStart w:id="1144" w:name="_Toc297120501"/>
      <w:bookmarkStart w:id="1145" w:name="_Toc297123550"/>
      <w:bookmarkStart w:id="1146" w:name="_Toc304295577"/>
      <w:bookmarkStart w:id="1147" w:name="_Toc292559911"/>
      <w:bookmarkStart w:id="1148" w:name="_Toc296944540"/>
      <w:bookmarkStart w:id="1149" w:name="_Toc296347200"/>
      <w:r>
        <w:rPr>
          <w:rFonts w:hint="eastAsia" w:ascii="宋体" w:hAnsi="宋体" w:eastAsia="宋体" w:cs="宋体"/>
          <w:color w:val="000000"/>
          <w:sz w:val="24"/>
          <w:szCs w:val="24"/>
          <w:highlight w:val="none"/>
        </w:rPr>
        <w:t>11.1 市场价格波动引起的调整</w:t>
      </w:r>
    </w:p>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市场价格波动是否调整合同价格的约定：</w:t>
      </w:r>
      <w:r>
        <w:rPr>
          <w:rFonts w:hint="eastAsia" w:ascii="宋体" w:hAnsi="宋体" w:eastAsia="宋体" w:cs="宋体"/>
          <w:color w:val="000000"/>
          <w:kern w:val="0"/>
          <w:sz w:val="24"/>
          <w:szCs w:val="24"/>
          <w:highlight w:val="none"/>
          <w:u w:val="single"/>
        </w:rPr>
        <w:t>不调整</w:t>
      </w:r>
      <w:r>
        <w:rPr>
          <w:rFonts w:hint="eastAsia" w:ascii="宋体" w:hAnsi="宋体" w:eastAsia="宋体" w:cs="宋体"/>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因市场价格波动调整合同价格，采用以下</w:t>
      </w:r>
      <w:r>
        <w:rPr>
          <w:rFonts w:hint="eastAsia" w:ascii="宋体" w:hAnsi="宋体" w:eastAsia="宋体" w:cs="宋体"/>
          <w:sz w:val="24"/>
          <w:szCs w:val="24"/>
          <w:highlight w:val="none"/>
        </w:rPr>
        <w:t>第</w:t>
      </w:r>
      <w:r>
        <w:rPr>
          <w:rFonts w:hint="eastAsia" w:ascii="宋体" w:hAnsi="宋体" w:eastAsia="宋体" w:cs="宋体"/>
          <w:sz w:val="24"/>
          <w:szCs w:val="24"/>
          <w:highlight w:val="none"/>
          <w:u w:val="single"/>
          <w:lang w:val="en-US" w:eastAsia="zh-CN"/>
        </w:rPr>
        <w:t>3</w:t>
      </w:r>
      <w:r>
        <w:rPr>
          <w:rFonts w:hint="eastAsia" w:ascii="宋体" w:hAnsi="宋体" w:eastAsia="宋体" w:cs="宋体"/>
          <w:color w:val="000000"/>
          <w:sz w:val="24"/>
          <w:szCs w:val="24"/>
          <w:highlight w:val="none"/>
        </w:rPr>
        <w:t>种方式对合同价格进行调整：</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第1种方式：采用价格指数进行价格调整。</w:t>
      </w:r>
    </w:p>
    <w:p>
      <w:pPr>
        <w:spacing w:line="360" w:lineRule="auto"/>
        <w:ind w:firstLine="480" w:firstLineChars="200"/>
        <w:jc w:val="left"/>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关于各可调因子、定值和变值权重，以及基本价格指数及其来源的约定：</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 xml:space="preserve">；  </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第2种方式：采用造价信息进行价格调整。</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（2）关于基准价格的约定：</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%时，或材料单价跌幅以已标价工程量清单或预算书中载明材料单价为基础超过</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%时，其超过部分据实调整。</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%时，材料单价涨幅以已标价工程量清单或预算书中载明材料单价为基础超过</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%时，其超过部分据实调整。</w:t>
      </w:r>
    </w:p>
    <w:p>
      <w:pPr>
        <w:spacing w:line="360" w:lineRule="auto"/>
        <w:ind w:firstLine="645"/>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%时，其超过部分据实调整。</w:t>
      </w:r>
    </w:p>
    <w:p>
      <w:pPr>
        <w:spacing w:line="360" w:lineRule="auto"/>
        <w:ind w:firstLine="645"/>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第3种方式：其他价格调整方式：</w:t>
      </w:r>
      <w:r>
        <w:rPr>
          <w:rFonts w:hint="eastAsia" w:ascii="宋体" w:hAnsi="宋体" w:eastAsia="宋体" w:cs="宋体"/>
          <w:color w:val="000000"/>
          <w:sz w:val="24"/>
          <w:szCs w:val="24"/>
          <w:highlight w:val="none"/>
          <w:u w:val="single"/>
        </w:rPr>
        <w:t>除政策性文件调整，综合单价不做调整。政策性文件调整，按相应文件执行</w:t>
      </w:r>
      <w:r>
        <w:rPr>
          <w:rFonts w:hint="eastAsia" w:ascii="宋体" w:hAnsi="宋体" w:eastAsia="宋体" w:cs="宋体"/>
          <w:color w:val="000000"/>
          <w:sz w:val="24"/>
          <w:szCs w:val="24"/>
          <w:highlight w:val="none"/>
        </w:rPr>
        <w:t>。</w:t>
      </w:r>
    </w:p>
    <w:bookmarkEnd w:id="1037"/>
    <w:bookmarkEnd w:id="1038"/>
    <w:bookmarkEnd w:id="1039"/>
    <w:bookmarkEnd w:id="1040"/>
    <w:bookmarkEnd w:id="1041"/>
    <w:bookmarkEnd w:id="1042"/>
    <w:p>
      <w:pPr>
        <w:spacing w:after="120" w:line="360" w:lineRule="auto"/>
        <w:ind w:firstLine="480" w:firstLineChars="200"/>
        <w:outlineLvl w:val="9"/>
        <w:rPr>
          <w:rFonts w:hint="eastAsia" w:ascii="宋体" w:hAnsi="宋体" w:eastAsia="宋体" w:cs="宋体"/>
          <w:color w:val="000000"/>
          <w:sz w:val="24"/>
          <w:szCs w:val="24"/>
          <w:highlight w:val="none"/>
          <w:lang w:val="en-US" w:eastAsia="zh-CN"/>
        </w:rPr>
      </w:pPr>
      <w:bookmarkStart w:id="1150" w:name="_Toc296891245"/>
      <w:bookmarkStart w:id="1151" w:name="_Toc297048391"/>
      <w:bookmarkStart w:id="1152" w:name="_Toc296891033"/>
      <w:bookmarkStart w:id="1153" w:name="_Toc296503205"/>
      <w:bookmarkStart w:id="1154" w:name="_Toc296346706"/>
      <w:bookmarkStart w:id="1155" w:name="_Toc297120505"/>
      <w:bookmarkStart w:id="1156" w:name="_Toc296944544"/>
      <w:bookmarkStart w:id="1157" w:name="_Toc292559410"/>
      <w:bookmarkStart w:id="1158" w:name="_Toc296347204"/>
      <w:bookmarkStart w:id="1159" w:name="_Toc292559915"/>
      <w:bookmarkStart w:id="1160" w:name="_Toc351203644"/>
      <w:bookmarkStart w:id="1161" w:name="_Toc297123552"/>
      <w:bookmarkStart w:id="1162" w:name="_Toc297216211"/>
      <w:bookmarkStart w:id="1163" w:name="_Toc312678040"/>
      <w:bookmarkStart w:id="1164" w:name="_Toc304295579"/>
      <w:bookmarkStart w:id="1165" w:name="_Toc300935002"/>
      <w:bookmarkStart w:id="1166" w:name="_Toc303539159"/>
      <w:r>
        <w:rPr>
          <w:rFonts w:hint="eastAsia" w:ascii="宋体" w:hAnsi="宋体" w:eastAsia="宋体" w:cs="宋体"/>
          <w:color w:val="000000"/>
          <w:sz w:val="24"/>
          <w:szCs w:val="24"/>
          <w:highlight w:val="none"/>
          <w:lang w:val="en-US" w:eastAsia="zh-CN"/>
        </w:rPr>
        <w:t xml:space="preserve">12. </w:t>
      </w:r>
      <w:bookmarkEnd w:id="1150"/>
      <w:bookmarkEnd w:id="1151"/>
      <w:bookmarkEnd w:id="1152"/>
      <w:bookmarkEnd w:id="1153"/>
      <w:bookmarkEnd w:id="1154"/>
      <w:bookmarkEnd w:id="1155"/>
      <w:bookmarkEnd w:id="1156"/>
      <w:bookmarkEnd w:id="1157"/>
      <w:bookmarkEnd w:id="1158"/>
      <w:bookmarkEnd w:id="1159"/>
      <w:r>
        <w:rPr>
          <w:rFonts w:hint="eastAsia" w:ascii="宋体" w:hAnsi="宋体" w:eastAsia="宋体" w:cs="宋体"/>
          <w:color w:val="000000"/>
          <w:sz w:val="24"/>
          <w:szCs w:val="24"/>
          <w:highlight w:val="none"/>
          <w:lang w:val="en-US" w:eastAsia="zh-CN"/>
        </w:rPr>
        <w:t>合同价格、计量与支付</w:t>
      </w:r>
      <w:bookmarkEnd w:id="1160"/>
    </w:p>
    <w:bookmarkEnd w:id="1161"/>
    <w:bookmarkEnd w:id="1162"/>
    <w:bookmarkEnd w:id="1163"/>
    <w:bookmarkEnd w:id="1164"/>
    <w:bookmarkEnd w:id="1165"/>
    <w:bookmarkEnd w:id="1166"/>
    <w:p>
      <w:pPr>
        <w:spacing w:after="120" w:line="360" w:lineRule="auto"/>
        <w:ind w:firstLine="480" w:firstLineChars="200"/>
        <w:outlineLvl w:val="9"/>
        <w:rPr>
          <w:rFonts w:hint="eastAsia" w:ascii="宋体" w:hAnsi="宋体" w:eastAsia="宋体" w:cs="宋体"/>
          <w:color w:val="000000"/>
          <w:sz w:val="24"/>
          <w:szCs w:val="24"/>
          <w:highlight w:val="none"/>
        </w:rPr>
      </w:pPr>
      <w:bookmarkStart w:id="1167" w:name="_Toc267251461"/>
      <w:bookmarkStart w:id="1168" w:name="_Toc292559916"/>
      <w:bookmarkStart w:id="1169" w:name="_Toc292559411"/>
      <w:bookmarkStart w:id="1170" w:name="_Toc296944545"/>
      <w:bookmarkStart w:id="1171" w:name="_Toc297120506"/>
      <w:bookmarkStart w:id="1172" w:name="_Toc297048392"/>
      <w:bookmarkStart w:id="1173" w:name="_Toc296347205"/>
      <w:bookmarkStart w:id="1174" w:name="_Toc296891034"/>
      <w:bookmarkStart w:id="1175" w:name="_Toc296503206"/>
      <w:bookmarkStart w:id="1176" w:name="_Toc296891246"/>
      <w:bookmarkStart w:id="1177" w:name="_Toc296346707"/>
      <w:bookmarkStart w:id="1178" w:name="_Toc312678041"/>
      <w:bookmarkStart w:id="1179" w:name="_Toc303539160"/>
      <w:bookmarkStart w:id="1180" w:name="_Toc297123553"/>
      <w:bookmarkStart w:id="1181" w:name="_Toc300935003"/>
      <w:bookmarkStart w:id="1182" w:name="_Toc304295580"/>
      <w:bookmarkStart w:id="1183" w:name="_Toc297216212"/>
      <w:r>
        <w:rPr>
          <w:rFonts w:hint="eastAsia" w:ascii="宋体" w:hAnsi="宋体" w:eastAsia="宋体" w:cs="宋体"/>
          <w:color w:val="000000"/>
          <w:sz w:val="24"/>
          <w:szCs w:val="24"/>
          <w:highlight w:val="none"/>
        </w:rPr>
        <w:t>12.1 合</w:t>
      </w:r>
      <w:bookmarkEnd w:id="1167"/>
      <w:bookmarkEnd w:id="1168"/>
      <w:bookmarkEnd w:id="1169"/>
      <w:r>
        <w:rPr>
          <w:rFonts w:hint="eastAsia" w:ascii="宋体" w:hAnsi="宋体" w:eastAsia="宋体" w:cs="宋体"/>
          <w:color w:val="000000"/>
          <w:sz w:val="24"/>
          <w:szCs w:val="24"/>
          <w:highlight w:val="none"/>
        </w:rPr>
        <w:t>同价</w:t>
      </w:r>
      <w:bookmarkEnd w:id="1170"/>
      <w:bookmarkEnd w:id="1171"/>
      <w:bookmarkEnd w:id="1172"/>
      <w:bookmarkEnd w:id="1173"/>
      <w:bookmarkEnd w:id="1174"/>
      <w:bookmarkEnd w:id="1175"/>
      <w:bookmarkEnd w:id="1176"/>
      <w:bookmarkEnd w:id="1177"/>
      <w:r>
        <w:rPr>
          <w:rFonts w:hint="eastAsia" w:ascii="宋体" w:hAnsi="宋体" w:eastAsia="宋体" w:cs="宋体"/>
          <w:color w:val="000000"/>
          <w:sz w:val="24"/>
          <w:szCs w:val="24"/>
          <w:highlight w:val="none"/>
        </w:rPr>
        <w:t>格形式</w:t>
      </w:r>
    </w:p>
    <w:bookmarkEnd w:id="1178"/>
    <w:bookmarkEnd w:id="1179"/>
    <w:bookmarkEnd w:id="1180"/>
    <w:bookmarkEnd w:id="1181"/>
    <w:bookmarkEnd w:id="1182"/>
    <w:bookmarkEnd w:id="1183"/>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1、单价合同。</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综合单价包含的风险范围：</w:t>
      </w:r>
      <w:r>
        <w:rPr>
          <w:rFonts w:hint="eastAsia" w:ascii="宋体" w:hAnsi="宋体" w:eastAsia="宋体" w:cs="宋体"/>
          <w:color w:val="000000"/>
          <w:sz w:val="24"/>
          <w:szCs w:val="24"/>
          <w:highlight w:val="none"/>
          <w:u w:val="single"/>
        </w:rPr>
        <w:t>本协议书中规定承包范围的所有工作内容；合同执行期间自主报价内容的市场价格变化；人工费、材料费（除约定材料）、机械费的社会价格浮动，除法定不可抗力因素以外的所有风险、责任和义务均视为综合单价的风险；招标工程量清单包含的但由于承包人漏报、未报的项目，招标人视为投标人优惠，招标人不予调整；本合同人工费价格、税金等执行国家政策性文件调整，此风险不包含在综合单价风险中。实际完成工程量与工程量清单表明的工程量变化幅度不得超过10%</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风险费用的计算方法：</w:t>
      </w:r>
      <w:r>
        <w:rPr>
          <w:rFonts w:hint="eastAsia" w:ascii="宋体" w:hAnsi="宋体" w:eastAsia="宋体" w:cs="宋体"/>
          <w:color w:val="000000"/>
          <w:sz w:val="24"/>
          <w:szCs w:val="24"/>
          <w:highlight w:val="none"/>
          <w:u w:val="single"/>
        </w:rPr>
        <w:t>应由承包人承担的风险费用已由承包人根据自身经验做了充分估计并已计入合同协议确定的合同价款中</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风险范围以外合同价格的调整方法：</w:t>
      </w:r>
      <w:r>
        <w:rPr>
          <w:rFonts w:hint="eastAsia" w:ascii="宋体" w:hAnsi="宋体" w:eastAsia="宋体" w:cs="宋体"/>
          <w:color w:val="000000"/>
          <w:sz w:val="24"/>
          <w:szCs w:val="24"/>
          <w:highlight w:val="none"/>
          <w:u w:val="single"/>
        </w:rPr>
        <w:t>（1）合同已有适用的综合单价，按合同已有的综合单价结算；（2）合同中只有类似的综合单价，参照类似综合单价进行结算；（3）合同中没有适用或类似的综合单价时，按招标同期控制价的编制原则编制其综合单价，按中标价与控制价的优惠比率下浮后作为结算价；（4）合同中有相同清单项但报价不同时，价款调增以最低综合单价或价格计算；（5）经发包方认质认价的材料，在工程结算时计算材料差价，差价部分计取安全文明施工费、规费和税金，原中标综合单价不变。</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2、总价合同。</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总价包含的风险范围：</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风险费用的计算方法：</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风险范围以外合同价格的调整方法：</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3、其他价格方式：</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bookmarkStart w:id="1184" w:name="_Toc303539161"/>
      <w:bookmarkStart w:id="1185" w:name="_Toc297123554"/>
      <w:bookmarkStart w:id="1186" w:name="_Toc297216213"/>
      <w:bookmarkStart w:id="1187" w:name="_Toc300935004"/>
      <w:bookmarkStart w:id="1188" w:name="_Toc304295581"/>
      <w:bookmarkStart w:id="1189" w:name="_Toc312678042"/>
      <w:bookmarkStart w:id="1190" w:name="_Toc296944546"/>
      <w:bookmarkStart w:id="1191" w:name="_Toc296891247"/>
      <w:bookmarkStart w:id="1192" w:name="_Toc296891035"/>
      <w:bookmarkStart w:id="1193" w:name="_Toc296346708"/>
      <w:bookmarkStart w:id="1194" w:name="_Toc292559412"/>
      <w:bookmarkStart w:id="1195" w:name="_Toc297120507"/>
      <w:bookmarkStart w:id="1196" w:name="_Toc296503207"/>
      <w:bookmarkStart w:id="1197" w:name="_Toc292559917"/>
      <w:bookmarkStart w:id="1198" w:name="_Toc296347206"/>
      <w:bookmarkStart w:id="1199" w:name="_Toc297048393"/>
      <w:r>
        <w:rPr>
          <w:rFonts w:hint="eastAsia" w:ascii="宋体" w:hAnsi="宋体" w:eastAsia="宋体" w:cs="宋体"/>
          <w:color w:val="000000"/>
          <w:sz w:val="24"/>
          <w:szCs w:val="24"/>
          <w:highlight w:val="none"/>
        </w:rPr>
        <w:t>12.2 预付款</w:t>
      </w:r>
      <w:bookmarkEnd w:id="1184"/>
      <w:bookmarkEnd w:id="1185"/>
      <w:bookmarkEnd w:id="1186"/>
      <w:bookmarkEnd w:id="1187"/>
      <w:bookmarkEnd w:id="1188"/>
      <w:bookmarkEnd w:id="1189"/>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12.2.1 预付款的支付</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预付款支付比例或金额：</w:t>
      </w:r>
      <w:r>
        <w:rPr>
          <w:rFonts w:hint="eastAsia" w:ascii="宋体" w:hAnsi="宋体" w:eastAsia="宋体" w:cs="宋体"/>
          <w:color w:val="000000"/>
          <w:sz w:val="24"/>
          <w:szCs w:val="24"/>
          <w:highlight w:val="none"/>
          <w:u w:val="single"/>
        </w:rPr>
        <w:t>签约合同价的</w:t>
      </w:r>
      <w:r>
        <w:rPr>
          <w:rFonts w:hint="eastAsia" w:ascii="宋体" w:hAnsi="宋体" w:cs="宋体"/>
          <w:color w:val="000000"/>
          <w:sz w:val="24"/>
          <w:szCs w:val="24"/>
          <w:highlight w:val="none"/>
          <w:u w:val="single"/>
          <w:lang w:val="en-US" w:eastAsia="zh-CN"/>
        </w:rPr>
        <w:t>40</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预付款支付期限：</w:t>
      </w:r>
    </w:p>
    <w:p>
      <w:pPr>
        <w:spacing w:line="360" w:lineRule="auto"/>
        <w:ind w:firstLine="480" w:firstLineChars="200"/>
        <w:jc w:val="left"/>
        <w:outlineLvl w:val="9"/>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u w:val="single"/>
          <w:lang w:val="en-US" w:eastAsia="zh-CN"/>
        </w:rPr>
        <w:t>详见12.4.1。</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预付款扣回的方式：</w:t>
      </w:r>
      <w:r>
        <w:rPr>
          <w:rFonts w:hint="eastAsia" w:ascii="宋体" w:hAnsi="宋体" w:cs="宋体"/>
          <w:color w:val="000000"/>
          <w:sz w:val="24"/>
          <w:szCs w:val="24"/>
          <w:highlight w:val="none"/>
          <w:u w:val="single"/>
          <w:lang w:val="en-US" w:eastAsia="zh-CN"/>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12.2.2 预付款担保</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承包人提交预付款担保的期限：</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预付款担保的形式为：</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bookmarkEnd w:id="1190"/>
    <w:bookmarkEnd w:id="1191"/>
    <w:bookmarkEnd w:id="1192"/>
    <w:bookmarkEnd w:id="1193"/>
    <w:bookmarkEnd w:id="1194"/>
    <w:bookmarkEnd w:id="1195"/>
    <w:bookmarkEnd w:id="1196"/>
    <w:bookmarkEnd w:id="1197"/>
    <w:bookmarkEnd w:id="1198"/>
    <w:bookmarkEnd w:id="1199"/>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计量</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12.3.1 计量原则</w:t>
      </w:r>
    </w:p>
    <w:p>
      <w:pPr>
        <w:spacing w:line="360" w:lineRule="auto"/>
        <w:ind w:firstLine="480" w:firstLineChars="200"/>
        <w:jc w:val="left"/>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工程量计算规则：</w:t>
      </w:r>
      <w:r>
        <w:rPr>
          <w:rFonts w:hint="eastAsia" w:ascii="宋体" w:hAnsi="宋体" w:eastAsia="宋体" w:cs="宋体"/>
          <w:color w:val="000000"/>
          <w:sz w:val="24"/>
          <w:szCs w:val="24"/>
          <w:highlight w:val="none"/>
          <w:u w:val="single"/>
        </w:rPr>
        <w:t>承包人向工程师提交已完工程量报告的时间：</w:t>
      </w:r>
    </w:p>
    <w:p>
      <w:pPr>
        <w:spacing w:line="360" w:lineRule="auto"/>
        <w:ind w:firstLine="480" w:firstLineChars="200"/>
        <w:jc w:val="left"/>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定期提供实际完成合格工程的工程计量申请报表，工程计量申请报表仅作为支付工程进度款的依据。不作为工程竣工结算依据。</w:t>
      </w:r>
    </w:p>
    <w:p>
      <w:pPr>
        <w:spacing w:line="360" w:lineRule="auto"/>
        <w:ind w:firstLine="480" w:firstLineChars="200"/>
        <w:jc w:val="left"/>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所有的现场签证及设计变更原始数据都须由发包人和监理单位驻工地代表签字确认方为有效，方可作为结算依据。</w:t>
      </w:r>
    </w:p>
    <w:p>
      <w:pPr>
        <w:spacing w:line="360" w:lineRule="auto"/>
        <w:ind w:firstLine="480" w:firstLineChars="200"/>
        <w:jc w:val="left"/>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因承包人自身原因超出设计图纸要求或工程量清单而增加的工程量和因自身原因造成返工的工程量，承包人自行承担。</w:t>
      </w:r>
    </w:p>
    <w:p>
      <w:pPr>
        <w:spacing w:line="360" w:lineRule="auto"/>
        <w:ind w:firstLine="480" w:firstLineChars="200"/>
        <w:jc w:val="left"/>
        <w:outlineLvl w:val="9"/>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u w:val="single"/>
        </w:rPr>
        <w:t>施工期内凡违背合同及其补充条款的工程量及签证，结算时一律不予确认。</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12.3.2 计量周期</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关于计量周期的约定：</w:t>
      </w:r>
      <w:r>
        <w:rPr>
          <w:rFonts w:hint="eastAsia" w:ascii="宋体" w:hAnsi="宋体" w:eastAsia="宋体" w:cs="宋体"/>
          <w:color w:val="000000"/>
          <w:sz w:val="24"/>
          <w:szCs w:val="24"/>
          <w:highlight w:val="none"/>
          <w:u w:val="single"/>
        </w:rPr>
        <w:t>工程量的计量按月进行</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12.3.3 单价合同的计量</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关于单价合同计量的约定：</w:t>
      </w:r>
      <w:r>
        <w:rPr>
          <w:rFonts w:hint="eastAsia" w:ascii="宋体" w:hAnsi="宋体" w:eastAsia="宋体" w:cs="宋体"/>
          <w:color w:val="000000"/>
          <w:sz w:val="24"/>
          <w:szCs w:val="24"/>
          <w:highlight w:val="none"/>
          <w:u w:val="single"/>
        </w:rPr>
        <w:t>执行通用条款</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12.3.4 总价合同的计量</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关于总价合同计量的约定：</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12.3.5总价合同采用支付分解表计量支付的，是否适用第</w:t>
      </w:r>
      <w:r>
        <w:rPr>
          <w:rFonts w:hint="eastAsia" w:ascii="宋体" w:hAnsi="宋体" w:eastAsia="宋体" w:cs="宋体"/>
          <w:color w:val="000000"/>
          <w:kern w:val="0"/>
          <w:sz w:val="24"/>
          <w:szCs w:val="24"/>
          <w:highlight w:val="none"/>
        </w:rPr>
        <w:t xml:space="preserve">12.3.4 </w:t>
      </w:r>
      <w:r>
        <w:rPr>
          <w:rFonts w:hint="eastAsia" w:ascii="宋体" w:hAnsi="宋体" w:eastAsia="宋体" w:cs="宋体"/>
          <w:color w:val="000000"/>
          <w:sz w:val="24"/>
          <w:szCs w:val="24"/>
          <w:highlight w:val="none"/>
        </w:rPr>
        <w:t>项</w:t>
      </w:r>
      <w:r>
        <w:rPr>
          <w:rFonts w:hint="eastAsia" w:ascii="宋体" w:hAnsi="宋体" w:eastAsia="宋体" w:cs="宋体"/>
          <w:color w:val="000000"/>
          <w:kern w:val="0"/>
          <w:sz w:val="24"/>
          <w:szCs w:val="24"/>
          <w:highlight w:val="none"/>
        </w:rPr>
        <w:t>〔总价合同的计量〕</w:t>
      </w:r>
      <w:r>
        <w:rPr>
          <w:rFonts w:hint="eastAsia" w:ascii="宋体" w:hAnsi="宋体" w:eastAsia="宋体" w:cs="宋体"/>
          <w:color w:val="000000"/>
          <w:sz w:val="24"/>
          <w:szCs w:val="24"/>
          <w:highlight w:val="none"/>
        </w:rPr>
        <w:t>约定进行计量：</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12.3.6 其他价格形式合同的计量</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其他价格形式的计量方式和程序：</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 工程进度款支付</w:t>
      </w:r>
    </w:p>
    <w:p>
      <w:pPr>
        <w:spacing w:line="360" w:lineRule="auto"/>
        <w:ind w:firstLine="480" w:firstLineChars="200"/>
        <w:jc w:val="left"/>
        <w:outlineLvl w:val="9"/>
        <w:rPr>
          <w:rFonts w:hint="eastAsia" w:ascii="宋体" w:hAnsi="宋体" w:eastAsia="宋体" w:cs="宋体"/>
          <w:color w:val="000000"/>
          <w:sz w:val="24"/>
          <w:szCs w:val="24"/>
          <w:highlight w:val="none"/>
        </w:rPr>
      </w:pPr>
      <w:bookmarkStart w:id="1200" w:name="_Toc300935006"/>
      <w:bookmarkStart w:id="1201" w:name="_Toc297048397"/>
      <w:bookmarkStart w:id="1202" w:name="_Toc296944550"/>
      <w:bookmarkStart w:id="1203" w:name="_Toc292559921"/>
      <w:bookmarkStart w:id="1204" w:name="_Toc292559416"/>
      <w:bookmarkStart w:id="1205" w:name="_Toc296347210"/>
      <w:bookmarkStart w:id="1206" w:name="_Toc297123556"/>
      <w:bookmarkStart w:id="1207" w:name="_Toc296891251"/>
      <w:bookmarkStart w:id="1208" w:name="_Toc296346712"/>
      <w:bookmarkStart w:id="1209" w:name="_Toc296891039"/>
      <w:bookmarkStart w:id="1210" w:name="_Toc297120511"/>
      <w:bookmarkStart w:id="1211" w:name="_Toc296503211"/>
      <w:bookmarkStart w:id="1212" w:name="_Toc297216215"/>
      <w:bookmarkStart w:id="1213" w:name="_Toc303539163"/>
      <w:r>
        <w:rPr>
          <w:rFonts w:hint="eastAsia" w:ascii="宋体" w:hAnsi="宋体" w:eastAsia="宋体" w:cs="宋体"/>
          <w:color w:val="000000"/>
          <w:sz w:val="24"/>
          <w:szCs w:val="24"/>
          <w:highlight w:val="none"/>
        </w:rPr>
        <w:t>12.4.1 付款周期</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关于付款周期的约定：</w:t>
      </w:r>
    </w:p>
    <w:p>
      <w:pPr>
        <w:spacing w:line="360" w:lineRule="auto"/>
        <w:ind w:firstLine="480" w:firstLineChars="200"/>
        <w:jc w:val="left"/>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（1）本工程款</w:t>
      </w:r>
      <w:r>
        <w:rPr>
          <w:rFonts w:hint="eastAsia" w:ascii="宋体" w:hAnsi="宋体" w:eastAsia="宋体" w:cs="宋体"/>
          <w:color w:val="auto"/>
          <w:sz w:val="24"/>
          <w:szCs w:val="24"/>
          <w:highlight w:val="none"/>
          <w:u w:val="single"/>
          <w:lang w:val="en-US" w:eastAsia="zh-CN"/>
        </w:rPr>
        <w:t>按</w:t>
      </w:r>
      <w:r>
        <w:rPr>
          <w:rFonts w:hint="eastAsia" w:ascii="宋体" w:hAnsi="宋体" w:cs="宋体"/>
          <w:color w:val="auto"/>
          <w:sz w:val="24"/>
          <w:szCs w:val="24"/>
          <w:highlight w:val="none"/>
          <w:u w:val="single"/>
          <w:lang w:val="en-US" w:eastAsia="zh-CN"/>
        </w:rPr>
        <w:t>施工进度</w:t>
      </w:r>
      <w:r>
        <w:rPr>
          <w:rFonts w:hint="eastAsia" w:ascii="宋体" w:hAnsi="宋体" w:eastAsia="宋体" w:cs="宋体"/>
          <w:color w:val="auto"/>
          <w:sz w:val="24"/>
          <w:szCs w:val="24"/>
          <w:highlight w:val="none"/>
          <w:u w:val="single"/>
        </w:rPr>
        <w:t>支付，</w:t>
      </w:r>
      <w:r>
        <w:rPr>
          <w:rFonts w:hint="eastAsia" w:ascii="宋体" w:hAnsi="宋体" w:cs="宋体"/>
          <w:color w:val="auto"/>
          <w:sz w:val="24"/>
          <w:szCs w:val="24"/>
          <w:highlight w:val="none"/>
          <w:u w:val="single"/>
          <w:lang w:val="en-US" w:eastAsia="zh-CN"/>
        </w:rPr>
        <w:t>合同签署后发包人向承包人支付合同总价款的</w:t>
      </w:r>
      <w:r>
        <w:rPr>
          <w:rFonts w:hint="eastAsia" w:ascii="宋体" w:hAnsi="宋体" w:eastAsia="宋体" w:cs="宋体"/>
          <w:color w:val="auto"/>
          <w:sz w:val="24"/>
          <w:szCs w:val="24"/>
          <w:highlight w:val="none"/>
          <w:u w:val="single"/>
        </w:rPr>
        <w:t>40</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进度</w:t>
      </w:r>
      <w:r>
        <w:rPr>
          <w:rFonts w:hint="eastAsia" w:ascii="宋体" w:hAnsi="宋体" w:cs="宋体"/>
          <w:color w:val="auto"/>
          <w:sz w:val="24"/>
          <w:szCs w:val="24"/>
          <w:highlight w:val="none"/>
          <w:u w:val="single"/>
          <w:lang w:val="en-US" w:eastAsia="zh-CN"/>
        </w:rPr>
        <w:t>达</w:t>
      </w:r>
      <w:r>
        <w:rPr>
          <w:rFonts w:hint="eastAsia" w:ascii="宋体" w:hAnsi="宋体" w:eastAsia="宋体" w:cs="宋体"/>
          <w:color w:val="auto"/>
          <w:sz w:val="24"/>
          <w:szCs w:val="24"/>
          <w:highlight w:val="none"/>
          <w:u w:val="single"/>
        </w:rPr>
        <w:t>到80</w:t>
      </w:r>
      <w:r>
        <w:rPr>
          <w:rFonts w:hint="eastAsia" w:ascii="宋体" w:hAnsi="宋体" w:cs="宋体"/>
          <w:color w:val="auto"/>
          <w:sz w:val="24"/>
          <w:szCs w:val="24"/>
          <w:highlight w:val="none"/>
          <w:u w:val="single"/>
          <w:lang w:val="en-US" w:eastAsia="zh-CN"/>
        </w:rPr>
        <w:t>%时发包人向承包人支付至合同总价款的80%</w:t>
      </w:r>
      <w:r>
        <w:rPr>
          <w:rFonts w:hint="eastAsia" w:ascii="宋体" w:hAnsi="宋体" w:eastAsia="宋体" w:cs="宋体"/>
          <w:color w:val="auto"/>
          <w:sz w:val="24"/>
          <w:szCs w:val="24"/>
          <w:highlight w:val="none"/>
          <w:u w:val="single"/>
          <w:lang w:eastAsia="zh-CN"/>
        </w:rPr>
        <w:t>。</w:t>
      </w:r>
    </w:p>
    <w:p>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待工程竣工验收合格后，</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rPr>
        <w:t>向承包人返还履约保证金；结算审核生效、办理完财务决算后三个月内，发包人</w:t>
      </w:r>
      <w:r>
        <w:rPr>
          <w:rFonts w:hint="eastAsia" w:ascii="宋体" w:hAnsi="宋体" w:cs="宋体"/>
          <w:color w:val="auto"/>
          <w:sz w:val="24"/>
          <w:szCs w:val="24"/>
          <w:highlight w:val="none"/>
          <w:u w:val="single"/>
          <w:lang w:val="en-US" w:eastAsia="zh-CN"/>
        </w:rPr>
        <w:t>按照</w:t>
      </w:r>
      <w:r>
        <w:rPr>
          <w:rFonts w:hint="eastAsia" w:ascii="宋体" w:hAnsi="宋体" w:eastAsia="宋体" w:cs="宋体"/>
          <w:color w:val="auto"/>
          <w:sz w:val="24"/>
          <w:szCs w:val="24"/>
          <w:highlight w:val="none"/>
          <w:u w:val="single"/>
        </w:rPr>
        <w:t>审定工程总造价</w:t>
      </w:r>
      <w:r>
        <w:rPr>
          <w:rFonts w:hint="eastAsia" w:ascii="宋体" w:hAnsi="宋体" w:cs="宋体"/>
          <w:color w:val="auto"/>
          <w:sz w:val="24"/>
          <w:szCs w:val="24"/>
          <w:highlight w:val="none"/>
          <w:u w:val="single"/>
          <w:lang w:val="en-US" w:eastAsia="zh-CN"/>
        </w:rPr>
        <w:t>金额付清剩余合同款</w:t>
      </w:r>
      <w:r>
        <w:rPr>
          <w:rFonts w:hint="eastAsia" w:ascii="宋体" w:hAnsi="宋体" w:eastAsia="宋体" w:cs="宋体"/>
          <w:color w:val="auto"/>
          <w:sz w:val="24"/>
          <w:szCs w:val="24"/>
          <w:highlight w:val="none"/>
          <w:u w:val="single"/>
        </w:rPr>
        <w:t>。</w:t>
      </w:r>
    </w:p>
    <w:p>
      <w:pPr>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）相关进度款的支付应经监理工程师和发包人派驻的工程师审定后于次月15日前支付。</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为规范项目农民工工资支付行为，预防和解决企业拖欠、克扣农民工工资问题，中标人在收到中标通知书后、签订中标合同前（按照《陕西省农民工工资支付保障规定（试行）》2012年10月1日起施行），应向发包人提交承包人杜绝转包、违法分包和拖欠民工工资行为承诺，</w:t>
      </w:r>
      <w:r>
        <w:rPr>
          <w:rFonts w:hint="eastAsia" w:ascii="宋体" w:hAnsi="宋体" w:eastAsia="宋体" w:cs="宋体"/>
          <w:b/>
          <w:color w:val="auto"/>
          <w:sz w:val="24"/>
          <w:szCs w:val="24"/>
          <w:highlight w:val="none"/>
          <w:u w:val="single"/>
        </w:rPr>
        <w:t>在项目当期应付款项中扣除合同金额的5%，</w:t>
      </w:r>
      <w:r>
        <w:rPr>
          <w:rFonts w:hint="eastAsia" w:ascii="宋体" w:hAnsi="宋体" w:eastAsia="宋体" w:cs="宋体"/>
          <w:color w:val="auto"/>
          <w:sz w:val="24"/>
          <w:szCs w:val="24"/>
          <w:highlight w:val="none"/>
          <w:u w:val="single"/>
        </w:rPr>
        <w:t>作为承包人按期支付农民工工资的保证金，当发生拖欠、克扣农民工工资等现象时，发包人将有权动用上述保证金用于支付农民工工资。如因承包人原因引起的任何劳务纠纷或诉讼，由承包人承担相应的法律和经济责任。该部分农民工工资保证金由发包人向当地社保部门缴纳，待工程竣工，由社保部门核实无拖欠农民工工资等现象存在，退还该部分保证金后，经承包人申请，由监理单位会同发包人根据工程实际予以返还。</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12.4.2 进度付款申请单的编制</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关于进度付款申请单编制的约定：</w:t>
      </w:r>
      <w:r>
        <w:rPr>
          <w:rFonts w:hint="eastAsia" w:ascii="宋体" w:hAnsi="宋体" w:eastAsia="宋体" w:cs="宋体"/>
          <w:color w:val="000000"/>
          <w:sz w:val="24"/>
          <w:szCs w:val="24"/>
          <w:highlight w:val="none"/>
          <w:u w:val="single"/>
        </w:rPr>
        <w:t xml:space="preserve"> 执行通用条款</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r>
        <w:rPr>
          <w:rFonts w:hint="eastAsia" w:ascii="宋体" w:hAnsi="宋体" w:eastAsia="宋体" w:cs="宋体"/>
          <w:color w:val="000000"/>
          <w:sz w:val="24"/>
          <w:szCs w:val="24"/>
          <w:highlight w:val="none"/>
        </w:rPr>
        <w:t>2.4.3 进度付款申请单的提交</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（1）单价合同进度付款申请单提交的约定：</w:t>
      </w:r>
      <w:r>
        <w:rPr>
          <w:rFonts w:hint="eastAsia" w:ascii="宋体" w:hAnsi="宋体" w:eastAsia="宋体" w:cs="宋体"/>
          <w:color w:val="000000"/>
          <w:sz w:val="24"/>
          <w:szCs w:val="24"/>
          <w:highlight w:val="none"/>
          <w:u w:val="single"/>
        </w:rPr>
        <w:t>执行通用条款</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（2）总价合同进度付款申请单提交的约定：</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spacing w:line="360" w:lineRule="auto"/>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（3）其他价格形式合同进度付款申请单提交的约定：</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12.4.4 进度款审核和支付</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（1）监理人审查并报送发包人的期限：</w:t>
      </w:r>
      <w:r>
        <w:rPr>
          <w:rFonts w:hint="eastAsia" w:ascii="宋体" w:hAnsi="宋体" w:cs="仿宋_GB2312"/>
          <w:szCs w:val="21"/>
          <w:highlight w:val="none"/>
          <w:u w:val="single"/>
        </w:rPr>
        <w:t>3天</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发包人完成审批并签发进度款支付证书的期限：</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（2）发包人支付进度款的期限：</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发包人逾期支付进度款的违约金的计算方式：</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spacing w:line="360" w:lineRule="auto"/>
        <w:ind w:firstLine="600" w:firstLineChars="25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12.4.6 支付分解表的编制</w:t>
      </w:r>
    </w:p>
    <w:p>
      <w:pPr>
        <w:spacing w:line="360" w:lineRule="auto"/>
        <w:ind w:firstLine="600" w:firstLineChars="25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2、总价合同支付分解表的编制与审批：</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spacing w:line="360" w:lineRule="auto"/>
        <w:ind w:firstLine="600" w:firstLineChars="25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3、单价合同的总价项目支付分解表的编制与审批：</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bookmarkEnd w:id="1043"/>
    <w:p>
      <w:pPr>
        <w:spacing w:after="120" w:line="360" w:lineRule="auto"/>
        <w:ind w:firstLine="480" w:firstLineChars="200"/>
        <w:outlineLvl w:val="9"/>
        <w:rPr>
          <w:rFonts w:hint="eastAsia" w:ascii="宋体" w:hAnsi="宋体" w:eastAsia="宋体" w:cs="宋体"/>
          <w:color w:val="000000"/>
          <w:sz w:val="24"/>
          <w:szCs w:val="24"/>
          <w:highlight w:val="none"/>
          <w:lang w:val="en-US" w:eastAsia="zh-CN"/>
        </w:rPr>
      </w:pPr>
      <w:bookmarkStart w:id="1214" w:name="_Toc351203645"/>
      <w:bookmarkStart w:id="1215" w:name="_Toc303539172"/>
      <w:bookmarkStart w:id="1216" w:name="_Toc296891047"/>
      <w:bookmarkStart w:id="1217" w:name="_Toc292559929"/>
      <w:bookmarkStart w:id="1218" w:name="_Toc292559424"/>
      <w:bookmarkStart w:id="1219" w:name="_Toc312678053"/>
      <w:bookmarkStart w:id="1220" w:name="_Toc296346720"/>
      <w:bookmarkStart w:id="1221" w:name="_Toc297123564"/>
      <w:bookmarkStart w:id="1222" w:name="_Toc297048405"/>
      <w:bookmarkStart w:id="1223" w:name="_Toc296347218"/>
      <w:bookmarkStart w:id="1224" w:name="_Toc296503219"/>
      <w:bookmarkStart w:id="1225" w:name="_Toc296891259"/>
      <w:bookmarkStart w:id="1226" w:name="_Toc300935015"/>
      <w:bookmarkStart w:id="1227" w:name="_Toc304295593"/>
      <w:bookmarkStart w:id="1228" w:name="_Toc297216223"/>
      <w:bookmarkStart w:id="1229" w:name="_Toc297120519"/>
      <w:bookmarkStart w:id="1230" w:name="_Toc296944558"/>
      <w:r>
        <w:rPr>
          <w:rFonts w:hint="eastAsia" w:ascii="宋体" w:hAnsi="宋体" w:eastAsia="宋体" w:cs="宋体"/>
          <w:color w:val="000000"/>
          <w:sz w:val="24"/>
          <w:szCs w:val="24"/>
          <w:highlight w:val="none"/>
          <w:lang w:val="en-US" w:eastAsia="zh-CN"/>
        </w:rPr>
        <w:t>13. 验收和工程试车</w:t>
      </w:r>
      <w:bookmarkEnd w:id="1214"/>
    </w:p>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 分部分项工程验收</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13.1.2监理人不能按时进行验收时，应提前</w:t>
      </w:r>
      <w:r>
        <w:rPr>
          <w:rFonts w:hint="eastAsia" w:ascii="宋体" w:hAnsi="宋体" w:eastAsia="宋体" w:cs="宋体"/>
          <w:sz w:val="24"/>
          <w:szCs w:val="24"/>
          <w:highlight w:val="none"/>
          <w:u w:val="single"/>
          <w:lang w:val="en-US" w:eastAsia="zh-CN"/>
        </w:rPr>
        <w:t>24</w:t>
      </w:r>
      <w:r>
        <w:rPr>
          <w:rFonts w:hint="eastAsia" w:ascii="宋体" w:hAnsi="宋体" w:eastAsia="宋体" w:cs="宋体"/>
          <w:sz w:val="24"/>
          <w:szCs w:val="24"/>
          <w:highlight w:val="none"/>
        </w:rPr>
        <w:t>小时提交书面延期要求。</w:t>
      </w:r>
    </w:p>
    <w:p>
      <w:pPr>
        <w:spacing w:line="360" w:lineRule="auto"/>
        <w:ind w:firstLine="480" w:firstLineChars="200"/>
        <w:jc w:val="left"/>
        <w:outlineLvl w:val="9"/>
        <w:rPr>
          <w:rFonts w:hint="eastAsia" w:ascii="宋体" w:hAnsi="宋体" w:eastAsia="宋体" w:cs="宋体"/>
          <w:b/>
          <w:color w:val="000000"/>
          <w:sz w:val="24"/>
          <w:szCs w:val="24"/>
          <w:highlight w:val="none"/>
        </w:rPr>
      </w:pPr>
      <w:r>
        <w:rPr>
          <w:rFonts w:hint="eastAsia" w:ascii="宋体" w:hAnsi="宋体" w:eastAsia="宋体" w:cs="宋体"/>
          <w:sz w:val="24"/>
          <w:szCs w:val="24"/>
          <w:highlight w:val="none"/>
        </w:rPr>
        <w:t>关于延期最长不得超过：</w:t>
      </w:r>
      <w:r>
        <w:rPr>
          <w:rFonts w:hint="eastAsia" w:ascii="宋体" w:hAnsi="宋体" w:eastAsia="宋体" w:cs="宋体"/>
          <w:sz w:val="24"/>
          <w:szCs w:val="24"/>
          <w:highlight w:val="none"/>
          <w:u w:val="single"/>
          <w:lang w:val="en-US" w:eastAsia="zh-CN"/>
        </w:rPr>
        <w:t>48</w:t>
      </w:r>
      <w:r>
        <w:rPr>
          <w:rFonts w:hint="eastAsia" w:ascii="宋体" w:hAnsi="宋体" w:eastAsia="宋体" w:cs="宋体"/>
          <w:sz w:val="24"/>
          <w:szCs w:val="24"/>
          <w:highlight w:val="none"/>
        </w:rPr>
        <w:t>小时。</w:t>
      </w:r>
    </w:p>
    <w:p>
      <w:pPr>
        <w:spacing w:after="120" w:line="360" w:lineRule="auto"/>
        <w:ind w:firstLine="480" w:firstLineChars="200"/>
        <w:outlineLvl w:val="9"/>
        <w:rPr>
          <w:rFonts w:hint="eastAsia" w:ascii="宋体" w:hAnsi="宋体" w:eastAsia="宋体" w:cs="宋体"/>
          <w:color w:val="000000"/>
          <w:sz w:val="24"/>
          <w:szCs w:val="24"/>
          <w:highlight w:val="none"/>
        </w:rPr>
      </w:pPr>
      <w:bookmarkStart w:id="1231" w:name="_Toc312678056"/>
      <w:bookmarkStart w:id="1232" w:name="_Toc292559933"/>
      <w:bookmarkStart w:id="1233" w:name="_Toc296347222"/>
      <w:bookmarkStart w:id="1234" w:name="_Toc300935016"/>
      <w:bookmarkStart w:id="1235" w:name="_Toc297123565"/>
      <w:bookmarkStart w:id="1236" w:name="_Toc292559428"/>
      <w:bookmarkStart w:id="1237" w:name="_Toc297048409"/>
      <w:bookmarkStart w:id="1238" w:name="_Toc304295596"/>
      <w:bookmarkStart w:id="1239" w:name="_Toc297120523"/>
      <w:bookmarkStart w:id="1240" w:name="_Toc296503223"/>
      <w:bookmarkStart w:id="1241" w:name="_Toc296891051"/>
      <w:bookmarkStart w:id="1242" w:name="_Toc296891263"/>
      <w:bookmarkStart w:id="1243" w:name="_Toc303539173"/>
      <w:bookmarkStart w:id="1244" w:name="_Toc297216224"/>
      <w:bookmarkStart w:id="1245" w:name="_Toc296944562"/>
      <w:bookmarkStart w:id="1246" w:name="_Toc296346724"/>
      <w:bookmarkStart w:id="1247" w:name="_Toc267251476"/>
      <w:bookmarkStart w:id="1248" w:name="_Toc267251470"/>
      <w:bookmarkStart w:id="1249" w:name="_Toc267251474"/>
      <w:bookmarkStart w:id="1250" w:name="_Toc267251472"/>
      <w:bookmarkStart w:id="1251" w:name="_Toc267251475"/>
      <w:bookmarkStart w:id="1252" w:name="_Toc267251471"/>
      <w:bookmarkStart w:id="1253" w:name="_Toc267251473"/>
      <w:r>
        <w:rPr>
          <w:rFonts w:hint="eastAsia" w:ascii="宋体" w:hAnsi="宋体" w:eastAsia="宋体" w:cs="宋体"/>
          <w:color w:val="000000"/>
          <w:sz w:val="24"/>
          <w:szCs w:val="24"/>
          <w:highlight w:val="none"/>
        </w:rPr>
        <w:t>13.2 竣工验收</w:t>
      </w:r>
    </w:p>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p>
      <w:pPr>
        <w:spacing w:line="360" w:lineRule="auto"/>
        <w:ind w:firstLine="480" w:firstLineChars="200"/>
        <w:jc w:val="left"/>
        <w:outlineLvl w:val="9"/>
        <w:rPr>
          <w:rFonts w:hint="eastAsia" w:ascii="宋体" w:hAnsi="宋体" w:eastAsia="宋体" w:cs="宋体"/>
          <w:color w:val="000000"/>
          <w:sz w:val="24"/>
          <w:szCs w:val="24"/>
          <w:highlight w:val="none"/>
        </w:rPr>
      </w:pPr>
      <w:bookmarkStart w:id="1254" w:name="_Toc280868704"/>
      <w:bookmarkStart w:id="1255" w:name="_Toc280868705"/>
      <w:bookmarkStart w:id="1256" w:name="_Toc280868706"/>
      <w:bookmarkStart w:id="1257" w:name="_Toc280868707"/>
      <w:bookmarkStart w:id="1258" w:name="_Toc280868708"/>
      <w:bookmarkStart w:id="1259" w:name="_Toc280868709"/>
      <w:r>
        <w:rPr>
          <w:rFonts w:hint="eastAsia" w:ascii="宋体" w:hAnsi="宋体" w:eastAsia="宋体" w:cs="宋体"/>
          <w:color w:val="000000"/>
          <w:sz w:val="24"/>
          <w:szCs w:val="24"/>
          <w:highlight w:val="none"/>
        </w:rPr>
        <w:t>13.2.2竣工验收程序</w:t>
      </w:r>
      <w:bookmarkEnd w:id="1254"/>
    </w:p>
    <w:p>
      <w:pPr>
        <w:spacing w:line="360" w:lineRule="auto"/>
        <w:ind w:firstLine="480" w:firstLineChars="200"/>
        <w:jc w:val="left"/>
        <w:outlineLvl w:val="9"/>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关于竣工验收程序的约定：</w:t>
      </w:r>
      <w:r>
        <w:rPr>
          <w:rFonts w:hint="eastAsia" w:ascii="宋体" w:hAnsi="宋体" w:eastAsia="宋体" w:cs="宋体"/>
          <w:color w:val="000000"/>
          <w:kern w:val="0"/>
          <w:sz w:val="24"/>
          <w:szCs w:val="24"/>
          <w:highlight w:val="none"/>
          <w:u w:val="single"/>
        </w:rPr>
        <w:t>工程具备竣工验收条件，承包人按国家工程竣工有关规定，向发包人提供完整竣工资料四份（均为原件）和竣工验收报告。承包人在发包人竣工验收批准后29天内向发包人提交竣工图四份。</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bookmarkEnd w:id="1255"/>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13.2.5移交、接收全部与部分工程</w:t>
      </w:r>
    </w:p>
    <w:bookmarkEnd w:id="1256"/>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承包人向发包人移交工程的期限：</w:t>
      </w:r>
      <w:r>
        <w:rPr>
          <w:rFonts w:hint="eastAsia" w:ascii="宋体" w:hAnsi="宋体" w:eastAsia="宋体" w:cs="宋体"/>
          <w:color w:val="000000"/>
          <w:sz w:val="24"/>
          <w:szCs w:val="24"/>
          <w:highlight w:val="none"/>
          <w:u w:val="single"/>
          <w:lang w:val="en-US" w:eastAsia="zh-CN"/>
        </w:rPr>
        <w:t>14天</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发包人未按本合同约定接收全部或部分工程的，违约金的计算方法为：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bookmarkEnd w:id="1257"/>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承包人未按时移交工程的，违约金的计算方法为：</w:t>
      </w:r>
      <w:r>
        <w:rPr>
          <w:rFonts w:hint="eastAsia" w:ascii="宋体" w:hAnsi="宋体" w:eastAsia="宋体" w:cs="宋体"/>
          <w:color w:val="000000"/>
          <w:sz w:val="24"/>
          <w:szCs w:val="24"/>
          <w:highlight w:val="none"/>
          <w:u w:val="single"/>
        </w:rPr>
        <w:t>每逾期一天，承包人按合同价款的万分之五承担违约金</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 工程试车</w:t>
      </w:r>
    </w:p>
    <w:bookmarkEnd w:id="1258"/>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 试车程序</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工程试车内容：</w:t>
      </w:r>
      <w:r>
        <w:rPr>
          <w:rFonts w:hint="eastAsia" w:ascii="宋体" w:hAnsi="宋体" w:eastAsia="宋体" w:cs="宋体"/>
          <w:color w:val="000000"/>
          <w:kern w:val="0"/>
          <w:sz w:val="24"/>
          <w:szCs w:val="24"/>
          <w:highlight w:val="none"/>
          <w:u w:val="single"/>
        </w:rPr>
        <w:t>本合同承包范围内的试车内容，试车费用已包含在合同价款内</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（1）单机无负荷试车费用由</w:t>
      </w:r>
      <w:r>
        <w:rPr>
          <w:rFonts w:hint="eastAsia" w:ascii="宋体" w:hAnsi="宋体" w:eastAsia="宋体" w:cs="宋体"/>
          <w:color w:val="000000"/>
          <w:kern w:val="0"/>
          <w:sz w:val="24"/>
          <w:szCs w:val="24"/>
          <w:highlight w:val="none"/>
          <w:u w:val="single"/>
          <w:lang w:val="en-US" w:eastAsia="zh-CN"/>
        </w:rPr>
        <w:t>承包人</w:t>
      </w:r>
      <w:r>
        <w:rPr>
          <w:rFonts w:hint="eastAsia" w:ascii="宋体" w:hAnsi="宋体" w:eastAsia="宋体" w:cs="宋体"/>
          <w:color w:val="000000"/>
          <w:kern w:val="0"/>
          <w:sz w:val="24"/>
          <w:szCs w:val="24"/>
          <w:highlight w:val="none"/>
        </w:rPr>
        <w:t>承担；</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（2）无负荷联动试车费用由</w:t>
      </w:r>
      <w:r>
        <w:rPr>
          <w:rFonts w:hint="eastAsia" w:ascii="宋体" w:hAnsi="宋体" w:eastAsia="宋体" w:cs="宋体"/>
          <w:color w:val="000000"/>
          <w:kern w:val="0"/>
          <w:sz w:val="24"/>
          <w:szCs w:val="24"/>
          <w:highlight w:val="none"/>
          <w:u w:val="single"/>
          <w:lang w:val="en-US" w:eastAsia="zh-CN"/>
        </w:rPr>
        <w:t>承包人</w:t>
      </w:r>
      <w:r>
        <w:rPr>
          <w:rFonts w:hint="eastAsia" w:ascii="宋体" w:hAnsi="宋体" w:eastAsia="宋体" w:cs="宋体"/>
          <w:color w:val="000000"/>
          <w:kern w:val="0"/>
          <w:sz w:val="24"/>
          <w:szCs w:val="24"/>
          <w:highlight w:val="none"/>
        </w:rPr>
        <w:t>承担。</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关于投料试车相关事项的约定：</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13.6 竣工退场</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承包人完成竣工退场的期限：</w:t>
      </w:r>
      <w:r>
        <w:rPr>
          <w:rFonts w:hint="eastAsia" w:ascii="宋体" w:hAnsi="宋体" w:eastAsia="宋体" w:cs="宋体"/>
          <w:color w:val="000000"/>
          <w:kern w:val="0"/>
          <w:sz w:val="24"/>
          <w:szCs w:val="24"/>
          <w:highlight w:val="none"/>
          <w:u w:val="single"/>
        </w:rPr>
        <w:t>工程移交后7天内</w:t>
      </w:r>
      <w:r>
        <w:rPr>
          <w:rFonts w:hint="eastAsia" w:ascii="宋体" w:hAnsi="宋体" w:eastAsia="宋体" w:cs="宋体"/>
          <w:color w:val="000000"/>
          <w:kern w:val="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lang w:val="en-US" w:eastAsia="zh-CN"/>
        </w:rPr>
      </w:pPr>
      <w:bookmarkStart w:id="1260" w:name="_Toc351203646"/>
      <w:r>
        <w:rPr>
          <w:rFonts w:hint="eastAsia" w:ascii="宋体" w:hAnsi="宋体" w:eastAsia="宋体" w:cs="宋体"/>
          <w:color w:val="000000"/>
          <w:sz w:val="24"/>
          <w:szCs w:val="24"/>
          <w:highlight w:val="none"/>
          <w:lang w:val="en-US" w:eastAsia="zh-CN"/>
        </w:rPr>
        <w:t>14. 竣工结算</w:t>
      </w:r>
      <w:bookmarkEnd w:id="1260"/>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竣工结算申请</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承包人提交竣工结算申请单的期限：</w:t>
      </w:r>
      <w:r>
        <w:rPr>
          <w:rFonts w:hint="eastAsia" w:ascii="宋体" w:hAnsi="宋体" w:eastAsia="宋体" w:cs="宋体"/>
          <w:sz w:val="24"/>
          <w:szCs w:val="24"/>
          <w:highlight w:val="none"/>
          <w:u w:val="single"/>
        </w:rPr>
        <w:t>竣工结算工程量在竣工报告后21天内由承包人上报发包人</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竣工结算申请单应包括的内容：</w:t>
      </w:r>
      <w:r>
        <w:rPr>
          <w:rFonts w:hint="eastAsia" w:ascii="宋体" w:hAnsi="宋体" w:eastAsia="宋体" w:cs="宋体"/>
          <w:color w:val="000000"/>
          <w:sz w:val="24"/>
          <w:szCs w:val="24"/>
          <w:highlight w:val="none"/>
          <w:u w:val="single"/>
        </w:rPr>
        <w:t>执行通用条款</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 竣工结算审核</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发包人审批竣工付款申请单的期限：</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发包人完成竣工付款的期限：</w:t>
      </w:r>
      <w:r>
        <w:rPr>
          <w:rFonts w:hint="eastAsia" w:ascii="宋体" w:hAnsi="宋体" w:eastAsia="宋体" w:cs="宋体"/>
          <w:sz w:val="24"/>
          <w:szCs w:val="24"/>
          <w:highlight w:val="none"/>
          <w:u w:val="single"/>
        </w:rPr>
        <w:t xml:space="preserve">从接到完整的竣工结算资料次日起30个工作日。发包人上级委托的第三方造价审计机构出具证实结算报告后15个工作日内支付完结竣工付款 。关于竣工付款证书异议部分复核的方式和程序：由发包人上级委托的第三方造价审计机构进行复核 </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关于竣工付款证书异议部分复核的方式和程序：</w:t>
      </w:r>
      <w:r>
        <w:rPr>
          <w:rFonts w:hint="eastAsia" w:ascii="宋体" w:hAnsi="宋体" w:eastAsia="宋体" w:cs="宋体"/>
          <w:color w:val="000000"/>
          <w:sz w:val="24"/>
          <w:szCs w:val="24"/>
          <w:highlight w:val="none"/>
          <w:u w:val="single"/>
        </w:rPr>
        <w:t>按照通用条款第20条〔争议解决〕约定处理</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 最终结清</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承包人提交最终结清申请单的份数：</w:t>
      </w:r>
      <w:r>
        <w:rPr>
          <w:rFonts w:hint="eastAsia" w:ascii="宋体" w:hAnsi="宋体" w:eastAsia="宋体" w:cs="宋体"/>
          <w:color w:val="000000"/>
          <w:kern w:val="0"/>
          <w:sz w:val="24"/>
          <w:szCs w:val="24"/>
          <w:highlight w:val="none"/>
          <w:u w:val="single"/>
        </w:rPr>
        <w:t>3份</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承包人提交最终结算申请单的期限：</w:t>
      </w:r>
      <w:r>
        <w:rPr>
          <w:rFonts w:hint="eastAsia" w:ascii="宋体" w:hAnsi="宋体" w:eastAsia="宋体" w:cs="宋体"/>
          <w:color w:val="000000"/>
          <w:kern w:val="0"/>
          <w:sz w:val="24"/>
          <w:szCs w:val="24"/>
          <w:highlight w:val="none"/>
          <w:u w:val="single"/>
        </w:rPr>
        <w:t>竣工验收合格后10日内</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 xml:space="preserve"> </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14.4.2 最终结清证书和支付</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（1）发包人完成最终结清申请单的审批并颁发最终结清证书的期限：</w:t>
      </w:r>
      <w:r>
        <w:rPr>
          <w:rFonts w:hint="eastAsia" w:ascii="宋体" w:hAnsi="宋体" w:eastAsia="宋体" w:cs="宋体"/>
          <w:sz w:val="24"/>
          <w:szCs w:val="24"/>
          <w:highlight w:val="none"/>
          <w:u w:val="single"/>
        </w:rPr>
        <w:t>执行通用条款</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（2）发包人完成支付的期限：</w:t>
      </w:r>
      <w:r>
        <w:rPr>
          <w:rFonts w:hint="eastAsia" w:ascii="宋体" w:hAnsi="宋体" w:eastAsia="宋体" w:cs="宋体"/>
          <w:sz w:val="24"/>
          <w:szCs w:val="24"/>
          <w:highlight w:val="none"/>
          <w:u w:val="single"/>
        </w:rPr>
        <w:t>执行通用条款</w:t>
      </w:r>
      <w:r>
        <w:rPr>
          <w:rFonts w:hint="eastAsia" w:ascii="宋体" w:hAnsi="宋体" w:eastAsia="宋体" w:cs="宋体"/>
          <w:color w:val="000000"/>
          <w:sz w:val="24"/>
          <w:szCs w:val="24"/>
          <w:highlight w:val="none"/>
        </w:rPr>
        <w:t>。</w:t>
      </w:r>
    </w:p>
    <w:bookmarkEnd w:id="1247"/>
    <w:bookmarkEnd w:id="1248"/>
    <w:bookmarkEnd w:id="1249"/>
    <w:bookmarkEnd w:id="1250"/>
    <w:bookmarkEnd w:id="1251"/>
    <w:bookmarkEnd w:id="1252"/>
    <w:bookmarkEnd w:id="1253"/>
    <w:bookmarkEnd w:id="1259"/>
    <w:p>
      <w:pPr>
        <w:spacing w:after="120" w:line="360" w:lineRule="auto"/>
        <w:ind w:firstLine="480" w:firstLineChars="200"/>
        <w:outlineLvl w:val="9"/>
        <w:rPr>
          <w:rFonts w:hint="eastAsia" w:ascii="宋体" w:hAnsi="宋体" w:eastAsia="宋体" w:cs="宋体"/>
          <w:color w:val="000000"/>
          <w:sz w:val="24"/>
          <w:szCs w:val="24"/>
          <w:highlight w:val="none"/>
          <w:lang w:val="en-US" w:eastAsia="zh-CN"/>
        </w:rPr>
      </w:pPr>
      <w:bookmarkStart w:id="1261" w:name="_Toc351203647"/>
      <w:bookmarkStart w:id="1262" w:name="_Toc267251483"/>
      <w:bookmarkStart w:id="1263" w:name="_Toc267251482"/>
      <w:bookmarkStart w:id="1264" w:name="_Toc267251484"/>
      <w:bookmarkStart w:id="1265" w:name="_Toc267251485"/>
      <w:bookmarkStart w:id="1266" w:name="_Toc267251489"/>
      <w:bookmarkStart w:id="1267" w:name="_Toc267251490"/>
      <w:bookmarkStart w:id="1268" w:name="_Toc267251488"/>
      <w:bookmarkStart w:id="1269" w:name="_Toc267251486"/>
      <w:bookmarkStart w:id="1270" w:name="_Toc267251492"/>
      <w:bookmarkStart w:id="1271" w:name="_Toc267251496"/>
      <w:bookmarkStart w:id="1272" w:name="_Toc267251501"/>
      <w:bookmarkStart w:id="1273" w:name="_Toc267251491"/>
      <w:bookmarkStart w:id="1274" w:name="_Toc267251498"/>
      <w:bookmarkStart w:id="1275" w:name="_Toc267251497"/>
      <w:bookmarkStart w:id="1276" w:name="_Toc267251493"/>
      <w:bookmarkStart w:id="1277" w:name="_Toc267251503"/>
      <w:bookmarkStart w:id="1278" w:name="_Toc267251495"/>
      <w:bookmarkStart w:id="1279" w:name="_Toc267251494"/>
      <w:bookmarkStart w:id="1280" w:name="_Toc267251499"/>
      <w:bookmarkStart w:id="1281" w:name="_Toc267251502"/>
      <w:bookmarkStart w:id="1282" w:name="_Toc267251506"/>
      <w:bookmarkStart w:id="1283" w:name="_Toc267251504"/>
      <w:bookmarkStart w:id="1284" w:name="_Toc267251507"/>
      <w:bookmarkStart w:id="1285" w:name="_Toc267251508"/>
      <w:bookmarkStart w:id="1286" w:name="_Toc267251514"/>
      <w:bookmarkStart w:id="1287" w:name="_Toc267251513"/>
      <w:bookmarkStart w:id="1288" w:name="_Toc267251509"/>
      <w:bookmarkStart w:id="1289" w:name="_Toc267251515"/>
      <w:bookmarkStart w:id="1290" w:name="_Toc267251510"/>
      <w:bookmarkStart w:id="1291" w:name="_Toc267251511"/>
      <w:r>
        <w:rPr>
          <w:rFonts w:hint="eastAsia" w:ascii="宋体" w:hAnsi="宋体" w:eastAsia="宋体" w:cs="宋体"/>
          <w:color w:val="000000"/>
          <w:sz w:val="24"/>
          <w:szCs w:val="24"/>
          <w:highlight w:val="none"/>
          <w:lang w:val="en-US" w:eastAsia="zh-CN"/>
        </w:rPr>
        <w:t>15. 缺陷责任期与保修</w:t>
      </w:r>
      <w:bookmarkEnd w:id="1261"/>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15.2缺陷责任期</w:t>
      </w:r>
      <w:bookmarkEnd w:id="1262"/>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缺陷责任期的具体期限：</w:t>
      </w:r>
      <w:r>
        <w:rPr>
          <w:rFonts w:hint="eastAsia" w:ascii="宋体" w:hAnsi="宋体" w:eastAsia="宋体" w:cs="宋体"/>
          <w:color w:val="000000"/>
          <w:sz w:val="24"/>
          <w:szCs w:val="24"/>
          <w:highlight w:val="none"/>
          <w:u w:val="single"/>
        </w:rPr>
        <w:t>自工程竣工之日起</w:t>
      </w:r>
      <w:r>
        <w:rPr>
          <w:rFonts w:hint="eastAsia" w:ascii="宋体" w:hAnsi="宋体" w:eastAsia="宋体" w:cs="宋体"/>
          <w:color w:val="000000"/>
          <w:sz w:val="24"/>
          <w:szCs w:val="24"/>
          <w:highlight w:val="none"/>
          <w:u w:val="single"/>
          <w:lang w:val="en-US" w:eastAsia="zh-CN"/>
        </w:rPr>
        <w:t>24</w:t>
      </w:r>
      <w:r>
        <w:rPr>
          <w:rFonts w:hint="eastAsia" w:ascii="宋体" w:hAnsi="宋体" w:eastAsia="宋体" w:cs="宋体"/>
          <w:color w:val="000000"/>
          <w:sz w:val="24"/>
          <w:szCs w:val="24"/>
          <w:highlight w:val="none"/>
          <w:u w:val="single"/>
        </w:rPr>
        <w:t xml:space="preserve">个月 </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质量保证金</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关于是否扣留质量保证金的约定：</w:t>
      </w:r>
      <w:r>
        <w:rPr>
          <w:rFonts w:hint="eastAsia" w:ascii="宋体" w:hAnsi="宋体" w:eastAsia="宋体" w:cs="宋体"/>
          <w:color w:val="000000"/>
          <w:sz w:val="24"/>
          <w:szCs w:val="24"/>
          <w:highlight w:val="none"/>
          <w:u w:val="single"/>
        </w:rPr>
        <w:t>扣除结算款的3%作为质量保证金，保修期满后无息退还</w:t>
      </w:r>
      <w:r>
        <w:rPr>
          <w:rFonts w:hint="eastAsia" w:ascii="宋体" w:hAnsi="宋体" w:eastAsia="宋体" w:cs="宋体"/>
          <w:color w:val="000000"/>
          <w:sz w:val="24"/>
          <w:szCs w:val="24"/>
          <w:highlight w:val="none"/>
        </w:rPr>
        <w:t>。在工程项目竣工前，承包人按专用合同条款第3.7条提供履约担保的，发包人不得同时预留工程质量保证金。</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15.3.1 承包人提供质量保证金的方式</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质量保证金采用以下第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种方式：</w:t>
      </w:r>
    </w:p>
    <w:p>
      <w:pPr>
        <w:autoSpaceDE w:val="0"/>
        <w:autoSpaceDN w:val="0"/>
        <w:adjustRightInd w:val="0"/>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（1）质量保证金保函，保证金额为：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pPr>
        <w:autoSpaceDE w:val="0"/>
        <w:autoSpaceDN w:val="0"/>
        <w:adjustRightInd w:val="0"/>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%的工程款；</w:t>
      </w:r>
    </w:p>
    <w:p>
      <w:pPr>
        <w:autoSpaceDE w:val="0"/>
        <w:autoSpaceDN w:val="0"/>
        <w:adjustRightInd w:val="0"/>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15.3.2 质量保证金的扣留 </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质量保证金的扣留采取以下第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种方式：</w:t>
      </w:r>
    </w:p>
    <w:p>
      <w:pPr>
        <w:autoSpaceDE w:val="0"/>
        <w:autoSpaceDN w:val="0"/>
        <w:adjustRightInd w:val="0"/>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（2）工程竣工结算时一次性扣留质量保证金；</w:t>
      </w:r>
    </w:p>
    <w:p>
      <w:pPr>
        <w:autoSpaceDE w:val="0"/>
        <w:autoSpaceDN w:val="0"/>
        <w:adjustRightInd w:val="0"/>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（3）其他扣留方式: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autoSpaceDE w:val="0"/>
        <w:autoSpaceDN w:val="0"/>
        <w:adjustRightInd w:val="0"/>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关于质量保证金的补充约定：</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bookmarkEnd w:id="1263"/>
    <w:bookmarkEnd w:id="1264"/>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15.4保修</w:t>
      </w:r>
    </w:p>
    <w:bookmarkEnd w:id="1265"/>
    <w:p>
      <w:pPr>
        <w:spacing w:line="360" w:lineRule="auto"/>
        <w:ind w:firstLine="468" w:firstLineChars="195"/>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15.4.1 保修责任</w:t>
      </w:r>
    </w:p>
    <w:p>
      <w:pPr>
        <w:spacing w:line="360" w:lineRule="auto"/>
        <w:ind w:firstLine="468" w:firstLineChars="195"/>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工程保修期为：</w:t>
      </w:r>
      <w:r>
        <w:rPr>
          <w:rFonts w:hint="eastAsia" w:ascii="宋体" w:hAnsi="宋体" w:eastAsia="宋体" w:cs="宋体"/>
          <w:color w:val="000000"/>
          <w:sz w:val="24"/>
          <w:szCs w:val="24"/>
          <w:highlight w:val="none"/>
          <w:u w:val="single"/>
        </w:rPr>
        <w:t>见承包方质量保修书</w:t>
      </w:r>
      <w:r>
        <w:rPr>
          <w:rFonts w:hint="eastAsia" w:ascii="宋体" w:hAnsi="宋体" w:eastAsia="宋体" w:cs="宋体"/>
          <w:color w:val="000000"/>
          <w:kern w:val="0"/>
          <w:sz w:val="24"/>
          <w:szCs w:val="24"/>
          <w:highlight w:val="none"/>
        </w:rPr>
        <w:t>。</w:t>
      </w:r>
    </w:p>
    <w:p>
      <w:pPr>
        <w:spacing w:line="360" w:lineRule="auto"/>
        <w:ind w:firstLine="468" w:firstLineChars="195"/>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15.4.3 修复通知</w:t>
      </w:r>
    </w:p>
    <w:p>
      <w:pPr>
        <w:spacing w:line="360" w:lineRule="auto"/>
        <w:ind w:firstLine="468" w:firstLineChars="195"/>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承包人收到保修通知并到达工程现场的合理时间：</w:t>
      </w:r>
      <w:r>
        <w:rPr>
          <w:rFonts w:hint="eastAsia" w:ascii="宋体" w:hAnsi="宋体" w:eastAsia="宋体" w:cs="宋体"/>
          <w:color w:val="000000"/>
          <w:kern w:val="0"/>
          <w:sz w:val="24"/>
          <w:szCs w:val="24"/>
          <w:highlight w:val="none"/>
          <w:u w:val="single"/>
        </w:rPr>
        <w:t>2小时答复，24小时内到现场处理</w:t>
      </w:r>
      <w:r>
        <w:rPr>
          <w:rFonts w:hint="eastAsia" w:ascii="宋体" w:hAnsi="宋体" w:eastAsia="宋体" w:cs="宋体"/>
          <w:color w:val="000000"/>
          <w:kern w:val="0"/>
          <w:sz w:val="24"/>
          <w:szCs w:val="24"/>
          <w:highlight w:val="none"/>
        </w:rPr>
        <w:t>。</w:t>
      </w:r>
    </w:p>
    <w:bookmarkEnd w:id="1266"/>
    <w:bookmarkEnd w:id="1267"/>
    <w:bookmarkEnd w:id="1268"/>
    <w:bookmarkEnd w:id="1269"/>
    <w:p>
      <w:pPr>
        <w:spacing w:after="120" w:line="360" w:lineRule="auto"/>
        <w:ind w:firstLine="480" w:firstLineChars="200"/>
        <w:outlineLvl w:val="9"/>
        <w:rPr>
          <w:rFonts w:hint="eastAsia" w:ascii="宋体" w:hAnsi="宋体" w:eastAsia="宋体" w:cs="宋体"/>
          <w:color w:val="000000"/>
          <w:sz w:val="24"/>
          <w:szCs w:val="24"/>
          <w:highlight w:val="none"/>
          <w:lang w:val="en-US" w:eastAsia="zh-CN"/>
        </w:rPr>
      </w:pPr>
      <w:bookmarkStart w:id="1292" w:name="_Toc351203648"/>
      <w:bookmarkStart w:id="1293" w:name="_Toc280868717"/>
      <w:bookmarkStart w:id="1294" w:name="_Toc280868718"/>
      <w:r>
        <w:rPr>
          <w:rFonts w:hint="eastAsia" w:ascii="宋体" w:hAnsi="宋体" w:eastAsia="宋体" w:cs="宋体"/>
          <w:color w:val="000000"/>
          <w:sz w:val="24"/>
          <w:szCs w:val="24"/>
          <w:highlight w:val="none"/>
          <w:lang w:val="en-US" w:eastAsia="zh-CN"/>
        </w:rPr>
        <w:t>16. 违约</w:t>
      </w:r>
      <w:bookmarkEnd w:id="1292"/>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 发包人违约</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16.1.1发包人违约的情形</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发包人违约的其他情形：</w:t>
      </w:r>
      <w:r>
        <w:rPr>
          <w:rFonts w:hint="eastAsia" w:ascii="宋体" w:hAnsi="宋体" w:eastAsia="宋体" w:cs="宋体"/>
          <w:color w:val="000000"/>
          <w:kern w:val="0"/>
          <w:sz w:val="24"/>
          <w:szCs w:val="24"/>
          <w:highlight w:val="none"/>
          <w:u w:val="single"/>
        </w:rPr>
        <w:t>执行通用条款</w:t>
      </w:r>
      <w:r>
        <w:rPr>
          <w:rFonts w:hint="eastAsia" w:ascii="宋体" w:hAnsi="宋体" w:eastAsia="宋体" w:cs="宋体"/>
          <w:color w:val="000000"/>
          <w:kern w:val="0"/>
          <w:sz w:val="24"/>
          <w:szCs w:val="24"/>
          <w:highlight w:val="none"/>
        </w:rPr>
        <w:t>。</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16.1.2 发包人违约的责任</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发包人违约责任的承担方式和计算方法：</w:t>
      </w:r>
    </w:p>
    <w:p>
      <w:pPr>
        <w:spacing w:line="360" w:lineRule="auto"/>
        <w:ind w:firstLine="480" w:firstLineChars="200"/>
        <w:jc w:val="left"/>
        <w:outlineLvl w:val="9"/>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（1）因发包人原因未能在计划开工日期前7天内下达开工通知的违约责任：</w:t>
      </w:r>
      <w:r>
        <w:rPr>
          <w:rFonts w:hint="eastAsia" w:ascii="宋体" w:hAnsi="宋体" w:eastAsia="宋体" w:cs="宋体"/>
          <w:color w:val="000000"/>
          <w:kern w:val="0"/>
          <w:sz w:val="24"/>
          <w:szCs w:val="24"/>
          <w:highlight w:val="none"/>
          <w:u w:val="single"/>
        </w:rPr>
        <w:t>工期顺延</w:t>
      </w:r>
      <w:r>
        <w:rPr>
          <w:rFonts w:hint="eastAsia" w:ascii="宋体" w:hAnsi="宋体" w:eastAsia="宋体" w:cs="宋体"/>
          <w:color w:val="000000"/>
          <w:kern w:val="0"/>
          <w:sz w:val="24"/>
          <w:szCs w:val="24"/>
          <w:highlight w:val="none"/>
        </w:rPr>
        <w:t>。</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（2）因发包人原因未能按合同约定支付合同价款的违约责任：</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000000"/>
          <w:kern w:val="0"/>
          <w:sz w:val="24"/>
          <w:szCs w:val="24"/>
          <w:highlight w:val="none"/>
          <w:u w:val="single"/>
        </w:rPr>
        <w:t>无</w:t>
      </w:r>
      <w:r>
        <w:rPr>
          <w:rFonts w:hint="eastAsia" w:ascii="宋体" w:hAnsi="宋体" w:eastAsia="宋体" w:cs="宋体"/>
          <w:color w:val="000000"/>
          <w:kern w:val="0"/>
          <w:sz w:val="24"/>
          <w:szCs w:val="24"/>
          <w:highlight w:val="none"/>
        </w:rPr>
        <w:t>。</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4"/>
          <w:highlight w:val="none"/>
          <w:u w:val="single"/>
        </w:rPr>
        <w:t>工期顺延</w:t>
      </w:r>
      <w:r>
        <w:rPr>
          <w:rFonts w:hint="eastAsia" w:ascii="宋体" w:hAnsi="宋体" w:eastAsia="宋体" w:cs="宋体"/>
          <w:color w:val="000000"/>
          <w:kern w:val="0"/>
          <w:sz w:val="24"/>
          <w:szCs w:val="24"/>
          <w:highlight w:val="none"/>
        </w:rPr>
        <w:t>。</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（5）因发包人违反合同约定造成暂停施工的违约责任：</w:t>
      </w:r>
      <w:r>
        <w:rPr>
          <w:rFonts w:hint="eastAsia" w:ascii="宋体" w:hAnsi="宋体" w:eastAsia="宋体" w:cs="宋体"/>
          <w:color w:val="000000"/>
          <w:kern w:val="0"/>
          <w:sz w:val="24"/>
          <w:szCs w:val="24"/>
          <w:highlight w:val="none"/>
          <w:u w:val="single"/>
        </w:rPr>
        <w:t>工期顺延</w:t>
      </w:r>
      <w:r>
        <w:rPr>
          <w:rFonts w:hint="eastAsia" w:ascii="宋体" w:hAnsi="宋体" w:eastAsia="宋体" w:cs="宋体"/>
          <w:color w:val="000000"/>
          <w:kern w:val="0"/>
          <w:sz w:val="24"/>
          <w:szCs w:val="24"/>
          <w:highlight w:val="none"/>
        </w:rPr>
        <w:t>。</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（6）发包人无正当理由没有在约定期限内发出复工指示，导致承包人无法复工的违约责任：</w:t>
      </w:r>
      <w:r>
        <w:rPr>
          <w:rFonts w:hint="eastAsia" w:ascii="宋体" w:hAnsi="宋体" w:eastAsia="宋体" w:cs="宋体"/>
          <w:color w:val="000000"/>
          <w:kern w:val="0"/>
          <w:sz w:val="24"/>
          <w:szCs w:val="24"/>
          <w:highlight w:val="none"/>
          <w:u w:val="single"/>
        </w:rPr>
        <w:t>工期顺延</w:t>
      </w:r>
      <w:r>
        <w:rPr>
          <w:rFonts w:hint="eastAsia" w:ascii="宋体" w:hAnsi="宋体" w:eastAsia="宋体" w:cs="宋体"/>
          <w:color w:val="000000"/>
          <w:kern w:val="0"/>
          <w:sz w:val="24"/>
          <w:szCs w:val="24"/>
          <w:highlight w:val="none"/>
        </w:rPr>
        <w:t>。</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16.1.3 因发包人违约解除合同</w:t>
      </w:r>
    </w:p>
    <w:p>
      <w:pPr>
        <w:autoSpaceDE w:val="0"/>
        <w:autoSpaceDN w:val="0"/>
        <w:adjustRightInd w:val="0"/>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承包人按16.1.1项〔发包人违约的情形〕约定暂停施工满</w:t>
      </w:r>
      <w:r>
        <w:rPr>
          <w:rFonts w:hint="eastAsia" w:ascii="宋体" w:hAnsi="宋体" w:eastAsia="宋体" w:cs="宋体"/>
          <w:color w:val="000000"/>
          <w:kern w:val="0"/>
          <w:sz w:val="24"/>
          <w:szCs w:val="24"/>
          <w:highlight w:val="none"/>
          <w:u w:val="single"/>
          <w:lang w:val="en-US" w:eastAsia="zh-CN"/>
        </w:rPr>
        <w:t>28</w:t>
      </w:r>
      <w:r>
        <w:rPr>
          <w:rFonts w:hint="eastAsia" w:ascii="宋体" w:hAnsi="宋体" w:eastAsia="宋体" w:cs="宋体"/>
          <w:color w:val="000000"/>
          <w:kern w:val="0"/>
          <w:sz w:val="24"/>
          <w:szCs w:val="24"/>
          <w:highlight w:val="none"/>
        </w:rPr>
        <w:t>天后发包人仍不纠正其违约行为并致使合同目的不能实现的，承包人有权解除合同。</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 承包人违约</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pPr>
        <w:spacing w:line="360" w:lineRule="auto"/>
        <w:ind w:firstLine="480" w:firstLineChars="200"/>
        <w:outlineLvl w:val="9"/>
        <w:rPr>
          <w:rFonts w:hint="eastAsia" w:ascii="宋体" w:hAnsi="宋体" w:cs="仿宋_GB2312"/>
          <w:sz w:val="24"/>
          <w:szCs w:val="24"/>
          <w:highlight w:val="none"/>
          <w:u w:val="single"/>
        </w:rPr>
      </w:pPr>
      <w:r>
        <w:rPr>
          <w:rFonts w:hint="eastAsia" w:ascii="宋体" w:hAnsi="宋体" w:eastAsia="宋体" w:cs="宋体"/>
          <w:color w:val="000000"/>
          <w:kern w:val="0"/>
          <w:sz w:val="24"/>
          <w:szCs w:val="24"/>
          <w:highlight w:val="none"/>
        </w:rPr>
        <w:t>承包人违约的其他情形：</w:t>
      </w:r>
      <w:r>
        <w:rPr>
          <w:rFonts w:hint="eastAsia" w:ascii="宋体" w:hAnsi="宋体" w:cs="仿宋_GB2312"/>
          <w:sz w:val="24"/>
          <w:szCs w:val="24"/>
          <w:highlight w:val="none"/>
          <w:u w:val="single"/>
        </w:rPr>
        <w:t>（1）擅自变更项目经理；（2）无正当理由且未经发包人许可擅自停工；（3）合同条款规定的其他情形 。</w:t>
      </w:r>
    </w:p>
    <w:p>
      <w:pPr>
        <w:spacing w:line="360" w:lineRule="auto"/>
        <w:ind w:firstLine="480" w:firstLineChars="200"/>
        <w:outlineLvl w:val="9"/>
        <w:rPr>
          <w:rFonts w:hint="eastAsia" w:ascii="宋体" w:hAnsi="宋体" w:cs="仿宋_GB2312"/>
          <w:sz w:val="24"/>
          <w:szCs w:val="24"/>
          <w:highlight w:val="none"/>
          <w:u w:val="single"/>
        </w:rPr>
      </w:pPr>
      <w:r>
        <w:rPr>
          <w:rFonts w:hint="eastAsia" w:ascii="宋体" w:hAnsi="宋体" w:cs="仿宋_GB2312"/>
          <w:sz w:val="24"/>
          <w:szCs w:val="24"/>
          <w:highlight w:val="none"/>
          <w:u w:val="single"/>
        </w:rPr>
        <w:t>（2）</w:t>
      </w:r>
      <w:r>
        <w:rPr>
          <w:rFonts w:hint="eastAsia" w:ascii="宋体" w:hAnsi="宋体" w:cs="仿宋_GB2312"/>
          <w:kern w:val="0"/>
          <w:sz w:val="24"/>
          <w:szCs w:val="24"/>
          <w:highlight w:val="none"/>
          <w:u w:val="single"/>
        </w:rPr>
        <w:t>工程质量等级经建筑工程质量监督部门核查为合格工程，不奖不罚；若达不到合格工程标准，由</w:t>
      </w:r>
      <w:r>
        <w:rPr>
          <w:rFonts w:hint="eastAsia" w:ascii="宋体" w:hAnsi="宋体" w:cs="仿宋_GB2312"/>
          <w:sz w:val="24"/>
          <w:szCs w:val="24"/>
          <w:highlight w:val="none"/>
          <w:u w:val="single"/>
        </w:rPr>
        <w:t>承包人自费</w:t>
      </w:r>
      <w:r>
        <w:rPr>
          <w:rFonts w:hint="eastAsia" w:ascii="宋体" w:hAnsi="宋体" w:cs="仿宋_GB2312"/>
          <w:kern w:val="0"/>
          <w:sz w:val="24"/>
          <w:szCs w:val="24"/>
          <w:highlight w:val="none"/>
          <w:u w:val="single"/>
        </w:rPr>
        <w:t>修复达到合格标准；</w:t>
      </w:r>
      <w:r>
        <w:rPr>
          <w:rFonts w:hint="eastAsia" w:ascii="宋体" w:hAnsi="宋体" w:cs="仿宋_GB2312"/>
          <w:sz w:val="24"/>
          <w:szCs w:val="24"/>
          <w:highlight w:val="none"/>
          <w:u w:val="single"/>
        </w:rPr>
        <w:t>工程质量达不到约定标准，承包人向发包人偿付不达标部分造价5%的违约金并无偿返修，直至重新通过验收，承包人应负责返工所发生的所有费用，所延误的工期不得顺延。如一再返修仍不能通过验收的，则发包人有权终止合同，承包人应赔偿发包人由此引起的一切损失。</w:t>
      </w:r>
    </w:p>
    <w:p>
      <w:pPr>
        <w:spacing w:line="360" w:lineRule="auto"/>
        <w:ind w:firstLine="480" w:firstLineChars="200"/>
        <w:outlineLvl w:val="9"/>
        <w:rPr>
          <w:rFonts w:hint="eastAsia" w:ascii="宋体" w:hAnsi="宋体" w:cs="仿宋_GB2312"/>
          <w:sz w:val="24"/>
          <w:szCs w:val="24"/>
          <w:highlight w:val="none"/>
          <w:u w:val="single"/>
        </w:rPr>
      </w:pPr>
      <w:r>
        <w:rPr>
          <w:rFonts w:hint="eastAsia" w:ascii="宋体" w:hAnsi="宋体" w:cs="仿宋_GB2312"/>
          <w:sz w:val="24"/>
          <w:szCs w:val="24"/>
          <w:highlight w:val="none"/>
          <w:u w:val="single"/>
        </w:rPr>
        <w:t>（3）承包人管理混乱，用料规格质量不符合要求或安装质量差，经发包人指出不改正的，发包人有权终止合同，由此造成的一切经济损失由承包人承担。</w:t>
      </w:r>
    </w:p>
    <w:p>
      <w:pPr>
        <w:spacing w:line="360" w:lineRule="auto"/>
        <w:ind w:firstLine="480" w:firstLineChars="200"/>
        <w:outlineLvl w:val="9"/>
        <w:rPr>
          <w:rFonts w:hint="eastAsia" w:ascii="宋体" w:hAnsi="宋体" w:cs="仿宋_GB2312"/>
          <w:sz w:val="24"/>
          <w:szCs w:val="24"/>
          <w:highlight w:val="none"/>
          <w:u w:val="single"/>
        </w:rPr>
      </w:pPr>
      <w:r>
        <w:rPr>
          <w:rFonts w:hint="eastAsia" w:ascii="宋体" w:hAnsi="宋体" w:cs="仿宋_GB2312"/>
          <w:sz w:val="24"/>
          <w:szCs w:val="24"/>
          <w:highlight w:val="none"/>
          <w:u w:val="single"/>
        </w:rPr>
        <w:t>（4）承包人如不能按期完成进度，发包人有权调动其他施工队伍对发包人认为合适的本工程任何一部分工程进行施工，费用以2倍的结算价格从承包人的合同价款中扣除。</w:t>
      </w:r>
    </w:p>
    <w:p>
      <w:pPr>
        <w:spacing w:line="360" w:lineRule="auto"/>
        <w:ind w:firstLine="480" w:firstLineChars="200"/>
        <w:outlineLvl w:val="9"/>
        <w:rPr>
          <w:rFonts w:hint="eastAsia" w:ascii="宋体" w:hAnsi="宋体" w:cs="仿宋_GB2312"/>
          <w:sz w:val="24"/>
          <w:szCs w:val="24"/>
          <w:highlight w:val="none"/>
          <w:u w:val="single"/>
        </w:rPr>
      </w:pPr>
      <w:r>
        <w:rPr>
          <w:rFonts w:hint="eastAsia" w:ascii="宋体" w:hAnsi="宋体" w:cs="仿宋_GB2312"/>
          <w:sz w:val="24"/>
          <w:szCs w:val="24"/>
          <w:highlight w:val="none"/>
          <w:u w:val="single"/>
        </w:rPr>
        <w:t xml:space="preserve">（5）若因承包人原因或因工程质量不合格导致工程事故发生，承包人除承担上述违约金及承担工程事故责任外，给发包人造成损失的，还应赔偿发包人损失。承包人确保按照施工组织设计方案进行组织施工。如发包人、监理工程师在检查中发现承包人未按施工方案进行施工对工程质量造成重大影响，发包人、监理工程师有权下发停工令并视情节严重程度给予每次20000元以下的违约金处罚，承包人应支付违约金并负责无条件整改到位。 </w:t>
      </w:r>
    </w:p>
    <w:p>
      <w:pPr>
        <w:spacing w:line="360" w:lineRule="auto"/>
        <w:ind w:firstLine="480" w:firstLineChars="200"/>
        <w:outlineLvl w:val="9"/>
        <w:rPr>
          <w:rFonts w:hint="eastAsia" w:ascii="宋体" w:hAnsi="宋体" w:cs="仿宋_GB2312"/>
          <w:sz w:val="24"/>
          <w:szCs w:val="24"/>
          <w:highlight w:val="none"/>
          <w:u w:val="single"/>
        </w:rPr>
      </w:pPr>
      <w:r>
        <w:rPr>
          <w:rFonts w:hint="eastAsia" w:ascii="宋体" w:hAnsi="宋体" w:cs="仿宋_GB2312"/>
          <w:sz w:val="24"/>
          <w:szCs w:val="24"/>
          <w:highlight w:val="none"/>
          <w:u w:val="single"/>
        </w:rPr>
        <w:t>（6）承包人到位的人员及设备配置必须和投标书施工组织设计所列人员及设备配置相符，未经发包人同意，不得随意更换，否则视为承包人违约，发包人有权解除合同，由此造成的一切经济损失由承包人承担。</w:t>
      </w:r>
    </w:p>
    <w:p>
      <w:pPr>
        <w:spacing w:line="360" w:lineRule="auto"/>
        <w:jc w:val="left"/>
        <w:outlineLvl w:val="9"/>
        <w:rPr>
          <w:rFonts w:hint="eastAsia" w:ascii="宋体" w:hAnsi="宋体" w:eastAsia="宋体" w:cs="宋体"/>
          <w:color w:val="000000"/>
          <w:kern w:val="0"/>
          <w:sz w:val="24"/>
          <w:szCs w:val="24"/>
          <w:highlight w:val="none"/>
        </w:rPr>
      </w:pPr>
      <w:r>
        <w:rPr>
          <w:rFonts w:hint="eastAsia" w:ascii="宋体" w:hAnsi="宋体" w:cs="仿宋_GB2312"/>
          <w:sz w:val="24"/>
          <w:szCs w:val="24"/>
          <w:highlight w:val="none"/>
          <w:u w:val="single"/>
        </w:rPr>
        <w:t>（7）若因承包人原因导致施工现场管理达不到约定文明工地标准，则承包人应向发包人支付违约金5万人民币</w:t>
      </w:r>
      <w:r>
        <w:rPr>
          <w:rFonts w:hint="eastAsia" w:ascii="宋体" w:hAnsi="宋体" w:eastAsia="宋体" w:cs="宋体"/>
          <w:color w:val="000000"/>
          <w:kern w:val="0"/>
          <w:sz w:val="24"/>
          <w:szCs w:val="24"/>
          <w:highlight w:val="none"/>
        </w:rPr>
        <w:t>。</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16.2.2承包人违约的责任</w:t>
      </w:r>
    </w:p>
    <w:p>
      <w:pPr>
        <w:spacing w:line="360" w:lineRule="auto"/>
        <w:ind w:firstLine="480" w:firstLineChars="200"/>
        <w:jc w:val="left"/>
        <w:outlineLvl w:val="9"/>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w:t>
      </w:r>
      <w:r>
        <w:rPr>
          <w:rFonts w:hint="eastAsia" w:ascii="宋体" w:hAnsi="宋体" w:eastAsia="宋体" w:cs="仿宋_GB2312"/>
          <w:sz w:val="24"/>
          <w:szCs w:val="24"/>
          <w:highlight w:val="none"/>
          <w:u w:val="none"/>
        </w:rPr>
        <w:t>包人违约责任的承担方式和计算方法：</w:t>
      </w:r>
      <w:r>
        <w:rPr>
          <w:rFonts w:hint="eastAsia" w:ascii="宋体" w:hAnsi="宋体" w:eastAsia="宋体" w:cs="仿宋_GB2312"/>
          <w:sz w:val="24"/>
          <w:szCs w:val="24"/>
          <w:highlight w:val="none"/>
          <w:u w:val="single"/>
        </w:rPr>
        <w:t xml:space="preserve">（1）分部分项工程质量达不到合格标准，承包人应按照求整改合格，并承担1万元/次违约金；（2）确保现场劳务人员基本权益及时按月发放薪酬，若发生讨薪投诉事件，承包人承担5000元/次的违约金；（3）承包人没有按照开工前申报发包人进度计划实施建设的，发包人有权对承包人收取1000元/天的违约金；（4）以上违约金应在承包人当期进度款中扣除。    </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16.2.3 因承包人违约解除合同</w:t>
      </w:r>
    </w:p>
    <w:p>
      <w:pPr>
        <w:spacing w:line="360" w:lineRule="auto"/>
        <w:ind w:firstLine="480" w:firstLineChars="200"/>
        <w:jc w:val="left"/>
        <w:outlineLvl w:val="9"/>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关于承包人违约解除合同的特别约定：</w:t>
      </w:r>
      <w:r>
        <w:rPr>
          <w:rFonts w:hint="eastAsia" w:ascii="宋体" w:hAnsi="宋体" w:eastAsia="宋体" w:cs="宋体"/>
          <w:color w:val="000000"/>
          <w:kern w:val="0"/>
          <w:sz w:val="24"/>
          <w:szCs w:val="24"/>
          <w:highlight w:val="none"/>
          <w:u w:val="single"/>
        </w:rPr>
        <w:t>（1）承包人未按照双方确认的施工组织计划组织施工；（2）承包人所施工的分部分项工程两次质监站验收不合格；（3）承包人未按照合同约定及时移交工程和满足备案要求的完整竣工资料，逾期超过30日；（4）承包人欠付农民工工资、劳务费、材料款等，导致相关人员围堵发包人工地或办公场所1天以上；（5）项目经理不能胜任本职工作，承包人接到发包人更换项目经理书面通知7日内拒绝更换；（6）承包人违反本合同约定义务，经发包人书面催告后在限期内未改正的。</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highlight w:val="none"/>
          <w:u w:val="single"/>
        </w:rPr>
        <w:t>免费使用</w:t>
      </w:r>
      <w:r>
        <w:rPr>
          <w:rFonts w:hint="eastAsia" w:ascii="宋体" w:hAnsi="宋体" w:eastAsia="宋体" w:cs="宋体"/>
          <w:color w:val="000000"/>
          <w:kern w:val="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lang w:val="en-US" w:eastAsia="zh-CN"/>
        </w:rPr>
      </w:pPr>
      <w:bookmarkStart w:id="1295" w:name="_Toc351203649"/>
      <w:r>
        <w:rPr>
          <w:rFonts w:hint="eastAsia" w:ascii="宋体" w:hAnsi="宋体" w:eastAsia="宋体" w:cs="宋体"/>
          <w:color w:val="000000"/>
          <w:sz w:val="24"/>
          <w:szCs w:val="24"/>
          <w:highlight w:val="none"/>
          <w:lang w:val="en-US" w:eastAsia="zh-CN"/>
        </w:rPr>
        <w:t>17. 不可抗力</w:t>
      </w:r>
      <w:bookmarkEnd w:id="1295"/>
      <w:r>
        <w:rPr>
          <w:rFonts w:hint="eastAsia" w:ascii="宋体" w:hAnsi="宋体" w:eastAsia="宋体" w:cs="宋体"/>
          <w:color w:val="000000"/>
          <w:sz w:val="24"/>
          <w:szCs w:val="24"/>
          <w:highlight w:val="none"/>
          <w:lang w:val="en-US" w:eastAsia="zh-CN"/>
        </w:rPr>
        <w:t xml:space="preserve"> </w:t>
      </w:r>
      <w:bookmarkEnd w:id="1293"/>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不可抗力的确认</w:t>
      </w:r>
    </w:p>
    <w:p>
      <w:pPr>
        <w:spacing w:line="360" w:lineRule="auto"/>
        <w:ind w:firstLine="480" w:firstLineChars="200"/>
        <w:jc w:val="left"/>
        <w:outlineLvl w:val="9"/>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除通用合同条款约定的不可抗力事件之外，视为不可抗力的其他情形：</w:t>
      </w:r>
      <w:r>
        <w:rPr>
          <w:rFonts w:hint="eastAsia" w:ascii="宋体" w:hAnsi="宋体" w:eastAsia="宋体" w:cs="宋体"/>
          <w:color w:val="000000"/>
          <w:sz w:val="24"/>
          <w:szCs w:val="24"/>
          <w:highlight w:val="none"/>
          <w:u w:val="single"/>
        </w:rPr>
        <w:t>正常年份的风、雨、雪、雾天气不属于不可抗力；一个有经验的承包商应当能够估计到的自然气候、环境（制约）变化的影响，不做为不可抗力因素对待；新冠疫情以及政府部门发出的有碍于施工的临时性指令可按不可抗力因素对待；由于发生30年以上一遇的降雨引起的洪水灾害、雪灾造成对工程的影响，经国家有关部门鉴定后可按不可抗力因素对待；发生破坏性地震的属于不可抗力因素</w:t>
      </w:r>
      <w:r>
        <w:rPr>
          <w:rFonts w:hint="eastAsia" w:ascii="宋体" w:hAnsi="宋体" w:eastAsia="宋体" w:cs="宋体"/>
          <w:color w:val="000000"/>
          <w:kern w:val="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17.4 因不可抗力解除合同</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合同解除后，发包人应在商定或确定发包人应支付款项后</w:t>
      </w:r>
      <w:r>
        <w:rPr>
          <w:rFonts w:hint="eastAsia" w:ascii="宋体" w:hAnsi="宋体" w:eastAsia="宋体" w:cs="宋体"/>
          <w:color w:val="000000"/>
          <w:sz w:val="24"/>
          <w:szCs w:val="24"/>
          <w:highlight w:val="none"/>
          <w:u w:val="single"/>
          <w:lang w:val="en-US" w:eastAsia="zh-CN"/>
        </w:rPr>
        <w:t>28</w:t>
      </w:r>
      <w:r>
        <w:rPr>
          <w:rFonts w:hint="eastAsia" w:ascii="宋体" w:hAnsi="宋体" w:eastAsia="宋体" w:cs="宋体"/>
          <w:color w:val="000000"/>
          <w:sz w:val="24"/>
          <w:szCs w:val="24"/>
          <w:highlight w:val="none"/>
        </w:rPr>
        <w:t>天内完成款项的支付。</w:t>
      </w:r>
    </w:p>
    <w:p>
      <w:pPr>
        <w:spacing w:after="120" w:line="360" w:lineRule="auto"/>
        <w:ind w:firstLine="480" w:firstLineChars="200"/>
        <w:outlineLvl w:val="9"/>
        <w:rPr>
          <w:rFonts w:hint="eastAsia" w:ascii="宋体" w:hAnsi="宋体" w:eastAsia="宋体" w:cs="宋体"/>
          <w:color w:val="000000"/>
          <w:sz w:val="24"/>
          <w:szCs w:val="24"/>
          <w:highlight w:val="none"/>
          <w:lang w:val="en-US" w:eastAsia="zh-CN"/>
        </w:rPr>
      </w:pPr>
      <w:bookmarkStart w:id="1296" w:name="_Toc351203650"/>
      <w:r>
        <w:rPr>
          <w:rFonts w:hint="eastAsia" w:ascii="宋体" w:hAnsi="宋体" w:eastAsia="宋体" w:cs="宋体"/>
          <w:color w:val="000000"/>
          <w:sz w:val="24"/>
          <w:szCs w:val="24"/>
          <w:highlight w:val="none"/>
          <w:lang w:val="en-US" w:eastAsia="zh-CN"/>
        </w:rPr>
        <w:t>18. 保险</w:t>
      </w:r>
      <w:bookmarkEnd w:id="1296"/>
    </w:p>
    <w:bookmarkEnd w:id="1294"/>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18.1 工程保险</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关于工程保险的特别约定：</w:t>
      </w:r>
      <w:r>
        <w:rPr>
          <w:rFonts w:hint="eastAsia" w:ascii="宋体" w:hAnsi="宋体" w:eastAsia="宋体" w:cs="宋体"/>
          <w:color w:val="000000"/>
          <w:sz w:val="24"/>
          <w:szCs w:val="24"/>
          <w:highlight w:val="none"/>
          <w:u w:val="single"/>
        </w:rPr>
        <w:t>工程一切险和第三者责任险发包人委托由承包人直接购买，费用包含于合同总价款中</w:t>
      </w:r>
      <w:r>
        <w:rPr>
          <w:rFonts w:hint="eastAsia" w:ascii="宋体" w:hAnsi="宋体" w:eastAsia="宋体" w:cs="宋体"/>
          <w:color w:val="000000"/>
          <w:kern w:val="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其他保险</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关于其他保险的约定：</w:t>
      </w:r>
      <w:r>
        <w:rPr>
          <w:rFonts w:hint="eastAsia" w:ascii="宋体" w:hAnsi="宋体" w:eastAsia="宋体" w:cs="宋体"/>
          <w:color w:val="000000"/>
          <w:sz w:val="24"/>
          <w:szCs w:val="24"/>
          <w:highlight w:val="none"/>
          <w:u w:val="single"/>
        </w:rPr>
        <w:t>失业、医疗、工伤、残疾人就业保险等保险费，已包含在合同总价款中。本合同保险费已由发包人委托承包人投保，保险费已包含在合同总价款中</w:t>
      </w:r>
      <w:r>
        <w:rPr>
          <w:rFonts w:hint="eastAsia" w:ascii="宋体" w:hAnsi="宋体" w:eastAsia="宋体" w:cs="宋体"/>
          <w:color w:val="000000"/>
          <w:kern w:val="0"/>
          <w:sz w:val="24"/>
          <w:szCs w:val="24"/>
          <w:highlight w:val="none"/>
        </w:rPr>
        <w:t>。</w:t>
      </w:r>
    </w:p>
    <w:p>
      <w:pPr>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承包人是否应为其施工设备等办理财产保险：</w:t>
      </w:r>
      <w:r>
        <w:rPr>
          <w:rFonts w:hint="eastAsia" w:ascii="宋体" w:hAnsi="宋体" w:eastAsia="宋体" w:cs="宋体"/>
          <w:color w:val="000000"/>
          <w:sz w:val="24"/>
          <w:szCs w:val="24"/>
          <w:highlight w:val="none"/>
          <w:u w:val="single"/>
        </w:rPr>
        <w:t>执行通用条款</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 通知义务</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关于变更保险合同时的通知义务的约定：</w:t>
      </w:r>
      <w:r>
        <w:rPr>
          <w:rFonts w:hint="eastAsia" w:ascii="宋体" w:hAnsi="宋体" w:eastAsia="宋体" w:cs="宋体"/>
          <w:color w:val="000000"/>
          <w:kern w:val="0"/>
          <w:sz w:val="24"/>
          <w:szCs w:val="24"/>
          <w:highlight w:val="none"/>
          <w:u w:val="single"/>
        </w:rPr>
        <w:t>无</w:t>
      </w:r>
      <w:r>
        <w:rPr>
          <w:rFonts w:hint="eastAsia" w:ascii="宋体" w:hAnsi="宋体" w:eastAsia="宋体" w:cs="宋体"/>
          <w:color w:val="000000"/>
          <w:sz w:val="24"/>
          <w:szCs w:val="24"/>
          <w:highlight w:val="none"/>
        </w:rPr>
        <w:t>。</w:t>
      </w:r>
    </w:p>
    <w:bookmarkEnd w:id="1270"/>
    <w:bookmarkEnd w:id="1271"/>
    <w:bookmarkEnd w:id="1272"/>
    <w:bookmarkEnd w:id="1273"/>
    <w:bookmarkEnd w:id="1274"/>
    <w:bookmarkEnd w:id="1275"/>
    <w:bookmarkEnd w:id="1276"/>
    <w:bookmarkEnd w:id="1277"/>
    <w:bookmarkEnd w:id="1278"/>
    <w:bookmarkEnd w:id="1279"/>
    <w:bookmarkEnd w:id="1280"/>
    <w:bookmarkEnd w:id="1281"/>
    <w:p>
      <w:pPr>
        <w:spacing w:after="120" w:line="360" w:lineRule="auto"/>
        <w:ind w:firstLine="480" w:firstLineChars="200"/>
        <w:outlineLvl w:val="9"/>
        <w:rPr>
          <w:rFonts w:hint="eastAsia" w:ascii="宋体" w:hAnsi="宋体" w:eastAsia="宋体" w:cs="宋体"/>
          <w:color w:val="000000"/>
          <w:sz w:val="24"/>
          <w:szCs w:val="24"/>
          <w:highlight w:val="none"/>
          <w:lang w:val="en-US" w:eastAsia="zh-CN"/>
        </w:rPr>
      </w:pPr>
      <w:bookmarkStart w:id="1297" w:name="_Toc351203651"/>
      <w:r>
        <w:rPr>
          <w:rFonts w:hint="eastAsia" w:ascii="宋体" w:hAnsi="宋体" w:eastAsia="宋体" w:cs="宋体"/>
          <w:color w:val="000000"/>
          <w:sz w:val="24"/>
          <w:szCs w:val="24"/>
          <w:highlight w:val="none"/>
          <w:lang w:val="en-US" w:eastAsia="zh-CN"/>
        </w:rPr>
        <w:t>20. 争议解决</w:t>
      </w:r>
      <w:bookmarkEnd w:id="1297"/>
    </w:p>
    <w:bookmarkEnd w:id="1282"/>
    <w:bookmarkEnd w:id="1283"/>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 争</w:t>
      </w:r>
      <w:bookmarkEnd w:id="1284"/>
      <w:r>
        <w:rPr>
          <w:rFonts w:hint="eastAsia" w:ascii="宋体" w:hAnsi="宋体" w:eastAsia="宋体" w:cs="宋体"/>
          <w:color w:val="000000"/>
          <w:sz w:val="24"/>
          <w:szCs w:val="24"/>
          <w:highlight w:val="none"/>
        </w:rPr>
        <w:t>议评审</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合同当事人是否同意将工程争议提交争议评审小组决定：</w:t>
      </w:r>
      <w:r>
        <w:rPr>
          <w:rFonts w:hint="eastAsia" w:ascii="宋体" w:hAnsi="宋体" w:eastAsia="宋体" w:cs="宋体"/>
          <w:color w:val="000000"/>
          <w:sz w:val="24"/>
          <w:szCs w:val="24"/>
          <w:highlight w:val="none"/>
          <w:u w:val="single"/>
          <w:lang w:val="en-US" w:eastAsia="zh-CN"/>
        </w:rPr>
        <w:t>否</w:t>
      </w:r>
      <w:r>
        <w:rPr>
          <w:rFonts w:hint="eastAsia" w:ascii="宋体" w:hAnsi="宋体" w:eastAsia="宋体" w:cs="宋体"/>
          <w:color w:val="000000"/>
          <w:sz w:val="24"/>
          <w:szCs w:val="24"/>
          <w:highlight w:val="none"/>
        </w:rPr>
        <w:t xml:space="preserve">。  </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20.3.1 争议评审小组的确定</w:t>
      </w:r>
    </w:p>
    <w:p>
      <w:pPr>
        <w:spacing w:line="360" w:lineRule="auto"/>
        <w:ind w:firstLine="480" w:firstLineChars="200"/>
        <w:jc w:val="left"/>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争议评审小组成员的确定：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选定争议评审员的期限：</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争议评审小组成员的报酬承担方式：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其他事项的约定：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autoSpaceDE w:val="0"/>
        <w:autoSpaceDN w:val="0"/>
        <w:adjustRightInd w:val="0"/>
        <w:spacing w:line="360" w:lineRule="auto"/>
        <w:ind w:firstLine="480" w:firstLineChars="200"/>
        <w:jc w:val="left"/>
        <w:outlineLvl w:val="9"/>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20.3.2 争议评审小组的决定</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合同当事人关于本项的约定：</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20.4仲裁或诉讼</w:t>
      </w:r>
      <w:bookmarkEnd w:id="1285"/>
    </w:p>
    <w:p>
      <w:pPr>
        <w:spacing w:after="120" w:line="360" w:lineRule="auto"/>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因合同及合同有关事项发生的争议，按下列第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种方式解决：</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仲裁委员会申请仲裁；</w:t>
      </w:r>
    </w:p>
    <w:p>
      <w:pPr>
        <w:spacing w:line="360" w:lineRule="auto"/>
        <w:ind w:firstLine="480" w:firstLineChars="200"/>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（2）向</w:t>
      </w:r>
      <w:r>
        <w:rPr>
          <w:rFonts w:hint="eastAsia" w:ascii="宋体" w:hAnsi="宋体" w:eastAsia="宋体" w:cs="宋体"/>
          <w:color w:val="000000"/>
          <w:sz w:val="24"/>
          <w:szCs w:val="24"/>
          <w:highlight w:val="none"/>
          <w:u w:val="single"/>
        </w:rPr>
        <w:t>发包人所在地</w:t>
      </w:r>
      <w:r>
        <w:rPr>
          <w:rFonts w:hint="eastAsia" w:ascii="宋体" w:hAnsi="宋体" w:eastAsia="宋体" w:cs="宋体"/>
          <w:color w:val="000000"/>
          <w:sz w:val="24"/>
          <w:szCs w:val="24"/>
          <w:highlight w:val="none"/>
        </w:rPr>
        <w:t>人民法院起诉。</w:t>
      </w:r>
      <w:bookmarkEnd w:id="1286"/>
      <w:bookmarkEnd w:id="1287"/>
      <w:bookmarkEnd w:id="1288"/>
      <w:bookmarkEnd w:id="1289"/>
      <w:bookmarkEnd w:id="1290"/>
      <w:bookmarkEnd w:id="1291"/>
    </w:p>
    <w:p>
      <w:pPr>
        <w:spacing w:line="600" w:lineRule="exact"/>
        <w:ind w:firstLine="4944" w:firstLineChars="2060"/>
        <w:rPr>
          <w:sz w:val="24"/>
          <w:szCs w:val="24"/>
          <w:highlight w:val="none"/>
        </w:rPr>
      </w:pPr>
    </w:p>
    <w:p>
      <w:pPr>
        <w:spacing w:before="156" w:beforeLines="50" w:after="156" w:afterLines="50" w:line="360" w:lineRule="auto"/>
        <w:jc w:val="left"/>
        <w:rPr>
          <w:rFonts w:hint="eastAsia" w:ascii="宋体" w:hAnsi="宋体"/>
          <w:b/>
          <w:bCs/>
          <w:sz w:val="24"/>
          <w:szCs w:val="24"/>
          <w:highlight w:val="none"/>
        </w:rPr>
      </w:pPr>
      <w:r>
        <w:rPr>
          <w:szCs w:val="21"/>
          <w:highlight w:val="none"/>
        </w:rPr>
        <w:br w:type="page"/>
      </w:r>
      <w:r>
        <w:rPr>
          <w:rFonts w:hint="eastAsia" w:ascii="宋体" w:hAnsi="宋体"/>
          <w:b/>
          <w:bCs/>
          <w:sz w:val="24"/>
          <w:szCs w:val="24"/>
          <w:highlight w:val="none"/>
        </w:rPr>
        <w:t>附件1：</w:t>
      </w:r>
    </w:p>
    <w:p>
      <w:pPr>
        <w:spacing w:before="156" w:beforeLines="50" w:after="156" w:afterLines="50" w:line="360" w:lineRule="auto"/>
        <w:jc w:val="center"/>
        <w:rPr>
          <w:rFonts w:hint="eastAsia" w:ascii="宋体" w:hAnsi="宋体"/>
          <w:sz w:val="30"/>
          <w:szCs w:val="30"/>
          <w:highlight w:val="none"/>
        </w:rPr>
      </w:pPr>
      <w:r>
        <w:rPr>
          <w:rFonts w:ascii="宋体" w:hAnsi="宋体"/>
          <w:sz w:val="30"/>
          <w:szCs w:val="30"/>
          <w:highlight w:val="none"/>
        </w:rPr>
        <w:t>承包人承揽工程项目一览表</w:t>
      </w:r>
    </w:p>
    <w:tbl>
      <w:tblPr>
        <w:tblStyle w:val="35"/>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2"/>
        <w:gridCol w:w="1259"/>
        <w:gridCol w:w="968"/>
        <w:gridCol w:w="1647"/>
        <w:gridCol w:w="581"/>
        <w:gridCol w:w="1066"/>
        <w:gridCol w:w="1453"/>
        <w:gridCol w:w="968"/>
        <w:gridCol w:w="581"/>
        <w:gridCol w:w="5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0" w:hRule="atLeast"/>
        </w:trPr>
        <w:tc>
          <w:tcPr>
            <w:tcW w:w="872"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单位工程名称</w:t>
            </w:r>
          </w:p>
        </w:tc>
        <w:tc>
          <w:tcPr>
            <w:tcW w:w="1259"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建设规模</w:t>
            </w:r>
          </w:p>
        </w:tc>
        <w:tc>
          <w:tcPr>
            <w:tcW w:w="968"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建筑面积(平方米)</w:t>
            </w:r>
          </w:p>
        </w:tc>
        <w:tc>
          <w:tcPr>
            <w:tcW w:w="1647"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结构</w:t>
            </w:r>
            <w:r>
              <w:rPr>
                <w:rFonts w:hint="eastAsia" w:ascii="宋体" w:hAnsi="宋体"/>
                <w:sz w:val="28"/>
                <w:szCs w:val="30"/>
                <w:highlight w:val="none"/>
              </w:rPr>
              <w:t>形式</w:t>
            </w:r>
          </w:p>
        </w:tc>
        <w:tc>
          <w:tcPr>
            <w:tcW w:w="581"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层数</w:t>
            </w:r>
          </w:p>
        </w:tc>
        <w:tc>
          <w:tcPr>
            <w:tcW w:w="1066"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生产能力</w:t>
            </w:r>
          </w:p>
        </w:tc>
        <w:tc>
          <w:tcPr>
            <w:tcW w:w="1453"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设备安装内容</w:t>
            </w:r>
          </w:p>
        </w:tc>
        <w:tc>
          <w:tcPr>
            <w:tcW w:w="968"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合同价格（元）</w:t>
            </w:r>
          </w:p>
        </w:tc>
        <w:tc>
          <w:tcPr>
            <w:tcW w:w="581"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开工日期</w:t>
            </w:r>
          </w:p>
        </w:tc>
        <w:tc>
          <w:tcPr>
            <w:tcW w:w="581"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trPr>
        <w:tc>
          <w:tcPr>
            <w:tcW w:w="872"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59"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47"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66"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3"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trPr>
        <w:tc>
          <w:tcPr>
            <w:tcW w:w="872"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59"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47"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66"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3"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trPr>
        <w:tc>
          <w:tcPr>
            <w:tcW w:w="872"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59"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47"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66"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3"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trPr>
        <w:tc>
          <w:tcPr>
            <w:tcW w:w="87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59"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4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6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trPr>
        <w:tc>
          <w:tcPr>
            <w:tcW w:w="872"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59"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47"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66"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3"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trPr>
        <w:tc>
          <w:tcPr>
            <w:tcW w:w="87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59"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4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6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trPr>
        <w:tc>
          <w:tcPr>
            <w:tcW w:w="872"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59"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47"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66"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3"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trPr>
        <w:tc>
          <w:tcPr>
            <w:tcW w:w="872"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59"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47"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66"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3"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trPr>
        <w:tc>
          <w:tcPr>
            <w:tcW w:w="87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59"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4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6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trPr>
        <w:tc>
          <w:tcPr>
            <w:tcW w:w="87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59"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4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6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6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58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bl>
    <w:p>
      <w:pPr>
        <w:spacing w:line="360" w:lineRule="auto"/>
        <w:rPr>
          <w:rFonts w:ascii="宋体" w:hAnsi="宋体"/>
          <w:b/>
          <w:sz w:val="30"/>
          <w:szCs w:val="30"/>
          <w:highlight w:val="none"/>
        </w:rPr>
        <w:sectPr>
          <w:headerReference r:id="rId4" w:type="first"/>
          <w:footerReference r:id="rId6" w:type="first"/>
          <w:headerReference r:id="rId3" w:type="default"/>
          <w:footerReference r:id="rId5" w:type="default"/>
          <w:pgSz w:w="11906" w:h="16838"/>
          <w:pgMar w:top="1418" w:right="1531" w:bottom="1418" w:left="1134" w:header="851" w:footer="964" w:gutter="0"/>
          <w:pgNumType w:fmt="decimal" w:start="1"/>
          <w:cols w:space="720" w:num="1"/>
          <w:docGrid w:type="linesAndChars" w:linePitch="312" w:charSpace="0"/>
        </w:sectPr>
      </w:pPr>
      <w:r>
        <w:rPr>
          <w:rFonts w:hint="eastAsia" w:ascii="宋体" w:hAnsi="宋体"/>
          <w:b/>
          <w:sz w:val="30"/>
          <w:szCs w:val="30"/>
          <w:highlight w:val="none"/>
        </w:rPr>
        <w:t xml:space="preserve"> </w:t>
      </w:r>
      <w:r>
        <w:rPr>
          <w:rFonts w:ascii="宋体" w:hAnsi="宋体"/>
          <w:b/>
          <w:sz w:val="30"/>
          <w:szCs w:val="30"/>
          <w:highlight w:val="none"/>
        </w:rPr>
        <w:t xml:space="preserve">  </w:t>
      </w:r>
    </w:p>
    <w:p>
      <w:pPr>
        <w:spacing w:before="156" w:beforeLines="50" w:after="156" w:afterLines="50" w:line="36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附</w:t>
      </w:r>
      <w:bookmarkStart w:id="1298" w:name="_Toc296891265"/>
      <w:bookmarkStart w:id="1299" w:name="_Toc267261692"/>
      <w:bookmarkStart w:id="1300" w:name="_Toc296347224"/>
      <w:bookmarkStart w:id="1301" w:name="_Toc296503225"/>
      <w:bookmarkStart w:id="1302" w:name="_Toc296891053"/>
      <w:bookmarkStart w:id="1303" w:name="_Toc296346726"/>
      <w:bookmarkStart w:id="1304" w:name="_Toc296944564"/>
      <w:r>
        <w:rPr>
          <w:rFonts w:hint="eastAsia" w:ascii="宋体" w:hAnsi="宋体" w:eastAsia="宋体"/>
          <w:b/>
          <w:bCs/>
          <w:sz w:val="24"/>
          <w:szCs w:val="24"/>
          <w:highlight w:val="none"/>
        </w:rPr>
        <w:t>件2：</w:t>
      </w:r>
    </w:p>
    <w:bookmarkEnd w:id="1298"/>
    <w:bookmarkEnd w:id="1299"/>
    <w:bookmarkEnd w:id="1300"/>
    <w:bookmarkEnd w:id="1301"/>
    <w:bookmarkEnd w:id="1302"/>
    <w:bookmarkEnd w:id="1303"/>
    <w:bookmarkEnd w:id="1304"/>
    <w:p>
      <w:pPr>
        <w:spacing w:before="120" w:beforeLines="50" w:after="120" w:afterLines="50" w:line="360" w:lineRule="auto"/>
        <w:jc w:val="center"/>
        <w:rPr>
          <w:rFonts w:hint="eastAsia" w:ascii="宋体" w:hAnsi="宋体"/>
          <w:sz w:val="30"/>
          <w:szCs w:val="30"/>
          <w:highlight w:val="none"/>
        </w:rPr>
      </w:pPr>
      <w:r>
        <w:rPr>
          <w:rFonts w:ascii="宋体" w:hAnsi="宋体"/>
          <w:sz w:val="30"/>
          <w:szCs w:val="30"/>
          <w:highlight w:val="none"/>
        </w:rPr>
        <w:t>发包人供应材料设备一览表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序号</w:t>
            </w:r>
          </w:p>
        </w:tc>
        <w:tc>
          <w:tcPr>
            <w:tcW w:w="1276"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hint="eastAsia" w:ascii="宋体" w:hAnsi="宋体"/>
                <w:sz w:val="28"/>
                <w:szCs w:val="30"/>
                <w:highlight w:val="none"/>
              </w:rPr>
            </w:pPr>
            <w:r>
              <w:rPr>
                <w:rFonts w:hint="eastAsia" w:ascii="宋体" w:hAnsi="宋体"/>
                <w:sz w:val="28"/>
                <w:szCs w:val="30"/>
                <w:highlight w:val="none"/>
              </w:rPr>
              <w:t xml:space="preserve">  </w:t>
            </w:r>
            <w:r>
              <w:rPr>
                <w:rFonts w:ascii="宋体" w:hAnsi="宋体"/>
                <w:sz w:val="28"/>
                <w:szCs w:val="30"/>
                <w:highlight w:val="none"/>
              </w:rPr>
              <w:t>材料、</w:t>
            </w:r>
          </w:p>
          <w:p>
            <w:pPr>
              <w:keepNext/>
              <w:adjustRightInd w:val="0"/>
              <w:spacing w:line="360" w:lineRule="auto"/>
              <w:ind w:right="63" w:rightChars="30"/>
              <w:textAlignment w:val="baseline"/>
              <w:rPr>
                <w:rFonts w:ascii="宋体" w:hAnsi="宋体"/>
                <w:sz w:val="28"/>
                <w:szCs w:val="30"/>
                <w:highlight w:val="none"/>
              </w:rPr>
            </w:pPr>
            <w:r>
              <w:rPr>
                <w:rFonts w:ascii="宋体" w:hAnsi="宋体"/>
                <w:sz w:val="28"/>
                <w:szCs w:val="30"/>
                <w:highlight w:val="none"/>
              </w:rPr>
              <w:t>设备品种</w:t>
            </w:r>
          </w:p>
        </w:tc>
        <w:tc>
          <w:tcPr>
            <w:tcW w:w="1418"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规格型号</w:t>
            </w:r>
          </w:p>
        </w:tc>
        <w:tc>
          <w:tcPr>
            <w:tcW w:w="940"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单位</w:t>
            </w:r>
          </w:p>
        </w:tc>
        <w:tc>
          <w:tcPr>
            <w:tcW w:w="851"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数量</w:t>
            </w:r>
          </w:p>
        </w:tc>
        <w:tc>
          <w:tcPr>
            <w:tcW w:w="1044"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单价</w:t>
            </w:r>
            <w:r>
              <w:rPr>
                <w:rFonts w:hint="eastAsia" w:ascii="宋体" w:hAnsi="宋体"/>
                <w:sz w:val="28"/>
                <w:szCs w:val="30"/>
                <w:highlight w:val="none"/>
              </w:rPr>
              <w:t>（元）</w:t>
            </w:r>
          </w:p>
        </w:tc>
        <w:tc>
          <w:tcPr>
            <w:tcW w:w="992"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质量等级</w:t>
            </w:r>
          </w:p>
        </w:tc>
        <w:tc>
          <w:tcPr>
            <w:tcW w:w="851"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供应时间</w:t>
            </w:r>
          </w:p>
        </w:tc>
        <w:tc>
          <w:tcPr>
            <w:tcW w:w="1487"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送达地点</w:t>
            </w:r>
          </w:p>
        </w:tc>
        <w:tc>
          <w:tcPr>
            <w:tcW w:w="992"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18"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40"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1"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44"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92"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1"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87"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92"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18"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40"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44"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92"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87"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92"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4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4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9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8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9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4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4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9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8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9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4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4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9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8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9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4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4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9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8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9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4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4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9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8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9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ascii="宋体" w:hAnsi="宋体"/>
                <w:sz w:val="30"/>
                <w:szCs w:val="30"/>
                <w:highlight w:val="none"/>
              </w:rPr>
            </w:pPr>
          </w:p>
        </w:tc>
        <w:tc>
          <w:tcPr>
            <w:tcW w:w="1276" w:type="dxa"/>
            <w:noWrap w:val="0"/>
            <w:vAlign w:val="center"/>
          </w:tcPr>
          <w:p>
            <w:pPr>
              <w:spacing w:line="360" w:lineRule="auto"/>
              <w:jc w:val="center"/>
              <w:rPr>
                <w:rFonts w:ascii="宋体" w:hAnsi="宋体"/>
                <w:sz w:val="30"/>
                <w:szCs w:val="30"/>
                <w:highlight w:val="none"/>
              </w:rPr>
            </w:pPr>
          </w:p>
        </w:tc>
        <w:tc>
          <w:tcPr>
            <w:tcW w:w="1418" w:type="dxa"/>
            <w:noWrap w:val="0"/>
            <w:vAlign w:val="center"/>
          </w:tcPr>
          <w:p>
            <w:pPr>
              <w:spacing w:line="360" w:lineRule="auto"/>
              <w:jc w:val="center"/>
              <w:rPr>
                <w:rFonts w:ascii="宋体" w:hAnsi="宋体"/>
                <w:sz w:val="30"/>
                <w:szCs w:val="30"/>
                <w:highlight w:val="none"/>
              </w:rPr>
            </w:pPr>
          </w:p>
        </w:tc>
        <w:tc>
          <w:tcPr>
            <w:tcW w:w="940" w:type="dxa"/>
            <w:noWrap w:val="0"/>
            <w:vAlign w:val="center"/>
          </w:tcPr>
          <w:p>
            <w:pPr>
              <w:spacing w:line="360" w:lineRule="auto"/>
              <w:jc w:val="center"/>
              <w:rPr>
                <w:rFonts w:ascii="宋体" w:hAnsi="宋体"/>
                <w:sz w:val="30"/>
                <w:szCs w:val="30"/>
                <w:highlight w:val="none"/>
              </w:rPr>
            </w:pPr>
          </w:p>
        </w:tc>
        <w:tc>
          <w:tcPr>
            <w:tcW w:w="851" w:type="dxa"/>
            <w:noWrap w:val="0"/>
            <w:vAlign w:val="center"/>
          </w:tcPr>
          <w:p>
            <w:pPr>
              <w:spacing w:line="360" w:lineRule="auto"/>
              <w:jc w:val="center"/>
              <w:rPr>
                <w:rFonts w:ascii="宋体" w:hAnsi="宋体"/>
                <w:sz w:val="30"/>
                <w:szCs w:val="30"/>
                <w:highlight w:val="none"/>
              </w:rPr>
            </w:pPr>
          </w:p>
        </w:tc>
        <w:tc>
          <w:tcPr>
            <w:tcW w:w="1044" w:type="dxa"/>
            <w:noWrap w:val="0"/>
            <w:vAlign w:val="center"/>
          </w:tcPr>
          <w:p>
            <w:pPr>
              <w:spacing w:line="360" w:lineRule="auto"/>
              <w:jc w:val="center"/>
              <w:rPr>
                <w:rFonts w:ascii="宋体" w:hAnsi="宋体"/>
                <w:sz w:val="30"/>
                <w:szCs w:val="30"/>
                <w:highlight w:val="none"/>
              </w:rPr>
            </w:pPr>
          </w:p>
        </w:tc>
        <w:tc>
          <w:tcPr>
            <w:tcW w:w="992" w:type="dxa"/>
            <w:noWrap w:val="0"/>
            <w:vAlign w:val="center"/>
          </w:tcPr>
          <w:p>
            <w:pPr>
              <w:spacing w:line="360" w:lineRule="auto"/>
              <w:jc w:val="center"/>
              <w:rPr>
                <w:rFonts w:ascii="宋体" w:hAnsi="宋体"/>
                <w:sz w:val="30"/>
                <w:szCs w:val="30"/>
                <w:highlight w:val="none"/>
              </w:rPr>
            </w:pPr>
          </w:p>
        </w:tc>
        <w:tc>
          <w:tcPr>
            <w:tcW w:w="851" w:type="dxa"/>
            <w:noWrap w:val="0"/>
            <w:vAlign w:val="center"/>
          </w:tcPr>
          <w:p>
            <w:pPr>
              <w:spacing w:line="360" w:lineRule="auto"/>
              <w:jc w:val="center"/>
              <w:rPr>
                <w:rFonts w:ascii="宋体" w:hAnsi="宋体"/>
                <w:sz w:val="30"/>
                <w:szCs w:val="30"/>
                <w:highlight w:val="none"/>
              </w:rPr>
            </w:pPr>
          </w:p>
        </w:tc>
        <w:tc>
          <w:tcPr>
            <w:tcW w:w="1487" w:type="dxa"/>
            <w:noWrap w:val="0"/>
            <w:vAlign w:val="center"/>
          </w:tcPr>
          <w:p>
            <w:pPr>
              <w:spacing w:line="360" w:lineRule="auto"/>
              <w:jc w:val="center"/>
              <w:rPr>
                <w:rFonts w:ascii="宋体" w:hAnsi="宋体"/>
                <w:sz w:val="30"/>
                <w:szCs w:val="30"/>
                <w:highlight w:val="none"/>
              </w:rPr>
            </w:pPr>
          </w:p>
        </w:tc>
        <w:tc>
          <w:tcPr>
            <w:tcW w:w="992" w:type="dxa"/>
            <w:noWrap w:val="0"/>
            <w:vAlign w:val="center"/>
          </w:tcPr>
          <w:p>
            <w:pPr>
              <w:spacing w:line="360" w:lineRule="auto"/>
              <w:jc w:val="center"/>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4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4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9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8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9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ascii="宋体" w:hAnsi="宋体"/>
                <w:sz w:val="30"/>
                <w:szCs w:val="30"/>
                <w:highlight w:val="none"/>
              </w:rPr>
            </w:pPr>
          </w:p>
        </w:tc>
        <w:tc>
          <w:tcPr>
            <w:tcW w:w="1276" w:type="dxa"/>
            <w:noWrap w:val="0"/>
            <w:vAlign w:val="center"/>
          </w:tcPr>
          <w:p>
            <w:pPr>
              <w:spacing w:line="360" w:lineRule="auto"/>
              <w:jc w:val="center"/>
              <w:rPr>
                <w:rFonts w:ascii="宋体" w:hAnsi="宋体"/>
                <w:sz w:val="30"/>
                <w:szCs w:val="30"/>
                <w:highlight w:val="none"/>
              </w:rPr>
            </w:pPr>
          </w:p>
        </w:tc>
        <w:tc>
          <w:tcPr>
            <w:tcW w:w="1418" w:type="dxa"/>
            <w:noWrap w:val="0"/>
            <w:vAlign w:val="center"/>
          </w:tcPr>
          <w:p>
            <w:pPr>
              <w:spacing w:line="360" w:lineRule="auto"/>
              <w:jc w:val="center"/>
              <w:rPr>
                <w:rFonts w:ascii="宋体" w:hAnsi="宋体"/>
                <w:sz w:val="30"/>
                <w:szCs w:val="30"/>
                <w:highlight w:val="none"/>
              </w:rPr>
            </w:pPr>
          </w:p>
        </w:tc>
        <w:tc>
          <w:tcPr>
            <w:tcW w:w="940" w:type="dxa"/>
            <w:noWrap w:val="0"/>
            <w:vAlign w:val="center"/>
          </w:tcPr>
          <w:p>
            <w:pPr>
              <w:spacing w:line="360" w:lineRule="auto"/>
              <w:jc w:val="center"/>
              <w:rPr>
                <w:rFonts w:ascii="宋体" w:hAnsi="宋体"/>
                <w:sz w:val="30"/>
                <w:szCs w:val="30"/>
                <w:highlight w:val="none"/>
              </w:rPr>
            </w:pPr>
          </w:p>
        </w:tc>
        <w:tc>
          <w:tcPr>
            <w:tcW w:w="851" w:type="dxa"/>
            <w:noWrap w:val="0"/>
            <w:vAlign w:val="center"/>
          </w:tcPr>
          <w:p>
            <w:pPr>
              <w:spacing w:line="360" w:lineRule="auto"/>
              <w:jc w:val="center"/>
              <w:rPr>
                <w:rFonts w:ascii="宋体" w:hAnsi="宋体"/>
                <w:sz w:val="30"/>
                <w:szCs w:val="30"/>
                <w:highlight w:val="none"/>
              </w:rPr>
            </w:pPr>
          </w:p>
        </w:tc>
        <w:tc>
          <w:tcPr>
            <w:tcW w:w="1044" w:type="dxa"/>
            <w:noWrap w:val="0"/>
            <w:vAlign w:val="center"/>
          </w:tcPr>
          <w:p>
            <w:pPr>
              <w:spacing w:line="360" w:lineRule="auto"/>
              <w:jc w:val="center"/>
              <w:rPr>
                <w:rFonts w:ascii="宋体" w:hAnsi="宋体"/>
                <w:sz w:val="30"/>
                <w:szCs w:val="30"/>
                <w:highlight w:val="none"/>
              </w:rPr>
            </w:pPr>
          </w:p>
        </w:tc>
        <w:tc>
          <w:tcPr>
            <w:tcW w:w="992" w:type="dxa"/>
            <w:noWrap w:val="0"/>
            <w:vAlign w:val="center"/>
          </w:tcPr>
          <w:p>
            <w:pPr>
              <w:spacing w:line="360" w:lineRule="auto"/>
              <w:jc w:val="center"/>
              <w:rPr>
                <w:rFonts w:ascii="宋体" w:hAnsi="宋体"/>
                <w:sz w:val="30"/>
                <w:szCs w:val="30"/>
                <w:highlight w:val="none"/>
              </w:rPr>
            </w:pPr>
          </w:p>
        </w:tc>
        <w:tc>
          <w:tcPr>
            <w:tcW w:w="851" w:type="dxa"/>
            <w:noWrap w:val="0"/>
            <w:vAlign w:val="center"/>
          </w:tcPr>
          <w:p>
            <w:pPr>
              <w:spacing w:line="360" w:lineRule="auto"/>
              <w:jc w:val="center"/>
              <w:rPr>
                <w:rFonts w:ascii="宋体" w:hAnsi="宋体"/>
                <w:sz w:val="30"/>
                <w:szCs w:val="30"/>
                <w:highlight w:val="none"/>
              </w:rPr>
            </w:pPr>
          </w:p>
        </w:tc>
        <w:tc>
          <w:tcPr>
            <w:tcW w:w="1487" w:type="dxa"/>
            <w:noWrap w:val="0"/>
            <w:vAlign w:val="center"/>
          </w:tcPr>
          <w:p>
            <w:pPr>
              <w:spacing w:line="360" w:lineRule="auto"/>
              <w:jc w:val="center"/>
              <w:rPr>
                <w:rFonts w:ascii="宋体" w:hAnsi="宋体"/>
                <w:sz w:val="30"/>
                <w:szCs w:val="30"/>
                <w:highlight w:val="none"/>
              </w:rPr>
            </w:pPr>
          </w:p>
        </w:tc>
        <w:tc>
          <w:tcPr>
            <w:tcW w:w="992" w:type="dxa"/>
            <w:noWrap w:val="0"/>
            <w:vAlign w:val="center"/>
          </w:tcPr>
          <w:p>
            <w:pPr>
              <w:spacing w:line="360" w:lineRule="auto"/>
              <w:jc w:val="center"/>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ascii="宋体" w:hAnsi="宋体"/>
                <w:sz w:val="30"/>
                <w:szCs w:val="30"/>
                <w:highlight w:val="none"/>
              </w:rPr>
            </w:pPr>
          </w:p>
        </w:tc>
        <w:tc>
          <w:tcPr>
            <w:tcW w:w="1276" w:type="dxa"/>
            <w:noWrap w:val="0"/>
            <w:vAlign w:val="center"/>
          </w:tcPr>
          <w:p>
            <w:pPr>
              <w:spacing w:line="360" w:lineRule="auto"/>
              <w:jc w:val="center"/>
              <w:rPr>
                <w:rFonts w:ascii="宋体" w:hAnsi="宋体"/>
                <w:sz w:val="30"/>
                <w:szCs w:val="30"/>
                <w:highlight w:val="none"/>
              </w:rPr>
            </w:pPr>
          </w:p>
        </w:tc>
        <w:tc>
          <w:tcPr>
            <w:tcW w:w="1418" w:type="dxa"/>
            <w:noWrap w:val="0"/>
            <w:vAlign w:val="center"/>
          </w:tcPr>
          <w:p>
            <w:pPr>
              <w:spacing w:line="360" w:lineRule="auto"/>
              <w:jc w:val="center"/>
              <w:rPr>
                <w:rFonts w:ascii="宋体" w:hAnsi="宋体"/>
                <w:sz w:val="30"/>
                <w:szCs w:val="30"/>
                <w:highlight w:val="none"/>
              </w:rPr>
            </w:pPr>
          </w:p>
        </w:tc>
        <w:tc>
          <w:tcPr>
            <w:tcW w:w="940" w:type="dxa"/>
            <w:noWrap w:val="0"/>
            <w:vAlign w:val="center"/>
          </w:tcPr>
          <w:p>
            <w:pPr>
              <w:spacing w:line="360" w:lineRule="auto"/>
              <w:jc w:val="center"/>
              <w:rPr>
                <w:rFonts w:ascii="宋体" w:hAnsi="宋体"/>
                <w:sz w:val="30"/>
                <w:szCs w:val="30"/>
                <w:highlight w:val="none"/>
              </w:rPr>
            </w:pPr>
          </w:p>
        </w:tc>
        <w:tc>
          <w:tcPr>
            <w:tcW w:w="851" w:type="dxa"/>
            <w:noWrap w:val="0"/>
            <w:vAlign w:val="center"/>
          </w:tcPr>
          <w:p>
            <w:pPr>
              <w:spacing w:line="360" w:lineRule="auto"/>
              <w:jc w:val="center"/>
              <w:rPr>
                <w:rFonts w:ascii="宋体" w:hAnsi="宋体"/>
                <w:sz w:val="30"/>
                <w:szCs w:val="30"/>
                <w:highlight w:val="none"/>
              </w:rPr>
            </w:pPr>
          </w:p>
        </w:tc>
        <w:tc>
          <w:tcPr>
            <w:tcW w:w="1044" w:type="dxa"/>
            <w:noWrap w:val="0"/>
            <w:vAlign w:val="center"/>
          </w:tcPr>
          <w:p>
            <w:pPr>
              <w:spacing w:line="360" w:lineRule="auto"/>
              <w:jc w:val="center"/>
              <w:rPr>
                <w:rFonts w:ascii="宋体" w:hAnsi="宋体"/>
                <w:sz w:val="30"/>
                <w:szCs w:val="30"/>
                <w:highlight w:val="none"/>
              </w:rPr>
            </w:pPr>
          </w:p>
        </w:tc>
        <w:tc>
          <w:tcPr>
            <w:tcW w:w="992" w:type="dxa"/>
            <w:noWrap w:val="0"/>
            <w:vAlign w:val="center"/>
          </w:tcPr>
          <w:p>
            <w:pPr>
              <w:spacing w:line="360" w:lineRule="auto"/>
              <w:jc w:val="center"/>
              <w:rPr>
                <w:rFonts w:ascii="宋体" w:hAnsi="宋体"/>
                <w:sz w:val="30"/>
                <w:szCs w:val="30"/>
                <w:highlight w:val="none"/>
              </w:rPr>
            </w:pPr>
          </w:p>
        </w:tc>
        <w:tc>
          <w:tcPr>
            <w:tcW w:w="851" w:type="dxa"/>
            <w:noWrap w:val="0"/>
            <w:vAlign w:val="center"/>
          </w:tcPr>
          <w:p>
            <w:pPr>
              <w:spacing w:line="360" w:lineRule="auto"/>
              <w:jc w:val="center"/>
              <w:rPr>
                <w:rFonts w:ascii="宋体" w:hAnsi="宋体"/>
                <w:sz w:val="30"/>
                <w:szCs w:val="30"/>
                <w:highlight w:val="none"/>
              </w:rPr>
            </w:pPr>
          </w:p>
        </w:tc>
        <w:tc>
          <w:tcPr>
            <w:tcW w:w="1487" w:type="dxa"/>
            <w:noWrap w:val="0"/>
            <w:vAlign w:val="center"/>
          </w:tcPr>
          <w:p>
            <w:pPr>
              <w:spacing w:line="360" w:lineRule="auto"/>
              <w:jc w:val="center"/>
              <w:rPr>
                <w:rFonts w:ascii="宋体" w:hAnsi="宋体"/>
                <w:sz w:val="30"/>
                <w:szCs w:val="30"/>
                <w:highlight w:val="none"/>
              </w:rPr>
            </w:pPr>
          </w:p>
        </w:tc>
        <w:tc>
          <w:tcPr>
            <w:tcW w:w="992" w:type="dxa"/>
            <w:noWrap w:val="0"/>
            <w:vAlign w:val="center"/>
          </w:tcPr>
          <w:p>
            <w:pPr>
              <w:spacing w:line="360" w:lineRule="auto"/>
              <w:jc w:val="center"/>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ascii="宋体" w:hAnsi="宋体"/>
                <w:sz w:val="30"/>
                <w:szCs w:val="30"/>
                <w:highlight w:val="none"/>
              </w:rPr>
            </w:pPr>
          </w:p>
        </w:tc>
        <w:tc>
          <w:tcPr>
            <w:tcW w:w="1276" w:type="dxa"/>
            <w:noWrap w:val="0"/>
            <w:vAlign w:val="center"/>
          </w:tcPr>
          <w:p>
            <w:pPr>
              <w:spacing w:line="360" w:lineRule="auto"/>
              <w:jc w:val="center"/>
              <w:rPr>
                <w:rFonts w:ascii="宋体" w:hAnsi="宋体"/>
                <w:sz w:val="30"/>
                <w:szCs w:val="30"/>
                <w:highlight w:val="none"/>
              </w:rPr>
            </w:pPr>
          </w:p>
        </w:tc>
        <w:tc>
          <w:tcPr>
            <w:tcW w:w="1418" w:type="dxa"/>
            <w:noWrap w:val="0"/>
            <w:vAlign w:val="center"/>
          </w:tcPr>
          <w:p>
            <w:pPr>
              <w:spacing w:line="360" w:lineRule="auto"/>
              <w:jc w:val="center"/>
              <w:rPr>
                <w:rFonts w:ascii="宋体" w:hAnsi="宋体"/>
                <w:sz w:val="30"/>
                <w:szCs w:val="30"/>
                <w:highlight w:val="none"/>
              </w:rPr>
            </w:pPr>
          </w:p>
        </w:tc>
        <w:tc>
          <w:tcPr>
            <w:tcW w:w="940" w:type="dxa"/>
            <w:noWrap w:val="0"/>
            <w:vAlign w:val="center"/>
          </w:tcPr>
          <w:p>
            <w:pPr>
              <w:spacing w:line="360" w:lineRule="auto"/>
              <w:jc w:val="center"/>
              <w:rPr>
                <w:rFonts w:ascii="宋体" w:hAnsi="宋体"/>
                <w:sz w:val="30"/>
                <w:szCs w:val="30"/>
                <w:highlight w:val="none"/>
              </w:rPr>
            </w:pPr>
          </w:p>
        </w:tc>
        <w:tc>
          <w:tcPr>
            <w:tcW w:w="851" w:type="dxa"/>
            <w:noWrap w:val="0"/>
            <w:vAlign w:val="center"/>
          </w:tcPr>
          <w:p>
            <w:pPr>
              <w:spacing w:line="360" w:lineRule="auto"/>
              <w:jc w:val="center"/>
              <w:rPr>
                <w:rFonts w:ascii="宋体" w:hAnsi="宋体"/>
                <w:sz w:val="30"/>
                <w:szCs w:val="30"/>
                <w:highlight w:val="none"/>
              </w:rPr>
            </w:pPr>
          </w:p>
        </w:tc>
        <w:tc>
          <w:tcPr>
            <w:tcW w:w="1044" w:type="dxa"/>
            <w:noWrap w:val="0"/>
            <w:vAlign w:val="center"/>
          </w:tcPr>
          <w:p>
            <w:pPr>
              <w:spacing w:line="360" w:lineRule="auto"/>
              <w:jc w:val="center"/>
              <w:rPr>
                <w:rFonts w:ascii="宋体" w:hAnsi="宋体"/>
                <w:sz w:val="30"/>
                <w:szCs w:val="30"/>
                <w:highlight w:val="none"/>
              </w:rPr>
            </w:pPr>
          </w:p>
        </w:tc>
        <w:tc>
          <w:tcPr>
            <w:tcW w:w="992" w:type="dxa"/>
            <w:noWrap w:val="0"/>
            <w:vAlign w:val="center"/>
          </w:tcPr>
          <w:p>
            <w:pPr>
              <w:spacing w:line="360" w:lineRule="auto"/>
              <w:jc w:val="center"/>
              <w:rPr>
                <w:rFonts w:ascii="宋体" w:hAnsi="宋体"/>
                <w:sz w:val="30"/>
                <w:szCs w:val="30"/>
                <w:highlight w:val="none"/>
              </w:rPr>
            </w:pPr>
          </w:p>
        </w:tc>
        <w:tc>
          <w:tcPr>
            <w:tcW w:w="851" w:type="dxa"/>
            <w:noWrap w:val="0"/>
            <w:vAlign w:val="center"/>
          </w:tcPr>
          <w:p>
            <w:pPr>
              <w:spacing w:line="360" w:lineRule="auto"/>
              <w:jc w:val="center"/>
              <w:rPr>
                <w:rFonts w:ascii="宋体" w:hAnsi="宋体"/>
                <w:sz w:val="30"/>
                <w:szCs w:val="30"/>
                <w:highlight w:val="none"/>
              </w:rPr>
            </w:pPr>
          </w:p>
        </w:tc>
        <w:tc>
          <w:tcPr>
            <w:tcW w:w="1487" w:type="dxa"/>
            <w:noWrap w:val="0"/>
            <w:vAlign w:val="center"/>
          </w:tcPr>
          <w:p>
            <w:pPr>
              <w:spacing w:line="360" w:lineRule="auto"/>
              <w:jc w:val="center"/>
              <w:rPr>
                <w:rFonts w:ascii="宋体" w:hAnsi="宋体"/>
                <w:sz w:val="30"/>
                <w:szCs w:val="30"/>
                <w:highlight w:val="none"/>
              </w:rPr>
            </w:pPr>
          </w:p>
        </w:tc>
        <w:tc>
          <w:tcPr>
            <w:tcW w:w="992" w:type="dxa"/>
            <w:noWrap w:val="0"/>
            <w:vAlign w:val="center"/>
          </w:tcPr>
          <w:p>
            <w:pPr>
              <w:spacing w:line="360" w:lineRule="auto"/>
              <w:jc w:val="center"/>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ascii="宋体" w:hAnsi="宋体"/>
                <w:sz w:val="30"/>
                <w:szCs w:val="30"/>
                <w:highlight w:val="none"/>
              </w:rPr>
            </w:pPr>
          </w:p>
        </w:tc>
        <w:tc>
          <w:tcPr>
            <w:tcW w:w="1276" w:type="dxa"/>
            <w:noWrap w:val="0"/>
            <w:vAlign w:val="center"/>
          </w:tcPr>
          <w:p>
            <w:pPr>
              <w:spacing w:line="360" w:lineRule="auto"/>
              <w:jc w:val="center"/>
              <w:rPr>
                <w:rFonts w:ascii="宋体" w:hAnsi="宋体"/>
                <w:sz w:val="30"/>
                <w:szCs w:val="30"/>
                <w:highlight w:val="none"/>
              </w:rPr>
            </w:pPr>
          </w:p>
        </w:tc>
        <w:tc>
          <w:tcPr>
            <w:tcW w:w="1418" w:type="dxa"/>
            <w:noWrap w:val="0"/>
            <w:vAlign w:val="center"/>
          </w:tcPr>
          <w:p>
            <w:pPr>
              <w:spacing w:line="360" w:lineRule="auto"/>
              <w:jc w:val="center"/>
              <w:rPr>
                <w:rFonts w:ascii="宋体" w:hAnsi="宋体"/>
                <w:sz w:val="30"/>
                <w:szCs w:val="30"/>
                <w:highlight w:val="none"/>
              </w:rPr>
            </w:pPr>
          </w:p>
        </w:tc>
        <w:tc>
          <w:tcPr>
            <w:tcW w:w="940" w:type="dxa"/>
            <w:noWrap w:val="0"/>
            <w:vAlign w:val="center"/>
          </w:tcPr>
          <w:p>
            <w:pPr>
              <w:spacing w:line="360" w:lineRule="auto"/>
              <w:jc w:val="center"/>
              <w:rPr>
                <w:rFonts w:ascii="宋体" w:hAnsi="宋体"/>
                <w:sz w:val="30"/>
                <w:szCs w:val="30"/>
                <w:highlight w:val="none"/>
              </w:rPr>
            </w:pPr>
          </w:p>
        </w:tc>
        <w:tc>
          <w:tcPr>
            <w:tcW w:w="851" w:type="dxa"/>
            <w:noWrap w:val="0"/>
            <w:vAlign w:val="center"/>
          </w:tcPr>
          <w:p>
            <w:pPr>
              <w:spacing w:line="360" w:lineRule="auto"/>
              <w:jc w:val="center"/>
              <w:rPr>
                <w:rFonts w:ascii="宋体" w:hAnsi="宋体"/>
                <w:sz w:val="30"/>
                <w:szCs w:val="30"/>
                <w:highlight w:val="none"/>
              </w:rPr>
            </w:pPr>
          </w:p>
        </w:tc>
        <w:tc>
          <w:tcPr>
            <w:tcW w:w="1044" w:type="dxa"/>
            <w:noWrap w:val="0"/>
            <w:vAlign w:val="center"/>
          </w:tcPr>
          <w:p>
            <w:pPr>
              <w:spacing w:line="360" w:lineRule="auto"/>
              <w:jc w:val="center"/>
              <w:rPr>
                <w:rFonts w:ascii="宋体" w:hAnsi="宋体"/>
                <w:sz w:val="30"/>
                <w:szCs w:val="30"/>
                <w:highlight w:val="none"/>
              </w:rPr>
            </w:pPr>
          </w:p>
        </w:tc>
        <w:tc>
          <w:tcPr>
            <w:tcW w:w="992" w:type="dxa"/>
            <w:noWrap w:val="0"/>
            <w:vAlign w:val="center"/>
          </w:tcPr>
          <w:p>
            <w:pPr>
              <w:spacing w:line="360" w:lineRule="auto"/>
              <w:jc w:val="center"/>
              <w:rPr>
                <w:rFonts w:ascii="宋体" w:hAnsi="宋体"/>
                <w:sz w:val="30"/>
                <w:szCs w:val="30"/>
                <w:highlight w:val="none"/>
              </w:rPr>
            </w:pPr>
          </w:p>
        </w:tc>
        <w:tc>
          <w:tcPr>
            <w:tcW w:w="851" w:type="dxa"/>
            <w:noWrap w:val="0"/>
            <w:vAlign w:val="center"/>
          </w:tcPr>
          <w:p>
            <w:pPr>
              <w:spacing w:line="360" w:lineRule="auto"/>
              <w:jc w:val="center"/>
              <w:rPr>
                <w:rFonts w:ascii="宋体" w:hAnsi="宋体"/>
                <w:sz w:val="30"/>
                <w:szCs w:val="30"/>
                <w:highlight w:val="none"/>
              </w:rPr>
            </w:pPr>
          </w:p>
        </w:tc>
        <w:tc>
          <w:tcPr>
            <w:tcW w:w="1487" w:type="dxa"/>
            <w:noWrap w:val="0"/>
            <w:vAlign w:val="center"/>
          </w:tcPr>
          <w:p>
            <w:pPr>
              <w:spacing w:line="360" w:lineRule="auto"/>
              <w:jc w:val="center"/>
              <w:rPr>
                <w:rFonts w:ascii="宋体" w:hAnsi="宋体"/>
                <w:sz w:val="30"/>
                <w:szCs w:val="30"/>
                <w:highlight w:val="none"/>
              </w:rPr>
            </w:pPr>
          </w:p>
        </w:tc>
        <w:tc>
          <w:tcPr>
            <w:tcW w:w="992" w:type="dxa"/>
            <w:noWrap w:val="0"/>
            <w:vAlign w:val="center"/>
          </w:tcPr>
          <w:p>
            <w:pPr>
              <w:spacing w:line="360" w:lineRule="auto"/>
              <w:jc w:val="center"/>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ascii="宋体" w:hAnsi="宋体"/>
                <w:sz w:val="30"/>
                <w:szCs w:val="30"/>
                <w:highlight w:val="none"/>
              </w:rPr>
            </w:pPr>
          </w:p>
        </w:tc>
        <w:tc>
          <w:tcPr>
            <w:tcW w:w="1276" w:type="dxa"/>
            <w:noWrap w:val="0"/>
            <w:vAlign w:val="center"/>
          </w:tcPr>
          <w:p>
            <w:pPr>
              <w:spacing w:line="360" w:lineRule="auto"/>
              <w:jc w:val="center"/>
              <w:rPr>
                <w:rFonts w:ascii="宋体" w:hAnsi="宋体"/>
                <w:sz w:val="30"/>
                <w:szCs w:val="30"/>
                <w:highlight w:val="none"/>
              </w:rPr>
            </w:pPr>
          </w:p>
        </w:tc>
        <w:tc>
          <w:tcPr>
            <w:tcW w:w="1418" w:type="dxa"/>
            <w:noWrap w:val="0"/>
            <w:vAlign w:val="center"/>
          </w:tcPr>
          <w:p>
            <w:pPr>
              <w:spacing w:line="360" w:lineRule="auto"/>
              <w:jc w:val="center"/>
              <w:rPr>
                <w:rFonts w:ascii="宋体" w:hAnsi="宋体"/>
                <w:sz w:val="30"/>
                <w:szCs w:val="30"/>
                <w:highlight w:val="none"/>
              </w:rPr>
            </w:pPr>
          </w:p>
        </w:tc>
        <w:tc>
          <w:tcPr>
            <w:tcW w:w="940" w:type="dxa"/>
            <w:noWrap w:val="0"/>
            <w:vAlign w:val="center"/>
          </w:tcPr>
          <w:p>
            <w:pPr>
              <w:spacing w:line="360" w:lineRule="auto"/>
              <w:jc w:val="center"/>
              <w:rPr>
                <w:rFonts w:ascii="宋体" w:hAnsi="宋体"/>
                <w:sz w:val="30"/>
                <w:szCs w:val="30"/>
                <w:highlight w:val="none"/>
              </w:rPr>
            </w:pPr>
          </w:p>
        </w:tc>
        <w:tc>
          <w:tcPr>
            <w:tcW w:w="851" w:type="dxa"/>
            <w:noWrap w:val="0"/>
            <w:vAlign w:val="center"/>
          </w:tcPr>
          <w:p>
            <w:pPr>
              <w:spacing w:line="360" w:lineRule="auto"/>
              <w:jc w:val="center"/>
              <w:rPr>
                <w:rFonts w:ascii="宋体" w:hAnsi="宋体"/>
                <w:sz w:val="30"/>
                <w:szCs w:val="30"/>
                <w:highlight w:val="none"/>
              </w:rPr>
            </w:pPr>
          </w:p>
        </w:tc>
        <w:tc>
          <w:tcPr>
            <w:tcW w:w="1044" w:type="dxa"/>
            <w:noWrap w:val="0"/>
            <w:vAlign w:val="center"/>
          </w:tcPr>
          <w:p>
            <w:pPr>
              <w:spacing w:line="360" w:lineRule="auto"/>
              <w:jc w:val="center"/>
              <w:rPr>
                <w:rFonts w:ascii="宋体" w:hAnsi="宋体"/>
                <w:sz w:val="30"/>
                <w:szCs w:val="30"/>
                <w:highlight w:val="none"/>
              </w:rPr>
            </w:pPr>
          </w:p>
        </w:tc>
        <w:tc>
          <w:tcPr>
            <w:tcW w:w="992" w:type="dxa"/>
            <w:noWrap w:val="0"/>
            <w:vAlign w:val="center"/>
          </w:tcPr>
          <w:p>
            <w:pPr>
              <w:spacing w:line="360" w:lineRule="auto"/>
              <w:jc w:val="center"/>
              <w:rPr>
                <w:rFonts w:ascii="宋体" w:hAnsi="宋体"/>
                <w:sz w:val="30"/>
                <w:szCs w:val="30"/>
                <w:highlight w:val="none"/>
              </w:rPr>
            </w:pPr>
          </w:p>
        </w:tc>
        <w:tc>
          <w:tcPr>
            <w:tcW w:w="851" w:type="dxa"/>
            <w:noWrap w:val="0"/>
            <w:vAlign w:val="center"/>
          </w:tcPr>
          <w:p>
            <w:pPr>
              <w:spacing w:line="360" w:lineRule="auto"/>
              <w:jc w:val="center"/>
              <w:rPr>
                <w:rFonts w:ascii="宋体" w:hAnsi="宋体"/>
                <w:sz w:val="30"/>
                <w:szCs w:val="30"/>
                <w:highlight w:val="none"/>
              </w:rPr>
            </w:pPr>
          </w:p>
        </w:tc>
        <w:tc>
          <w:tcPr>
            <w:tcW w:w="1487" w:type="dxa"/>
            <w:noWrap w:val="0"/>
            <w:vAlign w:val="center"/>
          </w:tcPr>
          <w:p>
            <w:pPr>
              <w:spacing w:line="360" w:lineRule="auto"/>
              <w:jc w:val="center"/>
              <w:rPr>
                <w:rFonts w:ascii="宋体" w:hAnsi="宋体"/>
                <w:sz w:val="30"/>
                <w:szCs w:val="30"/>
                <w:highlight w:val="none"/>
              </w:rPr>
            </w:pPr>
          </w:p>
        </w:tc>
        <w:tc>
          <w:tcPr>
            <w:tcW w:w="992" w:type="dxa"/>
            <w:noWrap w:val="0"/>
            <w:vAlign w:val="center"/>
          </w:tcPr>
          <w:p>
            <w:pPr>
              <w:spacing w:line="360" w:lineRule="auto"/>
              <w:jc w:val="center"/>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ascii="宋体" w:hAnsi="宋体"/>
                <w:sz w:val="30"/>
                <w:szCs w:val="30"/>
                <w:highlight w:val="none"/>
              </w:rPr>
            </w:pPr>
          </w:p>
        </w:tc>
        <w:tc>
          <w:tcPr>
            <w:tcW w:w="1276" w:type="dxa"/>
            <w:noWrap w:val="0"/>
            <w:vAlign w:val="center"/>
          </w:tcPr>
          <w:p>
            <w:pPr>
              <w:spacing w:line="360" w:lineRule="auto"/>
              <w:jc w:val="center"/>
              <w:rPr>
                <w:rFonts w:ascii="宋体" w:hAnsi="宋体"/>
                <w:sz w:val="30"/>
                <w:szCs w:val="30"/>
                <w:highlight w:val="none"/>
              </w:rPr>
            </w:pPr>
          </w:p>
        </w:tc>
        <w:tc>
          <w:tcPr>
            <w:tcW w:w="1418" w:type="dxa"/>
            <w:noWrap w:val="0"/>
            <w:vAlign w:val="center"/>
          </w:tcPr>
          <w:p>
            <w:pPr>
              <w:spacing w:line="360" w:lineRule="auto"/>
              <w:jc w:val="center"/>
              <w:rPr>
                <w:rFonts w:ascii="宋体" w:hAnsi="宋体"/>
                <w:sz w:val="30"/>
                <w:szCs w:val="30"/>
                <w:highlight w:val="none"/>
              </w:rPr>
            </w:pPr>
          </w:p>
        </w:tc>
        <w:tc>
          <w:tcPr>
            <w:tcW w:w="940" w:type="dxa"/>
            <w:noWrap w:val="0"/>
            <w:vAlign w:val="center"/>
          </w:tcPr>
          <w:p>
            <w:pPr>
              <w:spacing w:line="360" w:lineRule="auto"/>
              <w:jc w:val="center"/>
              <w:rPr>
                <w:rFonts w:ascii="宋体" w:hAnsi="宋体"/>
                <w:sz w:val="30"/>
                <w:szCs w:val="30"/>
                <w:highlight w:val="none"/>
              </w:rPr>
            </w:pPr>
          </w:p>
        </w:tc>
        <w:tc>
          <w:tcPr>
            <w:tcW w:w="851" w:type="dxa"/>
            <w:noWrap w:val="0"/>
            <w:vAlign w:val="center"/>
          </w:tcPr>
          <w:p>
            <w:pPr>
              <w:spacing w:line="360" w:lineRule="auto"/>
              <w:jc w:val="center"/>
              <w:rPr>
                <w:rFonts w:ascii="宋体" w:hAnsi="宋体"/>
                <w:sz w:val="30"/>
                <w:szCs w:val="30"/>
                <w:highlight w:val="none"/>
              </w:rPr>
            </w:pPr>
          </w:p>
        </w:tc>
        <w:tc>
          <w:tcPr>
            <w:tcW w:w="1044" w:type="dxa"/>
            <w:noWrap w:val="0"/>
            <w:vAlign w:val="center"/>
          </w:tcPr>
          <w:p>
            <w:pPr>
              <w:spacing w:line="360" w:lineRule="auto"/>
              <w:jc w:val="center"/>
              <w:rPr>
                <w:rFonts w:ascii="宋体" w:hAnsi="宋体"/>
                <w:sz w:val="30"/>
                <w:szCs w:val="30"/>
                <w:highlight w:val="none"/>
              </w:rPr>
            </w:pPr>
          </w:p>
        </w:tc>
        <w:tc>
          <w:tcPr>
            <w:tcW w:w="992" w:type="dxa"/>
            <w:noWrap w:val="0"/>
            <w:vAlign w:val="center"/>
          </w:tcPr>
          <w:p>
            <w:pPr>
              <w:spacing w:line="360" w:lineRule="auto"/>
              <w:jc w:val="center"/>
              <w:rPr>
                <w:rFonts w:ascii="宋体" w:hAnsi="宋体"/>
                <w:sz w:val="30"/>
                <w:szCs w:val="30"/>
                <w:highlight w:val="none"/>
              </w:rPr>
            </w:pPr>
          </w:p>
        </w:tc>
        <w:tc>
          <w:tcPr>
            <w:tcW w:w="851" w:type="dxa"/>
            <w:noWrap w:val="0"/>
            <w:vAlign w:val="center"/>
          </w:tcPr>
          <w:p>
            <w:pPr>
              <w:spacing w:line="360" w:lineRule="auto"/>
              <w:jc w:val="center"/>
              <w:rPr>
                <w:rFonts w:ascii="宋体" w:hAnsi="宋体"/>
                <w:sz w:val="30"/>
                <w:szCs w:val="30"/>
                <w:highlight w:val="none"/>
              </w:rPr>
            </w:pPr>
          </w:p>
        </w:tc>
        <w:tc>
          <w:tcPr>
            <w:tcW w:w="1487" w:type="dxa"/>
            <w:noWrap w:val="0"/>
            <w:vAlign w:val="center"/>
          </w:tcPr>
          <w:p>
            <w:pPr>
              <w:spacing w:line="360" w:lineRule="auto"/>
              <w:jc w:val="center"/>
              <w:rPr>
                <w:rFonts w:ascii="宋体" w:hAnsi="宋体"/>
                <w:sz w:val="30"/>
                <w:szCs w:val="30"/>
                <w:highlight w:val="none"/>
              </w:rPr>
            </w:pPr>
          </w:p>
        </w:tc>
        <w:tc>
          <w:tcPr>
            <w:tcW w:w="992" w:type="dxa"/>
            <w:noWrap w:val="0"/>
            <w:vAlign w:val="center"/>
          </w:tcPr>
          <w:p>
            <w:pPr>
              <w:spacing w:line="360" w:lineRule="auto"/>
              <w:jc w:val="center"/>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ascii="宋体" w:hAnsi="宋体"/>
                <w:sz w:val="30"/>
                <w:szCs w:val="30"/>
                <w:highlight w:val="none"/>
              </w:rPr>
            </w:pPr>
          </w:p>
        </w:tc>
        <w:tc>
          <w:tcPr>
            <w:tcW w:w="1276" w:type="dxa"/>
            <w:noWrap w:val="0"/>
            <w:vAlign w:val="center"/>
          </w:tcPr>
          <w:p>
            <w:pPr>
              <w:spacing w:line="360" w:lineRule="auto"/>
              <w:jc w:val="center"/>
              <w:rPr>
                <w:rFonts w:ascii="宋体" w:hAnsi="宋体"/>
                <w:sz w:val="30"/>
                <w:szCs w:val="30"/>
                <w:highlight w:val="none"/>
              </w:rPr>
            </w:pPr>
          </w:p>
        </w:tc>
        <w:tc>
          <w:tcPr>
            <w:tcW w:w="1418" w:type="dxa"/>
            <w:noWrap w:val="0"/>
            <w:vAlign w:val="center"/>
          </w:tcPr>
          <w:p>
            <w:pPr>
              <w:spacing w:line="360" w:lineRule="auto"/>
              <w:jc w:val="center"/>
              <w:rPr>
                <w:rFonts w:ascii="宋体" w:hAnsi="宋体"/>
                <w:sz w:val="30"/>
                <w:szCs w:val="30"/>
                <w:highlight w:val="none"/>
              </w:rPr>
            </w:pPr>
          </w:p>
        </w:tc>
        <w:tc>
          <w:tcPr>
            <w:tcW w:w="940" w:type="dxa"/>
            <w:noWrap w:val="0"/>
            <w:vAlign w:val="center"/>
          </w:tcPr>
          <w:p>
            <w:pPr>
              <w:spacing w:line="360" w:lineRule="auto"/>
              <w:jc w:val="center"/>
              <w:rPr>
                <w:rFonts w:ascii="宋体" w:hAnsi="宋体"/>
                <w:sz w:val="30"/>
                <w:szCs w:val="30"/>
                <w:highlight w:val="none"/>
              </w:rPr>
            </w:pPr>
          </w:p>
        </w:tc>
        <w:tc>
          <w:tcPr>
            <w:tcW w:w="851" w:type="dxa"/>
            <w:noWrap w:val="0"/>
            <w:vAlign w:val="center"/>
          </w:tcPr>
          <w:p>
            <w:pPr>
              <w:spacing w:line="360" w:lineRule="auto"/>
              <w:jc w:val="center"/>
              <w:rPr>
                <w:rFonts w:ascii="宋体" w:hAnsi="宋体"/>
                <w:sz w:val="30"/>
                <w:szCs w:val="30"/>
                <w:highlight w:val="none"/>
              </w:rPr>
            </w:pPr>
          </w:p>
        </w:tc>
        <w:tc>
          <w:tcPr>
            <w:tcW w:w="1044" w:type="dxa"/>
            <w:noWrap w:val="0"/>
            <w:vAlign w:val="center"/>
          </w:tcPr>
          <w:p>
            <w:pPr>
              <w:spacing w:line="360" w:lineRule="auto"/>
              <w:jc w:val="center"/>
              <w:rPr>
                <w:rFonts w:ascii="宋体" w:hAnsi="宋体"/>
                <w:sz w:val="30"/>
                <w:szCs w:val="30"/>
                <w:highlight w:val="none"/>
              </w:rPr>
            </w:pPr>
          </w:p>
        </w:tc>
        <w:tc>
          <w:tcPr>
            <w:tcW w:w="992" w:type="dxa"/>
            <w:noWrap w:val="0"/>
            <w:vAlign w:val="center"/>
          </w:tcPr>
          <w:p>
            <w:pPr>
              <w:spacing w:line="360" w:lineRule="auto"/>
              <w:jc w:val="center"/>
              <w:rPr>
                <w:rFonts w:ascii="宋体" w:hAnsi="宋体"/>
                <w:sz w:val="30"/>
                <w:szCs w:val="30"/>
                <w:highlight w:val="none"/>
              </w:rPr>
            </w:pPr>
          </w:p>
        </w:tc>
        <w:tc>
          <w:tcPr>
            <w:tcW w:w="851" w:type="dxa"/>
            <w:noWrap w:val="0"/>
            <w:vAlign w:val="center"/>
          </w:tcPr>
          <w:p>
            <w:pPr>
              <w:spacing w:line="360" w:lineRule="auto"/>
              <w:jc w:val="center"/>
              <w:rPr>
                <w:rFonts w:ascii="宋体" w:hAnsi="宋体"/>
                <w:sz w:val="30"/>
                <w:szCs w:val="30"/>
                <w:highlight w:val="none"/>
              </w:rPr>
            </w:pPr>
          </w:p>
        </w:tc>
        <w:tc>
          <w:tcPr>
            <w:tcW w:w="1487" w:type="dxa"/>
            <w:noWrap w:val="0"/>
            <w:vAlign w:val="center"/>
          </w:tcPr>
          <w:p>
            <w:pPr>
              <w:spacing w:line="360" w:lineRule="auto"/>
              <w:jc w:val="center"/>
              <w:rPr>
                <w:rFonts w:ascii="宋体" w:hAnsi="宋体"/>
                <w:sz w:val="30"/>
                <w:szCs w:val="30"/>
                <w:highlight w:val="none"/>
              </w:rPr>
            </w:pPr>
          </w:p>
        </w:tc>
        <w:tc>
          <w:tcPr>
            <w:tcW w:w="992" w:type="dxa"/>
            <w:noWrap w:val="0"/>
            <w:vAlign w:val="center"/>
          </w:tcPr>
          <w:p>
            <w:pPr>
              <w:spacing w:line="360" w:lineRule="auto"/>
              <w:jc w:val="center"/>
              <w:rPr>
                <w:rFonts w:ascii="宋体" w:hAnsi="宋体"/>
                <w:sz w:val="30"/>
                <w:szCs w:val="30"/>
                <w:highlight w:val="none"/>
              </w:rPr>
            </w:pPr>
          </w:p>
        </w:tc>
      </w:tr>
    </w:tbl>
    <w:p>
      <w:pPr>
        <w:spacing w:line="360" w:lineRule="auto"/>
        <w:rPr>
          <w:rFonts w:ascii="宋体" w:hAnsi="宋体"/>
          <w:sz w:val="30"/>
          <w:szCs w:val="30"/>
          <w:highlight w:val="none"/>
        </w:rPr>
      </w:pPr>
    </w:p>
    <w:p>
      <w:pPr>
        <w:spacing w:line="360" w:lineRule="auto"/>
        <w:rPr>
          <w:rFonts w:ascii="宋体" w:hAnsi="宋体"/>
          <w:szCs w:val="21"/>
          <w:highlight w:val="none"/>
        </w:rPr>
      </w:pPr>
      <w:r>
        <w:rPr>
          <w:rFonts w:ascii="宋体" w:hAnsi="宋体"/>
          <w:szCs w:val="21"/>
          <w:highlight w:val="none"/>
        </w:rPr>
        <w:br w:type="page"/>
      </w:r>
      <w:r>
        <w:rPr>
          <w:rFonts w:hint="eastAsia" w:ascii="宋体" w:hAnsi="宋体" w:eastAsia="宋体"/>
          <w:b/>
          <w:bCs/>
          <w:sz w:val="24"/>
          <w:szCs w:val="24"/>
          <w:highlight w:val="none"/>
        </w:rPr>
        <w:t>附</w:t>
      </w:r>
      <w:bookmarkStart w:id="1305" w:name="_Toc296944565"/>
      <w:bookmarkStart w:id="1306" w:name="_Toc267261693"/>
      <w:bookmarkStart w:id="1307" w:name="_Toc296891054"/>
      <w:bookmarkStart w:id="1308" w:name="_Toc296346727"/>
      <w:bookmarkStart w:id="1309" w:name="_Toc296347225"/>
      <w:bookmarkStart w:id="1310" w:name="_Toc296891266"/>
      <w:bookmarkStart w:id="1311" w:name="_Toc296503226"/>
      <w:r>
        <w:rPr>
          <w:rFonts w:hint="eastAsia" w:ascii="宋体" w:hAnsi="宋体" w:eastAsia="宋体"/>
          <w:b/>
          <w:bCs/>
          <w:sz w:val="24"/>
          <w:szCs w:val="24"/>
          <w:highlight w:val="none"/>
        </w:rPr>
        <w:t>件3：</w:t>
      </w:r>
      <w:bookmarkEnd w:id="1305"/>
      <w:bookmarkEnd w:id="1306"/>
      <w:bookmarkEnd w:id="1307"/>
      <w:bookmarkEnd w:id="1308"/>
      <w:bookmarkEnd w:id="1309"/>
      <w:bookmarkEnd w:id="1310"/>
      <w:bookmarkEnd w:id="1311"/>
    </w:p>
    <w:p>
      <w:pPr>
        <w:spacing w:before="120" w:beforeLines="50" w:after="120" w:afterLines="50" w:line="360" w:lineRule="auto"/>
        <w:jc w:val="center"/>
        <w:rPr>
          <w:rFonts w:ascii="宋体" w:hAnsi="宋体" w:eastAsia="宋体"/>
          <w:sz w:val="30"/>
          <w:szCs w:val="30"/>
          <w:highlight w:val="none"/>
        </w:rPr>
      </w:pPr>
      <w:r>
        <w:rPr>
          <w:rFonts w:ascii="宋体" w:hAnsi="宋体" w:eastAsia="宋体"/>
          <w:sz w:val="30"/>
          <w:szCs w:val="30"/>
          <w:highlight w:val="none"/>
        </w:rPr>
        <w:t>工程质量保修书</w:t>
      </w:r>
    </w:p>
    <w:p>
      <w:pPr>
        <w:spacing w:line="360" w:lineRule="auto"/>
        <w:ind w:firstLine="480" w:firstLineChars="200"/>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 xml:space="preserve">发包人（全称）：  </w:t>
      </w:r>
    </w:p>
    <w:p>
      <w:pPr>
        <w:spacing w:line="360" w:lineRule="auto"/>
        <w:ind w:firstLine="480" w:firstLineChars="200"/>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 xml:space="preserve">承包人（全称）：  </w:t>
      </w:r>
    </w:p>
    <w:p>
      <w:pPr>
        <w:spacing w:line="360" w:lineRule="auto"/>
        <w:rPr>
          <w:rFonts w:hint="eastAsia" w:ascii="宋体" w:hAnsi="宋体" w:cs="仿宋_GB2312"/>
          <w:color w:val="000000"/>
          <w:sz w:val="24"/>
          <w:szCs w:val="24"/>
          <w:highlight w:val="none"/>
        </w:rPr>
      </w:pPr>
    </w:p>
    <w:p>
      <w:pPr>
        <w:spacing w:line="360" w:lineRule="auto"/>
        <w:ind w:firstLine="480" w:firstLineChars="200"/>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发包人和承包人根据《中华人民共和国建筑法》和《建设工程质量管理条例》，经协商一致就（工程全称）签订工程质量保修书。</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一、工程质量保修范围和内容</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承包人在质量保修期内，按照有关法律规定和合同约定，承担工程质量保修责任。</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合同内包含的全部施工内容。</w:t>
      </w:r>
    </w:p>
    <w:p>
      <w:pPr>
        <w:spacing w:line="360" w:lineRule="auto"/>
        <w:ind w:firstLine="470" w:firstLineChars="196"/>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二、质量保修期</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根据《建设工程质量管理条例》及有关规定，工程的质量保修期如下：</w:t>
      </w:r>
    </w:p>
    <w:p>
      <w:pPr>
        <w:spacing w:line="360" w:lineRule="auto"/>
        <w:ind w:firstLine="480" w:firstLineChars="200"/>
        <w:outlineLvl w:val="9"/>
        <w:rPr>
          <w:rFonts w:hint="eastAsia" w:ascii="宋体" w:hAnsi="宋体" w:cs="仿宋_GB2312"/>
          <w:sz w:val="24"/>
          <w:szCs w:val="24"/>
          <w:highlight w:val="none"/>
        </w:rPr>
      </w:pPr>
      <w:r>
        <w:rPr>
          <w:rFonts w:hint="eastAsia" w:ascii="宋体" w:hAnsi="宋体" w:cs="仿宋_GB2312"/>
          <w:sz w:val="24"/>
          <w:szCs w:val="24"/>
          <w:highlight w:val="none"/>
        </w:rPr>
        <w:t>1</w:t>
      </w:r>
      <w:r>
        <w:rPr>
          <w:rFonts w:hint="eastAsia" w:ascii="宋体" w:hAnsi="宋体" w:cs="仿宋_GB2312"/>
          <w:color w:val="000000"/>
          <w:sz w:val="24"/>
          <w:szCs w:val="24"/>
          <w:highlight w:val="none"/>
        </w:rPr>
        <w:t>．</w:t>
      </w:r>
      <w:r>
        <w:rPr>
          <w:rFonts w:hint="eastAsia" w:ascii="宋体" w:hAnsi="宋体" w:cs="仿宋_GB2312"/>
          <w:sz w:val="24"/>
          <w:szCs w:val="24"/>
          <w:highlight w:val="none"/>
        </w:rPr>
        <w:t>地基基础工程和主体结构工程为设计文件规定的工程合理使用年限；</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2</w:t>
      </w:r>
      <w:r>
        <w:rPr>
          <w:rFonts w:hint="eastAsia" w:ascii="宋体" w:hAnsi="宋体" w:cs="仿宋_GB2312"/>
          <w:sz w:val="24"/>
          <w:szCs w:val="24"/>
          <w:highlight w:val="none"/>
        </w:rPr>
        <w:t>．</w:t>
      </w:r>
      <w:r>
        <w:rPr>
          <w:rFonts w:hint="eastAsia" w:ascii="宋体" w:hAnsi="宋体" w:cs="仿宋_GB2312"/>
          <w:color w:val="000000"/>
          <w:sz w:val="24"/>
          <w:szCs w:val="24"/>
          <w:highlight w:val="none"/>
        </w:rPr>
        <w:t>屋面防水工程、有防水要求的卫生间、房间和外墙面的防渗防漏工程为</w:t>
      </w:r>
      <w:r>
        <w:rPr>
          <w:rFonts w:hint="eastAsia" w:ascii="宋体" w:hAnsi="宋体" w:cs="仿宋_GB2312"/>
          <w:color w:val="000000"/>
          <w:sz w:val="24"/>
          <w:szCs w:val="24"/>
          <w:highlight w:val="none"/>
          <w:u w:val="single"/>
        </w:rPr>
        <w:t>5</w:t>
      </w:r>
      <w:r>
        <w:rPr>
          <w:rFonts w:hint="eastAsia" w:ascii="宋体" w:hAnsi="宋体" w:cs="仿宋_GB2312"/>
          <w:color w:val="000000"/>
          <w:sz w:val="24"/>
          <w:szCs w:val="24"/>
          <w:highlight w:val="none"/>
        </w:rPr>
        <w:t>年；</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3</w:t>
      </w:r>
      <w:r>
        <w:rPr>
          <w:rFonts w:hint="eastAsia" w:ascii="宋体" w:hAnsi="宋体" w:cs="仿宋_GB2312"/>
          <w:sz w:val="24"/>
          <w:szCs w:val="24"/>
          <w:highlight w:val="none"/>
        </w:rPr>
        <w:t>．</w:t>
      </w:r>
      <w:r>
        <w:rPr>
          <w:rFonts w:hint="eastAsia" w:ascii="宋体" w:hAnsi="宋体" w:cs="仿宋_GB2312"/>
          <w:color w:val="000000"/>
          <w:sz w:val="24"/>
          <w:szCs w:val="24"/>
          <w:highlight w:val="none"/>
        </w:rPr>
        <w:t>装修工程为</w:t>
      </w:r>
      <w:r>
        <w:rPr>
          <w:rFonts w:hint="eastAsia" w:ascii="宋体" w:hAnsi="宋体" w:cs="仿宋_GB2312"/>
          <w:color w:val="000000"/>
          <w:sz w:val="24"/>
          <w:szCs w:val="24"/>
          <w:highlight w:val="none"/>
          <w:u w:val="single"/>
          <w:lang w:val="en-US" w:eastAsia="zh-CN"/>
        </w:rPr>
        <w:t>2</w:t>
      </w:r>
      <w:r>
        <w:rPr>
          <w:rFonts w:hint="eastAsia" w:ascii="宋体" w:hAnsi="宋体" w:cs="仿宋_GB2312"/>
          <w:color w:val="000000"/>
          <w:sz w:val="24"/>
          <w:szCs w:val="24"/>
          <w:highlight w:val="none"/>
        </w:rPr>
        <w:t>年；</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4</w:t>
      </w:r>
      <w:r>
        <w:rPr>
          <w:rFonts w:hint="eastAsia" w:ascii="宋体" w:hAnsi="宋体" w:cs="仿宋_GB2312"/>
          <w:sz w:val="24"/>
          <w:szCs w:val="24"/>
          <w:highlight w:val="none"/>
        </w:rPr>
        <w:t>．</w:t>
      </w:r>
      <w:r>
        <w:rPr>
          <w:rFonts w:hint="eastAsia" w:ascii="宋体" w:hAnsi="宋体" w:cs="仿宋_GB2312"/>
          <w:color w:val="000000"/>
          <w:sz w:val="24"/>
          <w:szCs w:val="24"/>
          <w:highlight w:val="none"/>
        </w:rPr>
        <w:t>电气管线、给排水管道、设备安装工程为</w:t>
      </w:r>
      <w:r>
        <w:rPr>
          <w:rFonts w:hint="eastAsia" w:ascii="宋体" w:hAnsi="宋体" w:cs="仿宋_GB2312"/>
          <w:color w:val="000000"/>
          <w:sz w:val="24"/>
          <w:szCs w:val="24"/>
          <w:highlight w:val="none"/>
          <w:u w:val="single"/>
          <w:lang w:val="en-US" w:eastAsia="zh-CN"/>
        </w:rPr>
        <w:t>2</w:t>
      </w:r>
      <w:r>
        <w:rPr>
          <w:rFonts w:hint="eastAsia" w:ascii="宋体" w:hAnsi="宋体" w:cs="仿宋_GB2312"/>
          <w:color w:val="000000"/>
          <w:sz w:val="24"/>
          <w:szCs w:val="24"/>
          <w:highlight w:val="none"/>
        </w:rPr>
        <w:t>年；</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5</w:t>
      </w:r>
      <w:r>
        <w:rPr>
          <w:rFonts w:hint="eastAsia" w:ascii="宋体" w:hAnsi="宋体" w:cs="仿宋_GB2312"/>
          <w:sz w:val="24"/>
          <w:szCs w:val="24"/>
          <w:highlight w:val="none"/>
        </w:rPr>
        <w:t>．</w:t>
      </w:r>
      <w:r>
        <w:rPr>
          <w:rFonts w:hint="eastAsia" w:ascii="宋体" w:hAnsi="宋体" w:cs="仿宋_GB2312"/>
          <w:color w:val="000000"/>
          <w:sz w:val="24"/>
          <w:szCs w:val="24"/>
          <w:highlight w:val="none"/>
        </w:rPr>
        <w:t>供热与供冷系统为</w:t>
      </w:r>
      <w:r>
        <w:rPr>
          <w:rFonts w:hint="eastAsia" w:ascii="宋体" w:hAnsi="宋体" w:cs="仿宋_GB2312"/>
          <w:color w:val="000000"/>
          <w:sz w:val="24"/>
          <w:szCs w:val="24"/>
          <w:highlight w:val="none"/>
          <w:u w:val="single"/>
          <w:lang w:val="en-US" w:eastAsia="zh-CN"/>
        </w:rPr>
        <w:t>2</w:t>
      </w:r>
      <w:r>
        <w:rPr>
          <w:rFonts w:hint="eastAsia" w:ascii="宋体" w:hAnsi="宋体" w:cs="仿宋_GB2312"/>
          <w:color w:val="000000"/>
          <w:sz w:val="24"/>
          <w:szCs w:val="24"/>
          <w:highlight w:val="none"/>
        </w:rPr>
        <w:t>个采暖期、供冷期；</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6</w:t>
      </w:r>
      <w:r>
        <w:rPr>
          <w:rFonts w:hint="eastAsia" w:ascii="宋体" w:hAnsi="宋体" w:cs="仿宋_GB2312"/>
          <w:sz w:val="24"/>
          <w:szCs w:val="24"/>
          <w:highlight w:val="none"/>
        </w:rPr>
        <w:t>．</w:t>
      </w:r>
      <w:r>
        <w:rPr>
          <w:rFonts w:hint="eastAsia" w:ascii="宋体" w:hAnsi="宋体" w:cs="仿宋_GB2312"/>
          <w:color w:val="000000"/>
          <w:sz w:val="24"/>
          <w:szCs w:val="24"/>
          <w:highlight w:val="none"/>
        </w:rPr>
        <w:t>住宅小区内的给排水设施、道路等配套工程为</w:t>
      </w:r>
      <w:r>
        <w:rPr>
          <w:rFonts w:hint="eastAsia" w:ascii="宋体" w:hAnsi="宋体" w:cs="仿宋_GB2312"/>
          <w:color w:val="000000"/>
          <w:sz w:val="24"/>
          <w:szCs w:val="24"/>
          <w:highlight w:val="none"/>
          <w:u w:val="single"/>
          <w:lang w:val="en-US" w:eastAsia="zh-CN"/>
        </w:rPr>
        <w:t>2</w:t>
      </w:r>
      <w:r>
        <w:rPr>
          <w:rFonts w:hint="eastAsia" w:ascii="宋体" w:hAnsi="宋体" w:cs="仿宋_GB2312"/>
          <w:color w:val="000000"/>
          <w:sz w:val="24"/>
          <w:szCs w:val="24"/>
          <w:highlight w:val="none"/>
        </w:rPr>
        <w:t>年；</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7</w:t>
      </w:r>
      <w:r>
        <w:rPr>
          <w:rFonts w:hint="eastAsia" w:ascii="宋体" w:hAnsi="宋体" w:cs="仿宋_GB2312"/>
          <w:sz w:val="24"/>
          <w:szCs w:val="24"/>
          <w:highlight w:val="none"/>
        </w:rPr>
        <w:t>．</w:t>
      </w:r>
      <w:r>
        <w:rPr>
          <w:rFonts w:hint="eastAsia" w:ascii="宋体" w:hAnsi="宋体" w:cs="仿宋_GB2312"/>
          <w:color w:val="000000"/>
          <w:sz w:val="24"/>
          <w:szCs w:val="24"/>
          <w:highlight w:val="none"/>
        </w:rPr>
        <w:t>其他项目保修期限约定如下：</w:t>
      </w:r>
      <w:r>
        <w:rPr>
          <w:rFonts w:hint="eastAsia" w:ascii="宋体" w:hAnsi="宋体" w:cs="仿宋_GB2312"/>
          <w:color w:val="000000"/>
          <w:sz w:val="24"/>
          <w:szCs w:val="24"/>
          <w:highlight w:val="none"/>
          <w:u w:val="single"/>
        </w:rPr>
        <w:t xml:space="preserve">  均为</w:t>
      </w:r>
      <w:r>
        <w:rPr>
          <w:rFonts w:hint="eastAsia" w:ascii="宋体" w:hAnsi="宋体" w:cs="仿宋_GB2312"/>
          <w:color w:val="000000"/>
          <w:sz w:val="24"/>
          <w:szCs w:val="24"/>
          <w:highlight w:val="none"/>
          <w:u w:val="single"/>
          <w:lang w:val="en-US" w:eastAsia="zh-CN"/>
        </w:rPr>
        <w:t>2</w:t>
      </w:r>
      <w:r>
        <w:rPr>
          <w:rFonts w:hint="eastAsia" w:ascii="宋体" w:hAnsi="宋体" w:cs="仿宋_GB2312"/>
          <w:color w:val="000000"/>
          <w:sz w:val="24"/>
          <w:szCs w:val="24"/>
          <w:highlight w:val="none"/>
          <w:u w:val="single"/>
        </w:rPr>
        <w:t>年</w:t>
      </w:r>
      <w:r>
        <w:rPr>
          <w:rFonts w:hint="eastAsia" w:ascii="宋体" w:hAnsi="宋体" w:cs="仿宋_GB2312"/>
          <w:color w:val="000000"/>
          <w:sz w:val="24"/>
          <w:szCs w:val="24"/>
          <w:highlight w:val="none"/>
        </w:rPr>
        <w:t>。</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质量保修期自工程竣工验收合格之日起计算。</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三、缺陷责任期</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工程缺陷责任期为</w:t>
      </w:r>
      <w:r>
        <w:rPr>
          <w:rFonts w:hint="eastAsia" w:ascii="宋体" w:hAnsi="宋体" w:cs="仿宋_GB2312"/>
          <w:color w:val="000000"/>
          <w:sz w:val="24"/>
          <w:szCs w:val="24"/>
          <w:highlight w:val="none"/>
          <w:lang w:val="en-US" w:eastAsia="zh-CN"/>
        </w:rPr>
        <w:t>24</w:t>
      </w:r>
      <w:r>
        <w:rPr>
          <w:rFonts w:hint="eastAsia" w:ascii="宋体" w:hAnsi="宋体" w:cs="仿宋_GB2312"/>
          <w:color w:val="000000"/>
          <w:sz w:val="24"/>
          <w:szCs w:val="24"/>
          <w:highlight w:val="none"/>
        </w:rPr>
        <w:t>个月，缺陷责任期自工程通过竣工验收之日起计算。单位工程先于全部工程进行验收，单位工程缺陷责任期自单位工程验收合格之日起算。</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缺陷责任期终止后，发包人应退还剩余的质量保证金。</w:t>
      </w:r>
    </w:p>
    <w:p>
      <w:pPr>
        <w:spacing w:line="360" w:lineRule="auto"/>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 xml:space="preserve">    四、质量保修责任</w:t>
      </w:r>
    </w:p>
    <w:p>
      <w:pPr>
        <w:spacing w:line="360" w:lineRule="auto"/>
        <w:ind w:left="105" w:leftChars="50"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w:t>
      </w:r>
      <w:r>
        <w:rPr>
          <w:rFonts w:hint="eastAsia" w:ascii="宋体" w:hAnsi="宋体" w:cs="仿宋_GB2312"/>
          <w:sz w:val="24"/>
          <w:szCs w:val="24"/>
          <w:highlight w:val="none"/>
        </w:rPr>
        <w:t>．</w:t>
      </w:r>
      <w:r>
        <w:rPr>
          <w:rFonts w:hint="eastAsia" w:ascii="宋体" w:hAnsi="宋体" w:cs="仿宋_GB2312"/>
          <w:color w:val="000000"/>
          <w:sz w:val="24"/>
          <w:szCs w:val="24"/>
          <w:highlight w:val="none"/>
        </w:rPr>
        <w:t>属于保修范围、内容的项目，承包人应当在接到保修通知之日起7天内派人保修。承包人不在约定期限内派人保修的，发包人可以委托他人修理。</w:t>
      </w:r>
    </w:p>
    <w:p>
      <w:pPr>
        <w:spacing w:line="360" w:lineRule="auto"/>
        <w:ind w:left="105" w:leftChars="50" w:firstLine="491" w:firstLineChars="205"/>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2</w:t>
      </w:r>
      <w:r>
        <w:rPr>
          <w:rFonts w:hint="eastAsia" w:ascii="宋体" w:hAnsi="宋体" w:cs="仿宋_GB2312"/>
          <w:sz w:val="24"/>
          <w:szCs w:val="24"/>
          <w:highlight w:val="none"/>
        </w:rPr>
        <w:t>．</w:t>
      </w:r>
      <w:r>
        <w:rPr>
          <w:rFonts w:hint="eastAsia" w:ascii="宋体" w:hAnsi="宋体" w:cs="仿宋_GB2312"/>
          <w:color w:val="000000"/>
          <w:sz w:val="24"/>
          <w:szCs w:val="24"/>
          <w:highlight w:val="none"/>
        </w:rPr>
        <w:t>发生紧急事故需抢修的，承包人在接到事故通知后，应当立即到达事故现场抢修。</w:t>
      </w:r>
    </w:p>
    <w:p>
      <w:pPr>
        <w:spacing w:line="360" w:lineRule="auto"/>
        <w:ind w:left="105" w:leftChars="50" w:firstLine="491" w:firstLineChars="205"/>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3</w:t>
      </w:r>
      <w:r>
        <w:rPr>
          <w:rFonts w:hint="eastAsia" w:ascii="宋体" w:hAnsi="宋体" w:cs="仿宋_GB2312"/>
          <w:sz w:val="24"/>
          <w:szCs w:val="24"/>
          <w:highlight w:val="none"/>
        </w:rPr>
        <w:t>．</w:t>
      </w:r>
      <w:r>
        <w:rPr>
          <w:rFonts w:hint="eastAsia" w:ascii="宋体" w:hAnsi="宋体" w:cs="仿宋_GB2312"/>
          <w:color w:val="000000"/>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4</w:t>
      </w:r>
      <w:r>
        <w:rPr>
          <w:rFonts w:hint="eastAsia" w:ascii="宋体" w:hAnsi="宋体" w:cs="仿宋_GB2312"/>
          <w:sz w:val="24"/>
          <w:szCs w:val="24"/>
          <w:highlight w:val="none"/>
        </w:rPr>
        <w:t>．</w:t>
      </w:r>
      <w:r>
        <w:rPr>
          <w:rFonts w:hint="eastAsia" w:ascii="宋体" w:hAnsi="宋体" w:cs="仿宋_GB2312"/>
          <w:color w:val="000000"/>
          <w:sz w:val="24"/>
          <w:szCs w:val="24"/>
          <w:highlight w:val="none"/>
        </w:rPr>
        <w:t>质量保修完成后，由发包人组织验收。</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五、保修费用</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保修费用由造成质量缺陷的责任方承担。</w:t>
      </w:r>
    </w:p>
    <w:p>
      <w:pPr>
        <w:spacing w:line="360" w:lineRule="auto"/>
        <w:ind w:firstLine="472" w:firstLineChars="196"/>
        <w:jc w:val="left"/>
        <w:outlineLvl w:val="9"/>
        <w:rPr>
          <w:rFonts w:hint="eastAsia" w:ascii="宋体" w:hAnsi="宋体" w:cs="仿宋_GB2312"/>
          <w:color w:val="000000"/>
          <w:sz w:val="24"/>
          <w:szCs w:val="24"/>
          <w:highlight w:val="none"/>
        </w:rPr>
      </w:pPr>
      <w:r>
        <w:rPr>
          <w:rFonts w:hint="eastAsia" w:ascii="宋体" w:hAnsi="宋体" w:cs="仿宋_GB2312"/>
          <w:b/>
          <w:color w:val="000000"/>
          <w:sz w:val="24"/>
          <w:szCs w:val="24"/>
          <w:highlight w:val="none"/>
        </w:rPr>
        <w:t>六</w:t>
      </w:r>
      <w:r>
        <w:rPr>
          <w:rFonts w:hint="eastAsia" w:ascii="宋体" w:hAnsi="宋体" w:cs="仿宋_GB2312"/>
          <w:color w:val="000000"/>
          <w:sz w:val="24"/>
          <w:szCs w:val="24"/>
          <w:highlight w:val="none"/>
        </w:rPr>
        <w:t>、双方约定的其他工程质量保修事项：无。</w:t>
      </w:r>
    </w:p>
    <w:p>
      <w:pPr>
        <w:spacing w:line="360" w:lineRule="auto"/>
        <w:ind w:firstLine="456" w:firstLineChars="19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工程质量保修书由发包人、承包人在工程竣工验收前共同签署，作为施工合同附件，其有效期限至保修期满。</w:t>
      </w:r>
    </w:p>
    <w:p>
      <w:pPr>
        <w:spacing w:line="360" w:lineRule="auto"/>
        <w:ind w:firstLine="420"/>
        <w:outlineLvl w:val="9"/>
        <w:rPr>
          <w:rFonts w:hint="eastAsia" w:ascii="宋体" w:hAnsi="宋体" w:cs="仿宋_GB2312"/>
          <w:color w:val="000000"/>
          <w:sz w:val="24"/>
          <w:szCs w:val="24"/>
          <w:highlight w:val="none"/>
        </w:rPr>
      </w:pP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发包人(公章)：                        承包人(公章)：</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地  址：                              地  址：</w:t>
      </w:r>
    </w:p>
    <w:p>
      <w:pPr>
        <w:spacing w:line="360" w:lineRule="auto"/>
        <w:ind w:firstLine="480" w:firstLineChars="200"/>
        <w:outlineLvl w:val="9"/>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法定代表人(签字)：                    法定代表人(签字)：</w:t>
      </w:r>
    </w:p>
    <w:p>
      <w:pPr>
        <w:spacing w:line="360" w:lineRule="auto"/>
        <w:ind w:firstLine="480" w:firstLineChars="200"/>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委托代理人(签字)：                    委托代理人(签字)：</w:t>
      </w:r>
    </w:p>
    <w:p>
      <w:pPr>
        <w:spacing w:line="360" w:lineRule="auto"/>
        <w:ind w:firstLine="480" w:firstLineChars="200"/>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电  话：                              电  话：</w:t>
      </w:r>
    </w:p>
    <w:p>
      <w:pPr>
        <w:spacing w:line="360" w:lineRule="auto"/>
        <w:ind w:firstLine="480" w:firstLineChars="200"/>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传  真：                              传  真：</w:t>
      </w:r>
    </w:p>
    <w:p>
      <w:pPr>
        <w:spacing w:line="360" w:lineRule="auto"/>
        <w:ind w:firstLine="480" w:firstLineChars="200"/>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开户银行：                            开户银行：</w:t>
      </w:r>
    </w:p>
    <w:p>
      <w:pPr>
        <w:spacing w:line="360" w:lineRule="auto"/>
        <w:ind w:firstLine="480" w:firstLineChars="200"/>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账  号：                              账 号：</w:t>
      </w:r>
    </w:p>
    <w:p>
      <w:pPr>
        <w:spacing w:line="360" w:lineRule="auto"/>
        <w:ind w:firstLine="480" w:firstLineChars="200"/>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邮政编码：                            邮政编码：</w:t>
      </w:r>
    </w:p>
    <w:p>
      <w:pPr>
        <w:spacing w:line="360" w:lineRule="auto"/>
        <w:rPr>
          <w:rFonts w:hint="eastAsia" w:ascii="宋体" w:hAnsi="宋体" w:eastAsia="宋体"/>
          <w:b/>
          <w:bCs/>
          <w:sz w:val="24"/>
          <w:szCs w:val="24"/>
          <w:highlight w:val="none"/>
        </w:rPr>
      </w:pPr>
      <w:r>
        <w:rPr>
          <w:rFonts w:hint="eastAsia" w:ascii="宋体" w:hAnsi="宋体" w:cs="仿宋_GB2312"/>
          <w:b/>
          <w:color w:val="000000"/>
          <w:szCs w:val="21"/>
          <w:highlight w:val="none"/>
        </w:rPr>
        <w:br w:type="page"/>
      </w:r>
      <w:r>
        <w:rPr>
          <w:rFonts w:hint="eastAsia" w:ascii="宋体" w:hAnsi="宋体" w:eastAsia="宋体"/>
          <w:b/>
          <w:bCs/>
          <w:sz w:val="24"/>
          <w:szCs w:val="24"/>
          <w:highlight w:val="none"/>
        </w:rPr>
        <w:t>附件4：</w:t>
      </w:r>
    </w:p>
    <w:p>
      <w:pPr>
        <w:spacing w:before="120" w:beforeLines="50" w:after="120" w:afterLines="50" w:line="360" w:lineRule="auto"/>
        <w:jc w:val="center"/>
        <w:rPr>
          <w:rFonts w:ascii="宋体" w:hAnsi="宋体"/>
          <w:sz w:val="30"/>
          <w:szCs w:val="30"/>
          <w:highlight w:val="none"/>
        </w:rPr>
      </w:pPr>
      <w:r>
        <w:rPr>
          <w:rFonts w:ascii="宋体" w:hAnsi="宋体"/>
          <w:sz w:val="30"/>
          <w:szCs w:val="30"/>
          <w:highlight w:val="none"/>
        </w:rPr>
        <w:t>主要建设工程文件目录</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文件名称</w:t>
            </w:r>
          </w:p>
        </w:tc>
        <w:tc>
          <w:tcPr>
            <w:tcW w:w="1276"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套数</w:t>
            </w:r>
          </w:p>
        </w:tc>
        <w:tc>
          <w:tcPr>
            <w:tcW w:w="1450"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费用</w:t>
            </w:r>
            <w:r>
              <w:rPr>
                <w:rFonts w:hint="eastAsia" w:ascii="宋体" w:hAnsi="宋体"/>
                <w:sz w:val="28"/>
                <w:szCs w:val="30"/>
                <w:highlight w:val="none"/>
              </w:rPr>
              <w:t>（元）</w:t>
            </w:r>
          </w:p>
        </w:tc>
        <w:tc>
          <w:tcPr>
            <w:tcW w:w="1243"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质量</w:t>
            </w:r>
          </w:p>
        </w:tc>
        <w:tc>
          <w:tcPr>
            <w:tcW w:w="1450" w:type="dxa"/>
            <w:tcBorders>
              <w:top w:val="single" w:color="auto" w:sz="12" w:space="0"/>
              <w:bottom w:val="double" w:color="auto" w:sz="6" w:space="0"/>
            </w:tcBorders>
            <w:noWrap w:val="0"/>
            <w:vAlign w:val="top"/>
          </w:tcPr>
          <w:p>
            <w:pPr>
              <w:spacing w:line="360" w:lineRule="auto"/>
              <w:jc w:val="center"/>
              <w:rPr>
                <w:rFonts w:ascii="宋体" w:hAnsi="宋体"/>
                <w:sz w:val="28"/>
                <w:szCs w:val="30"/>
                <w:highlight w:val="none"/>
              </w:rPr>
            </w:pPr>
            <w:r>
              <w:rPr>
                <w:rFonts w:ascii="宋体" w:hAnsi="宋体"/>
                <w:sz w:val="28"/>
                <w:szCs w:val="30"/>
                <w:highlight w:val="none"/>
              </w:rPr>
              <w:t>移交时间</w:t>
            </w:r>
          </w:p>
        </w:tc>
        <w:tc>
          <w:tcPr>
            <w:tcW w:w="1667" w:type="dxa"/>
            <w:tcBorders>
              <w:top w:val="single" w:color="auto" w:sz="12" w:space="0"/>
              <w:bottom w:val="double" w:color="auto" w:sz="6" w:space="0"/>
            </w:tcBorders>
            <w:noWrap w:val="0"/>
            <w:vAlign w:val="top"/>
          </w:tcPr>
          <w:p>
            <w:pPr>
              <w:spacing w:line="360" w:lineRule="auto"/>
              <w:jc w:val="center"/>
              <w:rPr>
                <w:rFonts w:ascii="宋体" w:hAnsi="宋体"/>
                <w:sz w:val="28"/>
                <w:szCs w:val="30"/>
                <w:highlight w:val="none"/>
              </w:rPr>
            </w:pPr>
            <w:r>
              <w:rPr>
                <w:rFonts w:ascii="宋体" w:hAnsi="宋体"/>
                <w:sz w:val="28"/>
                <w:szCs w:val="30"/>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43"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67"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43"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67"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4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6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4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6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4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6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4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6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4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6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4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6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ascii="宋体" w:hAnsi="宋体"/>
                <w:sz w:val="30"/>
                <w:szCs w:val="30"/>
                <w:highlight w:val="none"/>
              </w:rPr>
            </w:pPr>
          </w:p>
        </w:tc>
        <w:tc>
          <w:tcPr>
            <w:tcW w:w="1276" w:type="dxa"/>
            <w:noWrap w:val="0"/>
            <w:vAlign w:val="top"/>
          </w:tcPr>
          <w:p>
            <w:pPr>
              <w:spacing w:line="360" w:lineRule="auto"/>
              <w:rPr>
                <w:rFonts w:ascii="宋体" w:hAnsi="宋体"/>
                <w:sz w:val="30"/>
                <w:szCs w:val="30"/>
                <w:highlight w:val="none"/>
              </w:rPr>
            </w:pPr>
          </w:p>
        </w:tc>
        <w:tc>
          <w:tcPr>
            <w:tcW w:w="1450" w:type="dxa"/>
            <w:noWrap w:val="0"/>
            <w:vAlign w:val="top"/>
          </w:tcPr>
          <w:p>
            <w:pPr>
              <w:spacing w:line="360" w:lineRule="auto"/>
              <w:rPr>
                <w:rFonts w:ascii="宋体" w:hAnsi="宋体"/>
                <w:sz w:val="30"/>
                <w:szCs w:val="30"/>
                <w:highlight w:val="none"/>
              </w:rPr>
            </w:pPr>
          </w:p>
        </w:tc>
        <w:tc>
          <w:tcPr>
            <w:tcW w:w="1243" w:type="dxa"/>
            <w:noWrap w:val="0"/>
            <w:vAlign w:val="top"/>
          </w:tcPr>
          <w:p>
            <w:pPr>
              <w:spacing w:line="360" w:lineRule="auto"/>
              <w:rPr>
                <w:rFonts w:ascii="宋体" w:hAnsi="宋体"/>
                <w:sz w:val="30"/>
                <w:szCs w:val="30"/>
                <w:highlight w:val="none"/>
              </w:rPr>
            </w:pPr>
          </w:p>
        </w:tc>
        <w:tc>
          <w:tcPr>
            <w:tcW w:w="1450" w:type="dxa"/>
            <w:noWrap w:val="0"/>
            <w:vAlign w:val="top"/>
          </w:tcPr>
          <w:p>
            <w:pPr>
              <w:spacing w:line="360" w:lineRule="auto"/>
              <w:rPr>
                <w:rFonts w:ascii="宋体" w:hAnsi="宋体"/>
                <w:sz w:val="30"/>
                <w:szCs w:val="30"/>
                <w:highlight w:val="none"/>
              </w:rPr>
            </w:pPr>
          </w:p>
        </w:tc>
        <w:tc>
          <w:tcPr>
            <w:tcW w:w="1667" w:type="dxa"/>
            <w:noWrap w:val="0"/>
            <w:vAlign w:val="top"/>
          </w:tcPr>
          <w:p>
            <w:pPr>
              <w:spacing w:line="360" w:lineRule="auto"/>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76"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243"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667"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ascii="宋体" w:hAnsi="宋体"/>
                <w:sz w:val="30"/>
                <w:szCs w:val="30"/>
                <w:highlight w:val="none"/>
              </w:rPr>
            </w:pPr>
          </w:p>
        </w:tc>
        <w:tc>
          <w:tcPr>
            <w:tcW w:w="1276" w:type="dxa"/>
            <w:noWrap w:val="0"/>
            <w:vAlign w:val="top"/>
          </w:tcPr>
          <w:p>
            <w:pPr>
              <w:spacing w:line="360" w:lineRule="auto"/>
              <w:rPr>
                <w:rFonts w:ascii="宋体" w:hAnsi="宋体"/>
                <w:sz w:val="30"/>
                <w:szCs w:val="30"/>
                <w:highlight w:val="none"/>
              </w:rPr>
            </w:pPr>
          </w:p>
        </w:tc>
        <w:tc>
          <w:tcPr>
            <w:tcW w:w="1450" w:type="dxa"/>
            <w:noWrap w:val="0"/>
            <w:vAlign w:val="top"/>
          </w:tcPr>
          <w:p>
            <w:pPr>
              <w:spacing w:line="360" w:lineRule="auto"/>
              <w:rPr>
                <w:rFonts w:ascii="宋体" w:hAnsi="宋体"/>
                <w:sz w:val="30"/>
                <w:szCs w:val="30"/>
                <w:highlight w:val="none"/>
              </w:rPr>
            </w:pPr>
          </w:p>
        </w:tc>
        <w:tc>
          <w:tcPr>
            <w:tcW w:w="1243" w:type="dxa"/>
            <w:noWrap w:val="0"/>
            <w:vAlign w:val="top"/>
          </w:tcPr>
          <w:p>
            <w:pPr>
              <w:spacing w:line="360" w:lineRule="auto"/>
              <w:rPr>
                <w:rFonts w:ascii="宋体" w:hAnsi="宋体"/>
                <w:sz w:val="30"/>
                <w:szCs w:val="30"/>
                <w:highlight w:val="none"/>
              </w:rPr>
            </w:pPr>
          </w:p>
        </w:tc>
        <w:tc>
          <w:tcPr>
            <w:tcW w:w="1450" w:type="dxa"/>
            <w:noWrap w:val="0"/>
            <w:vAlign w:val="top"/>
          </w:tcPr>
          <w:p>
            <w:pPr>
              <w:spacing w:line="360" w:lineRule="auto"/>
              <w:rPr>
                <w:rFonts w:ascii="宋体" w:hAnsi="宋体"/>
                <w:sz w:val="30"/>
                <w:szCs w:val="30"/>
                <w:highlight w:val="none"/>
              </w:rPr>
            </w:pPr>
          </w:p>
        </w:tc>
        <w:tc>
          <w:tcPr>
            <w:tcW w:w="1667" w:type="dxa"/>
            <w:noWrap w:val="0"/>
            <w:vAlign w:val="top"/>
          </w:tcPr>
          <w:p>
            <w:pPr>
              <w:spacing w:line="360" w:lineRule="auto"/>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ascii="宋体" w:hAnsi="宋体"/>
                <w:sz w:val="30"/>
                <w:szCs w:val="30"/>
                <w:highlight w:val="none"/>
              </w:rPr>
            </w:pPr>
          </w:p>
        </w:tc>
        <w:tc>
          <w:tcPr>
            <w:tcW w:w="1276" w:type="dxa"/>
            <w:noWrap w:val="0"/>
            <w:vAlign w:val="top"/>
          </w:tcPr>
          <w:p>
            <w:pPr>
              <w:spacing w:line="360" w:lineRule="auto"/>
              <w:rPr>
                <w:rFonts w:ascii="宋体" w:hAnsi="宋体"/>
                <w:sz w:val="30"/>
                <w:szCs w:val="30"/>
                <w:highlight w:val="none"/>
              </w:rPr>
            </w:pPr>
          </w:p>
        </w:tc>
        <w:tc>
          <w:tcPr>
            <w:tcW w:w="1450" w:type="dxa"/>
            <w:noWrap w:val="0"/>
            <w:vAlign w:val="top"/>
          </w:tcPr>
          <w:p>
            <w:pPr>
              <w:spacing w:line="360" w:lineRule="auto"/>
              <w:rPr>
                <w:rFonts w:ascii="宋体" w:hAnsi="宋体"/>
                <w:sz w:val="30"/>
                <w:szCs w:val="30"/>
                <w:highlight w:val="none"/>
              </w:rPr>
            </w:pPr>
          </w:p>
        </w:tc>
        <w:tc>
          <w:tcPr>
            <w:tcW w:w="1243" w:type="dxa"/>
            <w:noWrap w:val="0"/>
            <w:vAlign w:val="top"/>
          </w:tcPr>
          <w:p>
            <w:pPr>
              <w:spacing w:line="360" w:lineRule="auto"/>
              <w:rPr>
                <w:rFonts w:ascii="宋体" w:hAnsi="宋体"/>
                <w:sz w:val="30"/>
                <w:szCs w:val="30"/>
                <w:highlight w:val="none"/>
              </w:rPr>
            </w:pPr>
          </w:p>
        </w:tc>
        <w:tc>
          <w:tcPr>
            <w:tcW w:w="1450" w:type="dxa"/>
            <w:noWrap w:val="0"/>
            <w:vAlign w:val="top"/>
          </w:tcPr>
          <w:p>
            <w:pPr>
              <w:spacing w:line="360" w:lineRule="auto"/>
              <w:rPr>
                <w:rFonts w:ascii="宋体" w:hAnsi="宋体"/>
                <w:sz w:val="30"/>
                <w:szCs w:val="30"/>
                <w:highlight w:val="none"/>
              </w:rPr>
            </w:pPr>
          </w:p>
        </w:tc>
        <w:tc>
          <w:tcPr>
            <w:tcW w:w="1667" w:type="dxa"/>
            <w:noWrap w:val="0"/>
            <w:vAlign w:val="top"/>
          </w:tcPr>
          <w:p>
            <w:pPr>
              <w:spacing w:line="360" w:lineRule="auto"/>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ascii="宋体" w:hAnsi="宋体"/>
                <w:sz w:val="30"/>
                <w:szCs w:val="30"/>
                <w:highlight w:val="none"/>
              </w:rPr>
            </w:pPr>
          </w:p>
        </w:tc>
        <w:tc>
          <w:tcPr>
            <w:tcW w:w="1276" w:type="dxa"/>
            <w:noWrap w:val="0"/>
            <w:vAlign w:val="top"/>
          </w:tcPr>
          <w:p>
            <w:pPr>
              <w:spacing w:line="360" w:lineRule="auto"/>
              <w:rPr>
                <w:rFonts w:ascii="宋体" w:hAnsi="宋体"/>
                <w:sz w:val="30"/>
                <w:szCs w:val="30"/>
                <w:highlight w:val="none"/>
              </w:rPr>
            </w:pPr>
          </w:p>
        </w:tc>
        <w:tc>
          <w:tcPr>
            <w:tcW w:w="1450" w:type="dxa"/>
            <w:noWrap w:val="0"/>
            <w:vAlign w:val="top"/>
          </w:tcPr>
          <w:p>
            <w:pPr>
              <w:spacing w:line="360" w:lineRule="auto"/>
              <w:rPr>
                <w:rFonts w:ascii="宋体" w:hAnsi="宋体"/>
                <w:sz w:val="30"/>
                <w:szCs w:val="30"/>
                <w:highlight w:val="none"/>
              </w:rPr>
            </w:pPr>
          </w:p>
        </w:tc>
        <w:tc>
          <w:tcPr>
            <w:tcW w:w="1243" w:type="dxa"/>
            <w:noWrap w:val="0"/>
            <w:vAlign w:val="top"/>
          </w:tcPr>
          <w:p>
            <w:pPr>
              <w:spacing w:line="360" w:lineRule="auto"/>
              <w:rPr>
                <w:rFonts w:ascii="宋体" w:hAnsi="宋体"/>
                <w:sz w:val="30"/>
                <w:szCs w:val="30"/>
                <w:highlight w:val="none"/>
              </w:rPr>
            </w:pPr>
          </w:p>
        </w:tc>
        <w:tc>
          <w:tcPr>
            <w:tcW w:w="1450" w:type="dxa"/>
            <w:noWrap w:val="0"/>
            <w:vAlign w:val="top"/>
          </w:tcPr>
          <w:p>
            <w:pPr>
              <w:spacing w:line="360" w:lineRule="auto"/>
              <w:rPr>
                <w:rFonts w:ascii="宋体" w:hAnsi="宋体"/>
                <w:sz w:val="30"/>
                <w:szCs w:val="30"/>
                <w:highlight w:val="none"/>
              </w:rPr>
            </w:pPr>
          </w:p>
        </w:tc>
        <w:tc>
          <w:tcPr>
            <w:tcW w:w="1667" w:type="dxa"/>
            <w:noWrap w:val="0"/>
            <w:vAlign w:val="top"/>
          </w:tcPr>
          <w:p>
            <w:pPr>
              <w:spacing w:line="360" w:lineRule="auto"/>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ascii="宋体" w:hAnsi="宋体"/>
                <w:sz w:val="30"/>
                <w:szCs w:val="30"/>
                <w:highlight w:val="none"/>
              </w:rPr>
            </w:pPr>
          </w:p>
        </w:tc>
        <w:tc>
          <w:tcPr>
            <w:tcW w:w="1276" w:type="dxa"/>
            <w:noWrap w:val="0"/>
            <w:vAlign w:val="top"/>
          </w:tcPr>
          <w:p>
            <w:pPr>
              <w:spacing w:line="360" w:lineRule="auto"/>
              <w:rPr>
                <w:rFonts w:ascii="宋体" w:hAnsi="宋体"/>
                <w:sz w:val="30"/>
                <w:szCs w:val="30"/>
                <w:highlight w:val="none"/>
              </w:rPr>
            </w:pPr>
          </w:p>
        </w:tc>
        <w:tc>
          <w:tcPr>
            <w:tcW w:w="1450" w:type="dxa"/>
            <w:noWrap w:val="0"/>
            <w:vAlign w:val="top"/>
          </w:tcPr>
          <w:p>
            <w:pPr>
              <w:spacing w:line="360" w:lineRule="auto"/>
              <w:rPr>
                <w:rFonts w:ascii="宋体" w:hAnsi="宋体"/>
                <w:sz w:val="30"/>
                <w:szCs w:val="30"/>
                <w:highlight w:val="none"/>
              </w:rPr>
            </w:pPr>
          </w:p>
        </w:tc>
        <w:tc>
          <w:tcPr>
            <w:tcW w:w="1243" w:type="dxa"/>
            <w:noWrap w:val="0"/>
            <w:vAlign w:val="top"/>
          </w:tcPr>
          <w:p>
            <w:pPr>
              <w:spacing w:line="360" w:lineRule="auto"/>
              <w:rPr>
                <w:rFonts w:ascii="宋体" w:hAnsi="宋体"/>
                <w:sz w:val="30"/>
                <w:szCs w:val="30"/>
                <w:highlight w:val="none"/>
              </w:rPr>
            </w:pPr>
          </w:p>
        </w:tc>
        <w:tc>
          <w:tcPr>
            <w:tcW w:w="1450" w:type="dxa"/>
            <w:noWrap w:val="0"/>
            <w:vAlign w:val="top"/>
          </w:tcPr>
          <w:p>
            <w:pPr>
              <w:spacing w:line="360" w:lineRule="auto"/>
              <w:rPr>
                <w:rFonts w:ascii="宋体" w:hAnsi="宋体"/>
                <w:sz w:val="30"/>
                <w:szCs w:val="30"/>
                <w:highlight w:val="none"/>
              </w:rPr>
            </w:pPr>
          </w:p>
        </w:tc>
        <w:tc>
          <w:tcPr>
            <w:tcW w:w="1667" w:type="dxa"/>
            <w:noWrap w:val="0"/>
            <w:vAlign w:val="top"/>
          </w:tcPr>
          <w:p>
            <w:pPr>
              <w:spacing w:line="360" w:lineRule="auto"/>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ascii="宋体" w:hAnsi="宋体"/>
                <w:sz w:val="30"/>
                <w:szCs w:val="30"/>
                <w:highlight w:val="none"/>
              </w:rPr>
            </w:pPr>
          </w:p>
        </w:tc>
        <w:tc>
          <w:tcPr>
            <w:tcW w:w="1276" w:type="dxa"/>
            <w:noWrap w:val="0"/>
            <w:vAlign w:val="top"/>
          </w:tcPr>
          <w:p>
            <w:pPr>
              <w:spacing w:line="360" w:lineRule="auto"/>
              <w:rPr>
                <w:rFonts w:ascii="宋体" w:hAnsi="宋体"/>
                <w:sz w:val="30"/>
                <w:szCs w:val="30"/>
                <w:highlight w:val="none"/>
              </w:rPr>
            </w:pPr>
          </w:p>
        </w:tc>
        <w:tc>
          <w:tcPr>
            <w:tcW w:w="1450" w:type="dxa"/>
            <w:noWrap w:val="0"/>
            <w:vAlign w:val="top"/>
          </w:tcPr>
          <w:p>
            <w:pPr>
              <w:spacing w:line="360" w:lineRule="auto"/>
              <w:rPr>
                <w:rFonts w:ascii="宋体" w:hAnsi="宋体"/>
                <w:sz w:val="30"/>
                <w:szCs w:val="30"/>
                <w:highlight w:val="none"/>
              </w:rPr>
            </w:pPr>
          </w:p>
        </w:tc>
        <w:tc>
          <w:tcPr>
            <w:tcW w:w="1243" w:type="dxa"/>
            <w:noWrap w:val="0"/>
            <w:vAlign w:val="top"/>
          </w:tcPr>
          <w:p>
            <w:pPr>
              <w:spacing w:line="360" w:lineRule="auto"/>
              <w:rPr>
                <w:rFonts w:ascii="宋体" w:hAnsi="宋体"/>
                <w:sz w:val="30"/>
                <w:szCs w:val="30"/>
                <w:highlight w:val="none"/>
              </w:rPr>
            </w:pPr>
          </w:p>
        </w:tc>
        <w:tc>
          <w:tcPr>
            <w:tcW w:w="1450" w:type="dxa"/>
            <w:noWrap w:val="0"/>
            <w:vAlign w:val="top"/>
          </w:tcPr>
          <w:p>
            <w:pPr>
              <w:spacing w:line="360" w:lineRule="auto"/>
              <w:rPr>
                <w:rFonts w:ascii="宋体" w:hAnsi="宋体"/>
                <w:sz w:val="30"/>
                <w:szCs w:val="30"/>
                <w:highlight w:val="none"/>
              </w:rPr>
            </w:pPr>
          </w:p>
        </w:tc>
        <w:tc>
          <w:tcPr>
            <w:tcW w:w="1667" w:type="dxa"/>
            <w:noWrap w:val="0"/>
            <w:vAlign w:val="top"/>
          </w:tcPr>
          <w:p>
            <w:pPr>
              <w:spacing w:line="360" w:lineRule="auto"/>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ascii="宋体" w:hAnsi="宋体"/>
                <w:sz w:val="30"/>
                <w:szCs w:val="30"/>
                <w:highlight w:val="none"/>
              </w:rPr>
            </w:pPr>
          </w:p>
        </w:tc>
        <w:tc>
          <w:tcPr>
            <w:tcW w:w="1276" w:type="dxa"/>
            <w:noWrap w:val="0"/>
            <w:vAlign w:val="top"/>
          </w:tcPr>
          <w:p>
            <w:pPr>
              <w:spacing w:line="360" w:lineRule="auto"/>
              <w:rPr>
                <w:rFonts w:ascii="宋体" w:hAnsi="宋体"/>
                <w:sz w:val="30"/>
                <w:szCs w:val="30"/>
                <w:highlight w:val="none"/>
              </w:rPr>
            </w:pPr>
          </w:p>
        </w:tc>
        <w:tc>
          <w:tcPr>
            <w:tcW w:w="1450" w:type="dxa"/>
            <w:noWrap w:val="0"/>
            <w:vAlign w:val="top"/>
          </w:tcPr>
          <w:p>
            <w:pPr>
              <w:spacing w:line="360" w:lineRule="auto"/>
              <w:rPr>
                <w:rFonts w:ascii="宋体" w:hAnsi="宋体"/>
                <w:sz w:val="30"/>
                <w:szCs w:val="30"/>
                <w:highlight w:val="none"/>
              </w:rPr>
            </w:pPr>
          </w:p>
        </w:tc>
        <w:tc>
          <w:tcPr>
            <w:tcW w:w="1243" w:type="dxa"/>
            <w:noWrap w:val="0"/>
            <w:vAlign w:val="top"/>
          </w:tcPr>
          <w:p>
            <w:pPr>
              <w:spacing w:line="360" w:lineRule="auto"/>
              <w:rPr>
                <w:rFonts w:ascii="宋体" w:hAnsi="宋体"/>
                <w:sz w:val="30"/>
                <w:szCs w:val="30"/>
                <w:highlight w:val="none"/>
              </w:rPr>
            </w:pPr>
          </w:p>
        </w:tc>
        <w:tc>
          <w:tcPr>
            <w:tcW w:w="1450" w:type="dxa"/>
            <w:noWrap w:val="0"/>
            <w:vAlign w:val="top"/>
          </w:tcPr>
          <w:p>
            <w:pPr>
              <w:spacing w:line="360" w:lineRule="auto"/>
              <w:rPr>
                <w:rFonts w:ascii="宋体" w:hAnsi="宋体"/>
                <w:sz w:val="30"/>
                <w:szCs w:val="30"/>
                <w:highlight w:val="none"/>
              </w:rPr>
            </w:pPr>
          </w:p>
        </w:tc>
        <w:tc>
          <w:tcPr>
            <w:tcW w:w="1667" w:type="dxa"/>
            <w:noWrap w:val="0"/>
            <w:vAlign w:val="top"/>
          </w:tcPr>
          <w:p>
            <w:pPr>
              <w:spacing w:line="360" w:lineRule="auto"/>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ascii="宋体" w:hAnsi="宋体"/>
                <w:sz w:val="30"/>
                <w:szCs w:val="30"/>
                <w:highlight w:val="none"/>
              </w:rPr>
            </w:pPr>
          </w:p>
        </w:tc>
        <w:tc>
          <w:tcPr>
            <w:tcW w:w="1276" w:type="dxa"/>
            <w:noWrap w:val="0"/>
            <w:vAlign w:val="top"/>
          </w:tcPr>
          <w:p>
            <w:pPr>
              <w:spacing w:line="360" w:lineRule="auto"/>
              <w:rPr>
                <w:rFonts w:ascii="宋体" w:hAnsi="宋体"/>
                <w:sz w:val="30"/>
                <w:szCs w:val="30"/>
                <w:highlight w:val="none"/>
              </w:rPr>
            </w:pPr>
          </w:p>
        </w:tc>
        <w:tc>
          <w:tcPr>
            <w:tcW w:w="1450" w:type="dxa"/>
            <w:noWrap w:val="0"/>
            <w:vAlign w:val="top"/>
          </w:tcPr>
          <w:p>
            <w:pPr>
              <w:spacing w:line="360" w:lineRule="auto"/>
              <w:rPr>
                <w:rFonts w:ascii="宋体" w:hAnsi="宋体"/>
                <w:sz w:val="30"/>
                <w:szCs w:val="30"/>
                <w:highlight w:val="none"/>
              </w:rPr>
            </w:pPr>
          </w:p>
        </w:tc>
        <w:tc>
          <w:tcPr>
            <w:tcW w:w="1243" w:type="dxa"/>
            <w:noWrap w:val="0"/>
            <w:vAlign w:val="top"/>
          </w:tcPr>
          <w:p>
            <w:pPr>
              <w:spacing w:line="360" w:lineRule="auto"/>
              <w:rPr>
                <w:rFonts w:ascii="宋体" w:hAnsi="宋体"/>
                <w:sz w:val="30"/>
                <w:szCs w:val="30"/>
                <w:highlight w:val="none"/>
              </w:rPr>
            </w:pPr>
          </w:p>
        </w:tc>
        <w:tc>
          <w:tcPr>
            <w:tcW w:w="1450" w:type="dxa"/>
            <w:noWrap w:val="0"/>
            <w:vAlign w:val="top"/>
          </w:tcPr>
          <w:p>
            <w:pPr>
              <w:spacing w:line="360" w:lineRule="auto"/>
              <w:rPr>
                <w:rFonts w:ascii="宋体" w:hAnsi="宋体"/>
                <w:sz w:val="30"/>
                <w:szCs w:val="30"/>
                <w:highlight w:val="none"/>
              </w:rPr>
            </w:pPr>
          </w:p>
        </w:tc>
        <w:tc>
          <w:tcPr>
            <w:tcW w:w="1667" w:type="dxa"/>
            <w:noWrap w:val="0"/>
            <w:vAlign w:val="top"/>
          </w:tcPr>
          <w:p>
            <w:pPr>
              <w:spacing w:line="360" w:lineRule="auto"/>
              <w:rPr>
                <w:rFonts w:ascii="宋体" w:hAnsi="宋体"/>
                <w:sz w:val="30"/>
                <w:szCs w:val="30"/>
                <w:highlight w:val="none"/>
              </w:rPr>
            </w:pPr>
          </w:p>
        </w:tc>
      </w:tr>
    </w:tbl>
    <w:p>
      <w:pPr>
        <w:spacing w:line="360" w:lineRule="auto"/>
        <w:rPr>
          <w:rFonts w:ascii="宋体" w:hAnsi="宋体"/>
          <w:sz w:val="30"/>
          <w:szCs w:val="30"/>
          <w:highlight w:val="none"/>
        </w:rPr>
      </w:pPr>
      <w:r>
        <w:rPr>
          <w:rFonts w:ascii="宋体" w:hAnsi="宋体"/>
          <w:sz w:val="30"/>
          <w:szCs w:val="30"/>
          <w:highlight w:val="none"/>
        </w:rPr>
        <w:br w:type="page"/>
      </w:r>
      <w:r>
        <w:rPr>
          <w:rFonts w:hint="eastAsia" w:ascii="宋体" w:hAnsi="宋体" w:eastAsia="宋体"/>
          <w:b/>
          <w:bCs/>
          <w:sz w:val="24"/>
          <w:szCs w:val="24"/>
          <w:highlight w:val="none"/>
        </w:rPr>
        <w:t>附</w:t>
      </w:r>
      <w:bookmarkStart w:id="1312" w:name="_Toc296944566"/>
      <w:bookmarkStart w:id="1313" w:name="_Toc296891267"/>
      <w:bookmarkStart w:id="1314" w:name="_Toc267261698"/>
      <w:bookmarkStart w:id="1315" w:name="_Toc296503227"/>
      <w:bookmarkStart w:id="1316" w:name="_Toc296891055"/>
      <w:bookmarkStart w:id="1317" w:name="_Toc296346728"/>
      <w:bookmarkStart w:id="1318" w:name="_Toc296347226"/>
      <w:r>
        <w:rPr>
          <w:rFonts w:hint="eastAsia" w:ascii="宋体" w:hAnsi="宋体" w:eastAsia="宋体"/>
          <w:b/>
          <w:bCs/>
          <w:sz w:val="24"/>
          <w:szCs w:val="24"/>
          <w:highlight w:val="none"/>
        </w:rPr>
        <w:t>件5：</w:t>
      </w:r>
    </w:p>
    <w:bookmarkEnd w:id="1312"/>
    <w:bookmarkEnd w:id="1313"/>
    <w:bookmarkEnd w:id="1314"/>
    <w:bookmarkEnd w:id="1315"/>
    <w:bookmarkEnd w:id="1316"/>
    <w:bookmarkEnd w:id="1317"/>
    <w:bookmarkEnd w:id="1318"/>
    <w:p>
      <w:pPr>
        <w:spacing w:before="120" w:beforeLines="50" w:after="120" w:afterLines="50" w:line="360" w:lineRule="auto"/>
        <w:jc w:val="center"/>
        <w:rPr>
          <w:rFonts w:ascii="宋体" w:hAnsi="宋体"/>
          <w:sz w:val="30"/>
          <w:szCs w:val="30"/>
          <w:highlight w:val="none"/>
        </w:rPr>
      </w:pPr>
      <w:r>
        <w:rPr>
          <w:rFonts w:ascii="宋体" w:hAnsi="宋体"/>
          <w:sz w:val="30"/>
          <w:szCs w:val="30"/>
          <w:highlight w:val="none"/>
        </w:rPr>
        <w:t>承包人用于本工程施工的机械设备表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序号</w:t>
            </w:r>
          </w:p>
        </w:tc>
        <w:tc>
          <w:tcPr>
            <w:tcW w:w="1418"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机械或设备名称</w:t>
            </w:r>
          </w:p>
        </w:tc>
        <w:tc>
          <w:tcPr>
            <w:tcW w:w="850"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规格型号</w:t>
            </w:r>
          </w:p>
        </w:tc>
        <w:tc>
          <w:tcPr>
            <w:tcW w:w="1058"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数量</w:t>
            </w:r>
          </w:p>
        </w:tc>
        <w:tc>
          <w:tcPr>
            <w:tcW w:w="880"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产地</w:t>
            </w:r>
          </w:p>
        </w:tc>
        <w:tc>
          <w:tcPr>
            <w:tcW w:w="1020"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制造年份</w:t>
            </w:r>
          </w:p>
        </w:tc>
        <w:tc>
          <w:tcPr>
            <w:tcW w:w="1480"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额定功率(kW)</w:t>
            </w:r>
          </w:p>
        </w:tc>
        <w:tc>
          <w:tcPr>
            <w:tcW w:w="1020"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生产能力</w:t>
            </w:r>
          </w:p>
        </w:tc>
        <w:tc>
          <w:tcPr>
            <w:tcW w:w="921"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18"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0"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58"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80"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20"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80"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20"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21" w:type="dxa"/>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18"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0"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58"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80"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20"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80"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20"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21"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5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8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2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8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2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2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5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8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2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8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2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2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5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8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2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8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2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2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5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8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2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8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2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2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ascii="宋体" w:hAnsi="宋体"/>
                <w:sz w:val="30"/>
                <w:szCs w:val="30"/>
                <w:highlight w:val="none"/>
              </w:rPr>
            </w:pPr>
          </w:p>
        </w:tc>
        <w:tc>
          <w:tcPr>
            <w:tcW w:w="1418" w:type="dxa"/>
            <w:noWrap w:val="0"/>
            <w:vAlign w:val="top"/>
          </w:tcPr>
          <w:p>
            <w:pPr>
              <w:spacing w:line="360" w:lineRule="auto"/>
              <w:rPr>
                <w:rFonts w:ascii="宋体" w:hAnsi="宋体"/>
                <w:sz w:val="30"/>
                <w:szCs w:val="30"/>
                <w:highlight w:val="none"/>
              </w:rPr>
            </w:pPr>
          </w:p>
        </w:tc>
        <w:tc>
          <w:tcPr>
            <w:tcW w:w="850" w:type="dxa"/>
            <w:noWrap w:val="0"/>
            <w:vAlign w:val="top"/>
          </w:tcPr>
          <w:p>
            <w:pPr>
              <w:spacing w:line="360" w:lineRule="auto"/>
              <w:rPr>
                <w:rFonts w:ascii="宋体" w:hAnsi="宋体"/>
                <w:sz w:val="30"/>
                <w:szCs w:val="30"/>
                <w:highlight w:val="none"/>
              </w:rPr>
            </w:pPr>
          </w:p>
        </w:tc>
        <w:tc>
          <w:tcPr>
            <w:tcW w:w="1058" w:type="dxa"/>
            <w:noWrap w:val="0"/>
            <w:vAlign w:val="top"/>
          </w:tcPr>
          <w:p>
            <w:pPr>
              <w:spacing w:line="360" w:lineRule="auto"/>
              <w:rPr>
                <w:rFonts w:ascii="宋体" w:hAnsi="宋体"/>
                <w:sz w:val="30"/>
                <w:szCs w:val="30"/>
                <w:highlight w:val="none"/>
              </w:rPr>
            </w:pPr>
          </w:p>
        </w:tc>
        <w:tc>
          <w:tcPr>
            <w:tcW w:w="8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14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921" w:type="dxa"/>
            <w:noWrap w:val="0"/>
            <w:vAlign w:val="top"/>
          </w:tcPr>
          <w:p>
            <w:pPr>
              <w:spacing w:line="360" w:lineRule="auto"/>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5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58"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88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2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48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020"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921"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ascii="宋体" w:hAnsi="宋体"/>
                <w:sz w:val="30"/>
                <w:szCs w:val="30"/>
                <w:highlight w:val="none"/>
              </w:rPr>
            </w:pPr>
          </w:p>
        </w:tc>
        <w:tc>
          <w:tcPr>
            <w:tcW w:w="1418" w:type="dxa"/>
            <w:noWrap w:val="0"/>
            <w:vAlign w:val="top"/>
          </w:tcPr>
          <w:p>
            <w:pPr>
              <w:spacing w:line="360" w:lineRule="auto"/>
              <w:rPr>
                <w:rFonts w:ascii="宋体" w:hAnsi="宋体"/>
                <w:sz w:val="30"/>
                <w:szCs w:val="30"/>
                <w:highlight w:val="none"/>
              </w:rPr>
            </w:pPr>
          </w:p>
        </w:tc>
        <w:tc>
          <w:tcPr>
            <w:tcW w:w="850" w:type="dxa"/>
            <w:noWrap w:val="0"/>
            <w:vAlign w:val="top"/>
          </w:tcPr>
          <w:p>
            <w:pPr>
              <w:spacing w:line="360" w:lineRule="auto"/>
              <w:rPr>
                <w:rFonts w:ascii="宋体" w:hAnsi="宋体"/>
                <w:sz w:val="30"/>
                <w:szCs w:val="30"/>
                <w:highlight w:val="none"/>
              </w:rPr>
            </w:pPr>
          </w:p>
        </w:tc>
        <w:tc>
          <w:tcPr>
            <w:tcW w:w="1058" w:type="dxa"/>
            <w:noWrap w:val="0"/>
            <w:vAlign w:val="top"/>
          </w:tcPr>
          <w:p>
            <w:pPr>
              <w:spacing w:line="360" w:lineRule="auto"/>
              <w:rPr>
                <w:rFonts w:ascii="宋体" w:hAnsi="宋体"/>
                <w:sz w:val="30"/>
                <w:szCs w:val="30"/>
                <w:highlight w:val="none"/>
              </w:rPr>
            </w:pPr>
          </w:p>
        </w:tc>
        <w:tc>
          <w:tcPr>
            <w:tcW w:w="8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14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921" w:type="dxa"/>
            <w:noWrap w:val="0"/>
            <w:vAlign w:val="top"/>
          </w:tcPr>
          <w:p>
            <w:pPr>
              <w:spacing w:line="360" w:lineRule="auto"/>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ascii="宋体" w:hAnsi="宋体"/>
                <w:sz w:val="30"/>
                <w:szCs w:val="30"/>
                <w:highlight w:val="none"/>
              </w:rPr>
            </w:pPr>
          </w:p>
        </w:tc>
        <w:tc>
          <w:tcPr>
            <w:tcW w:w="1418" w:type="dxa"/>
            <w:noWrap w:val="0"/>
            <w:vAlign w:val="top"/>
          </w:tcPr>
          <w:p>
            <w:pPr>
              <w:spacing w:line="360" w:lineRule="auto"/>
              <w:rPr>
                <w:rFonts w:ascii="宋体" w:hAnsi="宋体"/>
                <w:sz w:val="30"/>
                <w:szCs w:val="30"/>
                <w:highlight w:val="none"/>
              </w:rPr>
            </w:pPr>
          </w:p>
        </w:tc>
        <w:tc>
          <w:tcPr>
            <w:tcW w:w="850" w:type="dxa"/>
            <w:noWrap w:val="0"/>
            <w:vAlign w:val="top"/>
          </w:tcPr>
          <w:p>
            <w:pPr>
              <w:spacing w:line="360" w:lineRule="auto"/>
              <w:rPr>
                <w:rFonts w:ascii="宋体" w:hAnsi="宋体"/>
                <w:sz w:val="30"/>
                <w:szCs w:val="30"/>
                <w:highlight w:val="none"/>
              </w:rPr>
            </w:pPr>
          </w:p>
        </w:tc>
        <w:tc>
          <w:tcPr>
            <w:tcW w:w="1058" w:type="dxa"/>
            <w:noWrap w:val="0"/>
            <w:vAlign w:val="top"/>
          </w:tcPr>
          <w:p>
            <w:pPr>
              <w:spacing w:line="360" w:lineRule="auto"/>
              <w:rPr>
                <w:rFonts w:ascii="宋体" w:hAnsi="宋体"/>
                <w:sz w:val="30"/>
                <w:szCs w:val="30"/>
                <w:highlight w:val="none"/>
              </w:rPr>
            </w:pPr>
          </w:p>
        </w:tc>
        <w:tc>
          <w:tcPr>
            <w:tcW w:w="8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14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921" w:type="dxa"/>
            <w:noWrap w:val="0"/>
            <w:vAlign w:val="top"/>
          </w:tcPr>
          <w:p>
            <w:pPr>
              <w:spacing w:line="360" w:lineRule="auto"/>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ascii="宋体" w:hAnsi="宋体"/>
                <w:sz w:val="30"/>
                <w:szCs w:val="30"/>
                <w:highlight w:val="none"/>
              </w:rPr>
            </w:pPr>
          </w:p>
        </w:tc>
        <w:tc>
          <w:tcPr>
            <w:tcW w:w="1418" w:type="dxa"/>
            <w:noWrap w:val="0"/>
            <w:vAlign w:val="top"/>
          </w:tcPr>
          <w:p>
            <w:pPr>
              <w:spacing w:line="360" w:lineRule="auto"/>
              <w:rPr>
                <w:rFonts w:ascii="宋体" w:hAnsi="宋体"/>
                <w:sz w:val="30"/>
                <w:szCs w:val="30"/>
                <w:highlight w:val="none"/>
              </w:rPr>
            </w:pPr>
          </w:p>
        </w:tc>
        <w:tc>
          <w:tcPr>
            <w:tcW w:w="850" w:type="dxa"/>
            <w:noWrap w:val="0"/>
            <w:vAlign w:val="top"/>
          </w:tcPr>
          <w:p>
            <w:pPr>
              <w:spacing w:line="360" w:lineRule="auto"/>
              <w:rPr>
                <w:rFonts w:ascii="宋体" w:hAnsi="宋体"/>
                <w:sz w:val="30"/>
                <w:szCs w:val="30"/>
                <w:highlight w:val="none"/>
              </w:rPr>
            </w:pPr>
          </w:p>
        </w:tc>
        <w:tc>
          <w:tcPr>
            <w:tcW w:w="1058" w:type="dxa"/>
            <w:noWrap w:val="0"/>
            <w:vAlign w:val="top"/>
          </w:tcPr>
          <w:p>
            <w:pPr>
              <w:spacing w:line="360" w:lineRule="auto"/>
              <w:rPr>
                <w:rFonts w:ascii="宋体" w:hAnsi="宋体"/>
                <w:sz w:val="30"/>
                <w:szCs w:val="30"/>
                <w:highlight w:val="none"/>
              </w:rPr>
            </w:pPr>
          </w:p>
        </w:tc>
        <w:tc>
          <w:tcPr>
            <w:tcW w:w="8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14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921" w:type="dxa"/>
            <w:noWrap w:val="0"/>
            <w:vAlign w:val="top"/>
          </w:tcPr>
          <w:p>
            <w:pPr>
              <w:spacing w:line="360" w:lineRule="auto"/>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ascii="宋体" w:hAnsi="宋体"/>
                <w:sz w:val="30"/>
                <w:szCs w:val="30"/>
                <w:highlight w:val="none"/>
              </w:rPr>
            </w:pPr>
          </w:p>
        </w:tc>
        <w:tc>
          <w:tcPr>
            <w:tcW w:w="1418" w:type="dxa"/>
            <w:noWrap w:val="0"/>
            <w:vAlign w:val="top"/>
          </w:tcPr>
          <w:p>
            <w:pPr>
              <w:spacing w:line="360" w:lineRule="auto"/>
              <w:rPr>
                <w:rFonts w:ascii="宋体" w:hAnsi="宋体"/>
                <w:sz w:val="30"/>
                <w:szCs w:val="30"/>
                <w:highlight w:val="none"/>
              </w:rPr>
            </w:pPr>
          </w:p>
        </w:tc>
        <w:tc>
          <w:tcPr>
            <w:tcW w:w="850" w:type="dxa"/>
            <w:noWrap w:val="0"/>
            <w:vAlign w:val="top"/>
          </w:tcPr>
          <w:p>
            <w:pPr>
              <w:spacing w:line="360" w:lineRule="auto"/>
              <w:rPr>
                <w:rFonts w:ascii="宋体" w:hAnsi="宋体"/>
                <w:sz w:val="30"/>
                <w:szCs w:val="30"/>
                <w:highlight w:val="none"/>
              </w:rPr>
            </w:pPr>
          </w:p>
        </w:tc>
        <w:tc>
          <w:tcPr>
            <w:tcW w:w="1058" w:type="dxa"/>
            <w:noWrap w:val="0"/>
            <w:vAlign w:val="top"/>
          </w:tcPr>
          <w:p>
            <w:pPr>
              <w:spacing w:line="360" w:lineRule="auto"/>
              <w:rPr>
                <w:rFonts w:ascii="宋体" w:hAnsi="宋体"/>
                <w:sz w:val="30"/>
                <w:szCs w:val="30"/>
                <w:highlight w:val="none"/>
              </w:rPr>
            </w:pPr>
          </w:p>
        </w:tc>
        <w:tc>
          <w:tcPr>
            <w:tcW w:w="8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14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921" w:type="dxa"/>
            <w:noWrap w:val="0"/>
            <w:vAlign w:val="top"/>
          </w:tcPr>
          <w:p>
            <w:pPr>
              <w:spacing w:line="360" w:lineRule="auto"/>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ascii="宋体" w:hAnsi="宋体"/>
                <w:sz w:val="30"/>
                <w:szCs w:val="30"/>
                <w:highlight w:val="none"/>
              </w:rPr>
            </w:pPr>
          </w:p>
        </w:tc>
        <w:tc>
          <w:tcPr>
            <w:tcW w:w="1418" w:type="dxa"/>
            <w:noWrap w:val="0"/>
            <w:vAlign w:val="top"/>
          </w:tcPr>
          <w:p>
            <w:pPr>
              <w:spacing w:line="360" w:lineRule="auto"/>
              <w:rPr>
                <w:rFonts w:ascii="宋体" w:hAnsi="宋体"/>
                <w:sz w:val="30"/>
                <w:szCs w:val="30"/>
                <w:highlight w:val="none"/>
              </w:rPr>
            </w:pPr>
          </w:p>
        </w:tc>
        <w:tc>
          <w:tcPr>
            <w:tcW w:w="850" w:type="dxa"/>
            <w:noWrap w:val="0"/>
            <w:vAlign w:val="top"/>
          </w:tcPr>
          <w:p>
            <w:pPr>
              <w:spacing w:line="360" w:lineRule="auto"/>
              <w:rPr>
                <w:rFonts w:ascii="宋体" w:hAnsi="宋体"/>
                <w:sz w:val="30"/>
                <w:szCs w:val="30"/>
                <w:highlight w:val="none"/>
              </w:rPr>
            </w:pPr>
          </w:p>
        </w:tc>
        <w:tc>
          <w:tcPr>
            <w:tcW w:w="1058" w:type="dxa"/>
            <w:noWrap w:val="0"/>
            <w:vAlign w:val="top"/>
          </w:tcPr>
          <w:p>
            <w:pPr>
              <w:spacing w:line="360" w:lineRule="auto"/>
              <w:rPr>
                <w:rFonts w:ascii="宋体" w:hAnsi="宋体"/>
                <w:sz w:val="30"/>
                <w:szCs w:val="30"/>
                <w:highlight w:val="none"/>
              </w:rPr>
            </w:pPr>
          </w:p>
        </w:tc>
        <w:tc>
          <w:tcPr>
            <w:tcW w:w="8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14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921" w:type="dxa"/>
            <w:noWrap w:val="0"/>
            <w:vAlign w:val="top"/>
          </w:tcPr>
          <w:p>
            <w:pPr>
              <w:spacing w:line="360" w:lineRule="auto"/>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ascii="宋体" w:hAnsi="宋体"/>
                <w:sz w:val="30"/>
                <w:szCs w:val="30"/>
                <w:highlight w:val="none"/>
              </w:rPr>
            </w:pPr>
          </w:p>
        </w:tc>
        <w:tc>
          <w:tcPr>
            <w:tcW w:w="1418" w:type="dxa"/>
            <w:noWrap w:val="0"/>
            <w:vAlign w:val="top"/>
          </w:tcPr>
          <w:p>
            <w:pPr>
              <w:spacing w:line="360" w:lineRule="auto"/>
              <w:rPr>
                <w:rFonts w:ascii="宋体" w:hAnsi="宋体"/>
                <w:sz w:val="30"/>
                <w:szCs w:val="30"/>
                <w:highlight w:val="none"/>
              </w:rPr>
            </w:pPr>
          </w:p>
        </w:tc>
        <w:tc>
          <w:tcPr>
            <w:tcW w:w="850" w:type="dxa"/>
            <w:noWrap w:val="0"/>
            <w:vAlign w:val="top"/>
          </w:tcPr>
          <w:p>
            <w:pPr>
              <w:spacing w:line="360" w:lineRule="auto"/>
              <w:rPr>
                <w:rFonts w:ascii="宋体" w:hAnsi="宋体"/>
                <w:sz w:val="30"/>
                <w:szCs w:val="30"/>
                <w:highlight w:val="none"/>
              </w:rPr>
            </w:pPr>
          </w:p>
        </w:tc>
        <w:tc>
          <w:tcPr>
            <w:tcW w:w="1058" w:type="dxa"/>
            <w:noWrap w:val="0"/>
            <w:vAlign w:val="top"/>
          </w:tcPr>
          <w:p>
            <w:pPr>
              <w:spacing w:line="360" w:lineRule="auto"/>
              <w:rPr>
                <w:rFonts w:ascii="宋体" w:hAnsi="宋体"/>
                <w:sz w:val="30"/>
                <w:szCs w:val="30"/>
                <w:highlight w:val="none"/>
              </w:rPr>
            </w:pPr>
          </w:p>
        </w:tc>
        <w:tc>
          <w:tcPr>
            <w:tcW w:w="8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14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921" w:type="dxa"/>
            <w:noWrap w:val="0"/>
            <w:vAlign w:val="top"/>
          </w:tcPr>
          <w:p>
            <w:pPr>
              <w:spacing w:line="360" w:lineRule="auto"/>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ascii="宋体" w:hAnsi="宋体"/>
                <w:sz w:val="30"/>
                <w:szCs w:val="30"/>
                <w:highlight w:val="none"/>
              </w:rPr>
            </w:pPr>
          </w:p>
        </w:tc>
        <w:tc>
          <w:tcPr>
            <w:tcW w:w="1418" w:type="dxa"/>
            <w:noWrap w:val="0"/>
            <w:vAlign w:val="top"/>
          </w:tcPr>
          <w:p>
            <w:pPr>
              <w:spacing w:line="360" w:lineRule="auto"/>
              <w:rPr>
                <w:rFonts w:ascii="宋体" w:hAnsi="宋体"/>
                <w:sz w:val="30"/>
                <w:szCs w:val="30"/>
                <w:highlight w:val="none"/>
              </w:rPr>
            </w:pPr>
          </w:p>
        </w:tc>
        <w:tc>
          <w:tcPr>
            <w:tcW w:w="850" w:type="dxa"/>
            <w:noWrap w:val="0"/>
            <w:vAlign w:val="top"/>
          </w:tcPr>
          <w:p>
            <w:pPr>
              <w:spacing w:line="360" w:lineRule="auto"/>
              <w:rPr>
                <w:rFonts w:ascii="宋体" w:hAnsi="宋体"/>
                <w:sz w:val="30"/>
                <w:szCs w:val="30"/>
                <w:highlight w:val="none"/>
              </w:rPr>
            </w:pPr>
          </w:p>
        </w:tc>
        <w:tc>
          <w:tcPr>
            <w:tcW w:w="1058" w:type="dxa"/>
            <w:noWrap w:val="0"/>
            <w:vAlign w:val="top"/>
          </w:tcPr>
          <w:p>
            <w:pPr>
              <w:spacing w:line="360" w:lineRule="auto"/>
              <w:rPr>
                <w:rFonts w:ascii="宋体" w:hAnsi="宋体"/>
                <w:sz w:val="30"/>
                <w:szCs w:val="30"/>
                <w:highlight w:val="none"/>
              </w:rPr>
            </w:pPr>
          </w:p>
        </w:tc>
        <w:tc>
          <w:tcPr>
            <w:tcW w:w="8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14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921" w:type="dxa"/>
            <w:noWrap w:val="0"/>
            <w:vAlign w:val="top"/>
          </w:tcPr>
          <w:p>
            <w:pPr>
              <w:spacing w:line="360" w:lineRule="auto"/>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ascii="宋体" w:hAnsi="宋体"/>
                <w:sz w:val="30"/>
                <w:szCs w:val="30"/>
                <w:highlight w:val="none"/>
              </w:rPr>
            </w:pPr>
          </w:p>
        </w:tc>
        <w:tc>
          <w:tcPr>
            <w:tcW w:w="1418" w:type="dxa"/>
            <w:noWrap w:val="0"/>
            <w:vAlign w:val="top"/>
          </w:tcPr>
          <w:p>
            <w:pPr>
              <w:spacing w:line="360" w:lineRule="auto"/>
              <w:rPr>
                <w:rFonts w:ascii="宋体" w:hAnsi="宋体"/>
                <w:sz w:val="30"/>
                <w:szCs w:val="30"/>
                <w:highlight w:val="none"/>
              </w:rPr>
            </w:pPr>
          </w:p>
        </w:tc>
        <w:tc>
          <w:tcPr>
            <w:tcW w:w="850" w:type="dxa"/>
            <w:noWrap w:val="0"/>
            <w:vAlign w:val="top"/>
          </w:tcPr>
          <w:p>
            <w:pPr>
              <w:spacing w:line="360" w:lineRule="auto"/>
              <w:rPr>
                <w:rFonts w:ascii="宋体" w:hAnsi="宋体"/>
                <w:sz w:val="30"/>
                <w:szCs w:val="30"/>
                <w:highlight w:val="none"/>
              </w:rPr>
            </w:pPr>
          </w:p>
        </w:tc>
        <w:tc>
          <w:tcPr>
            <w:tcW w:w="1058" w:type="dxa"/>
            <w:noWrap w:val="0"/>
            <w:vAlign w:val="top"/>
          </w:tcPr>
          <w:p>
            <w:pPr>
              <w:spacing w:line="360" w:lineRule="auto"/>
              <w:rPr>
                <w:rFonts w:ascii="宋体" w:hAnsi="宋体"/>
                <w:sz w:val="30"/>
                <w:szCs w:val="30"/>
                <w:highlight w:val="none"/>
              </w:rPr>
            </w:pPr>
          </w:p>
        </w:tc>
        <w:tc>
          <w:tcPr>
            <w:tcW w:w="8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14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921" w:type="dxa"/>
            <w:noWrap w:val="0"/>
            <w:vAlign w:val="top"/>
          </w:tcPr>
          <w:p>
            <w:pPr>
              <w:spacing w:line="360" w:lineRule="auto"/>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ascii="宋体" w:hAnsi="宋体"/>
                <w:sz w:val="30"/>
                <w:szCs w:val="30"/>
                <w:highlight w:val="none"/>
              </w:rPr>
            </w:pPr>
          </w:p>
        </w:tc>
        <w:tc>
          <w:tcPr>
            <w:tcW w:w="1418" w:type="dxa"/>
            <w:noWrap w:val="0"/>
            <w:vAlign w:val="top"/>
          </w:tcPr>
          <w:p>
            <w:pPr>
              <w:spacing w:line="360" w:lineRule="auto"/>
              <w:rPr>
                <w:rFonts w:ascii="宋体" w:hAnsi="宋体"/>
                <w:sz w:val="30"/>
                <w:szCs w:val="30"/>
                <w:highlight w:val="none"/>
              </w:rPr>
            </w:pPr>
          </w:p>
        </w:tc>
        <w:tc>
          <w:tcPr>
            <w:tcW w:w="850" w:type="dxa"/>
            <w:noWrap w:val="0"/>
            <w:vAlign w:val="top"/>
          </w:tcPr>
          <w:p>
            <w:pPr>
              <w:spacing w:line="360" w:lineRule="auto"/>
              <w:rPr>
                <w:rFonts w:ascii="宋体" w:hAnsi="宋体"/>
                <w:sz w:val="30"/>
                <w:szCs w:val="30"/>
                <w:highlight w:val="none"/>
              </w:rPr>
            </w:pPr>
          </w:p>
        </w:tc>
        <w:tc>
          <w:tcPr>
            <w:tcW w:w="1058" w:type="dxa"/>
            <w:noWrap w:val="0"/>
            <w:vAlign w:val="top"/>
          </w:tcPr>
          <w:p>
            <w:pPr>
              <w:spacing w:line="360" w:lineRule="auto"/>
              <w:rPr>
                <w:rFonts w:ascii="宋体" w:hAnsi="宋体"/>
                <w:sz w:val="30"/>
                <w:szCs w:val="30"/>
                <w:highlight w:val="none"/>
              </w:rPr>
            </w:pPr>
          </w:p>
        </w:tc>
        <w:tc>
          <w:tcPr>
            <w:tcW w:w="8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1480" w:type="dxa"/>
            <w:noWrap w:val="0"/>
            <w:vAlign w:val="top"/>
          </w:tcPr>
          <w:p>
            <w:pPr>
              <w:spacing w:line="360" w:lineRule="auto"/>
              <w:rPr>
                <w:rFonts w:ascii="宋体" w:hAnsi="宋体"/>
                <w:sz w:val="30"/>
                <w:szCs w:val="30"/>
                <w:highlight w:val="none"/>
              </w:rPr>
            </w:pPr>
          </w:p>
        </w:tc>
        <w:tc>
          <w:tcPr>
            <w:tcW w:w="1020" w:type="dxa"/>
            <w:noWrap w:val="0"/>
            <w:vAlign w:val="top"/>
          </w:tcPr>
          <w:p>
            <w:pPr>
              <w:spacing w:line="360" w:lineRule="auto"/>
              <w:rPr>
                <w:rFonts w:ascii="宋体" w:hAnsi="宋体"/>
                <w:sz w:val="30"/>
                <w:szCs w:val="30"/>
                <w:highlight w:val="none"/>
              </w:rPr>
            </w:pPr>
          </w:p>
        </w:tc>
        <w:tc>
          <w:tcPr>
            <w:tcW w:w="921" w:type="dxa"/>
            <w:noWrap w:val="0"/>
            <w:vAlign w:val="top"/>
          </w:tcPr>
          <w:p>
            <w:pPr>
              <w:spacing w:line="360" w:lineRule="auto"/>
              <w:rPr>
                <w:rFonts w:ascii="宋体" w:hAnsi="宋体"/>
                <w:sz w:val="30"/>
                <w:szCs w:val="30"/>
                <w:highlight w:val="none"/>
              </w:rPr>
            </w:pPr>
          </w:p>
        </w:tc>
      </w:tr>
    </w:tbl>
    <w:p>
      <w:pPr>
        <w:spacing w:line="360" w:lineRule="auto"/>
        <w:rPr>
          <w:rFonts w:hint="eastAsia" w:ascii="宋体" w:hAnsi="宋体" w:eastAsia="宋体"/>
          <w:b/>
          <w:bCs/>
          <w:sz w:val="24"/>
          <w:szCs w:val="24"/>
          <w:highlight w:val="none"/>
        </w:rPr>
      </w:pPr>
      <w:r>
        <w:rPr>
          <w:rFonts w:hint="eastAsia" w:ascii="宋体" w:hAnsi="宋体" w:eastAsia="宋体"/>
          <w:b/>
          <w:bCs/>
          <w:sz w:val="24"/>
          <w:szCs w:val="24"/>
          <w:highlight w:val="none"/>
        </w:rPr>
        <w:t>附</w:t>
      </w:r>
      <w:bookmarkStart w:id="1319" w:name="_Toc296347227"/>
      <w:bookmarkStart w:id="1320" w:name="_Toc296503228"/>
      <w:bookmarkStart w:id="1321" w:name="_Toc267261699"/>
      <w:bookmarkStart w:id="1322" w:name="_Toc296346729"/>
      <w:bookmarkStart w:id="1323" w:name="_Toc296891268"/>
      <w:bookmarkStart w:id="1324" w:name="_Toc296891056"/>
      <w:bookmarkStart w:id="1325" w:name="_Toc296944567"/>
      <w:r>
        <w:rPr>
          <w:rFonts w:hint="eastAsia" w:ascii="宋体" w:hAnsi="宋体" w:eastAsia="宋体"/>
          <w:b/>
          <w:bCs/>
          <w:sz w:val="24"/>
          <w:szCs w:val="24"/>
          <w:highlight w:val="none"/>
        </w:rPr>
        <w:t>件6：</w:t>
      </w:r>
    </w:p>
    <w:bookmarkEnd w:id="1319"/>
    <w:bookmarkEnd w:id="1320"/>
    <w:bookmarkEnd w:id="1321"/>
    <w:bookmarkEnd w:id="1322"/>
    <w:bookmarkEnd w:id="1323"/>
    <w:bookmarkEnd w:id="1324"/>
    <w:bookmarkEnd w:id="1325"/>
    <w:p>
      <w:pPr>
        <w:spacing w:before="120" w:beforeLines="50" w:after="120" w:afterLines="50" w:line="360" w:lineRule="auto"/>
        <w:jc w:val="center"/>
        <w:rPr>
          <w:rFonts w:ascii="宋体" w:hAnsi="宋体"/>
          <w:sz w:val="30"/>
          <w:szCs w:val="30"/>
          <w:highlight w:val="none"/>
        </w:rPr>
      </w:pPr>
      <w:r>
        <w:rPr>
          <w:rFonts w:ascii="宋体" w:hAnsi="宋体"/>
          <w:sz w:val="30"/>
          <w:szCs w:val="30"/>
          <w:highlight w:val="none"/>
        </w:rPr>
        <w:t>承包人主要施工管理人员表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名    称</w:t>
            </w:r>
          </w:p>
        </w:tc>
        <w:tc>
          <w:tcPr>
            <w:tcW w:w="1418"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姓名</w:t>
            </w:r>
          </w:p>
        </w:tc>
        <w:tc>
          <w:tcPr>
            <w:tcW w:w="1134"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r>
              <w:rPr>
                <w:rFonts w:ascii="宋体" w:hAnsi="宋体"/>
                <w:sz w:val="30"/>
                <w:szCs w:val="30"/>
                <w:highlight w:val="none"/>
              </w:rPr>
              <w:t>职务</w:t>
            </w:r>
          </w:p>
        </w:tc>
        <w:tc>
          <w:tcPr>
            <w:tcW w:w="1134"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r>
              <w:rPr>
                <w:rFonts w:ascii="宋体" w:hAnsi="宋体"/>
                <w:sz w:val="30"/>
                <w:szCs w:val="30"/>
                <w:highlight w:val="none"/>
              </w:rPr>
              <w:t>职称</w:t>
            </w:r>
          </w:p>
        </w:tc>
        <w:tc>
          <w:tcPr>
            <w:tcW w:w="4252" w:type="dxa"/>
            <w:tcBorders>
              <w:top w:val="single" w:color="auto" w:sz="12" w:space="0"/>
              <w:bottom w:val="doub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r>
              <w:rPr>
                <w:rFonts w:ascii="宋体" w:hAnsi="宋体"/>
                <w:sz w:val="30"/>
                <w:szCs w:val="30"/>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项目主管</w:t>
            </w:r>
          </w:p>
        </w:tc>
        <w:tc>
          <w:tcPr>
            <w:tcW w:w="1418"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134"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134"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4252" w:type="dxa"/>
            <w:tcBorders>
              <w:top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425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其他人员</w:t>
            </w: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425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425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项目经理</w:t>
            </w: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425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项目副经理</w:t>
            </w: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425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技术负责人</w:t>
            </w: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425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造价管理</w:t>
            </w: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425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质量管理</w:t>
            </w: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425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材料管理</w:t>
            </w: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425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计划管理</w:t>
            </w: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425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安全管理</w:t>
            </w: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425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r>
              <w:rPr>
                <w:rFonts w:ascii="宋体" w:hAnsi="宋体"/>
                <w:sz w:val="28"/>
                <w:szCs w:val="30"/>
                <w:highlight w:val="none"/>
              </w:rPr>
              <w:t>其他人员</w:t>
            </w: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425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418" w:type="dxa"/>
            <w:tcBorders>
              <w:bottom w:val="nil"/>
            </w:tcBorders>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134" w:type="dxa"/>
            <w:tcBorders>
              <w:bottom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134" w:type="dxa"/>
            <w:tcBorders>
              <w:bottom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4252" w:type="dxa"/>
            <w:tcBorders>
              <w:bottom w:val="nil"/>
            </w:tcBorders>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425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418" w:type="dxa"/>
            <w:noWrap w:val="0"/>
            <w:vAlign w:val="center"/>
          </w:tcPr>
          <w:p>
            <w:pPr>
              <w:keepNext/>
              <w:adjustRightInd w:val="0"/>
              <w:spacing w:line="360" w:lineRule="auto"/>
              <w:ind w:left="63" w:leftChars="30" w:right="63" w:rightChars="30"/>
              <w:jc w:val="center"/>
              <w:textAlignment w:val="baseline"/>
              <w:rPr>
                <w:rFonts w:ascii="宋体" w:hAnsi="宋体"/>
                <w:sz w:val="28"/>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1134"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c>
          <w:tcPr>
            <w:tcW w:w="4252" w:type="dxa"/>
            <w:noWrap w:val="0"/>
            <w:vAlign w:val="center"/>
          </w:tcPr>
          <w:p>
            <w:pPr>
              <w:keepNext/>
              <w:adjustRightInd w:val="0"/>
              <w:spacing w:line="360" w:lineRule="auto"/>
              <w:ind w:left="63" w:leftChars="30" w:right="63" w:rightChars="30"/>
              <w:jc w:val="center"/>
              <w:textAlignment w:val="baseline"/>
              <w:rPr>
                <w:rFonts w:ascii="宋体" w:hAnsi="宋体"/>
                <w:sz w:val="30"/>
                <w:szCs w:val="30"/>
                <w:highlight w:val="none"/>
              </w:rPr>
            </w:pPr>
          </w:p>
        </w:tc>
      </w:tr>
    </w:tbl>
    <w:p>
      <w:pPr>
        <w:spacing w:line="360" w:lineRule="auto"/>
        <w:rPr>
          <w:rFonts w:ascii="宋体" w:hAnsi="宋体"/>
          <w:sz w:val="30"/>
          <w:szCs w:val="30"/>
          <w:highlight w:val="none"/>
        </w:rPr>
      </w:pPr>
      <w:r>
        <w:rPr>
          <w:rFonts w:ascii="宋体" w:hAnsi="宋体"/>
          <w:sz w:val="30"/>
          <w:szCs w:val="30"/>
          <w:highlight w:val="none"/>
        </w:rPr>
        <w:br w:type="page"/>
      </w:r>
      <w:bookmarkStart w:id="1326" w:name="_Toc267261701"/>
      <w:r>
        <w:rPr>
          <w:rFonts w:hint="eastAsia" w:ascii="宋体" w:hAnsi="宋体" w:eastAsia="宋体"/>
          <w:b/>
          <w:bCs/>
          <w:sz w:val="24"/>
          <w:szCs w:val="24"/>
          <w:highlight w:val="none"/>
        </w:rPr>
        <w:t>附</w:t>
      </w:r>
      <w:bookmarkStart w:id="1327" w:name="_Toc296346732"/>
      <w:bookmarkStart w:id="1328" w:name="_Toc296891271"/>
      <w:bookmarkStart w:id="1329" w:name="_Toc296503231"/>
      <w:bookmarkStart w:id="1330" w:name="_Toc296891059"/>
      <w:bookmarkStart w:id="1331" w:name="_Toc296347230"/>
      <w:bookmarkStart w:id="1332" w:name="_Toc296944570"/>
      <w:r>
        <w:rPr>
          <w:rFonts w:hint="eastAsia" w:ascii="宋体" w:hAnsi="宋体" w:eastAsia="宋体"/>
          <w:b/>
          <w:bCs/>
          <w:sz w:val="24"/>
          <w:szCs w:val="24"/>
          <w:highlight w:val="none"/>
        </w:rPr>
        <w:t>件7：</w:t>
      </w:r>
    </w:p>
    <w:bookmarkEnd w:id="1326"/>
    <w:bookmarkEnd w:id="1327"/>
    <w:bookmarkEnd w:id="1328"/>
    <w:bookmarkEnd w:id="1329"/>
    <w:bookmarkEnd w:id="1330"/>
    <w:bookmarkEnd w:id="1331"/>
    <w:bookmarkEnd w:id="1332"/>
    <w:p>
      <w:pPr>
        <w:spacing w:before="120" w:beforeLines="50" w:after="120" w:afterLines="50" w:line="360" w:lineRule="auto"/>
        <w:jc w:val="center"/>
        <w:rPr>
          <w:rFonts w:ascii="宋体" w:hAnsi="宋体" w:eastAsia="宋体"/>
          <w:sz w:val="30"/>
          <w:szCs w:val="30"/>
          <w:highlight w:val="none"/>
        </w:rPr>
      </w:pPr>
      <w:r>
        <w:rPr>
          <w:rFonts w:ascii="宋体" w:hAnsi="宋体" w:eastAsia="宋体"/>
          <w:sz w:val="30"/>
          <w:szCs w:val="30"/>
          <w:highlight w:val="none"/>
        </w:rPr>
        <w:t>履约担保</w:t>
      </w:r>
    </w:p>
    <w:p>
      <w:pPr>
        <w:spacing w:line="360" w:lineRule="auto"/>
        <w:rPr>
          <w:rFonts w:ascii="宋体" w:hAnsi="宋体"/>
          <w:sz w:val="24"/>
          <w:szCs w:val="24"/>
          <w:highlight w:val="none"/>
        </w:rPr>
      </w:pPr>
      <w:r>
        <w:rPr>
          <w:rFonts w:ascii="宋体" w:hAnsi="宋体"/>
          <w:sz w:val="24"/>
          <w:szCs w:val="24"/>
          <w:highlight w:val="none"/>
          <w:u w:val="single"/>
        </w:rPr>
        <w:t xml:space="preserve">             </w:t>
      </w:r>
      <w:r>
        <w:rPr>
          <w:rFonts w:ascii="宋体" w:hAnsi="宋体"/>
          <w:sz w:val="24"/>
          <w:szCs w:val="24"/>
          <w:highlight w:val="none"/>
          <w:u w:val="single"/>
        </w:rPr>
        <w:tab/>
      </w:r>
      <w:r>
        <w:rPr>
          <w:rFonts w:ascii="宋体" w:hAnsi="宋体"/>
          <w:sz w:val="24"/>
          <w:szCs w:val="24"/>
          <w:highlight w:val="none"/>
        </w:rPr>
        <w:t>（发包人名称）：</w:t>
      </w:r>
    </w:p>
    <w:p>
      <w:pPr>
        <w:spacing w:line="360" w:lineRule="auto"/>
        <w:rPr>
          <w:rFonts w:ascii="宋体" w:hAnsi="宋体"/>
          <w:sz w:val="24"/>
          <w:szCs w:val="24"/>
          <w:highlight w:val="none"/>
        </w:rPr>
      </w:pPr>
    </w:p>
    <w:p>
      <w:pPr>
        <w:spacing w:line="360" w:lineRule="auto"/>
        <w:ind w:firstLine="480" w:firstLineChars="200"/>
        <w:rPr>
          <w:rFonts w:ascii="宋体" w:hAnsi="宋体"/>
          <w:sz w:val="24"/>
          <w:szCs w:val="24"/>
          <w:highlight w:val="none"/>
        </w:rPr>
      </w:pPr>
      <w:r>
        <w:rPr>
          <w:rFonts w:ascii="宋体" w:hAnsi="宋体"/>
          <w:sz w:val="24"/>
          <w:szCs w:val="24"/>
          <w:highlight w:val="none"/>
        </w:rPr>
        <w:t>鉴于</w:t>
      </w:r>
      <w:r>
        <w:rPr>
          <w:rFonts w:ascii="宋体" w:hAnsi="宋体"/>
          <w:sz w:val="24"/>
          <w:szCs w:val="24"/>
          <w:highlight w:val="none"/>
          <w:u w:val="single"/>
        </w:rPr>
        <w:t xml:space="preserve">                </w:t>
      </w:r>
      <w:r>
        <w:rPr>
          <w:rFonts w:ascii="宋体" w:hAnsi="宋体"/>
          <w:sz w:val="24"/>
          <w:szCs w:val="24"/>
          <w:highlight w:val="none"/>
        </w:rPr>
        <w:t>（发包人名称，以下简称“发包人”）与</w:t>
      </w:r>
    </w:p>
    <w:p>
      <w:pPr>
        <w:spacing w:line="360" w:lineRule="auto"/>
        <w:rPr>
          <w:rFonts w:ascii="宋体" w:hAnsi="宋体"/>
          <w:sz w:val="24"/>
          <w:szCs w:val="24"/>
          <w:highlight w:val="none"/>
        </w:rPr>
      </w:pPr>
      <w:r>
        <w:rPr>
          <w:rFonts w:ascii="宋体" w:hAnsi="宋体"/>
          <w:sz w:val="24"/>
          <w:szCs w:val="24"/>
          <w:highlight w:val="none"/>
        </w:rPr>
        <w:t xml:space="preserve"> </w:t>
      </w:r>
      <w:r>
        <w:rPr>
          <w:rFonts w:ascii="宋体" w:hAnsi="宋体"/>
          <w:sz w:val="24"/>
          <w:szCs w:val="24"/>
          <w:highlight w:val="none"/>
          <w:u w:val="single"/>
        </w:rPr>
        <w:t xml:space="preserve">                           </w:t>
      </w:r>
      <w:r>
        <w:rPr>
          <w:rFonts w:ascii="宋体" w:hAnsi="宋体"/>
          <w:sz w:val="24"/>
          <w:szCs w:val="24"/>
          <w:highlight w:val="none"/>
        </w:rPr>
        <w:t>（承包人名称）（以下称“承包人”）于</w:t>
      </w:r>
      <w:r>
        <w:rPr>
          <w:rFonts w:ascii="宋体" w:hAnsi="宋体"/>
          <w:sz w:val="24"/>
          <w:szCs w:val="24"/>
          <w:highlight w:val="none"/>
          <w:u w:val="single"/>
        </w:rPr>
        <w:t xml:space="preserve">    </w:t>
      </w:r>
      <w:r>
        <w:rPr>
          <w:rFonts w:ascii="宋体" w:hAnsi="宋体"/>
          <w:sz w:val="24"/>
          <w:szCs w:val="24"/>
          <w:highlight w:val="none"/>
        </w:rPr>
        <w:t>年</w:t>
      </w:r>
      <w:r>
        <w:rPr>
          <w:rFonts w:ascii="宋体" w:hAnsi="宋体"/>
          <w:sz w:val="24"/>
          <w:szCs w:val="24"/>
          <w:highlight w:val="none"/>
          <w:u w:val="single"/>
        </w:rPr>
        <w:t xml:space="preserve">   </w:t>
      </w:r>
      <w:r>
        <w:rPr>
          <w:rFonts w:ascii="宋体" w:hAnsi="宋体"/>
          <w:sz w:val="24"/>
          <w:szCs w:val="24"/>
          <w:highlight w:val="none"/>
        </w:rPr>
        <w:t>月</w:t>
      </w:r>
      <w:r>
        <w:rPr>
          <w:rFonts w:ascii="宋体" w:hAnsi="宋体"/>
          <w:sz w:val="24"/>
          <w:szCs w:val="24"/>
          <w:highlight w:val="none"/>
          <w:u w:val="single"/>
        </w:rPr>
        <w:t xml:space="preserve">   </w:t>
      </w:r>
      <w:r>
        <w:rPr>
          <w:rFonts w:ascii="宋体" w:hAnsi="宋体"/>
          <w:sz w:val="24"/>
          <w:szCs w:val="24"/>
          <w:highlight w:val="none"/>
        </w:rPr>
        <w:t>日就</w:t>
      </w:r>
      <w:r>
        <w:rPr>
          <w:rFonts w:ascii="宋体" w:hAnsi="宋体"/>
          <w:sz w:val="24"/>
          <w:szCs w:val="24"/>
          <w:highlight w:val="none"/>
          <w:u w:val="single"/>
        </w:rPr>
        <w:t xml:space="preserve">    </w:t>
      </w:r>
      <w:r>
        <w:rPr>
          <w:rFonts w:ascii="宋体" w:hAnsi="宋体"/>
          <w:sz w:val="24"/>
          <w:szCs w:val="24"/>
          <w:highlight w:val="none"/>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480" w:firstLineChars="200"/>
        <w:rPr>
          <w:rFonts w:ascii="宋体" w:hAnsi="宋体"/>
          <w:sz w:val="24"/>
          <w:szCs w:val="24"/>
          <w:highlight w:val="none"/>
        </w:rPr>
      </w:pPr>
      <w:r>
        <w:rPr>
          <w:rFonts w:ascii="宋体" w:hAnsi="宋体"/>
          <w:sz w:val="24"/>
          <w:szCs w:val="24"/>
          <w:highlight w:val="none"/>
        </w:rPr>
        <w:t>1. 担保金额人民币（大写）</w:t>
      </w:r>
      <w:r>
        <w:rPr>
          <w:rFonts w:ascii="宋体" w:hAnsi="宋体"/>
          <w:sz w:val="24"/>
          <w:szCs w:val="24"/>
          <w:highlight w:val="none"/>
          <w:u w:val="single"/>
        </w:rPr>
        <w:t xml:space="preserve">                 </w:t>
      </w:r>
      <w:r>
        <w:rPr>
          <w:rFonts w:ascii="宋体" w:hAnsi="宋体"/>
          <w:sz w:val="24"/>
          <w:szCs w:val="24"/>
          <w:highlight w:val="none"/>
        </w:rPr>
        <w:t>元（¥</w:t>
      </w:r>
      <w:r>
        <w:rPr>
          <w:rFonts w:ascii="宋体" w:hAnsi="宋体"/>
          <w:sz w:val="24"/>
          <w:szCs w:val="24"/>
          <w:highlight w:val="none"/>
          <w:u w:val="single"/>
        </w:rPr>
        <w:t xml:space="preserve">             </w:t>
      </w:r>
      <w:r>
        <w:rPr>
          <w:rFonts w:ascii="宋体" w:hAnsi="宋体"/>
          <w:sz w:val="24"/>
          <w:szCs w:val="24"/>
          <w:highlight w:val="none"/>
        </w:rPr>
        <w:t>）。</w:t>
      </w:r>
    </w:p>
    <w:p>
      <w:pPr>
        <w:spacing w:line="360" w:lineRule="auto"/>
        <w:ind w:firstLine="480" w:firstLineChars="200"/>
        <w:rPr>
          <w:rFonts w:ascii="宋体" w:hAnsi="宋体"/>
          <w:sz w:val="24"/>
          <w:szCs w:val="24"/>
          <w:highlight w:val="none"/>
        </w:rPr>
      </w:pPr>
      <w:r>
        <w:rPr>
          <w:rFonts w:ascii="宋体" w:hAnsi="宋体"/>
          <w:sz w:val="24"/>
          <w:szCs w:val="24"/>
          <w:highlight w:val="none"/>
        </w:rPr>
        <w:t>2. 担保有效期自你方与承包人签订的合同生效之日起至你方签发或应签发工程接收证书之日止。</w:t>
      </w:r>
    </w:p>
    <w:p>
      <w:pPr>
        <w:spacing w:line="360" w:lineRule="auto"/>
        <w:ind w:firstLine="480" w:firstLineChars="200"/>
        <w:rPr>
          <w:rFonts w:ascii="宋体" w:hAnsi="宋体"/>
          <w:sz w:val="24"/>
          <w:szCs w:val="24"/>
          <w:highlight w:val="none"/>
        </w:rPr>
      </w:pPr>
      <w:r>
        <w:rPr>
          <w:rFonts w:ascii="宋体" w:hAnsi="宋体"/>
          <w:sz w:val="24"/>
          <w:szCs w:val="24"/>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ascii="宋体" w:hAnsi="宋体"/>
          <w:sz w:val="24"/>
          <w:szCs w:val="24"/>
          <w:highlight w:val="none"/>
        </w:rPr>
      </w:pPr>
      <w:r>
        <w:rPr>
          <w:rFonts w:ascii="宋体" w:hAnsi="宋体"/>
          <w:sz w:val="24"/>
          <w:szCs w:val="24"/>
          <w:highlight w:val="none"/>
        </w:rPr>
        <w:t>4. 你方和承包人按合同约定变更合同时，我方承担本担保规定的义务不变。</w:t>
      </w:r>
    </w:p>
    <w:p>
      <w:pPr>
        <w:spacing w:line="360" w:lineRule="auto"/>
        <w:ind w:firstLine="480" w:firstLineChars="200"/>
        <w:rPr>
          <w:rFonts w:ascii="宋体" w:hAnsi="宋体"/>
          <w:sz w:val="24"/>
          <w:szCs w:val="24"/>
          <w:highlight w:val="none"/>
        </w:rPr>
      </w:pPr>
      <w:r>
        <w:rPr>
          <w:rFonts w:ascii="宋体" w:hAnsi="宋体"/>
          <w:sz w:val="24"/>
          <w:szCs w:val="24"/>
          <w:highlight w:val="none"/>
        </w:rPr>
        <w:t>5. 因本保函发生的纠纷，可由双方协商解决，协商不成的，任何一方均可提请</w:t>
      </w:r>
      <w:r>
        <w:rPr>
          <w:rFonts w:ascii="宋体" w:hAnsi="宋体"/>
          <w:sz w:val="24"/>
          <w:szCs w:val="24"/>
          <w:highlight w:val="none"/>
          <w:u w:val="single"/>
        </w:rPr>
        <w:t xml:space="preserve">        </w:t>
      </w:r>
      <w:r>
        <w:rPr>
          <w:rFonts w:ascii="宋体" w:hAnsi="宋体"/>
          <w:sz w:val="24"/>
          <w:szCs w:val="24"/>
          <w:highlight w:val="none"/>
        </w:rPr>
        <w:t>仲裁委员会仲裁。</w:t>
      </w:r>
    </w:p>
    <w:p>
      <w:pPr>
        <w:spacing w:line="360" w:lineRule="auto"/>
        <w:ind w:firstLine="480" w:firstLineChars="200"/>
        <w:rPr>
          <w:rFonts w:hint="eastAsia" w:ascii="宋体" w:hAnsi="宋体"/>
          <w:sz w:val="24"/>
          <w:szCs w:val="24"/>
          <w:highlight w:val="none"/>
        </w:rPr>
      </w:pPr>
      <w:r>
        <w:rPr>
          <w:rFonts w:ascii="宋体" w:hAnsi="宋体"/>
          <w:sz w:val="24"/>
          <w:szCs w:val="24"/>
          <w:highlight w:val="none"/>
        </w:rPr>
        <w:t>6. 本保函自我方法定代表人（或其授权代理人）签字并加盖公章之日起生效。</w:t>
      </w:r>
    </w:p>
    <w:p>
      <w:pPr>
        <w:spacing w:line="360" w:lineRule="auto"/>
        <w:rPr>
          <w:rFonts w:hint="eastAsia" w:ascii="宋体" w:hAnsi="宋体"/>
          <w:sz w:val="24"/>
          <w:szCs w:val="24"/>
          <w:highlight w:val="none"/>
        </w:rPr>
      </w:pPr>
    </w:p>
    <w:p>
      <w:pPr>
        <w:spacing w:line="360" w:lineRule="auto"/>
        <w:rPr>
          <w:rFonts w:ascii="宋体" w:hAnsi="宋体"/>
          <w:sz w:val="24"/>
          <w:szCs w:val="24"/>
          <w:highlight w:val="none"/>
        </w:rPr>
      </w:pPr>
      <w:r>
        <w:rPr>
          <w:rFonts w:ascii="宋体" w:hAnsi="宋体"/>
          <w:sz w:val="24"/>
          <w:szCs w:val="24"/>
          <w:highlight w:val="none"/>
        </w:rPr>
        <w:t>担 保 人：</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（盖单位章）</w:t>
      </w:r>
    </w:p>
    <w:p>
      <w:pPr>
        <w:spacing w:line="360" w:lineRule="auto"/>
        <w:rPr>
          <w:rFonts w:ascii="宋体" w:hAnsi="宋体"/>
          <w:sz w:val="24"/>
          <w:szCs w:val="24"/>
          <w:highlight w:val="none"/>
        </w:rPr>
      </w:pPr>
      <w:r>
        <w:rPr>
          <w:rFonts w:ascii="宋体" w:hAnsi="宋体"/>
          <w:sz w:val="24"/>
          <w:szCs w:val="24"/>
          <w:highlight w:val="none"/>
        </w:rPr>
        <w:t>法定代表人或其委托代理人：</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（签字）</w:t>
      </w:r>
    </w:p>
    <w:p>
      <w:pPr>
        <w:spacing w:line="360" w:lineRule="auto"/>
        <w:rPr>
          <w:rFonts w:ascii="宋体" w:hAnsi="宋体"/>
          <w:sz w:val="24"/>
          <w:szCs w:val="24"/>
          <w:highlight w:val="none"/>
        </w:rPr>
      </w:pPr>
      <w:r>
        <w:rPr>
          <w:rFonts w:ascii="宋体" w:hAnsi="宋体"/>
          <w:sz w:val="24"/>
          <w:szCs w:val="24"/>
          <w:highlight w:val="none"/>
        </w:rPr>
        <w:t>地    址：</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p>
    <w:p>
      <w:pPr>
        <w:spacing w:line="360" w:lineRule="auto"/>
        <w:rPr>
          <w:rFonts w:ascii="宋体" w:hAnsi="宋体"/>
          <w:sz w:val="24"/>
          <w:szCs w:val="24"/>
          <w:highlight w:val="none"/>
        </w:rPr>
      </w:pPr>
      <w:r>
        <w:rPr>
          <w:rFonts w:ascii="宋体" w:hAnsi="宋体"/>
          <w:sz w:val="24"/>
          <w:szCs w:val="24"/>
          <w:highlight w:val="none"/>
        </w:rPr>
        <w:t>邮政编码：</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p>
    <w:p>
      <w:pPr>
        <w:spacing w:line="360" w:lineRule="auto"/>
        <w:rPr>
          <w:rFonts w:ascii="宋体" w:hAnsi="宋体"/>
          <w:sz w:val="24"/>
          <w:szCs w:val="24"/>
          <w:highlight w:val="none"/>
          <w:u w:val="single"/>
        </w:rPr>
      </w:pPr>
      <w:r>
        <w:rPr>
          <w:rFonts w:ascii="宋体" w:hAnsi="宋体"/>
          <w:sz w:val="24"/>
          <w:szCs w:val="24"/>
          <w:highlight w:val="none"/>
        </w:rPr>
        <w:t>电    话：</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p>
    <w:p>
      <w:pPr>
        <w:spacing w:line="360" w:lineRule="auto"/>
        <w:rPr>
          <w:rFonts w:ascii="宋体" w:hAnsi="宋体"/>
          <w:sz w:val="24"/>
          <w:szCs w:val="24"/>
          <w:highlight w:val="none"/>
        </w:rPr>
      </w:pPr>
      <w:r>
        <w:rPr>
          <w:rFonts w:ascii="宋体" w:hAnsi="宋体"/>
          <w:sz w:val="24"/>
          <w:szCs w:val="24"/>
          <w:highlight w:val="none"/>
        </w:rPr>
        <w:t>传    真：</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p>
    <w:p>
      <w:pPr>
        <w:spacing w:line="360" w:lineRule="auto"/>
        <w:jc w:val="left"/>
        <w:rPr>
          <w:rFonts w:ascii="宋体" w:hAnsi="宋体"/>
          <w:sz w:val="24"/>
          <w:szCs w:val="24"/>
          <w:highlight w:val="none"/>
          <w:u w:val="single"/>
        </w:rPr>
      </w:pPr>
    </w:p>
    <w:p>
      <w:pPr>
        <w:spacing w:line="360" w:lineRule="auto"/>
        <w:ind w:left="1329" w:hanging="1519" w:hangingChars="633"/>
        <w:rPr>
          <w:rFonts w:ascii="宋体" w:hAns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 xml:space="preserve">  </w:t>
      </w:r>
      <w:r>
        <w:rPr>
          <w:rFonts w:ascii="宋体" w:hAnsi="宋体"/>
          <w:sz w:val="24"/>
          <w:szCs w:val="24"/>
          <w:highlight w:val="none"/>
          <w:u w:val="single"/>
        </w:rPr>
        <w:t xml:space="preserve">           </w:t>
      </w:r>
      <w:r>
        <w:rPr>
          <w:rFonts w:ascii="宋体" w:hAnsi="宋体"/>
          <w:sz w:val="24"/>
          <w:szCs w:val="24"/>
          <w:highlight w:val="none"/>
        </w:rPr>
        <w:t>年</w:t>
      </w:r>
      <w:r>
        <w:rPr>
          <w:rFonts w:ascii="宋体" w:hAnsi="宋体"/>
          <w:sz w:val="24"/>
          <w:szCs w:val="24"/>
          <w:highlight w:val="none"/>
          <w:u w:val="single"/>
        </w:rPr>
        <w:t xml:space="preserve">        </w:t>
      </w:r>
      <w:r>
        <w:rPr>
          <w:rFonts w:ascii="宋体" w:hAnsi="宋体"/>
          <w:sz w:val="24"/>
          <w:szCs w:val="24"/>
          <w:highlight w:val="none"/>
        </w:rPr>
        <w:t>月</w:t>
      </w:r>
      <w:r>
        <w:rPr>
          <w:rFonts w:ascii="宋体" w:hAnsi="宋体"/>
          <w:sz w:val="24"/>
          <w:szCs w:val="24"/>
          <w:highlight w:val="none"/>
          <w:u w:val="single"/>
        </w:rPr>
        <w:t xml:space="preserve">        </w:t>
      </w:r>
      <w:r>
        <w:rPr>
          <w:rFonts w:ascii="宋体" w:hAnsi="宋体"/>
          <w:sz w:val="24"/>
          <w:szCs w:val="24"/>
          <w:highlight w:val="none"/>
        </w:rPr>
        <w:t>日</w:t>
      </w:r>
    </w:p>
    <w:p>
      <w:pPr>
        <w:spacing w:line="360" w:lineRule="auto"/>
        <w:ind w:left="1899" w:hanging="1519" w:hangingChars="633"/>
        <w:rPr>
          <w:rFonts w:ascii="宋体" w:hAnsi="宋体"/>
          <w:sz w:val="24"/>
          <w:szCs w:val="24"/>
          <w:highlight w:val="none"/>
        </w:rPr>
      </w:pPr>
    </w:p>
    <w:p>
      <w:pPr>
        <w:spacing w:line="360" w:lineRule="auto"/>
        <w:ind w:left="1899" w:hanging="1899" w:hangingChars="633"/>
        <w:rPr>
          <w:rFonts w:ascii="宋体" w:hAnsi="宋体"/>
          <w:sz w:val="30"/>
          <w:szCs w:val="30"/>
          <w:highlight w:val="none"/>
        </w:rPr>
      </w:pPr>
    </w:p>
    <w:p>
      <w:pPr>
        <w:spacing w:line="360" w:lineRule="auto"/>
        <w:rPr>
          <w:rFonts w:hint="eastAsia" w:ascii="宋体" w:hAnsi="宋体" w:eastAsia="宋体"/>
          <w:b/>
          <w:bCs/>
          <w:sz w:val="24"/>
          <w:szCs w:val="24"/>
          <w:highlight w:val="none"/>
        </w:rPr>
      </w:pPr>
      <w:r>
        <w:rPr>
          <w:rFonts w:hint="eastAsia" w:ascii="宋体" w:hAnsi="宋体" w:eastAsia="宋体"/>
          <w:b/>
          <w:bCs/>
          <w:sz w:val="24"/>
          <w:szCs w:val="24"/>
          <w:highlight w:val="none"/>
        </w:rPr>
        <w:t>附</w:t>
      </w:r>
      <w:bookmarkStart w:id="1333" w:name="_Toc296346733"/>
      <w:bookmarkStart w:id="1334" w:name="_Toc296944571"/>
      <w:bookmarkStart w:id="1335" w:name="_Toc296347231"/>
      <w:bookmarkStart w:id="1336" w:name="_Toc296891272"/>
      <w:bookmarkStart w:id="1337" w:name="_Toc296503232"/>
      <w:bookmarkStart w:id="1338" w:name="_Toc267261702"/>
      <w:bookmarkStart w:id="1339" w:name="_Toc296891060"/>
      <w:r>
        <w:rPr>
          <w:rFonts w:hint="eastAsia" w:ascii="宋体" w:hAnsi="宋体" w:eastAsia="宋体"/>
          <w:b/>
          <w:bCs/>
          <w:sz w:val="24"/>
          <w:szCs w:val="24"/>
          <w:highlight w:val="none"/>
        </w:rPr>
        <w:t>件8：</w:t>
      </w:r>
    </w:p>
    <w:bookmarkEnd w:id="1333"/>
    <w:bookmarkEnd w:id="1334"/>
    <w:bookmarkEnd w:id="1335"/>
    <w:bookmarkEnd w:id="1336"/>
    <w:bookmarkEnd w:id="1337"/>
    <w:bookmarkEnd w:id="1338"/>
    <w:bookmarkEnd w:id="1339"/>
    <w:p>
      <w:pPr>
        <w:spacing w:before="120" w:beforeLines="50" w:after="120" w:afterLines="50" w:line="360" w:lineRule="auto"/>
        <w:jc w:val="center"/>
        <w:rPr>
          <w:rFonts w:ascii="宋体" w:hAnsi="宋体" w:eastAsia="宋体"/>
          <w:sz w:val="30"/>
          <w:szCs w:val="30"/>
          <w:highlight w:val="none"/>
        </w:rPr>
      </w:pPr>
      <w:r>
        <w:rPr>
          <w:rFonts w:ascii="宋体" w:hAnsi="宋体" w:eastAsia="宋体"/>
          <w:sz w:val="30"/>
          <w:szCs w:val="30"/>
          <w:highlight w:val="none"/>
        </w:rPr>
        <w:t>预付款担保</w:t>
      </w:r>
    </w:p>
    <w:p>
      <w:pPr>
        <w:spacing w:line="360" w:lineRule="auto"/>
        <w:rPr>
          <w:rFonts w:ascii="宋体" w:hAnsi="宋体"/>
          <w:szCs w:val="21"/>
          <w:highlight w:val="none"/>
        </w:rPr>
      </w:pPr>
      <w:r>
        <w:rPr>
          <w:rFonts w:ascii="宋体" w:hAnsi="宋体"/>
          <w:szCs w:val="21"/>
          <w:highlight w:val="none"/>
          <w:u w:val="single"/>
        </w:rPr>
        <w:t xml:space="preserve">            </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rPr>
        <w:t xml:space="preserve"> （发包人名称）：</w:t>
      </w:r>
    </w:p>
    <w:p>
      <w:pPr>
        <w:spacing w:line="360" w:lineRule="auto"/>
        <w:ind w:firstLine="420" w:firstLineChars="200"/>
        <w:rPr>
          <w:rFonts w:ascii="宋体" w:hAnsi="宋体"/>
          <w:szCs w:val="21"/>
          <w:highlight w:val="none"/>
        </w:rPr>
      </w:pPr>
      <w:r>
        <w:rPr>
          <w:rFonts w:ascii="宋体" w:hAnsi="宋体"/>
          <w:szCs w:val="21"/>
          <w:highlight w:val="none"/>
        </w:rPr>
        <w:t>根据</w:t>
      </w:r>
      <w:r>
        <w:rPr>
          <w:rFonts w:ascii="宋体" w:hAnsi="宋体"/>
          <w:szCs w:val="21"/>
          <w:highlight w:val="none"/>
          <w:u w:val="single"/>
        </w:rPr>
        <w:t xml:space="preserve">                 </w:t>
      </w:r>
      <w:r>
        <w:rPr>
          <w:rFonts w:ascii="宋体" w:hAnsi="宋体"/>
          <w:szCs w:val="21"/>
          <w:highlight w:val="none"/>
        </w:rPr>
        <w:t>（承包人名称）（以下称</w:t>
      </w:r>
      <w:r>
        <w:rPr>
          <w:rFonts w:hint="eastAsia" w:ascii="宋体" w:hAnsi="宋体"/>
          <w:szCs w:val="21"/>
          <w:highlight w:val="none"/>
        </w:rPr>
        <w:t>“</w:t>
      </w:r>
      <w:r>
        <w:rPr>
          <w:rFonts w:ascii="宋体" w:hAnsi="宋体"/>
          <w:szCs w:val="21"/>
          <w:highlight w:val="none"/>
        </w:rPr>
        <w:t>承包人</w:t>
      </w:r>
      <w:r>
        <w:rPr>
          <w:rFonts w:hint="eastAsia" w:ascii="宋体" w:hAnsi="宋体"/>
          <w:szCs w:val="21"/>
          <w:highlight w:val="none"/>
        </w:rPr>
        <w:t>”</w:t>
      </w:r>
      <w:r>
        <w:rPr>
          <w:rFonts w:ascii="宋体" w:hAnsi="宋体"/>
          <w:szCs w:val="21"/>
          <w:highlight w:val="none"/>
        </w:rPr>
        <w:t>）与</w:t>
      </w:r>
      <w:r>
        <w:rPr>
          <w:rFonts w:ascii="宋体" w:hAnsi="宋体"/>
          <w:szCs w:val="21"/>
          <w:highlight w:val="none"/>
          <w:u w:val="single"/>
        </w:rPr>
        <w:t xml:space="preserve">                        </w:t>
      </w:r>
      <w:r>
        <w:rPr>
          <w:rFonts w:ascii="宋体" w:hAnsi="宋体"/>
          <w:szCs w:val="21"/>
          <w:highlight w:val="none"/>
        </w:rPr>
        <w:t>（发包人名称）（以下简称</w:t>
      </w:r>
      <w:r>
        <w:rPr>
          <w:rFonts w:hint="eastAsia" w:ascii="宋体" w:hAnsi="宋体"/>
          <w:szCs w:val="21"/>
          <w:highlight w:val="none"/>
        </w:rPr>
        <w:t>“</w:t>
      </w:r>
      <w:r>
        <w:rPr>
          <w:rFonts w:ascii="宋体" w:hAnsi="宋体"/>
          <w:szCs w:val="21"/>
          <w:highlight w:val="none"/>
        </w:rPr>
        <w:t>发包人</w:t>
      </w:r>
      <w:r>
        <w:rPr>
          <w:rFonts w:hint="eastAsia" w:ascii="宋体" w:hAnsi="宋体"/>
          <w:szCs w:val="21"/>
          <w:highlight w:val="none"/>
        </w:rPr>
        <w:t>”</w:t>
      </w:r>
      <w:r>
        <w:rPr>
          <w:rFonts w:ascii="宋体" w:hAnsi="宋体"/>
          <w:szCs w:val="21"/>
          <w:highlight w:val="none"/>
        </w:rPr>
        <w:t>）</w:t>
      </w:r>
    </w:p>
    <w:p>
      <w:pPr>
        <w:spacing w:line="360" w:lineRule="auto"/>
        <w:rPr>
          <w:rFonts w:ascii="宋体" w:hAnsi="宋体"/>
          <w:szCs w:val="21"/>
          <w:highlight w:val="none"/>
        </w:rPr>
      </w:pPr>
      <w:r>
        <w:rPr>
          <w:rFonts w:ascii="宋体" w:hAnsi="宋体"/>
          <w:szCs w:val="21"/>
          <w:highlight w:val="none"/>
        </w:rPr>
        <w:t>于</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日签订的</w:t>
      </w:r>
      <w:r>
        <w:rPr>
          <w:rFonts w:ascii="宋体" w:hAnsi="宋体"/>
          <w:szCs w:val="21"/>
          <w:highlight w:val="none"/>
          <w:u w:val="single"/>
        </w:rPr>
        <w:t xml:space="preserve">                   </w:t>
      </w:r>
      <w:r>
        <w:rPr>
          <w:rFonts w:ascii="宋体" w:hAnsi="宋体"/>
          <w:szCs w:val="21"/>
          <w:highlight w:val="none"/>
        </w:rPr>
        <w:t>（工程名称）《建设工程施工合同》，承包人按约定的金额向</w:t>
      </w:r>
      <w:r>
        <w:rPr>
          <w:rFonts w:hint="eastAsia" w:ascii="宋体" w:hAnsi="宋体"/>
          <w:szCs w:val="21"/>
          <w:highlight w:val="none"/>
        </w:rPr>
        <w:t>你方</w:t>
      </w:r>
      <w:r>
        <w:rPr>
          <w:rFonts w:ascii="宋体" w:hAnsi="宋体"/>
          <w:szCs w:val="21"/>
          <w:highlight w:val="none"/>
        </w:rPr>
        <w:t>提交一份预付款担保，即有权得到</w:t>
      </w:r>
      <w:r>
        <w:rPr>
          <w:rFonts w:hint="eastAsia" w:ascii="宋体" w:hAnsi="宋体"/>
          <w:szCs w:val="21"/>
          <w:highlight w:val="none"/>
        </w:rPr>
        <w:t>你方</w:t>
      </w:r>
      <w:r>
        <w:rPr>
          <w:rFonts w:ascii="宋体" w:hAnsi="宋体"/>
          <w:szCs w:val="21"/>
          <w:highlight w:val="none"/>
        </w:rPr>
        <w:t>支付相等金额的预付款。我方愿意就你方提供给承包人的预付款</w:t>
      </w:r>
      <w:r>
        <w:rPr>
          <w:rFonts w:hint="eastAsia" w:ascii="宋体" w:hAnsi="宋体"/>
          <w:szCs w:val="21"/>
          <w:highlight w:val="none"/>
        </w:rPr>
        <w:t>为承包人</w:t>
      </w:r>
      <w:r>
        <w:rPr>
          <w:rFonts w:ascii="宋体" w:hAnsi="宋体"/>
          <w:szCs w:val="21"/>
          <w:highlight w:val="none"/>
        </w:rPr>
        <w:t>提供连带责任担保。</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1. </w:t>
      </w:r>
      <w:r>
        <w:rPr>
          <w:rFonts w:ascii="宋体" w:hAnsi="宋体"/>
          <w:szCs w:val="21"/>
          <w:highlight w:val="none"/>
        </w:rPr>
        <w:t>担保金额人民币（大写）</w:t>
      </w:r>
      <w:r>
        <w:rPr>
          <w:rFonts w:ascii="宋体" w:hAnsi="宋体"/>
          <w:szCs w:val="21"/>
          <w:highlight w:val="none"/>
          <w:u w:val="single"/>
        </w:rPr>
        <w:t xml:space="preserve">                </w:t>
      </w:r>
      <w:r>
        <w:rPr>
          <w:rFonts w:hint="eastAsia" w:ascii="宋体" w:hAnsi="宋体"/>
          <w:szCs w:val="21"/>
          <w:highlight w:val="none"/>
        </w:rPr>
        <w:t>元</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2. </w:t>
      </w:r>
      <w:r>
        <w:rPr>
          <w:rFonts w:ascii="宋体" w:hAnsi="宋体"/>
          <w:szCs w:val="21"/>
          <w:highlight w:val="none"/>
        </w:rPr>
        <w:t>担保有效期自预付款支付给承包人起生效，至</w:t>
      </w:r>
      <w:r>
        <w:rPr>
          <w:rFonts w:hint="eastAsia" w:ascii="宋体" w:hAnsi="宋体"/>
          <w:szCs w:val="21"/>
          <w:highlight w:val="none"/>
        </w:rPr>
        <w:t>你方</w:t>
      </w:r>
      <w:r>
        <w:rPr>
          <w:rFonts w:ascii="宋体" w:hAnsi="宋体"/>
          <w:szCs w:val="21"/>
          <w:highlight w:val="none"/>
        </w:rPr>
        <w:t>签发的</w:t>
      </w:r>
      <w:r>
        <w:rPr>
          <w:rFonts w:hint="eastAsia" w:ascii="宋体" w:hAnsi="宋体"/>
          <w:szCs w:val="21"/>
          <w:highlight w:val="none"/>
        </w:rPr>
        <w:t>进</w:t>
      </w:r>
      <w:r>
        <w:rPr>
          <w:rFonts w:ascii="宋体" w:hAnsi="宋体"/>
          <w:szCs w:val="21"/>
          <w:highlight w:val="none"/>
        </w:rPr>
        <w:t>度款支付证书说明已完全扣清止。</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3. </w:t>
      </w:r>
      <w:r>
        <w:rPr>
          <w:rFonts w:ascii="宋体" w:hAnsi="宋体"/>
          <w:szCs w:val="21"/>
          <w:highlight w:val="none"/>
        </w:rPr>
        <w:t>在本保函有效期内，因承包人违反合同约定的义务而要求</w:t>
      </w:r>
      <w:r>
        <w:rPr>
          <w:rFonts w:hint="eastAsia" w:ascii="宋体" w:hAnsi="宋体"/>
          <w:szCs w:val="21"/>
          <w:highlight w:val="none"/>
        </w:rPr>
        <w:t>收</w:t>
      </w:r>
      <w:r>
        <w:rPr>
          <w:rFonts w:ascii="宋体" w:hAnsi="宋体"/>
          <w:szCs w:val="21"/>
          <w:highlight w:val="none"/>
        </w:rPr>
        <w:t>回预付款时，我方在收到你方的书面通知后，在７天内无条件支付。但本保函的担保金额，在任何时候不应超过预付款金额减去</w:t>
      </w:r>
      <w:r>
        <w:rPr>
          <w:rFonts w:hint="eastAsia" w:ascii="宋体" w:hAnsi="宋体"/>
          <w:szCs w:val="21"/>
          <w:highlight w:val="none"/>
        </w:rPr>
        <w:t>你方</w:t>
      </w:r>
      <w:r>
        <w:rPr>
          <w:rFonts w:ascii="宋体" w:hAnsi="宋体"/>
          <w:szCs w:val="21"/>
          <w:highlight w:val="none"/>
        </w:rPr>
        <w:t>按合同约定在向承包人签发的进度款支付证书中扣除的金额。</w:t>
      </w:r>
    </w:p>
    <w:p>
      <w:pPr>
        <w:spacing w:line="360" w:lineRule="auto"/>
        <w:ind w:firstLine="420" w:firstLineChars="200"/>
        <w:rPr>
          <w:rFonts w:hint="eastAsia" w:ascii="宋体" w:hAnsi="宋体"/>
          <w:szCs w:val="21"/>
          <w:highlight w:val="none"/>
        </w:rPr>
      </w:pPr>
      <w:r>
        <w:rPr>
          <w:rFonts w:hint="eastAsia" w:ascii="宋体" w:hAnsi="宋体"/>
          <w:szCs w:val="21"/>
          <w:highlight w:val="none"/>
        </w:rPr>
        <w:t>4. 你方</w:t>
      </w:r>
      <w:r>
        <w:rPr>
          <w:rFonts w:ascii="宋体" w:hAnsi="宋体"/>
          <w:szCs w:val="21"/>
          <w:highlight w:val="none"/>
        </w:rPr>
        <w:t>和承包人按合同约定变更合同时，我方承担本保函规定的义务不变。</w:t>
      </w:r>
    </w:p>
    <w:p>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5. </w:t>
      </w:r>
      <w:r>
        <w:rPr>
          <w:rFonts w:ascii="宋体" w:hAnsi="宋体"/>
          <w:szCs w:val="21"/>
          <w:highlight w:val="none"/>
        </w:rPr>
        <w:t>因本保函发生的纠纷，可由双方协商解决，协商不成的，任何一方均可提请</w:t>
      </w:r>
      <w:r>
        <w:rPr>
          <w:rFonts w:ascii="宋体" w:hAnsi="宋体"/>
          <w:szCs w:val="21"/>
          <w:highlight w:val="none"/>
          <w:u w:val="single"/>
        </w:rPr>
        <w:t xml:space="preserve">        </w:t>
      </w:r>
      <w:r>
        <w:rPr>
          <w:rFonts w:ascii="宋体" w:hAnsi="宋体"/>
          <w:szCs w:val="21"/>
          <w:highlight w:val="none"/>
        </w:rPr>
        <w:t>仲裁委员会仲裁。</w:t>
      </w:r>
    </w:p>
    <w:p>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6. </w:t>
      </w:r>
      <w:r>
        <w:rPr>
          <w:rFonts w:ascii="宋体" w:hAnsi="宋体"/>
          <w:szCs w:val="21"/>
          <w:highlight w:val="none"/>
        </w:rPr>
        <w:t>本保函自我方法定代表人（或其授权代理人）签字并加盖公章之日起生效。</w:t>
      </w:r>
    </w:p>
    <w:p>
      <w:pPr>
        <w:spacing w:line="360" w:lineRule="auto"/>
        <w:rPr>
          <w:rFonts w:hint="eastAsia" w:ascii="宋体" w:hAnsi="宋体"/>
          <w:szCs w:val="21"/>
          <w:highlight w:val="none"/>
        </w:rPr>
      </w:pPr>
    </w:p>
    <w:p>
      <w:pPr>
        <w:spacing w:line="360" w:lineRule="auto"/>
        <w:rPr>
          <w:rFonts w:ascii="宋体" w:hAnsi="宋体"/>
          <w:szCs w:val="21"/>
          <w:highlight w:val="none"/>
        </w:rPr>
      </w:pPr>
      <w:r>
        <w:rPr>
          <w:rFonts w:ascii="宋体" w:hAnsi="宋体"/>
          <w:szCs w:val="21"/>
          <w:highlight w:val="none"/>
        </w:rPr>
        <w:t>担保人：</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（盖单位章）</w:t>
      </w:r>
    </w:p>
    <w:p>
      <w:pPr>
        <w:spacing w:line="360" w:lineRule="auto"/>
        <w:rPr>
          <w:rFonts w:ascii="宋体" w:hAnsi="宋体"/>
          <w:szCs w:val="21"/>
          <w:highlight w:val="none"/>
        </w:rPr>
      </w:pPr>
      <w:r>
        <w:rPr>
          <w:rFonts w:ascii="宋体" w:hAnsi="宋体"/>
          <w:szCs w:val="21"/>
          <w:highlight w:val="none"/>
        </w:rPr>
        <w:t>法定代表人或其委托代理人：</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（签字）</w:t>
      </w:r>
    </w:p>
    <w:p>
      <w:pPr>
        <w:spacing w:line="360" w:lineRule="auto"/>
        <w:rPr>
          <w:rFonts w:ascii="宋体" w:hAnsi="宋体"/>
          <w:szCs w:val="21"/>
          <w:highlight w:val="none"/>
        </w:rPr>
      </w:pPr>
      <w:r>
        <w:rPr>
          <w:rFonts w:ascii="宋体" w:hAnsi="宋体"/>
          <w:szCs w:val="21"/>
          <w:highlight w:val="none"/>
        </w:rPr>
        <w:t>地    址：</w:t>
      </w:r>
      <w:r>
        <w:rPr>
          <w:rFonts w:ascii="宋体" w:hAnsi="宋体"/>
          <w:szCs w:val="21"/>
          <w:highlight w:val="none"/>
          <w:u w:val="single"/>
        </w:rPr>
        <w:tab/>
      </w:r>
      <w:r>
        <w:rPr>
          <w:rFonts w:ascii="宋体" w:hAnsi="宋体"/>
          <w:szCs w:val="21"/>
          <w:highlight w:val="none"/>
          <w:u w:val="single"/>
        </w:rPr>
        <w:tab/>
      </w:r>
      <w:r>
        <w:rPr>
          <w:rFonts w:hint="eastAsia" w:ascii="宋体" w:hAnsi="宋体"/>
          <w:szCs w:val="21"/>
          <w:highlight w:val="none"/>
          <w:u w:val="single"/>
        </w:rPr>
        <w:t xml:space="preserve">  </w:t>
      </w:r>
      <w:r>
        <w:rPr>
          <w:rFonts w:ascii="宋体" w:hAnsi="宋体"/>
          <w:szCs w:val="21"/>
          <w:highlight w:val="none"/>
          <w:u w:val="single"/>
        </w:rPr>
        <w:tab/>
      </w:r>
      <w:r>
        <w:rPr>
          <w:rFonts w:ascii="宋体" w:hAnsi="宋体"/>
          <w:szCs w:val="21"/>
          <w:highlight w:val="none"/>
          <w:u w:val="single"/>
        </w:rPr>
        <w:tab/>
      </w:r>
      <w:r>
        <w:rPr>
          <w:rFonts w:hint="eastAsia" w:ascii="宋体" w:hAnsi="宋体"/>
          <w:szCs w:val="21"/>
          <w:highlight w:val="none"/>
          <w:u w:val="single"/>
        </w:rPr>
        <w:t xml:space="preserve">                   </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p>
    <w:p>
      <w:pPr>
        <w:spacing w:line="360" w:lineRule="auto"/>
        <w:rPr>
          <w:rFonts w:ascii="宋体" w:hAnsi="宋体"/>
          <w:szCs w:val="21"/>
          <w:highlight w:val="none"/>
          <w:u w:val="single"/>
        </w:rPr>
      </w:pPr>
      <w:r>
        <w:rPr>
          <w:rFonts w:ascii="宋体" w:hAnsi="宋体"/>
          <w:szCs w:val="21"/>
          <w:highlight w:val="none"/>
        </w:rPr>
        <w:t>邮政编码：</w:t>
      </w:r>
      <w:r>
        <w:rPr>
          <w:rFonts w:ascii="宋体" w:hAnsi="宋体"/>
          <w:szCs w:val="21"/>
          <w:highlight w:val="none"/>
          <w:u w:val="single"/>
        </w:rPr>
        <w:tab/>
      </w:r>
      <w:r>
        <w:rPr>
          <w:rFonts w:ascii="宋体" w:hAnsi="宋体"/>
          <w:szCs w:val="21"/>
          <w:highlight w:val="none"/>
          <w:u w:val="single"/>
        </w:rPr>
        <w:tab/>
      </w:r>
      <w:r>
        <w:rPr>
          <w:rFonts w:hint="eastAsia" w:ascii="宋体" w:hAnsi="宋体"/>
          <w:szCs w:val="21"/>
          <w:highlight w:val="none"/>
          <w:u w:val="single"/>
        </w:rPr>
        <w:t xml:space="preserve">  </w:t>
      </w:r>
      <w:r>
        <w:rPr>
          <w:rFonts w:ascii="宋体" w:hAnsi="宋体"/>
          <w:szCs w:val="21"/>
          <w:highlight w:val="none"/>
          <w:u w:val="single"/>
        </w:rPr>
        <w:tab/>
      </w:r>
      <w:r>
        <w:rPr>
          <w:rFonts w:ascii="宋体" w:hAnsi="宋体"/>
          <w:szCs w:val="21"/>
          <w:highlight w:val="none"/>
          <w:u w:val="single"/>
        </w:rPr>
        <w:tab/>
      </w:r>
      <w:r>
        <w:rPr>
          <w:rFonts w:hint="eastAsia" w:ascii="宋体" w:hAnsi="宋体"/>
          <w:szCs w:val="21"/>
          <w:highlight w:val="none"/>
          <w:u w:val="single"/>
        </w:rPr>
        <w:t xml:space="preserve">                   </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p>
    <w:p>
      <w:pPr>
        <w:spacing w:line="360" w:lineRule="auto"/>
        <w:rPr>
          <w:rFonts w:ascii="宋体" w:hAnsi="宋体"/>
          <w:szCs w:val="21"/>
          <w:highlight w:val="none"/>
          <w:u w:val="single"/>
        </w:rPr>
      </w:pPr>
      <w:r>
        <w:rPr>
          <w:rFonts w:ascii="宋体" w:hAnsi="宋体"/>
          <w:szCs w:val="21"/>
          <w:highlight w:val="none"/>
        </w:rPr>
        <w:t>电    话：</w:t>
      </w:r>
      <w:r>
        <w:rPr>
          <w:rFonts w:ascii="宋体" w:hAnsi="宋体"/>
          <w:szCs w:val="21"/>
          <w:highlight w:val="none"/>
          <w:u w:val="single"/>
        </w:rPr>
        <w:tab/>
      </w:r>
      <w:r>
        <w:rPr>
          <w:rFonts w:ascii="宋体" w:hAnsi="宋体"/>
          <w:szCs w:val="21"/>
          <w:highlight w:val="none"/>
          <w:u w:val="single"/>
        </w:rPr>
        <w:tab/>
      </w:r>
      <w:r>
        <w:rPr>
          <w:rFonts w:hint="eastAsia" w:ascii="宋体" w:hAnsi="宋体"/>
          <w:szCs w:val="21"/>
          <w:highlight w:val="none"/>
          <w:u w:val="single"/>
        </w:rPr>
        <w:t xml:space="preserve">  </w:t>
      </w:r>
      <w:r>
        <w:rPr>
          <w:rFonts w:ascii="宋体" w:hAnsi="宋体"/>
          <w:szCs w:val="21"/>
          <w:highlight w:val="none"/>
          <w:u w:val="single"/>
        </w:rPr>
        <w:tab/>
      </w:r>
      <w:r>
        <w:rPr>
          <w:rFonts w:ascii="宋体" w:hAnsi="宋体"/>
          <w:szCs w:val="21"/>
          <w:highlight w:val="none"/>
          <w:u w:val="single"/>
        </w:rPr>
        <w:tab/>
      </w:r>
      <w:r>
        <w:rPr>
          <w:rFonts w:hint="eastAsia" w:ascii="宋体" w:hAnsi="宋体"/>
          <w:szCs w:val="21"/>
          <w:highlight w:val="none"/>
          <w:u w:val="single"/>
        </w:rPr>
        <w:t xml:space="preserve">                   </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p>
    <w:p>
      <w:pPr>
        <w:spacing w:line="360" w:lineRule="auto"/>
        <w:rPr>
          <w:rFonts w:ascii="宋体" w:hAnsi="宋体"/>
          <w:szCs w:val="21"/>
          <w:highlight w:val="none"/>
          <w:u w:val="single"/>
        </w:rPr>
      </w:pPr>
      <w:r>
        <w:rPr>
          <w:rFonts w:ascii="宋体" w:hAnsi="宋体"/>
          <w:szCs w:val="21"/>
          <w:highlight w:val="none"/>
        </w:rPr>
        <w:t>传    真：</w:t>
      </w:r>
      <w:r>
        <w:rPr>
          <w:rFonts w:ascii="宋体" w:hAnsi="宋体"/>
          <w:szCs w:val="21"/>
          <w:highlight w:val="none"/>
          <w:u w:val="single"/>
        </w:rPr>
        <w:tab/>
      </w:r>
      <w:r>
        <w:rPr>
          <w:rFonts w:ascii="宋体" w:hAnsi="宋体"/>
          <w:szCs w:val="21"/>
          <w:highlight w:val="none"/>
          <w:u w:val="single"/>
        </w:rPr>
        <w:tab/>
      </w:r>
      <w:r>
        <w:rPr>
          <w:rFonts w:hint="eastAsia" w:ascii="宋体" w:hAnsi="宋体"/>
          <w:szCs w:val="21"/>
          <w:highlight w:val="none"/>
          <w:u w:val="single"/>
        </w:rPr>
        <w:t xml:space="preserve">  </w:t>
      </w:r>
      <w:r>
        <w:rPr>
          <w:rFonts w:ascii="宋体" w:hAnsi="宋体"/>
          <w:szCs w:val="21"/>
          <w:highlight w:val="none"/>
          <w:u w:val="single"/>
        </w:rPr>
        <w:tab/>
      </w:r>
      <w:r>
        <w:rPr>
          <w:rFonts w:ascii="宋体" w:hAnsi="宋体"/>
          <w:szCs w:val="21"/>
          <w:highlight w:val="none"/>
          <w:u w:val="single"/>
        </w:rPr>
        <w:tab/>
      </w:r>
      <w:r>
        <w:rPr>
          <w:rFonts w:hint="eastAsia" w:ascii="宋体" w:hAnsi="宋体"/>
          <w:szCs w:val="21"/>
          <w:highlight w:val="none"/>
          <w:u w:val="single"/>
        </w:rPr>
        <w:t xml:space="preserve">                   </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p>
    <w:p>
      <w:pPr>
        <w:spacing w:line="360" w:lineRule="auto"/>
        <w:rPr>
          <w:rFonts w:ascii="宋体" w:hAnsi="宋体"/>
          <w:szCs w:val="21"/>
          <w:highlight w:val="none"/>
        </w:rPr>
      </w:pPr>
      <w:r>
        <w:rPr>
          <w:rFonts w:ascii="宋体" w:hAnsi="宋体"/>
          <w:szCs w:val="21"/>
          <w:highlight w:val="none"/>
        </w:rPr>
        <w:t xml:space="preserve">  </w:t>
      </w:r>
    </w:p>
    <w:p>
      <w:pPr>
        <w:spacing w:line="360" w:lineRule="auto"/>
        <w:rPr>
          <w:rFonts w:ascii="宋体" w:hAnsi="宋体"/>
          <w:szCs w:val="21"/>
          <w:highlight w:val="none"/>
          <w:u w:val="single"/>
        </w:rPr>
      </w:pPr>
    </w:p>
    <w:p>
      <w:pPr>
        <w:spacing w:line="360" w:lineRule="auto"/>
        <w:rPr>
          <w:rFonts w:ascii="宋体" w:hAnsi="宋体"/>
          <w:szCs w:val="21"/>
          <w:highlight w:val="none"/>
        </w:rPr>
      </w:pPr>
      <w:r>
        <w:rPr>
          <w:rFonts w:ascii="宋体" w:hAnsi="宋体"/>
          <w:szCs w:val="21"/>
          <w:highlight w:val="none"/>
        </w:rPr>
        <w:t xml:space="preserve">            </w:t>
      </w:r>
      <w:r>
        <w:rPr>
          <w:rFonts w:ascii="宋体" w:hAnsi="宋体"/>
          <w:szCs w:val="21"/>
          <w:highlight w:val="none"/>
          <w:u w:val="single"/>
        </w:rPr>
        <w:t xml:space="preserve">               </w:t>
      </w:r>
      <w:r>
        <w:rPr>
          <w:rFonts w:ascii="宋体" w:hAnsi="宋体"/>
          <w:szCs w:val="21"/>
          <w:highlight w:val="none"/>
        </w:rPr>
        <w:t>年</w:t>
      </w:r>
      <w:r>
        <w:rPr>
          <w:rFonts w:ascii="宋体" w:hAnsi="宋体"/>
          <w:szCs w:val="21"/>
          <w:highlight w:val="none"/>
          <w:u w:val="single"/>
        </w:rPr>
        <w:t xml:space="preserve">      </w:t>
      </w:r>
      <w:r>
        <w:rPr>
          <w:rFonts w:ascii="宋体" w:hAnsi="宋体"/>
          <w:szCs w:val="21"/>
          <w:highlight w:val="none"/>
        </w:rPr>
        <w:t>月</w:t>
      </w:r>
      <w:r>
        <w:rPr>
          <w:rFonts w:ascii="宋体" w:hAnsi="宋体"/>
          <w:szCs w:val="21"/>
          <w:highlight w:val="none"/>
          <w:u w:val="single"/>
        </w:rPr>
        <w:t xml:space="preserve">      </w:t>
      </w:r>
      <w:r>
        <w:rPr>
          <w:rFonts w:ascii="宋体" w:hAnsi="宋体"/>
          <w:szCs w:val="21"/>
          <w:highlight w:val="none"/>
        </w:rPr>
        <w:t>日</w:t>
      </w:r>
    </w:p>
    <w:p>
      <w:pPr>
        <w:spacing w:line="360" w:lineRule="auto"/>
        <w:rPr>
          <w:rFonts w:hint="eastAsia" w:ascii="宋体" w:hAnsi="宋体" w:eastAsia="宋体"/>
          <w:b/>
          <w:bCs/>
          <w:sz w:val="24"/>
          <w:szCs w:val="24"/>
          <w:highlight w:val="none"/>
        </w:rPr>
      </w:pPr>
    </w:p>
    <w:p>
      <w:pPr>
        <w:spacing w:line="360" w:lineRule="auto"/>
        <w:rPr>
          <w:rFonts w:hint="eastAsia" w:ascii="宋体" w:hAnsi="宋体" w:eastAsia="宋体"/>
          <w:b/>
          <w:bCs/>
          <w:sz w:val="24"/>
          <w:szCs w:val="24"/>
          <w:highlight w:val="none"/>
        </w:rPr>
      </w:pPr>
      <w:r>
        <w:rPr>
          <w:rFonts w:hint="eastAsia" w:ascii="宋体" w:hAnsi="宋体" w:eastAsia="宋体"/>
          <w:b/>
          <w:bCs/>
          <w:sz w:val="24"/>
          <w:szCs w:val="24"/>
          <w:highlight w:val="none"/>
        </w:rPr>
        <w:t>附</w:t>
      </w:r>
      <w:bookmarkStart w:id="1340" w:name="_Toc296347232"/>
      <w:bookmarkStart w:id="1341" w:name="_Toc296944572"/>
      <w:bookmarkStart w:id="1342" w:name="_Toc296346734"/>
      <w:bookmarkStart w:id="1343" w:name="_Toc296891061"/>
      <w:bookmarkStart w:id="1344" w:name="_Toc296891273"/>
      <w:bookmarkStart w:id="1345" w:name="_Toc296503233"/>
      <w:r>
        <w:rPr>
          <w:rFonts w:hint="eastAsia" w:ascii="宋体" w:hAnsi="宋体" w:eastAsia="宋体"/>
          <w:b/>
          <w:bCs/>
          <w:sz w:val="24"/>
          <w:szCs w:val="24"/>
          <w:highlight w:val="none"/>
        </w:rPr>
        <w:t xml:space="preserve">件9:  </w:t>
      </w:r>
    </w:p>
    <w:bookmarkEnd w:id="1340"/>
    <w:bookmarkEnd w:id="1341"/>
    <w:bookmarkEnd w:id="1342"/>
    <w:bookmarkEnd w:id="1343"/>
    <w:bookmarkEnd w:id="1344"/>
    <w:bookmarkEnd w:id="1345"/>
    <w:p>
      <w:pPr>
        <w:spacing w:before="120" w:beforeLines="50" w:after="120" w:afterLines="50" w:line="360" w:lineRule="auto"/>
        <w:jc w:val="center"/>
        <w:outlineLvl w:val="9"/>
        <w:rPr>
          <w:rFonts w:ascii="宋体" w:hAnsi="宋体"/>
          <w:color w:val="000000"/>
          <w:sz w:val="30"/>
          <w:szCs w:val="30"/>
          <w:highlight w:val="none"/>
        </w:rPr>
      </w:pPr>
      <w:r>
        <w:rPr>
          <w:rFonts w:hint="eastAsia" w:ascii="宋体" w:hAnsi="宋体"/>
          <w:color w:val="000000"/>
          <w:sz w:val="30"/>
          <w:szCs w:val="30"/>
          <w:highlight w:val="none"/>
        </w:rPr>
        <w:t>9</w:t>
      </w:r>
      <w:r>
        <w:rPr>
          <w:rFonts w:ascii="宋体" w:hAnsi="宋体"/>
          <w:color w:val="000000"/>
          <w:sz w:val="30"/>
          <w:szCs w:val="30"/>
          <w:highlight w:val="none"/>
        </w:rPr>
        <w:t>-1：材料暂估价表</w:t>
      </w:r>
    </w:p>
    <w:tbl>
      <w:tblPr>
        <w:tblStyle w:val="3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序号</w:t>
            </w:r>
          </w:p>
        </w:tc>
        <w:tc>
          <w:tcPr>
            <w:tcW w:w="1984"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名称</w:t>
            </w:r>
          </w:p>
        </w:tc>
        <w:tc>
          <w:tcPr>
            <w:tcW w:w="851"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单位</w:t>
            </w:r>
          </w:p>
        </w:tc>
        <w:tc>
          <w:tcPr>
            <w:tcW w:w="774"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数量</w:t>
            </w:r>
          </w:p>
        </w:tc>
        <w:tc>
          <w:tcPr>
            <w:tcW w:w="1352"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单价</w:t>
            </w:r>
            <w:r>
              <w:rPr>
                <w:rFonts w:hint="eastAsia" w:ascii="宋体" w:hAnsi="宋体"/>
                <w:color w:val="000000"/>
                <w:sz w:val="28"/>
                <w:szCs w:val="30"/>
                <w:highlight w:val="none"/>
              </w:rPr>
              <w:t>（元）</w:t>
            </w:r>
          </w:p>
        </w:tc>
        <w:tc>
          <w:tcPr>
            <w:tcW w:w="1418"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合价</w:t>
            </w:r>
            <w:r>
              <w:rPr>
                <w:rFonts w:hint="eastAsia" w:ascii="宋体" w:hAnsi="宋体"/>
                <w:color w:val="000000"/>
                <w:sz w:val="28"/>
                <w:szCs w:val="30"/>
                <w:highlight w:val="none"/>
              </w:rPr>
              <w:t>（元）</w:t>
            </w:r>
          </w:p>
        </w:tc>
        <w:tc>
          <w:tcPr>
            <w:tcW w:w="1701"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bl>
    <w:p>
      <w:pPr>
        <w:spacing w:before="120" w:beforeLines="50" w:after="120" w:afterLines="50" w:line="360" w:lineRule="auto"/>
        <w:rPr>
          <w:rFonts w:hint="eastAsia" w:ascii="宋体" w:hAnsi="宋体"/>
          <w:color w:val="000000"/>
          <w:sz w:val="30"/>
          <w:szCs w:val="30"/>
          <w:highlight w:val="none"/>
        </w:rPr>
      </w:pPr>
    </w:p>
    <w:p>
      <w:pPr>
        <w:spacing w:before="120" w:beforeLines="50" w:after="120" w:afterLines="50" w:line="360" w:lineRule="auto"/>
        <w:jc w:val="center"/>
        <w:rPr>
          <w:rFonts w:ascii="宋体" w:hAnsi="宋体"/>
          <w:color w:val="000000"/>
          <w:sz w:val="30"/>
          <w:szCs w:val="30"/>
          <w:highlight w:val="none"/>
        </w:rPr>
      </w:pPr>
      <w:r>
        <w:rPr>
          <w:rFonts w:ascii="宋体" w:hAnsi="宋体"/>
          <w:color w:val="000000"/>
          <w:sz w:val="30"/>
          <w:szCs w:val="30"/>
          <w:highlight w:val="none"/>
        </w:rPr>
        <w:br w:type="page"/>
      </w:r>
      <w:r>
        <w:rPr>
          <w:rFonts w:hint="eastAsia" w:ascii="宋体" w:hAnsi="宋体"/>
          <w:color w:val="000000"/>
          <w:sz w:val="30"/>
          <w:szCs w:val="30"/>
          <w:highlight w:val="none"/>
        </w:rPr>
        <w:t>9</w:t>
      </w:r>
      <w:r>
        <w:rPr>
          <w:rFonts w:ascii="宋体" w:hAnsi="宋体"/>
          <w:color w:val="000000"/>
          <w:sz w:val="30"/>
          <w:szCs w:val="30"/>
          <w:highlight w:val="none"/>
        </w:rPr>
        <w:t>-2：工程设备暂估价表</w:t>
      </w:r>
    </w:p>
    <w:tbl>
      <w:tblPr>
        <w:tblStyle w:val="3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序号</w:t>
            </w:r>
          </w:p>
        </w:tc>
        <w:tc>
          <w:tcPr>
            <w:tcW w:w="1984"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名称</w:t>
            </w:r>
          </w:p>
        </w:tc>
        <w:tc>
          <w:tcPr>
            <w:tcW w:w="851"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单位</w:t>
            </w:r>
          </w:p>
        </w:tc>
        <w:tc>
          <w:tcPr>
            <w:tcW w:w="774"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数量</w:t>
            </w:r>
          </w:p>
        </w:tc>
        <w:tc>
          <w:tcPr>
            <w:tcW w:w="1352"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单价</w:t>
            </w:r>
            <w:r>
              <w:rPr>
                <w:rFonts w:hint="eastAsia" w:ascii="宋体" w:hAnsi="宋体"/>
                <w:color w:val="000000"/>
                <w:sz w:val="28"/>
                <w:szCs w:val="30"/>
                <w:highlight w:val="none"/>
              </w:rPr>
              <w:t>（元）</w:t>
            </w:r>
          </w:p>
        </w:tc>
        <w:tc>
          <w:tcPr>
            <w:tcW w:w="1418"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合价</w:t>
            </w:r>
            <w:r>
              <w:rPr>
                <w:rFonts w:hint="eastAsia" w:ascii="宋体" w:hAnsi="宋体"/>
                <w:color w:val="000000"/>
                <w:sz w:val="28"/>
                <w:szCs w:val="30"/>
                <w:highlight w:val="none"/>
              </w:rPr>
              <w:t>（元）</w:t>
            </w:r>
          </w:p>
        </w:tc>
        <w:tc>
          <w:tcPr>
            <w:tcW w:w="1701"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adjustRightInd w:val="0"/>
              <w:spacing w:line="360" w:lineRule="auto"/>
              <w:ind w:left="63" w:leftChars="30" w:right="63" w:rightChars="30"/>
              <w:jc w:val="center"/>
              <w:textAlignment w:val="baseline"/>
              <w:rPr>
                <w:rFonts w:hint="eastAsia" w:ascii="宋体" w:hAnsi="宋体"/>
                <w:color w:val="000000"/>
                <w:sz w:val="28"/>
                <w:szCs w:val="30"/>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85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774"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352"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418"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c>
          <w:tcPr>
            <w:tcW w:w="1701" w:type="dxa"/>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p>
        </w:tc>
      </w:tr>
    </w:tbl>
    <w:p>
      <w:pPr>
        <w:spacing w:line="360" w:lineRule="auto"/>
        <w:rPr>
          <w:rFonts w:ascii="宋体" w:hAnsi="宋体"/>
          <w:color w:val="000000"/>
          <w:sz w:val="30"/>
          <w:szCs w:val="30"/>
          <w:highlight w:val="none"/>
        </w:rPr>
      </w:pPr>
    </w:p>
    <w:p>
      <w:pPr>
        <w:spacing w:before="120" w:beforeLines="50" w:after="120" w:afterLines="50" w:line="360" w:lineRule="auto"/>
        <w:jc w:val="center"/>
        <w:rPr>
          <w:rFonts w:ascii="宋体" w:hAnsi="宋体"/>
          <w:color w:val="000000"/>
          <w:sz w:val="30"/>
          <w:szCs w:val="30"/>
          <w:highlight w:val="none"/>
        </w:rPr>
      </w:pPr>
      <w:r>
        <w:rPr>
          <w:rFonts w:ascii="宋体" w:hAnsi="宋体"/>
          <w:color w:val="000000"/>
          <w:sz w:val="30"/>
          <w:szCs w:val="30"/>
          <w:highlight w:val="none"/>
        </w:rPr>
        <w:br w:type="page"/>
      </w:r>
      <w:r>
        <w:rPr>
          <w:rFonts w:hint="eastAsia" w:ascii="宋体" w:hAnsi="宋体"/>
          <w:color w:val="000000"/>
          <w:sz w:val="30"/>
          <w:szCs w:val="30"/>
          <w:highlight w:val="none"/>
        </w:rPr>
        <w:t>9</w:t>
      </w:r>
      <w:r>
        <w:rPr>
          <w:rFonts w:ascii="宋体" w:hAnsi="宋体"/>
          <w:color w:val="000000"/>
          <w:sz w:val="30"/>
          <w:szCs w:val="30"/>
          <w:highlight w:val="none"/>
        </w:rPr>
        <w:t>-3：专业工程暂估价表</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序号</w:t>
            </w:r>
          </w:p>
        </w:tc>
        <w:tc>
          <w:tcPr>
            <w:tcW w:w="1984"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专业工程名称</w:t>
            </w:r>
          </w:p>
        </w:tc>
        <w:tc>
          <w:tcPr>
            <w:tcW w:w="4678"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工程内容</w:t>
            </w:r>
          </w:p>
        </w:tc>
        <w:tc>
          <w:tcPr>
            <w:tcW w:w="1276" w:type="dxa"/>
            <w:tcBorders>
              <w:top w:val="single" w:color="auto" w:sz="12" w:space="0"/>
              <w:bottom w:val="doub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 w:val="28"/>
                <w:szCs w:val="30"/>
                <w:highlight w:val="none"/>
              </w:rPr>
            </w:pPr>
            <w:r>
              <w:rPr>
                <w:rFonts w:ascii="宋体" w:hAnsi="宋体"/>
                <w:color w:val="000000"/>
                <w:sz w:val="28"/>
                <w:szCs w:val="30"/>
                <w:highlight w:val="non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tcBorders>
              <w:top w:val="double" w:color="auto" w:sz="6" w:space="0"/>
              <w:bottom w:val="single" w:color="auto" w:sz="6" w:space="0"/>
            </w:tcBorders>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tcBorders>
              <w:top w:val="nil"/>
            </w:tcBorders>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984"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4678"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c>
          <w:tcPr>
            <w:tcW w:w="1276" w:type="dxa"/>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pPr>
              <w:keepNext/>
              <w:adjustRightInd w:val="0"/>
              <w:spacing w:line="360" w:lineRule="auto"/>
              <w:ind w:left="63" w:leftChars="30" w:right="63" w:rightChars="30"/>
              <w:jc w:val="center"/>
              <w:textAlignment w:val="baseline"/>
              <w:rPr>
                <w:rFonts w:ascii="宋体" w:hAnsi="宋体"/>
                <w:color w:val="000000"/>
                <w:szCs w:val="21"/>
                <w:highlight w:val="none"/>
              </w:rPr>
            </w:pPr>
            <w:r>
              <w:rPr>
                <w:rFonts w:ascii="宋体" w:hAnsi="宋体"/>
                <w:color w:val="000000"/>
                <w:sz w:val="28"/>
                <w:szCs w:val="30"/>
                <w:highlight w:val="none"/>
              </w:rPr>
              <w:t>小计：</w:t>
            </w:r>
          </w:p>
        </w:tc>
      </w:tr>
    </w:tbl>
    <w:p>
      <w:pPr>
        <w:pStyle w:val="6"/>
        <w:spacing w:before="120" w:after="120" w:line="400" w:lineRule="exact"/>
        <w:jc w:val="center"/>
        <w:rPr>
          <w:rStyle w:val="53"/>
          <w:rFonts w:hint="eastAsia" w:ascii="黑体" w:hAnsi="黑体" w:eastAsia="黑体" w:cs="黑体"/>
          <w:b/>
          <w:bCs/>
          <w:sz w:val="32"/>
          <w:szCs w:val="32"/>
          <w:highlight w:val="none"/>
          <w:lang w:val="en-US" w:eastAsia="zh-CN" w:bidi="ar-SA"/>
        </w:rPr>
      </w:pPr>
      <w:r>
        <w:rPr>
          <w:rFonts w:ascii="宋体" w:hAnsi="宋体"/>
          <w:b/>
          <w:szCs w:val="21"/>
          <w:highlight w:val="none"/>
        </w:rPr>
        <w:br w:type="page"/>
      </w:r>
      <w:bookmarkStart w:id="1346" w:name="_Toc27500"/>
      <w:r>
        <w:rPr>
          <w:rStyle w:val="53"/>
          <w:rFonts w:hint="eastAsia" w:ascii="黑体" w:hAnsi="黑体" w:eastAsia="黑体" w:cs="黑体"/>
          <w:b/>
          <w:bCs/>
          <w:sz w:val="32"/>
          <w:szCs w:val="32"/>
          <w:highlight w:val="none"/>
          <w:lang w:val="en-US" w:eastAsia="zh-CN" w:bidi="ar-SA"/>
        </w:rPr>
        <w:t>第五章 工程量清单</w:t>
      </w:r>
      <w:bookmarkEnd w:id="308"/>
      <w:bookmarkEnd w:id="309"/>
      <w:bookmarkEnd w:id="310"/>
      <w:bookmarkEnd w:id="311"/>
      <w:bookmarkEnd w:id="1346"/>
    </w:p>
    <w:p>
      <w:pPr>
        <w:spacing w:before="120" w:beforeLines="50" w:after="120" w:afterLines="50" w:line="360" w:lineRule="auto"/>
        <w:jc w:val="center"/>
        <w:rPr>
          <w:rFonts w:hint="default" w:ascii="宋体" w:hAnsi="宋体" w:eastAsia="宋体"/>
          <w:color w:val="000000"/>
          <w:sz w:val="30"/>
          <w:szCs w:val="30"/>
          <w:highlight w:val="none"/>
          <w:lang w:val="en-US" w:eastAsia="zh-CN"/>
        </w:rPr>
      </w:pPr>
    </w:p>
    <w:p>
      <w:pPr>
        <w:pStyle w:val="6"/>
        <w:spacing w:before="120" w:after="120" w:line="400" w:lineRule="exact"/>
        <w:jc w:val="center"/>
        <w:rPr>
          <w:rFonts w:hint="eastAsia" w:ascii="黑体" w:hAnsi="黑体" w:eastAsia="黑体"/>
          <w:b w:val="0"/>
          <w:bCs w:val="0"/>
          <w:sz w:val="32"/>
          <w:highlight w:val="none"/>
        </w:rPr>
      </w:pPr>
      <w:bookmarkStart w:id="1347" w:name="_Toc144974851"/>
      <w:bookmarkStart w:id="1348" w:name="_Toc152042571"/>
      <w:bookmarkStart w:id="1349" w:name="_Toc179632800"/>
      <w:bookmarkStart w:id="1350" w:name="_Toc152045782"/>
      <w:r>
        <w:rPr>
          <w:rStyle w:val="53"/>
          <w:rFonts w:hint="eastAsia" w:ascii="黑体" w:hAnsi="黑体" w:eastAsia="黑体" w:cs="黑体"/>
          <w:b/>
          <w:bCs/>
          <w:sz w:val="32"/>
          <w:szCs w:val="32"/>
          <w:highlight w:val="none"/>
          <w:lang w:val="en-US" w:eastAsia="zh-CN" w:bidi="ar-SA"/>
        </w:rPr>
        <w:br w:type="page"/>
      </w:r>
      <w:bookmarkStart w:id="1351" w:name="_Toc11361"/>
      <w:r>
        <w:rPr>
          <w:rStyle w:val="53"/>
          <w:rFonts w:hint="eastAsia" w:ascii="黑体" w:hAnsi="黑体" w:eastAsia="黑体" w:cs="黑体"/>
          <w:b/>
          <w:bCs/>
          <w:sz w:val="32"/>
          <w:szCs w:val="32"/>
          <w:highlight w:val="none"/>
          <w:lang w:val="en-US" w:eastAsia="zh-CN" w:bidi="ar-SA"/>
        </w:rPr>
        <w:t>第六章 图  纸</w:t>
      </w:r>
      <w:bookmarkEnd w:id="1347"/>
      <w:bookmarkEnd w:id="1348"/>
      <w:bookmarkEnd w:id="1349"/>
      <w:bookmarkEnd w:id="1350"/>
      <w:bookmarkEnd w:id="1351"/>
    </w:p>
    <w:p>
      <w:pPr>
        <w:spacing w:before="120" w:after="120" w:line="400" w:lineRule="exact"/>
        <w:jc w:val="center"/>
        <w:outlineLvl w:val="0"/>
        <w:rPr>
          <w:rStyle w:val="53"/>
          <w:rFonts w:hint="eastAsia" w:ascii="黑体" w:hAnsi="黑体" w:eastAsia="黑体" w:cs="黑体"/>
          <w:sz w:val="32"/>
          <w:szCs w:val="32"/>
          <w:highlight w:val="none"/>
          <w:lang w:val="en-US" w:eastAsia="zh-CN" w:bidi="ar-SA"/>
        </w:rPr>
      </w:pPr>
      <w:bookmarkStart w:id="1352" w:name="_Toc179632804"/>
      <w:r>
        <w:rPr>
          <w:rStyle w:val="53"/>
          <w:rFonts w:hint="eastAsia" w:ascii="黑体" w:hAnsi="黑体" w:eastAsia="黑体" w:cs="黑体"/>
          <w:sz w:val="32"/>
          <w:szCs w:val="32"/>
          <w:highlight w:val="none"/>
          <w:lang w:val="en-US" w:eastAsia="zh-CN" w:bidi="ar-SA"/>
        </w:rPr>
        <w:br w:type="page"/>
      </w:r>
      <w:bookmarkStart w:id="1353" w:name="_Toc13942"/>
      <w:r>
        <w:rPr>
          <w:rStyle w:val="53"/>
          <w:rFonts w:hint="eastAsia" w:ascii="黑体" w:hAnsi="黑体" w:eastAsia="黑体" w:cs="黑体"/>
          <w:sz w:val="32"/>
          <w:szCs w:val="32"/>
          <w:highlight w:val="none"/>
          <w:lang w:val="en-US" w:eastAsia="zh-CN" w:bidi="ar-SA"/>
        </w:rPr>
        <w:t>第七章 技术标准和要求</w:t>
      </w:r>
      <w:bookmarkEnd w:id="1352"/>
      <w:bookmarkEnd w:id="1353"/>
    </w:p>
    <w:p>
      <w:pPr>
        <w:spacing w:line="360" w:lineRule="auto"/>
        <w:ind w:firstLine="480" w:firstLineChars="200"/>
        <w:outlineLvl w:val="9"/>
        <w:rPr>
          <w:rFonts w:hint="eastAsia" w:ascii="宋体" w:hAnsi="宋体" w:eastAsia="宋体" w:cs="宋体"/>
          <w:sz w:val="24"/>
          <w:szCs w:val="24"/>
          <w:highlight w:val="none"/>
          <w:lang w:val="en-US" w:eastAsia="zh-CN"/>
        </w:rPr>
      </w:pPr>
      <w:bookmarkStart w:id="1354" w:name="_Toc179632806"/>
      <w:r>
        <w:rPr>
          <w:rFonts w:hint="eastAsia" w:ascii="宋体" w:hAnsi="宋体" w:eastAsia="宋体" w:cs="宋体"/>
          <w:sz w:val="24"/>
          <w:szCs w:val="24"/>
          <w:highlight w:val="none"/>
          <w:lang w:val="en-US" w:eastAsia="zh-CN"/>
        </w:rPr>
        <w:t>一、依据设计文件的要求，本招标工程项目的材料、设备、施工须达到所涉及到的现行中华人民共和国以及省、自治区、直辖市或行业的工程建设标准、规范的要求。</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二、根据工程设计要求，该项工程项目的材料、设备、施工除须达到以上标准外，还应满足设计要求和业主在招标文件中的有关要求。</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三、该工程项目的材料、设备、施工如无上述1、2条的标准，在材料、设备的定货采购和施工安装时，应出具生产厂家或施工安装企业在技术监督部门已备案企业标准，并经监理和采购人批准后方可实施。</w:t>
      </w:r>
    </w:p>
    <w:p>
      <w:pPr>
        <w:spacing w:line="360" w:lineRule="auto"/>
        <w:jc w:val="center"/>
        <w:outlineLvl w:val="9"/>
        <w:rPr>
          <w:rStyle w:val="53"/>
          <w:rFonts w:hint="eastAsia" w:ascii="黑体" w:hAnsi="黑体" w:eastAsia="黑体" w:cs="黑体"/>
          <w:sz w:val="32"/>
          <w:szCs w:val="32"/>
          <w:highlight w:val="none"/>
          <w:lang w:val="en-US" w:eastAsia="zh-CN" w:bidi="ar-SA"/>
        </w:rPr>
      </w:pPr>
      <w:r>
        <w:rPr>
          <w:rFonts w:hint="eastAsia" w:ascii="宋体" w:hAnsi="宋体" w:eastAsia="宋体" w:cs="宋体"/>
          <w:sz w:val="24"/>
          <w:szCs w:val="24"/>
          <w:highlight w:val="none"/>
          <w:lang w:val="en-US" w:eastAsia="zh-CN"/>
        </w:rPr>
        <w:br w:type="page"/>
      </w:r>
      <w:bookmarkStart w:id="1355" w:name="_Toc31115"/>
      <w:r>
        <w:rPr>
          <w:rStyle w:val="53"/>
          <w:rFonts w:hint="eastAsia" w:ascii="黑体" w:hAnsi="黑体" w:eastAsia="黑体" w:cs="黑体"/>
          <w:sz w:val="32"/>
          <w:szCs w:val="32"/>
          <w:highlight w:val="none"/>
          <w:lang w:val="en-US" w:eastAsia="zh-CN" w:bidi="ar-SA"/>
        </w:rPr>
        <w:t>第八章 投标文件格式</w:t>
      </w:r>
      <w:bookmarkEnd w:id="1354"/>
      <w:bookmarkEnd w:id="1355"/>
    </w:p>
    <w:p>
      <w:pPr>
        <w:spacing w:line="440" w:lineRule="exact"/>
        <w:rPr>
          <w:rFonts w:eastAsia="黑体"/>
          <w:sz w:val="20"/>
          <w:szCs w:val="20"/>
          <w:highlight w:val="none"/>
        </w:rPr>
      </w:pPr>
      <w:r>
        <w:rPr>
          <w:rFonts w:eastAsia="黑体"/>
          <w:sz w:val="20"/>
          <w:szCs w:val="20"/>
          <w:highlight w:val="none"/>
        </w:rPr>
        <w:br w:type="page"/>
      </w:r>
    </w:p>
    <w:p>
      <w:pPr>
        <w:jc w:val="right"/>
        <w:rPr>
          <w:rFonts w:hint="eastAsia" w:eastAsia="黑体"/>
          <w:sz w:val="28"/>
          <w:szCs w:val="28"/>
          <w:highlight w:val="none"/>
          <w:u w:val="single"/>
        </w:rPr>
      </w:pPr>
      <w:bookmarkStart w:id="1356" w:name="_Toc21430_WPSOffice_Level1"/>
      <w:bookmarkStart w:id="1357" w:name="_Toc8983_WPSOffice_Level1"/>
      <w:r>
        <w:rPr>
          <w:rFonts w:hint="eastAsia" w:ascii="宋体" w:hAnsi="宋体" w:eastAsia="宋体" w:cs="宋体"/>
          <w:b/>
          <w:color w:val="auto"/>
          <w:sz w:val="30"/>
          <w:szCs w:val="30"/>
          <w:highlight w:val="none"/>
        </w:rPr>
        <w:t>【正(副)本】</w:t>
      </w:r>
      <w:bookmarkEnd w:id="1356"/>
      <w:bookmarkEnd w:id="1357"/>
    </w:p>
    <w:p>
      <w:pPr>
        <w:jc w:val="center"/>
        <w:rPr>
          <w:rFonts w:hint="eastAsia" w:eastAsia="黑体"/>
          <w:sz w:val="28"/>
          <w:szCs w:val="28"/>
          <w:highlight w:val="none"/>
          <w:u w:val="single"/>
        </w:rPr>
      </w:pPr>
    </w:p>
    <w:p>
      <w:pPr>
        <w:jc w:val="center"/>
        <w:rPr>
          <w:rFonts w:hint="eastAsia" w:eastAsia="黑体"/>
          <w:sz w:val="28"/>
          <w:szCs w:val="28"/>
          <w:highlight w:val="none"/>
          <w:u w:val="single"/>
        </w:rPr>
      </w:pPr>
    </w:p>
    <w:p>
      <w:pPr>
        <w:jc w:val="center"/>
        <w:rPr>
          <w:rFonts w:hint="default" w:eastAsia="黑体"/>
          <w:sz w:val="28"/>
          <w:szCs w:val="28"/>
          <w:highlight w:val="none"/>
          <w:lang w:val="en-US" w:eastAsia="zh-CN"/>
        </w:rPr>
      </w:pPr>
      <w:r>
        <w:rPr>
          <w:rFonts w:hint="eastAsia" w:eastAsia="黑体"/>
          <w:sz w:val="28"/>
          <w:szCs w:val="28"/>
          <w:highlight w:val="none"/>
          <w:u w:val="single"/>
          <w:lang w:val="en-US" w:eastAsia="zh-CN"/>
        </w:rPr>
        <w:t xml:space="preserve">                                  </w:t>
      </w:r>
      <w:r>
        <w:rPr>
          <w:rFonts w:eastAsia="黑体"/>
          <w:sz w:val="28"/>
          <w:szCs w:val="28"/>
          <w:highlight w:val="none"/>
          <w:u w:val="single"/>
        </w:rPr>
        <w:t>项目</w:t>
      </w:r>
    </w:p>
    <w:p>
      <w:pPr>
        <w:jc w:val="center"/>
        <w:rPr>
          <w:rFonts w:hint="eastAsia" w:ascii="Times New Roman" w:hAnsi="Times New Roman" w:eastAsia="黑体"/>
          <w:sz w:val="28"/>
          <w:szCs w:val="28"/>
          <w:highlight w:val="none"/>
          <w:u w:val="none"/>
        </w:rPr>
      </w:pPr>
      <w:r>
        <w:rPr>
          <w:rFonts w:hint="eastAsia" w:ascii="Times New Roman" w:hAnsi="Times New Roman" w:eastAsia="黑体"/>
          <w:sz w:val="28"/>
          <w:szCs w:val="28"/>
          <w:highlight w:val="none"/>
          <w:u w:val="none"/>
          <w:lang w:val="en-US" w:eastAsia="zh-CN"/>
        </w:rPr>
        <w:t>项目</w:t>
      </w:r>
      <w:r>
        <w:rPr>
          <w:rFonts w:hint="eastAsia" w:ascii="Times New Roman" w:hAnsi="Times New Roman" w:eastAsia="黑体"/>
          <w:sz w:val="28"/>
          <w:szCs w:val="28"/>
          <w:highlight w:val="none"/>
          <w:u w:val="none"/>
        </w:rPr>
        <w:t>编号：</w:t>
      </w:r>
      <w:r>
        <w:rPr>
          <w:rFonts w:hint="eastAsia" w:ascii="Times New Roman" w:hAnsi="Times New Roman" w:eastAsia="黑体"/>
          <w:sz w:val="28"/>
          <w:szCs w:val="28"/>
          <w:highlight w:val="none"/>
          <w:u w:val="none"/>
        </w:rPr>
        <w:fldChar w:fldCharType="begin"/>
      </w:r>
      <w:r>
        <w:rPr>
          <w:rFonts w:hint="eastAsia" w:ascii="Times New Roman" w:hAnsi="Times New Roman" w:eastAsia="黑体"/>
          <w:sz w:val="28"/>
          <w:szCs w:val="28"/>
          <w:highlight w:val="none"/>
          <w:u w:val="none"/>
        </w:rPr>
        <w:instrText xml:space="preserve"> DOCVARIABLE  采购编号  \* MERGEFORMAT </w:instrText>
      </w:r>
      <w:r>
        <w:rPr>
          <w:rFonts w:hint="eastAsia" w:ascii="Times New Roman" w:hAnsi="Times New Roman" w:eastAsia="黑体"/>
          <w:sz w:val="28"/>
          <w:szCs w:val="28"/>
          <w:highlight w:val="none"/>
          <w:u w:val="none"/>
        </w:rPr>
        <w:fldChar w:fldCharType="end"/>
      </w:r>
      <w:r>
        <w:rPr>
          <w:rFonts w:hint="eastAsia" w:ascii="Times New Roman" w:hAnsi="Times New Roman" w:eastAsia="黑体"/>
          <w:sz w:val="28"/>
          <w:szCs w:val="28"/>
          <w:highlight w:val="none"/>
          <w:u w:val="none"/>
        </w:rPr>
        <w:fldChar w:fldCharType="begin"/>
      </w:r>
      <w:r>
        <w:rPr>
          <w:rFonts w:hint="eastAsia" w:ascii="Times New Roman" w:hAnsi="Times New Roman" w:eastAsia="黑体"/>
          <w:sz w:val="28"/>
          <w:szCs w:val="28"/>
          <w:highlight w:val="none"/>
          <w:u w:val="none"/>
        </w:rPr>
        <w:instrText xml:space="preserve"> DOCVARIABLE  采购编号  \* MERGEFORMAT </w:instrText>
      </w:r>
      <w:r>
        <w:rPr>
          <w:rFonts w:hint="eastAsia" w:ascii="Times New Roman" w:hAnsi="Times New Roman" w:eastAsia="黑体"/>
          <w:sz w:val="28"/>
          <w:szCs w:val="28"/>
          <w:highlight w:val="none"/>
          <w:u w:val="none"/>
        </w:rPr>
        <w:fldChar w:fldCharType="end"/>
      </w:r>
    </w:p>
    <w:p>
      <w:pPr>
        <w:jc w:val="center"/>
        <w:rPr>
          <w:rFonts w:eastAsia="黑体"/>
          <w:sz w:val="44"/>
          <w:szCs w:val="44"/>
          <w:highlight w:val="none"/>
        </w:rPr>
      </w:pPr>
    </w:p>
    <w:p>
      <w:pPr>
        <w:jc w:val="center"/>
        <w:rPr>
          <w:rFonts w:eastAsia="黑体"/>
          <w:sz w:val="44"/>
          <w:szCs w:val="44"/>
          <w:highlight w:val="none"/>
        </w:rPr>
      </w:pPr>
    </w:p>
    <w:p>
      <w:pPr>
        <w:jc w:val="center"/>
        <w:rPr>
          <w:rFonts w:eastAsia="黑体"/>
          <w:sz w:val="44"/>
          <w:szCs w:val="44"/>
          <w:highlight w:val="none"/>
        </w:rPr>
      </w:pPr>
      <w:r>
        <w:rPr>
          <w:rFonts w:eastAsia="黑体"/>
          <w:sz w:val="44"/>
          <w:szCs w:val="44"/>
          <w:highlight w:val="none"/>
        </w:rPr>
        <w:t>投  标  文  件</w:t>
      </w: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spacing w:line="480" w:lineRule="auto"/>
        <w:jc w:val="center"/>
        <w:rPr>
          <w:rFonts w:eastAsia="黑体"/>
          <w:sz w:val="28"/>
          <w:szCs w:val="28"/>
          <w:highlight w:val="none"/>
          <w:u w:val="single"/>
        </w:rPr>
      </w:pPr>
      <w:r>
        <w:rPr>
          <w:rFonts w:hint="eastAsia" w:eastAsia="黑体"/>
          <w:sz w:val="28"/>
          <w:szCs w:val="28"/>
          <w:highlight w:val="none"/>
          <w:lang w:eastAsia="zh-CN"/>
        </w:rPr>
        <w:t>投标供应商</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（盖单位章）</w:t>
      </w:r>
    </w:p>
    <w:p>
      <w:pPr>
        <w:spacing w:line="480" w:lineRule="auto"/>
        <w:jc w:val="center"/>
        <w:rPr>
          <w:rFonts w:eastAsia="黑体"/>
          <w:sz w:val="28"/>
          <w:szCs w:val="28"/>
          <w:highlight w:val="none"/>
        </w:rPr>
      </w:pPr>
      <w:r>
        <w:rPr>
          <w:rFonts w:eastAsia="黑体"/>
          <w:sz w:val="28"/>
          <w:szCs w:val="28"/>
          <w:highlight w:val="none"/>
        </w:rPr>
        <w:t>法定代表人或其委托代理人：</w:t>
      </w:r>
      <w:r>
        <w:rPr>
          <w:rFonts w:eastAsia="黑体"/>
          <w:sz w:val="28"/>
          <w:szCs w:val="28"/>
          <w:highlight w:val="none"/>
          <w:u w:val="single"/>
        </w:rPr>
        <w:t xml:space="preserve">                </w:t>
      </w:r>
      <w:r>
        <w:rPr>
          <w:rFonts w:eastAsia="黑体"/>
          <w:sz w:val="28"/>
          <w:szCs w:val="28"/>
          <w:highlight w:val="none"/>
        </w:rPr>
        <w:t>（签字）</w:t>
      </w:r>
    </w:p>
    <w:p>
      <w:pPr>
        <w:spacing w:line="480" w:lineRule="auto"/>
        <w:jc w:val="center"/>
        <w:rPr>
          <w:rFonts w:eastAsia="黑体"/>
          <w:sz w:val="28"/>
          <w:szCs w:val="28"/>
          <w:highlight w:val="none"/>
        </w:rPr>
      </w:pPr>
      <w:r>
        <w:rPr>
          <w:rFonts w:eastAsia="黑体"/>
          <w:sz w:val="28"/>
          <w:szCs w:val="28"/>
          <w:highlight w:val="none"/>
          <w:u w:val="single"/>
        </w:rPr>
        <w:t xml:space="preserve">        </w:t>
      </w:r>
      <w:r>
        <w:rPr>
          <w:rFonts w:eastAsia="黑体"/>
          <w:sz w:val="28"/>
          <w:szCs w:val="28"/>
          <w:highlight w:val="none"/>
        </w:rPr>
        <w:t>年</w:t>
      </w:r>
      <w:r>
        <w:rPr>
          <w:rFonts w:eastAsia="黑体"/>
          <w:sz w:val="28"/>
          <w:szCs w:val="28"/>
          <w:highlight w:val="none"/>
          <w:u w:val="single"/>
        </w:rPr>
        <w:t xml:space="preserve">        </w:t>
      </w:r>
      <w:r>
        <w:rPr>
          <w:rFonts w:eastAsia="黑体"/>
          <w:sz w:val="28"/>
          <w:szCs w:val="28"/>
          <w:highlight w:val="none"/>
        </w:rPr>
        <w:t>月</w:t>
      </w:r>
      <w:r>
        <w:rPr>
          <w:rFonts w:eastAsia="黑体"/>
          <w:sz w:val="28"/>
          <w:szCs w:val="28"/>
          <w:highlight w:val="none"/>
          <w:u w:val="single"/>
        </w:rPr>
        <w:t xml:space="preserve">        </w:t>
      </w:r>
      <w:r>
        <w:rPr>
          <w:rFonts w:eastAsia="黑体"/>
          <w:sz w:val="28"/>
          <w:szCs w:val="28"/>
          <w:highlight w:val="none"/>
        </w:rPr>
        <w:t>日</w:t>
      </w:r>
    </w:p>
    <w:p>
      <w:pPr>
        <w:spacing w:line="440" w:lineRule="exact"/>
        <w:rPr>
          <w:rFonts w:eastAsia="黑体"/>
          <w:sz w:val="20"/>
          <w:szCs w:val="20"/>
          <w:highlight w:val="none"/>
        </w:rPr>
      </w:pPr>
    </w:p>
    <w:p>
      <w:pPr>
        <w:bidi w:val="0"/>
        <w:jc w:val="center"/>
        <w:rPr>
          <w:rFonts w:hint="eastAsia"/>
          <w:sz w:val="24"/>
          <w:szCs w:val="24"/>
          <w:highlight w:val="none"/>
        </w:rPr>
      </w:pPr>
      <w:r>
        <w:rPr>
          <w:highlight w:val="none"/>
        </w:rPr>
        <w:br w:type="page"/>
      </w:r>
      <w:bookmarkStart w:id="1358" w:name="_Toc152045787"/>
      <w:bookmarkStart w:id="1359" w:name="_Toc179632807"/>
      <w:bookmarkStart w:id="1360" w:name="_Toc152042576"/>
      <w:bookmarkStart w:id="1361" w:name="_Toc144974856"/>
      <w:r>
        <w:rPr>
          <w:rFonts w:hint="eastAsia" w:ascii="宋体" w:hAnsi="宋体" w:eastAsia="宋体" w:cs="宋体"/>
          <w:b/>
          <w:bCs/>
          <w:color w:val="auto"/>
          <w:kern w:val="2"/>
          <w:sz w:val="32"/>
          <w:szCs w:val="32"/>
          <w:highlight w:val="none"/>
          <w:lang w:val="en-US" w:eastAsia="zh-CN" w:bidi="ar-SA"/>
        </w:rPr>
        <w:t>目    录</w:t>
      </w:r>
      <w:bookmarkEnd w:id="1358"/>
      <w:bookmarkEnd w:id="1359"/>
      <w:bookmarkEnd w:id="1360"/>
      <w:bookmarkEnd w:id="1361"/>
    </w:p>
    <w:p>
      <w:pPr>
        <w:spacing w:line="540" w:lineRule="exact"/>
        <w:rPr>
          <w:sz w:val="24"/>
          <w:szCs w:val="24"/>
          <w:highlight w:val="none"/>
        </w:rPr>
      </w:pPr>
    </w:p>
    <w:p>
      <w:pPr>
        <w:spacing w:line="540" w:lineRule="exact"/>
        <w:rPr>
          <w:rFonts w:hint="eastAsia"/>
          <w:sz w:val="24"/>
          <w:szCs w:val="24"/>
          <w:highlight w:val="none"/>
        </w:rPr>
      </w:pPr>
      <w:r>
        <w:rPr>
          <w:rFonts w:hint="eastAsia"/>
          <w:sz w:val="24"/>
          <w:szCs w:val="24"/>
          <w:highlight w:val="none"/>
          <w:lang w:val="en-US" w:eastAsia="zh-CN"/>
        </w:rPr>
        <w:t>一</w:t>
      </w:r>
      <w:r>
        <w:rPr>
          <w:rFonts w:hint="eastAsia"/>
          <w:sz w:val="24"/>
          <w:szCs w:val="24"/>
          <w:highlight w:val="none"/>
        </w:rPr>
        <w:t>、资格审查资料</w:t>
      </w:r>
    </w:p>
    <w:p>
      <w:pPr>
        <w:spacing w:line="540" w:lineRule="exact"/>
        <w:rPr>
          <w:rFonts w:hint="eastAsia"/>
          <w:sz w:val="24"/>
          <w:szCs w:val="24"/>
          <w:highlight w:val="none"/>
        </w:rPr>
      </w:pPr>
      <w:r>
        <w:rPr>
          <w:rFonts w:hint="eastAsia"/>
          <w:sz w:val="24"/>
          <w:szCs w:val="24"/>
          <w:highlight w:val="none"/>
          <w:lang w:val="en-US" w:eastAsia="zh-CN"/>
        </w:rPr>
        <w:t>二</w:t>
      </w:r>
      <w:r>
        <w:rPr>
          <w:rFonts w:hint="eastAsia"/>
          <w:sz w:val="24"/>
          <w:szCs w:val="24"/>
          <w:highlight w:val="none"/>
        </w:rPr>
        <w:t>、投标函及投标函附录</w:t>
      </w:r>
    </w:p>
    <w:p>
      <w:pPr>
        <w:spacing w:line="540" w:lineRule="exact"/>
        <w:rPr>
          <w:rFonts w:hint="default"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三、开标一览表</w:t>
      </w:r>
    </w:p>
    <w:p>
      <w:pPr>
        <w:spacing w:line="540" w:lineRule="exact"/>
        <w:rPr>
          <w:rFonts w:hint="default"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四</w:t>
      </w:r>
      <w:r>
        <w:rPr>
          <w:rFonts w:hint="eastAsia" w:ascii="Times New Roman" w:hAnsi="Times New Roman" w:eastAsia="宋体"/>
          <w:sz w:val="24"/>
          <w:szCs w:val="24"/>
          <w:highlight w:val="none"/>
        </w:rPr>
        <w:t>、</w:t>
      </w:r>
      <w:r>
        <w:rPr>
          <w:rFonts w:hint="eastAsia" w:ascii="Times New Roman" w:hAnsi="Times New Roman" w:eastAsia="宋体"/>
          <w:sz w:val="24"/>
          <w:szCs w:val="24"/>
          <w:highlight w:val="none"/>
          <w:lang w:val="en-US" w:eastAsia="zh-CN"/>
        </w:rPr>
        <w:t>已标价工程量清单</w:t>
      </w:r>
    </w:p>
    <w:p>
      <w:pPr>
        <w:spacing w:line="540" w:lineRule="exact"/>
        <w:rPr>
          <w:rFonts w:hint="eastAsia" w:ascii="Times New Roman" w:hAnsi="Times New Roman" w:eastAsia="宋体"/>
          <w:sz w:val="24"/>
          <w:szCs w:val="24"/>
          <w:highlight w:val="none"/>
        </w:rPr>
      </w:pPr>
      <w:r>
        <w:rPr>
          <w:rFonts w:hint="eastAsia" w:ascii="Times New Roman" w:hAnsi="Times New Roman" w:eastAsia="宋体"/>
          <w:sz w:val="24"/>
          <w:szCs w:val="24"/>
          <w:highlight w:val="none"/>
          <w:lang w:val="en-US" w:eastAsia="zh-CN"/>
        </w:rPr>
        <w:t>五</w:t>
      </w:r>
      <w:r>
        <w:rPr>
          <w:rFonts w:hint="eastAsia" w:ascii="Times New Roman" w:hAnsi="Times New Roman" w:eastAsia="宋体"/>
          <w:sz w:val="24"/>
          <w:szCs w:val="24"/>
          <w:highlight w:val="none"/>
        </w:rPr>
        <w:t>、施工组织设计</w:t>
      </w:r>
    </w:p>
    <w:p>
      <w:pPr>
        <w:spacing w:line="540" w:lineRule="exact"/>
        <w:rPr>
          <w:rFonts w:hint="eastAsia" w:ascii="Times New Roman" w:hAnsi="Times New Roman" w:eastAsia="宋体"/>
          <w:sz w:val="24"/>
          <w:szCs w:val="24"/>
          <w:highlight w:val="none"/>
        </w:rPr>
      </w:pPr>
      <w:r>
        <w:rPr>
          <w:rFonts w:hint="eastAsia" w:ascii="Times New Roman" w:hAnsi="Times New Roman" w:eastAsia="宋体"/>
          <w:sz w:val="24"/>
          <w:szCs w:val="24"/>
          <w:highlight w:val="none"/>
          <w:lang w:val="en-US" w:eastAsia="zh-CN"/>
        </w:rPr>
        <w:t>六</w:t>
      </w:r>
      <w:r>
        <w:rPr>
          <w:rFonts w:hint="eastAsia" w:ascii="Times New Roman" w:hAnsi="Times New Roman" w:eastAsia="宋体"/>
          <w:sz w:val="24"/>
          <w:szCs w:val="24"/>
          <w:highlight w:val="none"/>
        </w:rPr>
        <w:t>、项目管理机构</w:t>
      </w:r>
    </w:p>
    <w:p>
      <w:pPr>
        <w:spacing w:line="540" w:lineRule="exact"/>
        <w:rPr>
          <w:rFonts w:hint="eastAsia" w:ascii="Times New Roman" w:hAnsi="Times New Roman" w:eastAsia="宋体"/>
          <w:sz w:val="24"/>
          <w:szCs w:val="24"/>
          <w:highlight w:val="none"/>
        </w:rPr>
      </w:pPr>
      <w:r>
        <w:rPr>
          <w:rFonts w:hint="eastAsia" w:ascii="Times New Roman" w:hAnsi="Times New Roman" w:eastAsia="宋体"/>
          <w:sz w:val="24"/>
          <w:szCs w:val="24"/>
          <w:highlight w:val="none"/>
          <w:lang w:val="en-US" w:eastAsia="zh-CN"/>
        </w:rPr>
        <w:t>七</w:t>
      </w:r>
      <w:r>
        <w:rPr>
          <w:rFonts w:hint="eastAsia" w:ascii="Times New Roman" w:hAnsi="Times New Roman" w:eastAsia="宋体"/>
          <w:sz w:val="24"/>
          <w:szCs w:val="24"/>
          <w:highlight w:val="none"/>
        </w:rPr>
        <w:t>、其他材料</w:t>
      </w:r>
    </w:p>
    <w:p>
      <w:pPr>
        <w:spacing w:line="540" w:lineRule="exact"/>
        <w:rPr>
          <w:rFonts w:hint="eastAsia" w:ascii="Times New Roman" w:hAnsi="Times New Roman" w:eastAsia="宋体"/>
          <w:sz w:val="24"/>
          <w:szCs w:val="24"/>
          <w:highlight w:val="none"/>
        </w:rPr>
      </w:pPr>
      <w:r>
        <w:rPr>
          <w:rFonts w:hint="eastAsia" w:ascii="Times New Roman" w:hAnsi="Times New Roman" w:eastAsia="宋体"/>
          <w:sz w:val="24"/>
          <w:szCs w:val="24"/>
          <w:highlight w:val="none"/>
          <w:lang w:val="en-US" w:eastAsia="zh-CN"/>
        </w:rPr>
        <w:t>八、投标</w:t>
      </w:r>
      <w:r>
        <w:rPr>
          <w:rFonts w:hint="eastAsia" w:ascii="Times New Roman" w:hAnsi="Times New Roman" w:eastAsia="宋体"/>
          <w:sz w:val="24"/>
          <w:szCs w:val="24"/>
          <w:highlight w:val="none"/>
        </w:rPr>
        <w:t>供应商认为必要说明的其它内容</w:t>
      </w:r>
    </w:p>
    <w:p>
      <w:pPr>
        <w:spacing w:line="440" w:lineRule="exact"/>
        <w:jc w:val="center"/>
        <w:rPr>
          <w:rFonts w:hint="eastAsia" w:ascii="黑体" w:hAnsi="仿宋" w:eastAsia="黑体" w:cs="仿宋"/>
          <w:b/>
          <w:bCs w:val="0"/>
          <w:kern w:val="2"/>
          <w:sz w:val="32"/>
          <w:szCs w:val="32"/>
          <w:highlight w:val="none"/>
          <w:lang w:val="en-US" w:eastAsia="zh-CN" w:bidi="ar-SA"/>
        </w:rPr>
      </w:pPr>
      <w:r>
        <w:rPr>
          <w:szCs w:val="21"/>
          <w:highlight w:val="none"/>
        </w:rPr>
        <w:br w:type="page"/>
      </w:r>
      <w:bookmarkStart w:id="1362" w:name="_Toc179632827"/>
      <w:bookmarkStart w:id="1363" w:name="_Toc152042596"/>
      <w:bookmarkStart w:id="1364" w:name="_Toc144974875"/>
      <w:bookmarkStart w:id="1365" w:name="_Toc152045807"/>
      <w:bookmarkStart w:id="1366" w:name="_Toc144974857"/>
      <w:bookmarkStart w:id="1367" w:name="_Toc152045788"/>
      <w:bookmarkStart w:id="1368" w:name="_Toc152042577"/>
      <w:bookmarkStart w:id="1369" w:name="_Toc179632808"/>
      <w:r>
        <w:rPr>
          <w:rFonts w:hint="eastAsia" w:ascii="黑体" w:hAnsi="仿宋" w:eastAsia="黑体" w:cs="仿宋"/>
          <w:b/>
          <w:bCs w:val="0"/>
          <w:kern w:val="2"/>
          <w:sz w:val="32"/>
          <w:szCs w:val="32"/>
          <w:highlight w:val="none"/>
          <w:lang w:val="en-US" w:eastAsia="zh-CN" w:bidi="ar-SA"/>
        </w:rPr>
        <w:t>一、资格审查资料</w:t>
      </w:r>
      <w:bookmarkEnd w:id="1362"/>
      <w:bookmarkEnd w:id="1363"/>
      <w:bookmarkEnd w:id="1364"/>
      <w:bookmarkEnd w:id="1365"/>
    </w:p>
    <w:p>
      <w:pPr>
        <w:spacing w:line="360" w:lineRule="auto"/>
        <w:ind w:firstLine="400" w:firstLineChars="200"/>
        <w:rPr>
          <w:rFonts w:ascii="宋体" w:cs="Times New Roman"/>
          <w:b/>
          <w:bCs/>
          <w:sz w:val="24"/>
          <w:szCs w:val="24"/>
          <w:highlight w:val="none"/>
        </w:rPr>
      </w:pPr>
      <w:r>
        <w:rPr>
          <w:rFonts w:eastAsia="黑体"/>
          <w:sz w:val="20"/>
          <w:szCs w:val="20"/>
          <w:highlight w:val="none"/>
        </w:rPr>
        <w:br w:type="page"/>
      </w:r>
      <w:bookmarkStart w:id="1370" w:name="_Toc152042602"/>
      <w:bookmarkStart w:id="1371" w:name="_Toc179632833"/>
      <w:bookmarkStart w:id="1372" w:name="_Toc152045813"/>
      <w:bookmarkStart w:id="1373" w:name="_Toc144974881"/>
      <w:r>
        <w:rPr>
          <w:rFonts w:hint="eastAsia" w:ascii="宋体" w:hAnsi="宋体" w:eastAsia="黑体" w:cs="宋体"/>
          <w:b/>
          <w:bCs/>
          <w:sz w:val="24"/>
          <w:szCs w:val="24"/>
          <w:highlight w:val="none"/>
          <w:lang w:val="en-US" w:eastAsia="zh-CN"/>
        </w:rPr>
        <w:t>1.</w:t>
      </w:r>
      <w:r>
        <w:rPr>
          <w:rFonts w:hint="eastAsia" w:ascii="宋体" w:hAnsi="宋体" w:cs="宋体"/>
          <w:b/>
          <w:bCs/>
          <w:sz w:val="24"/>
          <w:szCs w:val="24"/>
          <w:highlight w:val="none"/>
        </w:rPr>
        <w:t>供应商资格声明</w:t>
      </w:r>
    </w:p>
    <w:p>
      <w:pPr>
        <w:spacing w:line="360" w:lineRule="auto"/>
        <w:ind w:firstLine="480" w:firstLineChars="200"/>
        <w:rPr>
          <w:rFonts w:ascii="宋体" w:cs="Times New Roman"/>
          <w:sz w:val="24"/>
          <w:szCs w:val="24"/>
          <w:highlight w:val="none"/>
        </w:rPr>
      </w:pPr>
    </w:p>
    <w:p>
      <w:pPr>
        <w:spacing w:line="360" w:lineRule="auto"/>
        <w:jc w:val="center"/>
        <w:outlineLvl w:val="9"/>
        <w:rPr>
          <w:rFonts w:ascii="黑体" w:hAnsi="仿宋" w:eastAsia="黑体" w:cs="Times New Roman"/>
          <w:sz w:val="32"/>
          <w:szCs w:val="32"/>
          <w:highlight w:val="none"/>
        </w:rPr>
      </w:pPr>
      <w:bookmarkStart w:id="1374" w:name="_Toc31760"/>
      <w:bookmarkStart w:id="1375" w:name="_Toc31302"/>
      <w:bookmarkStart w:id="1376" w:name="_Toc483349440"/>
      <w:bookmarkStart w:id="1377" w:name="_Toc1595"/>
      <w:bookmarkStart w:id="1378" w:name="_Toc13613"/>
      <w:bookmarkStart w:id="1379" w:name="_Toc7768"/>
      <w:bookmarkStart w:id="1380" w:name="_Toc17578"/>
      <w:bookmarkStart w:id="1381" w:name="_Toc11569"/>
      <w:bookmarkStart w:id="1382" w:name="_Toc10679"/>
      <w:bookmarkStart w:id="1383" w:name="_Toc12178"/>
      <w:bookmarkStart w:id="1384" w:name="_Toc26036"/>
      <w:bookmarkStart w:id="1385" w:name="_Toc27579"/>
      <w:r>
        <w:rPr>
          <w:rFonts w:hint="eastAsia" w:ascii="黑体" w:hAnsi="仿宋" w:eastAsia="黑体" w:cs="黑体"/>
          <w:sz w:val="32"/>
          <w:szCs w:val="32"/>
          <w:highlight w:val="none"/>
        </w:rPr>
        <w:t>供应商资格声明（格式）</w:t>
      </w:r>
      <w:bookmarkEnd w:id="1374"/>
      <w:bookmarkEnd w:id="1375"/>
      <w:bookmarkEnd w:id="1376"/>
      <w:bookmarkEnd w:id="1377"/>
      <w:bookmarkEnd w:id="1378"/>
      <w:bookmarkEnd w:id="1379"/>
      <w:bookmarkEnd w:id="1380"/>
      <w:bookmarkEnd w:id="1381"/>
      <w:bookmarkEnd w:id="1382"/>
      <w:bookmarkEnd w:id="1383"/>
      <w:bookmarkEnd w:id="1384"/>
      <w:bookmarkEnd w:id="1385"/>
    </w:p>
    <w:p>
      <w:pPr>
        <w:spacing w:line="360" w:lineRule="auto"/>
        <w:ind w:firstLine="359" w:firstLineChars="171"/>
        <w:rPr>
          <w:rFonts w:ascii="宋体" w:cs="Times New Roman"/>
          <w:highlight w:val="none"/>
        </w:rPr>
      </w:pPr>
    </w:p>
    <w:p>
      <w:pPr>
        <w:spacing w:line="360" w:lineRule="auto"/>
        <w:rPr>
          <w:rFonts w:ascii="宋体" w:cs="Times New Roman"/>
          <w:b/>
          <w:bCs/>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rPr>
        <w:t>陕西德勤招标有限公司</w:t>
      </w:r>
    </w:p>
    <w:p>
      <w:pPr>
        <w:spacing w:line="360" w:lineRule="auto"/>
        <w:ind w:firstLine="480" w:firstLineChars="200"/>
        <w:rPr>
          <w:rFonts w:ascii="宋体" w:cs="Times New Roman"/>
          <w:sz w:val="24"/>
          <w:szCs w:val="24"/>
          <w:highlight w:val="none"/>
        </w:rPr>
      </w:pPr>
      <w:bookmarkStart w:id="1386" w:name="_Toc9625"/>
      <w:r>
        <w:rPr>
          <w:rFonts w:hint="eastAsia" w:ascii="宋体" w:hAnsi="宋体" w:cs="宋体"/>
          <w:sz w:val="24"/>
          <w:szCs w:val="24"/>
          <w:highlight w:val="none"/>
        </w:rPr>
        <w:t>作为参加贵公司组织的公开招标项目的投标供应商，本公司郑重声明</w:t>
      </w:r>
      <w:r>
        <w:rPr>
          <w:rFonts w:hint="eastAsia" w:ascii="宋体" w:hAnsi="宋体" w:cs="宋体"/>
          <w:b/>
          <w:bCs/>
          <w:sz w:val="24"/>
          <w:szCs w:val="24"/>
          <w:highlight w:val="none"/>
          <w:u w:val="single"/>
        </w:rPr>
        <w:t>我方符合招标文件中“供应商资格要求”规定的条件</w:t>
      </w:r>
      <w:r>
        <w:rPr>
          <w:rFonts w:hint="eastAsia" w:ascii="宋体" w:hAnsi="宋体" w:cs="宋体"/>
          <w:sz w:val="24"/>
          <w:szCs w:val="24"/>
          <w:highlight w:val="none"/>
        </w:rPr>
        <w:t>，申告并承诺如下：</w:t>
      </w:r>
      <w:bookmarkEnd w:id="1386"/>
    </w:p>
    <w:p>
      <w:pPr>
        <w:spacing w:line="360" w:lineRule="auto"/>
        <w:ind w:firstLine="480" w:firstLineChars="200"/>
        <w:rPr>
          <w:rFonts w:hint="eastAsia" w:ascii="宋体" w:hAnsi="宋体" w:cs="宋体"/>
          <w:sz w:val="24"/>
          <w:highlight w:val="none"/>
        </w:rPr>
      </w:pPr>
      <w:bookmarkStart w:id="1387" w:name="_Toc6132"/>
      <w:r>
        <w:rPr>
          <w:rFonts w:hint="eastAsia" w:ascii="宋体" w:hAnsi="宋体" w:cs="宋体"/>
          <w:sz w:val="24"/>
          <w:highlight w:val="none"/>
        </w:rPr>
        <w:t>1.</w:t>
      </w:r>
      <w:r>
        <w:rPr>
          <w:rFonts w:hint="eastAsia" w:ascii="宋体" w:hAnsi="宋体" w:cs="宋体"/>
          <w:sz w:val="24"/>
          <w:highlight w:val="none"/>
          <w:lang w:eastAsia="zh-CN"/>
        </w:rPr>
        <w:t>我方</w:t>
      </w:r>
      <w:r>
        <w:rPr>
          <w:rFonts w:hint="eastAsia" w:ascii="宋体" w:hAnsi="宋体" w:cs="宋体"/>
          <w:sz w:val="24"/>
          <w:highlight w:val="none"/>
        </w:rPr>
        <w:t>具有独立承担民事责任的能力，且是中华人民共和国境内注册的法人、其他组织或自然人；</w:t>
      </w:r>
    </w:p>
    <w:p>
      <w:pP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我方具有良好的商业信誉和健全的财务会计制度；</w:t>
      </w:r>
      <w:bookmarkEnd w:id="1387"/>
    </w:p>
    <w:p>
      <w:pPr>
        <w:spacing w:line="360" w:lineRule="auto"/>
        <w:ind w:firstLine="480" w:firstLineChars="200"/>
        <w:rPr>
          <w:rFonts w:hint="eastAsia" w:ascii="宋体" w:hAnsi="宋体" w:cs="宋体"/>
          <w:sz w:val="24"/>
          <w:szCs w:val="24"/>
          <w:highlight w:val="none"/>
        </w:rPr>
      </w:pPr>
      <w:r>
        <w:rPr>
          <w:rFonts w:hint="eastAsia" w:ascii="宋体" w:hAnsi="宋体" w:cs="宋体"/>
          <w:sz w:val="24"/>
          <w:highlight w:val="none"/>
        </w:rPr>
        <w:t>3.</w:t>
      </w:r>
      <w:r>
        <w:rPr>
          <w:rFonts w:hint="eastAsia" w:ascii="宋体" w:hAnsi="宋体" w:cs="宋体"/>
          <w:sz w:val="24"/>
          <w:highlight w:val="none"/>
          <w:lang w:eastAsia="zh-CN"/>
        </w:rPr>
        <w:t>我方</w:t>
      </w:r>
      <w:r>
        <w:rPr>
          <w:rFonts w:hint="eastAsia" w:ascii="宋体" w:hAnsi="宋体" w:cs="宋体"/>
          <w:sz w:val="24"/>
          <w:highlight w:val="none"/>
        </w:rPr>
        <w:t>具有履行合同所必须的设备和专业技术能力；</w:t>
      </w:r>
    </w:p>
    <w:p>
      <w:pPr>
        <w:spacing w:line="360" w:lineRule="auto"/>
        <w:ind w:firstLine="480" w:firstLineChars="200"/>
        <w:rPr>
          <w:rFonts w:ascii="宋体" w:cs="Times New Roman"/>
          <w:sz w:val="24"/>
          <w:szCs w:val="24"/>
          <w:highlight w:val="none"/>
        </w:rPr>
      </w:pPr>
      <w:bookmarkStart w:id="1388" w:name="_Toc28571"/>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我方具有依法缴纳税收和社会保障资金的良好记录；</w:t>
      </w:r>
      <w:bookmarkEnd w:id="1388"/>
    </w:p>
    <w:p>
      <w:pPr>
        <w:spacing w:line="360" w:lineRule="auto"/>
        <w:ind w:firstLine="480" w:firstLineChars="200"/>
        <w:rPr>
          <w:rFonts w:ascii="宋体" w:cs="Times New Roman"/>
          <w:sz w:val="24"/>
          <w:szCs w:val="24"/>
          <w:highlight w:val="none"/>
        </w:rPr>
      </w:pPr>
      <w:bookmarkStart w:id="1389" w:name="_Toc12509"/>
      <w:r>
        <w:rPr>
          <w:rFonts w:hint="eastAsia" w:ascii="宋体" w:hAnsi="宋体" w:cs="宋体"/>
          <w:sz w:val="24"/>
          <w:szCs w:val="24"/>
          <w:highlight w:val="none"/>
        </w:rPr>
        <w:t>5</w:t>
      </w:r>
      <w:r>
        <w:rPr>
          <w:rFonts w:ascii="宋体" w:hAnsi="宋体" w:cs="宋体"/>
          <w:sz w:val="24"/>
          <w:szCs w:val="24"/>
          <w:highlight w:val="none"/>
        </w:rPr>
        <w:t>.</w:t>
      </w:r>
      <w:r>
        <w:rPr>
          <w:rFonts w:hint="eastAsia" w:ascii="宋体" w:hAnsi="宋体" w:cs="宋体"/>
          <w:sz w:val="24"/>
          <w:szCs w:val="24"/>
          <w:highlight w:val="none"/>
        </w:rPr>
        <w:t>我方参加本次政府采购活动前三年内，在经营活动中没有重大违法记录；</w:t>
      </w:r>
      <w:bookmarkEnd w:id="1389"/>
    </w:p>
    <w:p>
      <w:pPr>
        <w:spacing w:line="360" w:lineRule="auto"/>
        <w:ind w:firstLine="480" w:firstLineChars="200"/>
        <w:rPr>
          <w:rFonts w:ascii="宋体" w:cs="Times New Roman"/>
          <w:sz w:val="24"/>
          <w:szCs w:val="24"/>
          <w:highlight w:val="none"/>
        </w:rPr>
      </w:pPr>
      <w:bookmarkStart w:id="1390" w:name="_Toc26359"/>
      <w:r>
        <w:rPr>
          <w:rFonts w:hint="eastAsia" w:ascii="宋体" w:hAnsi="宋体" w:cs="宋体"/>
          <w:sz w:val="24"/>
          <w:szCs w:val="24"/>
          <w:highlight w:val="none"/>
        </w:rPr>
        <w:t>6</w:t>
      </w:r>
      <w:r>
        <w:rPr>
          <w:rFonts w:ascii="宋体" w:hAnsi="宋体" w:cs="宋体"/>
          <w:sz w:val="24"/>
          <w:szCs w:val="24"/>
          <w:highlight w:val="none"/>
        </w:rPr>
        <w:t>.</w:t>
      </w:r>
      <w:r>
        <w:rPr>
          <w:rFonts w:hint="eastAsia" w:ascii="宋体" w:hAnsi="宋体" w:cs="宋体"/>
          <w:sz w:val="24"/>
          <w:szCs w:val="24"/>
          <w:highlight w:val="none"/>
        </w:rPr>
        <w:t>我方具有法律、行政法规规定的其他条件；</w:t>
      </w:r>
      <w:bookmarkEnd w:id="1390"/>
    </w:p>
    <w:p>
      <w:pPr>
        <w:spacing w:line="360" w:lineRule="auto"/>
        <w:ind w:firstLine="480" w:firstLineChars="200"/>
        <w:rPr>
          <w:rFonts w:ascii="宋体" w:cs="Times New Roman"/>
          <w:sz w:val="24"/>
          <w:szCs w:val="24"/>
          <w:highlight w:val="none"/>
        </w:rPr>
      </w:pPr>
      <w:bookmarkStart w:id="1391" w:name="_Toc6905"/>
      <w:r>
        <w:rPr>
          <w:rFonts w:hint="eastAsia" w:ascii="宋体" w:hAnsi="宋体" w:cs="宋体"/>
          <w:sz w:val="24"/>
          <w:szCs w:val="24"/>
          <w:highlight w:val="none"/>
        </w:rPr>
        <w:t>7</w:t>
      </w:r>
      <w:r>
        <w:rPr>
          <w:rFonts w:ascii="宋体" w:hAnsi="宋体" w:cs="宋体"/>
          <w:sz w:val="24"/>
          <w:szCs w:val="24"/>
          <w:highlight w:val="none"/>
        </w:rPr>
        <w:t>.</w:t>
      </w:r>
      <w:r>
        <w:rPr>
          <w:rFonts w:hint="eastAsia" w:ascii="宋体" w:hAnsi="宋体" w:cs="宋体"/>
          <w:sz w:val="24"/>
          <w:szCs w:val="24"/>
          <w:highlight w:val="none"/>
        </w:rPr>
        <w:t>我方具备采购人根据采购项目提出的特殊条件（如果有）。</w:t>
      </w:r>
      <w:bookmarkEnd w:id="1391"/>
    </w:p>
    <w:p>
      <w:pPr>
        <w:spacing w:line="360" w:lineRule="auto"/>
        <w:ind w:firstLine="480" w:firstLineChars="200"/>
        <w:rPr>
          <w:rFonts w:ascii="宋体" w:cs="Times New Roman"/>
          <w:sz w:val="24"/>
          <w:szCs w:val="24"/>
          <w:highlight w:val="none"/>
        </w:rPr>
      </w:pPr>
      <w:bookmarkStart w:id="1392" w:name="_Toc28725"/>
      <w:r>
        <w:rPr>
          <w:rFonts w:hint="eastAsia" w:ascii="宋体" w:hAnsi="宋体" w:cs="宋体"/>
          <w:sz w:val="24"/>
          <w:szCs w:val="24"/>
          <w:highlight w:val="none"/>
        </w:rPr>
        <w:t>相关证明材料附后，如有需要，我方可根据采购人的要求提供更多证明材料，以便核查。</w:t>
      </w:r>
      <w:bookmarkEnd w:id="1392"/>
    </w:p>
    <w:p>
      <w:pPr>
        <w:spacing w:line="360" w:lineRule="auto"/>
        <w:ind w:firstLine="482" w:firstLineChars="200"/>
        <w:rPr>
          <w:rFonts w:ascii="宋体" w:cs="Times New Roman"/>
          <w:b/>
          <w:bCs/>
          <w:sz w:val="24"/>
          <w:szCs w:val="24"/>
          <w:highlight w:val="none"/>
          <w:u w:val="single"/>
        </w:rPr>
      </w:pPr>
      <w:bookmarkStart w:id="1393" w:name="_Toc41"/>
      <w:r>
        <w:rPr>
          <w:rFonts w:hint="eastAsia" w:ascii="宋体" w:hAnsi="宋体" w:cs="宋体"/>
          <w:b/>
          <w:bCs/>
          <w:sz w:val="24"/>
          <w:szCs w:val="24"/>
          <w:highlight w:val="none"/>
          <w:u w:val="single"/>
        </w:rPr>
        <w:t>以上内容如有虚假或与事实不符的，评标委员会可将我方做无效投标处理，相关法律责任和处罚也由我方承担。</w:t>
      </w:r>
      <w:bookmarkEnd w:id="1393"/>
    </w:p>
    <w:p>
      <w:pPr>
        <w:spacing w:line="360" w:lineRule="auto"/>
        <w:ind w:firstLine="480" w:firstLineChars="200"/>
        <w:rPr>
          <w:rFonts w:ascii="宋体" w:cs="Times New Roman"/>
          <w:sz w:val="24"/>
          <w:szCs w:val="24"/>
          <w:highlight w:val="none"/>
        </w:rPr>
      </w:pPr>
    </w:p>
    <w:p>
      <w:pPr>
        <w:spacing w:line="360" w:lineRule="auto"/>
        <w:rPr>
          <w:rFonts w:hint="eastAsia" w:ascii="宋体" w:cs="Times New Roman"/>
          <w:sz w:val="24"/>
          <w:szCs w:val="24"/>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400" w:firstLineChars="200"/>
        <w:rPr>
          <w:rFonts w:hint="eastAsia" w:ascii="宋体" w:hAnsi="宋体" w:cs="宋体"/>
          <w:sz w:val="24"/>
          <w:szCs w:val="24"/>
          <w:highlight w:val="none"/>
        </w:rPr>
      </w:pPr>
      <w:r>
        <w:rPr>
          <w:rFonts w:eastAsia="黑体"/>
          <w:sz w:val="20"/>
          <w:szCs w:val="20"/>
          <w:highlight w:val="none"/>
        </w:rPr>
        <w:br w:type="page"/>
      </w:r>
      <w:r>
        <w:rPr>
          <w:rFonts w:hint="eastAsia" w:ascii="宋体" w:hAnsi="宋体" w:cs="宋体"/>
          <w:sz w:val="24"/>
          <w:szCs w:val="24"/>
          <w:highlight w:val="none"/>
        </w:rPr>
        <w:t>1）企业法人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其他组织</w:t>
      </w:r>
      <w:r>
        <w:rPr>
          <w:rFonts w:hint="eastAsia" w:ascii="宋体" w:hAnsi="宋体" w:cs="宋体"/>
          <w:sz w:val="24"/>
          <w:szCs w:val="24"/>
          <w:highlight w:val="none"/>
        </w:rPr>
        <w:t>营业执照副本</w:t>
      </w:r>
      <w:r>
        <w:rPr>
          <w:rFonts w:hint="eastAsia" w:ascii="宋体" w:hAnsi="宋体" w:cs="宋体"/>
          <w:sz w:val="24"/>
          <w:szCs w:val="24"/>
          <w:highlight w:val="none"/>
          <w:lang w:val="en-US" w:eastAsia="zh-CN"/>
        </w:rPr>
        <w:t>或</w:t>
      </w:r>
      <w:r>
        <w:rPr>
          <w:rFonts w:hint="eastAsia" w:ascii="宋体" w:hAnsi="宋体" w:cs="宋体"/>
          <w:sz w:val="24"/>
          <w:szCs w:val="24"/>
          <w:highlight w:val="none"/>
        </w:rPr>
        <w:t>事业单位法人证书</w:t>
      </w:r>
      <w:r>
        <w:rPr>
          <w:rFonts w:hint="eastAsia" w:ascii="宋体" w:hAnsi="宋体" w:cs="宋体"/>
          <w:sz w:val="24"/>
          <w:szCs w:val="24"/>
          <w:highlight w:val="none"/>
          <w:lang w:eastAsia="zh-CN"/>
        </w:rPr>
        <w:t>，自然人提供身份证明</w:t>
      </w:r>
      <w:r>
        <w:rPr>
          <w:rFonts w:hint="eastAsia" w:ascii="宋体" w:hAnsi="宋体" w:cs="宋体"/>
          <w:sz w:val="24"/>
          <w:szCs w:val="24"/>
          <w:highlight w:val="none"/>
        </w:rPr>
        <w:t>（复印件加盖投标供应商公章）；</w:t>
      </w:r>
    </w:p>
    <w:p>
      <w:pPr>
        <w:spacing w:line="360" w:lineRule="auto"/>
        <w:rPr>
          <w:rFonts w:hint="eastAsia" w:ascii="宋体" w:hAnsi="宋体" w:cs="宋体"/>
          <w:sz w:val="24"/>
          <w:szCs w:val="24"/>
          <w:highlight w:val="none"/>
        </w:rPr>
      </w:pP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2022年度经审计的财务报告（成立时间至开标会议日期不足一年的投标供应商可提供成立后任意时段的资产负债表）（复印件加盖投标供应商公章）；</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或在开标会议日期前六个月内其基本存款账户开户银行出具的资信证明（原件）；</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或在开标会议日期前六个月内信用担保机构出具的投标担保函（原件）；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（以上三种形式的资料提供任何一种即可）</w:t>
      </w:r>
    </w:p>
    <w:p>
      <w:pPr>
        <w:spacing w:line="360" w:lineRule="auto"/>
        <w:ind w:firstLine="480" w:firstLineChars="200"/>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3）开标会议日期前十二个月任意</w:t>
      </w:r>
      <w:r>
        <w:rPr>
          <w:rFonts w:hint="eastAsia" w:ascii="宋体" w:hAnsi="宋体" w:cs="宋体"/>
          <w:sz w:val="24"/>
          <w:szCs w:val="24"/>
          <w:highlight w:val="none"/>
          <w:lang w:eastAsia="zh-CN"/>
        </w:rPr>
        <w:t>一</w:t>
      </w:r>
      <w:r>
        <w:rPr>
          <w:rFonts w:hint="eastAsia" w:ascii="宋体" w:hAnsi="宋体" w:cs="宋体"/>
          <w:sz w:val="24"/>
          <w:szCs w:val="24"/>
          <w:highlight w:val="none"/>
        </w:rPr>
        <w:t>个月缴税凭据（复印件加盖投标供应商公章）（依法免税的投标供应商应提供相应文件证明）；</w:t>
      </w:r>
    </w:p>
    <w:p>
      <w:pPr>
        <w:spacing w:line="360" w:lineRule="auto"/>
        <w:ind w:firstLine="480" w:firstLineChars="200"/>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4）开标会议日期前十二个月任意</w:t>
      </w:r>
      <w:r>
        <w:rPr>
          <w:rFonts w:hint="eastAsia" w:ascii="宋体" w:hAnsi="宋体" w:cs="宋体"/>
          <w:sz w:val="24"/>
          <w:szCs w:val="24"/>
          <w:highlight w:val="none"/>
          <w:lang w:eastAsia="zh-CN"/>
        </w:rPr>
        <w:t>一</w:t>
      </w:r>
      <w:r>
        <w:rPr>
          <w:rFonts w:hint="eastAsia" w:ascii="宋体" w:hAnsi="宋体" w:cs="宋体"/>
          <w:sz w:val="24"/>
          <w:szCs w:val="24"/>
          <w:highlight w:val="none"/>
        </w:rPr>
        <w:t>个月缴纳社会保险的凭据（专用收据或社会保险缴纳清单或其他证明材料）（复印件加盖投标供应商公章）（依法不需要缴纳社会保障资金的投标供应商应提供相应文件证明）。</w:t>
      </w:r>
    </w:p>
    <w:p>
      <w:pPr>
        <w:topLinePunct/>
        <w:spacing w:line="440" w:lineRule="exact"/>
        <w:jc w:val="left"/>
        <w:rPr>
          <w:rFonts w:hint="eastAsia" w:ascii="宋体" w:hAnsi="宋体" w:eastAsia="宋体" w:cs="宋体"/>
          <w:b/>
          <w:bCs/>
          <w:sz w:val="24"/>
          <w:szCs w:val="24"/>
          <w:highlight w:val="none"/>
          <w:lang w:val="en-US" w:eastAsia="zh-CN"/>
        </w:rPr>
      </w:pPr>
      <w:r>
        <w:rPr>
          <w:rFonts w:eastAsia="黑体"/>
          <w:sz w:val="20"/>
          <w:szCs w:val="20"/>
          <w:highlight w:val="none"/>
        </w:rPr>
        <w:br w:type="page"/>
      </w:r>
      <w:r>
        <w:rPr>
          <w:rFonts w:hint="eastAsia" w:eastAsia="黑体"/>
          <w:sz w:val="20"/>
          <w:szCs w:val="20"/>
          <w:highlight w:val="none"/>
          <w:lang w:val="en-US" w:eastAsia="zh-CN"/>
        </w:rPr>
        <w:t xml:space="preserve">    </w:t>
      </w:r>
      <w:r>
        <w:rPr>
          <w:rFonts w:hint="eastAsia" w:ascii="宋体" w:hAnsi="宋体" w:eastAsia="宋体" w:cs="宋体"/>
          <w:b/>
          <w:bCs/>
          <w:sz w:val="24"/>
          <w:szCs w:val="24"/>
          <w:highlight w:val="none"/>
          <w:lang w:val="en-US" w:eastAsia="zh-CN"/>
        </w:rPr>
        <w:t>2.建筑工程总承包二级及以上资质证书和特种专业工程专业承包资质证书（建筑物结构补强）（复印件加盖投标供应商公章）；</w:t>
      </w:r>
    </w:p>
    <w:p>
      <w:pPr>
        <w:topLinePunct/>
        <w:spacing w:line="440" w:lineRule="exact"/>
        <w:jc w:val="left"/>
        <w:rPr>
          <w:rFonts w:hint="eastAsia" w:ascii="宋体" w:hAnsi="宋体" w:eastAsia="宋体" w:cs="宋体"/>
          <w:b/>
          <w:bCs/>
          <w:sz w:val="24"/>
          <w:szCs w:val="24"/>
          <w:highlight w:val="red"/>
          <w:lang w:val="en-US" w:eastAsia="zh-CN"/>
        </w:rPr>
      </w:pPr>
      <w:r>
        <w:rPr>
          <w:rFonts w:hint="eastAsia" w:ascii="宋体" w:hAnsi="宋体" w:eastAsia="宋体" w:cs="宋体"/>
          <w:b/>
          <w:bCs/>
          <w:sz w:val="24"/>
          <w:szCs w:val="24"/>
          <w:highlight w:val="none"/>
          <w:lang w:val="en-US" w:eastAsia="zh-CN"/>
        </w:rPr>
        <w:br w:type="page"/>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lang w:val="en-US" w:eastAsia="zh-CN"/>
        </w:rPr>
        <w:t>3.具有建设行政主管部门颁发的安全生产许可证（复印件加盖投标供应商公章）；</w:t>
      </w:r>
    </w:p>
    <w:p>
      <w:pPr>
        <w:topLinePunct/>
        <w:spacing w:line="440" w:lineRule="exact"/>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lang w:val="en-US" w:eastAsia="zh-CN"/>
        </w:rPr>
        <w:t>4.供应商拟派项目经理建筑工程专业二级及以上建造师资格证书（复印件加盖投标供应商公章）,有效的安全生产考核合格证书（建安B证）（复印件加盖投标供应商公章），且未担任其他在建工程项目的项目经理（提供无在建工程承诺书）；</w:t>
      </w:r>
    </w:p>
    <w:p>
      <w:pPr>
        <w:topLinePunct/>
        <w:spacing w:line="440" w:lineRule="exact"/>
        <w:jc w:val="left"/>
        <w:rPr>
          <w:rFonts w:hint="eastAsia" w:ascii="宋体" w:hAnsi="宋体" w:eastAsia="宋体" w:cs="宋体"/>
          <w:b/>
          <w:bCs/>
          <w:sz w:val="24"/>
          <w:szCs w:val="24"/>
          <w:highlight w:val="none"/>
          <w:lang w:val="en-US" w:eastAsia="zh-CN"/>
        </w:rPr>
      </w:pPr>
    </w:p>
    <w:p>
      <w:pPr>
        <w:bidi w:val="0"/>
        <w:jc w:val="both"/>
        <w:rPr>
          <w:rFonts w:hint="default" w:ascii="Calibri" w:hAnsi="Calibri" w:eastAsia="黑体"/>
          <w:sz w:val="20"/>
          <w:szCs w:val="20"/>
          <w:highlight w:val="none"/>
          <w:lang w:val="en-US" w:eastAsia="zh-CN"/>
        </w:rPr>
      </w:pPr>
      <w:r>
        <w:rPr>
          <w:rFonts w:hint="eastAsia" w:ascii="宋体" w:hAnsi="宋体" w:eastAsia="宋体" w:cs="宋体"/>
          <w:b/>
          <w:bCs/>
          <w:sz w:val="24"/>
          <w:szCs w:val="24"/>
          <w:highlight w:val="none"/>
          <w:lang w:val="en-US" w:eastAsia="zh-CN"/>
        </w:rPr>
        <w:br w:type="page"/>
      </w:r>
      <w:bookmarkStart w:id="1394" w:name="_Toc179632811"/>
      <w:bookmarkStart w:id="1395" w:name="_Toc152045791"/>
      <w:bookmarkStart w:id="1396" w:name="_Toc144974860"/>
      <w:bookmarkStart w:id="1397" w:name="_Toc152042580"/>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lang w:val="en-GB" w:eastAsia="zh-CN"/>
        </w:rPr>
        <w:t>保证金汇款声明函</w:t>
      </w:r>
      <w:r>
        <w:rPr>
          <w:rFonts w:hint="eastAsia" w:ascii="宋体" w:hAnsi="宋体" w:eastAsia="宋体" w:cs="宋体"/>
          <w:b/>
          <w:bCs/>
          <w:sz w:val="24"/>
          <w:szCs w:val="24"/>
          <w:highlight w:val="none"/>
          <w:lang w:val="en-US" w:eastAsia="zh-CN"/>
        </w:rPr>
        <w:t>/保函</w:t>
      </w:r>
    </w:p>
    <w:p>
      <w:pPr>
        <w:spacing w:line="440" w:lineRule="exact"/>
        <w:rPr>
          <w:sz w:val="24"/>
          <w:szCs w:val="24"/>
          <w:highlight w:val="none"/>
        </w:rPr>
      </w:pPr>
    </w:p>
    <w:p>
      <w:pPr>
        <w:spacing w:line="360" w:lineRule="atLeast"/>
        <w:jc w:val="center"/>
        <w:rPr>
          <w:rFonts w:ascii="黑体" w:hAnsi="仿宋" w:eastAsia="黑体" w:cs="Times New Roman"/>
          <w:b/>
          <w:bCs/>
          <w:sz w:val="24"/>
          <w:szCs w:val="24"/>
          <w:highlight w:val="none"/>
          <w:lang w:val="en-GB"/>
        </w:rPr>
      </w:pPr>
      <w:r>
        <w:rPr>
          <w:rFonts w:hint="eastAsia" w:ascii="黑体" w:hAnsi="仿宋" w:eastAsia="黑体" w:cs="黑体"/>
          <w:sz w:val="32"/>
          <w:szCs w:val="32"/>
          <w:highlight w:val="none"/>
          <w:lang w:val="en-GB"/>
        </w:rPr>
        <w:t>保证金汇款声明函（</w:t>
      </w:r>
      <w:r>
        <w:rPr>
          <w:rFonts w:hint="eastAsia" w:ascii="黑体" w:hAnsi="仿宋" w:eastAsia="黑体" w:cs="黑体"/>
          <w:sz w:val="32"/>
          <w:szCs w:val="32"/>
          <w:highlight w:val="none"/>
        </w:rPr>
        <w:t>格式</w:t>
      </w:r>
      <w:r>
        <w:rPr>
          <w:rFonts w:hint="eastAsia" w:ascii="黑体" w:hAnsi="仿宋" w:eastAsia="黑体" w:cs="黑体"/>
          <w:sz w:val="32"/>
          <w:szCs w:val="32"/>
          <w:highlight w:val="none"/>
          <w:lang w:val="en-GB"/>
        </w:rPr>
        <w:t>）</w:t>
      </w:r>
    </w:p>
    <w:p>
      <w:pPr>
        <w:pStyle w:val="19"/>
        <w:spacing w:line="500" w:lineRule="exact"/>
        <w:rPr>
          <w:sz w:val="24"/>
          <w:szCs w:val="24"/>
          <w:highlight w:val="none"/>
        </w:rPr>
      </w:pPr>
      <w:r>
        <w:rPr>
          <w:rFonts w:hint="eastAsia" w:hAnsi="宋体"/>
          <w:sz w:val="24"/>
          <w:szCs w:val="24"/>
          <w:highlight w:val="none"/>
        </w:rPr>
        <w:t>致：</w:t>
      </w:r>
      <w:r>
        <w:rPr>
          <w:rFonts w:hint="eastAsia" w:hAnsi="宋体"/>
          <w:b/>
          <w:bCs/>
          <w:sz w:val="24"/>
          <w:szCs w:val="24"/>
          <w:highlight w:val="none"/>
        </w:rPr>
        <w:t>陕西德勤招标有限公司</w:t>
      </w:r>
    </w:p>
    <w:p>
      <w:pPr>
        <w:pStyle w:val="19"/>
        <w:spacing w:line="500" w:lineRule="exact"/>
        <w:ind w:firstLine="480"/>
        <w:rPr>
          <w:sz w:val="24"/>
          <w:szCs w:val="24"/>
          <w:highlight w:val="none"/>
        </w:rPr>
      </w:pPr>
      <w:r>
        <w:rPr>
          <w:rFonts w:hint="eastAsia" w:hAnsi="宋体"/>
          <w:sz w:val="24"/>
          <w:szCs w:val="24"/>
          <w:highlight w:val="none"/>
        </w:rPr>
        <w:t>我方为</w:t>
      </w:r>
      <w:r>
        <w:rPr>
          <w:rFonts w:hAnsi="宋体"/>
          <w:sz w:val="24"/>
          <w:szCs w:val="24"/>
          <w:highlight w:val="none"/>
          <w:u w:val="single"/>
        </w:rPr>
        <w:t xml:space="preserve">          </w:t>
      </w:r>
      <w:r>
        <w:rPr>
          <w:rFonts w:hint="eastAsia" w:hAnsi="宋体"/>
          <w:sz w:val="24"/>
          <w:szCs w:val="24"/>
          <w:highlight w:val="none"/>
          <w:u w:val="single"/>
        </w:rPr>
        <w:t>项目</w:t>
      </w:r>
      <w:r>
        <w:rPr>
          <w:rFonts w:hint="eastAsia" w:hAnsi="宋体"/>
          <w:sz w:val="24"/>
          <w:szCs w:val="24"/>
          <w:highlight w:val="none"/>
        </w:rPr>
        <w:t>（</w:t>
      </w:r>
      <w:r>
        <w:rPr>
          <w:rFonts w:hint="eastAsia" w:hAnsi="宋体"/>
          <w:sz w:val="24"/>
          <w:szCs w:val="24"/>
          <w:highlight w:val="none"/>
          <w:u w:val="single"/>
        </w:rPr>
        <w:t>项目编号：</w:t>
      </w:r>
      <w:r>
        <w:rPr>
          <w:rFonts w:hAnsi="宋体"/>
          <w:sz w:val="24"/>
          <w:szCs w:val="24"/>
          <w:highlight w:val="none"/>
          <w:u w:val="single"/>
        </w:rPr>
        <w:t xml:space="preserve">        </w:t>
      </w:r>
      <w:r>
        <w:rPr>
          <w:rFonts w:hint="eastAsia" w:hAnsi="宋体"/>
          <w:sz w:val="24"/>
          <w:szCs w:val="24"/>
          <w:highlight w:val="none"/>
        </w:rPr>
        <w:t>）递交</w:t>
      </w:r>
      <w:r>
        <w:rPr>
          <w:rFonts w:hint="eastAsia" w:hAnsi="宋体"/>
          <w:sz w:val="24"/>
          <w:szCs w:val="24"/>
          <w:highlight w:val="none"/>
          <w:lang w:val="en-US" w:eastAsia="zh-CN"/>
        </w:rPr>
        <w:t>投标</w:t>
      </w:r>
      <w:r>
        <w:rPr>
          <w:rFonts w:hint="eastAsia" w:hAnsi="宋体"/>
          <w:sz w:val="24"/>
          <w:szCs w:val="24"/>
          <w:highlight w:val="none"/>
        </w:rPr>
        <w:t>保证金人民币</w:t>
      </w:r>
      <w:r>
        <w:rPr>
          <w:rFonts w:hAnsi="宋体"/>
          <w:sz w:val="24"/>
          <w:szCs w:val="24"/>
          <w:highlight w:val="none"/>
          <w:u w:val="single"/>
        </w:rPr>
        <w:t xml:space="preserve">            </w:t>
      </w:r>
      <w:r>
        <w:rPr>
          <w:rFonts w:hint="eastAsia" w:hAnsi="宋体"/>
          <w:sz w:val="24"/>
          <w:szCs w:val="24"/>
          <w:highlight w:val="none"/>
        </w:rPr>
        <w:t>元（大写：人民币</w:t>
      </w:r>
      <w:r>
        <w:rPr>
          <w:rFonts w:hAnsi="宋体"/>
          <w:sz w:val="24"/>
          <w:szCs w:val="24"/>
          <w:highlight w:val="none"/>
          <w:u w:val="single"/>
        </w:rPr>
        <w:t xml:space="preserve">                </w:t>
      </w:r>
      <w:r>
        <w:rPr>
          <w:rFonts w:hint="eastAsia" w:hAnsi="宋体"/>
          <w:sz w:val="24"/>
          <w:szCs w:val="24"/>
          <w:highlight w:val="none"/>
        </w:rPr>
        <w:t>元）已于</w:t>
      </w:r>
      <w:r>
        <w:rPr>
          <w:rFonts w:hAnsi="宋体"/>
          <w:sz w:val="24"/>
          <w:szCs w:val="24"/>
          <w:highlight w:val="none"/>
          <w:u w:val="single"/>
        </w:rPr>
        <w:t xml:space="preserve">    </w:t>
      </w:r>
      <w:r>
        <w:rPr>
          <w:rFonts w:hint="eastAsia" w:hAnsi="宋体"/>
          <w:sz w:val="24"/>
          <w:szCs w:val="24"/>
          <w:highlight w:val="none"/>
        </w:rPr>
        <w:t>年</w:t>
      </w:r>
      <w:r>
        <w:rPr>
          <w:rFonts w:hAnsi="宋体"/>
          <w:sz w:val="24"/>
          <w:szCs w:val="24"/>
          <w:highlight w:val="none"/>
          <w:u w:val="single"/>
        </w:rPr>
        <w:t xml:space="preserve">   </w:t>
      </w:r>
      <w:r>
        <w:rPr>
          <w:rFonts w:hint="eastAsia" w:hAnsi="宋体"/>
          <w:sz w:val="24"/>
          <w:szCs w:val="24"/>
          <w:highlight w:val="none"/>
        </w:rPr>
        <w:t>月</w:t>
      </w:r>
      <w:r>
        <w:rPr>
          <w:rFonts w:hAnsi="宋体"/>
          <w:sz w:val="24"/>
          <w:szCs w:val="24"/>
          <w:highlight w:val="none"/>
          <w:u w:val="single"/>
        </w:rPr>
        <w:t xml:space="preserve">   </w:t>
      </w:r>
      <w:r>
        <w:rPr>
          <w:rFonts w:hint="eastAsia" w:hAnsi="宋体"/>
          <w:sz w:val="24"/>
          <w:szCs w:val="24"/>
          <w:highlight w:val="none"/>
        </w:rPr>
        <w:t>日以银行主动划账方式划入你方账户。</w:t>
      </w:r>
    </w:p>
    <w:p>
      <w:pPr>
        <w:pStyle w:val="19"/>
        <w:spacing w:line="500" w:lineRule="exact"/>
        <w:ind w:firstLine="480"/>
        <w:rPr>
          <w:b/>
          <w:bCs/>
          <w:sz w:val="24"/>
          <w:szCs w:val="24"/>
          <w:highlight w:val="none"/>
          <w:u w:val="single"/>
        </w:rPr>
      </w:pPr>
      <w:r>
        <w:rPr>
          <w:rFonts w:hint="eastAsia" w:hAnsi="宋体"/>
          <w:b/>
          <w:bCs/>
          <w:sz w:val="24"/>
          <w:szCs w:val="24"/>
          <w:highlight w:val="none"/>
          <w:u w:val="single"/>
        </w:rPr>
        <w:t>详见附件：银行出具的汇款单或转账凭证复印件。</w:t>
      </w:r>
    </w:p>
    <w:p>
      <w:pPr>
        <w:pStyle w:val="19"/>
        <w:spacing w:line="500" w:lineRule="exact"/>
        <w:ind w:left="-120" w:leftChars="-57" w:firstLine="600" w:firstLineChars="250"/>
        <w:rPr>
          <w:b/>
          <w:bCs/>
          <w:sz w:val="24"/>
          <w:szCs w:val="24"/>
          <w:highlight w:val="none"/>
          <w:u w:val="single"/>
        </w:rPr>
      </w:pPr>
      <w:r>
        <w:rPr>
          <w:rFonts w:hint="eastAsia" w:hAnsi="宋体"/>
          <w:sz w:val="24"/>
          <w:szCs w:val="24"/>
          <w:highlight w:val="none"/>
        </w:rPr>
        <w:t>我方理解并保证：</w:t>
      </w:r>
      <w:r>
        <w:rPr>
          <w:rFonts w:hint="eastAsia" w:hAnsi="宋体"/>
          <w:b/>
          <w:bCs/>
          <w:sz w:val="24"/>
          <w:szCs w:val="24"/>
          <w:highlight w:val="none"/>
          <w:u w:val="single"/>
          <w:lang w:val="en-US" w:eastAsia="zh-CN"/>
        </w:rPr>
        <w:t>投标</w:t>
      </w:r>
      <w:r>
        <w:rPr>
          <w:rFonts w:hint="eastAsia" w:hAnsi="宋体"/>
          <w:b/>
          <w:bCs/>
          <w:sz w:val="24"/>
          <w:szCs w:val="24"/>
          <w:highlight w:val="none"/>
          <w:u w:val="single"/>
        </w:rPr>
        <w:t>保证金应在</w:t>
      </w:r>
      <w:r>
        <w:rPr>
          <w:rFonts w:hint="eastAsia" w:hAnsi="宋体"/>
          <w:b/>
          <w:bCs/>
          <w:sz w:val="24"/>
          <w:szCs w:val="24"/>
          <w:highlight w:val="none"/>
          <w:u w:val="single"/>
          <w:lang w:val="en-US" w:eastAsia="zh-CN"/>
        </w:rPr>
        <w:t>招标</w:t>
      </w:r>
      <w:r>
        <w:rPr>
          <w:rFonts w:hint="eastAsia" w:hAnsi="宋体"/>
          <w:b/>
          <w:bCs/>
          <w:sz w:val="24"/>
          <w:szCs w:val="24"/>
          <w:highlight w:val="none"/>
          <w:u w:val="single"/>
        </w:rPr>
        <w:t>文件规定的时间到达贵方指定的账户，对于</w:t>
      </w:r>
      <w:r>
        <w:rPr>
          <w:rFonts w:hint="eastAsia" w:hAnsi="宋体"/>
          <w:b/>
          <w:bCs/>
          <w:sz w:val="24"/>
          <w:szCs w:val="24"/>
          <w:highlight w:val="none"/>
          <w:u w:val="single"/>
          <w:lang w:val="en-US" w:eastAsia="zh-CN"/>
        </w:rPr>
        <w:t>投标</w:t>
      </w:r>
      <w:r>
        <w:rPr>
          <w:rFonts w:hint="eastAsia" w:hAnsi="宋体"/>
          <w:b/>
          <w:bCs/>
          <w:sz w:val="24"/>
          <w:szCs w:val="24"/>
          <w:highlight w:val="none"/>
          <w:u w:val="single"/>
        </w:rPr>
        <w:t>保证金未在</w:t>
      </w:r>
      <w:r>
        <w:rPr>
          <w:rFonts w:hint="eastAsia" w:hAnsi="宋体"/>
          <w:b/>
          <w:bCs/>
          <w:sz w:val="24"/>
          <w:szCs w:val="24"/>
          <w:highlight w:val="none"/>
          <w:u w:val="single"/>
          <w:lang w:val="en-US" w:eastAsia="zh-CN"/>
        </w:rPr>
        <w:t>招标</w:t>
      </w:r>
      <w:r>
        <w:rPr>
          <w:rFonts w:hint="eastAsia" w:hAnsi="宋体"/>
          <w:b/>
          <w:bCs/>
          <w:sz w:val="24"/>
          <w:szCs w:val="24"/>
          <w:highlight w:val="none"/>
          <w:u w:val="single"/>
        </w:rPr>
        <w:t>文件规定的时间到达贵方指定的账户而有可能导致的</w:t>
      </w:r>
      <w:r>
        <w:rPr>
          <w:rFonts w:hint="eastAsia" w:hAnsi="宋体"/>
          <w:b/>
          <w:bCs/>
          <w:sz w:val="24"/>
          <w:szCs w:val="24"/>
          <w:highlight w:val="none"/>
          <w:u w:val="single"/>
          <w:lang w:val="en-US" w:eastAsia="zh-CN"/>
        </w:rPr>
        <w:t>投标</w:t>
      </w:r>
      <w:r>
        <w:rPr>
          <w:rFonts w:hint="eastAsia" w:hAnsi="宋体"/>
          <w:b/>
          <w:bCs/>
          <w:sz w:val="24"/>
          <w:szCs w:val="24"/>
          <w:highlight w:val="none"/>
          <w:u w:val="single"/>
        </w:rPr>
        <w:t>无效，责任由我方承担。</w:t>
      </w:r>
    </w:p>
    <w:p>
      <w:pPr>
        <w:pStyle w:val="19"/>
        <w:spacing w:line="500" w:lineRule="exact"/>
        <w:ind w:left="-120" w:leftChars="-57" w:firstLine="602" w:firstLineChars="250"/>
        <w:rPr>
          <w:b/>
          <w:bCs/>
          <w:sz w:val="24"/>
          <w:szCs w:val="24"/>
          <w:highlight w:val="none"/>
          <w:u w:val="single"/>
        </w:rPr>
      </w:pPr>
      <w:r>
        <w:rPr>
          <w:rFonts w:hint="eastAsia" w:hAnsi="宋体"/>
          <w:b/>
          <w:bCs/>
          <w:sz w:val="24"/>
          <w:szCs w:val="24"/>
          <w:highlight w:val="none"/>
          <w:u w:val="single"/>
        </w:rPr>
        <w:t>退还保证金时请按转出原账户划入我方账户。</w:t>
      </w:r>
    </w:p>
    <w:p>
      <w:pPr>
        <w:pStyle w:val="19"/>
        <w:spacing w:line="500" w:lineRule="exact"/>
        <w:ind w:left="-120" w:leftChars="-57" w:firstLine="600" w:firstLineChars="250"/>
        <w:rPr>
          <w:sz w:val="24"/>
          <w:szCs w:val="24"/>
          <w:highlight w:val="none"/>
        </w:rPr>
      </w:pPr>
    </w:p>
    <w:p>
      <w:pPr>
        <w:pStyle w:val="19"/>
        <w:spacing w:line="500" w:lineRule="exact"/>
        <w:ind w:left="-120" w:leftChars="-57" w:firstLine="600" w:firstLineChars="250"/>
        <w:rPr>
          <w:sz w:val="24"/>
          <w:szCs w:val="24"/>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1" w:hRule="atLeast"/>
          <w:jc w:val="center"/>
        </w:trPr>
        <w:tc>
          <w:tcPr>
            <w:tcW w:w="8860" w:type="dxa"/>
            <w:noWrap w:val="0"/>
            <w:vAlign w:val="center"/>
          </w:tcPr>
          <w:p>
            <w:pPr>
              <w:pStyle w:val="19"/>
              <w:spacing w:line="500" w:lineRule="exact"/>
              <w:jc w:val="center"/>
              <w:rPr>
                <w:rFonts w:hAnsi="宋体"/>
                <w:kern w:val="2"/>
                <w:sz w:val="24"/>
                <w:szCs w:val="24"/>
                <w:highlight w:val="none"/>
                <w:lang w:val="en-US" w:eastAsia="zh-CN"/>
              </w:rPr>
            </w:pPr>
            <w:r>
              <w:rPr>
                <w:rFonts w:hint="eastAsia" w:hAnsi="宋体" w:cs="宋体"/>
                <w:kern w:val="2"/>
                <w:sz w:val="24"/>
                <w:szCs w:val="24"/>
                <w:highlight w:val="none"/>
                <w:lang w:val="en-US" w:eastAsia="zh-CN"/>
              </w:rPr>
              <w:t>凭证复印件（加盖公章）。</w:t>
            </w:r>
          </w:p>
        </w:tc>
      </w:tr>
    </w:tbl>
    <w:p>
      <w:pPr>
        <w:pStyle w:val="19"/>
        <w:spacing w:line="500" w:lineRule="exact"/>
        <w:ind w:left="-120" w:leftChars="-57" w:firstLine="600" w:firstLineChars="250"/>
        <w:rPr>
          <w:sz w:val="24"/>
          <w:szCs w:val="24"/>
          <w:highlight w:val="none"/>
        </w:rPr>
      </w:pPr>
    </w:p>
    <w:p>
      <w:pPr>
        <w:pStyle w:val="19"/>
        <w:spacing w:line="500" w:lineRule="exact"/>
        <w:ind w:left="-120" w:leftChars="-57" w:firstLine="600" w:firstLineChars="250"/>
        <w:rPr>
          <w:sz w:val="24"/>
          <w:szCs w:val="24"/>
          <w:highlight w:val="none"/>
        </w:rPr>
      </w:pPr>
    </w:p>
    <w:p>
      <w:pPr>
        <w:pStyle w:val="19"/>
        <w:spacing w:line="500" w:lineRule="exact"/>
        <w:ind w:left="-120" w:leftChars="-57" w:firstLine="600" w:firstLineChars="250"/>
        <w:rPr>
          <w:sz w:val="24"/>
          <w:szCs w:val="24"/>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rPr>
          <w:szCs w:val="21"/>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tLeast"/>
        <w:jc w:val="center"/>
        <w:rPr>
          <w:rFonts w:hint="eastAsia" w:ascii="黑体" w:hAnsi="仿宋" w:eastAsia="黑体" w:cs="黑体"/>
          <w:sz w:val="32"/>
          <w:szCs w:val="32"/>
          <w:highlight w:val="none"/>
          <w:lang w:val="en-GB"/>
        </w:rPr>
      </w:pPr>
      <w:r>
        <w:rPr>
          <w:rFonts w:eastAsia="黑体"/>
          <w:sz w:val="20"/>
          <w:szCs w:val="20"/>
          <w:highlight w:val="none"/>
        </w:rPr>
        <w:br w:type="page"/>
      </w:r>
      <w:r>
        <w:rPr>
          <w:rFonts w:hint="eastAsia" w:ascii="黑体" w:hAnsi="仿宋" w:eastAsia="黑体" w:cs="黑体"/>
          <w:sz w:val="32"/>
          <w:szCs w:val="32"/>
          <w:highlight w:val="none"/>
          <w:lang w:val="en-GB"/>
        </w:rPr>
        <w:t>保</w:t>
      </w:r>
      <w:r>
        <w:rPr>
          <w:rFonts w:hint="eastAsia" w:ascii="黑体" w:hAnsi="仿宋" w:eastAsia="黑体" w:cs="黑体"/>
          <w:sz w:val="32"/>
          <w:szCs w:val="32"/>
          <w:highlight w:val="none"/>
        </w:rPr>
        <w:t>函</w:t>
      </w:r>
      <w:r>
        <w:rPr>
          <w:rFonts w:hint="eastAsia" w:ascii="黑体" w:hAnsi="仿宋" w:eastAsia="黑体" w:cs="黑体"/>
          <w:sz w:val="32"/>
          <w:szCs w:val="32"/>
          <w:highlight w:val="none"/>
          <w:lang w:val="en-GB"/>
        </w:rPr>
        <w:t>（</w:t>
      </w:r>
      <w:r>
        <w:rPr>
          <w:rFonts w:hint="eastAsia" w:ascii="黑体" w:hAnsi="仿宋" w:eastAsia="黑体" w:cs="黑体"/>
          <w:sz w:val="32"/>
          <w:szCs w:val="32"/>
          <w:highlight w:val="none"/>
        </w:rPr>
        <w:t>原件</w:t>
      </w:r>
      <w:r>
        <w:rPr>
          <w:rFonts w:hint="eastAsia" w:ascii="黑体" w:hAnsi="仿宋" w:eastAsia="黑体" w:cs="黑体"/>
          <w:sz w:val="32"/>
          <w:szCs w:val="32"/>
          <w:highlight w:val="none"/>
          <w:lang w:val="en-GB"/>
        </w:rPr>
        <w:t>）</w:t>
      </w:r>
    </w:p>
    <w:p>
      <w:pPr>
        <w:bidi w:val="0"/>
        <w:jc w:val="center"/>
        <w:rPr>
          <w:rFonts w:hint="eastAsia" w:ascii="黑体" w:hAnsi="仿宋" w:eastAsia="黑体" w:cs="黑体"/>
          <w:sz w:val="24"/>
          <w:szCs w:val="24"/>
          <w:highlight w:val="none"/>
          <w:u w:val="single"/>
          <w:lang w:val="en-GB"/>
        </w:rPr>
      </w:pPr>
      <w:r>
        <w:rPr>
          <w:rFonts w:hint="eastAsia" w:ascii="黑体" w:hAnsi="仿宋" w:eastAsia="黑体" w:cs="黑体"/>
          <w:sz w:val="24"/>
          <w:szCs w:val="24"/>
          <w:highlight w:val="none"/>
          <w:u w:val="single"/>
          <w:lang w:val="en-GB"/>
        </w:rPr>
        <w:t>（</w:t>
      </w:r>
      <w:r>
        <w:rPr>
          <w:rFonts w:hint="eastAsia" w:ascii="黑体" w:hAnsi="仿宋" w:eastAsia="黑体" w:cs="黑体"/>
          <w:sz w:val="24"/>
          <w:szCs w:val="24"/>
          <w:highlight w:val="none"/>
          <w:u w:val="single"/>
        </w:rPr>
        <w:t>以保函形式提交投标保证金时提供</w:t>
      </w:r>
      <w:r>
        <w:rPr>
          <w:rFonts w:hint="eastAsia" w:ascii="黑体" w:hAnsi="仿宋" w:eastAsia="黑体" w:cs="黑体"/>
          <w:sz w:val="24"/>
          <w:szCs w:val="24"/>
          <w:highlight w:val="none"/>
          <w:u w:val="single"/>
          <w:lang w:val="en-GB"/>
        </w:rPr>
        <w:t>）</w:t>
      </w:r>
    </w:p>
    <w:p>
      <w:pPr>
        <w:spacing w:line="440" w:lineRule="exact"/>
        <w:jc w:val="both"/>
        <w:rPr>
          <w:rFonts w:hint="default" w:ascii="宋体" w:hAnsi="宋体" w:eastAsia="宋体" w:cs="宋体"/>
          <w:b/>
          <w:bCs/>
          <w:sz w:val="24"/>
          <w:szCs w:val="24"/>
          <w:highlight w:val="none"/>
          <w:lang w:val="en-US" w:eastAsia="zh-CN"/>
        </w:rPr>
      </w:pPr>
      <w:r>
        <w:rPr>
          <w:rFonts w:hint="eastAsia" w:ascii="黑体" w:hAnsi="仿宋" w:eastAsia="黑体" w:cs="黑体"/>
          <w:sz w:val="24"/>
          <w:szCs w:val="24"/>
          <w:highlight w:val="none"/>
          <w:u w:val="single"/>
          <w:lang w:val="en-GB"/>
        </w:rPr>
        <w:br w:type="page"/>
      </w:r>
      <w:r>
        <w:rPr>
          <w:rFonts w:hint="eastAsia" w:ascii="黑体" w:hAnsi="仿宋" w:eastAsia="黑体" w:cs="黑体"/>
          <w:sz w:val="24"/>
          <w:szCs w:val="24"/>
          <w:highlight w:val="none"/>
          <w:u w:val="none"/>
          <w:lang w:val="en-US" w:eastAsia="zh-CN"/>
        </w:rPr>
        <w:t xml:space="preserve">    </w:t>
      </w:r>
      <w:r>
        <w:rPr>
          <w:rFonts w:hint="eastAsia" w:ascii="宋体" w:hAnsi="宋体" w:eastAsia="宋体" w:cs="宋体"/>
          <w:b/>
          <w:bCs/>
          <w:sz w:val="24"/>
          <w:szCs w:val="24"/>
          <w:highlight w:val="none"/>
          <w:lang w:val="en-US" w:eastAsia="zh-CN"/>
        </w:rPr>
        <w:t>6.法定代表人授权书/法定代表人证明书</w:t>
      </w:r>
    </w:p>
    <w:bookmarkEnd w:id="1394"/>
    <w:bookmarkEnd w:id="1395"/>
    <w:bookmarkEnd w:id="1396"/>
    <w:bookmarkEnd w:id="1397"/>
    <w:p>
      <w:pPr>
        <w:spacing w:line="360" w:lineRule="auto"/>
        <w:jc w:val="center"/>
        <w:outlineLvl w:val="9"/>
        <w:rPr>
          <w:rFonts w:ascii="黑体" w:hAnsi="仿宋" w:eastAsia="黑体" w:cs="Times New Roman"/>
          <w:sz w:val="32"/>
          <w:szCs w:val="32"/>
        </w:rPr>
      </w:pPr>
      <w:bookmarkStart w:id="1398" w:name="_Toc22198"/>
      <w:bookmarkStart w:id="1399" w:name="_Toc29613"/>
      <w:bookmarkStart w:id="1400" w:name="_Toc22704"/>
      <w:bookmarkStart w:id="1401" w:name="_Toc31865"/>
      <w:bookmarkStart w:id="1402" w:name="_Toc6945"/>
      <w:bookmarkStart w:id="1403" w:name="_Toc13597"/>
      <w:bookmarkStart w:id="1404" w:name="_Toc14081"/>
      <w:bookmarkStart w:id="1405" w:name="_Toc12905"/>
      <w:bookmarkStart w:id="1406" w:name="_Toc23557"/>
      <w:bookmarkStart w:id="1407" w:name="_Toc483349441"/>
      <w:bookmarkStart w:id="1408" w:name="_Toc26738"/>
      <w:bookmarkStart w:id="1409" w:name="_Toc29800"/>
      <w:r>
        <w:rPr>
          <w:rFonts w:hint="eastAsia" w:ascii="黑体" w:hAnsi="仿宋" w:eastAsia="黑体" w:cs="黑体"/>
          <w:sz w:val="32"/>
          <w:szCs w:val="32"/>
        </w:rPr>
        <w:t>法定代表人授权书（格式）</w:t>
      </w:r>
      <w:bookmarkEnd w:id="1398"/>
      <w:bookmarkEnd w:id="1399"/>
      <w:bookmarkEnd w:id="1400"/>
      <w:bookmarkEnd w:id="1401"/>
      <w:bookmarkEnd w:id="1402"/>
      <w:bookmarkEnd w:id="1403"/>
      <w:bookmarkEnd w:id="1404"/>
      <w:bookmarkEnd w:id="1405"/>
      <w:bookmarkEnd w:id="1406"/>
      <w:bookmarkEnd w:id="1407"/>
      <w:bookmarkEnd w:id="1408"/>
      <w:bookmarkEnd w:id="1409"/>
    </w:p>
    <w:p>
      <w:pPr>
        <w:spacing w:line="360" w:lineRule="auto"/>
        <w:jc w:val="center"/>
        <w:rPr>
          <w:rFonts w:ascii="黑体" w:hAnsi="仿宋" w:eastAsia="黑体" w:cs="Times New Roman"/>
          <w:sz w:val="32"/>
          <w:szCs w:val="32"/>
        </w:rPr>
      </w:pPr>
      <w:bookmarkStart w:id="1410" w:name="_Toc23888"/>
      <w:r>
        <w:rPr>
          <w:rFonts w:hint="eastAsia" w:ascii="黑体" w:hAnsi="仿宋" w:eastAsia="黑体" w:cs="黑体"/>
          <w:sz w:val="24"/>
          <w:szCs w:val="24"/>
          <w:u w:val="single"/>
        </w:rPr>
        <w:t>（非法定代表人直接参加投标时提供</w:t>
      </w:r>
      <w:r>
        <w:rPr>
          <w:rFonts w:hint="eastAsia" w:ascii="黑体" w:hAnsi="仿宋" w:eastAsia="黑体" w:cs="黑体"/>
          <w:sz w:val="32"/>
          <w:szCs w:val="32"/>
        </w:rPr>
        <w:t>）</w:t>
      </w:r>
      <w:bookmarkEnd w:id="1410"/>
    </w:p>
    <w:p>
      <w:pPr>
        <w:spacing w:line="360" w:lineRule="auto"/>
        <w:rPr>
          <w:rFonts w:ascii="宋体" w:cs="Times New Roman"/>
          <w:b/>
          <w:bCs/>
          <w:sz w:val="24"/>
          <w:szCs w:val="24"/>
        </w:rPr>
      </w:pPr>
      <w:r>
        <w:rPr>
          <w:rFonts w:hint="eastAsia" w:ascii="宋体" w:hAnsi="宋体" w:cs="宋体"/>
          <w:sz w:val="24"/>
          <w:szCs w:val="24"/>
        </w:rPr>
        <w:t>致：</w:t>
      </w:r>
      <w:r>
        <w:rPr>
          <w:rFonts w:hint="eastAsia" w:ascii="宋体" w:hAnsi="宋体" w:cs="宋体"/>
          <w:b/>
          <w:bCs/>
          <w:sz w:val="24"/>
          <w:szCs w:val="24"/>
        </w:rPr>
        <w:t>陕西德勤招标有限公司</w:t>
      </w:r>
    </w:p>
    <w:p>
      <w:pPr>
        <w:pStyle w:val="19"/>
        <w:spacing w:line="500" w:lineRule="exact"/>
        <w:ind w:left="-120" w:leftChars="-57" w:firstLine="600" w:firstLineChars="250"/>
        <w:rPr>
          <w:sz w:val="24"/>
          <w:szCs w:val="24"/>
        </w:rPr>
      </w:pPr>
      <w:r>
        <w:rPr>
          <w:rFonts w:hint="eastAsia" w:hAnsi="宋体"/>
          <w:sz w:val="24"/>
          <w:szCs w:val="24"/>
        </w:rPr>
        <w:t>本授权书声明：注册于（</w:t>
      </w:r>
      <w:r>
        <w:rPr>
          <w:rFonts w:hAnsi="宋体"/>
          <w:sz w:val="24"/>
          <w:szCs w:val="24"/>
          <w:u w:val="single"/>
        </w:rPr>
        <w:t xml:space="preserve"> </w:t>
      </w:r>
      <w:r>
        <w:rPr>
          <w:rFonts w:hint="eastAsia" w:hAnsi="宋体"/>
          <w:sz w:val="24"/>
          <w:szCs w:val="24"/>
          <w:u w:val="single"/>
        </w:rPr>
        <w:t>工商行政管理局名称）之（委托单位全称）</w:t>
      </w:r>
      <w:r>
        <w:rPr>
          <w:rFonts w:hAnsi="宋体"/>
          <w:sz w:val="24"/>
          <w:szCs w:val="24"/>
          <w:u w:val="single"/>
        </w:rPr>
        <w:t xml:space="preserve"> </w:t>
      </w:r>
      <w:r>
        <w:rPr>
          <w:rFonts w:hint="eastAsia" w:hAnsi="宋体"/>
          <w:sz w:val="24"/>
          <w:szCs w:val="24"/>
        </w:rPr>
        <w:t>的法定代表人</w:t>
      </w:r>
      <w:r>
        <w:rPr>
          <w:rFonts w:hint="eastAsia" w:hAnsi="宋体"/>
          <w:sz w:val="24"/>
          <w:szCs w:val="24"/>
          <w:u w:val="single"/>
        </w:rPr>
        <w:t>（姓名、性别）</w:t>
      </w:r>
      <w:r>
        <w:rPr>
          <w:rFonts w:hint="eastAsia" w:hAnsi="宋体"/>
          <w:sz w:val="24"/>
          <w:szCs w:val="24"/>
        </w:rPr>
        <w:t>授权本公司的</w:t>
      </w:r>
      <w:r>
        <w:rPr>
          <w:rFonts w:hint="eastAsia" w:hAnsi="宋体"/>
          <w:sz w:val="24"/>
          <w:szCs w:val="24"/>
          <w:u w:val="single"/>
        </w:rPr>
        <w:t>（被授权人姓名、性别、职务）</w:t>
      </w:r>
      <w:r>
        <w:rPr>
          <w:rFonts w:hint="eastAsia" w:hAnsi="宋体"/>
          <w:sz w:val="24"/>
          <w:szCs w:val="24"/>
        </w:rPr>
        <w:t>为合法代理人，就贵方组织的有关</w:t>
      </w:r>
      <w:r>
        <w:rPr>
          <w:rFonts w:hint="eastAsia" w:hAnsi="宋体"/>
          <w:sz w:val="24"/>
          <w:szCs w:val="24"/>
          <w:u w:val="single"/>
        </w:rPr>
        <w:t>（采购项目名称）</w:t>
      </w:r>
      <w:r>
        <w:rPr>
          <w:rFonts w:hint="eastAsia" w:hAnsi="宋体"/>
          <w:sz w:val="24"/>
          <w:szCs w:val="24"/>
        </w:rPr>
        <w:t>（项目编号：</w:t>
      </w:r>
      <w:r>
        <w:rPr>
          <w:rFonts w:hAnsi="宋体"/>
          <w:sz w:val="24"/>
          <w:szCs w:val="24"/>
          <w:u w:val="single"/>
        </w:rPr>
        <w:t xml:space="preserve">                 </w:t>
      </w:r>
      <w:r>
        <w:rPr>
          <w:rFonts w:hint="eastAsia" w:hAnsi="宋体"/>
          <w:sz w:val="24"/>
          <w:szCs w:val="24"/>
        </w:rPr>
        <w:t>）的响应、洽谈、执行等具体事务，签署全部有关</w:t>
      </w:r>
      <w:r>
        <w:rPr>
          <w:rFonts w:hint="eastAsia" w:hAnsi="宋体"/>
          <w:sz w:val="24"/>
          <w:szCs w:val="24"/>
          <w:lang w:val="en-US" w:eastAsia="zh-CN"/>
        </w:rPr>
        <w:t>投标</w:t>
      </w:r>
      <w:r>
        <w:rPr>
          <w:rFonts w:hint="eastAsia" w:hAnsi="宋体"/>
          <w:sz w:val="24"/>
          <w:szCs w:val="24"/>
        </w:rPr>
        <w:t>文件、文书、协议、合同，本公司对被授权人在本项目中的签名承担全部法律责任。本授权书自</w:t>
      </w:r>
      <w:r>
        <w:rPr>
          <w:rFonts w:hint="eastAsia" w:hAnsi="宋体"/>
          <w:sz w:val="24"/>
          <w:szCs w:val="24"/>
          <w:lang w:val="en-US" w:eastAsia="zh-CN"/>
        </w:rPr>
        <w:t>开标</w:t>
      </w:r>
      <w:r>
        <w:rPr>
          <w:rFonts w:hint="eastAsia" w:hAnsi="宋体"/>
          <w:sz w:val="24"/>
          <w:szCs w:val="24"/>
        </w:rPr>
        <w:t>会议之日起计算有效期为</w:t>
      </w:r>
      <w:r>
        <w:rPr>
          <w:rFonts w:hint="eastAsia" w:hAnsi="宋体"/>
          <w:sz w:val="24"/>
          <w:szCs w:val="24"/>
          <w:u w:val="single"/>
          <w:lang w:val="en-US" w:eastAsia="zh-CN"/>
        </w:rPr>
        <w:t>90</w:t>
      </w:r>
      <w:r>
        <w:rPr>
          <w:rFonts w:hint="eastAsia" w:hAnsi="宋体"/>
          <w:sz w:val="24"/>
          <w:szCs w:val="24"/>
        </w:rPr>
        <w:t>天。</w:t>
      </w:r>
    </w:p>
    <w:p>
      <w:pPr>
        <w:pStyle w:val="19"/>
        <w:spacing w:line="500" w:lineRule="exact"/>
        <w:ind w:firstLine="480" w:firstLineChars="200"/>
        <w:rPr>
          <w:sz w:val="24"/>
          <w:szCs w:val="24"/>
        </w:rPr>
      </w:pPr>
      <w:r>
        <w:rPr>
          <w:rFonts w:hint="eastAsia" w:hAnsi="宋体"/>
          <w:sz w:val="24"/>
          <w:szCs w:val="24"/>
        </w:rPr>
        <w:t>委托单位：</w:t>
      </w:r>
      <w:r>
        <w:rPr>
          <w:rFonts w:hAnsi="宋体"/>
          <w:sz w:val="24"/>
          <w:szCs w:val="24"/>
          <w:u w:val="single"/>
        </w:rPr>
        <w:t xml:space="preserve">    </w:t>
      </w:r>
      <w:r>
        <w:rPr>
          <w:rFonts w:hint="eastAsia" w:hAnsi="宋体"/>
          <w:sz w:val="24"/>
          <w:szCs w:val="24"/>
        </w:rPr>
        <w:t>（公章）</w:t>
      </w:r>
      <w:r>
        <w:rPr>
          <w:rFonts w:hAnsi="宋体"/>
          <w:sz w:val="24"/>
          <w:szCs w:val="24"/>
        </w:rPr>
        <w:t xml:space="preserve">                  </w:t>
      </w:r>
      <w:r>
        <w:rPr>
          <w:rFonts w:hint="eastAsia" w:hAnsi="宋体"/>
          <w:sz w:val="24"/>
          <w:szCs w:val="24"/>
        </w:rPr>
        <w:t>法定代表人（签字）：</w:t>
      </w:r>
    </w:p>
    <w:p>
      <w:pPr>
        <w:pStyle w:val="19"/>
        <w:spacing w:line="500" w:lineRule="exact"/>
        <w:ind w:firstLine="480" w:firstLineChars="200"/>
        <w:rPr>
          <w:sz w:val="24"/>
          <w:szCs w:val="24"/>
        </w:rPr>
      </w:pPr>
      <w:r>
        <w:rPr>
          <w:rFonts w:hint="eastAsia" w:hAnsi="宋体"/>
          <w:sz w:val="24"/>
          <w:szCs w:val="24"/>
        </w:rPr>
        <w:t>签发日期：</w:t>
      </w:r>
      <w:r>
        <w:rPr>
          <w:rFonts w:hAnsi="宋体"/>
          <w:sz w:val="24"/>
          <w:szCs w:val="24"/>
          <w:u w:val="single"/>
        </w:rPr>
        <w:t xml:space="preserve">     </w:t>
      </w:r>
      <w:r>
        <w:rPr>
          <w:rFonts w:hint="eastAsia" w:hAnsi="宋体"/>
          <w:sz w:val="24"/>
          <w:szCs w:val="24"/>
        </w:rPr>
        <w:t>年</w:t>
      </w:r>
      <w:r>
        <w:rPr>
          <w:rFonts w:hAnsi="宋体"/>
          <w:sz w:val="24"/>
          <w:szCs w:val="24"/>
          <w:u w:val="single"/>
        </w:rPr>
        <w:t xml:space="preserve">    </w:t>
      </w:r>
      <w:r>
        <w:rPr>
          <w:rFonts w:hint="eastAsia" w:hAnsi="宋体"/>
          <w:sz w:val="24"/>
          <w:szCs w:val="24"/>
        </w:rPr>
        <w:t>月</w:t>
      </w:r>
      <w:r>
        <w:rPr>
          <w:rFonts w:hAnsi="宋体"/>
          <w:sz w:val="24"/>
          <w:szCs w:val="24"/>
          <w:u w:val="single"/>
        </w:rPr>
        <w:t xml:space="preserve">    </w:t>
      </w:r>
      <w:r>
        <w:rPr>
          <w:rFonts w:hint="eastAsia" w:hAnsi="宋体"/>
          <w:sz w:val="24"/>
          <w:szCs w:val="24"/>
        </w:rPr>
        <w:t>日</w:t>
      </w:r>
    </w:p>
    <w:p>
      <w:pPr>
        <w:pStyle w:val="19"/>
        <w:spacing w:line="500" w:lineRule="exact"/>
        <w:ind w:firstLine="480" w:firstLineChars="200"/>
        <w:rPr>
          <w:sz w:val="24"/>
          <w:szCs w:val="24"/>
        </w:rPr>
      </w:pPr>
      <w:r>
        <w:rPr>
          <w:rFonts w:hint="eastAsia" w:hAnsi="宋体"/>
          <w:sz w:val="24"/>
          <w:szCs w:val="24"/>
        </w:rPr>
        <w:t>附：被授权人姓名（签字）：</w:t>
      </w:r>
      <w:r>
        <w:rPr>
          <w:rFonts w:hAnsi="宋体"/>
          <w:sz w:val="24"/>
          <w:szCs w:val="24"/>
          <w:u w:val="single"/>
        </w:rPr>
        <w:t xml:space="preserve">              </w:t>
      </w:r>
      <w:r>
        <w:rPr>
          <w:rFonts w:hint="eastAsia" w:hAnsi="宋体"/>
          <w:sz w:val="24"/>
          <w:szCs w:val="24"/>
        </w:rPr>
        <w:t>性别：</w:t>
      </w:r>
      <w:r>
        <w:rPr>
          <w:rFonts w:hAnsi="宋体"/>
          <w:sz w:val="24"/>
          <w:szCs w:val="24"/>
          <w:u w:val="single"/>
        </w:rPr>
        <w:t xml:space="preserve">       </w:t>
      </w:r>
      <w:r>
        <w:rPr>
          <w:rFonts w:hint="eastAsia" w:hAnsi="宋体"/>
          <w:sz w:val="24"/>
          <w:szCs w:val="24"/>
        </w:rPr>
        <w:t>职务：</w:t>
      </w:r>
      <w:r>
        <w:rPr>
          <w:rFonts w:hAnsi="宋体"/>
          <w:sz w:val="24"/>
          <w:szCs w:val="24"/>
          <w:u w:val="single"/>
        </w:rPr>
        <w:t xml:space="preserve">             </w:t>
      </w:r>
    </w:p>
    <w:p>
      <w:pPr>
        <w:pStyle w:val="19"/>
        <w:spacing w:line="500" w:lineRule="exact"/>
        <w:ind w:firstLine="960" w:firstLineChars="400"/>
        <w:rPr>
          <w:sz w:val="24"/>
          <w:szCs w:val="24"/>
          <w:u w:val="single"/>
        </w:rPr>
      </w:pPr>
      <w:r>
        <w:rPr>
          <w:rFonts w:hint="eastAsia" w:hAnsi="宋体"/>
          <w:sz w:val="24"/>
          <w:szCs w:val="24"/>
        </w:rPr>
        <w:t>联系地址：</w:t>
      </w:r>
      <w:r>
        <w:rPr>
          <w:rFonts w:hAnsi="宋体"/>
          <w:sz w:val="24"/>
          <w:szCs w:val="24"/>
        </w:rPr>
        <w:t xml:space="preserve">  </w:t>
      </w:r>
      <w:r>
        <w:rPr>
          <w:rFonts w:hAnsi="宋体"/>
          <w:sz w:val="24"/>
          <w:szCs w:val="24"/>
          <w:u w:val="single"/>
        </w:rPr>
        <w:t xml:space="preserve">                                                </w:t>
      </w:r>
    </w:p>
    <w:p>
      <w:pPr>
        <w:pStyle w:val="19"/>
        <w:spacing w:line="500" w:lineRule="exact"/>
        <w:ind w:firstLine="960" w:firstLineChars="400"/>
        <w:rPr>
          <w:sz w:val="24"/>
          <w:szCs w:val="24"/>
          <w:u w:val="single"/>
        </w:rPr>
      </w:pPr>
      <w:r>
        <w:rPr>
          <w:rFonts w:hint="eastAsia" w:hAnsi="宋体"/>
          <w:sz w:val="24"/>
          <w:szCs w:val="24"/>
        </w:rPr>
        <w:t>联系电话：</w:t>
      </w:r>
      <w:r>
        <w:rPr>
          <w:rFonts w:hAnsi="宋体"/>
          <w:sz w:val="24"/>
          <w:szCs w:val="24"/>
          <w:u w:val="single"/>
        </w:rPr>
        <w:t xml:space="preserve">                  </w:t>
      </w:r>
      <w:r>
        <w:rPr>
          <w:rFonts w:hint="eastAsia" w:hAnsi="宋体"/>
          <w:sz w:val="24"/>
          <w:szCs w:val="24"/>
        </w:rPr>
        <w:t>传真：</w:t>
      </w:r>
      <w:r>
        <w:rPr>
          <w:rFonts w:hAnsi="宋体"/>
          <w:sz w:val="24"/>
          <w:szCs w:val="24"/>
        </w:rPr>
        <w:t xml:space="preserve">                          </w:t>
      </w:r>
    </w:p>
    <w:p>
      <w:pPr>
        <w:pStyle w:val="19"/>
        <w:spacing w:line="500" w:lineRule="exact"/>
        <w:ind w:firstLine="2760" w:firstLineChars="1150"/>
        <w:rPr>
          <w:sz w:val="24"/>
          <w:szCs w:val="24"/>
        </w:rPr>
      </w:pPr>
    </w:p>
    <w:p>
      <w:pPr>
        <w:pStyle w:val="19"/>
        <w:spacing w:line="500" w:lineRule="exact"/>
        <w:ind w:firstLine="2760" w:firstLineChars="1150"/>
        <w:rPr>
          <w:sz w:val="24"/>
          <w:szCs w:val="24"/>
        </w:rPr>
      </w:pPr>
      <w:r>
        <w:rPr>
          <w:rFonts w:hint="eastAsia" w:hAnsi="宋体"/>
          <w:sz w:val="24"/>
          <w:szCs w:val="24"/>
        </w:rPr>
        <w:t>法定代表人</w:t>
      </w:r>
      <w:r>
        <w:rPr>
          <w:rFonts w:hAnsi="宋体"/>
          <w:sz w:val="24"/>
          <w:szCs w:val="24"/>
        </w:rPr>
        <w:t>/</w:t>
      </w:r>
      <w:r>
        <w:rPr>
          <w:rFonts w:hint="eastAsia" w:hAnsi="宋体"/>
          <w:sz w:val="24"/>
          <w:szCs w:val="24"/>
        </w:rPr>
        <w:t>被授权人身份证复印件</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3" w:hRule="atLeast"/>
          <w:jc w:val="center"/>
        </w:trPr>
        <w:tc>
          <w:tcPr>
            <w:tcW w:w="4213" w:type="dxa"/>
            <w:shd w:val="clear" w:color="auto" w:fill="E0E0E0"/>
            <w:noWrap w:val="0"/>
            <w:vAlign w:val="center"/>
          </w:tcPr>
          <w:p>
            <w:pPr>
              <w:pStyle w:val="19"/>
              <w:snapToGrid w:val="0"/>
              <w:spacing w:line="500" w:lineRule="exact"/>
              <w:jc w:val="center"/>
              <w:rPr>
                <w:rFonts w:hAnsi="宋体"/>
                <w:kern w:val="2"/>
                <w:sz w:val="24"/>
                <w:szCs w:val="24"/>
                <w:shd w:val="pct10" w:color="auto" w:fill="FFFFFF"/>
                <w:lang w:val="en-US" w:eastAsia="zh-CN"/>
              </w:rPr>
            </w:pPr>
            <w:r>
              <w:rPr>
                <w:rFonts w:hint="eastAsia" w:hAnsi="宋体" w:cs="宋体"/>
                <w:kern w:val="2"/>
                <w:sz w:val="24"/>
                <w:szCs w:val="24"/>
                <w:shd w:val="pct10" w:color="auto" w:fill="FFFFFF"/>
                <w:lang w:val="en-US" w:eastAsia="zh-CN"/>
              </w:rPr>
              <w:t>法定代表人身份证复印件（国徽面）</w:t>
            </w:r>
          </w:p>
        </w:tc>
        <w:tc>
          <w:tcPr>
            <w:tcW w:w="4213" w:type="dxa"/>
            <w:shd w:val="clear" w:color="auto" w:fill="E0E0E0"/>
            <w:noWrap w:val="0"/>
            <w:vAlign w:val="center"/>
          </w:tcPr>
          <w:p>
            <w:pPr>
              <w:pStyle w:val="19"/>
              <w:snapToGrid w:val="0"/>
              <w:spacing w:line="500" w:lineRule="exact"/>
              <w:jc w:val="center"/>
              <w:rPr>
                <w:rFonts w:hAnsi="宋体"/>
                <w:kern w:val="2"/>
                <w:sz w:val="24"/>
                <w:szCs w:val="24"/>
                <w:shd w:val="pct10" w:color="auto" w:fill="FFFFFF"/>
                <w:lang w:val="en-US" w:eastAsia="zh-CN"/>
              </w:rPr>
            </w:pPr>
            <w:r>
              <w:rPr>
                <w:rFonts w:hint="eastAsia" w:hAnsi="宋体" w:cs="宋体"/>
                <w:kern w:val="2"/>
                <w:sz w:val="24"/>
                <w:szCs w:val="24"/>
                <w:shd w:val="pct10" w:color="auto" w:fill="FFFFFF"/>
                <w:lang w:val="en-US" w:eastAsia="zh-CN"/>
              </w:rPr>
              <w:t>被授权人身份证复印件（国徽面）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5" w:hRule="atLeast"/>
          <w:jc w:val="center"/>
        </w:trPr>
        <w:tc>
          <w:tcPr>
            <w:tcW w:w="4213" w:type="dxa"/>
            <w:shd w:val="clear" w:color="auto" w:fill="E0E0E0"/>
            <w:noWrap w:val="0"/>
            <w:vAlign w:val="center"/>
          </w:tcPr>
          <w:p>
            <w:pPr>
              <w:pStyle w:val="19"/>
              <w:snapToGrid w:val="0"/>
              <w:spacing w:line="500" w:lineRule="exact"/>
              <w:jc w:val="center"/>
              <w:rPr>
                <w:rFonts w:hAnsi="宋体"/>
                <w:kern w:val="2"/>
                <w:sz w:val="24"/>
                <w:szCs w:val="24"/>
                <w:shd w:val="pct10" w:color="auto" w:fill="FFFFFF"/>
                <w:lang w:val="en-US" w:eastAsia="zh-CN"/>
              </w:rPr>
            </w:pPr>
            <w:r>
              <w:rPr>
                <w:rFonts w:hint="eastAsia" w:hAnsi="宋体" w:cs="宋体"/>
                <w:kern w:val="2"/>
                <w:sz w:val="24"/>
                <w:szCs w:val="24"/>
                <w:shd w:val="pct10" w:color="auto" w:fill="FFFFFF"/>
                <w:lang w:val="en-US" w:eastAsia="zh-CN"/>
              </w:rPr>
              <w:t>法定代表人身份证复印件（人像面）</w:t>
            </w:r>
          </w:p>
        </w:tc>
        <w:tc>
          <w:tcPr>
            <w:tcW w:w="4213" w:type="dxa"/>
            <w:shd w:val="clear" w:color="auto" w:fill="E0E0E0"/>
            <w:noWrap w:val="0"/>
            <w:vAlign w:val="center"/>
          </w:tcPr>
          <w:p>
            <w:pPr>
              <w:pStyle w:val="19"/>
              <w:snapToGrid w:val="0"/>
              <w:spacing w:line="500" w:lineRule="exact"/>
              <w:jc w:val="center"/>
              <w:rPr>
                <w:rFonts w:hAnsi="宋体"/>
                <w:kern w:val="2"/>
                <w:sz w:val="24"/>
                <w:szCs w:val="24"/>
                <w:shd w:val="pct10" w:color="auto" w:fill="FFFFFF"/>
                <w:lang w:val="en-US" w:eastAsia="zh-CN"/>
              </w:rPr>
            </w:pPr>
            <w:r>
              <w:rPr>
                <w:rFonts w:hint="eastAsia" w:hAnsi="宋体" w:cs="宋体"/>
                <w:kern w:val="2"/>
                <w:sz w:val="24"/>
                <w:szCs w:val="24"/>
                <w:shd w:val="pct10" w:color="auto" w:fill="FFFFFF"/>
                <w:lang w:val="en-US" w:eastAsia="zh-CN"/>
              </w:rPr>
              <w:t>被授权人身份证复印件（人像面）</w:t>
            </w:r>
          </w:p>
        </w:tc>
      </w:tr>
    </w:tbl>
    <w:p>
      <w:pPr>
        <w:spacing w:line="360" w:lineRule="auto"/>
        <w:jc w:val="center"/>
        <w:outlineLvl w:val="9"/>
        <w:rPr>
          <w:rFonts w:hint="eastAsia" w:ascii="黑体" w:hAnsi="仿宋" w:eastAsia="黑体" w:cs="黑体"/>
          <w:sz w:val="32"/>
          <w:szCs w:val="32"/>
        </w:rPr>
      </w:pPr>
      <w:bookmarkStart w:id="1411" w:name="_Toc2580"/>
      <w:bookmarkStart w:id="1412" w:name="_Toc27759"/>
      <w:bookmarkStart w:id="1413" w:name="_Toc28755"/>
      <w:bookmarkStart w:id="1414" w:name="_Toc31371"/>
      <w:bookmarkStart w:id="1415" w:name="_Toc13102"/>
      <w:bookmarkStart w:id="1416" w:name="_Toc2833"/>
      <w:bookmarkStart w:id="1417" w:name="_Toc9801"/>
      <w:bookmarkStart w:id="1418" w:name="_Toc8940"/>
      <w:bookmarkStart w:id="1419" w:name="_Toc771"/>
      <w:bookmarkStart w:id="1420" w:name="_Toc19725"/>
      <w:bookmarkStart w:id="1421" w:name="_Toc24523"/>
      <w:bookmarkStart w:id="1422" w:name="_Toc483349442"/>
    </w:p>
    <w:p>
      <w:pPr>
        <w:spacing w:line="360" w:lineRule="auto"/>
        <w:jc w:val="center"/>
        <w:outlineLvl w:val="9"/>
        <w:rPr>
          <w:rFonts w:ascii="黑体" w:hAnsi="仿宋" w:eastAsia="黑体" w:cs="Times New Roman"/>
          <w:sz w:val="32"/>
          <w:szCs w:val="32"/>
        </w:rPr>
      </w:pPr>
      <w:r>
        <w:rPr>
          <w:rFonts w:hint="eastAsia" w:ascii="黑体" w:hAnsi="仿宋" w:eastAsia="黑体" w:cs="黑体"/>
          <w:sz w:val="32"/>
          <w:szCs w:val="32"/>
        </w:rPr>
        <w:t>法定代表人证明书（格式）</w:t>
      </w:r>
      <w:bookmarkEnd w:id="1411"/>
      <w:bookmarkEnd w:id="1412"/>
      <w:bookmarkEnd w:id="1413"/>
      <w:bookmarkEnd w:id="1414"/>
      <w:bookmarkEnd w:id="1415"/>
      <w:bookmarkEnd w:id="1416"/>
      <w:bookmarkEnd w:id="1417"/>
      <w:bookmarkEnd w:id="1418"/>
      <w:bookmarkEnd w:id="1419"/>
      <w:bookmarkEnd w:id="1420"/>
      <w:bookmarkEnd w:id="1421"/>
      <w:bookmarkEnd w:id="1422"/>
    </w:p>
    <w:p>
      <w:pPr>
        <w:spacing w:line="360" w:lineRule="auto"/>
        <w:jc w:val="center"/>
        <w:rPr>
          <w:rFonts w:ascii="黑体" w:hAnsi="仿宋" w:eastAsia="黑体" w:cs="Times New Roman"/>
          <w:sz w:val="24"/>
          <w:szCs w:val="24"/>
          <w:u w:val="single"/>
        </w:rPr>
      </w:pPr>
      <w:bookmarkStart w:id="1423" w:name="_Toc19528"/>
      <w:bookmarkStart w:id="1424" w:name="_Toc483349443"/>
      <w:r>
        <w:rPr>
          <w:rFonts w:hint="eastAsia" w:ascii="黑体" w:hAnsi="仿宋" w:eastAsia="黑体" w:cs="黑体"/>
          <w:sz w:val="24"/>
          <w:szCs w:val="24"/>
          <w:u w:val="single"/>
        </w:rPr>
        <w:t>（法定代表人直接参加投标时提供）</w:t>
      </w:r>
      <w:bookmarkEnd w:id="1423"/>
      <w:bookmarkEnd w:id="1424"/>
    </w:p>
    <w:p>
      <w:pPr>
        <w:spacing w:line="360" w:lineRule="atLeast"/>
        <w:jc w:val="center"/>
        <w:rPr>
          <w:rFonts w:ascii="黑体" w:hAnsi="仿宋" w:eastAsia="黑体" w:cs="Times New Roman"/>
          <w:b/>
          <w:bCs/>
          <w:sz w:val="24"/>
          <w:szCs w:val="24"/>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noWrap w:val="0"/>
            <w:vAlign w:val="center"/>
          </w:tcPr>
          <w:p>
            <w:pPr>
              <w:tabs>
                <w:tab w:val="left" w:pos="210"/>
              </w:tabs>
              <w:spacing w:line="320" w:lineRule="exact"/>
              <w:rPr>
                <w:rFonts w:ascii="宋体" w:cs="Times New Roman"/>
                <w:kern w:val="0"/>
                <w:sz w:val="24"/>
                <w:szCs w:val="24"/>
              </w:rPr>
            </w:pPr>
            <w:r>
              <w:rPr>
                <w:rFonts w:hint="eastAsia" w:ascii="宋体" w:hAnsi="宋体" w:cs="宋体"/>
                <w:kern w:val="0"/>
                <w:sz w:val="24"/>
                <w:szCs w:val="24"/>
              </w:rPr>
              <w:t>致：陕西德勤招标有限公司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企</w:t>
            </w:r>
          </w:p>
          <w:p>
            <w:pPr>
              <w:tabs>
                <w:tab w:val="left" w:pos="210"/>
              </w:tabs>
              <w:spacing w:line="320" w:lineRule="exact"/>
              <w:jc w:val="center"/>
              <w:rPr>
                <w:rFonts w:ascii="宋体" w:cs="Times New Roman"/>
                <w:kern w:val="0"/>
                <w:sz w:val="24"/>
                <w:szCs w:val="24"/>
              </w:rPr>
            </w:pPr>
          </w:p>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业</w:t>
            </w:r>
          </w:p>
          <w:p>
            <w:pPr>
              <w:tabs>
                <w:tab w:val="left" w:pos="210"/>
              </w:tabs>
              <w:spacing w:line="320" w:lineRule="exact"/>
              <w:jc w:val="center"/>
              <w:rPr>
                <w:rFonts w:ascii="宋体" w:cs="Times New Roman"/>
                <w:kern w:val="0"/>
                <w:sz w:val="24"/>
                <w:szCs w:val="24"/>
              </w:rPr>
            </w:pPr>
          </w:p>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法</w:t>
            </w:r>
          </w:p>
          <w:p>
            <w:pPr>
              <w:tabs>
                <w:tab w:val="left" w:pos="210"/>
              </w:tabs>
              <w:spacing w:line="320" w:lineRule="exact"/>
              <w:jc w:val="center"/>
              <w:rPr>
                <w:rFonts w:ascii="宋体" w:cs="Times New Roman"/>
                <w:kern w:val="0"/>
                <w:sz w:val="24"/>
                <w:szCs w:val="24"/>
              </w:rPr>
            </w:pPr>
          </w:p>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人</w:t>
            </w:r>
          </w:p>
        </w:tc>
        <w:tc>
          <w:tcPr>
            <w:tcW w:w="2065" w:type="dxa"/>
            <w:noWrap w:val="0"/>
            <w:vAlign w:val="center"/>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企业名称</w:t>
            </w:r>
          </w:p>
        </w:tc>
        <w:tc>
          <w:tcPr>
            <w:tcW w:w="6360" w:type="dxa"/>
            <w:gridSpan w:val="4"/>
            <w:noWrap w:val="0"/>
            <w:vAlign w:val="center"/>
          </w:tcPr>
          <w:p>
            <w:pPr>
              <w:tabs>
                <w:tab w:val="left" w:pos="210"/>
              </w:tabs>
              <w:spacing w:line="320" w:lineRule="exact"/>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rPr>
            </w:pPr>
          </w:p>
        </w:tc>
        <w:tc>
          <w:tcPr>
            <w:tcW w:w="2065" w:type="dxa"/>
            <w:noWrap w:val="0"/>
            <w:vAlign w:val="center"/>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法定地址</w:t>
            </w:r>
          </w:p>
        </w:tc>
        <w:tc>
          <w:tcPr>
            <w:tcW w:w="6360" w:type="dxa"/>
            <w:gridSpan w:val="4"/>
            <w:noWrap w:val="0"/>
            <w:vAlign w:val="center"/>
          </w:tcPr>
          <w:p>
            <w:pPr>
              <w:tabs>
                <w:tab w:val="left" w:pos="210"/>
              </w:tabs>
              <w:spacing w:line="320" w:lineRule="exact"/>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rPr>
            </w:pPr>
          </w:p>
        </w:tc>
        <w:tc>
          <w:tcPr>
            <w:tcW w:w="2065" w:type="dxa"/>
            <w:noWrap w:val="0"/>
            <w:vAlign w:val="center"/>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邮政编码</w:t>
            </w:r>
          </w:p>
        </w:tc>
        <w:tc>
          <w:tcPr>
            <w:tcW w:w="6360" w:type="dxa"/>
            <w:gridSpan w:val="4"/>
            <w:noWrap w:val="0"/>
            <w:vAlign w:val="center"/>
          </w:tcPr>
          <w:p>
            <w:pPr>
              <w:tabs>
                <w:tab w:val="left" w:pos="210"/>
              </w:tabs>
              <w:spacing w:line="320" w:lineRule="exact"/>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rPr>
            </w:pPr>
          </w:p>
        </w:tc>
        <w:tc>
          <w:tcPr>
            <w:tcW w:w="2065" w:type="dxa"/>
            <w:noWrap w:val="0"/>
            <w:vAlign w:val="center"/>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工商登记机关</w:t>
            </w:r>
          </w:p>
        </w:tc>
        <w:tc>
          <w:tcPr>
            <w:tcW w:w="6360" w:type="dxa"/>
            <w:gridSpan w:val="4"/>
            <w:noWrap w:val="0"/>
            <w:vAlign w:val="center"/>
          </w:tcPr>
          <w:p>
            <w:pPr>
              <w:tabs>
                <w:tab w:val="left" w:pos="210"/>
              </w:tabs>
              <w:spacing w:line="320" w:lineRule="exact"/>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rPr>
            </w:pPr>
          </w:p>
        </w:tc>
        <w:tc>
          <w:tcPr>
            <w:tcW w:w="2065" w:type="dxa"/>
            <w:noWrap w:val="0"/>
            <w:vAlign w:val="center"/>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税务登记机关</w:t>
            </w:r>
          </w:p>
        </w:tc>
        <w:tc>
          <w:tcPr>
            <w:tcW w:w="6360" w:type="dxa"/>
            <w:gridSpan w:val="4"/>
            <w:noWrap w:val="0"/>
            <w:vAlign w:val="center"/>
          </w:tcPr>
          <w:p>
            <w:pPr>
              <w:tabs>
                <w:tab w:val="left" w:pos="210"/>
              </w:tabs>
              <w:spacing w:line="320" w:lineRule="exact"/>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rPr>
            </w:pPr>
          </w:p>
        </w:tc>
        <w:tc>
          <w:tcPr>
            <w:tcW w:w="2065" w:type="dxa"/>
            <w:noWrap w:val="0"/>
            <w:vAlign w:val="center"/>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机构代码证号</w:t>
            </w:r>
          </w:p>
        </w:tc>
        <w:tc>
          <w:tcPr>
            <w:tcW w:w="6360" w:type="dxa"/>
            <w:gridSpan w:val="4"/>
            <w:noWrap w:val="0"/>
            <w:vAlign w:val="center"/>
          </w:tcPr>
          <w:p>
            <w:pPr>
              <w:tabs>
                <w:tab w:val="left" w:pos="210"/>
              </w:tabs>
              <w:spacing w:line="320" w:lineRule="exact"/>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法定代表人</w:t>
            </w:r>
          </w:p>
        </w:tc>
        <w:tc>
          <w:tcPr>
            <w:tcW w:w="2065" w:type="dxa"/>
            <w:noWrap w:val="0"/>
            <w:vAlign w:val="center"/>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姓名</w:t>
            </w:r>
          </w:p>
        </w:tc>
        <w:tc>
          <w:tcPr>
            <w:tcW w:w="2236" w:type="dxa"/>
            <w:gridSpan w:val="2"/>
            <w:noWrap w:val="0"/>
            <w:vAlign w:val="center"/>
          </w:tcPr>
          <w:p>
            <w:pPr>
              <w:tabs>
                <w:tab w:val="left" w:pos="210"/>
              </w:tabs>
              <w:spacing w:line="320" w:lineRule="exact"/>
              <w:jc w:val="center"/>
              <w:rPr>
                <w:rFonts w:ascii="宋体" w:cs="Times New Roman"/>
                <w:kern w:val="0"/>
                <w:sz w:val="24"/>
                <w:szCs w:val="24"/>
              </w:rPr>
            </w:pPr>
          </w:p>
        </w:tc>
        <w:tc>
          <w:tcPr>
            <w:tcW w:w="2061" w:type="dxa"/>
            <w:noWrap w:val="0"/>
            <w:vAlign w:val="center"/>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性别</w:t>
            </w:r>
          </w:p>
        </w:tc>
        <w:tc>
          <w:tcPr>
            <w:tcW w:w="2063" w:type="dxa"/>
            <w:noWrap w:val="0"/>
            <w:vAlign w:val="center"/>
          </w:tcPr>
          <w:p>
            <w:pPr>
              <w:tabs>
                <w:tab w:val="left" w:pos="210"/>
              </w:tabs>
              <w:spacing w:line="320" w:lineRule="exact"/>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rPr>
            </w:pPr>
          </w:p>
        </w:tc>
        <w:tc>
          <w:tcPr>
            <w:tcW w:w="2065" w:type="dxa"/>
            <w:noWrap w:val="0"/>
            <w:vAlign w:val="center"/>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职务</w:t>
            </w:r>
          </w:p>
        </w:tc>
        <w:tc>
          <w:tcPr>
            <w:tcW w:w="2236" w:type="dxa"/>
            <w:gridSpan w:val="2"/>
            <w:noWrap w:val="0"/>
            <w:vAlign w:val="center"/>
          </w:tcPr>
          <w:p>
            <w:pPr>
              <w:tabs>
                <w:tab w:val="left" w:pos="210"/>
              </w:tabs>
              <w:spacing w:line="320" w:lineRule="exact"/>
              <w:jc w:val="center"/>
              <w:rPr>
                <w:rFonts w:ascii="宋体" w:cs="Times New Roman"/>
                <w:kern w:val="0"/>
                <w:sz w:val="24"/>
                <w:szCs w:val="24"/>
              </w:rPr>
            </w:pPr>
          </w:p>
        </w:tc>
        <w:tc>
          <w:tcPr>
            <w:tcW w:w="2061" w:type="dxa"/>
            <w:noWrap w:val="0"/>
            <w:vAlign w:val="center"/>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联系电话</w:t>
            </w:r>
          </w:p>
        </w:tc>
        <w:tc>
          <w:tcPr>
            <w:tcW w:w="2063" w:type="dxa"/>
            <w:noWrap w:val="0"/>
            <w:vAlign w:val="center"/>
          </w:tcPr>
          <w:p>
            <w:pPr>
              <w:tabs>
                <w:tab w:val="left" w:pos="210"/>
              </w:tabs>
              <w:spacing w:line="320" w:lineRule="exact"/>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rPr>
            </w:pPr>
          </w:p>
        </w:tc>
        <w:tc>
          <w:tcPr>
            <w:tcW w:w="2065" w:type="dxa"/>
            <w:noWrap w:val="0"/>
            <w:vAlign w:val="center"/>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传真</w:t>
            </w:r>
          </w:p>
        </w:tc>
        <w:tc>
          <w:tcPr>
            <w:tcW w:w="6360" w:type="dxa"/>
            <w:gridSpan w:val="4"/>
            <w:noWrap w:val="0"/>
            <w:vAlign w:val="center"/>
          </w:tcPr>
          <w:p>
            <w:pPr>
              <w:tabs>
                <w:tab w:val="left" w:pos="210"/>
              </w:tabs>
              <w:spacing w:line="320" w:lineRule="exact"/>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noWrap w:val="0"/>
            <w:vAlign w:val="center"/>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法定代表人身份证复印件</w:t>
            </w:r>
          </w:p>
        </w:tc>
        <w:tc>
          <w:tcPr>
            <w:tcW w:w="4125" w:type="dxa"/>
            <w:gridSpan w:val="2"/>
            <w:vMerge w:val="restart"/>
            <w:noWrap w:val="0"/>
            <w:vAlign w:val="center"/>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（粘贴处）</w:t>
            </w:r>
          </w:p>
        </w:tc>
        <w:tc>
          <w:tcPr>
            <w:tcW w:w="4300" w:type="dxa"/>
            <w:gridSpan w:val="3"/>
            <w:noWrap w:val="0"/>
            <w:vAlign w:val="center"/>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rPr>
            </w:pPr>
          </w:p>
        </w:tc>
        <w:tc>
          <w:tcPr>
            <w:tcW w:w="4125" w:type="dxa"/>
            <w:gridSpan w:val="2"/>
            <w:vMerge w:val="continue"/>
            <w:noWrap w:val="0"/>
            <w:vAlign w:val="center"/>
          </w:tcPr>
          <w:p>
            <w:pPr>
              <w:tabs>
                <w:tab w:val="left" w:pos="210"/>
              </w:tabs>
              <w:spacing w:line="320" w:lineRule="exact"/>
              <w:jc w:val="center"/>
              <w:rPr>
                <w:rFonts w:ascii="宋体" w:cs="Times New Roman"/>
                <w:kern w:val="0"/>
                <w:sz w:val="24"/>
                <w:szCs w:val="24"/>
              </w:rPr>
            </w:pPr>
          </w:p>
        </w:tc>
        <w:tc>
          <w:tcPr>
            <w:tcW w:w="4300" w:type="dxa"/>
            <w:gridSpan w:val="3"/>
            <w:noWrap w:val="0"/>
            <w:vAlign w:val="bottom"/>
          </w:tcPr>
          <w:p>
            <w:pPr>
              <w:tabs>
                <w:tab w:val="left" w:pos="210"/>
              </w:tabs>
              <w:spacing w:line="320" w:lineRule="exact"/>
              <w:jc w:val="center"/>
              <w:rPr>
                <w:rFonts w:ascii="宋体" w:cs="Times New Roman"/>
                <w:kern w:val="0"/>
                <w:sz w:val="24"/>
                <w:szCs w:val="24"/>
              </w:rPr>
            </w:pPr>
            <w:r>
              <w:rPr>
                <w:rFonts w:hint="eastAsia" w:ascii="宋体" w:hAnsi="宋体" w:cs="宋体"/>
                <w:kern w:val="0"/>
                <w:sz w:val="24"/>
                <w:szCs w:val="24"/>
              </w:rPr>
              <w:t>（公章）</w:t>
            </w:r>
          </w:p>
          <w:p>
            <w:pPr>
              <w:tabs>
                <w:tab w:val="left" w:pos="210"/>
              </w:tabs>
              <w:spacing w:line="320" w:lineRule="exact"/>
              <w:jc w:val="center"/>
              <w:rPr>
                <w:rFonts w:ascii="宋体" w:cs="Times New Roman"/>
                <w:kern w:val="0"/>
                <w:sz w:val="24"/>
                <w:szCs w:val="24"/>
              </w:rPr>
            </w:pPr>
          </w:p>
          <w:p>
            <w:pPr>
              <w:tabs>
                <w:tab w:val="left" w:pos="210"/>
              </w:tabs>
              <w:spacing w:line="320" w:lineRule="exact"/>
              <w:jc w:val="center"/>
              <w:rPr>
                <w:rFonts w:ascii="宋体" w:cs="Times New Roman"/>
                <w:kern w:val="0"/>
                <w:sz w:val="24"/>
                <w:szCs w:val="24"/>
              </w:rPr>
            </w:pPr>
          </w:p>
          <w:p>
            <w:pPr>
              <w:tabs>
                <w:tab w:val="left" w:pos="210"/>
              </w:tabs>
              <w:spacing w:line="320" w:lineRule="exact"/>
              <w:jc w:val="center"/>
              <w:rPr>
                <w:rFonts w:ascii="宋体" w:cs="Times New Roman"/>
                <w:kern w:val="0"/>
                <w:sz w:val="24"/>
                <w:szCs w:val="24"/>
              </w:rPr>
            </w:pPr>
          </w:p>
          <w:p>
            <w:pPr>
              <w:tabs>
                <w:tab w:val="left" w:pos="210"/>
              </w:tabs>
              <w:spacing w:line="320" w:lineRule="exact"/>
              <w:jc w:val="right"/>
              <w:rPr>
                <w:rFonts w:ascii="宋体" w:hAnsi="宋体" w:cs="宋体"/>
                <w:kern w:val="0"/>
                <w:sz w:val="24"/>
                <w:szCs w:val="24"/>
              </w:rPr>
            </w:pP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r>
              <w:rPr>
                <w:rFonts w:ascii="宋体" w:hAnsi="宋体" w:cs="宋体"/>
                <w:kern w:val="0"/>
                <w:sz w:val="24"/>
                <w:szCs w:val="24"/>
              </w:rPr>
              <w:t xml:space="preserve"> </w:t>
            </w:r>
          </w:p>
        </w:tc>
      </w:tr>
    </w:tbl>
    <w:p>
      <w:pPr>
        <w:spacing w:line="440" w:lineRule="exact"/>
        <w:jc w:val="both"/>
        <w:rPr>
          <w:rFonts w:hint="eastAsia" w:ascii="宋体" w:hAnsi="宋体" w:eastAsia="宋体" w:cs="宋体"/>
          <w:b/>
          <w:bCs/>
          <w:sz w:val="24"/>
          <w:szCs w:val="24"/>
          <w:highlight w:val="none"/>
          <w:lang w:val="en-US" w:eastAsia="zh-CN"/>
        </w:rPr>
      </w:pPr>
      <w:r>
        <w:rPr>
          <w:rFonts w:eastAsia="黑体"/>
          <w:sz w:val="20"/>
          <w:szCs w:val="20"/>
          <w:highlight w:val="none"/>
        </w:rPr>
        <w:br w:type="page"/>
      </w:r>
      <w:r>
        <w:rPr>
          <w:rFonts w:hint="eastAsia" w:eastAsia="黑体"/>
          <w:sz w:val="20"/>
          <w:szCs w:val="20"/>
          <w:highlight w:val="none"/>
          <w:lang w:val="en-US" w:eastAsia="zh-CN"/>
        </w:rPr>
        <w:t xml:space="preserve">    </w:t>
      </w:r>
      <w:r>
        <w:rPr>
          <w:rFonts w:hint="eastAsia" w:ascii="宋体" w:hAnsi="宋体" w:eastAsia="宋体" w:cs="宋体"/>
          <w:b/>
          <w:bCs/>
          <w:sz w:val="24"/>
          <w:szCs w:val="24"/>
          <w:highlight w:val="none"/>
          <w:lang w:val="en-US" w:eastAsia="zh-CN"/>
        </w:rPr>
        <w:t>7.本工程应由中型企业、小型企业、微型企业、监狱企业或残疾人福利性单位承建。中小企业的划分标准所属行业符合本项目要求，提供《中小企业声明函》（格式）；监狱企业应提供监狱企业的证明文件；残疾人福利性单位的应提供《残疾人福利性单位声明函》（格式）（以上证明材料提供任意一种即可，无需重复提供）。。</w:t>
      </w:r>
    </w:p>
    <w:p>
      <w:pPr>
        <w:spacing w:line="360" w:lineRule="auto"/>
        <w:ind w:firstLine="482" w:firstLineChars="200"/>
        <w:rPr>
          <w:rFonts w:hint="eastAsia" w:ascii="宋体" w:hAnsi="宋体"/>
          <w:b/>
          <w:bCs/>
          <w:sz w:val="24"/>
          <w:highlight w:val="none"/>
          <w:lang w:val="en-US" w:eastAsia="zh-CN"/>
        </w:rPr>
      </w:pPr>
      <w:r>
        <w:rPr>
          <w:rFonts w:hint="eastAsia" w:ascii="宋体" w:hAnsi="宋体"/>
          <w:b/>
          <w:bCs/>
          <w:sz w:val="24"/>
          <w:highlight w:val="none"/>
          <w:u w:val="single"/>
          <w:lang w:val="en-US" w:eastAsia="zh-CN"/>
        </w:rPr>
        <w:t>特别提醒：中标供应商的《中小企业声明函》、《残疾人福利性单位声明函》或监狱企业证明文件将随中标结果公告一同公布，接受社会监督。</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（1）关于中小企业判定</w:t>
      </w:r>
    </w:p>
    <w:p>
      <w:pPr>
        <w:spacing w:line="360" w:lineRule="auto"/>
        <w:ind w:firstLine="480" w:firstLineChars="200"/>
        <w:outlineLvl w:val="9"/>
        <w:rPr>
          <w:rFonts w:hint="default" w:ascii="宋体" w:hAnsi="宋体"/>
          <w:sz w:val="24"/>
          <w:highlight w:val="none"/>
          <w:lang w:val="en-US" w:eastAsia="zh-CN"/>
        </w:rPr>
      </w:pPr>
      <w:r>
        <w:rPr>
          <w:rFonts w:hint="eastAsia" w:ascii="宋体" w:hAnsi="宋体"/>
          <w:sz w:val="24"/>
          <w:highlight w:val="none"/>
          <w:lang w:val="en-US" w:eastAsia="zh-CN"/>
        </w:rPr>
        <w:t>本项目采购标的对应的中小企业划分标准所属行业为</w:t>
      </w:r>
      <w:r>
        <w:rPr>
          <w:rFonts w:hint="eastAsia" w:ascii="宋体" w:hAnsi="宋体"/>
          <w:sz w:val="24"/>
          <w:highlight w:val="none"/>
          <w:u w:val="single"/>
          <w:lang w:val="en-US" w:eastAsia="zh-CN"/>
        </w:rPr>
        <w:t>建筑业</w:t>
      </w:r>
      <w:r>
        <w:rPr>
          <w:rFonts w:hint="eastAsia" w:ascii="宋体" w:hAnsi="宋体"/>
          <w:sz w:val="24"/>
          <w:highlight w:val="none"/>
          <w:lang w:val="en-US" w:eastAsia="zh-CN"/>
        </w:rPr>
        <w:t>。各投标供应商可根据企业从业人员、营业收入、资产总额等指标，按照招标文件约定的采购标的对应的中小微企业划分标准所属行业和《中小企业划型标准规定》（工信部联企业〔2011〕300号）进行自测，判断属于中型、小型还是微型企业。</w:t>
      </w:r>
    </w:p>
    <w:p>
      <w:pPr>
        <w:spacing w:line="360" w:lineRule="atLeast"/>
        <w:jc w:val="center"/>
        <w:rPr>
          <w:rFonts w:hint="eastAsia" w:ascii="黑体" w:hAnsi="仿宋" w:eastAsia="黑体" w:cs="黑体"/>
          <w:color w:val="auto"/>
          <w:sz w:val="32"/>
          <w:szCs w:val="32"/>
          <w:highlight w:val="none"/>
          <w:lang w:val="en-US" w:eastAsia="zh-CN"/>
        </w:rPr>
      </w:pPr>
      <w:r>
        <w:rPr>
          <w:rFonts w:hint="eastAsia" w:ascii="黑体" w:hAnsi="仿宋" w:eastAsia="黑体" w:cs="黑体"/>
          <w:color w:val="auto"/>
          <w:sz w:val="32"/>
          <w:szCs w:val="32"/>
          <w:highlight w:val="none"/>
          <w:lang w:val="en-US" w:eastAsia="zh-CN"/>
        </w:rPr>
        <w:t>中小企业声明函（格式）</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 xml:space="preserve">1.（标的名称），属于（采购文件中明确的所属行业）；承建企业为（企业名称），从业人员   人，营业收入为   万元，资产总额为   万元，属于（中型企业、小型企业、微型企业）； </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 xml:space="preserve">2.（标的名称），属于（采购文件中明确的所属行业）；承建企业为（企业名称），从业人员   人，营业收入为   万元，资产总额为   万元，属于（中型企业、小型企业、微型企业）； </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以上企业，不属于大企业的分支机构，不存在控股股东为大企业的情形，也不存在与大企业的负责人为同一人的情形。</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 xml:space="preserve">本企业对上述声明内容的真实性负责。如有虚假，将依法承担相应责任。 </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 xml:space="preserve">企业名称（盖章）： </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 xml:space="preserve">日 期： </w:t>
      </w:r>
    </w:p>
    <w:p>
      <w:pPr>
        <w:spacing w:line="360" w:lineRule="auto"/>
        <w:ind w:firstLine="567"/>
        <w:rPr>
          <w:rFonts w:ascii="宋体" w:hAnsi="宋体"/>
          <w:color w:val="000000"/>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11" name="直接连接符 11"/>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0.95pt;height:0pt;width:149.25pt;z-index:251660288;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tVMEUOoBAAC2AwAADgAAAGRycy9lMm9Eb2MueG1srVM7jtswEO0D&#10;5A4E+1j+xGuvYHmLNTZNkBhIcoAxRUkE+AOHa9mXyAUCpEuqlOlzm90cI0Na+8mm2SIqqBnO0xu+&#10;x9Hq4mA028uAytmKT0ZjzqQVrla2rfinj1evlpxhBFuDdlZW/CiRX6xfvlj1vpRT1zldy8CIxGLZ&#10;+4p3MfqyKFB00gCOnJeWio0LBiKloS3qAD2xG11Mx+Ozoneh9sEJiUi7m1ORD4zhOYSuaZSQGyeu&#10;jbTxxBqkhkiSsFMe+TqftmmkiO+bBmVkuuKkNOaVmlC8S2uxXkHZBvCdEsMR4DlHeKLJgLLU9J5q&#10;AxHYdVD/UBklgkPXxJFwpjgJyY6Qisn4iTcfOvAyayGr0d+bjv+PVrzbbwNTNU3ChDMLhm789svP&#10;m8/ffv/6Suvtj++MKmRT77Ek9KXdhiFDvw1J86EJJr1JDTskotliupxzdqz4+Wy+mJ0NNstDZCIB&#10;lufz1wsCCELkWvFA4gPGN9IZloKKa2WTA1DC/i1GakzQO0jatu5KaZ1vUVvWU8f5NDEDTWZDE0Gh&#10;8aQObcsZ6JZGXsSQGdFpVaevEw+GdnepA9tDGpT8JNHU7S9Yar0B7E64XBpg2iYamUduOGly7ORR&#10;inauPmbripTRdWb2YfTSvDzOKX78u6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hL///SAAAA&#10;BgEAAA8AAAAAAAAAAQAgAAAAIgAAAGRycy9kb3ducmV2LnhtbFBLAQIUABQAAAAIAIdO4kC1UwRQ&#10;6gEAALYDAAAOAAAAAAAAAAEAIAAAACEBAABkcnMvZTJvRG9jLnhtbFBLBQYAAAAABgAGAFkBAAB9&#10;BQAAAAA=&#10;">
                <v:fill on="f" focussize="0,0"/>
                <v:stroke color="#000000" joinstyle="round"/>
                <v:imagedata o:title=""/>
                <o:lock v:ext="edit" aspectratio="f"/>
              </v:line>
            </w:pict>
          </mc:Fallback>
        </mc:AlternateContent>
      </w:r>
    </w:p>
    <w:p>
      <w:pPr>
        <w:widowControl/>
        <w:jc w:val="left"/>
        <w:rPr>
          <w:rFonts w:ascii="宋体" w:hAnsi="宋体"/>
          <w:color w:val="000000"/>
          <w:kern w:val="0"/>
          <w:szCs w:val="21"/>
        </w:rPr>
      </w:pPr>
      <w:r>
        <w:rPr>
          <w:rFonts w:hint="eastAsia" w:ascii="宋体" w:hAnsi="宋体"/>
          <w:b/>
          <w:bCs/>
          <w:color w:val="000000"/>
          <w:kern w:val="0"/>
          <w:szCs w:val="21"/>
        </w:rPr>
        <w:t>备注：</w:t>
      </w:r>
      <w:r>
        <w:rPr>
          <w:rFonts w:hint="eastAsia" w:ascii="宋体" w:hAnsi="宋体"/>
          <w:color w:val="000000"/>
          <w:kern w:val="0"/>
          <w:szCs w:val="21"/>
        </w:rPr>
        <w:t>1.填写前请认真阅读《工业和信息化部、国家统计局、国家发展和改革委员会、财政部关于印发中小企业划型标准规定的通知》（工信部联企业[2011]300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pPr>
        <w:widowControl/>
        <w:jc w:val="left"/>
        <w:rPr>
          <w:rFonts w:ascii="宋体" w:hAnsi="宋体"/>
          <w:color w:val="000000"/>
          <w:kern w:val="0"/>
          <w:szCs w:val="21"/>
        </w:rPr>
      </w:pPr>
      <w:r>
        <w:rPr>
          <w:rFonts w:hint="eastAsia" w:ascii="宋体" w:hAnsi="宋体"/>
          <w:color w:val="000000"/>
          <w:kern w:val="0"/>
          <w:szCs w:val="21"/>
        </w:rPr>
        <w:t>2.从业人员、营业收入、资产总额填报上一年度数据，无上一年度数据的新成立企业可不填报。</w:t>
      </w:r>
    </w:p>
    <w:p>
      <w:pPr>
        <w:widowControl/>
        <w:jc w:val="left"/>
        <w:rPr>
          <w:rFonts w:ascii="宋体" w:hAnsi="宋体"/>
          <w:color w:val="000000"/>
          <w:kern w:val="0"/>
          <w:szCs w:val="21"/>
          <w:highlight w:val="none"/>
        </w:rPr>
      </w:pPr>
    </w:p>
    <w:p>
      <w:pPr>
        <w:spacing w:line="360" w:lineRule="auto"/>
        <w:ind w:firstLine="482" w:firstLineChars="200"/>
        <w:outlineLvl w:val="9"/>
        <w:rPr>
          <w:rFonts w:hint="eastAsia" w:ascii="宋体" w:hAnsi="宋体"/>
          <w:sz w:val="24"/>
          <w:highlight w:val="none"/>
          <w:lang w:val="en-US" w:eastAsia="zh-CN"/>
        </w:rPr>
      </w:pPr>
      <w:r>
        <w:rPr>
          <w:rFonts w:hint="eastAsia" w:ascii="宋体" w:hAnsi="宋体"/>
          <w:b/>
          <w:bCs/>
          <w:sz w:val="24"/>
          <w:highlight w:val="none"/>
        </w:rPr>
        <w:br w:type="page"/>
      </w:r>
      <w:r>
        <w:rPr>
          <w:rFonts w:hint="eastAsia" w:ascii="宋体" w:hAnsi="宋体"/>
          <w:sz w:val="24"/>
          <w:highlight w:val="none"/>
          <w:lang w:val="en-US" w:eastAsia="zh-CN"/>
        </w:rPr>
        <w:t>（2）关于监狱企业的证明文件</w:t>
      </w:r>
    </w:p>
    <w:p>
      <w:pPr>
        <w:spacing w:line="360" w:lineRule="auto"/>
        <w:jc w:val="center"/>
        <w:outlineLvl w:val="9"/>
        <w:rPr>
          <w:rFonts w:hint="eastAsia" w:ascii="黑体" w:hAnsi="仿宋" w:eastAsia="黑体" w:cs="黑体"/>
          <w:color w:val="auto"/>
          <w:sz w:val="32"/>
          <w:szCs w:val="32"/>
          <w:highlight w:val="none"/>
          <w:lang w:val="en-US" w:eastAsia="zh-CN"/>
        </w:rPr>
      </w:pPr>
      <w:r>
        <w:rPr>
          <w:rFonts w:hint="eastAsia" w:ascii="黑体" w:hAnsi="仿宋" w:eastAsia="黑体" w:cs="黑体"/>
          <w:color w:val="auto"/>
          <w:sz w:val="32"/>
          <w:szCs w:val="32"/>
          <w:highlight w:val="none"/>
          <w:lang w:val="en-US" w:eastAsia="zh-CN"/>
        </w:rPr>
        <w:t>关于监狱企业的证明文件（格式）</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监狱企业参加政府采购活动时，应当提供由省级以上监狱管理局、戒毒管理局（含新疆生产建设兵团）出具的属于监狱企业的证明文件。</w:t>
      </w:r>
    </w:p>
    <w:p>
      <w:pPr>
        <w:spacing w:line="360" w:lineRule="auto"/>
        <w:ind w:firstLine="480" w:firstLineChars="200"/>
        <w:outlineLvl w:val="9"/>
        <w:rPr>
          <w:rFonts w:hint="eastAsia" w:ascii="宋体" w:hAnsi="宋体"/>
          <w:sz w:val="24"/>
          <w:highlight w:val="none"/>
          <w:lang w:val="en-US" w:eastAsia="zh-CN"/>
        </w:rPr>
      </w:pPr>
    </w:p>
    <w:p>
      <w:pPr>
        <w:spacing w:line="360" w:lineRule="auto"/>
        <w:ind w:firstLine="482" w:firstLineChars="200"/>
        <w:outlineLvl w:val="9"/>
        <w:rPr>
          <w:rFonts w:hint="eastAsia" w:ascii="宋体" w:hAnsi="宋体"/>
          <w:sz w:val="24"/>
          <w:highlight w:val="none"/>
          <w:lang w:val="en-US" w:eastAsia="zh-CN"/>
        </w:rPr>
      </w:pPr>
      <w:r>
        <w:rPr>
          <w:rFonts w:hint="eastAsia" w:ascii="宋体" w:hAnsi="宋体"/>
          <w:b/>
          <w:bCs/>
          <w:sz w:val="24"/>
          <w:highlight w:val="none"/>
        </w:rPr>
        <w:br w:type="page"/>
      </w:r>
      <w:r>
        <w:rPr>
          <w:rFonts w:hint="eastAsia" w:ascii="宋体" w:hAnsi="宋体"/>
          <w:sz w:val="24"/>
          <w:highlight w:val="none"/>
          <w:lang w:val="en-US" w:eastAsia="zh-CN"/>
        </w:rPr>
        <w:t>（3）关于残疾人福利性单位判定</w:t>
      </w:r>
    </w:p>
    <w:p>
      <w:pPr>
        <w:spacing w:line="360" w:lineRule="atLeast"/>
        <w:jc w:val="center"/>
        <w:rPr>
          <w:rFonts w:hint="eastAsia" w:ascii="黑体" w:hAnsi="仿宋" w:eastAsia="黑体" w:cs="黑体"/>
          <w:sz w:val="32"/>
          <w:szCs w:val="32"/>
          <w:highlight w:val="none"/>
        </w:rPr>
      </w:pPr>
      <w:r>
        <w:rPr>
          <w:rFonts w:hint="eastAsia" w:ascii="黑体" w:hAnsi="仿宋" w:eastAsia="黑体" w:cs="黑体"/>
          <w:sz w:val="32"/>
          <w:szCs w:val="32"/>
          <w:highlight w:val="none"/>
        </w:rPr>
        <w:t>残疾人福利单位声明函</w:t>
      </w:r>
    </w:p>
    <w:p>
      <w:pPr>
        <w:spacing w:line="360" w:lineRule="auto"/>
        <w:ind w:firstLine="567"/>
        <w:rPr>
          <w:rFonts w:hint="eastAsia" w:ascii="宋体" w:hAnsi="宋体" w:cs="宋体"/>
          <w:kern w:val="0"/>
          <w:sz w:val="24"/>
          <w:szCs w:val="20"/>
          <w:highlight w:val="none"/>
        </w:rPr>
      </w:pPr>
      <w:r>
        <w:rPr>
          <w:rFonts w:hint="eastAsia" w:ascii="宋体" w:hAnsi="宋体" w:cs="宋体"/>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采购代理机构名称</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u w:val="single"/>
          <w:lang w:eastAsia="zh-CN"/>
        </w:rPr>
        <w:t>（</w:t>
      </w:r>
      <w:r>
        <w:rPr>
          <w:rFonts w:hint="eastAsia" w:ascii="宋体" w:hAnsi="宋体" w:cs="宋体"/>
          <w:kern w:val="0"/>
          <w:sz w:val="24"/>
          <w:szCs w:val="20"/>
          <w:highlight w:val="none"/>
          <w:u w:val="single"/>
          <w:lang w:val="en-US" w:eastAsia="zh-CN"/>
        </w:rPr>
        <w:t>项目名称</w:t>
      </w:r>
      <w:r>
        <w:rPr>
          <w:rFonts w:hint="eastAsia" w:ascii="宋体" w:hAnsi="宋体" w:cs="宋体"/>
          <w:kern w:val="0"/>
          <w:sz w:val="24"/>
          <w:szCs w:val="20"/>
          <w:highlight w:val="none"/>
          <w:u w:val="single"/>
          <w:lang w:eastAsia="zh-CN"/>
        </w:rPr>
        <w:t>）</w:t>
      </w:r>
      <w:r>
        <w:rPr>
          <w:rFonts w:hint="eastAsia" w:ascii="宋体" w:hAnsi="宋体" w:cs="宋体"/>
          <w:kern w:val="0"/>
          <w:sz w:val="24"/>
          <w:szCs w:val="20"/>
          <w:highlight w:val="none"/>
        </w:rPr>
        <w:t>采购活动提供本单位制造的货物</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由本单位承担工程/提供服务）</w:t>
      </w:r>
      <w:r>
        <w:rPr>
          <w:rFonts w:hint="eastAsia" w:ascii="宋体" w:hAnsi="宋体" w:cs="宋体"/>
          <w:kern w:val="0"/>
          <w:sz w:val="24"/>
          <w:szCs w:val="20"/>
          <w:highlight w:val="none"/>
        </w:rPr>
        <w:t>，或者提供其他残疾人福利性单位制造的货物（不包括使用非残疾人福利性单位注册商标的货物）。</w:t>
      </w:r>
    </w:p>
    <w:p>
      <w:pPr>
        <w:spacing w:line="360" w:lineRule="auto"/>
        <w:ind w:left="1080" w:leftChars="257" w:hanging="540"/>
        <w:rPr>
          <w:rFonts w:hint="eastAsia" w:ascii="宋体" w:hAnsi="宋体" w:cs="宋体"/>
          <w:kern w:val="0"/>
          <w:sz w:val="24"/>
          <w:szCs w:val="20"/>
          <w:highlight w:val="none"/>
        </w:rPr>
      </w:pPr>
      <w:r>
        <w:rPr>
          <w:rFonts w:hint="eastAsia" w:ascii="宋体" w:hAnsi="宋体" w:cs="宋体"/>
          <w:kern w:val="0"/>
          <w:sz w:val="24"/>
          <w:szCs w:val="20"/>
          <w:highlight w:val="none"/>
        </w:rPr>
        <w:t>本单位对上述声明的真实性负责。如有虚假，将依法承担相应责任。</w:t>
      </w:r>
    </w:p>
    <w:p>
      <w:pPr>
        <w:spacing w:line="360" w:lineRule="auto"/>
        <w:ind w:left="1080" w:leftChars="257" w:hanging="540"/>
        <w:jc w:val="center"/>
        <w:rPr>
          <w:rFonts w:hint="eastAsia" w:ascii="宋体" w:hAnsi="宋体" w:cs="宋体"/>
          <w:kern w:val="0"/>
          <w:sz w:val="24"/>
          <w:szCs w:val="20"/>
          <w:highlight w:val="none"/>
        </w:rPr>
      </w:pPr>
    </w:p>
    <w:p>
      <w:pPr>
        <w:spacing w:line="360" w:lineRule="auto"/>
        <w:ind w:left="1080" w:leftChars="257" w:hanging="540"/>
        <w:jc w:val="center"/>
        <w:rPr>
          <w:rFonts w:hint="eastAsia" w:ascii="宋体" w:hAnsi="宋体" w:cs="宋体"/>
          <w:kern w:val="0"/>
          <w:sz w:val="24"/>
          <w:szCs w:val="20"/>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供应商名称（盖章）：</w:t>
      </w:r>
      <w:r>
        <w:rPr>
          <w:rFonts w:ascii="宋体" w:hAnsi="宋体" w:cs="宋体"/>
          <w:sz w:val="24"/>
          <w:szCs w:val="24"/>
          <w:highlight w:val="none"/>
          <w:u w:val="single"/>
        </w:rPr>
        <w:t xml:space="preserve">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567"/>
        <w:rPr>
          <w:rFonts w:hint="eastAsia" w:ascii="宋体" w:hAnsi="宋体" w:eastAsia="宋体" w:cs="宋体"/>
          <w:color w:val="000000"/>
          <w:kern w:val="0"/>
          <w:sz w:val="18"/>
          <w:szCs w:val="18"/>
          <w:highlight w:val="none"/>
          <w:lang w:val="en-US" w:eastAsia="zh-CN" w:bidi="ar"/>
        </w:rPr>
      </w:pPr>
      <w:r>
        <w:rPr>
          <w:sz w:val="18"/>
          <w:highlight w:val="none"/>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8" name="直接连接符 6"/>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直接连接符 6" o:spid="_x0000_s1026" o:spt="20" style="position:absolute;left:0pt;margin-left:0.3pt;margin-top:10.95pt;height:0pt;width:149.25pt;z-index:251659264;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jeqTY+kBAAC0AwAADgAAAGRycy9lMm9Eb2MueG1srVNLjtQwEN0j&#10;cQfLezr9oT8TdXoW0xo2CFoCDuB2nMSSf6rydLovwQWQ2MGKJXtuM8MxKLvDMAybWZCFU2W/vKr3&#10;XFlfHq1hBwWovav4ZDTmTDnpa+3ain94f/1ixRlG4WphvFMVPynkl5vnz9Z9KNXUd97UChiROCz7&#10;UPEuxlAWBcpOWYEjH5Sjw8aDFZFSaIsaRE/s1hTT8XhR9B7qAF4qRNrdng/5wAhPIfRNo6Xaenlj&#10;lYtnVlBGRJKEnQ7IN7nbplEyvm0aVJGZipPSmFcqQvE+rcVmLcoWROi0HFoQT2nhkSYrtKOi91Rb&#10;EQW7Af0PldUSPPomjqS3xVlIdoRUTMaPvHnXiaCyFrIaw73p+P9o5ZvDDpiuK07X7oSlC7/79P32&#10;45efPz7TevftK1skk/qAJWGv3A6GDMMOkuJjAza9SQs70kBNZsvpas7ZqeIXs/lythhMVsfIZAKs&#10;LuYvlwSQhMhnxR+SABhfKW9ZCiputEv6RSkOrzFSYYL+hqRt56+1MfkOjWM9VZxPE7OguWxoHii0&#10;gbShazkTpqWBlxEyI3qj6/R14kFo91cG2EGkMclPEk3V/oKl0luB3RmXjwaYcYlG5YEbOk2OnT1K&#10;0d7Xp2xdkTK6zMw+DF6aloc5xQ9/ts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v//9IAAAAG&#10;AQAADwAAAAAAAAABACAAAAAiAAAAZHJzL2Rvd25yZXYueG1sUEsBAhQAFAAAAAgAh07iQI3qk2Pp&#10;AQAAtAMAAA4AAAAAAAAAAQAgAAAAIQEAAGRycy9lMm9Eb2MueG1sUEsFBgAAAAAGAAYAWQEAAHwF&#10;AAAAAA==&#10;">
                <v:fill on="f" focussize="0,0"/>
                <v:stroke color="#000000" joinstyle="round"/>
                <v:imagedata o:title=""/>
                <o:lock v:ext="edit" aspectratio="f"/>
              </v:line>
            </w:pict>
          </mc:Fallback>
        </mc:AlternateContent>
      </w:r>
    </w:p>
    <w:p>
      <w:pPr>
        <w:keepNext w:val="0"/>
        <w:keepLines w:val="0"/>
        <w:widowControl/>
        <w:suppressLineNumbers w:val="0"/>
        <w:jc w:val="left"/>
        <w:rPr>
          <w:sz w:val="21"/>
          <w:szCs w:val="21"/>
          <w:highlight w:val="none"/>
        </w:rPr>
      </w:pPr>
      <w:r>
        <w:rPr>
          <w:rFonts w:hint="eastAsia" w:ascii="宋体" w:hAnsi="宋体" w:eastAsia="宋体" w:cs="宋体"/>
          <w:b/>
          <w:bCs/>
          <w:color w:val="000000"/>
          <w:kern w:val="0"/>
          <w:sz w:val="21"/>
          <w:szCs w:val="21"/>
          <w:highlight w:val="none"/>
          <w:lang w:val="en-US" w:eastAsia="zh-CN" w:bidi="ar"/>
        </w:rPr>
        <w:t>备注：</w:t>
      </w:r>
      <w:r>
        <w:rPr>
          <w:rFonts w:hint="eastAsia" w:ascii="宋体" w:hAnsi="宋体" w:eastAsia="宋体" w:cs="宋体"/>
          <w:color w:val="000000"/>
          <w:kern w:val="0"/>
          <w:sz w:val="21"/>
          <w:szCs w:val="21"/>
          <w:highlight w:val="none"/>
          <w:lang w:val="en-US" w:eastAsia="zh-CN" w:bidi="ar"/>
        </w:rPr>
        <w:t xml:space="preserve">根据《财政部 民政部 中国残疾人联合会关于促进残疾人就业政府采购政策的通知》（财库 </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〔2017〕141 号）的规定：</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一、享受政府采购支持政策的残疾人福利性单位应当同时满足以下条件：</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（一）安置的残疾人占本单位在职职工人数的比例不低于 </w:t>
      </w:r>
      <w:r>
        <w:rPr>
          <w:rFonts w:ascii="仿宋" w:hAnsi="仿宋" w:eastAsia="仿宋" w:cs="仿宋"/>
          <w:color w:val="000000"/>
          <w:kern w:val="0"/>
          <w:sz w:val="21"/>
          <w:szCs w:val="21"/>
          <w:highlight w:val="none"/>
          <w:lang w:val="en-US" w:eastAsia="zh-CN" w:bidi="ar"/>
        </w:rPr>
        <w:t>25</w:t>
      </w:r>
      <w:r>
        <w:rPr>
          <w:rFonts w:hint="eastAsia" w:ascii="宋体" w:hAnsi="宋体" w:eastAsia="宋体" w:cs="宋体"/>
          <w:color w:val="000000"/>
          <w:kern w:val="0"/>
          <w:sz w:val="21"/>
          <w:szCs w:val="21"/>
          <w:highlight w:val="none"/>
          <w:lang w:val="en-US" w:eastAsia="zh-CN" w:bidi="ar"/>
        </w:rPr>
        <w:t xml:space="preserve">%（含 </w:t>
      </w:r>
      <w:r>
        <w:rPr>
          <w:rFonts w:hint="eastAsia" w:ascii="仿宋" w:hAnsi="仿宋" w:eastAsia="仿宋" w:cs="仿宋"/>
          <w:color w:val="000000"/>
          <w:kern w:val="0"/>
          <w:sz w:val="21"/>
          <w:szCs w:val="21"/>
          <w:highlight w:val="none"/>
          <w:lang w:val="en-US" w:eastAsia="zh-CN" w:bidi="ar"/>
        </w:rPr>
        <w:t>25</w:t>
      </w:r>
      <w:r>
        <w:rPr>
          <w:rFonts w:hint="eastAsia" w:ascii="宋体" w:hAnsi="宋体" w:eastAsia="宋体" w:cs="宋体"/>
          <w:color w:val="000000"/>
          <w:kern w:val="0"/>
          <w:sz w:val="21"/>
          <w:szCs w:val="21"/>
          <w:highlight w:val="none"/>
          <w:lang w:val="en-US" w:eastAsia="zh-CN" w:bidi="ar"/>
        </w:rPr>
        <w:t>%），并且安置的残疾人人数不少于10人（含10人）；</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（二）依法与安置的每位残疾人签订了一年以上（含一年）的劳动合同或服务协议；</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（三）为安置的每位残疾人按月足额缴纳了基本养老保险、基本医疗保险、失业保险、工伤保险和生育保险等社会保险费；</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（四）通过银行等金融机构向安置的每位残疾人，按月支付了不低于单位所在区县适用的经省级人民政府批准的月最低工资标准的工资；</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二、中标、成交供应商为残疾人福利性单位的，采购人或者其委托的采购代理机构应当随中标、成交结果同时公告其《残疾人福利性单位声明函》，接受社会监督。</w:t>
      </w:r>
    </w:p>
    <w:p>
      <w:pPr>
        <w:spacing w:line="360" w:lineRule="auto"/>
        <w:ind w:firstLine="400" w:firstLineChars="200"/>
        <w:rPr>
          <w:rFonts w:ascii="宋体" w:hAnsi="宋体"/>
          <w:b/>
          <w:bCs/>
          <w:sz w:val="24"/>
          <w:highlight w:val="none"/>
        </w:rPr>
      </w:pPr>
      <w:r>
        <w:rPr>
          <w:rFonts w:eastAsia="黑体"/>
          <w:sz w:val="20"/>
          <w:szCs w:val="20"/>
          <w:highlight w:val="none"/>
        </w:rPr>
        <w:br w:type="page"/>
      </w:r>
      <w:bookmarkEnd w:id="1370"/>
      <w:bookmarkEnd w:id="1371"/>
      <w:bookmarkEnd w:id="1372"/>
      <w:bookmarkEnd w:id="1373"/>
      <w:r>
        <w:rPr>
          <w:rFonts w:hint="eastAsia" w:ascii="宋体" w:hAnsi="宋体" w:eastAsia="黑体"/>
          <w:b/>
          <w:bCs/>
          <w:sz w:val="24"/>
          <w:highlight w:val="none"/>
          <w:lang w:val="en-US" w:eastAsia="zh-CN"/>
        </w:rPr>
        <w:t>8.</w:t>
      </w:r>
      <w:r>
        <w:rPr>
          <w:rFonts w:hint="eastAsia" w:ascii="宋体" w:hAnsi="宋体"/>
          <w:b/>
          <w:bCs/>
          <w:sz w:val="24"/>
          <w:highlight w:val="none"/>
          <w:lang w:val="en-GB"/>
        </w:rPr>
        <w:t>名称变更</w:t>
      </w:r>
      <w:r>
        <w:rPr>
          <w:rFonts w:hint="eastAsia" w:ascii="宋体" w:hAnsi="宋体"/>
          <w:b/>
          <w:bCs/>
          <w:sz w:val="24"/>
          <w:highlight w:val="none"/>
        </w:rPr>
        <w:t>证明</w:t>
      </w:r>
    </w:p>
    <w:p>
      <w:pPr>
        <w:spacing w:line="360" w:lineRule="auto"/>
        <w:ind w:firstLine="482" w:firstLineChars="200"/>
        <w:rPr>
          <w:rFonts w:ascii="宋体" w:hAnsi="宋体"/>
          <w:b/>
          <w:bCs/>
          <w:sz w:val="24"/>
          <w:highlight w:val="none"/>
        </w:rPr>
      </w:pPr>
    </w:p>
    <w:p>
      <w:pPr>
        <w:spacing w:line="360" w:lineRule="atLeast"/>
        <w:jc w:val="center"/>
        <w:rPr>
          <w:rFonts w:ascii="黑体" w:hAnsi="仿宋" w:eastAsia="黑体" w:cs="仿宋"/>
          <w:bCs/>
          <w:sz w:val="32"/>
          <w:szCs w:val="32"/>
          <w:highlight w:val="none"/>
          <w:lang w:val="en-GB"/>
        </w:rPr>
      </w:pPr>
      <w:r>
        <w:rPr>
          <w:rFonts w:hint="eastAsia" w:ascii="黑体" w:hAnsi="仿宋" w:eastAsia="黑体" w:cs="仿宋"/>
          <w:bCs/>
          <w:sz w:val="32"/>
          <w:szCs w:val="32"/>
          <w:highlight w:val="none"/>
          <w:lang w:val="en-GB"/>
        </w:rPr>
        <w:t>名称变更</w:t>
      </w:r>
      <w:r>
        <w:rPr>
          <w:rFonts w:hint="eastAsia" w:ascii="黑体" w:hAnsi="仿宋" w:eastAsia="黑体" w:cs="仿宋"/>
          <w:bCs/>
          <w:sz w:val="32"/>
          <w:szCs w:val="32"/>
          <w:highlight w:val="none"/>
        </w:rPr>
        <w:t>证明（如果有）</w:t>
      </w:r>
    </w:p>
    <w:p>
      <w:pPr>
        <w:bidi w:val="0"/>
        <w:jc w:val="left"/>
        <w:rPr>
          <w:rFonts w:hint="eastAsia" w:hAnsi="宋体"/>
          <w:b/>
          <w:bCs/>
          <w:highlight w:val="none"/>
          <w:u w:val="single"/>
        </w:rPr>
      </w:pPr>
      <w:r>
        <w:rPr>
          <w:rFonts w:hint="eastAsia" w:hAnsi="宋体"/>
          <w:b/>
          <w:bCs/>
          <w:highlight w:val="none"/>
          <w:u w:val="none"/>
          <w:lang w:val="en-US" w:eastAsia="zh-CN"/>
        </w:rPr>
        <w:t xml:space="preserve">    </w:t>
      </w:r>
      <w:r>
        <w:rPr>
          <w:rFonts w:hint="eastAsia" w:hAnsi="宋体"/>
          <w:b/>
          <w:bCs/>
          <w:highlight w:val="none"/>
          <w:u w:val="single"/>
        </w:rPr>
        <w:t>注：供应商如果有名称变更的，应提供由工商管理部门出具的变更证明文件。（复印件加盖供应商公章）</w:t>
      </w:r>
    </w:p>
    <w:p>
      <w:pPr>
        <w:rPr>
          <w:rFonts w:hint="eastAsia" w:hAnsi="宋体"/>
          <w:b/>
          <w:bCs/>
          <w:highlight w:val="none"/>
          <w:u w:val="single"/>
        </w:rPr>
      </w:pPr>
      <w:r>
        <w:rPr>
          <w:rFonts w:hint="eastAsia" w:hAnsi="宋体"/>
          <w:b/>
          <w:bCs/>
          <w:highlight w:val="none"/>
          <w:u w:val="single"/>
        </w:rPr>
        <w:br w:type="page"/>
      </w:r>
    </w:p>
    <w:p>
      <w:pPr>
        <w:bidi w:val="0"/>
        <w:jc w:val="center"/>
        <w:rPr>
          <w:highlight w:val="none"/>
        </w:rPr>
      </w:pPr>
      <w:r>
        <w:rPr>
          <w:rFonts w:hint="eastAsia" w:ascii="黑体" w:hAnsi="仿宋" w:eastAsia="黑体" w:cs="仿宋"/>
          <w:b/>
          <w:bCs w:val="0"/>
          <w:kern w:val="2"/>
          <w:sz w:val="32"/>
          <w:szCs w:val="32"/>
          <w:highlight w:val="none"/>
          <w:lang w:val="en-US" w:eastAsia="zh-CN" w:bidi="ar-SA"/>
        </w:rPr>
        <w:t>二、投标函及投标函附录</w:t>
      </w:r>
      <w:bookmarkEnd w:id="1366"/>
      <w:bookmarkEnd w:id="1367"/>
      <w:bookmarkEnd w:id="1368"/>
      <w:bookmarkEnd w:id="1369"/>
    </w:p>
    <w:p>
      <w:pPr>
        <w:spacing w:line="440" w:lineRule="exact"/>
        <w:ind w:firstLine="2700" w:firstLineChars="1350"/>
        <w:rPr>
          <w:rFonts w:eastAsia="黑体"/>
          <w:sz w:val="20"/>
          <w:szCs w:val="20"/>
          <w:highlight w:val="none"/>
        </w:rPr>
      </w:pPr>
    </w:p>
    <w:p>
      <w:pPr>
        <w:spacing w:line="360" w:lineRule="atLeast"/>
        <w:jc w:val="center"/>
        <w:rPr>
          <w:rFonts w:hint="eastAsia" w:ascii="黑体" w:hAnsi="仿宋" w:eastAsia="黑体" w:cs="黑体"/>
          <w:sz w:val="32"/>
          <w:szCs w:val="32"/>
          <w:highlight w:val="none"/>
        </w:rPr>
      </w:pPr>
      <w:bookmarkStart w:id="1425" w:name="_Toc179632809"/>
      <w:bookmarkStart w:id="1426" w:name="_Toc144974858"/>
      <w:bookmarkStart w:id="1427" w:name="_Toc152045789"/>
      <w:bookmarkStart w:id="1428" w:name="_Toc152042578"/>
      <w:r>
        <w:rPr>
          <w:rFonts w:hint="eastAsia" w:ascii="黑体" w:hAnsi="仿宋" w:eastAsia="黑体" w:cs="黑体"/>
          <w:sz w:val="32"/>
          <w:szCs w:val="32"/>
          <w:highlight w:val="none"/>
        </w:rPr>
        <w:t>（一）投标函</w:t>
      </w:r>
      <w:bookmarkEnd w:id="1425"/>
      <w:bookmarkEnd w:id="1426"/>
      <w:bookmarkEnd w:id="1427"/>
      <w:bookmarkEnd w:id="1428"/>
    </w:p>
    <w:p>
      <w:pPr>
        <w:spacing w:line="440" w:lineRule="exact"/>
        <w:rPr>
          <w:sz w:val="20"/>
          <w:szCs w:val="20"/>
          <w:highlight w:val="none"/>
        </w:rPr>
      </w:pPr>
    </w:p>
    <w:p>
      <w:pPr>
        <w:spacing w:line="360" w:lineRule="auto"/>
        <w:rPr>
          <w:rFonts w:ascii="宋体" w:hAnsi="宋体"/>
          <w:b/>
          <w:bCs/>
          <w:sz w:val="24"/>
          <w:highlight w:val="none"/>
        </w:rPr>
      </w:pPr>
      <w:r>
        <w:rPr>
          <w:rFonts w:hint="eastAsia" w:ascii="宋体" w:hAnsi="宋体"/>
          <w:sz w:val="24"/>
          <w:highlight w:val="none"/>
        </w:rPr>
        <w:t>致：</w:t>
      </w:r>
      <w:r>
        <w:rPr>
          <w:rFonts w:hint="eastAsia" w:ascii="宋体" w:hAnsi="宋体"/>
          <w:b/>
          <w:bCs/>
          <w:sz w:val="24"/>
          <w:highlight w:val="none"/>
        </w:rPr>
        <w:t>陕西德勤招标有限公司</w:t>
      </w:r>
    </w:p>
    <w:p>
      <w:pPr>
        <w:spacing w:line="360" w:lineRule="auto"/>
        <w:ind w:firstLine="480" w:firstLineChars="200"/>
        <w:rPr>
          <w:rFonts w:ascii="宋体" w:hAnsi="宋体"/>
          <w:sz w:val="24"/>
          <w:highlight w:val="none"/>
        </w:rPr>
      </w:pPr>
      <w:r>
        <w:rPr>
          <w:rFonts w:hint="eastAsia" w:ascii="宋体" w:hAnsi="宋体"/>
          <w:sz w:val="24"/>
          <w:highlight w:val="none"/>
        </w:rPr>
        <w:t>为响应你方组织的</w:t>
      </w:r>
      <w:r>
        <w:rPr>
          <w:rFonts w:hint="eastAsia" w:ascii="宋体" w:hAnsi="宋体"/>
          <w:sz w:val="24"/>
          <w:highlight w:val="none"/>
          <w:u w:val="single"/>
          <w:lang w:eastAsia="zh-CN"/>
        </w:rPr>
        <w:t>（</w:t>
      </w:r>
      <w:r>
        <w:rPr>
          <w:rFonts w:hint="eastAsia" w:hAnsi="宋体"/>
          <w:sz w:val="24"/>
          <w:szCs w:val="24"/>
          <w:highlight w:val="none"/>
          <w:u w:val="single"/>
        </w:rPr>
        <w:t>采购项目名称</w:t>
      </w:r>
      <w:r>
        <w:rPr>
          <w:rFonts w:hint="eastAsia" w:hAnsi="宋体"/>
          <w:sz w:val="24"/>
          <w:szCs w:val="24"/>
          <w:highlight w:val="none"/>
          <w:u w:val="single"/>
          <w:lang w:eastAsia="zh-CN"/>
        </w:rPr>
        <w:t>）</w:t>
      </w:r>
      <w:r>
        <w:rPr>
          <w:rFonts w:hint="eastAsia" w:ascii="宋体" w:hAnsi="宋体"/>
          <w:sz w:val="24"/>
          <w:highlight w:val="none"/>
        </w:rPr>
        <w:t>的</w:t>
      </w:r>
      <w:r>
        <w:rPr>
          <w:rFonts w:hint="eastAsia" w:ascii="宋体" w:hAnsi="宋体"/>
          <w:sz w:val="24"/>
          <w:highlight w:val="none"/>
          <w:lang w:val="en-US" w:eastAsia="zh-CN"/>
        </w:rPr>
        <w:t>公开招标</w:t>
      </w:r>
      <w:r>
        <w:rPr>
          <w:rFonts w:hint="eastAsia" w:ascii="宋体" w:hAnsi="宋体"/>
          <w:sz w:val="24"/>
          <w:highlight w:val="none"/>
        </w:rPr>
        <w:t>采购（项目编号为：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），我方愿参与</w:t>
      </w:r>
      <w:r>
        <w:rPr>
          <w:rFonts w:hint="eastAsia" w:ascii="宋体" w:hAnsi="宋体"/>
          <w:sz w:val="24"/>
          <w:highlight w:val="none"/>
          <w:lang w:val="en-US" w:eastAsia="zh-CN"/>
        </w:rPr>
        <w:t>投标</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我方确认收到贵方提供的</w:t>
      </w:r>
      <w:r>
        <w:rPr>
          <w:rFonts w:hint="eastAsia" w:ascii="宋体" w:hAnsi="宋体"/>
          <w:sz w:val="24"/>
          <w:highlight w:val="none"/>
          <w:u w:val="single"/>
        </w:rPr>
        <w:t xml:space="preserve">  </w:t>
      </w:r>
      <w:r>
        <w:rPr>
          <w:rFonts w:hint="eastAsia" w:ascii="宋体" w:hAnsi="宋体"/>
          <w:sz w:val="24"/>
          <w:highlight w:val="none"/>
          <w:u w:val="single"/>
          <w:lang w:eastAsia="zh-CN"/>
        </w:rPr>
        <w:t>（</w:t>
      </w:r>
      <w:r>
        <w:rPr>
          <w:rFonts w:hint="eastAsia" w:hAnsi="宋体"/>
          <w:sz w:val="24"/>
          <w:szCs w:val="24"/>
          <w:highlight w:val="none"/>
          <w:u w:val="single"/>
        </w:rPr>
        <w:t>采购项目名称</w:t>
      </w:r>
      <w:r>
        <w:rPr>
          <w:rFonts w:hint="eastAsia" w:hAnsi="宋体"/>
          <w:sz w:val="24"/>
          <w:szCs w:val="24"/>
          <w:highlight w:val="none"/>
          <w:u w:val="single"/>
          <w:lang w:eastAsia="zh-CN"/>
        </w:rPr>
        <w:t>）</w:t>
      </w:r>
      <w:r>
        <w:rPr>
          <w:rFonts w:hint="eastAsia" w:ascii="宋体" w:hAnsi="宋体"/>
          <w:sz w:val="24"/>
          <w:highlight w:val="none"/>
          <w:u w:val="single"/>
        </w:rPr>
        <w:t xml:space="preserve">  </w:t>
      </w:r>
      <w:r>
        <w:rPr>
          <w:rFonts w:hint="eastAsia" w:ascii="宋体" w:hAnsi="宋体"/>
          <w:sz w:val="24"/>
          <w:highlight w:val="none"/>
          <w:lang w:val="en-US" w:eastAsia="zh-CN"/>
        </w:rPr>
        <w:t>招标</w:t>
      </w:r>
      <w:r>
        <w:rPr>
          <w:rFonts w:hint="eastAsia" w:ascii="宋体" w:hAnsi="宋体"/>
          <w:sz w:val="24"/>
          <w:highlight w:val="none"/>
        </w:rPr>
        <w:t>文件的全部内容。</w:t>
      </w:r>
    </w:p>
    <w:p>
      <w:pPr>
        <w:spacing w:line="360" w:lineRule="auto"/>
        <w:ind w:firstLine="480" w:firstLineChars="200"/>
        <w:rPr>
          <w:rFonts w:ascii="宋体" w:hAnsi="宋体"/>
          <w:sz w:val="24"/>
          <w:highlight w:val="none"/>
        </w:rPr>
      </w:pPr>
      <w:r>
        <w:rPr>
          <w:rFonts w:hint="eastAsia" w:ascii="宋体" w:hAnsi="宋体"/>
          <w:sz w:val="24"/>
          <w:highlight w:val="none"/>
        </w:rPr>
        <w:t>我方在</w:t>
      </w:r>
      <w:r>
        <w:rPr>
          <w:rFonts w:hint="eastAsia" w:ascii="宋体" w:hAnsi="宋体"/>
          <w:sz w:val="24"/>
          <w:highlight w:val="none"/>
          <w:lang w:eastAsia="zh-CN"/>
        </w:rPr>
        <w:t>参与</w:t>
      </w:r>
      <w:r>
        <w:rPr>
          <w:rFonts w:hint="eastAsia" w:ascii="宋体" w:hAnsi="宋体"/>
          <w:sz w:val="24"/>
          <w:highlight w:val="none"/>
          <w:lang w:val="en-US" w:eastAsia="zh-CN"/>
        </w:rPr>
        <w:t>投标</w:t>
      </w:r>
      <w:r>
        <w:rPr>
          <w:rFonts w:hint="eastAsia" w:ascii="宋体" w:hAnsi="宋体"/>
          <w:sz w:val="24"/>
          <w:highlight w:val="none"/>
        </w:rPr>
        <w:t>前已详细研究了</w:t>
      </w:r>
      <w:r>
        <w:rPr>
          <w:rFonts w:hint="eastAsia" w:ascii="宋体" w:hAnsi="宋体"/>
          <w:sz w:val="24"/>
          <w:highlight w:val="none"/>
          <w:lang w:val="en-US" w:eastAsia="zh-CN"/>
        </w:rPr>
        <w:t>招标</w:t>
      </w:r>
      <w:r>
        <w:rPr>
          <w:rFonts w:hint="eastAsia" w:ascii="宋体" w:hAnsi="宋体"/>
          <w:sz w:val="24"/>
          <w:highlight w:val="none"/>
        </w:rPr>
        <w:t>文件的所有内容，包括澄清、修改文件（如果有）和所有已提供的参考资料以及有关附件，我方完全明白并认为此</w:t>
      </w:r>
      <w:r>
        <w:rPr>
          <w:rFonts w:hint="eastAsia" w:ascii="宋体" w:hAnsi="宋体"/>
          <w:sz w:val="24"/>
          <w:highlight w:val="none"/>
          <w:lang w:val="en-US" w:eastAsia="zh-CN"/>
        </w:rPr>
        <w:t>招标</w:t>
      </w:r>
      <w:r>
        <w:rPr>
          <w:rFonts w:hint="eastAsia" w:ascii="宋体" w:hAnsi="宋体"/>
          <w:sz w:val="24"/>
          <w:highlight w:val="none"/>
        </w:rPr>
        <w:t>文件没有倾向性，也不存在排斥潜在供应商的内容，我方同意</w:t>
      </w:r>
      <w:r>
        <w:rPr>
          <w:rFonts w:hint="eastAsia" w:ascii="宋体" w:hAnsi="宋体"/>
          <w:sz w:val="24"/>
          <w:highlight w:val="none"/>
          <w:lang w:val="en-US" w:eastAsia="zh-CN"/>
        </w:rPr>
        <w:t>招标</w:t>
      </w:r>
      <w:r>
        <w:rPr>
          <w:rFonts w:hint="eastAsia" w:ascii="宋体" w:hAnsi="宋体"/>
          <w:sz w:val="24"/>
          <w:highlight w:val="none"/>
        </w:rPr>
        <w:t>文件的相关条款，放弃对</w:t>
      </w:r>
      <w:r>
        <w:rPr>
          <w:rFonts w:hint="eastAsia" w:ascii="宋体" w:hAnsi="宋体"/>
          <w:sz w:val="24"/>
          <w:highlight w:val="none"/>
          <w:lang w:val="en-US" w:eastAsia="zh-CN"/>
        </w:rPr>
        <w:t>招标</w:t>
      </w:r>
      <w:r>
        <w:rPr>
          <w:rFonts w:hint="eastAsia" w:ascii="宋体" w:hAnsi="宋体"/>
          <w:sz w:val="24"/>
          <w:highlight w:val="none"/>
        </w:rPr>
        <w:t>文件提出误解和质疑的一切权力。</w:t>
      </w:r>
    </w:p>
    <w:p>
      <w:pPr>
        <w:spacing w:line="360" w:lineRule="auto"/>
        <w:ind w:firstLine="480" w:firstLineChars="200"/>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u w:val="single"/>
          <w:lang w:val="en-US" w:eastAsia="zh-CN"/>
        </w:rPr>
        <w:t>投标</w:t>
      </w:r>
      <w:r>
        <w:rPr>
          <w:rFonts w:hint="eastAsia" w:ascii="宋体" w:hAnsi="宋体"/>
          <w:sz w:val="24"/>
          <w:highlight w:val="none"/>
          <w:u w:val="single"/>
        </w:rPr>
        <w:t xml:space="preserve">供应商名称)      </w:t>
      </w:r>
      <w:r>
        <w:rPr>
          <w:rFonts w:hint="eastAsia" w:ascii="宋体" w:hAnsi="宋体"/>
          <w:sz w:val="24"/>
          <w:highlight w:val="none"/>
        </w:rPr>
        <w:t>作为</w:t>
      </w:r>
      <w:r>
        <w:rPr>
          <w:rFonts w:hint="eastAsia" w:ascii="宋体" w:hAnsi="宋体"/>
          <w:sz w:val="24"/>
          <w:highlight w:val="none"/>
          <w:lang w:val="en-US" w:eastAsia="zh-CN"/>
        </w:rPr>
        <w:t>投标</w:t>
      </w:r>
      <w:r>
        <w:rPr>
          <w:rFonts w:hint="eastAsia" w:ascii="宋体" w:hAnsi="宋体"/>
          <w:sz w:val="24"/>
          <w:highlight w:val="none"/>
        </w:rPr>
        <w:t>供应商正式授权</w:t>
      </w:r>
      <w:r>
        <w:rPr>
          <w:rFonts w:hint="eastAsia" w:ascii="宋体" w:hAnsi="宋体"/>
          <w:sz w:val="24"/>
          <w:highlight w:val="none"/>
          <w:u w:val="single"/>
        </w:rPr>
        <w:t xml:space="preserve">  (授权代表全名, 职务)  </w:t>
      </w:r>
      <w:r>
        <w:rPr>
          <w:rFonts w:hint="eastAsia" w:ascii="宋体" w:hAnsi="宋体"/>
          <w:sz w:val="24"/>
          <w:highlight w:val="none"/>
        </w:rPr>
        <w:t>代表我方全权处理有关本</w:t>
      </w:r>
      <w:r>
        <w:rPr>
          <w:rFonts w:hint="eastAsia" w:ascii="宋体" w:hAnsi="宋体"/>
          <w:sz w:val="24"/>
          <w:highlight w:val="none"/>
          <w:lang w:val="en-US" w:eastAsia="zh-CN"/>
        </w:rPr>
        <w:t>投标</w:t>
      </w:r>
      <w:r>
        <w:rPr>
          <w:rFonts w:hint="eastAsia" w:ascii="宋体" w:hAnsi="宋体"/>
          <w:sz w:val="24"/>
          <w:highlight w:val="none"/>
        </w:rPr>
        <w:t>的一切事宜。</w:t>
      </w:r>
    </w:p>
    <w:p>
      <w:pPr>
        <w:spacing w:line="360" w:lineRule="auto"/>
        <w:ind w:firstLine="480" w:firstLineChars="200"/>
        <w:rPr>
          <w:rFonts w:ascii="宋体" w:hAnsi="宋体"/>
          <w:sz w:val="24"/>
          <w:highlight w:val="none"/>
        </w:rPr>
      </w:pPr>
      <w:r>
        <w:rPr>
          <w:rFonts w:hint="eastAsia" w:ascii="宋体" w:hAnsi="宋体"/>
          <w:sz w:val="24"/>
          <w:highlight w:val="none"/>
        </w:rPr>
        <w:t>在此提交的</w:t>
      </w:r>
      <w:r>
        <w:rPr>
          <w:rFonts w:hint="eastAsia" w:ascii="宋体" w:hAnsi="宋体"/>
          <w:sz w:val="24"/>
          <w:highlight w:val="none"/>
          <w:lang w:val="en-US" w:eastAsia="zh-CN"/>
        </w:rPr>
        <w:t>投标</w:t>
      </w:r>
      <w:r>
        <w:rPr>
          <w:rFonts w:hint="eastAsia" w:ascii="宋体" w:hAnsi="宋体"/>
          <w:sz w:val="24"/>
          <w:highlight w:val="none"/>
        </w:rPr>
        <w:t>文件，正本壹份，副本</w:t>
      </w:r>
      <w:r>
        <w:rPr>
          <w:rFonts w:hint="eastAsia" w:ascii="宋体" w:hAnsi="宋体"/>
          <w:sz w:val="24"/>
          <w:highlight w:val="none"/>
          <w:u w:val="single"/>
        </w:rPr>
        <w:t xml:space="preserve">  </w:t>
      </w:r>
      <w:r>
        <w:rPr>
          <w:rFonts w:hint="eastAsia" w:ascii="宋体" w:hAnsi="宋体"/>
          <w:sz w:val="24"/>
          <w:highlight w:val="none"/>
        </w:rPr>
        <w:t>份，电子版本</w:t>
      </w:r>
      <w:r>
        <w:rPr>
          <w:rFonts w:hint="eastAsia" w:ascii="宋体" w:hAnsi="宋体"/>
          <w:sz w:val="24"/>
          <w:highlight w:val="none"/>
          <w:u w:val="single"/>
        </w:rPr>
        <w:t xml:space="preserve">  </w:t>
      </w:r>
      <w:r>
        <w:rPr>
          <w:rFonts w:hint="eastAsia" w:ascii="宋体" w:hAnsi="宋体"/>
          <w:sz w:val="24"/>
          <w:highlight w:val="none"/>
        </w:rPr>
        <w:t>份。</w:t>
      </w:r>
    </w:p>
    <w:p>
      <w:pPr>
        <w:spacing w:line="360" w:lineRule="auto"/>
        <w:ind w:firstLine="480" w:firstLineChars="200"/>
        <w:rPr>
          <w:rFonts w:ascii="宋体" w:hAnsi="宋体"/>
          <w:sz w:val="24"/>
          <w:highlight w:val="none"/>
        </w:rPr>
      </w:pPr>
      <w:r>
        <w:rPr>
          <w:rFonts w:hint="eastAsia" w:ascii="宋体" w:hAnsi="宋体"/>
          <w:sz w:val="24"/>
          <w:highlight w:val="none"/>
        </w:rPr>
        <w:t>我方已完全明白</w:t>
      </w:r>
      <w:r>
        <w:rPr>
          <w:rFonts w:hint="eastAsia" w:ascii="宋体" w:hAnsi="宋体"/>
          <w:sz w:val="24"/>
          <w:highlight w:val="none"/>
          <w:lang w:val="en-US" w:eastAsia="zh-CN"/>
        </w:rPr>
        <w:t>招标</w:t>
      </w:r>
      <w:r>
        <w:rPr>
          <w:rFonts w:hint="eastAsia" w:ascii="宋体" w:hAnsi="宋体"/>
          <w:sz w:val="24"/>
          <w:highlight w:val="none"/>
        </w:rPr>
        <w:t>文件的所有条款要求，并申明如下：</w:t>
      </w:r>
    </w:p>
    <w:p>
      <w:pPr>
        <w:spacing w:line="360" w:lineRule="auto"/>
        <w:ind w:firstLine="480" w:firstLineChars="200"/>
        <w:rPr>
          <w:rFonts w:ascii="宋体" w:hAnsi="宋体"/>
          <w:sz w:val="24"/>
          <w:highlight w:val="none"/>
        </w:rPr>
      </w:pPr>
      <w:r>
        <w:rPr>
          <w:rFonts w:hint="eastAsia" w:ascii="宋体" w:hAnsi="宋体"/>
          <w:sz w:val="24"/>
          <w:highlight w:val="none"/>
        </w:rPr>
        <w:t>（一）按</w:t>
      </w:r>
      <w:r>
        <w:rPr>
          <w:rFonts w:hint="eastAsia" w:ascii="宋体" w:hAnsi="宋体"/>
          <w:sz w:val="24"/>
          <w:highlight w:val="none"/>
          <w:lang w:val="en-US" w:eastAsia="zh-CN"/>
        </w:rPr>
        <w:t>招标</w:t>
      </w:r>
      <w:r>
        <w:rPr>
          <w:rFonts w:hint="eastAsia" w:ascii="宋体" w:hAnsi="宋体"/>
          <w:sz w:val="24"/>
          <w:highlight w:val="none"/>
        </w:rPr>
        <w:t>文件提供的全部服务的</w:t>
      </w:r>
      <w:r>
        <w:rPr>
          <w:rFonts w:hint="eastAsia" w:ascii="宋体" w:hAnsi="宋体"/>
          <w:sz w:val="24"/>
          <w:highlight w:val="none"/>
          <w:lang w:val="en-US" w:eastAsia="zh-CN"/>
        </w:rPr>
        <w:t>投标</w:t>
      </w:r>
      <w:r>
        <w:rPr>
          <w:rFonts w:hint="eastAsia" w:ascii="宋体" w:hAnsi="宋体"/>
          <w:sz w:val="24"/>
          <w:highlight w:val="none"/>
        </w:rPr>
        <w:t>总价详见《</w:t>
      </w:r>
      <w:r>
        <w:rPr>
          <w:rFonts w:hint="eastAsia" w:ascii="宋体" w:hAnsi="宋体"/>
          <w:sz w:val="24"/>
          <w:highlight w:val="none"/>
          <w:lang w:val="en-US" w:eastAsia="zh-CN"/>
        </w:rPr>
        <w:t>开标</w:t>
      </w:r>
      <w:r>
        <w:rPr>
          <w:rFonts w:hint="eastAsia" w:ascii="宋体" w:hAnsi="宋体"/>
          <w:sz w:val="24"/>
          <w:highlight w:val="none"/>
        </w:rPr>
        <w:t>一览表》。</w:t>
      </w:r>
    </w:p>
    <w:p>
      <w:pPr>
        <w:spacing w:line="360" w:lineRule="auto"/>
        <w:ind w:firstLine="480" w:firstLineChars="200"/>
        <w:rPr>
          <w:rFonts w:ascii="宋体" w:hAnsi="宋体"/>
          <w:sz w:val="24"/>
          <w:highlight w:val="none"/>
        </w:rPr>
      </w:pPr>
      <w:r>
        <w:rPr>
          <w:rFonts w:hint="eastAsia" w:ascii="宋体" w:hAnsi="宋体"/>
          <w:sz w:val="24"/>
          <w:highlight w:val="none"/>
        </w:rPr>
        <w:t>（二）本</w:t>
      </w:r>
      <w:r>
        <w:rPr>
          <w:rFonts w:hint="eastAsia" w:ascii="宋体" w:hAnsi="宋体"/>
          <w:sz w:val="24"/>
          <w:highlight w:val="none"/>
          <w:lang w:val="en-US" w:eastAsia="zh-CN"/>
        </w:rPr>
        <w:t>投标</w:t>
      </w:r>
      <w:r>
        <w:rPr>
          <w:rFonts w:hint="eastAsia" w:ascii="宋体" w:hAnsi="宋体"/>
          <w:sz w:val="24"/>
          <w:highlight w:val="none"/>
        </w:rPr>
        <w:t>文件的有效期为</w:t>
      </w:r>
      <w:r>
        <w:rPr>
          <w:rFonts w:hint="eastAsia" w:ascii="宋体" w:hAnsi="宋体"/>
          <w:sz w:val="24"/>
          <w:highlight w:val="none"/>
          <w:lang w:val="en-US" w:eastAsia="zh-CN"/>
        </w:rPr>
        <w:t>投标</w:t>
      </w:r>
      <w:r>
        <w:rPr>
          <w:rFonts w:hint="eastAsia" w:ascii="宋体" w:hAnsi="宋体"/>
          <w:sz w:val="24"/>
          <w:highlight w:val="none"/>
        </w:rPr>
        <w:t>截止时间起90天。如</w:t>
      </w:r>
      <w:r>
        <w:rPr>
          <w:rFonts w:hint="eastAsia" w:ascii="宋体" w:hAnsi="宋体"/>
          <w:sz w:val="24"/>
          <w:highlight w:val="none"/>
          <w:lang w:val="en-US" w:eastAsia="zh-CN"/>
        </w:rPr>
        <w:t>中标</w:t>
      </w:r>
      <w:r>
        <w:rPr>
          <w:rFonts w:hint="eastAsia" w:ascii="宋体" w:hAnsi="宋体"/>
          <w:sz w:val="24"/>
          <w:highlight w:val="none"/>
        </w:rPr>
        <w:t>，有效期将延至合同终止日为止。在此提交的资格证明文件均至</w:t>
      </w:r>
      <w:r>
        <w:rPr>
          <w:rFonts w:hint="eastAsia" w:ascii="宋体" w:hAnsi="宋体"/>
          <w:sz w:val="24"/>
          <w:highlight w:val="none"/>
          <w:lang w:val="en-US" w:eastAsia="zh-CN"/>
        </w:rPr>
        <w:t>投标</w:t>
      </w:r>
      <w:r>
        <w:rPr>
          <w:rFonts w:hint="eastAsia" w:ascii="宋体" w:hAnsi="宋体"/>
          <w:sz w:val="24"/>
          <w:highlight w:val="none"/>
        </w:rPr>
        <w:t>截止日有效，如有在</w:t>
      </w:r>
      <w:r>
        <w:rPr>
          <w:rFonts w:hint="eastAsia" w:ascii="宋体" w:hAnsi="宋体"/>
          <w:sz w:val="24"/>
          <w:highlight w:val="none"/>
          <w:lang w:val="en-US" w:eastAsia="zh-CN"/>
        </w:rPr>
        <w:t>投标</w:t>
      </w:r>
      <w:r>
        <w:rPr>
          <w:rFonts w:hint="eastAsia" w:ascii="宋体" w:hAnsi="宋体"/>
          <w:sz w:val="24"/>
          <w:highlight w:val="none"/>
        </w:rPr>
        <w:t>有效期内失效的，我方承诺在</w:t>
      </w:r>
      <w:r>
        <w:rPr>
          <w:rFonts w:hint="eastAsia" w:ascii="宋体" w:hAnsi="宋体"/>
          <w:sz w:val="24"/>
          <w:highlight w:val="none"/>
          <w:lang w:val="en-US" w:eastAsia="zh-CN"/>
        </w:rPr>
        <w:t>中标</w:t>
      </w:r>
      <w:r>
        <w:rPr>
          <w:rFonts w:hint="eastAsia" w:ascii="宋体" w:hAnsi="宋体"/>
          <w:sz w:val="24"/>
          <w:highlight w:val="none"/>
        </w:rPr>
        <w:t>后补齐一切手续，保证所有资格证明文件能在签订采购合同时直至采购合同终止日有效。</w:t>
      </w:r>
    </w:p>
    <w:p>
      <w:pPr>
        <w:spacing w:line="360" w:lineRule="auto"/>
        <w:ind w:firstLine="480" w:firstLineChars="200"/>
        <w:rPr>
          <w:rFonts w:ascii="宋体" w:hAnsi="宋体"/>
          <w:sz w:val="24"/>
          <w:highlight w:val="none"/>
        </w:rPr>
      </w:pPr>
      <w:r>
        <w:rPr>
          <w:rFonts w:hint="eastAsia" w:ascii="宋体" w:hAnsi="宋体"/>
          <w:sz w:val="24"/>
          <w:highlight w:val="none"/>
        </w:rPr>
        <w:t>（三）我方明白并同意，在规定的开标日之后，</w:t>
      </w:r>
      <w:r>
        <w:rPr>
          <w:rFonts w:hint="eastAsia" w:ascii="宋体" w:hAnsi="宋体"/>
          <w:sz w:val="24"/>
          <w:highlight w:val="none"/>
          <w:lang w:val="en-US" w:eastAsia="zh-CN"/>
        </w:rPr>
        <w:t>投标</w:t>
      </w:r>
      <w:r>
        <w:rPr>
          <w:rFonts w:hint="eastAsia" w:ascii="宋体" w:hAnsi="宋体"/>
          <w:sz w:val="24"/>
          <w:highlight w:val="none"/>
        </w:rPr>
        <w:t>有效期之内撤回</w:t>
      </w:r>
      <w:r>
        <w:rPr>
          <w:rFonts w:hint="eastAsia" w:ascii="宋体" w:hAnsi="宋体"/>
          <w:sz w:val="24"/>
          <w:highlight w:val="none"/>
          <w:lang w:val="en-US" w:eastAsia="zh-CN"/>
        </w:rPr>
        <w:t>投标</w:t>
      </w:r>
      <w:r>
        <w:rPr>
          <w:rFonts w:hint="eastAsia" w:ascii="宋体" w:hAnsi="宋体"/>
          <w:sz w:val="24"/>
          <w:highlight w:val="none"/>
        </w:rPr>
        <w:t>或</w:t>
      </w:r>
      <w:r>
        <w:rPr>
          <w:rFonts w:hint="eastAsia" w:ascii="宋体" w:hAnsi="宋体"/>
          <w:sz w:val="24"/>
          <w:highlight w:val="none"/>
          <w:lang w:val="en-US" w:eastAsia="zh-CN"/>
        </w:rPr>
        <w:t>中标</w:t>
      </w:r>
      <w:r>
        <w:rPr>
          <w:rFonts w:hint="eastAsia" w:ascii="宋体" w:hAnsi="宋体"/>
          <w:sz w:val="24"/>
          <w:highlight w:val="none"/>
        </w:rPr>
        <w:t>后不按规定与采购人签订合同或不提交履约保证金，则贵方将不予退还</w:t>
      </w:r>
      <w:r>
        <w:rPr>
          <w:rFonts w:hint="eastAsia" w:ascii="宋体" w:hAnsi="宋体"/>
          <w:sz w:val="24"/>
          <w:highlight w:val="none"/>
          <w:lang w:val="en-US" w:eastAsia="zh-CN"/>
        </w:rPr>
        <w:t>投标</w:t>
      </w:r>
      <w:r>
        <w:rPr>
          <w:rFonts w:hint="eastAsia" w:ascii="宋体" w:hAnsi="宋体"/>
          <w:sz w:val="24"/>
          <w:highlight w:val="none"/>
        </w:rPr>
        <w:t>保证金。</w:t>
      </w:r>
    </w:p>
    <w:p>
      <w:pPr>
        <w:spacing w:line="360" w:lineRule="auto"/>
        <w:ind w:firstLine="480" w:firstLineChars="200"/>
        <w:rPr>
          <w:rFonts w:ascii="宋体" w:hAnsi="宋体"/>
          <w:sz w:val="24"/>
          <w:highlight w:val="none"/>
        </w:rPr>
      </w:pPr>
      <w:r>
        <w:rPr>
          <w:rFonts w:hint="eastAsia" w:ascii="宋体" w:hAnsi="宋体"/>
          <w:sz w:val="24"/>
          <w:highlight w:val="none"/>
        </w:rPr>
        <w:t>（四）我方同意按照贵方可能提出的要求而提供与</w:t>
      </w:r>
      <w:r>
        <w:rPr>
          <w:rFonts w:hint="eastAsia" w:ascii="宋体" w:hAnsi="宋体"/>
          <w:sz w:val="24"/>
          <w:highlight w:val="none"/>
          <w:lang w:val="en-US" w:eastAsia="zh-CN"/>
        </w:rPr>
        <w:t>投标</w:t>
      </w:r>
      <w:r>
        <w:rPr>
          <w:rFonts w:hint="eastAsia" w:ascii="宋体" w:hAnsi="宋体"/>
          <w:sz w:val="24"/>
          <w:highlight w:val="none"/>
        </w:rPr>
        <w:t>有关的任何其它数据、信息或资料。</w:t>
      </w:r>
    </w:p>
    <w:p>
      <w:pPr>
        <w:spacing w:line="360" w:lineRule="auto"/>
        <w:ind w:firstLine="480" w:firstLineChars="200"/>
        <w:rPr>
          <w:rFonts w:ascii="宋体" w:hAnsi="宋体"/>
          <w:sz w:val="24"/>
          <w:highlight w:val="none"/>
        </w:rPr>
      </w:pPr>
      <w:r>
        <w:rPr>
          <w:rFonts w:hint="eastAsia" w:ascii="宋体" w:hAnsi="宋体"/>
          <w:sz w:val="24"/>
          <w:highlight w:val="none"/>
        </w:rPr>
        <w:t>（五）我方理解贵方不一定接受最低</w:t>
      </w:r>
      <w:r>
        <w:rPr>
          <w:rFonts w:hint="eastAsia" w:ascii="宋体" w:hAnsi="宋体"/>
          <w:sz w:val="24"/>
          <w:highlight w:val="none"/>
          <w:lang w:val="en-US" w:eastAsia="zh-CN"/>
        </w:rPr>
        <w:t>投标报</w:t>
      </w:r>
      <w:r>
        <w:rPr>
          <w:rFonts w:hint="eastAsia" w:ascii="宋体" w:hAnsi="宋体"/>
          <w:sz w:val="24"/>
          <w:highlight w:val="none"/>
        </w:rPr>
        <w:t>价或任何贵方可能收到的</w:t>
      </w:r>
      <w:r>
        <w:rPr>
          <w:rFonts w:hint="eastAsia" w:ascii="宋体" w:hAnsi="宋体"/>
          <w:sz w:val="24"/>
          <w:highlight w:val="none"/>
          <w:lang w:val="en-US" w:eastAsia="zh-CN"/>
        </w:rPr>
        <w:t>投标</w:t>
      </w:r>
      <w:r>
        <w:rPr>
          <w:rFonts w:hint="eastAsia" w:ascii="宋体" w:hAnsi="宋体"/>
          <w:sz w:val="24"/>
          <w:highlight w:val="none"/>
        </w:rPr>
        <w:t>报价。</w:t>
      </w:r>
    </w:p>
    <w:p>
      <w:pPr>
        <w:spacing w:line="360" w:lineRule="auto"/>
        <w:ind w:firstLine="480" w:firstLineChars="200"/>
        <w:rPr>
          <w:rFonts w:ascii="宋体" w:hAnsi="宋体"/>
          <w:sz w:val="24"/>
          <w:highlight w:val="none"/>
        </w:rPr>
      </w:pPr>
      <w:r>
        <w:rPr>
          <w:rFonts w:hint="eastAsia" w:ascii="宋体" w:hAnsi="宋体"/>
          <w:sz w:val="24"/>
          <w:highlight w:val="none"/>
        </w:rPr>
        <w:t>（六）我方如果</w:t>
      </w:r>
      <w:r>
        <w:rPr>
          <w:rFonts w:hint="eastAsia" w:ascii="宋体" w:hAnsi="宋体"/>
          <w:sz w:val="24"/>
          <w:highlight w:val="none"/>
          <w:lang w:val="en-US" w:eastAsia="zh-CN"/>
        </w:rPr>
        <w:t>中标</w:t>
      </w:r>
      <w:r>
        <w:rPr>
          <w:rFonts w:hint="eastAsia" w:ascii="宋体" w:hAnsi="宋体"/>
          <w:sz w:val="24"/>
          <w:highlight w:val="none"/>
        </w:rPr>
        <w:t>，将保证履行</w:t>
      </w:r>
      <w:r>
        <w:rPr>
          <w:rFonts w:hint="eastAsia" w:ascii="宋体" w:hAnsi="宋体"/>
          <w:sz w:val="24"/>
          <w:highlight w:val="none"/>
          <w:lang w:val="en-US" w:eastAsia="zh-CN"/>
        </w:rPr>
        <w:t>招标</w:t>
      </w:r>
      <w:r>
        <w:rPr>
          <w:rFonts w:hint="eastAsia" w:ascii="宋体" w:hAnsi="宋体"/>
          <w:sz w:val="24"/>
          <w:highlight w:val="none"/>
        </w:rPr>
        <w:t>文件及其澄清、修改文件（如果有）中的全部责任和义务，按质、按量、按期完成《用户需求书》及《合同书》中的全部任务。</w:t>
      </w:r>
    </w:p>
    <w:p>
      <w:pPr>
        <w:spacing w:line="360" w:lineRule="auto"/>
        <w:ind w:firstLine="480" w:firstLineChars="200"/>
        <w:rPr>
          <w:rFonts w:ascii="宋体" w:hAnsi="宋体"/>
          <w:sz w:val="24"/>
          <w:highlight w:val="none"/>
        </w:rPr>
      </w:pPr>
      <w:r>
        <w:rPr>
          <w:rFonts w:hint="eastAsia" w:ascii="宋体" w:hAnsi="宋体"/>
          <w:sz w:val="24"/>
          <w:highlight w:val="none"/>
        </w:rPr>
        <w:t>（七）如我方被授予合同，我方承诺支付就本次采购应支付或将支付的采购代理服务费。</w:t>
      </w:r>
    </w:p>
    <w:p>
      <w:pPr>
        <w:spacing w:line="360" w:lineRule="auto"/>
        <w:ind w:firstLine="480" w:firstLineChars="200"/>
        <w:rPr>
          <w:rFonts w:ascii="宋体" w:hAnsi="宋体"/>
          <w:sz w:val="24"/>
          <w:highlight w:val="none"/>
        </w:rPr>
      </w:pPr>
      <w:r>
        <w:rPr>
          <w:rFonts w:hint="eastAsia" w:ascii="宋体" w:hAnsi="宋体"/>
          <w:sz w:val="24"/>
          <w:highlight w:val="none"/>
        </w:rPr>
        <w:t>（八）我方作为在法律、财务和运作上独立于采购人、采购代理机构的供应商，在此保证所提交的所有文件和全部说明是真实的和正确的。</w:t>
      </w:r>
    </w:p>
    <w:p>
      <w:pPr>
        <w:spacing w:line="360" w:lineRule="auto"/>
        <w:ind w:firstLine="480" w:firstLineChars="200"/>
        <w:rPr>
          <w:rFonts w:ascii="宋体" w:hAnsi="宋体"/>
          <w:sz w:val="24"/>
          <w:highlight w:val="none"/>
        </w:rPr>
      </w:pPr>
      <w:r>
        <w:rPr>
          <w:rFonts w:hint="eastAsia" w:ascii="宋体" w:hAnsi="宋体"/>
          <w:sz w:val="24"/>
          <w:highlight w:val="none"/>
        </w:rPr>
        <w:t>（九）我方</w:t>
      </w:r>
      <w:r>
        <w:rPr>
          <w:rFonts w:hint="eastAsia" w:ascii="宋体" w:hAnsi="宋体"/>
          <w:sz w:val="24"/>
          <w:highlight w:val="none"/>
          <w:lang w:val="en-US" w:eastAsia="zh-CN"/>
        </w:rPr>
        <w:t>投标</w:t>
      </w:r>
      <w:r>
        <w:rPr>
          <w:rFonts w:hint="eastAsia" w:ascii="宋体" w:hAnsi="宋体"/>
          <w:sz w:val="24"/>
          <w:highlight w:val="none"/>
        </w:rPr>
        <w:t xml:space="preserve">报价已包含应向知识产权所有权人支付的所有相关税费，并保证采购人在中国使用我方提供的货物时，如有第三方提出侵犯其知识产权主张的，责任由我方承担。 </w:t>
      </w:r>
    </w:p>
    <w:p>
      <w:pPr>
        <w:spacing w:line="360" w:lineRule="auto"/>
        <w:ind w:firstLine="480" w:firstLineChars="200"/>
        <w:outlineLvl w:val="9"/>
        <w:rPr>
          <w:rFonts w:ascii="宋体" w:hAnsi="宋体"/>
          <w:sz w:val="24"/>
          <w:highlight w:val="none"/>
        </w:rPr>
      </w:pPr>
      <w:bookmarkStart w:id="1429" w:name="_Toc20139"/>
      <w:bookmarkStart w:id="1430" w:name="_Toc2656"/>
      <w:bookmarkStart w:id="1431" w:name="_Toc30327"/>
      <w:r>
        <w:rPr>
          <w:rFonts w:hint="eastAsia" w:ascii="宋体" w:hAnsi="宋体"/>
          <w:sz w:val="24"/>
          <w:highlight w:val="none"/>
        </w:rPr>
        <w:t>（十）</w:t>
      </w:r>
      <w:r>
        <w:rPr>
          <w:rFonts w:hint="eastAsia" w:ascii="宋体" w:hAnsi="宋体"/>
          <w:b/>
          <w:bCs/>
          <w:sz w:val="24"/>
          <w:highlight w:val="none"/>
          <w:u w:val="single"/>
        </w:rPr>
        <w:t>我方符合</w:t>
      </w:r>
      <w:r>
        <w:rPr>
          <w:rFonts w:hint="eastAsia" w:ascii="宋体" w:hAnsi="宋体"/>
          <w:b/>
          <w:bCs/>
          <w:sz w:val="24"/>
          <w:highlight w:val="none"/>
          <w:u w:val="single"/>
          <w:lang w:val="en-US" w:eastAsia="zh-CN"/>
        </w:rPr>
        <w:t>招标</w:t>
      </w:r>
      <w:r>
        <w:rPr>
          <w:rFonts w:hint="eastAsia" w:ascii="宋体" w:hAnsi="宋体"/>
          <w:b/>
          <w:bCs/>
          <w:sz w:val="24"/>
          <w:highlight w:val="none"/>
          <w:u w:val="single"/>
        </w:rPr>
        <w:t>文件中“供应商资格要求”规定的条件</w:t>
      </w:r>
      <w:r>
        <w:rPr>
          <w:rFonts w:hint="eastAsia" w:ascii="宋体" w:hAnsi="宋体"/>
          <w:sz w:val="24"/>
          <w:highlight w:val="none"/>
        </w:rPr>
        <w:t>，承诺如下：</w:t>
      </w:r>
      <w:bookmarkEnd w:id="1429"/>
      <w:bookmarkEnd w:id="1430"/>
      <w:bookmarkEnd w:id="1431"/>
    </w:p>
    <w:p>
      <w:pPr>
        <w:spacing w:line="360" w:lineRule="auto"/>
        <w:ind w:firstLine="480" w:firstLineChars="200"/>
        <w:outlineLvl w:val="9"/>
        <w:rPr>
          <w:rFonts w:hint="eastAsia" w:ascii="宋体" w:hAnsi="宋体"/>
          <w:sz w:val="24"/>
          <w:highlight w:val="none"/>
        </w:rPr>
      </w:pPr>
      <w:bookmarkStart w:id="1432" w:name="_Toc2071"/>
      <w:bookmarkStart w:id="1433" w:name="_Toc14364"/>
      <w:bookmarkStart w:id="1434" w:name="_Toc17937"/>
      <w:r>
        <w:rPr>
          <w:rFonts w:hint="eastAsia" w:ascii="宋体" w:hAnsi="宋体"/>
          <w:sz w:val="24"/>
          <w:highlight w:val="none"/>
        </w:rPr>
        <w:t>（1）我方具有独立承担民事责任的能力，且是中华人民共和国境内注册的法人、其他组织或自然人；</w:t>
      </w:r>
      <w:bookmarkEnd w:id="1432"/>
    </w:p>
    <w:p>
      <w:pPr>
        <w:spacing w:line="360" w:lineRule="auto"/>
        <w:ind w:firstLine="480" w:firstLineChars="200"/>
        <w:outlineLvl w:val="9"/>
        <w:rPr>
          <w:rFonts w:ascii="宋体" w:hAnsi="宋体"/>
          <w:sz w:val="24"/>
          <w:highlight w:val="none"/>
        </w:rPr>
      </w:pPr>
      <w:bookmarkStart w:id="1435" w:name="_Toc9945"/>
      <w:r>
        <w:rPr>
          <w:rFonts w:hint="eastAsia" w:ascii="宋体" w:hAnsi="宋体"/>
          <w:sz w:val="24"/>
          <w:highlight w:val="none"/>
        </w:rPr>
        <w:t>（2）我方具有良好的商业信誉和健全的财务会计制度；</w:t>
      </w:r>
      <w:bookmarkEnd w:id="1433"/>
      <w:bookmarkEnd w:id="1434"/>
      <w:bookmarkEnd w:id="1435"/>
    </w:p>
    <w:p>
      <w:pPr>
        <w:spacing w:line="360" w:lineRule="auto"/>
        <w:ind w:firstLine="480" w:firstLineChars="200"/>
        <w:outlineLvl w:val="9"/>
        <w:rPr>
          <w:rFonts w:ascii="宋体" w:hAnsi="宋体"/>
          <w:sz w:val="24"/>
          <w:highlight w:val="none"/>
        </w:rPr>
      </w:pPr>
      <w:bookmarkStart w:id="1436" w:name="_Toc25137"/>
      <w:bookmarkStart w:id="1437" w:name="_Toc24656"/>
      <w:bookmarkStart w:id="1438" w:name="_Toc25294"/>
      <w:r>
        <w:rPr>
          <w:rFonts w:hint="eastAsia" w:ascii="宋体" w:hAnsi="宋体"/>
          <w:sz w:val="24"/>
          <w:highlight w:val="none"/>
        </w:rPr>
        <w:t>（3）我方具有履行合同所必须的设备和专业技术能力；</w:t>
      </w:r>
      <w:bookmarkEnd w:id="1436"/>
      <w:bookmarkEnd w:id="1437"/>
      <w:bookmarkEnd w:id="1438"/>
    </w:p>
    <w:p>
      <w:pPr>
        <w:spacing w:line="360" w:lineRule="auto"/>
        <w:ind w:firstLine="480" w:firstLineChars="200"/>
        <w:outlineLvl w:val="9"/>
        <w:rPr>
          <w:rFonts w:ascii="宋体" w:hAnsi="宋体"/>
          <w:sz w:val="24"/>
          <w:highlight w:val="none"/>
        </w:rPr>
      </w:pPr>
      <w:bookmarkStart w:id="1439" w:name="_Toc16193"/>
      <w:bookmarkStart w:id="1440" w:name="_Toc20191"/>
      <w:bookmarkStart w:id="1441" w:name="_Toc20410"/>
      <w:r>
        <w:rPr>
          <w:rFonts w:hint="eastAsia" w:ascii="宋体" w:hAnsi="宋体"/>
          <w:sz w:val="24"/>
          <w:highlight w:val="none"/>
        </w:rPr>
        <w:t>（4）我方具有依法缴纳税收和社会保障资金的良好记录；</w:t>
      </w:r>
      <w:bookmarkEnd w:id="1439"/>
      <w:bookmarkEnd w:id="1440"/>
      <w:bookmarkEnd w:id="1441"/>
    </w:p>
    <w:p>
      <w:pPr>
        <w:spacing w:line="360" w:lineRule="auto"/>
        <w:ind w:firstLine="480" w:firstLineChars="200"/>
        <w:outlineLvl w:val="9"/>
        <w:rPr>
          <w:rFonts w:hint="eastAsia" w:ascii="宋体" w:hAnsi="宋体"/>
          <w:sz w:val="24"/>
          <w:highlight w:val="none"/>
        </w:rPr>
      </w:pPr>
      <w:bookmarkStart w:id="1442" w:name="_Toc16926"/>
      <w:bookmarkStart w:id="1443" w:name="_Toc14579"/>
      <w:bookmarkStart w:id="1444" w:name="_Toc21563"/>
      <w:r>
        <w:rPr>
          <w:rFonts w:hint="eastAsia" w:ascii="宋体" w:hAnsi="宋体"/>
          <w:sz w:val="24"/>
          <w:highlight w:val="none"/>
        </w:rPr>
        <w:t>（5）我方参加本次政府采购活动前三年内，在经营活动中没有重大违法记录；</w:t>
      </w:r>
      <w:bookmarkEnd w:id="1442"/>
      <w:bookmarkEnd w:id="1443"/>
      <w:bookmarkEnd w:id="1444"/>
    </w:p>
    <w:p>
      <w:pPr>
        <w:spacing w:line="360" w:lineRule="auto"/>
        <w:ind w:firstLine="480" w:firstLineChars="200"/>
        <w:outlineLvl w:val="9"/>
        <w:rPr>
          <w:rFonts w:ascii="宋体" w:hAnsi="宋体"/>
          <w:sz w:val="24"/>
          <w:highlight w:val="none"/>
        </w:rPr>
      </w:pPr>
      <w:bookmarkStart w:id="1445" w:name="_Toc32489"/>
      <w:bookmarkStart w:id="1446" w:name="_Toc30273"/>
      <w:bookmarkStart w:id="1447" w:name="_Toc7846"/>
      <w:r>
        <w:rPr>
          <w:rFonts w:hint="eastAsia" w:ascii="宋体" w:hAnsi="宋体"/>
          <w:sz w:val="24"/>
          <w:highlight w:val="none"/>
        </w:rPr>
        <w:t>（6）我方具有法律、行政法规规定的其他条件；</w:t>
      </w:r>
      <w:bookmarkEnd w:id="1445"/>
      <w:bookmarkEnd w:id="1446"/>
      <w:bookmarkEnd w:id="1447"/>
    </w:p>
    <w:p>
      <w:pPr>
        <w:spacing w:line="360" w:lineRule="auto"/>
        <w:ind w:firstLine="480" w:firstLineChars="200"/>
        <w:outlineLvl w:val="9"/>
        <w:rPr>
          <w:rFonts w:ascii="宋体" w:hAnsi="宋体"/>
          <w:sz w:val="24"/>
          <w:highlight w:val="none"/>
        </w:rPr>
      </w:pPr>
      <w:bookmarkStart w:id="1448" w:name="_Toc9446"/>
      <w:bookmarkStart w:id="1449" w:name="_Toc3674"/>
      <w:bookmarkStart w:id="1450" w:name="_Toc19026"/>
      <w:r>
        <w:rPr>
          <w:rFonts w:hint="eastAsia" w:ascii="宋体" w:hAnsi="宋体"/>
          <w:sz w:val="24"/>
          <w:highlight w:val="none"/>
        </w:rPr>
        <w:t>（7）我方具备采购人根据采购项目提出的特殊条件（如果有）。</w:t>
      </w:r>
      <w:bookmarkEnd w:id="1448"/>
      <w:bookmarkEnd w:id="1449"/>
      <w:bookmarkEnd w:id="1450"/>
    </w:p>
    <w:p>
      <w:pPr>
        <w:spacing w:line="360" w:lineRule="auto"/>
        <w:ind w:firstLine="482" w:firstLineChars="200"/>
        <w:outlineLvl w:val="9"/>
        <w:rPr>
          <w:rFonts w:ascii="宋体" w:hAnsi="宋体"/>
          <w:b/>
          <w:bCs/>
          <w:sz w:val="24"/>
          <w:highlight w:val="none"/>
          <w:u w:val="single"/>
        </w:rPr>
      </w:pPr>
      <w:bookmarkStart w:id="1451" w:name="_Toc28260"/>
      <w:bookmarkStart w:id="1452" w:name="_Toc18816"/>
      <w:bookmarkStart w:id="1453" w:name="_Toc7440"/>
      <w:r>
        <w:rPr>
          <w:rFonts w:hint="eastAsia" w:ascii="宋体" w:hAnsi="宋体"/>
          <w:b/>
          <w:bCs/>
          <w:sz w:val="24"/>
          <w:highlight w:val="none"/>
          <w:u w:val="single"/>
        </w:rPr>
        <w:t>以上内容如有虚假或与事实不符的，</w:t>
      </w:r>
      <w:r>
        <w:rPr>
          <w:rFonts w:hint="eastAsia" w:ascii="宋体" w:hAnsi="宋体"/>
          <w:b/>
          <w:bCs/>
          <w:sz w:val="24"/>
          <w:highlight w:val="none"/>
          <w:u w:val="single"/>
          <w:lang w:val="en-US" w:eastAsia="zh-CN"/>
        </w:rPr>
        <w:t>评标委员会</w:t>
      </w:r>
      <w:r>
        <w:rPr>
          <w:rFonts w:hint="eastAsia" w:ascii="宋体" w:hAnsi="宋体"/>
          <w:b/>
          <w:bCs/>
          <w:sz w:val="24"/>
          <w:highlight w:val="none"/>
          <w:u w:val="single"/>
        </w:rPr>
        <w:t>可将我方做无效</w:t>
      </w:r>
      <w:r>
        <w:rPr>
          <w:rFonts w:hint="eastAsia" w:ascii="宋体" w:hAnsi="宋体"/>
          <w:b/>
          <w:bCs/>
          <w:sz w:val="24"/>
          <w:highlight w:val="none"/>
          <w:u w:val="single"/>
          <w:lang w:val="en-US" w:eastAsia="zh-CN"/>
        </w:rPr>
        <w:t>投标</w:t>
      </w:r>
      <w:r>
        <w:rPr>
          <w:rFonts w:hint="eastAsia" w:ascii="宋体" w:hAnsi="宋体"/>
          <w:b/>
          <w:bCs/>
          <w:sz w:val="24"/>
          <w:highlight w:val="none"/>
          <w:u w:val="single"/>
        </w:rPr>
        <w:t>处理，相关法律责任和处罚也由我方承担。</w:t>
      </w:r>
      <w:bookmarkEnd w:id="1451"/>
      <w:bookmarkEnd w:id="1452"/>
      <w:bookmarkEnd w:id="1453"/>
    </w:p>
    <w:p>
      <w:pPr>
        <w:spacing w:line="360" w:lineRule="auto"/>
        <w:ind w:firstLine="480" w:firstLineChars="200"/>
        <w:outlineLvl w:val="9"/>
        <w:rPr>
          <w:rFonts w:ascii="宋体" w:hAnsi="宋体"/>
          <w:sz w:val="24"/>
          <w:highlight w:val="none"/>
        </w:rPr>
      </w:pPr>
      <w:r>
        <w:rPr>
          <w:rFonts w:hint="eastAsia" w:ascii="宋体" w:hAnsi="宋体"/>
          <w:sz w:val="24"/>
          <w:highlight w:val="none"/>
        </w:rPr>
        <w:t>（十一）我方对在本函及</w:t>
      </w:r>
      <w:r>
        <w:rPr>
          <w:rFonts w:hint="eastAsia" w:ascii="宋体" w:hAnsi="宋体"/>
          <w:sz w:val="24"/>
          <w:highlight w:val="none"/>
          <w:lang w:val="en-US" w:eastAsia="zh-CN"/>
        </w:rPr>
        <w:t>投标</w:t>
      </w:r>
      <w:r>
        <w:rPr>
          <w:rFonts w:hint="eastAsia" w:ascii="宋体" w:hAnsi="宋体"/>
          <w:sz w:val="24"/>
          <w:highlight w:val="none"/>
        </w:rPr>
        <w:t>文件中所作的所有承诺承担法律责任。</w:t>
      </w:r>
    </w:p>
    <w:p>
      <w:pPr>
        <w:spacing w:line="360" w:lineRule="auto"/>
        <w:ind w:firstLine="480" w:firstLineChars="200"/>
        <w:rPr>
          <w:rFonts w:ascii="宋体" w:hAnsi="宋体"/>
          <w:sz w:val="24"/>
          <w:highlight w:val="none"/>
        </w:rPr>
      </w:pPr>
      <w:r>
        <w:rPr>
          <w:rFonts w:hint="eastAsia" w:ascii="宋体" w:hAnsi="宋体"/>
          <w:sz w:val="24"/>
          <w:highlight w:val="none"/>
        </w:rPr>
        <w:t>（十二）所有与本采购有关的函件请发往下列地址：</w:t>
      </w: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r>
        <w:rPr>
          <w:rFonts w:hint="eastAsia" w:ascii="宋体" w:hAnsi="宋体"/>
          <w:sz w:val="24"/>
          <w:highlight w:val="none"/>
        </w:rPr>
        <w:t>.邮政编码：</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传    真：</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代表姓名：</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r>
        <w:rPr>
          <w:rFonts w:hint="eastAsia" w:ascii="宋体" w:hAnsi="宋体"/>
          <w:sz w:val="24"/>
          <w:highlight w:val="none"/>
        </w:rPr>
        <w:t>.</w:t>
      </w:r>
    </w:p>
    <w:p>
      <w:pPr>
        <w:spacing w:line="360" w:lineRule="auto"/>
        <w:rPr>
          <w:rFonts w:ascii="宋体" w:cs="Times New Roman"/>
          <w:sz w:val="24"/>
          <w:szCs w:val="24"/>
          <w:highlight w:val="none"/>
          <w:u w:val="single"/>
        </w:rPr>
      </w:pPr>
    </w:p>
    <w:p>
      <w:pPr>
        <w:spacing w:line="360" w:lineRule="auto"/>
        <w:rPr>
          <w:rFonts w:ascii="宋体" w:cs="Times New Roman"/>
          <w:sz w:val="24"/>
          <w:szCs w:val="24"/>
          <w:highlight w:val="none"/>
          <w:u w:val="single"/>
        </w:rPr>
      </w:pPr>
    </w:p>
    <w:p>
      <w:pPr>
        <w:spacing w:line="360" w:lineRule="auto"/>
        <w:rPr>
          <w:rFonts w:ascii="宋体" w:cs="Times New Roman"/>
          <w:sz w:val="24"/>
          <w:szCs w:val="24"/>
          <w:highlight w:val="none"/>
          <w:u w:val="single"/>
        </w:rPr>
      </w:pPr>
    </w:p>
    <w:p>
      <w:pPr>
        <w:spacing w:line="360" w:lineRule="auto"/>
        <w:ind w:firstLine="480" w:firstLineChars="200"/>
        <w:rPr>
          <w:rFonts w:ascii="宋体" w:cs="Times New Roman"/>
          <w:sz w:val="24"/>
          <w:szCs w:val="24"/>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440" w:lineRule="exact"/>
        <w:jc w:val="center"/>
        <w:rPr>
          <w:rFonts w:hint="eastAsia" w:ascii="黑体" w:hAnsi="仿宋" w:eastAsia="黑体" w:cs="黑体"/>
          <w:sz w:val="32"/>
          <w:szCs w:val="32"/>
          <w:highlight w:val="none"/>
        </w:rPr>
      </w:pPr>
      <w:r>
        <w:rPr>
          <w:szCs w:val="21"/>
          <w:highlight w:val="none"/>
        </w:rPr>
        <w:br w:type="page"/>
      </w:r>
      <w:bookmarkStart w:id="1454" w:name="_Toc144974859"/>
      <w:bookmarkStart w:id="1455" w:name="_Toc152042579"/>
      <w:bookmarkStart w:id="1456" w:name="_Toc152045790"/>
      <w:bookmarkStart w:id="1457" w:name="_Toc179632810"/>
      <w:r>
        <w:rPr>
          <w:rFonts w:hint="eastAsia" w:ascii="黑体" w:hAnsi="仿宋" w:eastAsia="黑体" w:cs="黑体"/>
          <w:sz w:val="32"/>
          <w:szCs w:val="32"/>
          <w:highlight w:val="none"/>
        </w:rPr>
        <w:t>（二）投标函附录</w:t>
      </w:r>
      <w:bookmarkEnd w:id="1454"/>
      <w:bookmarkEnd w:id="1455"/>
      <w:bookmarkEnd w:id="1456"/>
      <w:bookmarkEnd w:id="1457"/>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545"/>
        <w:gridCol w:w="2943"/>
        <w:gridCol w:w="2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b/>
                <w:szCs w:val="21"/>
                <w:highlight w:val="none"/>
              </w:rPr>
            </w:pPr>
            <w:r>
              <w:rPr>
                <w:rFonts w:hint="eastAsia"/>
                <w:b/>
                <w:szCs w:val="21"/>
                <w:highlight w:val="none"/>
              </w:rPr>
              <w:t>序号</w:t>
            </w:r>
          </w:p>
        </w:tc>
        <w:tc>
          <w:tcPr>
            <w:tcW w:w="254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b/>
                <w:szCs w:val="21"/>
                <w:highlight w:val="none"/>
              </w:rPr>
            </w:pPr>
            <w:r>
              <w:rPr>
                <w:rFonts w:hint="eastAsia"/>
                <w:b/>
                <w:szCs w:val="21"/>
                <w:highlight w:val="none"/>
              </w:rPr>
              <w:t>条款名称</w:t>
            </w:r>
          </w:p>
        </w:tc>
        <w:tc>
          <w:tcPr>
            <w:tcW w:w="294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b/>
                <w:szCs w:val="21"/>
                <w:highlight w:val="none"/>
              </w:rPr>
            </w:pPr>
            <w:r>
              <w:rPr>
                <w:rFonts w:hint="eastAsia"/>
                <w:b/>
                <w:szCs w:val="21"/>
                <w:highlight w:val="none"/>
              </w:rPr>
              <w:t>约定内容</w:t>
            </w:r>
          </w:p>
        </w:tc>
        <w:tc>
          <w:tcPr>
            <w:tcW w:w="253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b/>
                <w:szCs w:val="21"/>
                <w:highlight w:val="none"/>
              </w:rPr>
            </w:pPr>
            <w:r>
              <w:rPr>
                <w:rFonts w:hint="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highlight w:val="none"/>
              </w:rPr>
            </w:pPr>
            <w:r>
              <w:rPr>
                <w:szCs w:val="21"/>
                <w:highlight w:val="none"/>
              </w:rPr>
              <w:t>1</w:t>
            </w:r>
          </w:p>
        </w:tc>
        <w:tc>
          <w:tcPr>
            <w:tcW w:w="254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highlight w:val="none"/>
              </w:rPr>
            </w:pPr>
            <w:r>
              <w:rPr>
                <w:rFonts w:hint="eastAsia"/>
                <w:szCs w:val="21"/>
                <w:highlight w:val="none"/>
              </w:rPr>
              <w:t>项目经理</w:t>
            </w:r>
          </w:p>
        </w:tc>
        <w:tc>
          <w:tcPr>
            <w:tcW w:w="294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szCs w:val="21"/>
                <w:highlight w:val="none"/>
                <w:u w:val="single"/>
              </w:rPr>
            </w:pPr>
            <w:r>
              <w:rPr>
                <w:rFonts w:hint="eastAsia"/>
                <w:szCs w:val="21"/>
                <w:highlight w:val="none"/>
              </w:rPr>
              <w:t>姓名：</w:t>
            </w:r>
          </w:p>
        </w:tc>
        <w:tc>
          <w:tcPr>
            <w:tcW w:w="253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highlight w:val="none"/>
              </w:rPr>
            </w:pPr>
            <w:r>
              <w:rPr>
                <w:szCs w:val="21"/>
                <w:highlight w:val="none"/>
              </w:rPr>
              <w:t>2</w:t>
            </w:r>
          </w:p>
        </w:tc>
        <w:tc>
          <w:tcPr>
            <w:tcW w:w="254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highlight w:val="none"/>
              </w:rPr>
            </w:pPr>
            <w:r>
              <w:rPr>
                <w:rFonts w:hint="eastAsia"/>
                <w:szCs w:val="21"/>
                <w:highlight w:val="none"/>
              </w:rPr>
              <w:t>工期</w:t>
            </w:r>
          </w:p>
        </w:tc>
        <w:tc>
          <w:tcPr>
            <w:tcW w:w="294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szCs w:val="21"/>
                <w:highlight w:val="none"/>
                <w:u w:val="single"/>
              </w:rPr>
            </w:pPr>
          </w:p>
        </w:tc>
        <w:tc>
          <w:tcPr>
            <w:tcW w:w="253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highlight w:val="none"/>
              </w:rPr>
            </w:pPr>
            <w:r>
              <w:rPr>
                <w:szCs w:val="21"/>
                <w:highlight w:val="none"/>
              </w:rPr>
              <w:t>3</w:t>
            </w:r>
          </w:p>
        </w:tc>
        <w:tc>
          <w:tcPr>
            <w:tcW w:w="254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default" w:eastAsia="宋体"/>
                <w:szCs w:val="21"/>
                <w:highlight w:val="none"/>
                <w:lang w:val="en-US" w:eastAsia="zh-CN"/>
              </w:rPr>
            </w:pPr>
            <w:r>
              <w:rPr>
                <w:rFonts w:hint="eastAsia"/>
                <w:szCs w:val="21"/>
                <w:highlight w:val="none"/>
                <w:lang w:val="en-US" w:eastAsia="zh-CN"/>
              </w:rPr>
              <w:t>质量标准</w:t>
            </w:r>
          </w:p>
        </w:tc>
        <w:tc>
          <w:tcPr>
            <w:tcW w:w="294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szCs w:val="21"/>
                <w:highlight w:val="none"/>
              </w:rPr>
            </w:pPr>
            <w:r>
              <w:rPr>
                <w:rFonts w:hint="eastAsia"/>
                <w:szCs w:val="21"/>
                <w:highlight w:val="none"/>
              </w:rPr>
              <w:t>全部满足招标文件的要求</w:t>
            </w:r>
          </w:p>
        </w:tc>
        <w:tc>
          <w:tcPr>
            <w:tcW w:w="253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highlight w:val="none"/>
              </w:rPr>
            </w:pPr>
            <w:r>
              <w:rPr>
                <w:szCs w:val="21"/>
                <w:highlight w:val="none"/>
              </w:rPr>
              <w:t>4</w:t>
            </w:r>
          </w:p>
        </w:tc>
        <w:tc>
          <w:tcPr>
            <w:tcW w:w="254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szCs w:val="21"/>
                <w:highlight w:val="none"/>
              </w:rPr>
            </w:pPr>
            <w:r>
              <w:rPr>
                <w:rFonts w:hint="eastAsia"/>
                <w:szCs w:val="21"/>
                <w:highlight w:val="none"/>
              </w:rPr>
              <w:t>权利义务</w:t>
            </w:r>
          </w:p>
        </w:tc>
        <w:tc>
          <w:tcPr>
            <w:tcW w:w="294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szCs w:val="21"/>
                <w:highlight w:val="none"/>
              </w:rPr>
            </w:pPr>
            <w:r>
              <w:rPr>
                <w:rFonts w:hint="eastAsia"/>
                <w:szCs w:val="21"/>
                <w:highlight w:val="none"/>
              </w:rPr>
              <w:t>全部满足招标文件的要求</w:t>
            </w:r>
          </w:p>
        </w:tc>
        <w:tc>
          <w:tcPr>
            <w:tcW w:w="253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szCs w:val="21"/>
                <w:highlight w:val="none"/>
              </w:rPr>
            </w:pPr>
            <w:r>
              <w:rPr>
                <w:rFonts w:hint="eastAsia"/>
                <w:szCs w:val="21"/>
                <w:highlight w:val="none"/>
              </w:rPr>
              <w:t>5</w:t>
            </w:r>
          </w:p>
        </w:tc>
        <w:tc>
          <w:tcPr>
            <w:tcW w:w="2545"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firstLine="840" w:firstLineChars="400"/>
              <w:rPr>
                <w:rFonts w:hint="eastAsia"/>
                <w:szCs w:val="21"/>
                <w:highlight w:val="none"/>
              </w:rPr>
            </w:pPr>
            <w:r>
              <w:rPr>
                <w:rFonts w:hint="eastAsia"/>
                <w:szCs w:val="21"/>
                <w:highlight w:val="none"/>
              </w:rPr>
              <w:t>其他</w:t>
            </w:r>
          </w:p>
        </w:tc>
        <w:tc>
          <w:tcPr>
            <w:tcW w:w="2943"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szCs w:val="21"/>
                <w:highlight w:val="none"/>
              </w:rPr>
            </w:pPr>
            <w:r>
              <w:rPr>
                <w:rFonts w:hint="eastAsia"/>
                <w:szCs w:val="21"/>
                <w:highlight w:val="none"/>
              </w:rPr>
              <w:t>全部满足招标文件的要求</w:t>
            </w:r>
          </w:p>
        </w:tc>
        <w:tc>
          <w:tcPr>
            <w:tcW w:w="253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szCs w:val="21"/>
                <w:highlight w:val="none"/>
              </w:rPr>
            </w:pPr>
          </w:p>
        </w:tc>
      </w:tr>
    </w:tbl>
    <w:p>
      <w:pPr>
        <w:spacing w:line="440" w:lineRule="exact"/>
        <w:rPr>
          <w:rFonts w:eastAsia="黑体"/>
          <w:sz w:val="20"/>
          <w:szCs w:val="20"/>
          <w:highlight w:val="none"/>
        </w:rPr>
      </w:pPr>
    </w:p>
    <w:p>
      <w:pPr>
        <w:spacing w:line="480" w:lineRule="exact"/>
        <w:ind w:firstLine="480" w:firstLineChars="200"/>
        <w:rPr>
          <w:rFonts w:hint="eastAsia" w:ascii="宋体" w:hAnsi="宋体"/>
          <w:bCs/>
          <w:sz w:val="24"/>
          <w:highlight w:val="none"/>
        </w:rPr>
      </w:pPr>
      <w:bookmarkStart w:id="1458" w:name="_Hlk39141618"/>
    </w:p>
    <w:p>
      <w:pPr>
        <w:spacing w:line="480" w:lineRule="exact"/>
        <w:ind w:firstLine="480" w:firstLineChars="200"/>
        <w:rPr>
          <w:rFonts w:hint="eastAsia" w:ascii="宋体" w:hAnsi="宋体"/>
          <w:bCs/>
          <w:sz w:val="24"/>
          <w:highlight w:val="none"/>
        </w:rPr>
      </w:pPr>
    </w:p>
    <w:p>
      <w:pPr>
        <w:spacing w:line="480" w:lineRule="exact"/>
        <w:ind w:firstLine="480" w:firstLineChars="200"/>
        <w:rPr>
          <w:rFonts w:ascii="宋体"/>
          <w:bCs/>
          <w:sz w:val="24"/>
          <w:highlight w:val="none"/>
        </w:rPr>
      </w:pPr>
      <w:r>
        <w:rPr>
          <w:rFonts w:hint="eastAsia" w:ascii="宋体" w:hAnsi="宋体"/>
          <w:bCs/>
          <w:sz w:val="24"/>
          <w:highlight w:val="none"/>
        </w:rPr>
        <w:t>投标</w:t>
      </w:r>
      <w:r>
        <w:rPr>
          <w:rFonts w:hint="eastAsia" w:ascii="宋体" w:hAnsi="宋体"/>
          <w:bCs/>
          <w:sz w:val="24"/>
          <w:highlight w:val="none"/>
          <w:lang w:val="en-US" w:eastAsia="zh-CN"/>
        </w:rPr>
        <w:t>供应商</w:t>
      </w:r>
      <w:r>
        <w:rPr>
          <w:rFonts w:hint="eastAsia" w:ascii="宋体" w:hAnsi="宋体"/>
          <w:bCs/>
          <w:sz w:val="24"/>
          <w:highlight w:val="none"/>
        </w:rPr>
        <w:t>（公章）：</w:t>
      </w:r>
    </w:p>
    <w:p>
      <w:pPr>
        <w:spacing w:line="480" w:lineRule="exact"/>
        <w:ind w:firstLine="480" w:firstLineChars="200"/>
        <w:rPr>
          <w:rFonts w:ascii="宋体"/>
          <w:bCs/>
          <w:sz w:val="24"/>
          <w:highlight w:val="none"/>
        </w:rPr>
      </w:pPr>
      <w:r>
        <w:rPr>
          <w:rFonts w:hint="eastAsia" w:ascii="宋体"/>
          <w:sz w:val="24"/>
          <w:highlight w:val="none"/>
        </w:rPr>
        <w:t>法定代表人或其授权代表</w:t>
      </w:r>
      <w:r>
        <w:rPr>
          <w:rFonts w:hint="eastAsia" w:ascii="宋体" w:hAnsi="宋体"/>
          <w:bCs/>
          <w:sz w:val="24"/>
          <w:highlight w:val="none"/>
        </w:rPr>
        <w:t>（签字或盖章）：</w:t>
      </w:r>
    </w:p>
    <w:p>
      <w:pPr>
        <w:spacing w:line="480" w:lineRule="exact"/>
        <w:ind w:firstLine="480" w:firstLineChars="200"/>
        <w:rPr>
          <w:rFonts w:ascii="宋体"/>
          <w:bCs/>
          <w:sz w:val="24"/>
          <w:highlight w:val="none"/>
        </w:rPr>
      </w:pPr>
      <w:r>
        <w:rPr>
          <w:rFonts w:hint="eastAsia" w:ascii="宋体" w:hAnsi="宋体"/>
          <w:bCs/>
          <w:sz w:val="24"/>
          <w:highlight w:val="none"/>
        </w:rPr>
        <w:t>日期：    年  月  日</w:t>
      </w:r>
    </w:p>
    <w:bookmarkEnd w:id="1458"/>
    <w:p>
      <w:pPr>
        <w:spacing w:line="360" w:lineRule="atLeast"/>
        <w:jc w:val="center"/>
        <w:outlineLvl w:val="9"/>
        <w:rPr>
          <w:rFonts w:ascii="黑体" w:hAnsi="仿宋" w:eastAsia="黑体" w:cs="仿宋"/>
          <w:b/>
          <w:sz w:val="32"/>
          <w:szCs w:val="32"/>
          <w:highlight w:val="none"/>
        </w:rPr>
      </w:pPr>
      <w:r>
        <w:rPr>
          <w:szCs w:val="21"/>
          <w:highlight w:val="none"/>
        </w:rPr>
        <w:br w:type="page"/>
      </w:r>
      <w:bookmarkStart w:id="1459" w:name="_Toc4675"/>
      <w:bookmarkStart w:id="1460" w:name="_Toc152045795"/>
      <w:bookmarkStart w:id="1461" w:name="_Toc152042584"/>
      <w:bookmarkStart w:id="1462" w:name="_Toc144974863"/>
      <w:bookmarkStart w:id="1463" w:name="_Toc179632815"/>
      <w:r>
        <w:rPr>
          <w:rFonts w:hint="eastAsia" w:ascii="黑体" w:hAnsi="仿宋" w:eastAsia="黑体" w:cs="仿宋"/>
          <w:b/>
          <w:sz w:val="32"/>
          <w:szCs w:val="32"/>
          <w:highlight w:val="none"/>
          <w:lang w:val="en-US" w:eastAsia="zh-CN"/>
        </w:rPr>
        <w:t>三、</w:t>
      </w:r>
      <w:bookmarkEnd w:id="1459"/>
      <w:r>
        <w:rPr>
          <w:rFonts w:hint="eastAsia" w:ascii="黑体" w:hAnsi="仿宋" w:eastAsia="黑体" w:cs="仿宋"/>
          <w:b/>
          <w:sz w:val="32"/>
          <w:szCs w:val="32"/>
          <w:highlight w:val="none"/>
          <w:lang w:val="en-US" w:eastAsia="zh-CN"/>
        </w:rPr>
        <w:t>开标</w:t>
      </w:r>
      <w:r>
        <w:rPr>
          <w:rFonts w:hint="eastAsia" w:ascii="黑体" w:hAnsi="仿宋" w:eastAsia="黑体" w:cs="仿宋"/>
          <w:b/>
          <w:sz w:val="32"/>
          <w:szCs w:val="32"/>
          <w:highlight w:val="none"/>
        </w:rPr>
        <w:t>一览表</w:t>
      </w: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lang w:eastAsia="zh-CN"/>
        </w:rPr>
        <w:t>开标一览表</w:t>
      </w:r>
      <w:r>
        <w:rPr>
          <w:rFonts w:hint="eastAsia" w:ascii="黑体" w:hAnsi="仿宋" w:eastAsia="黑体" w:cs="黑体"/>
          <w:sz w:val="32"/>
          <w:szCs w:val="32"/>
          <w:highlight w:val="none"/>
        </w:rPr>
        <w:t>（格式）</w:t>
      </w:r>
    </w:p>
    <w:p>
      <w:pPr>
        <w:spacing w:line="360" w:lineRule="auto"/>
        <w:ind w:firstLine="480" w:firstLineChars="200"/>
        <w:rPr>
          <w:rFonts w:hint="eastAsia" w:ascii="宋体" w:eastAsia="宋体" w:cs="Times New Roman"/>
          <w:sz w:val="24"/>
          <w:szCs w:val="24"/>
          <w:highlight w:val="none"/>
          <w:lang w:eastAsia="zh-CN"/>
        </w:rPr>
      </w:pPr>
      <w:r>
        <w:rPr>
          <w:rFonts w:hint="eastAsia" w:ascii="宋体" w:hAnsi="宋体" w:cs="宋体"/>
          <w:sz w:val="24"/>
          <w:szCs w:val="24"/>
          <w:highlight w:val="none"/>
        </w:rPr>
        <w:t>项目名称：</w:t>
      </w:r>
    </w:p>
    <w:p>
      <w:pPr>
        <w:spacing w:line="360" w:lineRule="auto"/>
        <w:ind w:firstLine="480" w:firstLineChars="200"/>
        <w:rPr>
          <w:rFonts w:hint="eastAsia" w:ascii="宋体" w:eastAsia="宋体" w:cs="Times New Roman"/>
          <w:sz w:val="24"/>
          <w:szCs w:val="24"/>
          <w:highlight w:val="none"/>
          <w:lang w:eastAsia="zh-CN"/>
        </w:rPr>
      </w:pPr>
      <w:r>
        <w:rPr>
          <w:rFonts w:hint="eastAsia" w:ascii="宋体" w:hAnsi="宋体" w:cs="宋体"/>
          <w:sz w:val="24"/>
          <w:szCs w:val="24"/>
          <w:highlight w:val="none"/>
        </w:rPr>
        <w:t>项目编号：</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投标供应商：</w:t>
      </w:r>
    </w:p>
    <w:p>
      <w:pPr>
        <w:kinsoku w:val="0"/>
        <w:spacing w:line="500" w:lineRule="exact"/>
        <w:ind w:firstLine="120" w:firstLineChars="50"/>
        <w:jc w:val="center"/>
        <w:rPr>
          <w:rFonts w:ascii="??_GB2312" w:hAnsi="仿宋" w:eastAsia="Times New Roman" w:cs="Times New Roman"/>
          <w:sz w:val="24"/>
          <w:szCs w:val="24"/>
          <w:highlight w:val="none"/>
        </w:rPr>
      </w:pPr>
      <w:r>
        <w:rPr>
          <w:rFonts w:ascii="宋体" w:hAnsi="宋体" w:cs="宋体"/>
          <w:sz w:val="24"/>
          <w:szCs w:val="24"/>
          <w:highlight w:val="non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noWrap w:val="0"/>
            <w:vAlign w:val="center"/>
          </w:tcPr>
          <w:p>
            <w:pPr>
              <w:spacing w:line="360" w:lineRule="auto"/>
              <w:jc w:val="center"/>
              <w:rPr>
                <w:rFonts w:ascii="黑体" w:hAnsi="黑体" w:eastAsia="黑体" w:cs="Times New Roman"/>
                <w:sz w:val="24"/>
                <w:szCs w:val="24"/>
                <w:highlight w:val="none"/>
              </w:rPr>
            </w:pPr>
            <w:r>
              <w:rPr>
                <w:rFonts w:hint="eastAsia" w:ascii="宋体" w:hAnsi="宋体"/>
                <w:sz w:val="24"/>
                <w:szCs w:val="24"/>
                <w:highlight w:val="none"/>
              </w:rPr>
              <w:t>投标报价(元</w:t>
            </w:r>
            <w:r>
              <w:rPr>
                <w:rFonts w:hint="eastAsia" w:ascii="宋体" w:hAnsi="宋体"/>
                <w:sz w:val="24"/>
                <w:highlight w:val="none"/>
              </w:rPr>
              <w:t>)</w:t>
            </w:r>
          </w:p>
        </w:tc>
        <w:tc>
          <w:tcPr>
            <w:tcW w:w="6503" w:type="dxa"/>
            <w:noWrap w:val="0"/>
            <w:vAlign w:val="center"/>
          </w:tcPr>
          <w:p>
            <w:pPr>
              <w:spacing w:line="360" w:lineRule="auto"/>
              <w:jc w:val="left"/>
              <w:rPr>
                <w:rFonts w:hint="eastAsia" w:ascii="宋体" w:hAnsi="宋体"/>
                <w:sz w:val="24"/>
                <w:szCs w:val="24"/>
                <w:highlight w:val="none"/>
                <w:u w:val="single"/>
              </w:rPr>
            </w:pPr>
            <w:r>
              <w:rPr>
                <w:rFonts w:hint="eastAsia" w:ascii="宋体" w:hAnsi="宋体"/>
                <w:sz w:val="24"/>
                <w:szCs w:val="24"/>
                <w:highlight w:val="none"/>
              </w:rPr>
              <w:t>大写：</w:t>
            </w:r>
            <w:r>
              <w:rPr>
                <w:rFonts w:hint="eastAsia" w:ascii="宋体" w:hAnsi="宋体"/>
                <w:sz w:val="24"/>
                <w:szCs w:val="24"/>
                <w:highlight w:val="none"/>
                <w:u w:val="single"/>
              </w:rPr>
              <w:t xml:space="preserve">                       </w:t>
            </w:r>
          </w:p>
          <w:p>
            <w:pPr>
              <w:spacing w:line="360" w:lineRule="auto"/>
              <w:rPr>
                <w:rFonts w:ascii="宋体" w:cs="Times New Roman"/>
                <w:sz w:val="24"/>
                <w:szCs w:val="24"/>
                <w:highlight w:val="none"/>
              </w:rPr>
            </w:pPr>
            <w:r>
              <w:rPr>
                <w:rFonts w:hint="eastAsia" w:ascii="宋体" w:hAnsi="宋体"/>
                <w:sz w:val="24"/>
                <w:szCs w:val="24"/>
                <w:highlight w:val="none"/>
              </w:rPr>
              <w:t>小写：</w:t>
            </w:r>
            <w:r>
              <w:rPr>
                <w:rFonts w:hint="eastAsia" w:ascii="宋体" w:hAnsi="宋体"/>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noWrap w:val="0"/>
            <w:vAlign w:val="center"/>
          </w:tcPr>
          <w:p>
            <w:pPr>
              <w:spacing w:line="360" w:lineRule="auto"/>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项目工期</w:t>
            </w:r>
          </w:p>
        </w:tc>
        <w:tc>
          <w:tcPr>
            <w:tcW w:w="6503" w:type="dxa"/>
            <w:noWrap w:val="0"/>
            <w:vAlign w:val="center"/>
          </w:tcPr>
          <w:p>
            <w:pPr>
              <w:spacing w:line="360" w:lineRule="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noWrap w:val="0"/>
            <w:vAlign w:val="center"/>
          </w:tcPr>
          <w:p>
            <w:pPr>
              <w:spacing w:line="360" w:lineRule="auto"/>
              <w:jc w:val="center"/>
              <w:rPr>
                <w:rFonts w:hint="eastAsia" w:ascii="宋体" w:hAnsi="宋体"/>
                <w:sz w:val="24"/>
                <w:szCs w:val="24"/>
                <w:highlight w:val="none"/>
              </w:rPr>
            </w:pPr>
            <w:r>
              <w:rPr>
                <w:rFonts w:hint="eastAsia" w:ascii="宋体" w:hAnsi="宋体"/>
                <w:sz w:val="24"/>
                <w:szCs w:val="24"/>
                <w:highlight w:val="none"/>
              </w:rPr>
              <w:t>备注：</w:t>
            </w:r>
          </w:p>
        </w:tc>
        <w:tc>
          <w:tcPr>
            <w:tcW w:w="6503" w:type="dxa"/>
            <w:noWrap w:val="0"/>
            <w:vAlign w:val="center"/>
          </w:tcPr>
          <w:p>
            <w:pPr>
              <w:spacing w:line="360" w:lineRule="auto"/>
              <w:rPr>
                <w:rFonts w:hint="eastAsia" w:ascii="宋体" w:hAnsi="宋体"/>
                <w:sz w:val="24"/>
                <w:szCs w:val="24"/>
                <w:highlight w:val="none"/>
              </w:rPr>
            </w:pPr>
          </w:p>
        </w:tc>
      </w:tr>
    </w:tbl>
    <w:p>
      <w:pPr>
        <w:pStyle w:val="19"/>
        <w:spacing w:line="500" w:lineRule="exact"/>
        <w:ind w:left="-120" w:leftChars="-57" w:firstLine="527" w:firstLineChars="250"/>
        <w:rPr>
          <w:b/>
          <w:bCs/>
          <w:highlight w:val="none"/>
          <w:u w:val="single"/>
        </w:rPr>
      </w:pPr>
    </w:p>
    <w:p>
      <w:pPr>
        <w:pStyle w:val="19"/>
        <w:spacing w:line="440" w:lineRule="exact"/>
        <w:ind w:left="-120" w:leftChars="-57" w:firstLine="527" w:firstLineChars="250"/>
        <w:rPr>
          <w:b/>
          <w:bCs/>
          <w:highlight w:val="none"/>
          <w:u w:val="single"/>
        </w:rPr>
      </w:pPr>
      <w:r>
        <w:rPr>
          <w:rFonts w:hint="eastAsia" w:hAnsi="宋体"/>
          <w:b/>
          <w:bCs/>
          <w:highlight w:val="none"/>
          <w:u w:val="single"/>
        </w:rPr>
        <w:t>注：</w:t>
      </w:r>
    </w:p>
    <w:p>
      <w:pPr>
        <w:pStyle w:val="19"/>
        <w:spacing w:line="440" w:lineRule="exact"/>
        <w:ind w:left="-120" w:leftChars="-57" w:firstLine="527" w:firstLineChars="250"/>
        <w:rPr>
          <w:b/>
          <w:bCs/>
          <w:highlight w:val="none"/>
          <w:u w:val="single"/>
        </w:rPr>
      </w:pPr>
      <w:r>
        <w:rPr>
          <w:rFonts w:hAnsi="宋体"/>
          <w:b/>
          <w:bCs/>
          <w:highlight w:val="none"/>
          <w:u w:val="single"/>
        </w:rPr>
        <w:t>1.</w:t>
      </w:r>
      <w:r>
        <w:rPr>
          <w:rFonts w:hint="eastAsia" w:hAnsi="宋体"/>
          <w:b/>
          <w:bCs/>
          <w:highlight w:val="none"/>
          <w:u w:val="single"/>
        </w:rPr>
        <w:t>此表“投标报价”是所有需采购人支付的金额总数，包括完成《用户需求书》要求的全部内容的所有可预见以及不可预见的费用。</w:t>
      </w:r>
    </w:p>
    <w:p>
      <w:pPr>
        <w:pStyle w:val="19"/>
        <w:spacing w:line="440" w:lineRule="exact"/>
        <w:ind w:left="-120" w:leftChars="-57" w:firstLine="527" w:firstLineChars="250"/>
        <w:rPr>
          <w:b/>
          <w:bCs/>
          <w:highlight w:val="none"/>
          <w:u w:val="single"/>
        </w:rPr>
      </w:pPr>
      <w:r>
        <w:rPr>
          <w:rFonts w:hAnsi="宋体"/>
          <w:b/>
          <w:bCs/>
          <w:highlight w:val="none"/>
          <w:u w:val="single"/>
        </w:rPr>
        <w:t>2.</w:t>
      </w:r>
      <w:r>
        <w:rPr>
          <w:rFonts w:hint="eastAsia" w:hAnsi="宋体"/>
          <w:b/>
          <w:bCs/>
          <w:highlight w:val="none"/>
          <w:u w:val="single"/>
        </w:rPr>
        <w:t>《</w:t>
      </w:r>
      <w:r>
        <w:rPr>
          <w:rFonts w:hint="eastAsia" w:hAnsi="宋体"/>
          <w:b/>
          <w:bCs/>
          <w:highlight w:val="none"/>
          <w:u w:val="single"/>
          <w:lang w:eastAsia="zh-CN"/>
        </w:rPr>
        <w:t>开标一览表</w:t>
      </w:r>
      <w:r>
        <w:rPr>
          <w:rFonts w:hint="eastAsia" w:hAnsi="宋体"/>
          <w:b/>
          <w:bCs/>
          <w:highlight w:val="none"/>
          <w:u w:val="single"/>
        </w:rPr>
        <w:t>》除在投标文件内装订外，另制作一份单独放在一个信封中。封口处应有投标供应商全权代表签字及投标供应商公章。封皮上写明投标项目名称、投标供应商名称，并注明“</w:t>
      </w:r>
      <w:r>
        <w:rPr>
          <w:rFonts w:hint="eastAsia" w:hAnsi="宋体"/>
          <w:b/>
          <w:bCs/>
          <w:highlight w:val="none"/>
          <w:u w:val="single"/>
          <w:lang w:eastAsia="zh-CN"/>
        </w:rPr>
        <w:t>开标一览表</w:t>
      </w:r>
      <w:r>
        <w:rPr>
          <w:rFonts w:hint="eastAsia" w:hAnsi="宋体"/>
          <w:b/>
          <w:bCs/>
          <w:highlight w:val="none"/>
          <w:u w:val="single"/>
        </w:rPr>
        <w:t>”字样。</w:t>
      </w:r>
    </w:p>
    <w:p>
      <w:pPr>
        <w:pStyle w:val="19"/>
        <w:spacing w:line="440" w:lineRule="exact"/>
        <w:ind w:left="-120" w:leftChars="-57" w:firstLine="527" w:firstLineChars="250"/>
        <w:rPr>
          <w:rFonts w:hint="eastAsia" w:hAnsi="宋体"/>
          <w:b/>
          <w:bCs/>
          <w:highlight w:val="none"/>
          <w:u w:val="single"/>
          <w:lang w:val="en-US" w:eastAsia="zh-CN"/>
        </w:rPr>
      </w:pPr>
      <w:r>
        <w:rPr>
          <w:rFonts w:hint="eastAsia" w:hAnsi="宋体"/>
          <w:b/>
          <w:bCs/>
          <w:highlight w:val="none"/>
          <w:u w:val="single"/>
          <w:lang w:val="en-US" w:eastAsia="zh-CN"/>
        </w:rPr>
        <w:t>3.本项目报价中应包含：暂列金591,516.59元，此项费用应以固定价格体现在报价清单中，不得变更。</w:t>
      </w:r>
    </w:p>
    <w:p>
      <w:pPr>
        <w:pStyle w:val="19"/>
        <w:spacing w:line="440" w:lineRule="exact"/>
        <w:ind w:left="-120" w:leftChars="-57" w:firstLine="527" w:firstLineChars="250"/>
        <w:rPr>
          <w:b/>
          <w:bCs/>
          <w:highlight w:val="none"/>
          <w:u w:val="single"/>
        </w:rPr>
      </w:pPr>
      <w:r>
        <w:rPr>
          <w:rFonts w:hint="eastAsia" w:hAnsi="宋体"/>
          <w:b/>
          <w:bCs/>
          <w:highlight w:val="none"/>
          <w:u w:val="single"/>
          <w:lang w:val="en-US" w:eastAsia="zh-CN"/>
        </w:rPr>
        <w:t>4</w:t>
      </w:r>
      <w:r>
        <w:rPr>
          <w:rFonts w:hAnsi="宋体"/>
          <w:b/>
          <w:bCs/>
          <w:highlight w:val="none"/>
          <w:u w:val="single"/>
        </w:rPr>
        <w:t>.</w:t>
      </w:r>
      <w:r>
        <w:rPr>
          <w:rFonts w:hint="eastAsia" w:hAnsi="宋体"/>
          <w:b/>
          <w:bCs/>
          <w:highlight w:val="none"/>
          <w:u w:val="single"/>
        </w:rPr>
        <w:t>招标文件规定的《</w:t>
      </w:r>
      <w:r>
        <w:rPr>
          <w:rFonts w:hint="eastAsia" w:hAnsi="宋体"/>
          <w:b/>
          <w:bCs/>
          <w:highlight w:val="none"/>
          <w:u w:val="single"/>
          <w:lang w:eastAsia="zh-CN"/>
        </w:rPr>
        <w:t>开标一览表</w:t>
      </w:r>
      <w:r>
        <w:rPr>
          <w:rFonts w:hint="eastAsia" w:hAnsi="宋体"/>
          <w:b/>
          <w:bCs/>
          <w:highlight w:val="none"/>
          <w:u w:val="single"/>
        </w:rPr>
        <w:t>》格式以外的内容不予公开唱标，并不作为评标依据。</w:t>
      </w:r>
    </w:p>
    <w:p>
      <w:pPr>
        <w:pStyle w:val="19"/>
        <w:spacing w:line="440" w:lineRule="exact"/>
        <w:ind w:left="-120" w:leftChars="-57" w:firstLine="527" w:firstLineChars="250"/>
        <w:rPr>
          <w:rFonts w:ascii="??_GB2312" w:hAnsi="仿宋" w:eastAsia="Times New Roman"/>
          <w:sz w:val="24"/>
          <w:szCs w:val="24"/>
          <w:highlight w:val="none"/>
        </w:rPr>
      </w:pPr>
      <w:r>
        <w:rPr>
          <w:rFonts w:hint="eastAsia" w:hAnsi="宋体"/>
          <w:b/>
          <w:bCs/>
          <w:highlight w:val="none"/>
          <w:u w:val="single"/>
          <w:lang w:val="en-US" w:eastAsia="zh-CN"/>
        </w:rPr>
        <w:t>5</w:t>
      </w:r>
      <w:r>
        <w:rPr>
          <w:rFonts w:hAnsi="宋体"/>
          <w:b/>
          <w:bCs/>
          <w:highlight w:val="none"/>
          <w:u w:val="single"/>
        </w:rPr>
        <w:t>.</w:t>
      </w:r>
      <w:r>
        <w:rPr>
          <w:rFonts w:hint="eastAsia" w:hAnsi="宋体"/>
          <w:b/>
          <w:bCs/>
          <w:highlight w:val="none"/>
          <w:u w:val="single"/>
        </w:rPr>
        <w:t>表内报价内容以元为单位</w:t>
      </w:r>
      <w:r>
        <w:rPr>
          <w:rFonts w:hint="eastAsia" w:hAnsi="宋体"/>
          <w:b/>
          <w:bCs/>
          <w:highlight w:val="none"/>
          <w:u w:val="single"/>
          <w:lang w:eastAsia="zh-CN"/>
        </w:rPr>
        <w:t>，</w:t>
      </w:r>
      <w:r>
        <w:rPr>
          <w:rFonts w:hint="eastAsia" w:hAnsi="宋体"/>
          <w:b/>
          <w:bCs/>
          <w:highlight w:val="none"/>
          <w:u w:val="single"/>
          <w:lang w:val="en-US" w:eastAsia="zh-CN"/>
        </w:rPr>
        <w:t>保留两位小数</w:t>
      </w:r>
      <w:r>
        <w:rPr>
          <w:rFonts w:hint="eastAsia" w:hAnsi="宋体"/>
          <w:b/>
          <w:bCs/>
          <w:highlight w:val="none"/>
          <w:u w:val="single"/>
          <w:lang w:val="hr-HR"/>
        </w:rPr>
        <w:t>。</w:t>
      </w:r>
    </w:p>
    <w:p>
      <w:pPr>
        <w:kinsoku w:val="0"/>
        <w:spacing w:line="500" w:lineRule="exact"/>
        <w:rPr>
          <w:rFonts w:ascii="??_GB2312" w:hAnsi="仿宋" w:eastAsia="Times New Roman" w:cs="Times New Roman"/>
          <w:sz w:val="24"/>
          <w:szCs w:val="24"/>
          <w:highlight w:val="none"/>
        </w:rPr>
      </w:pPr>
    </w:p>
    <w:p>
      <w:pPr>
        <w:kinsoku w:val="0"/>
        <w:spacing w:line="500" w:lineRule="exact"/>
        <w:rPr>
          <w:rFonts w:ascii="??_GB2312" w:hAnsi="仿宋" w:eastAsia="Times New Roman" w:cs="Times New Roman"/>
          <w:sz w:val="24"/>
          <w:szCs w:val="24"/>
          <w:highlight w:val="none"/>
        </w:rPr>
      </w:pPr>
    </w:p>
    <w:p>
      <w:pPr>
        <w:kinsoku w:val="0"/>
        <w:spacing w:line="500" w:lineRule="exact"/>
        <w:rPr>
          <w:rFonts w:ascii="??_GB2312" w:hAnsi="仿宋" w:eastAsia="Times New Roman" w:cs="Times New Roman"/>
          <w:sz w:val="24"/>
          <w:szCs w:val="24"/>
          <w:highlight w:val="none"/>
        </w:rPr>
      </w:pPr>
    </w:p>
    <w:p>
      <w:pPr>
        <w:kinsoku w:val="0"/>
        <w:spacing w:line="500" w:lineRule="exact"/>
        <w:rPr>
          <w:rFonts w:ascii="??_GB2312" w:hAnsi="仿宋" w:eastAsia="Times New Roman" w:cs="Times New Roman"/>
          <w:sz w:val="24"/>
          <w:szCs w:val="24"/>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bidi w:val="0"/>
        <w:jc w:val="center"/>
        <w:rPr>
          <w:rFonts w:hint="eastAsia" w:ascii="黑体" w:hAnsi="仿宋" w:eastAsia="黑体" w:cs="仿宋"/>
          <w:b/>
          <w:bCs w:val="0"/>
          <w:kern w:val="2"/>
          <w:sz w:val="32"/>
          <w:szCs w:val="32"/>
          <w:highlight w:val="none"/>
          <w:lang w:val="en-US" w:eastAsia="zh-CN" w:bidi="ar-SA"/>
        </w:rPr>
      </w:pPr>
      <w:r>
        <w:rPr>
          <w:rFonts w:hint="eastAsia" w:ascii="黑体" w:hAnsi="仿宋" w:eastAsia="黑体" w:cs="仿宋"/>
          <w:b/>
          <w:bCs w:val="0"/>
          <w:kern w:val="2"/>
          <w:sz w:val="32"/>
          <w:szCs w:val="32"/>
          <w:highlight w:val="none"/>
          <w:lang w:val="en-US" w:eastAsia="zh-CN" w:bidi="ar-SA"/>
        </w:rPr>
        <w:br w:type="page"/>
      </w:r>
      <w:bookmarkEnd w:id="1460"/>
      <w:bookmarkEnd w:id="1461"/>
      <w:bookmarkEnd w:id="1462"/>
      <w:bookmarkEnd w:id="1463"/>
      <w:r>
        <w:rPr>
          <w:rFonts w:hint="eastAsia" w:ascii="黑体" w:hAnsi="仿宋" w:eastAsia="黑体" w:cs="仿宋"/>
          <w:b/>
          <w:bCs w:val="0"/>
          <w:kern w:val="2"/>
          <w:sz w:val="32"/>
          <w:szCs w:val="32"/>
          <w:highlight w:val="none"/>
          <w:lang w:val="en-US" w:eastAsia="zh-CN" w:bidi="ar-SA"/>
        </w:rPr>
        <w:t>四、已标价工程量清单</w:t>
      </w:r>
    </w:p>
    <w:p>
      <w:pPr>
        <w:spacing w:line="440" w:lineRule="exact"/>
        <w:ind w:firstLine="400" w:firstLineChars="200"/>
        <w:jc w:val="center"/>
        <w:rPr>
          <w:rFonts w:hint="eastAsia" w:ascii="黑体" w:hAnsi="仿宋" w:eastAsia="黑体" w:cs="仿宋"/>
          <w:b/>
          <w:bCs w:val="0"/>
          <w:kern w:val="2"/>
          <w:sz w:val="32"/>
          <w:szCs w:val="32"/>
          <w:highlight w:val="none"/>
          <w:lang w:val="en-US" w:eastAsia="zh-CN" w:bidi="ar-SA"/>
        </w:rPr>
      </w:pPr>
      <w:r>
        <w:rPr>
          <w:rFonts w:eastAsia="黑体"/>
          <w:sz w:val="20"/>
          <w:szCs w:val="20"/>
          <w:highlight w:val="none"/>
        </w:rPr>
        <w:br w:type="page"/>
      </w:r>
      <w:bookmarkStart w:id="1464" w:name="_Toc179632816"/>
      <w:bookmarkStart w:id="1465" w:name="_Toc144974864"/>
      <w:bookmarkStart w:id="1466" w:name="_Toc152045796"/>
      <w:bookmarkStart w:id="1467" w:name="_Toc152042585"/>
      <w:r>
        <w:rPr>
          <w:rFonts w:hint="eastAsia" w:ascii="黑体" w:hAnsi="仿宋" w:eastAsia="黑体" w:cs="仿宋"/>
          <w:b/>
          <w:bCs w:val="0"/>
          <w:kern w:val="2"/>
          <w:sz w:val="32"/>
          <w:szCs w:val="32"/>
          <w:highlight w:val="none"/>
          <w:lang w:val="en-US" w:eastAsia="zh-CN" w:bidi="ar-SA"/>
        </w:rPr>
        <w:t>五、施工组织设计</w:t>
      </w:r>
      <w:bookmarkEnd w:id="1464"/>
      <w:bookmarkEnd w:id="1465"/>
      <w:bookmarkEnd w:id="1466"/>
      <w:bookmarkEnd w:id="1467"/>
    </w:p>
    <w:p>
      <w:pPr>
        <w:tabs>
          <w:tab w:val="left" w:pos="720"/>
        </w:tabs>
        <w:spacing w:line="440" w:lineRule="exact"/>
        <w:ind w:firstLine="480" w:firstLineChars="200"/>
        <w:rPr>
          <w:sz w:val="24"/>
          <w:szCs w:val="24"/>
          <w:highlight w:val="none"/>
        </w:rPr>
      </w:pPr>
      <w:r>
        <w:rPr>
          <w:sz w:val="24"/>
          <w:szCs w:val="24"/>
          <w:highlight w:val="none"/>
        </w:rPr>
        <w:t>1.</w:t>
      </w:r>
      <w:r>
        <w:rPr>
          <w:rFonts w:hint="eastAsia"/>
          <w:sz w:val="24"/>
          <w:szCs w:val="24"/>
          <w:highlight w:val="none"/>
        </w:rPr>
        <w:t xml:space="preserve"> </w:t>
      </w:r>
      <w:r>
        <w:rPr>
          <w:rFonts w:hint="eastAsia"/>
          <w:sz w:val="24"/>
          <w:szCs w:val="24"/>
          <w:highlight w:val="none"/>
          <w:lang w:eastAsia="zh-CN"/>
        </w:rPr>
        <w:t>投标供应商</w:t>
      </w:r>
      <w:r>
        <w:rPr>
          <w:sz w:val="24"/>
          <w:szCs w:val="24"/>
          <w:highlight w:val="none"/>
        </w:rPr>
        <w:t>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80" w:firstLineChars="200"/>
        <w:rPr>
          <w:sz w:val="24"/>
          <w:szCs w:val="24"/>
          <w:highlight w:val="none"/>
        </w:rPr>
      </w:pPr>
      <w:r>
        <w:rPr>
          <w:sz w:val="24"/>
          <w:szCs w:val="24"/>
          <w:highlight w:val="none"/>
        </w:rPr>
        <w:t>2.</w:t>
      </w:r>
      <w:r>
        <w:rPr>
          <w:rFonts w:hint="eastAsia"/>
          <w:sz w:val="24"/>
          <w:szCs w:val="24"/>
          <w:highlight w:val="none"/>
        </w:rPr>
        <w:t xml:space="preserve"> </w:t>
      </w:r>
      <w:r>
        <w:rPr>
          <w:sz w:val="24"/>
          <w:szCs w:val="24"/>
          <w:highlight w:val="none"/>
        </w:rPr>
        <w:t>施工组织设计除采用文字表述外可附下列图表，图表及格式要求附后。</w:t>
      </w:r>
    </w:p>
    <w:p>
      <w:pPr>
        <w:tabs>
          <w:tab w:val="left" w:pos="720"/>
        </w:tabs>
        <w:spacing w:line="440" w:lineRule="exact"/>
        <w:ind w:firstLine="864" w:firstLineChars="360"/>
        <w:rPr>
          <w:sz w:val="24"/>
          <w:szCs w:val="24"/>
          <w:highlight w:val="none"/>
        </w:rPr>
      </w:pPr>
      <w:r>
        <w:rPr>
          <w:sz w:val="24"/>
          <w:szCs w:val="24"/>
          <w:highlight w:val="none"/>
        </w:rPr>
        <w:t>附表一  拟投入本标段的主要施工设备表</w:t>
      </w:r>
    </w:p>
    <w:p>
      <w:pPr>
        <w:tabs>
          <w:tab w:val="left" w:pos="720"/>
        </w:tabs>
        <w:spacing w:line="440" w:lineRule="exact"/>
        <w:ind w:firstLine="864" w:firstLineChars="360"/>
        <w:rPr>
          <w:sz w:val="24"/>
          <w:szCs w:val="24"/>
          <w:highlight w:val="none"/>
        </w:rPr>
      </w:pPr>
      <w:r>
        <w:rPr>
          <w:sz w:val="24"/>
          <w:szCs w:val="24"/>
          <w:highlight w:val="none"/>
        </w:rPr>
        <w:t>附表二  拟配备本标段的试验和检测仪器设备表</w:t>
      </w:r>
    </w:p>
    <w:p>
      <w:pPr>
        <w:tabs>
          <w:tab w:val="left" w:pos="720"/>
        </w:tabs>
        <w:spacing w:line="440" w:lineRule="exact"/>
        <w:ind w:firstLine="864" w:firstLineChars="360"/>
        <w:rPr>
          <w:rFonts w:hint="eastAsia"/>
          <w:sz w:val="24"/>
          <w:szCs w:val="24"/>
          <w:highlight w:val="none"/>
        </w:rPr>
      </w:pPr>
      <w:r>
        <w:rPr>
          <w:sz w:val="24"/>
          <w:szCs w:val="24"/>
          <w:highlight w:val="none"/>
        </w:rPr>
        <w:t>附表三  劳动力计划表</w:t>
      </w:r>
    </w:p>
    <w:p>
      <w:pPr>
        <w:tabs>
          <w:tab w:val="left" w:pos="720"/>
        </w:tabs>
        <w:spacing w:line="440" w:lineRule="exact"/>
        <w:ind w:firstLine="864" w:firstLineChars="360"/>
        <w:rPr>
          <w:rFonts w:hint="eastAsia"/>
          <w:sz w:val="24"/>
          <w:szCs w:val="24"/>
          <w:highlight w:val="none"/>
        </w:rPr>
      </w:pPr>
      <w:r>
        <w:rPr>
          <w:sz w:val="24"/>
          <w:szCs w:val="24"/>
          <w:highlight w:val="none"/>
        </w:rPr>
        <w:t>附表四  计划开、</w:t>
      </w:r>
      <w:r>
        <w:rPr>
          <w:rFonts w:hint="eastAsia"/>
          <w:sz w:val="24"/>
          <w:szCs w:val="24"/>
          <w:highlight w:val="none"/>
        </w:rPr>
        <w:t>竣工</w:t>
      </w:r>
      <w:r>
        <w:rPr>
          <w:sz w:val="24"/>
          <w:szCs w:val="24"/>
          <w:highlight w:val="none"/>
        </w:rPr>
        <w:t>日期和施工进度网络图</w:t>
      </w:r>
    </w:p>
    <w:p>
      <w:pPr>
        <w:tabs>
          <w:tab w:val="left" w:pos="720"/>
        </w:tabs>
        <w:spacing w:line="440" w:lineRule="exact"/>
        <w:ind w:firstLine="864" w:firstLineChars="360"/>
        <w:rPr>
          <w:rFonts w:hint="eastAsia"/>
          <w:sz w:val="24"/>
          <w:szCs w:val="24"/>
          <w:highlight w:val="none"/>
        </w:rPr>
      </w:pPr>
      <w:r>
        <w:rPr>
          <w:sz w:val="24"/>
          <w:szCs w:val="24"/>
          <w:highlight w:val="none"/>
        </w:rPr>
        <w:t>附表五  施工总平面图</w:t>
      </w:r>
    </w:p>
    <w:p>
      <w:pPr>
        <w:tabs>
          <w:tab w:val="left" w:pos="720"/>
        </w:tabs>
        <w:spacing w:line="440" w:lineRule="exact"/>
        <w:ind w:firstLine="864" w:firstLineChars="360"/>
        <w:rPr>
          <w:rFonts w:hint="eastAsia"/>
          <w:sz w:val="24"/>
          <w:szCs w:val="24"/>
          <w:highlight w:val="none"/>
        </w:rPr>
      </w:pPr>
      <w:r>
        <w:rPr>
          <w:sz w:val="24"/>
          <w:szCs w:val="24"/>
          <w:highlight w:val="none"/>
        </w:rPr>
        <w:t>附表六  临时用地表</w:t>
      </w:r>
    </w:p>
    <w:p>
      <w:pPr>
        <w:spacing w:line="440" w:lineRule="exact"/>
        <w:rPr>
          <w:szCs w:val="23"/>
          <w:highlight w:val="none"/>
        </w:rPr>
      </w:pPr>
      <w:r>
        <w:rPr>
          <w:rFonts w:eastAsia="黑体"/>
          <w:sz w:val="20"/>
          <w:szCs w:val="20"/>
          <w:highlight w:val="none"/>
        </w:rPr>
        <w:br w:type="page"/>
      </w:r>
      <w:bookmarkStart w:id="1468" w:name="_Toc179632817"/>
      <w:bookmarkStart w:id="1469" w:name="_Toc152045797"/>
      <w:bookmarkStart w:id="1470" w:name="_Toc152042586"/>
      <w:bookmarkStart w:id="1471" w:name="_Toc144974865"/>
      <w:r>
        <w:rPr>
          <w:rFonts w:hint="eastAsia" w:ascii="宋体" w:hAnsi="宋体" w:eastAsia="宋体" w:cs="宋体"/>
          <w:b/>
          <w:bCs/>
          <w:sz w:val="24"/>
          <w:szCs w:val="24"/>
          <w:highlight w:val="none"/>
        </w:rPr>
        <w:t>附表一：拟投入本标段的主要施工设备表</w:t>
      </w:r>
      <w:bookmarkEnd w:id="1468"/>
      <w:bookmarkEnd w:id="1469"/>
      <w:bookmarkEnd w:id="1470"/>
      <w:bookmarkEnd w:id="1471"/>
    </w:p>
    <w:p>
      <w:pPr>
        <w:spacing w:line="440" w:lineRule="exact"/>
        <w:rPr>
          <w:sz w:val="20"/>
          <w:szCs w:val="20"/>
          <w:highlight w:val="none"/>
        </w:rPr>
      </w:pPr>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69"/>
        <w:gridCol w:w="889"/>
        <w:gridCol w:w="1157"/>
        <w:gridCol w:w="785"/>
        <w:gridCol w:w="863"/>
        <w:gridCol w:w="1417"/>
        <w:gridCol w:w="1022"/>
        <w:gridCol w:w="1233"/>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spacing w:line="440" w:lineRule="exact"/>
              <w:rPr>
                <w:sz w:val="21"/>
                <w:szCs w:val="21"/>
                <w:highlight w:val="none"/>
              </w:rPr>
            </w:pPr>
            <w:r>
              <w:rPr>
                <w:sz w:val="21"/>
                <w:szCs w:val="21"/>
                <w:highlight w:val="none"/>
              </w:rPr>
              <w:t>序号</w:t>
            </w:r>
          </w:p>
        </w:tc>
        <w:tc>
          <w:tcPr>
            <w:tcW w:w="1269" w:type="dxa"/>
            <w:noWrap w:val="0"/>
            <w:vAlign w:val="center"/>
          </w:tcPr>
          <w:p>
            <w:pPr>
              <w:spacing w:line="440" w:lineRule="exact"/>
              <w:jc w:val="center"/>
              <w:rPr>
                <w:sz w:val="21"/>
                <w:szCs w:val="21"/>
                <w:highlight w:val="none"/>
              </w:rPr>
            </w:pPr>
            <w:r>
              <w:rPr>
                <w:sz w:val="21"/>
                <w:szCs w:val="21"/>
                <w:highlight w:val="none"/>
              </w:rPr>
              <w:t>设备名称</w:t>
            </w:r>
          </w:p>
        </w:tc>
        <w:tc>
          <w:tcPr>
            <w:tcW w:w="889" w:type="dxa"/>
            <w:noWrap w:val="0"/>
            <w:vAlign w:val="center"/>
          </w:tcPr>
          <w:p>
            <w:pPr>
              <w:spacing w:line="440" w:lineRule="exact"/>
              <w:jc w:val="center"/>
              <w:rPr>
                <w:sz w:val="21"/>
                <w:szCs w:val="21"/>
                <w:highlight w:val="none"/>
              </w:rPr>
            </w:pPr>
            <w:r>
              <w:rPr>
                <w:sz w:val="21"/>
                <w:szCs w:val="21"/>
                <w:highlight w:val="none"/>
              </w:rPr>
              <w:t>型号</w:t>
            </w:r>
          </w:p>
          <w:p>
            <w:pPr>
              <w:spacing w:line="440" w:lineRule="exact"/>
              <w:jc w:val="center"/>
              <w:rPr>
                <w:sz w:val="21"/>
                <w:szCs w:val="21"/>
                <w:highlight w:val="none"/>
              </w:rPr>
            </w:pPr>
            <w:r>
              <w:rPr>
                <w:sz w:val="21"/>
                <w:szCs w:val="21"/>
                <w:highlight w:val="none"/>
              </w:rPr>
              <w:t>规格</w:t>
            </w:r>
          </w:p>
        </w:tc>
        <w:tc>
          <w:tcPr>
            <w:tcW w:w="1157" w:type="dxa"/>
            <w:noWrap w:val="0"/>
            <w:vAlign w:val="center"/>
          </w:tcPr>
          <w:p>
            <w:pPr>
              <w:spacing w:line="440" w:lineRule="exact"/>
              <w:jc w:val="center"/>
              <w:rPr>
                <w:sz w:val="21"/>
                <w:szCs w:val="21"/>
                <w:highlight w:val="none"/>
              </w:rPr>
            </w:pPr>
            <w:r>
              <w:rPr>
                <w:sz w:val="21"/>
                <w:szCs w:val="21"/>
                <w:highlight w:val="none"/>
              </w:rPr>
              <w:t>数量</w:t>
            </w:r>
          </w:p>
        </w:tc>
        <w:tc>
          <w:tcPr>
            <w:tcW w:w="785" w:type="dxa"/>
            <w:noWrap w:val="0"/>
            <w:vAlign w:val="center"/>
          </w:tcPr>
          <w:p>
            <w:pPr>
              <w:spacing w:line="440" w:lineRule="exact"/>
              <w:jc w:val="center"/>
              <w:rPr>
                <w:sz w:val="21"/>
                <w:szCs w:val="21"/>
                <w:highlight w:val="none"/>
              </w:rPr>
            </w:pPr>
            <w:r>
              <w:rPr>
                <w:sz w:val="21"/>
                <w:szCs w:val="21"/>
                <w:highlight w:val="none"/>
              </w:rPr>
              <w:t>国别</w:t>
            </w:r>
          </w:p>
          <w:p>
            <w:pPr>
              <w:spacing w:line="440" w:lineRule="exact"/>
              <w:jc w:val="center"/>
              <w:rPr>
                <w:sz w:val="21"/>
                <w:szCs w:val="21"/>
                <w:highlight w:val="none"/>
              </w:rPr>
            </w:pPr>
            <w:r>
              <w:rPr>
                <w:sz w:val="21"/>
                <w:szCs w:val="21"/>
                <w:highlight w:val="none"/>
              </w:rPr>
              <w:t>产地</w:t>
            </w:r>
          </w:p>
        </w:tc>
        <w:tc>
          <w:tcPr>
            <w:tcW w:w="863" w:type="dxa"/>
            <w:noWrap w:val="0"/>
            <w:vAlign w:val="center"/>
          </w:tcPr>
          <w:p>
            <w:pPr>
              <w:spacing w:line="440" w:lineRule="exact"/>
              <w:jc w:val="center"/>
              <w:rPr>
                <w:sz w:val="21"/>
                <w:szCs w:val="21"/>
                <w:highlight w:val="none"/>
              </w:rPr>
            </w:pPr>
            <w:r>
              <w:rPr>
                <w:sz w:val="21"/>
                <w:szCs w:val="21"/>
                <w:highlight w:val="none"/>
              </w:rPr>
              <w:t>制造</w:t>
            </w:r>
          </w:p>
          <w:p>
            <w:pPr>
              <w:spacing w:line="440" w:lineRule="exact"/>
              <w:jc w:val="center"/>
              <w:rPr>
                <w:sz w:val="21"/>
                <w:szCs w:val="21"/>
                <w:highlight w:val="none"/>
              </w:rPr>
            </w:pPr>
            <w:r>
              <w:rPr>
                <w:sz w:val="21"/>
                <w:szCs w:val="21"/>
                <w:highlight w:val="none"/>
              </w:rPr>
              <w:t>年份</w:t>
            </w:r>
          </w:p>
        </w:tc>
        <w:tc>
          <w:tcPr>
            <w:tcW w:w="1417" w:type="dxa"/>
            <w:noWrap w:val="0"/>
            <w:vAlign w:val="center"/>
          </w:tcPr>
          <w:p>
            <w:pPr>
              <w:spacing w:line="440" w:lineRule="exact"/>
              <w:jc w:val="center"/>
              <w:rPr>
                <w:sz w:val="21"/>
                <w:szCs w:val="21"/>
                <w:highlight w:val="none"/>
              </w:rPr>
            </w:pPr>
            <w:r>
              <w:rPr>
                <w:sz w:val="21"/>
                <w:szCs w:val="21"/>
                <w:highlight w:val="none"/>
              </w:rPr>
              <w:t>额定功率（</w:t>
            </w:r>
            <w:r>
              <w:rPr>
                <w:rFonts w:hint="eastAsia"/>
                <w:sz w:val="21"/>
                <w:szCs w:val="21"/>
                <w:highlight w:val="none"/>
              </w:rPr>
              <w:t>K</w:t>
            </w:r>
            <w:r>
              <w:rPr>
                <w:sz w:val="21"/>
                <w:szCs w:val="21"/>
                <w:highlight w:val="none"/>
              </w:rPr>
              <w:t>W）</w:t>
            </w:r>
          </w:p>
        </w:tc>
        <w:tc>
          <w:tcPr>
            <w:tcW w:w="1022" w:type="dxa"/>
            <w:noWrap w:val="0"/>
            <w:vAlign w:val="center"/>
          </w:tcPr>
          <w:p>
            <w:pPr>
              <w:spacing w:line="440" w:lineRule="exact"/>
              <w:jc w:val="center"/>
              <w:rPr>
                <w:sz w:val="21"/>
                <w:szCs w:val="21"/>
                <w:highlight w:val="none"/>
              </w:rPr>
            </w:pPr>
            <w:r>
              <w:rPr>
                <w:sz w:val="21"/>
                <w:szCs w:val="21"/>
                <w:highlight w:val="none"/>
              </w:rPr>
              <w:t>生产</w:t>
            </w:r>
          </w:p>
          <w:p>
            <w:pPr>
              <w:spacing w:line="440" w:lineRule="exact"/>
              <w:jc w:val="center"/>
              <w:rPr>
                <w:sz w:val="21"/>
                <w:szCs w:val="21"/>
                <w:highlight w:val="none"/>
              </w:rPr>
            </w:pPr>
            <w:r>
              <w:rPr>
                <w:sz w:val="21"/>
                <w:szCs w:val="21"/>
                <w:highlight w:val="none"/>
              </w:rPr>
              <w:t>能力</w:t>
            </w:r>
          </w:p>
        </w:tc>
        <w:tc>
          <w:tcPr>
            <w:tcW w:w="1233" w:type="dxa"/>
            <w:noWrap w:val="0"/>
            <w:vAlign w:val="center"/>
          </w:tcPr>
          <w:p>
            <w:pPr>
              <w:spacing w:line="440" w:lineRule="exact"/>
              <w:jc w:val="center"/>
              <w:rPr>
                <w:sz w:val="21"/>
                <w:szCs w:val="21"/>
                <w:highlight w:val="none"/>
              </w:rPr>
            </w:pPr>
            <w:r>
              <w:rPr>
                <w:sz w:val="21"/>
                <w:szCs w:val="21"/>
                <w:highlight w:val="none"/>
              </w:rPr>
              <w:t>用于施工部位</w:t>
            </w:r>
          </w:p>
        </w:tc>
        <w:tc>
          <w:tcPr>
            <w:tcW w:w="807" w:type="dxa"/>
            <w:noWrap w:val="0"/>
            <w:vAlign w:val="center"/>
          </w:tcPr>
          <w:p>
            <w:pPr>
              <w:spacing w:line="440" w:lineRule="exact"/>
              <w:jc w:val="center"/>
              <w:rPr>
                <w:sz w:val="21"/>
                <w:szCs w:val="21"/>
                <w:highlight w:val="none"/>
              </w:rPr>
            </w:pPr>
            <w:r>
              <w:rPr>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spacing w:line="440" w:lineRule="exact"/>
              <w:jc w:val="center"/>
              <w:rPr>
                <w:sz w:val="21"/>
                <w:szCs w:val="21"/>
                <w:highlight w:val="none"/>
              </w:rPr>
            </w:pPr>
          </w:p>
        </w:tc>
        <w:tc>
          <w:tcPr>
            <w:tcW w:w="1269" w:type="dxa"/>
            <w:noWrap w:val="0"/>
            <w:vAlign w:val="center"/>
          </w:tcPr>
          <w:p>
            <w:pPr>
              <w:spacing w:line="440" w:lineRule="exact"/>
              <w:jc w:val="center"/>
              <w:rPr>
                <w:sz w:val="21"/>
                <w:szCs w:val="21"/>
                <w:highlight w:val="none"/>
              </w:rPr>
            </w:pPr>
          </w:p>
        </w:tc>
        <w:tc>
          <w:tcPr>
            <w:tcW w:w="889" w:type="dxa"/>
            <w:noWrap w:val="0"/>
            <w:vAlign w:val="center"/>
          </w:tcPr>
          <w:p>
            <w:pPr>
              <w:spacing w:line="440" w:lineRule="exact"/>
              <w:jc w:val="center"/>
              <w:rPr>
                <w:sz w:val="21"/>
                <w:szCs w:val="21"/>
                <w:highlight w:val="none"/>
              </w:rPr>
            </w:pPr>
          </w:p>
        </w:tc>
        <w:tc>
          <w:tcPr>
            <w:tcW w:w="1157" w:type="dxa"/>
            <w:noWrap w:val="0"/>
            <w:vAlign w:val="center"/>
          </w:tcPr>
          <w:p>
            <w:pPr>
              <w:spacing w:line="440" w:lineRule="exact"/>
              <w:jc w:val="center"/>
              <w:rPr>
                <w:sz w:val="21"/>
                <w:szCs w:val="21"/>
                <w:highlight w:val="none"/>
              </w:rPr>
            </w:pPr>
          </w:p>
        </w:tc>
        <w:tc>
          <w:tcPr>
            <w:tcW w:w="785" w:type="dxa"/>
            <w:noWrap w:val="0"/>
            <w:vAlign w:val="center"/>
          </w:tcPr>
          <w:p>
            <w:pPr>
              <w:spacing w:line="440" w:lineRule="exact"/>
              <w:jc w:val="center"/>
              <w:rPr>
                <w:sz w:val="21"/>
                <w:szCs w:val="21"/>
                <w:highlight w:val="none"/>
              </w:rPr>
            </w:pPr>
          </w:p>
        </w:tc>
        <w:tc>
          <w:tcPr>
            <w:tcW w:w="863" w:type="dxa"/>
            <w:noWrap w:val="0"/>
            <w:vAlign w:val="center"/>
          </w:tcPr>
          <w:p>
            <w:pPr>
              <w:spacing w:line="440" w:lineRule="exact"/>
              <w:jc w:val="center"/>
              <w:rPr>
                <w:sz w:val="21"/>
                <w:szCs w:val="21"/>
                <w:highlight w:val="none"/>
              </w:rPr>
            </w:pPr>
          </w:p>
        </w:tc>
        <w:tc>
          <w:tcPr>
            <w:tcW w:w="1417" w:type="dxa"/>
            <w:noWrap w:val="0"/>
            <w:vAlign w:val="center"/>
          </w:tcPr>
          <w:p>
            <w:pPr>
              <w:spacing w:line="440" w:lineRule="exact"/>
              <w:jc w:val="center"/>
              <w:rPr>
                <w:sz w:val="21"/>
                <w:szCs w:val="21"/>
                <w:highlight w:val="none"/>
              </w:rPr>
            </w:pPr>
          </w:p>
        </w:tc>
        <w:tc>
          <w:tcPr>
            <w:tcW w:w="1022" w:type="dxa"/>
            <w:noWrap w:val="0"/>
            <w:vAlign w:val="center"/>
          </w:tcPr>
          <w:p>
            <w:pPr>
              <w:spacing w:line="440" w:lineRule="exact"/>
              <w:jc w:val="center"/>
              <w:rPr>
                <w:sz w:val="21"/>
                <w:szCs w:val="21"/>
                <w:highlight w:val="none"/>
              </w:rPr>
            </w:pPr>
          </w:p>
        </w:tc>
        <w:tc>
          <w:tcPr>
            <w:tcW w:w="1233" w:type="dxa"/>
            <w:noWrap w:val="0"/>
            <w:vAlign w:val="center"/>
          </w:tcPr>
          <w:p>
            <w:pPr>
              <w:spacing w:line="440" w:lineRule="exact"/>
              <w:jc w:val="center"/>
              <w:rPr>
                <w:sz w:val="21"/>
                <w:szCs w:val="21"/>
                <w:highlight w:val="none"/>
              </w:rPr>
            </w:pPr>
          </w:p>
        </w:tc>
        <w:tc>
          <w:tcPr>
            <w:tcW w:w="807" w:type="dxa"/>
            <w:noWrap w:val="0"/>
            <w:vAlign w:val="center"/>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spacing w:line="440" w:lineRule="exact"/>
              <w:jc w:val="center"/>
              <w:rPr>
                <w:sz w:val="21"/>
                <w:szCs w:val="21"/>
                <w:highlight w:val="none"/>
              </w:rPr>
            </w:pPr>
          </w:p>
        </w:tc>
        <w:tc>
          <w:tcPr>
            <w:tcW w:w="1269" w:type="dxa"/>
            <w:noWrap w:val="0"/>
            <w:vAlign w:val="center"/>
          </w:tcPr>
          <w:p>
            <w:pPr>
              <w:spacing w:line="440" w:lineRule="exact"/>
              <w:jc w:val="center"/>
              <w:rPr>
                <w:sz w:val="21"/>
                <w:szCs w:val="21"/>
                <w:highlight w:val="none"/>
              </w:rPr>
            </w:pPr>
          </w:p>
        </w:tc>
        <w:tc>
          <w:tcPr>
            <w:tcW w:w="889" w:type="dxa"/>
            <w:noWrap w:val="0"/>
            <w:vAlign w:val="center"/>
          </w:tcPr>
          <w:p>
            <w:pPr>
              <w:spacing w:line="440" w:lineRule="exact"/>
              <w:jc w:val="center"/>
              <w:rPr>
                <w:sz w:val="21"/>
                <w:szCs w:val="21"/>
                <w:highlight w:val="none"/>
              </w:rPr>
            </w:pPr>
          </w:p>
        </w:tc>
        <w:tc>
          <w:tcPr>
            <w:tcW w:w="1157" w:type="dxa"/>
            <w:noWrap w:val="0"/>
            <w:vAlign w:val="center"/>
          </w:tcPr>
          <w:p>
            <w:pPr>
              <w:spacing w:line="440" w:lineRule="exact"/>
              <w:jc w:val="center"/>
              <w:rPr>
                <w:sz w:val="21"/>
                <w:szCs w:val="21"/>
                <w:highlight w:val="none"/>
              </w:rPr>
            </w:pPr>
          </w:p>
        </w:tc>
        <w:tc>
          <w:tcPr>
            <w:tcW w:w="785" w:type="dxa"/>
            <w:noWrap w:val="0"/>
            <w:vAlign w:val="center"/>
          </w:tcPr>
          <w:p>
            <w:pPr>
              <w:spacing w:line="440" w:lineRule="exact"/>
              <w:jc w:val="center"/>
              <w:rPr>
                <w:sz w:val="21"/>
                <w:szCs w:val="21"/>
                <w:highlight w:val="none"/>
              </w:rPr>
            </w:pPr>
          </w:p>
        </w:tc>
        <w:tc>
          <w:tcPr>
            <w:tcW w:w="863" w:type="dxa"/>
            <w:noWrap w:val="0"/>
            <w:vAlign w:val="center"/>
          </w:tcPr>
          <w:p>
            <w:pPr>
              <w:spacing w:line="440" w:lineRule="exact"/>
              <w:jc w:val="center"/>
              <w:rPr>
                <w:sz w:val="21"/>
                <w:szCs w:val="21"/>
                <w:highlight w:val="none"/>
              </w:rPr>
            </w:pPr>
          </w:p>
        </w:tc>
        <w:tc>
          <w:tcPr>
            <w:tcW w:w="1417" w:type="dxa"/>
            <w:noWrap w:val="0"/>
            <w:vAlign w:val="center"/>
          </w:tcPr>
          <w:p>
            <w:pPr>
              <w:spacing w:line="440" w:lineRule="exact"/>
              <w:jc w:val="center"/>
              <w:rPr>
                <w:sz w:val="21"/>
                <w:szCs w:val="21"/>
                <w:highlight w:val="none"/>
              </w:rPr>
            </w:pPr>
          </w:p>
        </w:tc>
        <w:tc>
          <w:tcPr>
            <w:tcW w:w="1022" w:type="dxa"/>
            <w:noWrap w:val="0"/>
            <w:vAlign w:val="center"/>
          </w:tcPr>
          <w:p>
            <w:pPr>
              <w:spacing w:line="440" w:lineRule="exact"/>
              <w:jc w:val="center"/>
              <w:rPr>
                <w:sz w:val="21"/>
                <w:szCs w:val="21"/>
                <w:highlight w:val="none"/>
              </w:rPr>
            </w:pPr>
          </w:p>
        </w:tc>
        <w:tc>
          <w:tcPr>
            <w:tcW w:w="1233" w:type="dxa"/>
            <w:noWrap w:val="0"/>
            <w:vAlign w:val="center"/>
          </w:tcPr>
          <w:p>
            <w:pPr>
              <w:spacing w:line="440" w:lineRule="exact"/>
              <w:jc w:val="center"/>
              <w:rPr>
                <w:sz w:val="21"/>
                <w:szCs w:val="21"/>
                <w:highlight w:val="none"/>
              </w:rPr>
            </w:pPr>
          </w:p>
        </w:tc>
        <w:tc>
          <w:tcPr>
            <w:tcW w:w="807" w:type="dxa"/>
            <w:noWrap w:val="0"/>
            <w:vAlign w:val="center"/>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spacing w:line="440" w:lineRule="exact"/>
              <w:jc w:val="center"/>
              <w:rPr>
                <w:sz w:val="21"/>
                <w:szCs w:val="21"/>
                <w:highlight w:val="none"/>
              </w:rPr>
            </w:pPr>
          </w:p>
        </w:tc>
        <w:tc>
          <w:tcPr>
            <w:tcW w:w="1269"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7" w:type="dxa"/>
            <w:noWrap w:val="0"/>
            <w:vAlign w:val="top"/>
          </w:tcPr>
          <w:p>
            <w:pPr>
              <w:spacing w:line="440" w:lineRule="exact"/>
              <w:jc w:val="center"/>
              <w:rPr>
                <w:sz w:val="21"/>
                <w:szCs w:val="21"/>
                <w:highlight w:val="none"/>
              </w:rPr>
            </w:pPr>
          </w:p>
        </w:tc>
        <w:tc>
          <w:tcPr>
            <w:tcW w:w="785"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022" w:type="dxa"/>
            <w:noWrap w:val="0"/>
            <w:vAlign w:val="top"/>
          </w:tcPr>
          <w:p>
            <w:pPr>
              <w:spacing w:line="440" w:lineRule="exact"/>
              <w:jc w:val="center"/>
              <w:rPr>
                <w:sz w:val="21"/>
                <w:szCs w:val="21"/>
                <w:highlight w:val="none"/>
              </w:rPr>
            </w:pPr>
          </w:p>
        </w:tc>
        <w:tc>
          <w:tcPr>
            <w:tcW w:w="1233" w:type="dxa"/>
            <w:noWrap w:val="0"/>
            <w:vAlign w:val="top"/>
          </w:tcPr>
          <w:p>
            <w:pPr>
              <w:spacing w:line="440" w:lineRule="exact"/>
              <w:jc w:val="center"/>
              <w:rPr>
                <w:sz w:val="21"/>
                <w:szCs w:val="21"/>
                <w:highlight w:val="none"/>
              </w:rPr>
            </w:pPr>
          </w:p>
        </w:tc>
        <w:tc>
          <w:tcPr>
            <w:tcW w:w="807" w:type="dxa"/>
            <w:noWrap w:val="0"/>
            <w:vAlign w:val="top"/>
          </w:tcPr>
          <w:p>
            <w:pPr>
              <w:spacing w:line="440" w:lineRule="exact"/>
              <w:jc w:val="center"/>
              <w:rPr>
                <w:sz w:val="21"/>
                <w:szCs w:val="21"/>
                <w:highlight w:val="none"/>
              </w:rPr>
            </w:pPr>
          </w:p>
        </w:tc>
      </w:tr>
    </w:tbl>
    <w:p>
      <w:pPr>
        <w:spacing w:line="440" w:lineRule="exact"/>
        <w:rPr>
          <w:rFonts w:eastAsia="黑体"/>
          <w:sz w:val="20"/>
          <w:szCs w:val="20"/>
          <w:highlight w:val="none"/>
        </w:rPr>
      </w:pPr>
    </w:p>
    <w:p>
      <w:pPr>
        <w:spacing w:line="440" w:lineRule="exact"/>
        <w:rPr>
          <w:rFonts w:hint="eastAsia" w:ascii="宋体" w:hAnsi="宋体" w:eastAsia="宋体" w:cs="宋体"/>
          <w:b/>
          <w:bCs/>
          <w:sz w:val="24"/>
          <w:szCs w:val="24"/>
          <w:highlight w:val="none"/>
        </w:rPr>
      </w:pPr>
      <w:r>
        <w:rPr>
          <w:rFonts w:eastAsia="黑体"/>
          <w:sz w:val="20"/>
          <w:szCs w:val="20"/>
          <w:highlight w:val="none"/>
        </w:rPr>
        <w:br w:type="page"/>
      </w:r>
      <w:bookmarkStart w:id="1472" w:name="_Toc152042587"/>
      <w:bookmarkStart w:id="1473" w:name="_Toc144974866"/>
      <w:bookmarkStart w:id="1474" w:name="_Toc152045798"/>
      <w:bookmarkStart w:id="1475" w:name="_Toc179632818"/>
      <w:r>
        <w:rPr>
          <w:rFonts w:hint="eastAsia" w:ascii="宋体" w:hAnsi="宋体" w:eastAsia="宋体" w:cs="宋体"/>
          <w:b/>
          <w:bCs/>
          <w:sz w:val="24"/>
          <w:szCs w:val="24"/>
          <w:highlight w:val="none"/>
        </w:rPr>
        <w:t>附表二：拟配备本标段的试验和检测仪器设备表</w:t>
      </w:r>
      <w:bookmarkEnd w:id="1472"/>
      <w:bookmarkEnd w:id="1473"/>
      <w:bookmarkEnd w:id="1474"/>
      <w:bookmarkEnd w:id="1475"/>
    </w:p>
    <w:p>
      <w:pPr>
        <w:spacing w:line="440" w:lineRule="exact"/>
        <w:rPr>
          <w:sz w:val="20"/>
          <w:szCs w:val="20"/>
          <w:highlight w:val="none"/>
        </w:rPr>
      </w:pPr>
    </w:p>
    <w:tbl>
      <w:tblPr>
        <w:tblStyle w:val="3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71"/>
        <w:gridCol w:w="889"/>
        <w:gridCol w:w="1158"/>
        <w:gridCol w:w="786"/>
        <w:gridCol w:w="863"/>
        <w:gridCol w:w="1417"/>
        <w:gridCol w:w="1932"/>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spacing w:line="440" w:lineRule="exact"/>
              <w:rPr>
                <w:sz w:val="21"/>
                <w:szCs w:val="21"/>
                <w:highlight w:val="none"/>
              </w:rPr>
            </w:pPr>
            <w:r>
              <w:rPr>
                <w:sz w:val="21"/>
                <w:szCs w:val="21"/>
                <w:highlight w:val="none"/>
              </w:rPr>
              <w:t>序号</w:t>
            </w:r>
          </w:p>
        </w:tc>
        <w:tc>
          <w:tcPr>
            <w:tcW w:w="1271" w:type="dxa"/>
            <w:noWrap w:val="0"/>
            <w:vAlign w:val="center"/>
          </w:tcPr>
          <w:p>
            <w:pPr>
              <w:spacing w:line="440" w:lineRule="exact"/>
              <w:jc w:val="center"/>
              <w:rPr>
                <w:sz w:val="21"/>
                <w:szCs w:val="21"/>
                <w:highlight w:val="none"/>
              </w:rPr>
            </w:pPr>
            <w:r>
              <w:rPr>
                <w:sz w:val="21"/>
                <w:szCs w:val="21"/>
                <w:highlight w:val="none"/>
              </w:rPr>
              <w:t>仪器设备名称</w:t>
            </w:r>
          </w:p>
        </w:tc>
        <w:tc>
          <w:tcPr>
            <w:tcW w:w="889" w:type="dxa"/>
            <w:noWrap w:val="0"/>
            <w:vAlign w:val="center"/>
          </w:tcPr>
          <w:p>
            <w:pPr>
              <w:spacing w:line="440" w:lineRule="exact"/>
              <w:jc w:val="center"/>
              <w:rPr>
                <w:sz w:val="21"/>
                <w:szCs w:val="21"/>
                <w:highlight w:val="none"/>
              </w:rPr>
            </w:pPr>
            <w:r>
              <w:rPr>
                <w:sz w:val="21"/>
                <w:szCs w:val="21"/>
                <w:highlight w:val="none"/>
              </w:rPr>
              <w:t>型号</w:t>
            </w:r>
          </w:p>
          <w:p>
            <w:pPr>
              <w:spacing w:line="440" w:lineRule="exact"/>
              <w:jc w:val="center"/>
              <w:rPr>
                <w:sz w:val="21"/>
                <w:szCs w:val="21"/>
                <w:highlight w:val="none"/>
              </w:rPr>
            </w:pPr>
            <w:r>
              <w:rPr>
                <w:sz w:val="21"/>
                <w:szCs w:val="21"/>
                <w:highlight w:val="none"/>
              </w:rPr>
              <w:t>规格</w:t>
            </w:r>
          </w:p>
        </w:tc>
        <w:tc>
          <w:tcPr>
            <w:tcW w:w="1158" w:type="dxa"/>
            <w:noWrap w:val="0"/>
            <w:vAlign w:val="center"/>
          </w:tcPr>
          <w:p>
            <w:pPr>
              <w:spacing w:line="440" w:lineRule="exact"/>
              <w:jc w:val="center"/>
              <w:rPr>
                <w:sz w:val="21"/>
                <w:szCs w:val="21"/>
                <w:highlight w:val="none"/>
              </w:rPr>
            </w:pPr>
            <w:r>
              <w:rPr>
                <w:sz w:val="21"/>
                <w:szCs w:val="21"/>
                <w:highlight w:val="none"/>
              </w:rPr>
              <w:t>数量</w:t>
            </w:r>
          </w:p>
        </w:tc>
        <w:tc>
          <w:tcPr>
            <w:tcW w:w="786" w:type="dxa"/>
            <w:noWrap w:val="0"/>
            <w:vAlign w:val="center"/>
          </w:tcPr>
          <w:p>
            <w:pPr>
              <w:spacing w:line="440" w:lineRule="exact"/>
              <w:jc w:val="center"/>
              <w:rPr>
                <w:sz w:val="21"/>
                <w:szCs w:val="21"/>
                <w:highlight w:val="none"/>
              </w:rPr>
            </w:pPr>
            <w:r>
              <w:rPr>
                <w:sz w:val="21"/>
                <w:szCs w:val="21"/>
                <w:highlight w:val="none"/>
              </w:rPr>
              <w:t>国别</w:t>
            </w:r>
          </w:p>
          <w:p>
            <w:pPr>
              <w:spacing w:line="440" w:lineRule="exact"/>
              <w:jc w:val="center"/>
              <w:rPr>
                <w:sz w:val="21"/>
                <w:szCs w:val="21"/>
                <w:highlight w:val="none"/>
              </w:rPr>
            </w:pPr>
            <w:r>
              <w:rPr>
                <w:sz w:val="21"/>
                <w:szCs w:val="21"/>
                <w:highlight w:val="none"/>
              </w:rPr>
              <w:t>产地</w:t>
            </w:r>
          </w:p>
        </w:tc>
        <w:tc>
          <w:tcPr>
            <w:tcW w:w="863" w:type="dxa"/>
            <w:noWrap w:val="0"/>
            <w:vAlign w:val="center"/>
          </w:tcPr>
          <w:p>
            <w:pPr>
              <w:spacing w:line="440" w:lineRule="exact"/>
              <w:jc w:val="center"/>
              <w:rPr>
                <w:sz w:val="21"/>
                <w:szCs w:val="21"/>
                <w:highlight w:val="none"/>
              </w:rPr>
            </w:pPr>
            <w:r>
              <w:rPr>
                <w:sz w:val="21"/>
                <w:szCs w:val="21"/>
                <w:highlight w:val="none"/>
              </w:rPr>
              <w:t>制造</w:t>
            </w:r>
          </w:p>
          <w:p>
            <w:pPr>
              <w:spacing w:line="440" w:lineRule="exact"/>
              <w:jc w:val="center"/>
              <w:rPr>
                <w:sz w:val="21"/>
                <w:szCs w:val="21"/>
                <w:highlight w:val="none"/>
              </w:rPr>
            </w:pPr>
            <w:r>
              <w:rPr>
                <w:sz w:val="21"/>
                <w:szCs w:val="21"/>
                <w:highlight w:val="none"/>
              </w:rPr>
              <w:t>年份</w:t>
            </w:r>
          </w:p>
        </w:tc>
        <w:tc>
          <w:tcPr>
            <w:tcW w:w="1417" w:type="dxa"/>
            <w:noWrap w:val="0"/>
            <w:vAlign w:val="center"/>
          </w:tcPr>
          <w:p>
            <w:pPr>
              <w:spacing w:line="440" w:lineRule="exact"/>
              <w:jc w:val="center"/>
              <w:rPr>
                <w:sz w:val="21"/>
                <w:szCs w:val="21"/>
                <w:highlight w:val="none"/>
              </w:rPr>
            </w:pPr>
            <w:r>
              <w:rPr>
                <w:sz w:val="21"/>
                <w:szCs w:val="21"/>
                <w:highlight w:val="none"/>
              </w:rPr>
              <w:t>已使用台时数</w:t>
            </w:r>
          </w:p>
        </w:tc>
        <w:tc>
          <w:tcPr>
            <w:tcW w:w="1932" w:type="dxa"/>
            <w:noWrap w:val="0"/>
            <w:vAlign w:val="center"/>
          </w:tcPr>
          <w:p>
            <w:pPr>
              <w:spacing w:line="440" w:lineRule="exact"/>
              <w:jc w:val="center"/>
              <w:rPr>
                <w:sz w:val="21"/>
                <w:szCs w:val="21"/>
                <w:highlight w:val="none"/>
              </w:rPr>
            </w:pPr>
            <w:r>
              <w:rPr>
                <w:sz w:val="21"/>
                <w:szCs w:val="21"/>
                <w:highlight w:val="none"/>
              </w:rPr>
              <w:t>用途</w:t>
            </w:r>
          </w:p>
        </w:tc>
        <w:tc>
          <w:tcPr>
            <w:tcW w:w="804" w:type="dxa"/>
            <w:noWrap w:val="0"/>
            <w:vAlign w:val="center"/>
          </w:tcPr>
          <w:p>
            <w:pPr>
              <w:spacing w:line="440" w:lineRule="exact"/>
              <w:jc w:val="center"/>
              <w:rPr>
                <w:sz w:val="21"/>
                <w:szCs w:val="21"/>
                <w:highlight w:val="none"/>
              </w:rPr>
            </w:pPr>
            <w:r>
              <w:rPr>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spacing w:line="440" w:lineRule="exact"/>
              <w:jc w:val="center"/>
              <w:rPr>
                <w:sz w:val="21"/>
                <w:szCs w:val="21"/>
                <w:highlight w:val="none"/>
              </w:rPr>
            </w:pPr>
          </w:p>
        </w:tc>
        <w:tc>
          <w:tcPr>
            <w:tcW w:w="1271" w:type="dxa"/>
            <w:noWrap w:val="0"/>
            <w:vAlign w:val="center"/>
          </w:tcPr>
          <w:p>
            <w:pPr>
              <w:spacing w:line="440" w:lineRule="exact"/>
              <w:jc w:val="center"/>
              <w:rPr>
                <w:sz w:val="21"/>
                <w:szCs w:val="21"/>
                <w:highlight w:val="none"/>
              </w:rPr>
            </w:pPr>
          </w:p>
        </w:tc>
        <w:tc>
          <w:tcPr>
            <w:tcW w:w="889" w:type="dxa"/>
            <w:noWrap w:val="0"/>
            <w:vAlign w:val="center"/>
          </w:tcPr>
          <w:p>
            <w:pPr>
              <w:spacing w:line="440" w:lineRule="exact"/>
              <w:jc w:val="center"/>
              <w:rPr>
                <w:sz w:val="21"/>
                <w:szCs w:val="21"/>
                <w:highlight w:val="none"/>
              </w:rPr>
            </w:pPr>
          </w:p>
        </w:tc>
        <w:tc>
          <w:tcPr>
            <w:tcW w:w="1158" w:type="dxa"/>
            <w:noWrap w:val="0"/>
            <w:vAlign w:val="center"/>
          </w:tcPr>
          <w:p>
            <w:pPr>
              <w:spacing w:line="440" w:lineRule="exact"/>
              <w:jc w:val="center"/>
              <w:rPr>
                <w:sz w:val="21"/>
                <w:szCs w:val="21"/>
                <w:highlight w:val="none"/>
              </w:rPr>
            </w:pPr>
          </w:p>
        </w:tc>
        <w:tc>
          <w:tcPr>
            <w:tcW w:w="786" w:type="dxa"/>
            <w:noWrap w:val="0"/>
            <w:vAlign w:val="center"/>
          </w:tcPr>
          <w:p>
            <w:pPr>
              <w:spacing w:line="440" w:lineRule="exact"/>
              <w:jc w:val="center"/>
              <w:rPr>
                <w:sz w:val="21"/>
                <w:szCs w:val="21"/>
                <w:highlight w:val="none"/>
              </w:rPr>
            </w:pPr>
          </w:p>
        </w:tc>
        <w:tc>
          <w:tcPr>
            <w:tcW w:w="863" w:type="dxa"/>
            <w:noWrap w:val="0"/>
            <w:vAlign w:val="center"/>
          </w:tcPr>
          <w:p>
            <w:pPr>
              <w:spacing w:line="440" w:lineRule="exact"/>
              <w:jc w:val="center"/>
              <w:rPr>
                <w:sz w:val="21"/>
                <w:szCs w:val="21"/>
                <w:highlight w:val="none"/>
              </w:rPr>
            </w:pPr>
          </w:p>
        </w:tc>
        <w:tc>
          <w:tcPr>
            <w:tcW w:w="1417" w:type="dxa"/>
            <w:noWrap w:val="0"/>
            <w:vAlign w:val="center"/>
          </w:tcPr>
          <w:p>
            <w:pPr>
              <w:spacing w:line="440" w:lineRule="exact"/>
              <w:jc w:val="center"/>
              <w:rPr>
                <w:sz w:val="21"/>
                <w:szCs w:val="21"/>
                <w:highlight w:val="none"/>
              </w:rPr>
            </w:pPr>
          </w:p>
        </w:tc>
        <w:tc>
          <w:tcPr>
            <w:tcW w:w="1932" w:type="dxa"/>
            <w:noWrap w:val="0"/>
            <w:vAlign w:val="center"/>
          </w:tcPr>
          <w:p>
            <w:pPr>
              <w:spacing w:line="440" w:lineRule="exact"/>
              <w:jc w:val="center"/>
              <w:rPr>
                <w:sz w:val="21"/>
                <w:szCs w:val="21"/>
                <w:highlight w:val="none"/>
              </w:rPr>
            </w:pPr>
          </w:p>
        </w:tc>
        <w:tc>
          <w:tcPr>
            <w:tcW w:w="804" w:type="dxa"/>
            <w:noWrap w:val="0"/>
            <w:vAlign w:val="center"/>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spacing w:line="440" w:lineRule="exact"/>
              <w:jc w:val="center"/>
              <w:rPr>
                <w:sz w:val="21"/>
                <w:szCs w:val="21"/>
                <w:highlight w:val="none"/>
              </w:rPr>
            </w:pPr>
          </w:p>
        </w:tc>
        <w:tc>
          <w:tcPr>
            <w:tcW w:w="1271" w:type="dxa"/>
            <w:noWrap w:val="0"/>
            <w:vAlign w:val="center"/>
          </w:tcPr>
          <w:p>
            <w:pPr>
              <w:spacing w:line="440" w:lineRule="exact"/>
              <w:jc w:val="center"/>
              <w:rPr>
                <w:sz w:val="21"/>
                <w:szCs w:val="21"/>
                <w:highlight w:val="none"/>
              </w:rPr>
            </w:pPr>
          </w:p>
        </w:tc>
        <w:tc>
          <w:tcPr>
            <w:tcW w:w="889" w:type="dxa"/>
            <w:noWrap w:val="0"/>
            <w:vAlign w:val="center"/>
          </w:tcPr>
          <w:p>
            <w:pPr>
              <w:spacing w:line="440" w:lineRule="exact"/>
              <w:jc w:val="center"/>
              <w:rPr>
                <w:sz w:val="21"/>
                <w:szCs w:val="21"/>
                <w:highlight w:val="none"/>
              </w:rPr>
            </w:pPr>
          </w:p>
        </w:tc>
        <w:tc>
          <w:tcPr>
            <w:tcW w:w="1158" w:type="dxa"/>
            <w:noWrap w:val="0"/>
            <w:vAlign w:val="center"/>
          </w:tcPr>
          <w:p>
            <w:pPr>
              <w:spacing w:line="440" w:lineRule="exact"/>
              <w:jc w:val="center"/>
              <w:rPr>
                <w:sz w:val="21"/>
                <w:szCs w:val="21"/>
                <w:highlight w:val="none"/>
              </w:rPr>
            </w:pPr>
          </w:p>
        </w:tc>
        <w:tc>
          <w:tcPr>
            <w:tcW w:w="786" w:type="dxa"/>
            <w:noWrap w:val="0"/>
            <w:vAlign w:val="center"/>
          </w:tcPr>
          <w:p>
            <w:pPr>
              <w:spacing w:line="440" w:lineRule="exact"/>
              <w:jc w:val="center"/>
              <w:rPr>
                <w:sz w:val="21"/>
                <w:szCs w:val="21"/>
                <w:highlight w:val="none"/>
              </w:rPr>
            </w:pPr>
          </w:p>
        </w:tc>
        <w:tc>
          <w:tcPr>
            <w:tcW w:w="863" w:type="dxa"/>
            <w:noWrap w:val="0"/>
            <w:vAlign w:val="center"/>
          </w:tcPr>
          <w:p>
            <w:pPr>
              <w:spacing w:line="440" w:lineRule="exact"/>
              <w:jc w:val="center"/>
              <w:rPr>
                <w:sz w:val="21"/>
                <w:szCs w:val="21"/>
                <w:highlight w:val="none"/>
              </w:rPr>
            </w:pPr>
          </w:p>
        </w:tc>
        <w:tc>
          <w:tcPr>
            <w:tcW w:w="1417" w:type="dxa"/>
            <w:noWrap w:val="0"/>
            <w:vAlign w:val="center"/>
          </w:tcPr>
          <w:p>
            <w:pPr>
              <w:spacing w:line="440" w:lineRule="exact"/>
              <w:jc w:val="center"/>
              <w:rPr>
                <w:sz w:val="21"/>
                <w:szCs w:val="21"/>
                <w:highlight w:val="none"/>
              </w:rPr>
            </w:pPr>
          </w:p>
        </w:tc>
        <w:tc>
          <w:tcPr>
            <w:tcW w:w="1932" w:type="dxa"/>
            <w:noWrap w:val="0"/>
            <w:vAlign w:val="center"/>
          </w:tcPr>
          <w:p>
            <w:pPr>
              <w:spacing w:line="440" w:lineRule="exact"/>
              <w:jc w:val="center"/>
              <w:rPr>
                <w:sz w:val="21"/>
                <w:szCs w:val="21"/>
                <w:highlight w:val="none"/>
              </w:rPr>
            </w:pPr>
          </w:p>
        </w:tc>
        <w:tc>
          <w:tcPr>
            <w:tcW w:w="804" w:type="dxa"/>
            <w:noWrap w:val="0"/>
            <w:vAlign w:val="center"/>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top"/>
          </w:tcPr>
          <w:p>
            <w:pPr>
              <w:spacing w:line="440" w:lineRule="exact"/>
              <w:jc w:val="center"/>
              <w:rPr>
                <w:sz w:val="21"/>
                <w:szCs w:val="21"/>
                <w:highlight w:val="none"/>
              </w:rPr>
            </w:pPr>
          </w:p>
        </w:tc>
        <w:tc>
          <w:tcPr>
            <w:tcW w:w="1271" w:type="dxa"/>
            <w:noWrap w:val="0"/>
            <w:vAlign w:val="top"/>
          </w:tcPr>
          <w:p>
            <w:pPr>
              <w:spacing w:line="440" w:lineRule="exact"/>
              <w:jc w:val="center"/>
              <w:rPr>
                <w:sz w:val="21"/>
                <w:szCs w:val="21"/>
                <w:highlight w:val="none"/>
              </w:rPr>
            </w:pPr>
          </w:p>
        </w:tc>
        <w:tc>
          <w:tcPr>
            <w:tcW w:w="889" w:type="dxa"/>
            <w:noWrap w:val="0"/>
            <w:vAlign w:val="top"/>
          </w:tcPr>
          <w:p>
            <w:pPr>
              <w:spacing w:line="440" w:lineRule="exact"/>
              <w:jc w:val="center"/>
              <w:rPr>
                <w:sz w:val="21"/>
                <w:szCs w:val="21"/>
                <w:highlight w:val="none"/>
              </w:rPr>
            </w:pPr>
          </w:p>
        </w:tc>
        <w:tc>
          <w:tcPr>
            <w:tcW w:w="1158" w:type="dxa"/>
            <w:noWrap w:val="0"/>
            <w:vAlign w:val="top"/>
          </w:tcPr>
          <w:p>
            <w:pPr>
              <w:spacing w:line="440" w:lineRule="exact"/>
              <w:jc w:val="center"/>
              <w:rPr>
                <w:sz w:val="21"/>
                <w:szCs w:val="21"/>
                <w:highlight w:val="none"/>
              </w:rPr>
            </w:pPr>
          </w:p>
        </w:tc>
        <w:tc>
          <w:tcPr>
            <w:tcW w:w="786" w:type="dxa"/>
            <w:noWrap w:val="0"/>
            <w:vAlign w:val="top"/>
          </w:tcPr>
          <w:p>
            <w:pPr>
              <w:spacing w:line="440" w:lineRule="exact"/>
              <w:jc w:val="center"/>
              <w:rPr>
                <w:sz w:val="21"/>
                <w:szCs w:val="21"/>
                <w:highlight w:val="none"/>
              </w:rPr>
            </w:pPr>
          </w:p>
        </w:tc>
        <w:tc>
          <w:tcPr>
            <w:tcW w:w="863" w:type="dxa"/>
            <w:noWrap w:val="0"/>
            <w:vAlign w:val="top"/>
          </w:tcPr>
          <w:p>
            <w:pPr>
              <w:spacing w:line="440" w:lineRule="exact"/>
              <w:jc w:val="center"/>
              <w:rPr>
                <w:sz w:val="21"/>
                <w:szCs w:val="21"/>
                <w:highlight w:val="none"/>
              </w:rPr>
            </w:pPr>
          </w:p>
        </w:tc>
        <w:tc>
          <w:tcPr>
            <w:tcW w:w="1417" w:type="dxa"/>
            <w:noWrap w:val="0"/>
            <w:vAlign w:val="top"/>
          </w:tcPr>
          <w:p>
            <w:pPr>
              <w:spacing w:line="440" w:lineRule="exact"/>
              <w:jc w:val="center"/>
              <w:rPr>
                <w:sz w:val="21"/>
                <w:szCs w:val="21"/>
                <w:highlight w:val="none"/>
              </w:rPr>
            </w:pPr>
          </w:p>
        </w:tc>
        <w:tc>
          <w:tcPr>
            <w:tcW w:w="1932" w:type="dxa"/>
            <w:noWrap w:val="0"/>
            <w:vAlign w:val="top"/>
          </w:tcPr>
          <w:p>
            <w:pPr>
              <w:spacing w:line="440" w:lineRule="exact"/>
              <w:jc w:val="center"/>
              <w:rPr>
                <w:sz w:val="21"/>
                <w:szCs w:val="21"/>
                <w:highlight w:val="none"/>
              </w:rPr>
            </w:pPr>
          </w:p>
        </w:tc>
        <w:tc>
          <w:tcPr>
            <w:tcW w:w="804" w:type="dxa"/>
            <w:noWrap w:val="0"/>
            <w:vAlign w:val="top"/>
          </w:tcPr>
          <w:p>
            <w:pPr>
              <w:spacing w:line="440" w:lineRule="exact"/>
              <w:jc w:val="center"/>
              <w:rPr>
                <w:sz w:val="21"/>
                <w:szCs w:val="21"/>
                <w:highlight w:val="none"/>
              </w:rPr>
            </w:pPr>
          </w:p>
        </w:tc>
      </w:tr>
    </w:tbl>
    <w:p>
      <w:pPr>
        <w:spacing w:line="440" w:lineRule="exact"/>
        <w:rPr>
          <w:rFonts w:hint="eastAsia" w:ascii="宋体" w:hAnsi="宋体" w:eastAsia="宋体" w:cs="宋体"/>
          <w:b/>
          <w:bCs/>
          <w:sz w:val="24"/>
          <w:szCs w:val="24"/>
          <w:highlight w:val="none"/>
        </w:rPr>
      </w:pPr>
      <w:r>
        <w:rPr>
          <w:rFonts w:eastAsia="黑体"/>
          <w:sz w:val="20"/>
          <w:szCs w:val="20"/>
          <w:highlight w:val="none"/>
        </w:rPr>
        <w:br w:type="page"/>
      </w:r>
      <w:bookmarkStart w:id="1476" w:name="_Toc179632819"/>
      <w:bookmarkStart w:id="1477" w:name="_Toc144974867"/>
      <w:bookmarkStart w:id="1478" w:name="_Toc152042588"/>
      <w:bookmarkStart w:id="1479" w:name="_Toc152045799"/>
      <w:r>
        <w:rPr>
          <w:rFonts w:hint="eastAsia" w:ascii="宋体" w:hAnsi="宋体" w:eastAsia="宋体" w:cs="宋体"/>
          <w:b/>
          <w:bCs/>
          <w:sz w:val="24"/>
          <w:szCs w:val="24"/>
          <w:highlight w:val="none"/>
        </w:rPr>
        <w:t>附表三：劳动力计划表</w:t>
      </w:r>
      <w:bookmarkEnd w:id="1476"/>
      <w:bookmarkEnd w:id="1477"/>
      <w:bookmarkEnd w:id="1478"/>
      <w:bookmarkEnd w:id="1479"/>
    </w:p>
    <w:p>
      <w:pPr>
        <w:spacing w:line="440" w:lineRule="exact"/>
        <w:ind w:right="200"/>
        <w:jc w:val="right"/>
        <w:rPr>
          <w:rFonts w:eastAsia="黑体"/>
          <w:szCs w:val="21"/>
          <w:highlight w:val="none"/>
        </w:rPr>
      </w:pPr>
      <w:r>
        <w:rPr>
          <w:rFonts w:eastAsia="黑体"/>
          <w:szCs w:val="21"/>
          <w:highlight w:val="none"/>
        </w:rPr>
        <w:t>单位：人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524"/>
        <w:gridCol w:w="1245"/>
        <w:gridCol w:w="1245"/>
        <w:gridCol w:w="1245"/>
        <w:gridCol w:w="1245"/>
        <w:gridCol w:w="1246"/>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spacing w:line="440" w:lineRule="exact"/>
              <w:jc w:val="center"/>
              <w:rPr>
                <w:sz w:val="21"/>
                <w:szCs w:val="21"/>
                <w:highlight w:val="none"/>
              </w:rPr>
            </w:pPr>
            <w:r>
              <w:rPr>
                <w:sz w:val="21"/>
                <w:szCs w:val="21"/>
                <w:highlight w:val="none"/>
              </w:rPr>
              <w:t>工种</w:t>
            </w:r>
          </w:p>
        </w:tc>
        <w:tc>
          <w:tcPr>
            <w:tcW w:w="8994" w:type="dxa"/>
            <w:gridSpan w:val="7"/>
            <w:noWrap w:val="0"/>
            <w:vAlign w:val="center"/>
          </w:tcPr>
          <w:p>
            <w:pPr>
              <w:spacing w:line="440" w:lineRule="exact"/>
              <w:jc w:val="center"/>
              <w:rPr>
                <w:sz w:val="21"/>
                <w:szCs w:val="21"/>
                <w:highlight w:val="none"/>
              </w:rPr>
            </w:pPr>
            <w:r>
              <w:rPr>
                <w:sz w:val="21"/>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spacing w:line="440" w:lineRule="exact"/>
              <w:jc w:val="center"/>
              <w:rPr>
                <w:sz w:val="21"/>
                <w:szCs w:val="21"/>
                <w:highlight w:val="none"/>
              </w:rPr>
            </w:pPr>
          </w:p>
        </w:tc>
        <w:tc>
          <w:tcPr>
            <w:tcW w:w="1524" w:type="dxa"/>
            <w:noWrap w:val="0"/>
            <w:vAlign w:val="center"/>
          </w:tcPr>
          <w:p>
            <w:pPr>
              <w:spacing w:line="440" w:lineRule="exact"/>
              <w:jc w:val="center"/>
              <w:rPr>
                <w:sz w:val="21"/>
                <w:szCs w:val="21"/>
                <w:highlight w:val="none"/>
              </w:rPr>
            </w:pPr>
          </w:p>
        </w:tc>
        <w:tc>
          <w:tcPr>
            <w:tcW w:w="1245" w:type="dxa"/>
            <w:noWrap w:val="0"/>
            <w:vAlign w:val="center"/>
          </w:tcPr>
          <w:p>
            <w:pPr>
              <w:spacing w:line="440" w:lineRule="exact"/>
              <w:jc w:val="center"/>
              <w:rPr>
                <w:sz w:val="21"/>
                <w:szCs w:val="21"/>
                <w:highlight w:val="none"/>
              </w:rPr>
            </w:pPr>
          </w:p>
        </w:tc>
        <w:tc>
          <w:tcPr>
            <w:tcW w:w="1245" w:type="dxa"/>
            <w:noWrap w:val="0"/>
            <w:vAlign w:val="center"/>
          </w:tcPr>
          <w:p>
            <w:pPr>
              <w:spacing w:line="440" w:lineRule="exact"/>
              <w:jc w:val="center"/>
              <w:rPr>
                <w:sz w:val="21"/>
                <w:szCs w:val="21"/>
                <w:highlight w:val="none"/>
              </w:rPr>
            </w:pPr>
          </w:p>
        </w:tc>
        <w:tc>
          <w:tcPr>
            <w:tcW w:w="1245" w:type="dxa"/>
            <w:noWrap w:val="0"/>
            <w:vAlign w:val="center"/>
          </w:tcPr>
          <w:p>
            <w:pPr>
              <w:spacing w:line="440" w:lineRule="exact"/>
              <w:jc w:val="center"/>
              <w:rPr>
                <w:sz w:val="21"/>
                <w:szCs w:val="21"/>
                <w:highlight w:val="none"/>
              </w:rPr>
            </w:pPr>
          </w:p>
        </w:tc>
        <w:tc>
          <w:tcPr>
            <w:tcW w:w="1245" w:type="dxa"/>
            <w:noWrap w:val="0"/>
            <w:vAlign w:val="center"/>
          </w:tcPr>
          <w:p>
            <w:pPr>
              <w:spacing w:line="440" w:lineRule="exact"/>
              <w:jc w:val="center"/>
              <w:rPr>
                <w:sz w:val="21"/>
                <w:szCs w:val="21"/>
                <w:highlight w:val="none"/>
              </w:rPr>
            </w:pPr>
          </w:p>
        </w:tc>
        <w:tc>
          <w:tcPr>
            <w:tcW w:w="1246" w:type="dxa"/>
            <w:noWrap w:val="0"/>
            <w:vAlign w:val="center"/>
          </w:tcPr>
          <w:p>
            <w:pPr>
              <w:spacing w:line="440" w:lineRule="exact"/>
              <w:jc w:val="center"/>
              <w:rPr>
                <w:sz w:val="21"/>
                <w:szCs w:val="21"/>
                <w:highlight w:val="none"/>
              </w:rPr>
            </w:pPr>
          </w:p>
        </w:tc>
        <w:tc>
          <w:tcPr>
            <w:tcW w:w="1244" w:type="dxa"/>
            <w:noWrap w:val="0"/>
            <w:vAlign w:val="center"/>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spacing w:line="440" w:lineRule="exact"/>
              <w:jc w:val="center"/>
              <w:rPr>
                <w:sz w:val="21"/>
                <w:szCs w:val="21"/>
                <w:highlight w:val="none"/>
              </w:rPr>
            </w:pPr>
          </w:p>
        </w:tc>
        <w:tc>
          <w:tcPr>
            <w:tcW w:w="1524" w:type="dxa"/>
            <w:noWrap w:val="0"/>
            <w:vAlign w:val="center"/>
          </w:tcPr>
          <w:p>
            <w:pPr>
              <w:spacing w:line="440" w:lineRule="exact"/>
              <w:jc w:val="center"/>
              <w:rPr>
                <w:sz w:val="21"/>
                <w:szCs w:val="21"/>
                <w:highlight w:val="none"/>
              </w:rPr>
            </w:pPr>
          </w:p>
        </w:tc>
        <w:tc>
          <w:tcPr>
            <w:tcW w:w="1245" w:type="dxa"/>
            <w:noWrap w:val="0"/>
            <w:vAlign w:val="center"/>
          </w:tcPr>
          <w:p>
            <w:pPr>
              <w:spacing w:line="440" w:lineRule="exact"/>
              <w:jc w:val="center"/>
              <w:rPr>
                <w:sz w:val="21"/>
                <w:szCs w:val="21"/>
                <w:highlight w:val="none"/>
              </w:rPr>
            </w:pPr>
          </w:p>
        </w:tc>
        <w:tc>
          <w:tcPr>
            <w:tcW w:w="1245" w:type="dxa"/>
            <w:noWrap w:val="0"/>
            <w:vAlign w:val="center"/>
          </w:tcPr>
          <w:p>
            <w:pPr>
              <w:spacing w:line="440" w:lineRule="exact"/>
              <w:jc w:val="center"/>
              <w:rPr>
                <w:sz w:val="21"/>
                <w:szCs w:val="21"/>
                <w:highlight w:val="none"/>
              </w:rPr>
            </w:pPr>
          </w:p>
        </w:tc>
        <w:tc>
          <w:tcPr>
            <w:tcW w:w="1245" w:type="dxa"/>
            <w:noWrap w:val="0"/>
            <w:vAlign w:val="center"/>
          </w:tcPr>
          <w:p>
            <w:pPr>
              <w:spacing w:line="440" w:lineRule="exact"/>
              <w:jc w:val="center"/>
              <w:rPr>
                <w:sz w:val="21"/>
                <w:szCs w:val="21"/>
                <w:highlight w:val="none"/>
              </w:rPr>
            </w:pPr>
          </w:p>
        </w:tc>
        <w:tc>
          <w:tcPr>
            <w:tcW w:w="1245" w:type="dxa"/>
            <w:noWrap w:val="0"/>
            <w:vAlign w:val="center"/>
          </w:tcPr>
          <w:p>
            <w:pPr>
              <w:spacing w:line="440" w:lineRule="exact"/>
              <w:jc w:val="center"/>
              <w:rPr>
                <w:sz w:val="21"/>
                <w:szCs w:val="21"/>
                <w:highlight w:val="none"/>
              </w:rPr>
            </w:pPr>
          </w:p>
        </w:tc>
        <w:tc>
          <w:tcPr>
            <w:tcW w:w="1246" w:type="dxa"/>
            <w:noWrap w:val="0"/>
            <w:vAlign w:val="center"/>
          </w:tcPr>
          <w:p>
            <w:pPr>
              <w:spacing w:line="440" w:lineRule="exact"/>
              <w:jc w:val="center"/>
              <w:rPr>
                <w:sz w:val="21"/>
                <w:szCs w:val="21"/>
                <w:highlight w:val="none"/>
              </w:rPr>
            </w:pPr>
          </w:p>
        </w:tc>
        <w:tc>
          <w:tcPr>
            <w:tcW w:w="1244" w:type="dxa"/>
            <w:noWrap w:val="0"/>
            <w:vAlign w:val="center"/>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top"/>
          </w:tcPr>
          <w:p>
            <w:pPr>
              <w:spacing w:line="440" w:lineRule="exact"/>
              <w:jc w:val="center"/>
              <w:rPr>
                <w:sz w:val="21"/>
                <w:szCs w:val="21"/>
                <w:highlight w:val="none"/>
              </w:rPr>
            </w:pPr>
          </w:p>
        </w:tc>
        <w:tc>
          <w:tcPr>
            <w:tcW w:w="1524"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5" w:type="dxa"/>
            <w:noWrap w:val="0"/>
            <w:vAlign w:val="top"/>
          </w:tcPr>
          <w:p>
            <w:pPr>
              <w:spacing w:line="440" w:lineRule="exact"/>
              <w:jc w:val="center"/>
              <w:rPr>
                <w:sz w:val="21"/>
                <w:szCs w:val="21"/>
                <w:highlight w:val="none"/>
              </w:rPr>
            </w:pPr>
          </w:p>
        </w:tc>
        <w:tc>
          <w:tcPr>
            <w:tcW w:w="1246" w:type="dxa"/>
            <w:noWrap w:val="0"/>
            <w:vAlign w:val="top"/>
          </w:tcPr>
          <w:p>
            <w:pPr>
              <w:spacing w:line="440" w:lineRule="exact"/>
              <w:jc w:val="center"/>
              <w:rPr>
                <w:sz w:val="21"/>
                <w:szCs w:val="21"/>
                <w:highlight w:val="none"/>
              </w:rPr>
            </w:pPr>
          </w:p>
        </w:tc>
        <w:tc>
          <w:tcPr>
            <w:tcW w:w="1244" w:type="dxa"/>
            <w:noWrap w:val="0"/>
            <w:vAlign w:val="top"/>
          </w:tcPr>
          <w:p>
            <w:pPr>
              <w:spacing w:line="440" w:lineRule="exact"/>
              <w:jc w:val="center"/>
              <w:rPr>
                <w:sz w:val="21"/>
                <w:szCs w:val="21"/>
                <w:highlight w:val="none"/>
              </w:rPr>
            </w:pPr>
          </w:p>
        </w:tc>
      </w:tr>
    </w:tbl>
    <w:p>
      <w:pPr>
        <w:spacing w:line="440" w:lineRule="exact"/>
        <w:rPr>
          <w:rFonts w:eastAsia="黑体"/>
          <w:sz w:val="20"/>
          <w:szCs w:val="20"/>
          <w:highlight w:val="none"/>
        </w:rPr>
      </w:pPr>
    </w:p>
    <w:p>
      <w:pPr>
        <w:spacing w:line="440" w:lineRule="exact"/>
        <w:rPr>
          <w:rFonts w:eastAsia="黑体"/>
          <w:sz w:val="20"/>
          <w:szCs w:val="20"/>
          <w:highlight w:val="none"/>
        </w:rPr>
      </w:pPr>
    </w:p>
    <w:p>
      <w:pPr>
        <w:topLinePunct/>
        <w:spacing w:line="440" w:lineRule="exact"/>
        <w:jc w:val="center"/>
        <w:rPr>
          <w:rFonts w:hint="eastAsia"/>
          <w:highlight w:val="none"/>
        </w:rPr>
      </w:pPr>
    </w:p>
    <w:p>
      <w:pPr>
        <w:spacing w:line="440" w:lineRule="exact"/>
        <w:rPr>
          <w:rFonts w:hint="eastAsia" w:ascii="宋体" w:hAnsi="宋体" w:eastAsia="宋体" w:cs="宋体"/>
          <w:b/>
          <w:bCs/>
          <w:sz w:val="24"/>
          <w:szCs w:val="24"/>
          <w:highlight w:val="none"/>
        </w:rPr>
      </w:pPr>
      <w:bookmarkStart w:id="1480" w:name="_Toc144974868"/>
      <w:bookmarkStart w:id="1481" w:name="_Toc152045800"/>
      <w:bookmarkStart w:id="1482" w:name="_Toc179632820"/>
      <w:bookmarkStart w:id="1483" w:name="_Toc152042589"/>
      <w:r>
        <w:rPr>
          <w:rFonts w:hint="eastAsia" w:ascii="宋体" w:hAnsi="宋体" w:eastAsia="宋体" w:cs="宋体"/>
          <w:b/>
          <w:bCs/>
          <w:sz w:val="24"/>
          <w:szCs w:val="24"/>
          <w:highlight w:val="none"/>
        </w:rPr>
        <w:t>附表四：计划开、竣工日期和施工进度网络图</w:t>
      </w:r>
      <w:bookmarkEnd w:id="1480"/>
      <w:bookmarkEnd w:id="1481"/>
      <w:bookmarkEnd w:id="1482"/>
      <w:bookmarkEnd w:id="1483"/>
    </w:p>
    <w:p>
      <w:pPr>
        <w:spacing w:line="440" w:lineRule="exact"/>
        <w:ind w:firstLine="480" w:firstLineChars="200"/>
        <w:rPr>
          <w:sz w:val="24"/>
          <w:szCs w:val="24"/>
          <w:highlight w:val="none"/>
        </w:rPr>
      </w:pPr>
    </w:p>
    <w:p>
      <w:pPr>
        <w:spacing w:line="440" w:lineRule="exact"/>
        <w:ind w:firstLine="480" w:firstLineChars="200"/>
        <w:rPr>
          <w:sz w:val="24"/>
          <w:szCs w:val="24"/>
          <w:highlight w:val="none"/>
        </w:rPr>
      </w:pPr>
      <w:r>
        <w:rPr>
          <w:sz w:val="24"/>
          <w:szCs w:val="24"/>
          <w:highlight w:val="none"/>
        </w:rPr>
        <w:t xml:space="preserve">1. </w:t>
      </w:r>
      <w:r>
        <w:rPr>
          <w:rFonts w:hint="eastAsia"/>
          <w:sz w:val="24"/>
          <w:szCs w:val="24"/>
          <w:highlight w:val="none"/>
          <w:lang w:eastAsia="zh-CN"/>
        </w:rPr>
        <w:t>投标供应商</w:t>
      </w:r>
      <w:r>
        <w:rPr>
          <w:sz w:val="24"/>
          <w:szCs w:val="24"/>
          <w:highlight w:val="none"/>
        </w:rPr>
        <w:t>应递交施工进度网络图或施工进度表，说明按招标文件要求的计划工期进行施工的各个关键日期。</w:t>
      </w:r>
    </w:p>
    <w:p>
      <w:pPr>
        <w:spacing w:line="440" w:lineRule="exact"/>
        <w:ind w:firstLine="480" w:firstLineChars="200"/>
        <w:rPr>
          <w:sz w:val="24"/>
          <w:szCs w:val="24"/>
          <w:highlight w:val="none"/>
        </w:rPr>
      </w:pPr>
      <w:r>
        <w:rPr>
          <w:sz w:val="24"/>
          <w:szCs w:val="24"/>
          <w:highlight w:val="none"/>
        </w:rPr>
        <w:t>2. 施工进度表可采用网络图（或横道图）表示。</w:t>
      </w:r>
    </w:p>
    <w:p>
      <w:pPr>
        <w:spacing w:line="440" w:lineRule="exact"/>
        <w:rPr>
          <w:sz w:val="20"/>
          <w:szCs w:val="20"/>
          <w:highlight w:val="none"/>
        </w:rPr>
      </w:pPr>
    </w:p>
    <w:p>
      <w:pPr>
        <w:spacing w:line="440" w:lineRule="exact"/>
        <w:rPr>
          <w:rFonts w:eastAsia="黑体"/>
          <w:sz w:val="20"/>
          <w:szCs w:val="20"/>
          <w:highlight w:val="none"/>
        </w:rPr>
      </w:pPr>
    </w:p>
    <w:p>
      <w:pPr>
        <w:spacing w:line="440" w:lineRule="exact"/>
        <w:rPr>
          <w:rFonts w:hint="eastAsia" w:ascii="宋体" w:hAnsi="宋体" w:eastAsia="宋体" w:cs="宋体"/>
          <w:b/>
          <w:bCs/>
          <w:sz w:val="24"/>
          <w:szCs w:val="24"/>
          <w:highlight w:val="none"/>
        </w:rPr>
      </w:pPr>
      <w:r>
        <w:rPr>
          <w:rFonts w:eastAsia="黑体"/>
          <w:sz w:val="20"/>
          <w:szCs w:val="20"/>
          <w:highlight w:val="none"/>
        </w:rPr>
        <w:br w:type="page"/>
      </w:r>
      <w:bookmarkStart w:id="1484" w:name="_Toc152045801"/>
      <w:bookmarkStart w:id="1485" w:name="_Toc144974869"/>
      <w:bookmarkStart w:id="1486" w:name="_Toc179632821"/>
      <w:bookmarkStart w:id="1487" w:name="_Toc152042590"/>
      <w:r>
        <w:rPr>
          <w:rFonts w:hint="eastAsia" w:ascii="宋体" w:hAnsi="宋体" w:eastAsia="宋体" w:cs="宋体"/>
          <w:b/>
          <w:bCs/>
          <w:sz w:val="24"/>
          <w:szCs w:val="24"/>
          <w:highlight w:val="none"/>
        </w:rPr>
        <w:t>附表五：施工总平面图</w:t>
      </w:r>
      <w:bookmarkEnd w:id="1484"/>
      <w:bookmarkEnd w:id="1485"/>
      <w:bookmarkEnd w:id="1486"/>
      <w:bookmarkEnd w:id="1487"/>
    </w:p>
    <w:p>
      <w:pPr>
        <w:spacing w:line="440" w:lineRule="exact"/>
        <w:rPr>
          <w:rFonts w:hint="eastAsia" w:ascii="宋体" w:hAnsi="宋体" w:eastAsia="宋体" w:cs="宋体"/>
          <w:b/>
          <w:bCs/>
          <w:sz w:val="24"/>
          <w:szCs w:val="24"/>
          <w:highlight w:val="none"/>
        </w:rPr>
      </w:pPr>
    </w:p>
    <w:p>
      <w:pPr>
        <w:spacing w:line="440" w:lineRule="exact"/>
        <w:ind w:firstLine="480" w:firstLineChars="200"/>
        <w:rPr>
          <w:sz w:val="24"/>
          <w:szCs w:val="24"/>
          <w:highlight w:val="none"/>
        </w:rPr>
      </w:pPr>
      <w:r>
        <w:rPr>
          <w:rFonts w:hint="eastAsia"/>
          <w:sz w:val="24"/>
          <w:szCs w:val="24"/>
          <w:highlight w:val="none"/>
          <w:lang w:eastAsia="zh-CN"/>
        </w:rPr>
        <w:t>投标供应商</w:t>
      </w:r>
      <w:r>
        <w:rPr>
          <w:sz w:val="24"/>
          <w:szCs w:val="24"/>
          <w:highlight w:val="none"/>
        </w:rPr>
        <w:t>应递交一份施工总平面图，绘出现场临时设施布置图表并附文字说明，说明临时设施、加工车间、现场办公、设备及仓储、供电、供水、卫生、生活、道路、消防等设施的情况和布置。</w:t>
      </w:r>
    </w:p>
    <w:p>
      <w:pPr>
        <w:spacing w:line="440" w:lineRule="exact"/>
        <w:rPr>
          <w:rFonts w:eastAsia="黑体"/>
          <w:sz w:val="24"/>
          <w:szCs w:val="24"/>
          <w:highlight w:val="none"/>
        </w:rPr>
      </w:pPr>
    </w:p>
    <w:p>
      <w:pPr>
        <w:spacing w:line="440" w:lineRule="exact"/>
        <w:rPr>
          <w:rFonts w:hint="eastAsia" w:ascii="宋体" w:hAnsi="宋体" w:eastAsia="宋体" w:cs="宋体"/>
          <w:b/>
          <w:bCs/>
          <w:sz w:val="24"/>
          <w:szCs w:val="24"/>
          <w:highlight w:val="none"/>
        </w:rPr>
      </w:pPr>
      <w:r>
        <w:rPr>
          <w:rFonts w:eastAsia="黑体"/>
          <w:sz w:val="20"/>
          <w:szCs w:val="20"/>
          <w:highlight w:val="none"/>
        </w:rPr>
        <w:br w:type="page"/>
      </w:r>
      <w:bookmarkStart w:id="1488" w:name="_Toc144974870"/>
      <w:bookmarkStart w:id="1489" w:name="_Toc179632822"/>
      <w:bookmarkStart w:id="1490" w:name="_Toc152045802"/>
      <w:bookmarkStart w:id="1491" w:name="_Toc152042591"/>
      <w:r>
        <w:rPr>
          <w:rFonts w:hint="eastAsia" w:ascii="宋体" w:hAnsi="宋体" w:eastAsia="宋体" w:cs="宋体"/>
          <w:b/>
          <w:bCs/>
          <w:sz w:val="24"/>
          <w:szCs w:val="24"/>
          <w:highlight w:val="none"/>
        </w:rPr>
        <w:t>附表六：临时用地表</w:t>
      </w:r>
      <w:bookmarkEnd w:id="1488"/>
      <w:bookmarkEnd w:id="1489"/>
      <w:bookmarkEnd w:id="1490"/>
      <w:bookmarkEnd w:id="1491"/>
    </w:p>
    <w:p>
      <w:pPr>
        <w:spacing w:line="440" w:lineRule="exact"/>
        <w:jc w:val="center"/>
        <w:rPr>
          <w:sz w:val="23"/>
          <w:szCs w:val="23"/>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490"/>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jc w:val="center"/>
              <w:rPr>
                <w:sz w:val="21"/>
                <w:szCs w:val="21"/>
                <w:highlight w:val="none"/>
              </w:rPr>
            </w:pPr>
            <w:r>
              <w:rPr>
                <w:sz w:val="21"/>
                <w:szCs w:val="21"/>
                <w:highlight w:val="none"/>
              </w:rPr>
              <w:t>用 途</w:t>
            </w:r>
            <w:r>
              <w:rPr>
                <w:sz w:val="21"/>
                <w:szCs w:val="21"/>
                <w:highlight w:val="none"/>
              </w:rPr>
              <w:cr/>
            </w:r>
          </w:p>
        </w:tc>
        <w:tc>
          <w:tcPr>
            <w:tcW w:w="2490" w:type="dxa"/>
            <w:noWrap w:val="0"/>
            <w:vAlign w:val="top"/>
          </w:tcPr>
          <w:p>
            <w:pPr>
              <w:spacing w:line="440" w:lineRule="exact"/>
              <w:jc w:val="center"/>
              <w:rPr>
                <w:sz w:val="21"/>
                <w:szCs w:val="21"/>
                <w:highlight w:val="none"/>
              </w:rPr>
            </w:pPr>
            <w:r>
              <w:rPr>
                <w:sz w:val="21"/>
                <w:szCs w:val="21"/>
                <w:highlight w:val="none"/>
              </w:rPr>
              <w:t>面 积（平方米）</w:t>
            </w:r>
          </w:p>
        </w:tc>
        <w:tc>
          <w:tcPr>
            <w:tcW w:w="2491" w:type="dxa"/>
            <w:noWrap w:val="0"/>
            <w:vAlign w:val="top"/>
          </w:tcPr>
          <w:p>
            <w:pPr>
              <w:spacing w:line="440" w:lineRule="exact"/>
              <w:jc w:val="center"/>
              <w:rPr>
                <w:sz w:val="21"/>
                <w:szCs w:val="21"/>
                <w:highlight w:val="none"/>
              </w:rPr>
            </w:pPr>
            <w:r>
              <w:rPr>
                <w:sz w:val="21"/>
                <w:szCs w:val="21"/>
                <w:highlight w:val="none"/>
              </w:rPr>
              <w:t>位 置</w:t>
            </w:r>
          </w:p>
        </w:tc>
        <w:tc>
          <w:tcPr>
            <w:tcW w:w="2491" w:type="dxa"/>
            <w:noWrap w:val="0"/>
            <w:vAlign w:val="top"/>
          </w:tcPr>
          <w:p>
            <w:pPr>
              <w:spacing w:line="440" w:lineRule="exact"/>
              <w:jc w:val="center"/>
              <w:rPr>
                <w:sz w:val="21"/>
                <w:szCs w:val="21"/>
                <w:highlight w:val="none"/>
              </w:rPr>
            </w:pPr>
            <w:r>
              <w:rPr>
                <w:sz w:val="21"/>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noWrap w:val="0"/>
            <w:vAlign w:val="top"/>
          </w:tcPr>
          <w:p>
            <w:pPr>
              <w:spacing w:line="440" w:lineRule="exact"/>
              <w:rPr>
                <w:sz w:val="21"/>
                <w:szCs w:val="21"/>
                <w:highlight w:val="none"/>
              </w:rPr>
            </w:pPr>
          </w:p>
        </w:tc>
        <w:tc>
          <w:tcPr>
            <w:tcW w:w="2490"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c>
          <w:tcPr>
            <w:tcW w:w="2491" w:type="dxa"/>
            <w:noWrap w:val="0"/>
            <w:vAlign w:val="top"/>
          </w:tcPr>
          <w:p>
            <w:pPr>
              <w:spacing w:line="440" w:lineRule="exact"/>
              <w:rPr>
                <w:sz w:val="21"/>
                <w:szCs w:val="21"/>
                <w:highlight w:val="none"/>
              </w:rPr>
            </w:pPr>
          </w:p>
        </w:tc>
      </w:tr>
    </w:tbl>
    <w:p>
      <w:pPr>
        <w:spacing w:line="440" w:lineRule="exact"/>
        <w:jc w:val="center"/>
        <w:rPr>
          <w:rFonts w:eastAsia="黑体"/>
          <w:sz w:val="27"/>
          <w:szCs w:val="27"/>
          <w:highlight w:val="none"/>
        </w:rPr>
      </w:pPr>
    </w:p>
    <w:p>
      <w:pPr>
        <w:spacing w:line="440" w:lineRule="exact"/>
        <w:jc w:val="center"/>
        <w:rPr>
          <w:rFonts w:eastAsia="黑体"/>
          <w:sz w:val="27"/>
          <w:szCs w:val="27"/>
          <w:highlight w:val="none"/>
        </w:rPr>
      </w:pPr>
    </w:p>
    <w:p>
      <w:pPr>
        <w:topLinePunct/>
        <w:spacing w:line="440" w:lineRule="exact"/>
        <w:jc w:val="center"/>
        <w:rPr>
          <w:rFonts w:hint="eastAsia"/>
          <w:highlight w:val="none"/>
        </w:rPr>
      </w:pPr>
    </w:p>
    <w:p>
      <w:pPr>
        <w:bidi w:val="0"/>
        <w:jc w:val="center"/>
        <w:rPr>
          <w:rFonts w:hint="eastAsia" w:ascii="黑体" w:hAnsi="仿宋" w:eastAsia="黑体" w:cs="仿宋"/>
          <w:b/>
          <w:bCs w:val="0"/>
          <w:kern w:val="2"/>
          <w:sz w:val="32"/>
          <w:szCs w:val="32"/>
          <w:highlight w:val="none"/>
          <w:lang w:val="en-US" w:eastAsia="zh-CN" w:bidi="ar-SA"/>
        </w:rPr>
      </w:pPr>
      <w:bookmarkStart w:id="1492" w:name="_Toc179632823"/>
      <w:bookmarkStart w:id="1493" w:name="_Toc144974871"/>
      <w:bookmarkStart w:id="1494" w:name="_Toc152042592"/>
      <w:bookmarkStart w:id="1495" w:name="_Toc152045803"/>
      <w:r>
        <w:rPr>
          <w:rFonts w:hint="eastAsia" w:ascii="黑体" w:hAnsi="仿宋" w:eastAsia="黑体" w:cs="仿宋"/>
          <w:b/>
          <w:bCs w:val="0"/>
          <w:kern w:val="2"/>
          <w:sz w:val="32"/>
          <w:szCs w:val="32"/>
          <w:highlight w:val="none"/>
          <w:lang w:val="en-US" w:eastAsia="zh-CN" w:bidi="ar-SA"/>
        </w:rPr>
        <w:t>六、项目管理机构</w:t>
      </w:r>
      <w:bookmarkEnd w:id="1492"/>
      <w:bookmarkEnd w:id="1493"/>
      <w:bookmarkEnd w:id="1494"/>
      <w:bookmarkEnd w:id="1495"/>
    </w:p>
    <w:p>
      <w:pPr>
        <w:spacing w:line="440" w:lineRule="exact"/>
        <w:jc w:val="center"/>
        <w:rPr>
          <w:rFonts w:hint="eastAsia" w:ascii="黑体" w:hAnsi="仿宋" w:eastAsia="黑体" w:cs="黑体"/>
          <w:sz w:val="32"/>
          <w:szCs w:val="32"/>
          <w:highlight w:val="none"/>
          <w:lang w:val="en-US" w:eastAsia="zh-CN"/>
        </w:rPr>
      </w:pPr>
      <w:bookmarkStart w:id="1496" w:name="_Toc144974872"/>
      <w:bookmarkStart w:id="1497" w:name="_Toc179632824"/>
      <w:bookmarkStart w:id="1498" w:name="_Toc152042593"/>
      <w:bookmarkStart w:id="1499" w:name="_Toc152045804"/>
      <w:r>
        <w:rPr>
          <w:rFonts w:hint="eastAsia" w:ascii="黑体" w:hAnsi="仿宋" w:eastAsia="黑体" w:cs="黑体"/>
          <w:sz w:val="32"/>
          <w:szCs w:val="32"/>
          <w:highlight w:val="none"/>
          <w:lang w:val="en-US" w:eastAsia="zh-CN"/>
        </w:rPr>
        <w:t>（一）项目管理机构组成表</w:t>
      </w:r>
      <w:bookmarkEnd w:id="1496"/>
      <w:bookmarkEnd w:id="1497"/>
      <w:bookmarkEnd w:id="1498"/>
      <w:bookmarkEnd w:id="1499"/>
    </w:p>
    <w:p>
      <w:pPr>
        <w:spacing w:line="440" w:lineRule="exact"/>
        <w:jc w:val="center"/>
        <w:rPr>
          <w:rFonts w:eastAsia="黑体"/>
          <w:sz w:val="23"/>
          <w:szCs w:val="23"/>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43"/>
        <w:gridCol w:w="841"/>
        <w:gridCol w:w="1263"/>
        <w:gridCol w:w="841"/>
        <w:gridCol w:w="843"/>
        <w:gridCol w:w="841"/>
        <w:gridCol w:w="2949"/>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Merge w:val="restart"/>
            <w:noWrap w:val="0"/>
            <w:vAlign w:val="center"/>
          </w:tcPr>
          <w:p>
            <w:pPr>
              <w:spacing w:line="440" w:lineRule="exact"/>
              <w:jc w:val="center"/>
              <w:rPr>
                <w:szCs w:val="21"/>
                <w:highlight w:val="none"/>
              </w:rPr>
            </w:pPr>
            <w:r>
              <w:rPr>
                <w:szCs w:val="21"/>
                <w:highlight w:val="none"/>
              </w:rPr>
              <w:t>职务</w:t>
            </w:r>
          </w:p>
        </w:tc>
        <w:tc>
          <w:tcPr>
            <w:tcW w:w="843" w:type="dxa"/>
            <w:vMerge w:val="restart"/>
            <w:noWrap w:val="0"/>
            <w:vAlign w:val="center"/>
          </w:tcPr>
          <w:p>
            <w:pPr>
              <w:spacing w:line="440" w:lineRule="exact"/>
              <w:jc w:val="center"/>
              <w:rPr>
                <w:szCs w:val="21"/>
                <w:highlight w:val="none"/>
              </w:rPr>
            </w:pPr>
            <w:r>
              <w:rPr>
                <w:szCs w:val="21"/>
                <w:highlight w:val="none"/>
              </w:rPr>
              <w:t>姓名</w:t>
            </w:r>
          </w:p>
        </w:tc>
        <w:tc>
          <w:tcPr>
            <w:tcW w:w="841" w:type="dxa"/>
            <w:vMerge w:val="restart"/>
            <w:noWrap w:val="0"/>
            <w:vAlign w:val="center"/>
          </w:tcPr>
          <w:p>
            <w:pPr>
              <w:spacing w:line="440" w:lineRule="exact"/>
              <w:jc w:val="center"/>
              <w:rPr>
                <w:szCs w:val="21"/>
                <w:highlight w:val="none"/>
              </w:rPr>
            </w:pPr>
            <w:r>
              <w:rPr>
                <w:szCs w:val="21"/>
                <w:highlight w:val="none"/>
              </w:rPr>
              <w:t>职称</w:t>
            </w:r>
          </w:p>
        </w:tc>
        <w:tc>
          <w:tcPr>
            <w:tcW w:w="6737" w:type="dxa"/>
            <w:gridSpan w:val="5"/>
            <w:noWrap w:val="0"/>
            <w:vAlign w:val="center"/>
          </w:tcPr>
          <w:p>
            <w:pPr>
              <w:spacing w:line="440" w:lineRule="exact"/>
              <w:jc w:val="center"/>
              <w:rPr>
                <w:szCs w:val="21"/>
                <w:highlight w:val="none"/>
              </w:rPr>
            </w:pPr>
            <w:r>
              <w:rPr>
                <w:szCs w:val="21"/>
                <w:highlight w:val="none"/>
              </w:rPr>
              <w:t>执业或职业资格证明</w:t>
            </w:r>
          </w:p>
        </w:tc>
        <w:tc>
          <w:tcPr>
            <w:tcW w:w="785" w:type="dxa"/>
            <w:noWrap w:val="0"/>
            <w:vAlign w:val="center"/>
          </w:tcPr>
          <w:p>
            <w:pPr>
              <w:spacing w:line="440" w:lineRule="exact"/>
              <w:jc w:val="center"/>
              <w:rPr>
                <w:szCs w:val="21"/>
                <w:highlight w:val="none"/>
              </w:rPr>
            </w:pPr>
            <w:r>
              <w:rPr>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Merge w:val="continue"/>
            <w:noWrap w:val="0"/>
            <w:vAlign w:val="center"/>
          </w:tcPr>
          <w:p>
            <w:pPr>
              <w:spacing w:line="440" w:lineRule="exact"/>
              <w:jc w:val="center"/>
              <w:rPr>
                <w:szCs w:val="21"/>
                <w:highlight w:val="none"/>
              </w:rPr>
            </w:pPr>
          </w:p>
        </w:tc>
        <w:tc>
          <w:tcPr>
            <w:tcW w:w="843" w:type="dxa"/>
            <w:vMerge w:val="continue"/>
            <w:noWrap w:val="0"/>
            <w:vAlign w:val="center"/>
          </w:tcPr>
          <w:p>
            <w:pPr>
              <w:spacing w:line="440" w:lineRule="exact"/>
              <w:jc w:val="center"/>
              <w:rPr>
                <w:szCs w:val="21"/>
                <w:highlight w:val="none"/>
              </w:rPr>
            </w:pPr>
          </w:p>
        </w:tc>
        <w:tc>
          <w:tcPr>
            <w:tcW w:w="841" w:type="dxa"/>
            <w:vMerge w:val="continue"/>
            <w:noWrap w:val="0"/>
            <w:vAlign w:val="center"/>
          </w:tcPr>
          <w:p>
            <w:pPr>
              <w:spacing w:line="440" w:lineRule="exact"/>
              <w:jc w:val="center"/>
              <w:rPr>
                <w:szCs w:val="21"/>
                <w:highlight w:val="none"/>
              </w:rPr>
            </w:pPr>
          </w:p>
        </w:tc>
        <w:tc>
          <w:tcPr>
            <w:tcW w:w="1263" w:type="dxa"/>
            <w:noWrap w:val="0"/>
            <w:vAlign w:val="center"/>
          </w:tcPr>
          <w:p>
            <w:pPr>
              <w:spacing w:line="440" w:lineRule="exact"/>
              <w:jc w:val="center"/>
              <w:rPr>
                <w:szCs w:val="21"/>
                <w:highlight w:val="none"/>
              </w:rPr>
            </w:pPr>
            <w:r>
              <w:rPr>
                <w:szCs w:val="21"/>
                <w:highlight w:val="none"/>
              </w:rPr>
              <w:t>证书名称</w:t>
            </w:r>
          </w:p>
        </w:tc>
        <w:tc>
          <w:tcPr>
            <w:tcW w:w="841" w:type="dxa"/>
            <w:noWrap w:val="0"/>
            <w:vAlign w:val="center"/>
          </w:tcPr>
          <w:p>
            <w:pPr>
              <w:spacing w:line="440" w:lineRule="exact"/>
              <w:jc w:val="center"/>
              <w:rPr>
                <w:szCs w:val="21"/>
                <w:highlight w:val="none"/>
              </w:rPr>
            </w:pPr>
            <w:r>
              <w:rPr>
                <w:szCs w:val="21"/>
                <w:highlight w:val="none"/>
              </w:rPr>
              <w:t>级别</w:t>
            </w:r>
          </w:p>
        </w:tc>
        <w:tc>
          <w:tcPr>
            <w:tcW w:w="843" w:type="dxa"/>
            <w:noWrap w:val="0"/>
            <w:vAlign w:val="center"/>
          </w:tcPr>
          <w:p>
            <w:pPr>
              <w:spacing w:line="440" w:lineRule="exact"/>
              <w:jc w:val="center"/>
              <w:rPr>
                <w:szCs w:val="21"/>
                <w:highlight w:val="none"/>
              </w:rPr>
            </w:pPr>
            <w:r>
              <w:rPr>
                <w:szCs w:val="21"/>
                <w:highlight w:val="none"/>
              </w:rPr>
              <w:t>证号</w:t>
            </w:r>
          </w:p>
        </w:tc>
        <w:tc>
          <w:tcPr>
            <w:tcW w:w="841" w:type="dxa"/>
            <w:noWrap w:val="0"/>
            <w:vAlign w:val="center"/>
          </w:tcPr>
          <w:p>
            <w:pPr>
              <w:spacing w:line="440" w:lineRule="exact"/>
              <w:jc w:val="center"/>
              <w:rPr>
                <w:szCs w:val="21"/>
                <w:highlight w:val="none"/>
              </w:rPr>
            </w:pPr>
            <w:r>
              <w:rPr>
                <w:szCs w:val="21"/>
                <w:highlight w:val="none"/>
              </w:rPr>
              <w:t>专业</w:t>
            </w:r>
          </w:p>
        </w:tc>
        <w:tc>
          <w:tcPr>
            <w:tcW w:w="2949" w:type="dxa"/>
            <w:noWrap w:val="0"/>
            <w:vAlign w:val="center"/>
          </w:tcPr>
          <w:p>
            <w:pPr>
              <w:spacing w:line="440" w:lineRule="exact"/>
              <w:jc w:val="center"/>
              <w:rPr>
                <w:szCs w:val="21"/>
                <w:highlight w:val="none"/>
              </w:rPr>
            </w:pPr>
            <w:r>
              <w:rPr>
                <w:szCs w:val="21"/>
                <w:highlight w:val="none"/>
              </w:rPr>
              <w:t>养老保险</w:t>
            </w:r>
          </w:p>
        </w:tc>
        <w:tc>
          <w:tcPr>
            <w:tcW w:w="785" w:type="dxa"/>
            <w:noWrap w:val="0"/>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spacing w:line="440" w:lineRule="exact"/>
              <w:jc w:val="center"/>
              <w:rPr>
                <w:szCs w:val="21"/>
                <w:highlight w:val="none"/>
              </w:rPr>
            </w:pPr>
          </w:p>
        </w:tc>
        <w:tc>
          <w:tcPr>
            <w:tcW w:w="843" w:type="dxa"/>
            <w:noWrap w:val="0"/>
            <w:vAlign w:val="center"/>
          </w:tcPr>
          <w:p>
            <w:pPr>
              <w:spacing w:line="440" w:lineRule="exact"/>
              <w:jc w:val="center"/>
              <w:rPr>
                <w:szCs w:val="21"/>
                <w:highlight w:val="none"/>
              </w:rPr>
            </w:pPr>
          </w:p>
        </w:tc>
        <w:tc>
          <w:tcPr>
            <w:tcW w:w="841" w:type="dxa"/>
            <w:noWrap w:val="0"/>
            <w:vAlign w:val="center"/>
          </w:tcPr>
          <w:p>
            <w:pPr>
              <w:spacing w:line="440" w:lineRule="exact"/>
              <w:jc w:val="center"/>
              <w:rPr>
                <w:szCs w:val="21"/>
                <w:highlight w:val="none"/>
              </w:rPr>
            </w:pPr>
          </w:p>
        </w:tc>
        <w:tc>
          <w:tcPr>
            <w:tcW w:w="1263" w:type="dxa"/>
            <w:noWrap w:val="0"/>
            <w:vAlign w:val="center"/>
          </w:tcPr>
          <w:p>
            <w:pPr>
              <w:spacing w:line="440" w:lineRule="exact"/>
              <w:jc w:val="center"/>
              <w:rPr>
                <w:szCs w:val="21"/>
                <w:highlight w:val="none"/>
              </w:rPr>
            </w:pPr>
          </w:p>
        </w:tc>
        <w:tc>
          <w:tcPr>
            <w:tcW w:w="841" w:type="dxa"/>
            <w:noWrap w:val="0"/>
            <w:vAlign w:val="center"/>
          </w:tcPr>
          <w:p>
            <w:pPr>
              <w:spacing w:line="440" w:lineRule="exact"/>
              <w:jc w:val="center"/>
              <w:rPr>
                <w:szCs w:val="21"/>
                <w:highlight w:val="none"/>
              </w:rPr>
            </w:pPr>
          </w:p>
        </w:tc>
        <w:tc>
          <w:tcPr>
            <w:tcW w:w="843" w:type="dxa"/>
            <w:noWrap w:val="0"/>
            <w:vAlign w:val="center"/>
          </w:tcPr>
          <w:p>
            <w:pPr>
              <w:spacing w:line="440" w:lineRule="exact"/>
              <w:jc w:val="center"/>
              <w:rPr>
                <w:szCs w:val="21"/>
                <w:highlight w:val="none"/>
              </w:rPr>
            </w:pPr>
          </w:p>
        </w:tc>
        <w:tc>
          <w:tcPr>
            <w:tcW w:w="841" w:type="dxa"/>
            <w:noWrap w:val="0"/>
            <w:vAlign w:val="center"/>
          </w:tcPr>
          <w:p>
            <w:pPr>
              <w:spacing w:line="440" w:lineRule="exact"/>
              <w:jc w:val="center"/>
              <w:rPr>
                <w:szCs w:val="21"/>
                <w:highlight w:val="none"/>
              </w:rPr>
            </w:pPr>
          </w:p>
        </w:tc>
        <w:tc>
          <w:tcPr>
            <w:tcW w:w="2949" w:type="dxa"/>
            <w:noWrap w:val="0"/>
            <w:vAlign w:val="center"/>
          </w:tcPr>
          <w:p>
            <w:pPr>
              <w:spacing w:line="440" w:lineRule="exact"/>
              <w:jc w:val="center"/>
              <w:rPr>
                <w:szCs w:val="21"/>
                <w:highlight w:val="none"/>
              </w:rPr>
            </w:pPr>
          </w:p>
        </w:tc>
        <w:tc>
          <w:tcPr>
            <w:tcW w:w="785" w:type="dxa"/>
            <w:noWrap w:val="0"/>
            <w:vAlign w:val="center"/>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126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843" w:type="dxa"/>
            <w:noWrap w:val="0"/>
            <w:vAlign w:val="top"/>
          </w:tcPr>
          <w:p>
            <w:pPr>
              <w:spacing w:line="440" w:lineRule="exact"/>
              <w:jc w:val="center"/>
              <w:rPr>
                <w:szCs w:val="21"/>
                <w:highlight w:val="none"/>
              </w:rPr>
            </w:pPr>
          </w:p>
        </w:tc>
        <w:tc>
          <w:tcPr>
            <w:tcW w:w="841" w:type="dxa"/>
            <w:noWrap w:val="0"/>
            <w:vAlign w:val="top"/>
          </w:tcPr>
          <w:p>
            <w:pPr>
              <w:spacing w:line="440" w:lineRule="exact"/>
              <w:jc w:val="center"/>
              <w:rPr>
                <w:szCs w:val="21"/>
                <w:highlight w:val="none"/>
              </w:rPr>
            </w:pPr>
          </w:p>
        </w:tc>
        <w:tc>
          <w:tcPr>
            <w:tcW w:w="2949" w:type="dxa"/>
            <w:noWrap w:val="0"/>
            <w:vAlign w:val="top"/>
          </w:tcPr>
          <w:p>
            <w:pPr>
              <w:spacing w:line="440" w:lineRule="exact"/>
              <w:jc w:val="center"/>
              <w:rPr>
                <w:szCs w:val="21"/>
                <w:highlight w:val="none"/>
              </w:rPr>
            </w:pPr>
          </w:p>
        </w:tc>
        <w:tc>
          <w:tcPr>
            <w:tcW w:w="785" w:type="dxa"/>
            <w:noWrap w:val="0"/>
            <w:vAlign w:val="top"/>
          </w:tcPr>
          <w:p>
            <w:pPr>
              <w:spacing w:line="440" w:lineRule="exact"/>
              <w:jc w:val="center"/>
              <w:rPr>
                <w:szCs w:val="21"/>
                <w:highlight w:val="none"/>
              </w:rPr>
            </w:pPr>
          </w:p>
        </w:tc>
      </w:tr>
    </w:tbl>
    <w:p>
      <w:pPr>
        <w:spacing w:line="440" w:lineRule="exact"/>
        <w:ind w:left="210" w:leftChars="100"/>
        <w:jc w:val="center"/>
        <w:rPr>
          <w:rFonts w:eastAsia="黑体"/>
          <w:sz w:val="20"/>
          <w:szCs w:val="20"/>
          <w:highlight w:val="none"/>
        </w:rPr>
      </w:pPr>
    </w:p>
    <w:p>
      <w:pPr>
        <w:topLinePunct/>
        <w:spacing w:line="440" w:lineRule="exact"/>
        <w:jc w:val="center"/>
        <w:rPr>
          <w:rFonts w:hint="eastAsia" w:ascii="黑体" w:hAnsi="仿宋" w:eastAsia="黑体" w:cs="黑体"/>
          <w:sz w:val="32"/>
          <w:szCs w:val="32"/>
          <w:highlight w:val="none"/>
          <w:lang w:val="en-US" w:eastAsia="zh-CN"/>
        </w:rPr>
      </w:pPr>
      <w:r>
        <w:rPr>
          <w:sz w:val="20"/>
          <w:highlight w:val="none"/>
        </w:rPr>
        <w:br w:type="page"/>
      </w:r>
      <w:bookmarkStart w:id="1500" w:name="_Toc152042594"/>
      <w:bookmarkStart w:id="1501" w:name="_Toc144974873"/>
      <w:bookmarkStart w:id="1502" w:name="_Toc179632825"/>
      <w:bookmarkStart w:id="1503" w:name="_Toc152045805"/>
      <w:r>
        <w:rPr>
          <w:rFonts w:hint="eastAsia" w:ascii="黑体" w:hAnsi="仿宋" w:eastAsia="黑体" w:cs="黑体"/>
          <w:sz w:val="32"/>
          <w:szCs w:val="32"/>
          <w:highlight w:val="none"/>
          <w:lang w:val="en-US" w:eastAsia="zh-CN"/>
        </w:rPr>
        <w:t>（二）主要人员简历表</w:t>
      </w:r>
      <w:bookmarkEnd w:id="1500"/>
      <w:bookmarkEnd w:id="1501"/>
      <w:bookmarkEnd w:id="1502"/>
      <w:bookmarkEnd w:id="1503"/>
    </w:p>
    <w:p>
      <w:pPr>
        <w:spacing w:line="400" w:lineRule="exact"/>
        <w:ind w:firstLine="420" w:firstLineChars="200"/>
        <w:rPr>
          <w:rFonts w:hint="eastAsia"/>
          <w:highlight w:val="none"/>
        </w:rPr>
      </w:pPr>
    </w:p>
    <w:p>
      <w:pPr>
        <w:spacing w:line="440" w:lineRule="exact"/>
        <w:ind w:firstLine="480" w:firstLineChars="200"/>
        <w:rPr>
          <w:rFonts w:hint="eastAsia" w:ascii="Calibri" w:hAnsi="Calibri" w:eastAsia="宋体"/>
          <w:sz w:val="24"/>
          <w:szCs w:val="24"/>
          <w:highlight w:val="none"/>
        </w:rPr>
      </w:pPr>
      <w:r>
        <w:rPr>
          <w:rFonts w:hint="eastAsia" w:ascii="Calibri" w:hAnsi="Calibri" w:eastAsia="宋体"/>
          <w:sz w:val="24"/>
          <w:szCs w:val="24"/>
          <w:highlight w:val="none"/>
        </w:rPr>
        <w:t>“主要人员简历表”中的项目经理应附项目经理证、身份证、职称证、学历证、养老保险复印件，管理过的项目业绩须附合同协议书复印件；技术负责人应附身份证、职称证、学历证、养老保险复印件，管理过的项目业绩须附证明其所任技术职务的企业文件或用户证明；其他主要人员应附职称证（执业证或上岗证书）、养老保险复印件。</w:t>
      </w:r>
    </w:p>
    <w:p>
      <w:pPr>
        <w:topLinePunct/>
        <w:spacing w:line="440" w:lineRule="exact"/>
        <w:jc w:val="center"/>
        <w:rPr>
          <w:rFonts w:eastAsia="黑体"/>
          <w:sz w:val="23"/>
          <w:szCs w:val="23"/>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ascii="宋体" w:hAnsi="宋体"/>
                <w:sz w:val="21"/>
                <w:szCs w:val="21"/>
                <w:highlight w:val="none"/>
              </w:rPr>
            </w:pPr>
            <w:r>
              <w:rPr>
                <w:rFonts w:ascii="宋体" w:hAnsi="宋体"/>
                <w:sz w:val="21"/>
                <w:szCs w:val="21"/>
                <w:highlight w:val="none"/>
              </w:rPr>
              <w:t>姓  名</w:t>
            </w:r>
          </w:p>
        </w:tc>
        <w:tc>
          <w:tcPr>
            <w:tcW w:w="1079" w:type="dxa"/>
            <w:gridSpan w:val="2"/>
            <w:noWrap w:val="0"/>
            <w:vAlign w:val="center"/>
          </w:tcPr>
          <w:p>
            <w:pPr>
              <w:spacing w:line="440" w:lineRule="exact"/>
              <w:rPr>
                <w:rFonts w:ascii="宋体" w:hAnsi="宋体"/>
                <w:sz w:val="21"/>
                <w:szCs w:val="21"/>
                <w:highlight w:val="none"/>
              </w:rPr>
            </w:pPr>
          </w:p>
        </w:tc>
        <w:tc>
          <w:tcPr>
            <w:tcW w:w="927" w:type="dxa"/>
            <w:noWrap w:val="0"/>
            <w:vAlign w:val="center"/>
          </w:tcPr>
          <w:p>
            <w:pPr>
              <w:spacing w:line="440" w:lineRule="exact"/>
              <w:rPr>
                <w:rFonts w:ascii="宋体" w:hAnsi="宋体"/>
                <w:sz w:val="21"/>
                <w:szCs w:val="21"/>
                <w:highlight w:val="none"/>
              </w:rPr>
            </w:pPr>
            <w:r>
              <w:rPr>
                <w:rFonts w:ascii="宋体" w:hAnsi="宋体"/>
                <w:sz w:val="21"/>
                <w:szCs w:val="21"/>
                <w:highlight w:val="none"/>
              </w:rPr>
              <w:t>年 龄</w:t>
            </w:r>
          </w:p>
        </w:tc>
        <w:tc>
          <w:tcPr>
            <w:tcW w:w="1065" w:type="dxa"/>
            <w:noWrap w:val="0"/>
            <w:vAlign w:val="center"/>
          </w:tcPr>
          <w:p>
            <w:pPr>
              <w:spacing w:line="440" w:lineRule="exact"/>
              <w:rPr>
                <w:rFonts w:ascii="宋体" w:hAnsi="宋体"/>
                <w:sz w:val="21"/>
                <w:szCs w:val="21"/>
                <w:highlight w:val="none"/>
              </w:rPr>
            </w:pPr>
          </w:p>
        </w:tc>
        <w:tc>
          <w:tcPr>
            <w:tcW w:w="2130" w:type="dxa"/>
            <w:gridSpan w:val="3"/>
            <w:noWrap w:val="0"/>
            <w:vAlign w:val="center"/>
          </w:tcPr>
          <w:p>
            <w:pPr>
              <w:spacing w:line="440" w:lineRule="exact"/>
              <w:rPr>
                <w:rFonts w:ascii="宋体" w:hAnsi="宋体"/>
                <w:sz w:val="21"/>
                <w:szCs w:val="21"/>
                <w:highlight w:val="none"/>
              </w:rPr>
            </w:pPr>
            <w:r>
              <w:rPr>
                <w:rFonts w:ascii="宋体" w:hAnsi="宋体"/>
                <w:sz w:val="21"/>
                <w:szCs w:val="21"/>
                <w:highlight w:val="none"/>
              </w:rPr>
              <w:t>学历</w:t>
            </w:r>
          </w:p>
        </w:tc>
        <w:tc>
          <w:tcPr>
            <w:tcW w:w="2135" w:type="dxa"/>
            <w:noWrap w:val="0"/>
            <w:vAlign w:val="center"/>
          </w:tcPr>
          <w:p>
            <w:pPr>
              <w:spacing w:line="440" w:lineRule="exact"/>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ascii="宋体" w:hAnsi="宋体"/>
                <w:sz w:val="21"/>
                <w:szCs w:val="21"/>
                <w:highlight w:val="none"/>
              </w:rPr>
            </w:pPr>
            <w:r>
              <w:rPr>
                <w:rFonts w:ascii="宋体" w:hAnsi="宋体"/>
                <w:sz w:val="21"/>
                <w:szCs w:val="21"/>
                <w:highlight w:val="none"/>
              </w:rPr>
              <w:t>职  称</w:t>
            </w:r>
          </w:p>
        </w:tc>
        <w:tc>
          <w:tcPr>
            <w:tcW w:w="1079" w:type="dxa"/>
            <w:gridSpan w:val="2"/>
            <w:noWrap w:val="0"/>
            <w:vAlign w:val="center"/>
          </w:tcPr>
          <w:p>
            <w:pPr>
              <w:spacing w:line="440" w:lineRule="exact"/>
              <w:rPr>
                <w:rFonts w:ascii="宋体" w:hAnsi="宋体"/>
                <w:sz w:val="21"/>
                <w:szCs w:val="21"/>
                <w:highlight w:val="none"/>
              </w:rPr>
            </w:pPr>
          </w:p>
        </w:tc>
        <w:tc>
          <w:tcPr>
            <w:tcW w:w="927" w:type="dxa"/>
            <w:noWrap w:val="0"/>
            <w:vAlign w:val="center"/>
          </w:tcPr>
          <w:p>
            <w:pPr>
              <w:spacing w:line="440" w:lineRule="exact"/>
              <w:rPr>
                <w:rFonts w:ascii="宋体" w:hAnsi="宋体"/>
                <w:sz w:val="21"/>
                <w:szCs w:val="21"/>
                <w:highlight w:val="none"/>
              </w:rPr>
            </w:pPr>
            <w:r>
              <w:rPr>
                <w:rFonts w:ascii="宋体" w:hAnsi="宋体"/>
                <w:sz w:val="21"/>
                <w:szCs w:val="21"/>
                <w:highlight w:val="none"/>
              </w:rPr>
              <w:t>职 务</w:t>
            </w:r>
          </w:p>
        </w:tc>
        <w:tc>
          <w:tcPr>
            <w:tcW w:w="1065" w:type="dxa"/>
            <w:noWrap w:val="0"/>
            <w:vAlign w:val="center"/>
          </w:tcPr>
          <w:p>
            <w:pPr>
              <w:spacing w:line="440" w:lineRule="exact"/>
              <w:rPr>
                <w:rFonts w:ascii="宋体" w:hAnsi="宋体"/>
                <w:sz w:val="21"/>
                <w:szCs w:val="21"/>
                <w:highlight w:val="none"/>
              </w:rPr>
            </w:pPr>
          </w:p>
        </w:tc>
        <w:tc>
          <w:tcPr>
            <w:tcW w:w="2130" w:type="dxa"/>
            <w:gridSpan w:val="3"/>
            <w:noWrap w:val="0"/>
            <w:vAlign w:val="center"/>
          </w:tcPr>
          <w:p>
            <w:pPr>
              <w:spacing w:line="440" w:lineRule="exact"/>
              <w:rPr>
                <w:rFonts w:ascii="宋体" w:hAnsi="宋体"/>
                <w:sz w:val="21"/>
                <w:szCs w:val="21"/>
                <w:highlight w:val="none"/>
              </w:rPr>
            </w:pPr>
            <w:r>
              <w:rPr>
                <w:rFonts w:ascii="宋体" w:hAnsi="宋体"/>
                <w:sz w:val="21"/>
                <w:szCs w:val="21"/>
                <w:highlight w:val="none"/>
              </w:rPr>
              <w:t>拟在本合同任职</w:t>
            </w:r>
          </w:p>
        </w:tc>
        <w:tc>
          <w:tcPr>
            <w:tcW w:w="2135" w:type="dxa"/>
            <w:noWrap w:val="0"/>
            <w:vAlign w:val="center"/>
          </w:tcPr>
          <w:p>
            <w:pPr>
              <w:spacing w:line="440" w:lineRule="exact"/>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ascii="宋体" w:hAnsi="宋体"/>
                <w:sz w:val="21"/>
                <w:szCs w:val="21"/>
                <w:highlight w:val="none"/>
              </w:rPr>
            </w:pPr>
            <w:r>
              <w:rPr>
                <w:rFonts w:ascii="宋体" w:hAnsi="宋体"/>
                <w:sz w:val="21"/>
                <w:szCs w:val="21"/>
                <w:highlight w:val="none"/>
              </w:rPr>
              <w:t>毕业学校</w:t>
            </w:r>
          </w:p>
        </w:tc>
        <w:tc>
          <w:tcPr>
            <w:tcW w:w="7336" w:type="dxa"/>
            <w:gridSpan w:val="8"/>
            <w:noWrap w:val="0"/>
            <w:vAlign w:val="top"/>
          </w:tcPr>
          <w:p>
            <w:pPr>
              <w:spacing w:line="440" w:lineRule="exact"/>
              <w:rPr>
                <w:rFonts w:ascii="宋体" w:hAnsi="宋体"/>
                <w:sz w:val="21"/>
                <w:szCs w:val="21"/>
                <w:highlight w:val="none"/>
              </w:rPr>
            </w:pPr>
            <w:r>
              <w:rPr>
                <w:rFonts w:ascii="宋体" w:hAnsi="宋体"/>
                <w:sz w:val="21"/>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pPr>
              <w:spacing w:line="440" w:lineRule="exact"/>
              <w:rPr>
                <w:rFonts w:ascii="宋体" w:hAnsi="宋体"/>
                <w:sz w:val="21"/>
                <w:szCs w:val="21"/>
                <w:highlight w:val="none"/>
              </w:rPr>
            </w:pPr>
            <w:r>
              <w:rPr>
                <w:rFonts w:ascii="宋体" w:hAnsi="宋体"/>
                <w:sz w:val="21"/>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pPr>
              <w:spacing w:line="440" w:lineRule="exact"/>
              <w:rPr>
                <w:rFonts w:ascii="宋体" w:hAnsi="宋体"/>
                <w:sz w:val="21"/>
                <w:szCs w:val="21"/>
                <w:highlight w:val="none"/>
              </w:rPr>
            </w:pPr>
            <w:r>
              <w:rPr>
                <w:rFonts w:ascii="宋体" w:hAnsi="宋体"/>
                <w:sz w:val="21"/>
                <w:szCs w:val="21"/>
                <w:highlight w:val="none"/>
              </w:rPr>
              <w:t>时  间</w:t>
            </w:r>
          </w:p>
        </w:tc>
        <w:tc>
          <w:tcPr>
            <w:tcW w:w="3420" w:type="dxa"/>
            <w:gridSpan w:val="4"/>
            <w:noWrap w:val="0"/>
            <w:vAlign w:val="center"/>
          </w:tcPr>
          <w:p>
            <w:pPr>
              <w:spacing w:line="440" w:lineRule="exact"/>
              <w:rPr>
                <w:rFonts w:ascii="宋体" w:hAnsi="宋体"/>
                <w:sz w:val="21"/>
                <w:szCs w:val="21"/>
                <w:highlight w:val="none"/>
              </w:rPr>
            </w:pPr>
            <w:r>
              <w:rPr>
                <w:rFonts w:ascii="宋体" w:hAnsi="宋体"/>
                <w:sz w:val="21"/>
                <w:szCs w:val="21"/>
                <w:highlight w:val="none"/>
              </w:rPr>
              <w:t>参加过的类似项目</w:t>
            </w:r>
          </w:p>
        </w:tc>
        <w:tc>
          <w:tcPr>
            <w:tcW w:w="1261" w:type="dxa"/>
            <w:noWrap w:val="0"/>
            <w:vAlign w:val="center"/>
          </w:tcPr>
          <w:p>
            <w:pPr>
              <w:spacing w:line="440" w:lineRule="exact"/>
              <w:rPr>
                <w:rFonts w:ascii="宋体" w:hAnsi="宋体"/>
                <w:sz w:val="21"/>
                <w:szCs w:val="21"/>
                <w:highlight w:val="none"/>
              </w:rPr>
            </w:pPr>
            <w:r>
              <w:rPr>
                <w:rFonts w:ascii="宋体" w:hAnsi="宋体"/>
                <w:sz w:val="21"/>
                <w:szCs w:val="21"/>
                <w:highlight w:val="none"/>
              </w:rPr>
              <w:t>担任职务</w:t>
            </w:r>
          </w:p>
        </w:tc>
        <w:tc>
          <w:tcPr>
            <w:tcW w:w="2296" w:type="dxa"/>
            <w:gridSpan w:val="2"/>
            <w:noWrap w:val="0"/>
            <w:vAlign w:val="center"/>
          </w:tcPr>
          <w:p>
            <w:pPr>
              <w:spacing w:line="440" w:lineRule="exact"/>
              <w:rPr>
                <w:rFonts w:ascii="宋体" w:hAnsi="宋体"/>
                <w:sz w:val="21"/>
                <w:szCs w:val="21"/>
                <w:highlight w:val="none"/>
              </w:rPr>
            </w:pPr>
            <w:r>
              <w:rPr>
                <w:rFonts w:ascii="宋体" w:hAnsi="宋体"/>
                <w:sz w:val="21"/>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eastAsia="黑体"/>
                <w:sz w:val="21"/>
                <w:szCs w:val="21"/>
                <w:highlight w:val="none"/>
              </w:rPr>
            </w:pPr>
          </w:p>
        </w:tc>
        <w:tc>
          <w:tcPr>
            <w:tcW w:w="3420" w:type="dxa"/>
            <w:gridSpan w:val="4"/>
            <w:noWrap w:val="0"/>
            <w:vAlign w:val="top"/>
          </w:tcPr>
          <w:p>
            <w:pPr>
              <w:spacing w:line="440" w:lineRule="exact"/>
              <w:rPr>
                <w:rFonts w:eastAsia="黑体"/>
                <w:sz w:val="21"/>
                <w:szCs w:val="21"/>
                <w:highlight w:val="none"/>
              </w:rPr>
            </w:pPr>
          </w:p>
        </w:tc>
        <w:tc>
          <w:tcPr>
            <w:tcW w:w="1261" w:type="dxa"/>
            <w:noWrap w:val="0"/>
            <w:vAlign w:val="top"/>
          </w:tcPr>
          <w:p>
            <w:pPr>
              <w:spacing w:line="440" w:lineRule="exact"/>
              <w:rPr>
                <w:rFonts w:eastAsia="黑体"/>
                <w:sz w:val="21"/>
                <w:szCs w:val="21"/>
                <w:highlight w:val="none"/>
              </w:rPr>
            </w:pPr>
          </w:p>
        </w:tc>
        <w:tc>
          <w:tcPr>
            <w:tcW w:w="2296" w:type="dxa"/>
            <w:gridSpan w:val="2"/>
            <w:noWrap w:val="0"/>
            <w:vAlign w:val="top"/>
          </w:tcPr>
          <w:p>
            <w:pPr>
              <w:spacing w:line="440" w:lineRule="exact"/>
              <w:rPr>
                <w:rFonts w:eastAsia="黑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eastAsia="黑体"/>
                <w:sz w:val="21"/>
                <w:szCs w:val="21"/>
                <w:highlight w:val="none"/>
              </w:rPr>
            </w:pPr>
          </w:p>
        </w:tc>
        <w:tc>
          <w:tcPr>
            <w:tcW w:w="3420" w:type="dxa"/>
            <w:gridSpan w:val="4"/>
            <w:noWrap w:val="0"/>
            <w:vAlign w:val="top"/>
          </w:tcPr>
          <w:p>
            <w:pPr>
              <w:spacing w:line="440" w:lineRule="exact"/>
              <w:rPr>
                <w:rFonts w:eastAsia="黑体"/>
                <w:sz w:val="21"/>
                <w:szCs w:val="21"/>
                <w:highlight w:val="none"/>
              </w:rPr>
            </w:pPr>
          </w:p>
        </w:tc>
        <w:tc>
          <w:tcPr>
            <w:tcW w:w="1261" w:type="dxa"/>
            <w:noWrap w:val="0"/>
            <w:vAlign w:val="top"/>
          </w:tcPr>
          <w:p>
            <w:pPr>
              <w:spacing w:line="440" w:lineRule="exact"/>
              <w:rPr>
                <w:rFonts w:eastAsia="黑体"/>
                <w:sz w:val="21"/>
                <w:szCs w:val="21"/>
                <w:highlight w:val="none"/>
              </w:rPr>
            </w:pPr>
          </w:p>
        </w:tc>
        <w:tc>
          <w:tcPr>
            <w:tcW w:w="2296" w:type="dxa"/>
            <w:gridSpan w:val="2"/>
            <w:noWrap w:val="0"/>
            <w:vAlign w:val="top"/>
          </w:tcPr>
          <w:p>
            <w:pPr>
              <w:spacing w:line="440" w:lineRule="exact"/>
              <w:rPr>
                <w:rFonts w:eastAsia="黑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eastAsia="黑体"/>
                <w:sz w:val="21"/>
                <w:szCs w:val="21"/>
                <w:highlight w:val="none"/>
              </w:rPr>
            </w:pPr>
          </w:p>
        </w:tc>
        <w:tc>
          <w:tcPr>
            <w:tcW w:w="3420" w:type="dxa"/>
            <w:gridSpan w:val="4"/>
            <w:noWrap w:val="0"/>
            <w:vAlign w:val="top"/>
          </w:tcPr>
          <w:p>
            <w:pPr>
              <w:spacing w:line="440" w:lineRule="exact"/>
              <w:rPr>
                <w:rFonts w:eastAsia="黑体"/>
                <w:sz w:val="21"/>
                <w:szCs w:val="21"/>
                <w:highlight w:val="none"/>
              </w:rPr>
            </w:pPr>
          </w:p>
        </w:tc>
        <w:tc>
          <w:tcPr>
            <w:tcW w:w="1261" w:type="dxa"/>
            <w:noWrap w:val="0"/>
            <w:vAlign w:val="top"/>
          </w:tcPr>
          <w:p>
            <w:pPr>
              <w:spacing w:line="440" w:lineRule="exact"/>
              <w:rPr>
                <w:rFonts w:eastAsia="黑体"/>
                <w:sz w:val="21"/>
                <w:szCs w:val="21"/>
                <w:highlight w:val="none"/>
              </w:rPr>
            </w:pPr>
          </w:p>
        </w:tc>
        <w:tc>
          <w:tcPr>
            <w:tcW w:w="2296" w:type="dxa"/>
            <w:gridSpan w:val="2"/>
            <w:noWrap w:val="0"/>
            <w:vAlign w:val="top"/>
          </w:tcPr>
          <w:p>
            <w:pPr>
              <w:spacing w:line="440" w:lineRule="exact"/>
              <w:rPr>
                <w:rFonts w:eastAsia="黑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 w:val="21"/>
                <w:szCs w:val="21"/>
                <w:highlight w:val="none"/>
              </w:rPr>
            </w:pPr>
          </w:p>
        </w:tc>
        <w:tc>
          <w:tcPr>
            <w:tcW w:w="3420" w:type="dxa"/>
            <w:gridSpan w:val="4"/>
            <w:noWrap w:val="0"/>
            <w:vAlign w:val="center"/>
          </w:tcPr>
          <w:p>
            <w:pPr>
              <w:spacing w:line="440" w:lineRule="exact"/>
              <w:rPr>
                <w:rFonts w:eastAsia="黑体"/>
                <w:sz w:val="21"/>
                <w:szCs w:val="21"/>
                <w:highlight w:val="none"/>
              </w:rPr>
            </w:pPr>
          </w:p>
        </w:tc>
        <w:tc>
          <w:tcPr>
            <w:tcW w:w="1261" w:type="dxa"/>
            <w:noWrap w:val="0"/>
            <w:vAlign w:val="center"/>
          </w:tcPr>
          <w:p>
            <w:pPr>
              <w:spacing w:line="440" w:lineRule="exact"/>
              <w:rPr>
                <w:rFonts w:eastAsia="黑体"/>
                <w:sz w:val="21"/>
                <w:szCs w:val="21"/>
                <w:highlight w:val="none"/>
              </w:rPr>
            </w:pPr>
          </w:p>
        </w:tc>
        <w:tc>
          <w:tcPr>
            <w:tcW w:w="2296" w:type="dxa"/>
            <w:gridSpan w:val="2"/>
            <w:noWrap w:val="0"/>
            <w:vAlign w:val="center"/>
          </w:tcPr>
          <w:p>
            <w:pPr>
              <w:spacing w:line="440" w:lineRule="exact"/>
              <w:rPr>
                <w:rFonts w:eastAsia="黑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 w:val="21"/>
                <w:szCs w:val="21"/>
                <w:highlight w:val="none"/>
              </w:rPr>
            </w:pPr>
          </w:p>
        </w:tc>
        <w:tc>
          <w:tcPr>
            <w:tcW w:w="3420" w:type="dxa"/>
            <w:gridSpan w:val="4"/>
            <w:noWrap w:val="0"/>
            <w:vAlign w:val="center"/>
          </w:tcPr>
          <w:p>
            <w:pPr>
              <w:spacing w:line="440" w:lineRule="exact"/>
              <w:rPr>
                <w:rFonts w:eastAsia="黑体"/>
                <w:sz w:val="21"/>
                <w:szCs w:val="21"/>
                <w:highlight w:val="none"/>
              </w:rPr>
            </w:pPr>
          </w:p>
        </w:tc>
        <w:tc>
          <w:tcPr>
            <w:tcW w:w="1261" w:type="dxa"/>
            <w:noWrap w:val="0"/>
            <w:vAlign w:val="center"/>
          </w:tcPr>
          <w:p>
            <w:pPr>
              <w:spacing w:line="440" w:lineRule="exact"/>
              <w:rPr>
                <w:rFonts w:eastAsia="黑体"/>
                <w:sz w:val="21"/>
                <w:szCs w:val="21"/>
                <w:highlight w:val="none"/>
              </w:rPr>
            </w:pPr>
          </w:p>
        </w:tc>
        <w:tc>
          <w:tcPr>
            <w:tcW w:w="2296" w:type="dxa"/>
            <w:gridSpan w:val="2"/>
            <w:noWrap w:val="0"/>
            <w:vAlign w:val="center"/>
          </w:tcPr>
          <w:p>
            <w:pPr>
              <w:spacing w:line="440" w:lineRule="exact"/>
              <w:rPr>
                <w:rFonts w:eastAsia="黑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 w:val="21"/>
                <w:szCs w:val="21"/>
                <w:highlight w:val="none"/>
              </w:rPr>
            </w:pPr>
          </w:p>
        </w:tc>
        <w:tc>
          <w:tcPr>
            <w:tcW w:w="3420" w:type="dxa"/>
            <w:gridSpan w:val="4"/>
            <w:noWrap w:val="0"/>
            <w:vAlign w:val="center"/>
          </w:tcPr>
          <w:p>
            <w:pPr>
              <w:spacing w:line="440" w:lineRule="exact"/>
              <w:rPr>
                <w:rFonts w:eastAsia="黑体"/>
                <w:sz w:val="21"/>
                <w:szCs w:val="21"/>
                <w:highlight w:val="none"/>
              </w:rPr>
            </w:pPr>
          </w:p>
        </w:tc>
        <w:tc>
          <w:tcPr>
            <w:tcW w:w="1261" w:type="dxa"/>
            <w:noWrap w:val="0"/>
            <w:vAlign w:val="center"/>
          </w:tcPr>
          <w:p>
            <w:pPr>
              <w:spacing w:line="440" w:lineRule="exact"/>
              <w:rPr>
                <w:rFonts w:eastAsia="黑体"/>
                <w:sz w:val="21"/>
                <w:szCs w:val="21"/>
                <w:highlight w:val="none"/>
              </w:rPr>
            </w:pPr>
          </w:p>
        </w:tc>
        <w:tc>
          <w:tcPr>
            <w:tcW w:w="2296" w:type="dxa"/>
            <w:gridSpan w:val="2"/>
            <w:noWrap w:val="0"/>
            <w:vAlign w:val="center"/>
          </w:tcPr>
          <w:p>
            <w:pPr>
              <w:spacing w:line="440" w:lineRule="exact"/>
              <w:rPr>
                <w:rFonts w:eastAsia="黑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 w:val="21"/>
                <w:szCs w:val="21"/>
                <w:highlight w:val="none"/>
              </w:rPr>
            </w:pPr>
          </w:p>
        </w:tc>
        <w:tc>
          <w:tcPr>
            <w:tcW w:w="3420" w:type="dxa"/>
            <w:gridSpan w:val="4"/>
            <w:noWrap w:val="0"/>
            <w:vAlign w:val="center"/>
          </w:tcPr>
          <w:p>
            <w:pPr>
              <w:spacing w:line="440" w:lineRule="exact"/>
              <w:rPr>
                <w:rFonts w:eastAsia="黑体"/>
                <w:sz w:val="21"/>
                <w:szCs w:val="21"/>
                <w:highlight w:val="none"/>
              </w:rPr>
            </w:pPr>
          </w:p>
        </w:tc>
        <w:tc>
          <w:tcPr>
            <w:tcW w:w="1261" w:type="dxa"/>
            <w:noWrap w:val="0"/>
            <w:vAlign w:val="center"/>
          </w:tcPr>
          <w:p>
            <w:pPr>
              <w:spacing w:line="440" w:lineRule="exact"/>
              <w:rPr>
                <w:rFonts w:eastAsia="黑体"/>
                <w:sz w:val="21"/>
                <w:szCs w:val="21"/>
                <w:highlight w:val="none"/>
              </w:rPr>
            </w:pPr>
          </w:p>
        </w:tc>
        <w:tc>
          <w:tcPr>
            <w:tcW w:w="2296" w:type="dxa"/>
            <w:gridSpan w:val="2"/>
            <w:noWrap w:val="0"/>
            <w:vAlign w:val="center"/>
          </w:tcPr>
          <w:p>
            <w:pPr>
              <w:spacing w:line="440" w:lineRule="exact"/>
              <w:rPr>
                <w:rFonts w:eastAsia="黑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 w:val="21"/>
                <w:szCs w:val="21"/>
                <w:highlight w:val="none"/>
              </w:rPr>
            </w:pPr>
          </w:p>
        </w:tc>
        <w:tc>
          <w:tcPr>
            <w:tcW w:w="3420" w:type="dxa"/>
            <w:gridSpan w:val="4"/>
            <w:noWrap w:val="0"/>
            <w:vAlign w:val="center"/>
          </w:tcPr>
          <w:p>
            <w:pPr>
              <w:spacing w:line="440" w:lineRule="exact"/>
              <w:rPr>
                <w:rFonts w:eastAsia="黑体"/>
                <w:sz w:val="21"/>
                <w:szCs w:val="21"/>
                <w:highlight w:val="none"/>
              </w:rPr>
            </w:pPr>
          </w:p>
        </w:tc>
        <w:tc>
          <w:tcPr>
            <w:tcW w:w="1261" w:type="dxa"/>
            <w:noWrap w:val="0"/>
            <w:vAlign w:val="center"/>
          </w:tcPr>
          <w:p>
            <w:pPr>
              <w:spacing w:line="440" w:lineRule="exact"/>
              <w:rPr>
                <w:rFonts w:eastAsia="黑体"/>
                <w:sz w:val="21"/>
                <w:szCs w:val="21"/>
                <w:highlight w:val="none"/>
              </w:rPr>
            </w:pPr>
          </w:p>
        </w:tc>
        <w:tc>
          <w:tcPr>
            <w:tcW w:w="2296" w:type="dxa"/>
            <w:gridSpan w:val="2"/>
            <w:noWrap w:val="0"/>
            <w:vAlign w:val="center"/>
          </w:tcPr>
          <w:p>
            <w:pPr>
              <w:spacing w:line="440" w:lineRule="exact"/>
              <w:rPr>
                <w:rFonts w:eastAsia="黑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 w:val="21"/>
                <w:szCs w:val="21"/>
                <w:highlight w:val="none"/>
              </w:rPr>
            </w:pPr>
          </w:p>
        </w:tc>
        <w:tc>
          <w:tcPr>
            <w:tcW w:w="3420" w:type="dxa"/>
            <w:gridSpan w:val="4"/>
            <w:noWrap w:val="0"/>
            <w:vAlign w:val="center"/>
          </w:tcPr>
          <w:p>
            <w:pPr>
              <w:spacing w:line="440" w:lineRule="exact"/>
              <w:rPr>
                <w:rFonts w:eastAsia="黑体"/>
                <w:sz w:val="21"/>
                <w:szCs w:val="21"/>
                <w:highlight w:val="none"/>
              </w:rPr>
            </w:pPr>
          </w:p>
        </w:tc>
        <w:tc>
          <w:tcPr>
            <w:tcW w:w="1261" w:type="dxa"/>
            <w:noWrap w:val="0"/>
            <w:vAlign w:val="center"/>
          </w:tcPr>
          <w:p>
            <w:pPr>
              <w:spacing w:line="440" w:lineRule="exact"/>
              <w:rPr>
                <w:rFonts w:eastAsia="黑体"/>
                <w:sz w:val="21"/>
                <w:szCs w:val="21"/>
                <w:highlight w:val="none"/>
              </w:rPr>
            </w:pPr>
          </w:p>
        </w:tc>
        <w:tc>
          <w:tcPr>
            <w:tcW w:w="2296" w:type="dxa"/>
            <w:gridSpan w:val="2"/>
            <w:noWrap w:val="0"/>
            <w:vAlign w:val="center"/>
          </w:tcPr>
          <w:p>
            <w:pPr>
              <w:spacing w:line="440" w:lineRule="exact"/>
              <w:rPr>
                <w:rFonts w:eastAsia="黑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 w:val="21"/>
                <w:szCs w:val="21"/>
                <w:highlight w:val="none"/>
              </w:rPr>
            </w:pPr>
          </w:p>
        </w:tc>
        <w:tc>
          <w:tcPr>
            <w:tcW w:w="3420" w:type="dxa"/>
            <w:gridSpan w:val="4"/>
            <w:noWrap w:val="0"/>
            <w:vAlign w:val="center"/>
          </w:tcPr>
          <w:p>
            <w:pPr>
              <w:spacing w:line="440" w:lineRule="exact"/>
              <w:rPr>
                <w:rFonts w:eastAsia="黑体"/>
                <w:sz w:val="21"/>
                <w:szCs w:val="21"/>
                <w:highlight w:val="none"/>
              </w:rPr>
            </w:pPr>
          </w:p>
        </w:tc>
        <w:tc>
          <w:tcPr>
            <w:tcW w:w="1261" w:type="dxa"/>
            <w:noWrap w:val="0"/>
            <w:vAlign w:val="center"/>
          </w:tcPr>
          <w:p>
            <w:pPr>
              <w:spacing w:line="440" w:lineRule="exact"/>
              <w:rPr>
                <w:rFonts w:eastAsia="黑体"/>
                <w:sz w:val="21"/>
                <w:szCs w:val="21"/>
                <w:highlight w:val="none"/>
              </w:rPr>
            </w:pPr>
          </w:p>
        </w:tc>
        <w:tc>
          <w:tcPr>
            <w:tcW w:w="2296" w:type="dxa"/>
            <w:gridSpan w:val="2"/>
            <w:noWrap w:val="0"/>
            <w:vAlign w:val="center"/>
          </w:tcPr>
          <w:p>
            <w:pPr>
              <w:spacing w:line="440" w:lineRule="exact"/>
              <w:rPr>
                <w:rFonts w:eastAsia="黑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 w:val="21"/>
                <w:szCs w:val="21"/>
                <w:highlight w:val="none"/>
              </w:rPr>
            </w:pPr>
          </w:p>
        </w:tc>
        <w:tc>
          <w:tcPr>
            <w:tcW w:w="3420" w:type="dxa"/>
            <w:gridSpan w:val="4"/>
            <w:noWrap w:val="0"/>
            <w:vAlign w:val="center"/>
          </w:tcPr>
          <w:p>
            <w:pPr>
              <w:spacing w:line="440" w:lineRule="exact"/>
              <w:rPr>
                <w:rFonts w:eastAsia="黑体"/>
                <w:sz w:val="21"/>
                <w:szCs w:val="21"/>
                <w:highlight w:val="none"/>
              </w:rPr>
            </w:pPr>
          </w:p>
        </w:tc>
        <w:tc>
          <w:tcPr>
            <w:tcW w:w="1261" w:type="dxa"/>
            <w:noWrap w:val="0"/>
            <w:vAlign w:val="center"/>
          </w:tcPr>
          <w:p>
            <w:pPr>
              <w:spacing w:line="440" w:lineRule="exact"/>
              <w:rPr>
                <w:rFonts w:eastAsia="黑体"/>
                <w:sz w:val="21"/>
                <w:szCs w:val="21"/>
                <w:highlight w:val="none"/>
              </w:rPr>
            </w:pPr>
          </w:p>
        </w:tc>
        <w:tc>
          <w:tcPr>
            <w:tcW w:w="2296" w:type="dxa"/>
            <w:gridSpan w:val="2"/>
            <w:noWrap w:val="0"/>
            <w:vAlign w:val="center"/>
          </w:tcPr>
          <w:p>
            <w:pPr>
              <w:spacing w:line="440" w:lineRule="exact"/>
              <w:rPr>
                <w:rFonts w:eastAsia="黑体"/>
                <w:sz w:val="21"/>
                <w:szCs w:val="21"/>
                <w:highlight w:val="none"/>
              </w:rPr>
            </w:pPr>
          </w:p>
        </w:tc>
      </w:tr>
    </w:tbl>
    <w:p>
      <w:pPr>
        <w:spacing w:line="440" w:lineRule="exact"/>
        <w:rPr>
          <w:rFonts w:hint="eastAsia" w:eastAsia="黑体"/>
          <w:sz w:val="20"/>
          <w:szCs w:val="20"/>
          <w:highlight w:val="none"/>
        </w:rPr>
      </w:pPr>
    </w:p>
    <w:p>
      <w:pPr>
        <w:spacing w:line="440" w:lineRule="exact"/>
        <w:jc w:val="center"/>
        <w:rPr>
          <w:rFonts w:hint="eastAsia" w:ascii="黑体" w:hAnsi="仿宋" w:eastAsia="黑体" w:cs="仿宋"/>
          <w:b/>
          <w:bCs w:val="0"/>
          <w:kern w:val="2"/>
          <w:sz w:val="32"/>
          <w:szCs w:val="32"/>
          <w:highlight w:val="none"/>
          <w:lang w:val="en-US" w:eastAsia="zh-CN" w:bidi="ar-SA"/>
        </w:rPr>
      </w:pPr>
      <w:r>
        <w:rPr>
          <w:highlight w:val="none"/>
        </w:rPr>
        <w:br w:type="page"/>
      </w:r>
      <w:bookmarkEnd w:id="44"/>
      <w:r>
        <w:rPr>
          <w:rFonts w:hint="eastAsia" w:ascii="黑体" w:hAnsi="仿宋" w:eastAsia="黑体" w:cs="仿宋"/>
          <w:b/>
          <w:bCs w:val="0"/>
          <w:kern w:val="2"/>
          <w:sz w:val="32"/>
          <w:szCs w:val="32"/>
          <w:highlight w:val="none"/>
          <w:lang w:val="en-US" w:eastAsia="zh-CN" w:bidi="ar-SA"/>
        </w:rPr>
        <w:t>七、其他材料</w:t>
      </w:r>
    </w:p>
    <w:p>
      <w:pPr>
        <w:topLinePunct/>
        <w:spacing w:line="440" w:lineRule="exact"/>
        <w:jc w:val="center"/>
        <w:rPr>
          <w:rFonts w:hint="eastAsia" w:ascii="黑体" w:hAnsi="仿宋" w:eastAsia="黑体" w:cs="黑体"/>
          <w:sz w:val="32"/>
          <w:szCs w:val="32"/>
          <w:highlight w:val="none"/>
          <w:lang w:val="en-US" w:eastAsia="zh-CN"/>
        </w:rPr>
      </w:pPr>
      <w:r>
        <w:rPr>
          <w:rFonts w:hint="eastAsia" w:ascii="黑体" w:hAnsi="仿宋" w:eastAsia="黑体" w:cs="黑体"/>
          <w:sz w:val="32"/>
          <w:szCs w:val="32"/>
          <w:highlight w:val="none"/>
          <w:lang w:val="en-US" w:eastAsia="zh-CN"/>
        </w:rPr>
        <w:t>（一）投标供应商基本情况表</w:t>
      </w:r>
    </w:p>
    <w:p>
      <w:pPr>
        <w:topLinePunct/>
        <w:spacing w:line="440" w:lineRule="exact"/>
        <w:jc w:val="center"/>
        <w:rPr>
          <w:rFonts w:eastAsia="黑体"/>
          <w:sz w:val="23"/>
          <w:szCs w:val="23"/>
          <w:highlight w:val="none"/>
        </w:rPr>
      </w:pP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rFonts w:hint="eastAsia"/>
                <w:sz w:val="21"/>
                <w:szCs w:val="21"/>
                <w:highlight w:val="none"/>
                <w:lang w:eastAsia="zh-CN"/>
              </w:rPr>
              <w:t>投标供应商</w:t>
            </w:r>
            <w:r>
              <w:rPr>
                <w:sz w:val="21"/>
                <w:szCs w:val="21"/>
                <w:highlight w:val="none"/>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 w:firstLineChars="50"/>
              <w:jc w:val="center"/>
              <w:rPr>
                <w:sz w:val="21"/>
                <w:szCs w:val="21"/>
                <w:highlight w:val="none"/>
              </w:rPr>
            </w:pPr>
            <w:r>
              <w:rPr>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Calibri" w:hAnsi="Calibri" w:eastAsia="宋体"/>
                <w:sz w:val="21"/>
                <w:szCs w:val="21"/>
                <w:highlight w:val="none"/>
              </w:rPr>
            </w:pPr>
            <w:r>
              <w:rPr>
                <w:rFonts w:ascii="Calibri" w:hAnsi="Calibri" w:eastAsia="宋体"/>
                <w:sz w:val="21"/>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Calibri" w:hAnsi="Calibri" w:eastAsia="宋体"/>
                <w:sz w:val="21"/>
                <w:szCs w:val="21"/>
                <w:highlight w:val="none"/>
              </w:rPr>
            </w:pPr>
            <w:r>
              <w:rPr>
                <w:rFonts w:ascii="Calibri" w:hAnsi="Calibri" w:eastAsia="宋体"/>
                <w:sz w:val="21"/>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Calibri" w:hAnsi="Calibri" w:eastAsia="宋体"/>
                <w:sz w:val="21"/>
                <w:szCs w:val="21"/>
                <w:highlight w:val="none"/>
              </w:rPr>
            </w:pPr>
            <w:r>
              <w:rPr>
                <w:rFonts w:ascii="Calibri" w:hAnsi="Calibri" w:eastAsia="宋体"/>
                <w:sz w:val="21"/>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Calibri" w:hAnsi="Calibri" w:eastAsia="宋体"/>
                <w:sz w:val="21"/>
                <w:szCs w:val="21"/>
                <w:highlight w:val="none"/>
              </w:rPr>
            </w:pPr>
            <w:r>
              <w:rPr>
                <w:rFonts w:ascii="Calibri" w:hAnsi="Calibri" w:eastAsia="宋体"/>
                <w:sz w:val="21"/>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ascii="Calibri" w:hAnsi="Calibri" w:eastAsia="宋体"/>
                <w:sz w:val="21"/>
                <w:szCs w:val="21"/>
                <w:highlight w:val="none"/>
              </w:rPr>
            </w:pPr>
            <w:r>
              <w:rPr>
                <w:rFonts w:ascii="Calibri" w:hAnsi="Calibri" w:eastAsia="宋体"/>
                <w:sz w:val="21"/>
                <w:szCs w:val="21"/>
                <w:highlight w:val="none"/>
              </w:rPr>
              <w:t>技</w:t>
            </w:r>
            <w:r>
              <w:rPr>
                <w:rFonts w:hint="eastAsia" w:ascii="Calibri" w:hAnsi="Calibri" w:eastAsia="宋体"/>
                <w:sz w:val="21"/>
                <w:szCs w:val="21"/>
                <w:highlight w:val="none"/>
              </w:rPr>
              <w:t xml:space="preserve">  </w:t>
            </w:r>
            <w:r>
              <w:rPr>
                <w:rFonts w:ascii="Calibri" w:hAnsi="Calibri" w:eastAsia="宋体"/>
                <w:sz w:val="21"/>
                <w:szCs w:val="21"/>
                <w:highlight w:val="none"/>
              </w:rP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rPr>
                <w:sz w:val="21"/>
                <w:szCs w:val="21"/>
                <w:highlight w:val="none"/>
              </w:rPr>
            </w:pPr>
            <w:r>
              <w:rPr>
                <w:sz w:val="21"/>
                <w:szCs w:val="21"/>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440" w:lineRule="exact"/>
              <w:jc w:val="center"/>
              <w:rPr>
                <w:sz w:val="21"/>
                <w:szCs w:val="21"/>
                <w:highlight w:val="none"/>
              </w:rPr>
            </w:pPr>
          </w:p>
          <w:p>
            <w:pPr>
              <w:topLinePunct/>
              <w:spacing w:line="440" w:lineRule="exact"/>
              <w:jc w:val="center"/>
              <w:rPr>
                <w:sz w:val="21"/>
                <w:szCs w:val="21"/>
                <w:highlight w:val="none"/>
              </w:rPr>
            </w:pPr>
          </w:p>
          <w:p>
            <w:pPr>
              <w:topLinePunct/>
              <w:spacing w:line="440" w:lineRule="exact"/>
              <w:jc w:val="center"/>
              <w:rPr>
                <w:sz w:val="21"/>
                <w:szCs w:val="21"/>
                <w:highlight w:val="none"/>
              </w:rPr>
            </w:pPr>
          </w:p>
          <w:p>
            <w:pPr>
              <w:topLinePunct/>
              <w:spacing w:line="440" w:lineRule="exact"/>
              <w:jc w:val="center"/>
              <w:rPr>
                <w:sz w:val="21"/>
                <w:szCs w:val="21"/>
                <w:highlight w:val="none"/>
              </w:rPr>
            </w:pPr>
          </w:p>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r>
              <w:rPr>
                <w:sz w:val="21"/>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sz w:val="21"/>
                <w:szCs w:val="21"/>
                <w:highlight w:val="none"/>
              </w:rPr>
            </w:pPr>
          </w:p>
        </w:tc>
      </w:tr>
    </w:tbl>
    <w:p>
      <w:pPr>
        <w:spacing w:line="440" w:lineRule="exact"/>
        <w:jc w:val="center"/>
        <w:rPr>
          <w:rFonts w:eastAsia="黑体"/>
          <w:sz w:val="20"/>
          <w:szCs w:val="20"/>
          <w:highlight w:val="none"/>
        </w:rPr>
      </w:pPr>
    </w:p>
    <w:p>
      <w:pPr>
        <w:topLinePunct/>
        <w:spacing w:line="440" w:lineRule="exact"/>
        <w:jc w:val="center"/>
        <w:rPr>
          <w:rFonts w:hint="eastAsia" w:ascii="黑体" w:hAnsi="仿宋" w:eastAsia="黑体" w:cs="黑体"/>
          <w:sz w:val="32"/>
          <w:szCs w:val="32"/>
          <w:highlight w:val="none"/>
          <w:lang w:val="en-US" w:eastAsia="zh-CN"/>
        </w:rPr>
      </w:pPr>
      <w:r>
        <w:rPr>
          <w:sz w:val="20"/>
          <w:highlight w:val="none"/>
        </w:rPr>
        <w:br w:type="page"/>
      </w:r>
      <w:r>
        <w:rPr>
          <w:rFonts w:hint="eastAsia" w:ascii="黑体" w:hAnsi="仿宋" w:eastAsia="黑体" w:cs="黑体"/>
          <w:sz w:val="32"/>
          <w:szCs w:val="32"/>
          <w:highlight w:val="none"/>
          <w:lang w:val="en-US" w:eastAsia="zh-CN"/>
        </w:rPr>
        <w:t>（二）近年完成的类似项目情况表</w:t>
      </w:r>
    </w:p>
    <w:p>
      <w:pPr>
        <w:spacing w:line="440" w:lineRule="exact"/>
        <w:jc w:val="center"/>
        <w:rPr>
          <w:rFonts w:eastAsia="黑体"/>
          <w:sz w:val="23"/>
          <w:szCs w:val="23"/>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7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652" w:type="dxa"/>
            <w:noWrap w:val="0"/>
            <w:vAlign w:val="center"/>
          </w:tcPr>
          <w:p>
            <w:pPr>
              <w:topLinePunct/>
              <w:spacing w:line="440" w:lineRule="exact"/>
              <w:jc w:val="center"/>
              <w:rPr>
                <w:sz w:val="21"/>
                <w:szCs w:val="21"/>
                <w:highlight w:val="none"/>
              </w:rPr>
            </w:pPr>
            <w:r>
              <w:rPr>
                <w:sz w:val="21"/>
                <w:szCs w:val="21"/>
                <w:highlight w:val="none"/>
              </w:rPr>
              <w:t>项目名称</w:t>
            </w:r>
          </w:p>
        </w:tc>
        <w:tc>
          <w:tcPr>
            <w:tcW w:w="7310"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652" w:type="dxa"/>
            <w:noWrap w:val="0"/>
            <w:vAlign w:val="center"/>
          </w:tcPr>
          <w:p>
            <w:pPr>
              <w:topLinePunct/>
              <w:spacing w:line="440" w:lineRule="exact"/>
              <w:jc w:val="center"/>
              <w:rPr>
                <w:sz w:val="21"/>
                <w:szCs w:val="21"/>
                <w:highlight w:val="none"/>
              </w:rPr>
            </w:pPr>
            <w:r>
              <w:rPr>
                <w:sz w:val="21"/>
                <w:szCs w:val="21"/>
                <w:highlight w:val="none"/>
              </w:rPr>
              <w:t>项目所在地</w:t>
            </w:r>
          </w:p>
        </w:tc>
        <w:tc>
          <w:tcPr>
            <w:tcW w:w="7310"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52" w:type="dxa"/>
            <w:noWrap w:val="0"/>
            <w:vAlign w:val="center"/>
          </w:tcPr>
          <w:p>
            <w:pPr>
              <w:topLinePunct/>
              <w:spacing w:line="440" w:lineRule="exact"/>
              <w:jc w:val="center"/>
              <w:rPr>
                <w:sz w:val="21"/>
                <w:szCs w:val="21"/>
                <w:highlight w:val="none"/>
              </w:rPr>
            </w:pPr>
            <w:r>
              <w:rPr>
                <w:sz w:val="21"/>
                <w:szCs w:val="21"/>
                <w:highlight w:val="none"/>
              </w:rPr>
              <w:t>发包人名称</w:t>
            </w:r>
          </w:p>
        </w:tc>
        <w:tc>
          <w:tcPr>
            <w:tcW w:w="7310"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652" w:type="dxa"/>
            <w:noWrap w:val="0"/>
            <w:vAlign w:val="center"/>
          </w:tcPr>
          <w:p>
            <w:pPr>
              <w:topLinePunct/>
              <w:spacing w:line="440" w:lineRule="exact"/>
              <w:jc w:val="center"/>
              <w:rPr>
                <w:sz w:val="21"/>
                <w:szCs w:val="21"/>
                <w:highlight w:val="none"/>
              </w:rPr>
            </w:pPr>
            <w:r>
              <w:rPr>
                <w:sz w:val="21"/>
                <w:szCs w:val="21"/>
                <w:highlight w:val="none"/>
              </w:rPr>
              <w:t>发包人地址</w:t>
            </w:r>
          </w:p>
        </w:tc>
        <w:tc>
          <w:tcPr>
            <w:tcW w:w="7310"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652" w:type="dxa"/>
            <w:noWrap w:val="0"/>
            <w:vAlign w:val="center"/>
          </w:tcPr>
          <w:p>
            <w:pPr>
              <w:topLinePunct/>
              <w:spacing w:line="440" w:lineRule="exact"/>
              <w:jc w:val="center"/>
              <w:rPr>
                <w:sz w:val="21"/>
                <w:szCs w:val="21"/>
                <w:highlight w:val="none"/>
              </w:rPr>
            </w:pPr>
            <w:r>
              <w:rPr>
                <w:sz w:val="21"/>
                <w:szCs w:val="21"/>
                <w:highlight w:val="none"/>
              </w:rPr>
              <w:t>发包人电话</w:t>
            </w:r>
          </w:p>
        </w:tc>
        <w:tc>
          <w:tcPr>
            <w:tcW w:w="7310"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652" w:type="dxa"/>
            <w:noWrap w:val="0"/>
            <w:vAlign w:val="center"/>
          </w:tcPr>
          <w:p>
            <w:pPr>
              <w:topLinePunct/>
              <w:spacing w:line="440" w:lineRule="exact"/>
              <w:jc w:val="center"/>
              <w:rPr>
                <w:sz w:val="21"/>
                <w:szCs w:val="21"/>
                <w:highlight w:val="none"/>
              </w:rPr>
            </w:pPr>
            <w:r>
              <w:rPr>
                <w:sz w:val="21"/>
                <w:szCs w:val="21"/>
                <w:highlight w:val="none"/>
              </w:rPr>
              <w:t>合同价格</w:t>
            </w:r>
          </w:p>
        </w:tc>
        <w:tc>
          <w:tcPr>
            <w:tcW w:w="7310"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652" w:type="dxa"/>
            <w:noWrap w:val="0"/>
            <w:vAlign w:val="center"/>
          </w:tcPr>
          <w:p>
            <w:pPr>
              <w:topLinePunct/>
              <w:spacing w:line="440" w:lineRule="exact"/>
              <w:jc w:val="center"/>
              <w:rPr>
                <w:sz w:val="21"/>
                <w:szCs w:val="21"/>
                <w:highlight w:val="none"/>
              </w:rPr>
            </w:pPr>
            <w:r>
              <w:rPr>
                <w:sz w:val="21"/>
                <w:szCs w:val="21"/>
                <w:highlight w:val="none"/>
              </w:rPr>
              <w:t>开工日期</w:t>
            </w:r>
          </w:p>
        </w:tc>
        <w:tc>
          <w:tcPr>
            <w:tcW w:w="7310"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652" w:type="dxa"/>
            <w:noWrap w:val="0"/>
            <w:vAlign w:val="center"/>
          </w:tcPr>
          <w:p>
            <w:pPr>
              <w:topLinePunct/>
              <w:spacing w:line="440" w:lineRule="exact"/>
              <w:jc w:val="center"/>
              <w:rPr>
                <w:sz w:val="21"/>
                <w:szCs w:val="21"/>
                <w:highlight w:val="none"/>
              </w:rPr>
            </w:pPr>
            <w:r>
              <w:rPr>
                <w:rFonts w:hint="eastAsia"/>
                <w:sz w:val="21"/>
                <w:szCs w:val="21"/>
                <w:highlight w:val="none"/>
              </w:rPr>
              <w:t>竣工</w:t>
            </w:r>
            <w:r>
              <w:rPr>
                <w:sz w:val="21"/>
                <w:szCs w:val="21"/>
                <w:highlight w:val="none"/>
              </w:rPr>
              <w:t>日期</w:t>
            </w:r>
          </w:p>
        </w:tc>
        <w:tc>
          <w:tcPr>
            <w:tcW w:w="7310"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652" w:type="dxa"/>
            <w:noWrap w:val="0"/>
            <w:vAlign w:val="center"/>
          </w:tcPr>
          <w:p>
            <w:pPr>
              <w:topLinePunct/>
              <w:spacing w:line="440" w:lineRule="exact"/>
              <w:jc w:val="center"/>
              <w:rPr>
                <w:sz w:val="21"/>
                <w:szCs w:val="21"/>
                <w:highlight w:val="none"/>
              </w:rPr>
            </w:pPr>
            <w:r>
              <w:rPr>
                <w:sz w:val="21"/>
                <w:szCs w:val="21"/>
                <w:highlight w:val="none"/>
              </w:rPr>
              <w:t>承担的工作</w:t>
            </w:r>
          </w:p>
        </w:tc>
        <w:tc>
          <w:tcPr>
            <w:tcW w:w="7310"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652" w:type="dxa"/>
            <w:noWrap w:val="0"/>
            <w:vAlign w:val="center"/>
          </w:tcPr>
          <w:p>
            <w:pPr>
              <w:topLinePunct/>
              <w:spacing w:line="440" w:lineRule="exact"/>
              <w:jc w:val="center"/>
              <w:rPr>
                <w:sz w:val="21"/>
                <w:szCs w:val="21"/>
                <w:highlight w:val="none"/>
              </w:rPr>
            </w:pPr>
            <w:r>
              <w:rPr>
                <w:sz w:val="21"/>
                <w:szCs w:val="21"/>
                <w:highlight w:val="none"/>
              </w:rPr>
              <w:t>工程质量</w:t>
            </w:r>
          </w:p>
        </w:tc>
        <w:tc>
          <w:tcPr>
            <w:tcW w:w="7310"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652" w:type="dxa"/>
            <w:noWrap w:val="0"/>
            <w:vAlign w:val="center"/>
          </w:tcPr>
          <w:p>
            <w:pPr>
              <w:topLinePunct/>
              <w:spacing w:line="440" w:lineRule="exact"/>
              <w:jc w:val="center"/>
              <w:rPr>
                <w:sz w:val="21"/>
                <w:szCs w:val="21"/>
                <w:highlight w:val="none"/>
              </w:rPr>
            </w:pPr>
            <w:r>
              <w:rPr>
                <w:sz w:val="21"/>
                <w:szCs w:val="21"/>
                <w:highlight w:val="none"/>
              </w:rPr>
              <w:t>项目经理</w:t>
            </w:r>
          </w:p>
        </w:tc>
        <w:tc>
          <w:tcPr>
            <w:tcW w:w="7310"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652" w:type="dxa"/>
            <w:noWrap w:val="0"/>
            <w:vAlign w:val="center"/>
          </w:tcPr>
          <w:p>
            <w:pPr>
              <w:topLinePunct/>
              <w:spacing w:line="440" w:lineRule="exact"/>
              <w:jc w:val="center"/>
              <w:rPr>
                <w:sz w:val="21"/>
                <w:szCs w:val="21"/>
                <w:highlight w:val="none"/>
              </w:rPr>
            </w:pPr>
            <w:r>
              <w:rPr>
                <w:sz w:val="21"/>
                <w:szCs w:val="21"/>
                <w:highlight w:val="none"/>
              </w:rPr>
              <w:t>技术负责人</w:t>
            </w:r>
          </w:p>
        </w:tc>
        <w:tc>
          <w:tcPr>
            <w:tcW w:w="7310"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652" w:type="dxa"/>
            <w:noWrap w:val="0"/>
            <w:vAlign w:val="center"/>
          </w:tcPr>
          <w:p>
            <w:pPr>
              <w:topLinePunct/>
              <w:spacing w:line="440" w:lineRule="exact"/>
              <w:jc w:val="center"/>
              <w:rPr>
                <w:sz w:val="21"/>
                <w:szCs w:val="21"/>
                <w:highlight w:val="none"/>
              </w:rPr>
            </w:pPr>
            <w:r>
              <w:rPr>
                <w:sz w:val="21"/>
                <w:szCs w:val="21"/>
                <w:highlight w:val="none"/>
              </w:rPr>
              <w:t>总监理工程师及电话</w:t>
            </w:r>
          </w:p>
        </w:tc>
        <w:tc>
          <w:tcPr>
            <w:tcW w:w="7310"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652" w:type="dxa"/>
            <w:noWrap w:val="0"/>
            <w:vAlign w:val="center"/>
          </w:tcPr>
          <w:p>
            <w:pPr>
              <w:topLinePunct/>
              <w:spacing w:line="440" w:lineRule="exact"/>
              <w:jc w:val="center"/>
              <w:rPr>
                <w:sz w:val="21"/>
                <w:szCs w:val="21"/>
                <w:highlight w:val="none"/>
              </w:rPr>
            </w:pPr>
            <w:r>
              <w:rPr>
                <w:sz w:val="21"/>
                <w:szCs w:val="21"/>
                <w:highlight w:val="none"/>
              </w:rPr>
              <w:t>项目描述</w:t>
            </w:r>
          </w:p>
        </w:tc>
        <w:tc>
          <w:tcPr>
            <w:tcW w:w="7310" w:type="dxa"/>
            <w:noWrap w:val="0"/>
            <w:vAlign w:val="top"/>
          </w:tcPr>
          <w:p>
            <w:pPr>
              <w:topLinePunct/>
              <w:spacing w:line="440" w:lineRule="exact"/>
              <w:rPr>
                <w:sz w:val="21"/>
                <w:szCs w:val="21"/>
                <w:highlight w:val="none"/>
              </w:rPr>
            </w:pPr>
          </w:p>
          <w:p>
            <w:pPr>
              <w:topLinePunct/>
              <w:spacing w:line="440" w:lineRule="exact"/>
              <w:rPr>
                <w:sz w:val="21"/>
                <w:szCs w:val="21"/>
                <w:highlight w:val="none"/>
              </w:rPr>
            </w:pPr>
          </w:p>
          <w:p>
            <w:pPr>
              <w:topLinePunct/>
              <w:spacing w:line="440" w:lineRule="exact"/>
              <w:rPr>
                <w:sz w:val="21"/>
                <w:szCs w:val="21"/>
                <w:highlight w:val="none"/>
              </w:rPr>
            </w:pPr>
          </w:p>
          <w:p>
            <w:pPr>
              <w:topLinePunct/>
              <w:spacing w:line="440" w:lineRule="exact"/>
              <w:rPr>
                <w:sz w:val="21"/>
                <w:szCs w:val="21"/>
                <w:highlight w:val="none"/>
              </w:rPr>
            </w:pPr>
          </w:p>
          <w:p>
            <w:pPr>
              <w:topLinePunct/>
              <w:spacing w:line="440" w:lineRule="exact"/>
              <w:rPr>
                <w:sz w:val="21"/>
                <w:szCs w:val="21"/>
                <w:highlight w:val="none"/>
              </w:rPr>
            </w:pPr>
          </w:p>
          <w:p>
            <w:pPr>
              <w:topLinePunct/>
              <w:spacing w:line="440" w:lineRule="exact"/>
              <w:rPr>
                <w:sz w:val="21"/>
                <w:szCs w:val="21"/>
                <w:highlight w:val="none"/>
              </w:rPr>
            </w:pPr>
          </w:p>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652" w:type="dxa"/>
            <w:noWrap w:val="0"/>
            <w:vAlign w:val="center"/>
          </w:tcPr>
          <w:p>
            <w:pPr>
              <w:topLinePunct/>
              <w:spacing w:line="440" w:lineRule="exact"/>
              <w:jc w:val="center"/>
              <w:rPr>
                <w:sz w:val="21"/>
                <w:szCs w:val="21"/>
                <w:highlight w:val="none"/>
              </w:rPr>
            </w:pPr>
            <w:r>
              <w:rPr>
                <w:sz w:val="21"/>
                <w:szCs w:val="21"/>
                <w:highlight w:val="none"/>
              </w:rPr>
              <w:t>备注</w:t>
            </w:r>
          </w:p>
        </w:tc>
        <w:tc>
          <w:tcPr>
            <w:tcW w:w="7310" w:type="dxa"/>
            <w:noWrap w:val="0"/>
            <w:vAlign w:val="top"/>
          </w:tcPr>
          <w:p>
            <w:pPr>
              <w:topLinePunct/>
              <w:spacing w:line="440" w:lineRule="exact"/>
              <w:rPr>
                <w:sz w:val="21"/>
                <w:szCs w:val="21"/>
                <w:highlight w:val="none"/>
              </w:rPr>
            </w:pPr>
          </w:p>
        </w:tc>
      </w:tr>
    </w:tbl>
    <w:p>
      <w:pPr>
        <w:spacing w:line="440" w:lineRule="exact"/>
        <w:jc w:val="center"/>
        <w:rPr>
          <w:rFonts w:eastAsia="黑体"/>
          <w:sz w:val="23"/>
          <w:szCs w:val="23"/>
          <w:highlight w:val="none"/>
        </w:rPr>
      </w:pPr>
    </w:p>
    <w:p>
      <w:pPr>
        <w:topLinePunct/>
        <w:spacing w:line="440" w:lineRule="exact"/>
        <w:jc w:val="center"/>
        <w:rPr>
          <w:rFonts w:hint="eastAsia" w:ascii="黑体" w:hAnsi="仿宋" w:eastAsia="黑体" w:cs="黑体"/>
          <w:sz w:val="32"/>
          <w:szCs w:val="32"/>
          <w:highlight w:val="none"/>
          <w:lang w:val="en-US" w:eastAsia="zh-CN"/>
        </w:rPr>
      </w:pPr>
      <w:r>
        <w:rPr>
          <w:rFonts w:eastAsia="黑体"/>
          <w:sz w:val="23"/>
          <w:szCs w:val="23"/>
          <w:highlight w:val="none"/>
        </w:rPr>
        <w:br w:type="page"/>
      </w:r>
      <w:r>
        <w:rPr>
          <w:rFonts w:hint="eastAsia" w:ascii="黑体" w:hAnsi="仿宋" w:eastAsia="黑体" w:cs="黑体"/>
          <w:sz w:val="32"/>
          <w:szCs w:val="32"/>
          <w:highlight w:val="none"/>
          <w:lang w:val="en-US" w:eastAsia="zh-CN"/>
        </w:rPr>
        <w:t>（三）正在施工的和新承接的项目情况表</w:t>
      </w:r>
    </w:p>
    <w:p>
      <w:pPr>
        <w:spacing w:line="440" w:lineRule="exact"/>
        <w:rPr>
          <w:rFonts w:eastAsia="黑体"/>
          <w:sz w:val="20"/>
          <w:szCs w:val="20"/>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7"/>
        <w:gridCol w:w="7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477" w:type="dxa"/>
            <w:noWrap w:val="0"/>
            <w:vAlign w:val="center"/>
          </w:tcPr>
          <w:p>
            <w:pPr>
              <w:topLinePunct/>
              <w:spacing w:line="440" w:lineRule="exact"/>
              <w:jc w:val="center"/>
              <w:rPr>
                <w:sz w:val="21"/>
                <w:szCs w:val="21"/>
                <w:highlight w:val="none"/>
              </w:rPr>
            </w:pPr>
            <w:r>
              <w:rPr>
                <w:sz w:val="21"/>
                <w:szCs w:val="21"/>
                <w:highlight w:val="none"/>
              </w:rPr>
              <w:t>项目名称</w:t>
            </w:r>
          </w:p>
        </w:tc>
        <w:tc>
          <w:tcPr>
            <w:tcW w:w="7485"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477" w:type="dxa"/>
            <w:noWrap w:val="0"/>
            <w:vAlign w:val="center"/>
          </w:tcPr>
          <w:p>
            <w:pPr>
              <w:topLinePunct/>
              <w:spacing w:line="440" w:lineRule="exact"/>
              <w:jc w:val="center"/>
              <w:rPr>
                <w:sz w:val="21"/>
                <w:szCs w:val="21"/>
                <w:highlight w:val="none"/>
              </w:rPr>
            </w:pPr>
            <w:r>
              <w:rPr>
                <w:sz w:val="21"/>
                <w:szCs w:val="21"/>
                <w:highlight w:val="none"/>
              </w:rPr>
              <w:t>项目所在地</w:t>
            </w:r>
          </w:p>
        </w:tc>
        <w:tc>
          <w:tcPr>
            <w:tcW w:w="7485"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477" w:type="dxa"/>
            <w:noWrap w:val="0"/>
            <w:vAlign w:val="center"/>
          </w:tcPr>
          <w:p>
            <w:pPr>
              <w:topLinePunct/>
              <w:spacing w:line="440" w:lineRule="exact"/>
              <w:jc w:val="center"/>
              <w:rPr>
                <w:sz w:val="21"/>
                <w:szCs w:val="21"/>
                <w:highlight w:val="none"/>
              </w:rPr>
            </w:pPr>
            <w:r>
              <w:rPr>
                <w:sz w:val="21"/>
                <w:szCs w:val="21"/>
                <w:highlight w:val="none"/>
              </w:rPr>
              <w:t>发包人名称</w:t>
            </w:r>
          </w:p>
        </w:tc>
        <w:tc>
          <w:tcPr>
            <w:tcW w:w="7485"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477" w:type="dxa"/>
            <w:noWrap w:val="0"/>
            <w:vAlign w:val="center"/>
          </w:tcPr>
          <w:p>
            <w:pPr>
              <w:topLinePunct/>
              <w:spacing w:line="440" w:lineRule="exact"/>
              <w:jc w:val="center"/>
              <w:rPr>
                <w:sz w:val="21"/>
                <w:szCs w:val="21"/>
                <w:highlight w:val="none"/>
              </w:rPr>
            </w:pPr>
            <w:r>
              <w:rPr>
                <w:sz w:val="21"/>
                <w:szCs w:val="21"/>
                <w:highlight w:val="none"/>
              </w:rPr>
              <w:t>发包人地址</w:t>
            </w:r>
          </w:p>
        </w:tc>
        <w:tc>
          <w:tcPr>
            <w:tcW w:w="7485"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477" w:type="dxa"/>
            <w:noWrap w:val="0"/>
            <w:vAlign w:val="center"/>
          </w:tcPr>
          <w:p>
            <w:pPr>
              <w:topLinePunct/>
              <w:spacing w:line="440" w:lineRule="exact"/>
              <w:jc w:val="center"/>
              <w:rPr>
                <w:sz w:val="21"/>
                <w:szCs w:val="21"/>
                <w:highlight w:val="none"/>
              </w:rPr>
            </w:pPr>
            <w:r>
              <w:rPr>
                <w:sz w:val="21"/>
                <w:szCs w:val="21"/>
                <w:highlight w:val="none"/>
              </w:rPr>
              <w:t>发包人电话</w:t>
            </w:r>
          </w:p>
        </w:tc>
        <w:tc>
          <w:tcPr>
            <w:tcW w:w="7485"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77" w:type="dxa"/>
            <w:noWrap w:val="0"/>
            <w:vAlign w:val="center"/>
          </w:tcPr>
          <w:p>
            <w:pPr>
              <w:topLinePunct/>
              <w:spacing w:line="440" w:lineRule="exact"/>
              <w:jc w:val="center"/>
              <w:rPr>
                <w:sz w:val="21"/>
                <w:szCs w:val="21"/>
                <w:highlight w:val="none"/>
              </w:rPr>
            </w:pPr>
            <w:r>
              <w:rPr>
                <w:sz w:val="21"/>
                <w:szCs w:val="21"/>
                <w:highlight w:val="none"/>
              </w:rPr>
              <w:t>签约合同价</w:t>
            </w:r>
          </w:p>
        </w:tc>
        <w:tc>
          <w:tcPr>
            <w:tcW w:w="7485"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77" w:type="dxa"/>
            <w:noWrap w:val="0"/>
            <w:vAlign w:val="center"/>
          </w:tcPr>
          <w:p>
            <w:pPr>
              <w:topLinePunct/>
              <w:spacing w:line="440" w:lineRule="exact"/>
              <w:jc w:val="center"/>
              <w:rPr>
                <w:sz w:val="21"/>
                <w:szCs w:val="21"/>
                <w:highlight w:val="none"/>
              </w:rPr>
            </w:pPr>
            <w:r>
              <w:rPr>
                <w:sz w:val="21"/>
                <w:szCs w:val="21"/>
                <w:highlight w:val="none"/>
              </w:rPr>
              <w:t>开工日期</w:t>
            </w:r>
          </w:p>
        </w:tc>
        <w:tc>
          <w:tcPr>
            <w:tcW w:w="7485"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477" w:type="dxa"/>
            <w:noWrap w:val="0"/>
            <w:vAlign w:val="center"/>
          </w:tcPr>
          <w:p>
            <w:pPr>
              <w:topLinePunct/>
              <w:spacing w:line="440" w:lineRule="exact"/>
              <w:jc w:val="center"/>
              <w:rPr>
                <w:sz w:val="21"/>
                <w:szCs w:val="21"/>
                <w:highlight w:val="none"/>
              </w:rPr>
            </w:pPr>
            <w:r>
              <w:rPr>
                <w:sz w:val="21"/>
                <w:szCs w:val="21"/>
                <w:highlight w:val="none"/>
              </w:rPr>
              <w:t>计划</w:t>
            </w:r>
            <w:r>
              <w:rPr>
                <w:rFonts w:hint="eastAsia"/>
                <w:sz w:val="21"/>
                <w:szCs w:val="21"/>
                <w:highlight w:val="none"/>
              </w:rPr>
              <w:t>竣工</w:t>
            </w:r>
            <w:r>
              <w:rPr>
                <w:sz w:val="21"/>
                <w:szCs w:val="21"/>
                <w:highlight w:val="none"/>
              </w:rPr>
              <w:t>日期</w:t>
            </w:r>
          </w:p>
        </w:tc>
        <w:tc>
          <w:tcPr>
            <w:tcW w:w="7485"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477" w:type="dxa"/>
            <w:noWrap w:val="0"/>
            <w:vAlign w:val="center"/>
          </w:tcPr>
          <w:p>
            <w:pPr>
              <w:topLinePunct/>
              <w:spacing w:line="440" w:lineRule="exact"/>
              <w:jc w:val="center"/>
              <w:rPr>
                <w:sz w:val="21"/>
                <w:szCs w:val="21"/>
                <w:highlight w:val="none"/>
              </w:rPr>
            </w:pPr>
            <w:r>
              <w:rPr>
                <w:sz w:val="21"/>
                <w:szCs w:val="21"/>
                <w:highlight w:val="none"/>
              </w:rPr>
              <w:t>承担的工作</w:t>
            </w:r>
          </w:p>
        </w:tc>
        <w:tc>
          <w:tcPr>
            <w:tcW w:w="7485"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77" w:type="dxa"/>
            <w:noWrap w:val="0"/>
            <w:vAlign w:val="center"/>
          </w:tcPr>
          <w:p>
            <w:pPr>
              <w:topLinePunct/>
              <w:spacing w:line="440" w:lineRule="exact"/>
              <w:jc w:val="center"/>
              <w:rPr>
                <w:sz w:val="21"/>
                <w:szCs w:val="21"/>
                <w:highlight w:val="none"/>
              </w:rPr>
            </w:pPr>
            <w:r>
              <w:rPr>
                <w:sz w:val="21"/>
                <w:szCs w:val="21"/>
                <w:highlight w:val="none"/>
              </w:rPr>
              <w:t>工程质量</w:t>
            </w:r>
          </w:p>
        </w:tc>
        <w:tc>
          <w:tcPr>
            <w:tcW w:w="7485"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477" w:type="dxa"/>
            <w:noWrap w:val="0"/>
            <w:vAlign w:val="center"/>
          </w:tcPr>
          <w:p>
            <w:pPr>
              <w:topLinePunct/>
              <w:spacing w:line="440" w:lineRule="exact"/>
              <w:jc w:val="center"/>
              <w:rPr>
                <w:sz w:val="21"/>
                <w:szCs w:val="21"/>
                <w:highlight w:val="none"/>
              </w:rPr>
            </w:pPr>
            <w:r>
              <w:rPr>
                <w:sz w:val="21"/>
                <w:szCs w:val="21"/>
                <w:highlight w:val="none"/>
              </w:rPr>
              <w:t>项目经理</w:t>
            </w:r>
          </w:p>
        </w:tc>
        <w:tc>
          <w:tcPr>
            <w:tcW w:w="7485"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77" w:type="dxa"/>
            <w:noWrap w:val="0"/>
            <w:vAlign w:val="center"/>
          </w:tcPr>
          <w:p>
            <w:pPr>
              <w:topLinePunct/>
              <w:spacing w:line="440" w:lineRule="exact"/>
              <w:jc w:val="center"/>
              <w:rPr>
                <w:sz w:val="21"/>
                <w:szCs w:val="21"/>
                <w:highlight w:val="none"/>
              </w:rPr>
            </w:pPr>
            <w:r>
              <w:rPr>
                <w:sz w:val="21"/>
                <w:szCs w:val="21"/>
                <w:highlight w:val="none"/>
              </w:rPr>
              <w:t>技术负责人</w:t>
            </w:r>
          </w:p>
        </w:tc>
        <w:tc>
          <w:tcPr>
            <w:tcW w:w="7485"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77" w:type="dxa"/>
            <w:noWrap w:val="0"/>
            <w:vAlign w:val="center"/>
          </w:tcPr>
          <w:p>
            <w:pPr>
              <w:topLinePunct/>
              <w:spacing w:line="440" w:lineRule="exact"/>
              <w:jc w:val="center"/>
              <w:rPr>
                <w:sz w:val="21"/>
                <w:szCs w:val="21"/>
                <w:highlight w:val="none"/>
              </w:rPr>
            </w:pPr>
            <w:r>
              <w:rPr>
                <w:sz w:val="21"/>
                <w:szCs w:val="21"/>
                <w:highlight w:val="none"/>
              </w:rPr>
              <w:t>总监理工程师及电话</w:t>
            </w:r>
          </w:p>
        </w:tc>
        <w:tc>
          <w:tcPr>
            <w:tcW w:w="7485" w:type="dxa"/>
            <w:noWrap w:val="0"/>
            <w:vAlign w:val="top"/>
          </w:tcPr>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477" w:type="dxa"/>
            <w:noWrap w:val="0"/>
            <w:vAlign w:val="center"/>
          </w:tcPr>
          <w:p>
            <w:pPr>
              <w:topLinePunct/>
              <w:spacing w:line="440" w:lineRule="exact"/>
              <w:jc w:val="center"/>
              <w:rPr>
                <w:sz w:val="21"/>
                <w:szCs w:val="21"/>
                <w:highlight w:val="none"/>
              </w:rPr>
            </w:pPr>
            <w:r>
              <w:rPr>
                <w:sz w:val="21"/>
                <w:szCs w:val="21"/>
                <w:highlight w:val="none"/>
              </w:rPr>
              <w:t>项目描述</w:t>
            </w:r>
          </w:p>
        </w:tc>
        <w:tc>
          <w:tcPr>
            <w:tcW w:w="7485" w:type="dxa"/>
            <w:noWrap w:val="0"/>
            <w:vAlign w:val="top"/>
          </w:tcPr>
          <w:p>
            <w:pPr>
              <w:topLinePunct/>
              <w:spacing w:line="440" w:lineRule="exact"/>
              <w:rPr>
                <w:sz w:val="21"/>
                <w:szCs w:val="21"/>
                <w:highlight w:val="none"/>
              </w:rPr>
            </w:pPr>
          </w:p>
          <w:p>
            <w:pPr>
              <w:topLinePunct/>
              <w:spacing w:line="440" w:lineRule="exact"/>
              <w:rPr>
                <w:sz w:val="21"/>
                <w:szCs w:val="21"/>
                <w:highlight w:val="none"/>
              </w:rPr>
            </w:pPr>
          </w:p>
          <w:p>
            <w:pPr>
              <w:topLinePunct/>
              <w:spacing w:line="440" w:lineRule="exact"/>
              <w:rPr>
                <w:sz w:val="21"/>
                <w:szCs w:val="21"/>
                <w:highlight w:val="none"/>
              </w:rPr>
            </w:pPr>
          </w:p>
          <w:p>
            <w:pPr>
              <w:topLinePunct/>
              <w:spacing w:line="440" w:lineRule="exact"/>
              <w:rPr>
                <w:sz w:val="21"/>
                <w:szCs w:val="21"/>
                <w:highlight w:val="none"/>
              </w:rPr>
            </w:pPr>
          </w:p>
          <w:p>
            <w:pPr>
              <w:topLinePunct/>
              <w:spacing w:line="440" w:lineRule="exact"/>
              <w:rPr>
                <w:sz w:val="21"/>
                <w:szCs w:val="21"/>
                <w:highlight w:val="none"/>
              </w:rPr>
            </w:pPr>
          </w:p>
          <w:p>
            <w:pPr>
              <w:topLinePunct/>
              <w:spacing w:line="440" w:lineRule="exact"/>
              <w:rPr>
                <w:sz w:val="21"/>
                <w:szCs w:val="21"/>
                <w:highlight w:val="none"/>
              </w:rPr>
            </w:pPr>
          </w:p>
          <w:p>
            <w:pPr>
              <w:topLinePunct/>
              <w:spacing w:line="440" w:lineRule="exact"/>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477" w:type="dxa"/>
            <w:noWrap w:val="0"/>
            <w:vAlign w:val="center"/>
          </w:tcPr>
          <w:p>
            <w:pPr>
              <w:topLinePunct/>
              <w:spacing w:line="440" w:lineRule="exact"/>
              <w:jc w:val="center"/>
              <w:rPr>
                <w:sz w:val="21"/>
                <w:szCs w:val="21"/>
                <w:highlight w:val="none"/>
              </w:rPr>
            </w:pPr>
            <w:r>
              <w:rPr>
                <w:sz w:val="21"/>
                <w:szCs w:val="21"/>
                <w:highlight w:val="none"/>
              </w:rPr>
              <w:t>备注</w:t>
            </w:r>
          </w:p>
        </w:tc>
        <w:tc>
          <w:tcPr>
            <w:tcW w:w="7485" w:type="dxa"/>
            <w:noWrap w:val="0"/>
            <w:vAlign w:val="top"/>
          </w:tcPr>
          <w:p>
            <w:pPr>
              <w:topLinePunct/>
              <w:spacing w:line="440" w:lineRule="exact"/>
              <w:rPr>
                <w:sz w:val="21"/>
                <w:szCs w:val="21"/>
                <w:highlight w:val="none"/>
              </w:rPr>
            </w:pPr>
          </w:p>
        </w:tc>
      </w:tr>
    </w:tbl>
    <w:p>
      <w:pPr>
        <w:spacing w:line="440" w:lineRule="exact"/>
        <w:rPr>
          <w:rFonts w:eastAsia="黑体"/>
          <w:sz w:val="20"/>
          <w:szCs w:val="20"/>
          <w:highlight w:val="none"/>
        </w:rPr>
      </w:pPr>
    </w:p>
    <w:p>
      <w:pPr>
        <w:spacing w:line="360" w:lineRule="auto"/>
        <w:outlineLvl w:val="9"/>
        <w:rPr>
          <w:rFonts w:hint="eastAsia"/>
          <w:highlight w:val="none"/>
        </w:rPr>
      </w:pPr>
    </w:p>
    <w:p>
      <w:pPr>
        <w:spacing w:line="360" w:lineRule="auto"/>
        <w:outlineLvl w:val="9"/>
        <w:rPr>
          <w:rFonts w:hint="eastAsia"/>
          <w:highlight w:val="none"/>
        </w:rPr>
        <w:sectPr>
          <w:footerReference r:id="rId7" w:type="default"/>
          <w:pgSz w:w="11906" w:h="16838"/>
          <w:pgMar w:top="1440" w:right="1080" w:bottom="1440" w:left="1080" w:header="851" w:footer="992" w:gutter="0"/>
          <w:pgNumType w:fmt="decimal"/>
          <w:cols w:space="720" w:num="1"/>
          <w:docGrid w:type="lines" w:linePitch="312" w:charSpace="0"/>
        </w:sectPr>
      </w:pPr>
    </w:p>
    <w:p>
      <w:pPr>
        <w:pStyle w:val="7"/>
        <w:keepNext w:val="0"/>
        <w:keepLines w:val="0"/>
        <w:jc w:val="center"/>
        <w:outlineLvl w:val="1"/>
        <w:rPr>
          <w:rFonts w:ascii="黑体" w:hAnsi="黑体" w:eastAsia="黑体" w:cs="黑体"/>
          <w:b/>
          <w:bCs/>
          <w:sz w:val="32"/>
          <w:szCs w:val="32"/>
          <w:highlight w:val="none"/>
        </w:rPr>
      </w:pPr>
      <w:bookmarkStart w:id="1504" w:name="_Toc27570"/>
      <w:bookmarkStart w:id="1505" w:name="_Toc31841"/>
      <w:r>
        <w:rPr>
          <w:rFonts w:hint="eastAsia" w:ascii="黑体" w:hAnsi="黑体" w:eastAsia="黑体" w:cs="黑体"/>
          <w:b/>
          <w:bCs/>
          <w:sz w:val="32"/>
          <w:szCs w:val="32"/>
          <w:highlight w:val="none"/>
          <w:lang w:val="en-US" w:eastAsia="zh-CN"/>
        </w:rPr>
        <w:t>八</w:t>
      </w:r>
      <w:r>
        <w:rPr>
          <w:rFonts w:hint="eastAsia" w:ascii="黑体" w:hAnsi="黑体" w:eastAsia="黑体" w:cs="黑体"/>
          <w:b/>
          <w:bCs/>
          <w:sz w:val="32"/>
          <w:szCs w:val="32"/>
          <w:highlight w:val="none"/>
        </w:rPr>
        <w:t>、</w:t>
      </w:r>
      <w:r>
        <w:rPr>
          <w:rFonts w:hint="eastAsia" w:ascii="黑体" w:hAnsi="黑体" w:eastAsia="黑体" w:cs="黑体"/>
          <w:b/>
          <w:bCs/>
          <w:sz w:val="32"/>
          <w:szCs w:val="32"/>
          <w:highlight w:val="none"/>
          <w:lang w:val="en-US" w:eastAsia="zh-CN"/>
        </w:rPr>
        <w:t>投标</w:t>
      </w:r>
      <w:r>
        <w:rPr>
          <w:rFonts w:hint="eastAsia" w:ascii="黑体" w:hAnsi="黑体" w:eastAsia="黑体" w:cs="黑体"/>
          <w:b/>
          <w:bCs/>
          <w:sz w:val="32"/>
          <w:szCs w:val="32"/>
          <w:highlight w:val="none"/>
        </w:rPr>
        <w:t>供应商认为必要说明的其它内容</w:t>
      </w:r>
      <w:bookmarkEnd w:id="1504"/>
      <w:bookmarkEnd w:id="1505"/>
    </w:p>
    <w:p>
      <w:pPr>
        <w:pStyle w:val="52"/>
        <w:rPr>
          <w:rFonts w:hint="eastAsia"/>
        </w:rPr>
      </w:pPr>
    </w:p>
    <w:sectPr>
      <w:type w:val="continuous"/>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enlo">
    <w:altName w:val="Segoe Print"/>
    <w:panose1 w:val="00000000000000000000"/>
    <w:charset w:val="00"/>
    <w:family w:val="auto"/>
    <w:pitch w:val="default"/>
    <w:sig w:usb0="00000000" w:usb1="00000000" w:usb2="00000000" w:usb3="00000000" w:csb0="00040001" w:csb1="00000000"/>
  </w:font>
  <w:font w:name="font-weight : 700">
    <w:altName w:val="Segoe Print"/>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1"/>
      </w:pBdr>
      <w:jc w:val="lef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181</w:t>
                          </w:r>
                          <w:r>
                            <w:fldChar w:fldCharType="end"/>
                          </w:r>
                          <w:r>
                            <w:t xml:space="preserve"> 页</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CnvccBAACZ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UCnvccBAACZAwAADgAAAAAAAAABACAAAAAeAQAAZHJzL2Uyb0RvYy54&#10;bWxQSwUGAAAAAAYABgBZAQAAVwUAAAAA&#10;">
              <v:fill on="f" focussize="0,0"/>
              <v:stroke on="f"/>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181</w:t>
                    </w:r>
                    <w:r>
                      <w:fldChar w:fldCharType="end"/>
                    </w:r>
                    <w:r>
                      <w:t xml:space="preserve"> 页</w:t>
                    </w:r>
                  </w:p>
                </w:txbxContent>
              </v:textbox>
            </v:shape>
          </w:pict>
        </mc:Fallback>
      </mc:AlternateContent>
    </w:r>
    <w:r>
      <w:rPr>
        <w:rFonts w:hint="eastAsia" w:ascii="黑体" w:hAnsi="黑体" w:eastAsia="黑体" w:cs="黑体"/>
        <w:kern w:val="2"/>
      </w:rPr>
      <w:t>陕西德勤招标有限公司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vZYhM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vZYhMoBAACcAwAADgAAAAAAAAABACAAAAAeAQAAZHJzL2Uyb0Rv&#10;Yy54bWxQSwUGAAAAAAYABgBZAQAAWgU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1"/>
      </w:pBdr>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181</w:t>
                    </w:r>
                    <w:r>
                      <w:fldChar w:fldCharType="end"/>
                    </w:r>
                    <w:r>
                      <w:t xml:space="preserve"> 页</w:t>
                    </w:r>
                  </w:p>
                </w:txbxContent>
              </v:textbox>
            </v:shape>
          </w:pict>
        </mc:Fallback>
      </mc:AlternateContent>
    </w:r>
    <w:r>
      <w:rPr>
        <w:rFonts w:hint="eastAsia" w:ascii="黑体" w:hAnsi="黑体" w:eastAsia="黑体" w:cs="黑体"/>
        <w:kern w:val="2"/>
      </w:rPr>
      <w:t>陕西德勤招标有限公司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1"/>
      </w:pBdr>
      <w:jc w:val="left"/>
    </w:pPr>
    <w:r>
      <w:rPr>
        <w:rFonts w:hint="eastAsia" w:ascii="黑体" w:hAnsi="黑体" w:eastAsia="黑体" w:cs="黑体"/>
        <w:kern w:val="2"/>
        <w:highlight w:val="none"/>
        <w:lang w:val="en-US" w:eastAsia="zh-CN"/>
      </w:rPr>
      <w:t>陕西省司法厅一号办公楼加固改造项目</w:t>
    </w:r>
    <w:r>
      <w:rPr>
        <w:rFonts w:hint="eastAsia" w:ascii="黑体" w:hAnsi="黑体" w:eastAsia="黑体" w:cs="黑体"/>
        <w:kern w:val="2"/>
        <w:lang w:val="en-US" w:eastAsia="zh-CN"/>
      </w:rPr>
      <w:t>公开招标</w:t>
    </w:r>
    <w:r>
      <w:rPr>
        <w:rFonts w:hint="eastAsia" w:ascii="黑体" w:hAnsi="黑体" w:eastAsia="黑体" w:cs="黑体"/>
        <w:kern w:val="2"/>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C322B"/>
    <w:multiLevelType w:val="singleLevel"/>
    <w:tmpl w:val="E86C322B"/>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1">
    <w:nsid w:val="15D41C24"/>
    <w:multiLevelType w:val="multilevel"/>
    <w:tmpl w:val="15D41C24"/>
    <w:lvl w:ilvl="0" w:tentative="0">
      <w:start w:val="1"/>
      <w:numFmt w:val="bullet"/>
      <w:pStyle w:val="111"/>
      <w:lvlText w:val=""/>
      <w:lvlJc w:val="left"/>
      <w:pPr>
        <w:tabs>
          <w:tab w:val="left" w:pos="710"/>
        </w:tabs>
        <w:ind w:left="960" w:hanging="25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28258F7"/>
    <w:multiLevelType w:val="multilevel"/>
    <w:tmpl w:val="328258F7"/>
    <w:lvl w:ilvl="0" w:tentative="0">
      <w:start w:val="1"/>
      <w:numFmt w:val="decimal"/>
      <w:lvlText w:val="第%1章"/>
      <w:lvlJc w:val="left"/>
      <w:pPr>
        <w:ind w:left="420" w:hanging="420"/>
      </w:pPr>
      <w:rPr>
        <w:rFonts w:hint="eastAsia" w:ascii="宋体" w:eastAsia="宋体"/>
        <w:b/>
        <w:i w:val="0"/>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10"/>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TcxODczODNkNjg0NGQ4ODVkZWU3OWJjN2Y2ZjYifQ=="/>
  </w:docVars>
  <w:rsids>
    <w:rsidRoot w:val="266E0909"/>
    <w:rsid w:val="00006FAE"/>
    <w:rsid w:val="00012BA6"/>
    <w:rsid w:val="0001615B"/>
    <w:rsid w:val="00030A42"/>
    <w:rsid w:val="00051C6F"/>
    <w:rsid w:val="0006517C"/>
    <w:rsid w:val="00067B0D"/>
    <w:rsid w:val="000722F8"/>
    <w:rsid w:val="00082DD6"/>
    <w:rsid w:val="00086240"/>
    <w:rsid w:val="00087B9D"/>
    <w:rsid w:val="000947D1"/>
    <w:rsid w:val="000A7B4E"/>
    <w:rsid w:val="000B0F01"/>
    <w:rsid w:val="000B17A5"/>
    <w:rsid w:val="000B29EB"/>
    <w:rsid w:val="000C101C"/>
    <w:rsid w:val="000C618F"/>
    <w:rsid w:val="000E0179"/>
    <w:rsid w:val="000E4101"/>
    <w:rsid w:val="000E56B2"/>
    <w:rsid w:val="000E78C9"/>
    <w:rsid w:val="000F426B"/>
    <w:rsid w:val="00103F77"/>
    <w:rsid w:val="00104189"/>
    <w:rsid w:val="001109B8"/>
    <w:rsid w:val="00111A84"/>
    <w:rsid w:val="00137F30"/>
    <w:rsid w:val="00141647"/>
    <w:rsid w:val="00144112"/>
    <w:rsid w:val="001518E8"/>
    <w:rsid w:val="001522F0"/>
    <w:rsid w:val="001524B2"/>
    <w:rsid w:val="00153C6C"/>
    <w:rsid w:val="001552EB"/>
    <w:rsid w:val="0015688F"/>
    <w:rsid w:val="001607C7"/>
    <w:rsid w:val="00164B46"/>
    <w:rsid w:val="001650B8"/>
    <w:rsid w:val="00170D90"/>
    <w:rsid w:val="00171E2E"/>
    <w:rsid w:val="00172A3E"/>
    <w:rsid w:val="001745BB"/>
    <w:rsid w:val="001864F5"/>
    <w:rsid w:val="00197ECB"/>
    <w:rsid w:val="001A3AC1"/>
    <w:rsid w:val="001A497D"/>
    <w:rsid w:val="001B5E78"/>
    <w:rsid w:val="001B7917"/>
    <w:rsid w:val="001D19FD"/>
    <w:rsid w:val="001D38F8"/>
    <w:rsid w:val="001E36F3"/>
    <w:rsid w:val="001E3A36"/>
    <w:rsid w:val="001F1FDC"/>
    <w:rsid w:val="001F4FCD"/>
    <w:rsid w:val="001F51E9"/>
    <w:rsid w:val="0020419F"/>
    <w:rsid w:val="002059B1"/>
    <w:rsid w:val="00205EB0"/>
    <w:rsid w:val="00212FCB"/>
    <w:rsid w:val="00221A15"/>
    <w:rsid w:val="00222E27"/>
    <w:rsid w:val="002239E9"/>
    <w:rsid w:val="002245CC"/>
    <w:rsid w:val="0022477B"/>
    <w:rsid w:val="00231884"/>
    <w:rsid w:val="002338CD"/>
    <w:rsid w:val="00242341"/>
    <w:rsid w:val="0024313B"/>
    <w:rsid w:val="002517A0"/>
    <w:rsid w:val="00252B88"/>
    <w:rsid w:val="00263470"/>
    <w:rsid w:val="00264DEA"/>
    <w:rsid w:val="00273646"/>
    <w:rsid w:val="002777E9"/>
    <w:rsid w:val="00284A65"/>
    <w:rsid w:val="00286739"/>
    <w:rsid w:val="00287668"/>
    <w:rsid w:val="00297A72"/>
    <w:rsid w:val="002A1E9A"/>
    <w:rsid w:val="002A357E"/>
    <w:rsid w:val="002A45BF"/>
    <w:rsid w:val="002A4CD8"/>
    <w:rsid w:val="002B3E68"/>
    <w:rsid w:val="002B5921"/>
    <w:rsid w:val="002B7252"/>
    <w:rsid w:val="002C07F0"/>
    <w:rsid w:val="002C1154"/>
    <w:rsid w:val="002C4C75"/>
    <w:rsid w:val="002C72B2"/>
    <w:rsid w:val="002D4E7E"/>
    <w:rsid w:val="002D55F3"/>
    <w:rsid w:val="002E126F"/>
    <w:rsid w:val="002E1E34"/>
    <w:rsid w:val="002E4838"/>
    <w:rsid w:val="002E6EDF"/>
    <w:rsid w:val="002F0303"/>
    <w:rsid w:val="002F1901"/>
    <w:rsid w:val="00310D51"/>
    <w:rsid w:val="00311E51"/>
    <w:rsid w:val="00322204"/>
    <w:rsid w:val="00325321"/>
    <w:rsid w:val="00326E16"/>
    <w:rsid w:val="003277E8"/>
    <w:rsid w:val="00331D92"/>
    <w:rsid w:val="00336D04"/>
    <w:rsid w:val="00340ABD"/>
    <w:rsid w:val="00347164"/>
    <w:rsid w:val="00350A72"/>
    <w:rsid w:val="00352506"/>
    <w:rsid w:val="00356F9E"/>
    <w:rsid w:val="00360BA0"/>
    <w:rsid w:val="0037489D"/>
    <w:rsid w:val="00375B24"/>
    <w:rsid w:val="003802AE"/>
    <w:rsid w:val="00381A58"/>
    <w:rsid w:val="003828F5"/>
    <w:rsid w:val="003853D9"/>
    <w:rsid w:val="0038768B"/>
    <w:rsid w:val="00391383"/>
    <w:rsid w:val="00393487"/>
    <w:rsid w:val="00394C66"/>
    <w:rsid w:val="003B4575"/>
    <w:rsid w:val="003B5758"/>
    <w:rsid w:val="003B61D4"/>
    <w:rsid w:val="003D7368"/>
    <w:rsid w:val="003D75D9"/>
    <w:rsid w:val="003E0558"/>
    <w:rsid w:val="003E5512"/>
    <w:rsid w:val="00401FC3"/>
    <w:rsid w:val="0040418A"/>
    <w:rsid w:val="00412171"/>
    <w:rsid w:val="00412EBA"/>
    <w:rsid w:val="00416224"/>
    <w:rsid w:val="00420EF7"/>
    <w:rsid w:val="004212E3"/>
    <w:rsid w:val="0043310C"/>
    <w:rsid w:val="00441B16"/>
    <w:rsid w:val="00444232"/>
    <w:rsid w:val="004504C3"/>
    <w:rsid w:val="00452A15"/>
    <w:rsid w:val="00454AFF"/>
    <w:rsid w:val="00460598"/>
    <w:rsid w:val="00470D07"/>
    <w:rsid w:val="00477E79"/>
    <w:rsid w:val="004832C2"/>
    <w:rsid w:val="004839BD"/>
    <w:rsid w:val="004A3292"/>
    <w:rsid w:val="004B0AA4"/>
    <w:rsid w:val="004B20E6"/>
    <w:rsid w:val="004B6609"/>
    <w:rsid w:val="004B74FA"/>
    <w:rsid w:val="004C4758"/>
    <w:rsid w:val="004D03C1"/>
    <w:rsid w:val="004D0766"/>
    <w:rsid w:val="004E2525"/>
    <w:rsid w:val="004E75B7"/>
    <w:rsid w:val="004E7741"/>
    <w:rsid w:val="0050107B"/>
    <w:rsid w:val="00503F57"/>
    <w:rsid w:val="00510D29"/>
    <w:rsid w:val="00513F75"/>
    <w:rsid w:val="0051680E"/>
    <w:rsid w:val="005176B2"/>
    <w:rsid w:val="005273F9"/>
    <w:rsid w:val="005305F4"/>
    <w:rsid w:val="00531818"/>
    <w:rsid w:val="00537018"/>
    <w:rsid w:val="00550B48"/>
    <w:rsid w:val="00550FB2"/>
    <w:rsid w:val="005514FC"/>
    <w:rsid w:val="00553E52"/>
    <w:rsid w:val="005575BE"/>
    <w:rsid w:val="00564AA1"/>
    <w:rsid w:val="00565E57"/>
    <w:rsid w:val="005661E0"/>
    <w:rsid w:val="005743AB"/>
    <w:rsid w:val="00576D54"/>
    <w:rsid w:val="00580FFA"/>
    <w:rsid w:val="005856B5"/>
    <w:rsid w:val="00594B63"/>
    <w:rsid w:val="005A4269"/>
    <w:rsid w:val="005A6222"/>
    <w:rsid w:val="005B09C0"/>
    <w:rsid w:val="005B0E82"/>
    <w:rsid w:val="005B1F61"/>
    <w:rsid w:val="005C1F2E"/>
    <w:rsid w:val="005C6F9C"/>
    <w:rsid w:val="005D0EC6"/>
    <w:rsid w:val="005D61E6"/>
    <w:rsid w:val="005D6ABC"/>
    <w:rsid w:val="005E000B"/>
    <w:rsid w:val="005E1CFE"/>
    <w:rsid w:val="005F036B"/>
    <w:rsid w:val="005F3EBE"/>
    <w:rsid w:val="006224CE"/>
    <w:rsid w:val="00632FBD"/>
    <w:rsid w:val="006376FC"/>
    <w:rsid w:val="00640CE8"/>
    <w:rsid w:val="00641076"/>
    <w:rsid w:val="00641C6E"/>
    <w:rsid w:val="00641E06"/>
    <w:rsid w:val="00647C44"/>
    <w:rsid w:val="00647FD5"/>
    <w:rsid w:val="00657CF9"/>
    <w:rsid w:val="00667E3E"/>
    <w:rsid w:val="00670126"/>
    <w:rsid w:val="00672200"/>
    <w:rsid w:val="00674D01"/>
    <w:rsid w:val="00681B13"/>
    <w:rsid w:val="00681D4F"/>
    <w:rsid w:val="006848B9"/>
    <w:rsid w:val="00691C8A"/>
    <w:rsid w:val="006A3B81"/>
    <w:rsid w:val="006A4B0D"/>
    <w:rsid w:val="006A59EA"/>
    <w:rsid w:val="006A652F"/>
    <w:rsid w:val="006B7901"/>
    <w:rsid w:val="006C11B3"/>
    <w:rsid w:val="006C1C1D"/>
    <w:rsid w:val="006C3BDC"/>
    <w:rsid w:val="006C4484"/>
    <w:rsid w:val="006C6632"/>
    <w:rsid w:val="006C7331"/>
    <w:rsid w:val="006E67CF"/>
    <w:rsid w:val="006F019A"/>
    <w:rsid w:val="006F08E0"/>
    <w:rsid w:val="00703F79"/>
    <w:rsid w:val="00707CB1"/>
    <w:rsid w:val="007178D1"/>
    <w:rsid w:val="00717B24"/>
    <w:rsid w:val="00722240"/>
    <w:rsid w:val="00724238"/>
    <w:rsid w:val="00725A5A"/>
    <w:rsid w:val="007334B3"/>
    <w:rsid w:val="0073377B"/>
    <w:rsid w:val="0074294D"/>
    <w:rsid w:val="00760EE3"/>
    <w:rsid w:val="007626C7"/>
    <w:rsid w:val="00780D19"/>
    <w:rsid w:val="00784913"/>
    <w:rsid w:val="007869F8"/>
    <w:rsid w:val="00787C6D"/>
    <w:rsid w:val="00795B07"/>
    <w:rsid w:val="00796391"/>
    <w:rsid w:val="007A5FD4"/>
    <w:rsid w:val="007B3F6C"/>
    <w:rsid w:val="007B4AF9"/>
    <w:rsid w:val="007C18E8"/>
    <w:rsid w:val="007C330A"/>
    <w:rsid w:val="007C498A"/>
    <w:rsid w:val="007E4379"/>
    <w:rsid w:val="007F3401"/>
    <w:rsid w:val="007F4CAA"/>
    <w:rsid w:val="00811328"/>
    <w:rsid w:val="00817D80"/>
    <w:rsid w:val="00821311"/>
    <w:rsid w:val="008260A9"/>
    <w:rsid w:val="00826F23"/>
    <w:rsid w:val="00836711"/>
    <w:rsid w:val="008370FE"/>
    <w:rsid w:val="00837CD6"/>
    <w:rsid w:val="00841C87"/>
    <w:rsid w:val="00843F60"/>
    <w:rsid w:val="00844558"/>
    <w:rsid w:val="00847EA1"/>
    <w:rsid w:val="00850631"/>
    <w:rsid w:val="008672C6"/>
    <w:rsid w:val="0087054C"/>
    <w:rsid w:val="008773FD"/>
    <w:rsid w:val="00887235"/>
    <w:rsid w:val="00893B69"/>
    <w:rsid w:val="00894BED"/>
    <w:rsid w:val="0089646D"/>
    <w:rsid w:val="008A1E54"/>
    <w:rsid w:val="008A5B0A"/>
    <w:rsid w:val="008A5C92"/>
    <w:rsid w:val="008A735F"/>
    <w:rsid w:val="008B2292"/>
    <w:rsid w:val="008B4C93"/>
    <w:rsid w:val="008C34AF"/>
    <w:rsid w:val="008C5140"/>
    <w:rsid w:val="008D1FB8"/>
    <w:rsid w:val="008D4D2A"/>
    <w:rsid w:val="008D5657"/>
    <w:rsid w:val="008D6BD4"/>
    <w:rsid w:val="008E6B64"/>
    <w:rsid w:val="008F02BC"/>
    <w:rsid w:val="008F7FD7"/>
    <w:rsid w:val="0090369F"/>
    <w:rsid w:val="0091002F"/>
    <w:rsid w:val="009106FA"/>
    <w:rsid w:val="00914FE5"/>
    <w:rsid w:val="00915B9E"/>
    <w:rsid w:val="00917D8B"/>
    <w:rsid w:val="0092051D"/>
    <w:rsid w:val="00921F7C"/>
    <w:rsid w:val="0092605E"/>
    <w:rsid w:val="009269BC"/>
    <w:rsid w:val="009406B9"/>
    <w:rsid w:val="00943677"/>
    <w:rsid w:val="0094547E"/>
    <w:rsid w:val="00961F88"/>
    <w:rsid w:val="0096476F"/>
    <w:rsid w:val="009662DD"/>
    <w:rsid w:val="009711F8"/>
    <w:rsid w:val="00976064"/>
    <w:rsid w:val="009767FF"/>
    <w:rsid w:val="00991884"/>
    <w:rsid w:val="009926FE"/>
    <w:rsid w:val="009A4CEA"/>
    <w:rsid w:val="009A749F"/>
    <w:rsid w:val="009B1204"/>
    <w:rsid w:val="009B2290"/>
    <w:rsid w:val="009B3013"/>
    <w:rsid w:val="009C2EF2"/>
    <w:rsid w:val="009C3E07"/>
    <w:rsid w:val="009D2E26"/>
    <w:rsid w:val="009D360E"/>
    <w:rsid w:val="009E1E14"/>
    <w:rsid w:val="009E470F"/>
    <w:rsid w:val="00A07925"/>
    <w:rsid w:val="00A11546"/>
    <w:rsid w:val="00A116BF"/>
    <w:rsid w:val="00A11BA2"/>
    <w:rsid w:val="00A13879"/>
    <w:rsid w:val="00A17D3A"/>
    <w:rsid w:val="00A26274"/>
    <w:rsid w:val="00A2684B"/>
    <w:rsid w:val="00A2684C"/>
    <w:rsid w:val="00A273ED"/>
    <w:rsid w:val="00A551AC"/>
    <w:rsid w:val="00A71198"/>
    <w:rsid w:val="00A75B2B"/>
    <w:rsid w:val="00A768C0"/>
    <w:rsid w:val="00A76DA7"/>
    <w:rsid w:val="00A77CA7"/>
    <w:rsid w:val="00A802EB"/>
    <w:rsid w:val="00A820C8"/>
    <w:rsid w:val="00A826AF"/>
    <w:rsid w:val="00A87345"/>
    <w:rsid w:val="00A901FB"/>
    <w:rsid w:val="00A90A62"/>
    <w:rsid w:val="00A978EC"/>
    <w:rsid w:val="00AA7624"/>
    <w:rsid w:val="00AB7920"/>
    <w:rsid w:val="00AC5222"/>
    <w:rsid w:val="00AE5237"/>
    <w:rsid w:val="00AF2F11"/>
    <w:rsid w:val="00B04EBC"/>
    <w:rsid w:val="00B11530"/>
    <w:rsid w:val="00B1164D"/>
    <w:rsid w:val="00B24830"/>
    <w:rsid w:val="00B32C29"/>
    <w:rsid w:val="00B40358"/>
    <w:rsid w:val="00B416AA"/>
    <w:rsid w:val="00B4443A"/>
    <w:rsid w:val="00B46F3F"/>
    <w:rsid w:val="00B62232"/>
    <w:rsid w:val="00B63162"/>
    <w:rsid w:val="00B65062"/>
    <w:rsid w:val="00B65235"/>
    <w:rsid w:val="00B805A4"/>
    <w:rsid w:val="00B93BDE"/>
    <w:rsid w:val="00B93E00"/>
    <w:rsid w:val="00BA0C1B"/>
    <w:rsid w:val="00BA0D4A"/>
    <w:rsid w:val="00BA38EE"/>
    <w:rsid w:val="00BA5417"/>
    <w:rsid w:val="00BA585E"/>
    <w:rsid w:val="00BB18C4"/>
    <w:rsid w:val="00BB3B8C"/>
    <w:rsid w:val="00BB3DC6"/>
    <w:rsid w:val="00BC4FC5"/>
    <w:rsid w:val="00BC52F1"/>
    <w:rsid w:val="00BC7686"/>
    <w:rsid w:val="00BD4B24"/>
    <w:rsid w:val="00BD4B60"/>
    <w:rsid w:val="00BD74E6"/>
    <w:rsid w:val="00BE36A0"/>
    <w:rsid w:val="00BE6D3E"/>
    <w:rsid w:val="00BE7D2D"/>
    <w:rsid w:val="00BF14A9"/>
    <w:rsid w:val="00BF558F"/>
    <w:rsid w:val="00C01658"/>
    <w:rsid w:val="00C05D74"/>
    <w:rsid w:val="00C061EA"/>
    <w:rsid w:val="00C06A6B"/>
    <w:rsid w:val="00C10055"/>
    <w:rsid w:val="00C14421"/>
    <w:rsid w:val="00C150E7"/>
    <w:rsid w:val="00C3021B"/>
    <w:rsid w:val="00C34F09"/>
    <w:rsid w:val="00C433A0"/>
    <w:rsid w:val="00C51A35"/>
    <w:rsid w:val="00C55BFD"/>
    <w:rsid w:val="00C56570"/>
    <w:rsid w:val="00C577EF"/>
    <w:rsid w:val="00C67F53"/>
    <w:rsid w:val="00C70230"/>
    <w:rsid w:val="00C723A7"/>
    <w:rsid w:val="00C7754D"/>
    <w:rsid w:val="00C82D30"/>
    <w:rsid w:val="00C84D3F"/>
    <w:rsid w:val="00C93DB7"/>
    <w:rsid w:val="00C95C99"/>
    <w:rsid w:val="00CA7D5B"/>
    <w:rsid w:val="00CB0478"/>
    <w:rsid w:val="00CB1A16"/>
    <w:rsid w:val="00CB71D4"/>
    <w:rsid w:val="00CC3512"/>
    <w:rsid w:val="00CC6D5F"/>
    <w:rsid w:val="00CD1FD8"/>
    <w:rsid w:val="00CE0B13"/>
    <w:rsid w:val="00CE3060"/>
    <w:rsid w:val="00CF2293"/>
    <w:rsid w:val="00D02F54"/>
    <w:rsid w:val="00D03BE4"/>
    <w:rsid w:val="00D057F1"/>
    <w:rsid w:val="00D05BDD"/>
    <w:rsid w:val="00D06FFB"/>
    <w:rsid w:val="00D0731E"/>
    <w:rsid w:val="00D07658"/>
    <w:rsid w:val="00D20E13"/>
    <w:rsid w:val="00D33DC8"/>
    <w:rsid w:val="00D4184E"/>
    <w:rsid w:val="00D42C8D"/>
    <w:rsid w:val="00D45A88"/>
    <w:rsid w:val="00D52815"/>
    <w:rsid w:val="00D56E39"/>
    <w:rsid w:val="00D7236A"/>
    <w:rsid w:val="00D767E1"/>
    <w:rsid w:val="00D7724E"/>
    <w:rsid w:val="00D82531"/>
    <w:rsid w:val="00D85FE3"/>
    <w:rsid w:val="00D919FF"/>
    <w:rsid w:val="00D97F90"/>
    <w:rsid w:val="00DA0F8C"/>
    <w:rsid w:val="00DA2EEA"/>
    <w:rsid w:val="00DA666A"/>
    <w:rsid w:val="00DB3B89"/>
    <w:rsid w:val="00DB5393"/>
    <w:rsid w:val="00DC1487"/>
    <w:rsid w:val="00DC17C2"/>
    <w:rsid w:val="00DC6E6B"/>
    <w:rsid w:val="00DC7534"/>
    <w:rsid w:val="00DD0218"/>
    <w:rsid w:val="00DD0A31"/>
    <w:rsid w:val="00DD159C"/>
    <w:rsid w:val="00DD296F"/>
    <w:rsid w:val="00DD4945"/>
    <w:rsid w:val="00DD4E7B"/>
    <w:rsid w:val="00DE0CB1"/>
    <w:rsid w:val="00DE3EC0"/>
    <w:rsid w:val="00DE3EE9"/>
    <w:rsid w:val="00DE65A1"/>
    <w:rsid w:val="00DF5893"/>
    <w:rsid w:val="00DF5E4B"/>
    <w:rsid w:val="00E04B43"/>
    <w:rsid w:val="00E051A5"/>
    <w:rsid w:val="00E27CDA"/>
    <w:rsid w:val="00E3146E"/>
    <w:rsid w:val="00E31721"/>
    <w:rsid w:val="00E36CA2"/>
    <w:rsid w:val="00E44B8D"/>
    <w:rsid w:val="00E50D3F"/>
    <w:rsid w:val="00E64671"/>
    <w:rsid w:val="00E67A7A"/>
    <w:rsid w:val="00E81B2A"/>
    <w:rsid w:val="00E82D6C"/>
    <w:rsid w:val="00E8601A"/>
    <w:rsid w:val="00E904E3"/>
    <w:rsid w:val="00E91210"/>
    <w:rsid w:val="00E93CFD"/>
    <w:rsid w:val="00E95E12"/>
    <w:rsid w:val="00EA781C"/>
    <w:rsid w:val="00EB088F"/>
    <w:rsid w:val="00EB5F61"/>
    <w:rsid w:val="00EC00DE"/>
    <w:rsid w:val="00EE10C7"/>
    <w:rsid w:val="00EE545C"/>
    <w:rsid w:val="00F06271"/>
    <w:rsid w:val="00F15882"/>
    <w:rsid w:val="00F1673F"/>
    <w:rsid w:val="00F30540"/>
    <w:rsid w:val="00F327E1"/>
    <w:rsid w:val="00F444E2"/>
    <w:rsid w:val="00F451DB"/>
    <w:rsid w:val="00F51CB5"/>
    <w:rsid w:val="00F520EC"/>
    <w:rsid w:val="00F524FB"/>
    <w:rsid w:val="00F5277F"/>
    <w:rsid w:val="00F57BBB"/>
    <w:rsid w:val="00F608A3"/>
    <w:rsid w:val="00F61BC3"/>
    <w:rsid w:val="00F824AB"/>
    <w:rsid w:val="00F92BAF"/>
    <w:rsid w:val="00F96C99"/>
    <w:rsid w:val="00FB13A3"/>
    <w:rsid w:val="00FC0E16"/>
    <w:rsid w:val="00FC26FD"/>
    <w:rsid w:val="00FC2C0C"/>
    <w:rsid w:val="00FC2CC3"/>
    <w:rsid w:val="00FC3462"/>
    <w:rsid w:val="00FC3F16"/>
    <w:rsid w:val="00FC4087"/>
    <w:rsid w:val="00FC5186"/>
    <w:rsid w:val="00FD05B4"/>
    <w:rsid w:val="00FE5E5D"/>
    <w:rsid w:val="01116C17"/>
    <w:rsid w:val="012421CF"/>
    <w:rsid w:val="01255E11"/>
    <w:rsid w:val="014D453B"/>
    <w:rsid w:val="01614DE1"/>
    <w:rsid w:val="0183657A"/>
    <w:rsid w:val="01966F7E"/>
    <w:rsid w:val="01AE7E53"/>
    <w:rsid w:val="01CA6E8C"/>
    <w:rsid w:val="01FF3E04"/>
    <w:rsid w:val="020069D9"/>
    <w:rsid w:val="020404F8"/>
    <w:rsid w:val="021B058E"/>
    <w:rsid w:val="0223533F"/>
    <w:rsid w:val="022D2217"/>
    <w:rsid w:val="024F31A3"/>
    <w:rsid w:val="026B583E"/>
    <w:rsid w:val="029D1A6D"/>
    <w:rsid w:val="02FA087A"/>
    <w:rsid w:val="030955F1"/>
    <w:rsid w:val="031A0163"/>
    <w:rsid w:val="03582280"/>
    <w:rsid w:val="036C6556"/>
    <w:rsid w:val="041E2DD6"/>
    <w:rsid w:val="04234081"/>
    <w:rsid w:val="042A6CC2"/>
    <w:rsid w:val="04457EA8"/>
    <w:rsid w:val="046D3F8A"/>
    <w:rsid w:val="04927073"/>
    <w:rsid w:val="049708DB"/>
    <w:rsid w:val="04D5471E"/>
    <w:rsid w:val="05001814"/>
    <w:rsid w:val="050C4AB7"/>
    <w:rsid w:val="05177B87"/>
    <w:rsid w:val="051E5AD8"/>
    <w:rsid w:val="053D3B53"/>
    <w:rsid w:val="054C0061"/>
    <w:rsid w:val="05716AEB"/>
    <w:rsid w:val="05725BBD"/>
    <w:rsid w:val="058F761B"/>
    <w:rsid w:val="05BA7B2A"/>
    <w:rsid w:val="05BE2845"/>
    <w:rsid w:val="05BF4B29"/>
    <w:rsid w:val="05C5420F"/>
    <w:rsid w:val="0613421C"/>
    <w:rsid w:val="06406E4D"/>
    <w:rsid w:val="06533F2F"/>
    <w:rsid w:val="065A2DFB"/>
    <w:rsid w:val="065A3664"/>
    <w:rsid w:val="065D4EA0"/>
    <w:rsid w:val="06B07EC7"/>
    <w:rsid w:val="06B9722A"/>
    <w:rsid w:val="06D72F99"/>
    <w:rsid w:val="06F0708D"/>
    <w:rsid w:val="070A3B25"/>
    <w:rsid w:val="071C41F5"/>
    <w:rsid w:val="074505FD"/>
    <w:rsid w:val="07493CDF"/>
    <w:rsid w:val="075D7D60"/>
    <w:rsid w:val="076311BF"/>
    <w:rsid w:val="077C7393"/>
    <w:rsid w:val="078706DC"/>
    <w:rsid w:val="078B53F1"/>
    <w:rsid w:val="0792019A"/>
    <w:rsid w:val="07B418B0"/>
    <w:rsid w:val="07C457A0"/>
    <w:rsid w:val="07C73B46"/>
    <w:rsid w:val="07D52149"/>
    <w:rsid w:val="07DC393D"/>
    <w:rsid w:val="08026BED"/>
    <w:rsid w:val="0814475F"/>
    <w:rsid w:val="0816192B"/>
    <w:rsid w:val="085A2CB7"/>
    <w:rsid w:val="088C4F30"/>
    <w:rsid w:val="08907111"/>
    <w:rsid w:val="08C07A25"/>
    <w:rsid w:val="08C27A09"/>
    <w:rsid w:val="08E55039"/>
    <w:rsid w:val="08F92FC6"/>
    <w:rsid w:val="0906391B"/>
    <w:rsid w:val="0909318D"/>
    <w:rsid w:val="09615DFE"/>
    <w:rsid w:val="096B0379"/>
    <w:rsid w:val="09A40AEB"/>
    <w:rsid w:val="09AA7C34"/>
    <w:rsid w:val="09CE6041"/>
    <w:rsid w:val="09DC5A9B"/>
    <w:rsid w:val="09E9451C"/>
    <w:rsid w:val="0A2C2DC7"/>
    <w:rsid w:val="0A577F5C"/>
    <w:rsid w:val="0A6A14D2"/>
    <w:rsid w:val="0AAE031E"/>
    <w:rsid w:val="0AE35EAC"/>
    <w:rsid w:val="0B183ED6"/>
    <w:rsid w:val="0B347555"/>
    <w:rsid w:val="0B3C4C42"/>
    <w:rsid w:val="0B5A1986"/>
    <w:rsid w:val="0B69004A"/>
    <w:rsid w:val="0B947AFB"/>
    <w:rsid w:val="0BA97CF0"/>
    <w:rsid w:val="0BAC4FF1"/>
    <w:rsid w:val="0BC2172B"/>
    <w:rsid w:val="0BC85F14"/>
    <w:rsid w:val="0BE41363"/>
    <w:rsid w:val="0BEA5D72"/>
    <w:rsid w:val="0C3209E5"/>
    <w:rsid w:val="0C88699E"/>
    <w:rsid w:val="0CA45F2A"/>
    <w:rsid w:val="0CF705EB"/>
    <w:rsid w:val="0D04320A"/>
    <w:rsid w:val="0D346C35"/>
    <w:rsid w:val="0D4835FB"/>
    <w:rsid w:val="0D545E3C"/>
    <w:rsid w:val="0D6E7AB9"/>
    <w:rsid w:val="0D891A5B"/>
    <w:rsid w:val="0D906439"/>
    <w:rsid w:val="0D90725F"/>
    <w:rsid w:val="0DA02E5C"/>
    <w:rsid w:val="0DAD4AFF"/>
    <w:rsid w:val="0DED2E39"/>
    <w:rsid w:val="0DF4519A"/>
    <w:rsid w:val="0E2163B9"/>
    <w:rsid w:val="0E385D10"/>
    <w:rsid w:val="0E3E6BC6"/>
    <w:rsid w:val="0E790296"/>
    <w:rsid w:val="0E841818"/>
    <w:rsid w:val="0EC2545E"/>
    <w:rsid w:val="0EF27DE0"/>
    <w:rsid w:val="0EF36F85"/>
    <w:rsid w:val="0F1F4D1C"/>
    <w:rsid w:val="0F262781"/>
    <w:rsid w:val="0F3B79A1"/>
    <w:rsid w:val="0F860340"/>
    <w:rsid w:val="0F91491B"/>
    <w:rsid w:val="101F117E"/>
    <w:rsid w:val="10711467"/>
    <w:rsid w:val="10821FA0"/>
    <w:rsid w:val="10A828F0"/>
    <w:rsid w:val="10E662BD"/>
    <w:rsid w:val="11032DA9"/>
    <w:rsid w:val="11246674"/>
    <w:rsid w:val="113D1E2A"/>
    <w:rsid w:val="116E4396"/>
    <w:rsid w:val="117975EA"/>
    <w:rsid w:val="11863B4D"/>
    <w:rsid w:val="11B95246"/>
    <w:rsid w:val="11EA05E3"/>
    <w:rsid w:val="122056C7"/>
    <w:rsid w:val="12512C4E"/>
    <w:rsid w:val="126A0C24"/>
    <w:rsid w:val="126E45CC"/>
    <w:rsid w:val="12777B8F"/>
    <w:rsid w:val="12B64906"/>
    <w:rsid w:val="12BF5528"/>
    <w:rsid w:val="13405ABF"/>
    <w:rsid w:val="137911BD"/>
    <w:rsid w:val="138702E0"/>
    <w:rsid w:val="13BE7060"/>
    <w:rsid w:val="13D85203"/>
    <w:rsid w:val="13F325D9"/>
    <w:rsid w:val="140369F8"/>
    <w:rsid w:val="14093486"/>
    <w:rsid w:val="142A135C"/>
    <w:rsid w:val="146B1018"/>
    <w:rsid w:val="14824B0B"/>
    <w:rsid w:val="14C35F5D"/>
    <w:rsid w:val="14D12245"/>
    <w:rsid w:val="14D22949"/>
    <w:rsid w:val="15047D27"/>
    <w:rsid w:val="150F364D"/>
    <w:rsid w:val="15186DA2"/>
    <w:rsid w:val="151A1017"/>
    <w:rsid w:val="153F7896"/>
    <w:rsid w:val="15611FD8"/>
    <w:rsid w:val="15647C74"/>
    <w:rsid w:val="15842114"/>
    <w:rsid w:val="15AE46FE"/>
    <w:rsid w:val="15C108B3"/>
    <w:rsid w:val="15E117F3"/>
    <w:rsid w:val="15E94D21"/>
    <w:rsid w:val="15FB3574"/>
    <w:rsid w:val="16117A7F"/>
    <w:rsid w:val="16221433"/>
    <w:rsid w:val="164E6525"/>
    <w:rsid w:val="16873B87"/>
    <w:rsid w:val="169D371E"/>
    <w:rsid w:val="16AD7ED9"/>
    <w:rsid w:val="16CF7654"/>
    <w:rsid w:val="16E33319"/>
    <w:rsid w:val="17131FD6"/>
    <w:rsid w:val="1727728A"/>
    <w:rsid w:val="17724E69"/>
    <w:rsid w:val="178739F3"/>
    <w:rsid w:val="1793427B"/>
    <w:rsid w:val="17CB488D"/>
    <w:rsid w:val="17CB781E"/>
    <w:rsid w:val="17DC5B65"/>
    <w:rsid w:val="17E27274"/>
    <w:rsid w:val="182A0043"/>
    <w:rsid w:val="184B20EF"/>
    <w:rsid w:val="184D083A"/>
    <w:rsid w:val="184D4577"/>
    <w:rsid w:val="186B29A4"/>
    <w:rsid w:val="187262BB"/>
    <w:rsid w:val="1885012C"/>
    <w:rsid w:val="188C3829"/>
    <w:rsid w:val="18E04C77"/>
    <w:rsid w:val="18E1523E"/>
    <w:rsid w:val="18F022D0"/>
    <w:rsid w:val="1914720B"/>
    <w:rsid w:val="191F6F06"/>
    <w:rsid w:val="194A4289"/>
    <w:rsid w:val="19A35C22"/>
    <w:rsid w:val="19CA5678"/>
    <w:rsid w:val="19DF4836"/>
    <w:rsid w:val="1A0E5C9B"/>
    <w:rsid w:val="1A141B03"/>
    <w:rsid w:val="1A1D7F05"/>
    <w:rsid w:val="1A266BC5"/>
    <w:rsid w:val="1A34611E"/>
    <w:rsid w:val="1AA93011"/>
    <w:rsid w:val="1AB1031C"/>
    <w:rsid w:val="1AC373C0"/>
    <w:rsid w:val="1B160870"/>
    <w:rsid w:val="1B4B1AC5"/>
    <w:rsid w:val="1B4F76A0"/>
    <w:rsid w:val="1BA24045"/>
    <w:rsid w:val="1BAB21A8"/>
    <w:rsid w:val="1BD45D2C"/>
    <w:rsid w:val="1BEF2847"/>
    <w:rsid w:val="1C1C4524"/>
    <w:rsid w:val="1C20236B"/>
    <w:rsid w:val="1C3746DF"/>
    <w:rsid w:val="1C3A27E0"/>
    <w:rsid w:val="1C6B3D72"/>
    <w:rsid w:val="1C7C0056"/>
    <w:rsid w:val="1C906E4D"/>
    <w:rsid w:val="1CAC3ACF"/>
    <w:rsid w:val="1CD85B4D"/>
    <w:rsid w:val="1D091C8D"/>
    <w:rsid w:val="1D4245D9"/>
    <w:rsid w:val="1D4A7063"/>
    <w:rsid w:val="1D662F49"/>
    <w:rsid w:val="1DBB40B1"/>
    <w:rsid w:val="1DD53D74"/>
    <w:rsid w:val="1DD7797F"/>
    <w:rsid w:val="1DEE4F6D"/>
    <w:rsid w:val="1DF16DA3"/>
    <w:rsid w:val="1E1D17B5"/>
    <w:rsid w:val="1E372B89"/>
    <w:rsid w:val="1E493FE6"/>
    <w:rsid w:val="1E8F2DDE"/>
    <w:rsid w:val="1EA2099C"/>
    <w:rsid w:val="1EB3508A"/>
    <w:rsid w:val="1EE84B2F"/>
    <w:rsid w:val="1EF1706C"/>
    <w:rsid w:val="1EF77AB1"/>
    <w:rsid w:val="1EFC68F7"/>
    <w:rsid w:val="1F712173"/>
    <w:rsid w:val="1FB26F13"/>
    <w:rsid w:val="1FC07D58"/>
    <w:rsid w:val="1FC37605"/>
    <w:rsid w:val="1FCB37F1"/>
    <w:rsid w:val="1FD1234F"/>
    <w:rsid w:val="1FEA0313"/>
    <w:rsid w:val="1FEE5FDD"/>
    <w:rsid w:val="1FEF58A4"/>
    <w:rsid w:val="2028004B"/>
    <w:rsid w:val="205F5A44"/>
    <w:rsid w:val="207006F0"/>
    <w:rsid w:val="209540FD"/>
    <w:rsid w:val="20A85A41"/>
    <w:rsid w:val="20AD3576"/>
    <w:rsid w:val="20D16922"/>
    <w:rsid w:val="20ED26C7"/>
    <w:rsid w:val="20FA604C"/>
    <w:rsid w:val="213409DD"/>
    <w:rsid w:val="21935A00"/>
    <w:rsid w:val="21A8165C"/>
    <w:rsid w:val="21AB14A5"/>
    <w:rsid w:val="21AF51EF"/>
    <w:rsid w:val="21B16A61"/>
    <w:rsid w:val="21B21119"/>
    <w:rsid w:val="21EF31AA"/>
    <w:rsid w:val="21F21DB6"/>
    <w:rsid w:val="22121A20"/>
    <w:rsid w:val="22417705"/>
    <w:rsid w:val="227E2C5F"/>
    <w:rsid w:val="22864DEE"/>
    <w:rsid w:val="22887205"/>
    <w:rsid w:val="22943CD7"/>
    <w:rsid w:val="22BB6CFE"/>
    <w:rsid w:val="22D149CC"/>
    <w:rsid w:val="22F97CAF"/>
    <w:rsid w:val="23010066"/>
    <w:rsid w:val="23541AE3"/>
    <w:rsid w:val="23597958"/>
    <w:rsid w:val="23667278"/>
    <w:rsid w:val="239C0712"/>
    <w:rsid w:val="23BF788A"/>
    <w:rsid w:val="23C32A40"/>
    <w:rsid w:val="23C57AF1"/>
    <w:rsid w:val="24081E92"/>
    <w:rsid w:val="241E5EC8"/>
    <w:rsid w:val="244E0A70"/>
    <w:rsid w:val="248330FD"/>
    <w:rsid w:val="249A14BF"/>
    <w:rsid w:val="24E24FA7"/>
    <w:rsid w:val="24E52332"/>
    <w:rsid w:val="24E91832"/>
    <w:rsid w:val="24E97783"/>
    <w:rsid w:val="252B2B16"/>
    <w:rsid w:val="25523D96"/>
    <w:rsid w:val="255C4A09"/>
    <w:rsid w:val="258B39A0"/>
    <w:rsid w:val="25A7490B"/>
    <w:rsid w:val="25B83348"/>
    <w:rsid w:val="25BF27E6"/>
    <w:rsid w:val="261D52B6"/>
    <w:rsid w:val="26601364"/>
    <w:rsid w:val="266E0909"/>
    <w:rsid w:val="266E4766"/>
    <w:rsid w:val="26A137F9"/>
    <w:rsid w:val="26C4569A"/>
    <w:rsid w:val="26DC6118"/>
    <w:rsid w:val="26E82A1A"/>
    <w:rsid w:val="270D70BE"/>
    <w:rsid w:val="27167951"/>
    <w:rsid w:val="27431FB9"/>
    <w:rsid w:val="275840AB"/>
    <w:rsid w:val="27785E2C"/>
    <w:rsid w:val="27872A1E"/>
    <w:rsid w:val="278F25DD"/>
    <w:rsid w:val="279F5ED5"/>
    <w:rsid w:val="27BE70CB"/>
    <w:rsid w:val="27FB320A"/>
    <w:rsid w:val="28120424"/>
    <w:rsid w:val="281C3A3B"/>
    <w:rsid w:val="28240B74"/>
    <w:rsid w:val="28475419"/>
    <w:rsid w:val="28536BD2"/>
    <w:rsid w:val="286476AA"/>
    <w:rsid w:val="286B4391"/>
    <w:rsid w:val="286C28CF"/>
    <w:rsid w:val="287C7352"/>
    <w:rsid w:val="28844AD8"/>
    <w:rsid w:val="28B04FB0"/>
    <w:rsid w:val="28BC08FE"/>
    <w:rsid w:val="290B79FF"/>
    <w:rsid w:val="291B536E"/>
    <w:rsid w:val="29432252"/>
    <w:rsid w:val="294A19E3"/>
    <w:rsid w:val="29593B3E"/>
    <w:rsid w:val="296C0ECA"/>
    <w:rsid w:val="298F4B90"/>
    <w:rsid w:val="299B6FE9"/>
    <w:rsid w:val="29A6050E"/>
    <w:rsid w:val="29CE336C"/>
    <w:rsid w:val="29FA7271"/>
    <w:rsid w:val="2A4D4BCD"/>
    <w:rsid w:val="2A4F6CCE"/>
    <w:rsid w:val="2A5B1363"/>
    <w:rsid w:val="2AEE6307"/>
    <w:rsid w:val="2B34661B"/>
    <w:rsid w:val="2B375D7A"/>
    <w:rsid w:val="2B4331AB"/>
    <w:rsid w:val="2B705A2D"/>
    <w:rsid w:val="2BA10F33"/>
    <w:rsid w:val="2BC93786"/>
    <w:rsid w:val="2C1864E6"/>
    <w:rsid w:val="2C4252C2"/>
    <w:rsid w:val="2C8011EE"/>
    <w:rsid w:val="2D0A2382"/>
    <w:rsid w:val="2D1512DE"/>
    <w:rsid w:val="2D264D59"/>
    <w:rsid w:val="2D357439"/>
    <w:rsid w:val="2D7206C5"/>
    <w:rsid w:val="2D8D0184"/>
    <w:rsid w:val="2D8F06E1"/>
    <w:rsid w:val="2DC7077B"/>
    <w:rsid w:val="2DCB2362"/>
    <w:rsid w:val="2E0A468B"/>
    <w:rsid w:val="2E205E6B"/>
    <w:rsid w:val="2E446B40"/>
    <w:rsid w:val="2E4F59A0"/>
    <w:rsid w:val="2E5107E8"/>
    <w:rsid w:val="2EAE3E7A"/>
    <w:rsid w:val="2EB132D8"/>
    <w:rsid w:val="2EB56878"/>
    <w:rsid w:val="2EC445A2"/>
    <w:rsid w:val="2EF345D1"/>
    <w:rsid w:val="2EFF0F8B"/>
    <w:rsid w:val="2F031BBC"/>
    <w:rsid w:val="2F3C21C7"/>
    <w:rsid w:val="2F6C2B0C"/>
    <w:rsid w:val="2FB50523"/>
    <w:rsid w:val="2FBC20DF"/>
    <w:rsid w:val="2FD617EF"/>
    <w:rsid w:val="2FE26273"/>
    <w:rsid w:val="2FF1592F"/>
    <w:rsid w:val="301D2C8F"/>
    <w:rsid w:val="303C01A4"/>
    <w:rsid w:val="303C3B5B"/>
    <w:rsid w:val="30862C89"/>
    <w:rsid w:val="30BF41E6"/>
    <w:rsid w:val="31145C57"/>
    <w:rsid w:val="312435BA"/>
    <w:rsid w:val="314B3832"/>
    <w:rsid w:val="318A4418"/>
    <w:rsid w:val="318F50D4"/>
    <w:rsid w:val="31954E50"/>
    <w:rsid w:val="31D470F1"/>
    <w:rsid w:val="31FF607E"/>
    <w:rsid w:val="320527E1"/>
    <w:rsid w:val="324063AC"/>
    <w:rsid w:val="325708D1"/>
    <w:rsid w:val="325A27E0"/>
    <w:rsid w:val="329A7D93"/>
    <w:rsid w:val="32A841B4"/>
    <w:rsid w:val="32C94422"/>
    <w:rsid w:val="32C95410"/>
    <w:rsid w:val="32F14F00"/>
    <w:rsid w:val="330065D5"/>
    <w:rsid w:val="333B019B"/>
    <w:rsid w:val="335C2259"/>
    <w:rsid w:val="3375119E"/>
    <w:rsid w:val="33BB3EFA"/>
    <w:rsid w:val="33D96657"/>
    <w:rsid w:val="33EE5645"/>
    <w:rsid w:val="33EE77BF"/>
    <w:rsid w:val="33F156FA"/>
    <w:rsid w:val="341A234E"/>
    <w:rsid w:val="34205BD0"/>
    <w:rsid w:val="34337537"/>
    <w:rsid w:val="347E38B6"/>
    <w:rsid w:val="34946F7E"/>
    <w:rsid w:val="34DC4911"/>
    <w:rsid w:val="351B381E"/>
    <w:rsid w:val="3530435C"/>
    <w:rsid w:val="353A1F89"/>
    <w:rsid w:val="354649CF"/>
    <w:rsid w:val="354C5A6C"/>
    <w:rsid w:val="354D5282"/>
    <w:rsid w:val="35725826"/>
    <w:rsid w:val="35A80367"/>
    <w:rsid w:val="35C4599B"/>
    <w:rsid w:val="35DC05F8"/>
    <w:rsid w:val="35ED78EE"/>
    <w:rsid w:val="3635452E"/>
    <w:rsid w:val="36721F88"/>
    <w:rsid w:val="36882DCF"/>
    <w:rsid w:val="36A216E8"/>
    <w:rsid w:val="36A40309"/>
    <w:rsid w:val="36E1681B"/>
    <w:rsid w:val="36EE7787"/>
    <w:rsid w:val="36F06052"/>
    <w:rsid w:val="370D5858"/>
    <w:rsid w:val="3710497B"/>
    <w:rsid w:val="37535461"/>
    <w:rsid w:val="37650183"/>
    <w:rsid w:val="376A61BB"/>
    <w:rsid w:val="37833E5D"/>
    <w:rsid w:val="37A83370"/>
    <w:rsid w:val="37AA29AB"/>
    <w:rsid w:val="37C350B2"/>
    <w:rsid w:val="37F379BD"/>
    <w:rsid w:val="37F97E43"/>
    <w:rsid w:val="38022F7F"/>
    <w:rsid w:val="38144FF5"/>
    <w:rsid w:val="382D4C2C"/>
    <w:rsid w:val="3835018B"/>
    <w:rsid w:val="3836111A"/>
    <w:rsid w:val="384C725C"/>
    <w:rsid w:val="38672972"/>
    <w:rsid w:val="386B3783"/>
    <w:rsid w:val="38742AEC"/>
    <w:rsid w:val="387D7380"/>
    <w:rsid w:val="387E36AE"/>
    <w:rsid w:val="38A87B39"/>
    <w:rsid w:val="38B8456D"/>
    <w:rsid w:val="393A1CE4"/>
    <w:rsid w:val="39440C8D"/>
    <w:rsid w:val="39840966"/>
    <w:rsid w:val="398E03E9"/>
    <w:rsid w:val="3A124186"/>
    <w:rsid w:val="3A2E426A"/>
    <w:rsid w:val="3A7F5764"/>
    <w:rsid w:val="3A883046"/>
    <w:rsid w:val="3A994AC8"/>
    <w:rsid w:val="3AA3613F"/>
    <w:rsid w:val="3B202F50"/>
    <w:rsid w:val="3B251164"/>
    <w:rsid w:val="3B40425C"/>
    <w:rsid w:val="3B552EC1"/>
    <w:rsid w:val="3B9B07D3"/>
    <w:rsid w:val="3BAB17B4"/>
    <w:rsid w:val="3BF440F4"/>
    <w:rsid w:val="3C0223F0"/>
    <w:rsid w:val="3C274D0C"/>
    <w:rsid w:val="3C2F4B54"/>
    <w:rsid w:val="3C546D32"/>
    <w:rsid w:val="3C6229DB"/>
    <w:rsid w:val="3C6B0F3D"/>
    <w:rsid w:val="3C76553C"/>
    <w:rsid w:val="3C895FA2"/>
    <w:rsid w:val="3C962AA4"/>
    <w:rsid w:val="3C98732C"/>
    <w:rsid w:val="3CB2308A"/>
    <w:rsid w:val="3CB33684"/>
    <w:rsid w:val="3CC6338D"/>
    <w:rsid w:val="3CE56A82"/>
    <w:rsid w:val="3D2C72C0"/>
    <w:rsid w:val="3D4033E9"/>
    <w:rsid w:val="3D4757D0"/>
    <w:rsid w:val="3D48486F"/>
    <w:rsid w:val="3D6330D3"/>
    <w:rsid w:val="3D785CA3"/>
    <w:rsid w:val="3D801011"/>
    <w:rsid w:val="3D8540AB"/>
    <w:rsid w:val="3DA105E3"/>
    <w:rsid w:val="3DB21309"/>
    <w:rsid w:val="3DE20BDF"/>
    <w:rsid w:val="3DE729BF"/>
    <w:rsid w:val="3E0B0F61"/>
    <w:rsid w:val="3E44715C"/>
    <w:rsid w:val="3E4D6532"/>
    <w:rsid w:val="3E6945A2"/>
    <w:rsid w:val="3E7D0BDE"/>
    <w:rsid w:val="3E935660"/>
    <w:rsid w:val="3EA26D42"/>
    <w:rsid w:val="3EDE33A4"/>
    <w:rsid w:val="3EEE5976"/>
    <w:rsid w:val="3F027BC2"/>
    <w:rsid w:val="3F2662D2"/>
    <w:rsid w:val="3F3B50BD"/>
    <w:rsid w:val="3F3F43D7"/>
    <w:rsid w:val="3FB15E77"/>
    <w:rsid w:val="4004519E"/>
    <w:rsid w:val="4044287D"/>
    <w:rsid w:val="40483107"/>
    <w:rsid w:val="40540A3B"/>
    <w:rsid w:val="40707729"/>
    <w:rsid w:val="40763C1B"/>
    <w:rsid w:val="40797C66"/>
    <w:rsid w:val="40CE16E9"/>
    <w:rsid w:val="40D327EC"/>
    <w:rsid w:val="40E4361E"/>
    <w:rsid w:val="41333D33"/>
    <w:rsid w:val="41496F06"/>
    <w:rsid w:val="415A3E9A"/>
    <w:rsid w:val="415E63C5"/>
    <w:rsid w:val="41611CA3"/>
    <w:rsid w:val="41721D58"/>
    <w:rsid w:val="417C21C3"/>
    <w:rsid w:val="418121F5"/>
    <w:rsid w:val="41865466"/>
    <w:rsid w:val="41B67659"/>
    <w:rsid w:val="42007443"/>
    <w:rsid w:val="420D0F9E"/>
    <w:rsid w:val="421037B9"/>
    <w:rsid w:val="424F1040"/>
    <w:rsid w:val="425024F6"/>
    <w:rsid w:val="429D308D"/>
    <w:rsid w:val="42A24FF7"/>
    <w:rsid w:val="42C37180"/>
    <w:rsid w:val="42D062CD"/>
    <w:rsid w:val="42DE27F7"/>
    <w:rsid w:val="43346AA6"/>
    <w:rsid w:val="43381027"/>
    <w:rsid w:val="434A02AF"/>
    <w:rsid w:val="435A2E4E"/>
    <w:rsid w:val="435D2214"/>
    <w:rsid w:val="43866FE6"/>
    <w:rsid w:val="4388460A"/>
    <w:rsid w:val="438F4542"/>
    <w:rsid w:val="43B15523"/>
    <w:rsid w:val="43D66577"/>
    <w:rsid w:val="43FD0678"/>
    <w:rsid w:val="445E2307"/>
    <w:rsid w:val="44977EDB"/>
    <w:rsid w:val="44A869AB"/>
    <w:rsid w:val="44B20B27"/>
    <w:rsid w:val="44B55706"/>
    <w:rsid w:val="44DA3756"/>
    <w:rsid w:val="45056959"/>
    <w:rsid w:val="45135837"/>
    <w:rsid w:val="451655E5"/>
    <w:rsid w:val="45370E8C"/>
    <w:rsid w:val="453A5A53"/>
    <w:rsid w:val="454406F8"/>
    <w:rsid w:val="4579568D"/>
    <w:rsid w:val="457C1B59"/>
    <w:rsid w:val="45CF3E06"/>
    <w:rsid w:val="45EA6C66"/>
    <w:rsid w:val="45EC2767"/>
    <w:rsid w:val="46152792"/>
    <w:rsid w:val="46276C68"/>
    <w:rsid w:val="46317415"/>
    <w:rsid w:val="463E4B93"/>
    <w:rsid w:val="4664473C"/>
    <w:rsid w:val="468D1112"/>
    <w:rsid w:val="469F5C33"/>
    <w:rsid w:val="46C5352E"/>
    <w:rsid w:val="46CD4F5C"/>
    <w:rsid w:val="46DA788F"/>
    <w:rsid w:val="46E303FE"/>
    <w:rsid w:val="470000CA"/>
    <w:rsid w:val="470136FD"/>
    <w:rsid w:val="472A2963"/>
    <w:rsid w:val="472A4246"/>
    <w:rsid w:val="475518FA"/>
    <w:rsid w:val="47626204"/>
    <w:rsid w:val="47886F7C"/>
    <w:rsid w:val="478D6FE7"/>
    <w:rsid w:val="47947B2F"/>
    <w:rsid w:val="47A461DD"/>
    <w:rsid w:val="47C675EF"/>
    <w:rsid w:val="47D622DD"/>
    <w:rsid w:val="47D754E9"/>
    <w:rsid w:val="47EB541A"/>
    <w:rsid w:val="485A1678"/>
    <w:rsid w:val="48850837"/>
    <w:rsid w:val="48A3024D"/>
    <w:rsid w:val="48B07CDF"/>
    <w:rsid w:val="48D56FBA"/>
    <w:rsid w:val="48E663FD"/>
    <w:rsid w:val="48ED71AD"/>
    <w:rsid w:val="49033A97"/>
    <w:rsid w:val="49B74E15"/>
    <w:rsid w:val="49CE0CD8"/>
    <w:rsid w:val="49D02933"/>
    <w:rsid w:val="49D80ED6"/>
    <w:rsid w:val="49D85524"/>
    <w:rsid w:val="4A5C0AFC"/>
    <w:rsid w:val="4A5F0414"/>
    <w:rsid w:val="4A623E00"/>
    <w:rsid w:val="4A6E0973"/>
    <w:rsid w:val="4A78182C"/>
    <w:rsid w:val="4A9E3CCB"/>
    <w:rsid w:val="4AAD1F42"/>
    <w:rsid w:val="4B096F56"/>
    <w:rsid w:val="4B422A21"/>
    <w:rsid w:val="4B6A70ED"/>
    <w:rsid w:val="4B871FEA"/>
    <w:rsid w:val="4B8804D6"/>
    <w:rsid w:val="4B9E30D2"/>
    <w:rsid w:val="4BE7445A"/>
    <w:rsid w:val="4BEF5499"/>
    <w:rsid w:val="4C0015C7"/>
    <w:rsid w:val="4C550C1D"/>
    <w:rsid w:val="4C701966"/>
    <w:rsid w:val="4C827371"/>
    <w:rsid w:val="4C8B6164"/>
    <w:rsid w:val="4C8D20F7"/>
    <w:rsid w:val="4CB93BDD"/>
    <w:rsid w:val="4CCD4FD8"/>
    <w:rsid w:val="4CCE70E8"/>
    <w:rsid w:val="4D203EDF"/>
    <w:rsid w:val="4D310419"/>
    <w:rsid w:val="4D53211B"/>
    <w:rsid w:val="4D7F1180"/>
    <w:rsid w:val="4D8D6BBB"/>
    <w:rsid w:val="4DA9478B"/>
    <w:rsid w:val="4DB43F9D"/>
    <w:rsid w:val="4DBD6C5B"/>
    <w:rsid w:val="4E2A445C"/>
    <w:rsid w:val="4E3C1227"/>
    <w:rsid w:val="4E711E7B"/>
    <w:rsid w:val="4E9754BF"/>
    <w:rsid w:val="4EA542DD"/>
    <w:rsid w:val="4EAB17F1"/>
    <w:rsid w:val="4EC16C96"/>
    <w:rsid w:val="4ECC0D30"/>
    <w:rsid w:val="4EF37F41"/>
    <w:rsid w:val="4F034621"/>
    <w:rsid w:val="4F3C14D6"/>
    <w:rsid w:val="4F3E5D05"/>
    <w:rsid w:val="4F532F1D"/>
    <w:rsid w:val="4F6E656F"/>
    <w:rsid w:val="4FD000FD"/>
    <w:rsid w:val="4FE40AA8"/>
    <w:rsid w:val="502C3695"/>
    <w:rsid w:val="503A3961"/>
    <w:rsid w:val="5053651E"/>
    <w:rsid w:val="505A7A12"/>
    <w:rsid w:val="505D72EC"/>
    <w:rsid w:val="50BB1C4C"/>
    <w:rsid w:val="50D82CE2"/>
    <w:rsid w:val="50F668B0"/>
    <w:rsid w:val="51170283"/>
    <w:rsid w:val="511D3460"/>
    <w:rsid w:val="51381E97"/>
    <w:rsid w:val="514133F4"/>
    <w:rsid w:val="514F033B"/>
    <w:rsid w:val="5159765F"/>
    <w:rsid w:val="51810111"/>
    <w:rsid w:val="518E0CB1"/>
    <w:rsid w:val="51A81C8B"/>
    <w:rsid w:val="51D32FF8"/>
    <w:rsid w:val="51D718E9"/>
    <w:rsid w:val="51FA4CEC"/>
    <w:rsid w:val="52242626"/>
    <w:rsid w:val="522C23EA"/>
    <w:rsid w:val="522F4180"/>
    <w:rsid w:val="52524600"/>
    <w:rsid w:val="526475AB"/>
    <w:rsid w:val="5284117F"/>
    <w:rsid w:val="528E63B6"/>
    <w:rsid w:val="529158E7"/>
    <w:rsid w:val="52962C31"/>
    <w:rsid w:val="52AF2550"/>
    <w:rsid w:val="52B40E29"/>
    <w:rsid w:val="52DE2A39"/>
    <w:rsid w:val="52E81CB2"/>
    <w:rsid w:val="530124F2"/>
    <w:rsid w:val="530F17E7"/>
    <w:rsid w:val="53126C25"/>
    <w:rsid w:val="531732DB"/>
    <w:rsid w:val="538E32E7"/>
    <w:rsid w:val="53BB4752"/>
    <w:rsid w:val="53CF692B"/>
    <w:rsid w:val="53F768C7"/>
    <w:rsid w:val="5400393D"/>
    <w:rsid w:val="54040A02"/>
    <w:rsid w:val="541F7FA8"/>
    <w:rsid w:val="545C5507"/>
    <w:rsid w:val="546C2808"/>
    <w:rsid w:val="54C514D1"/>
    <w:rsid w:val="54DC2C82"/>
    <w:rsid w:val="552405A4"/>
    <w:rsid w:val="554D066B"/>
    <w:rsid w:val="555C6699"/>
    <w:rsid w:val="556148B0"/>
    <w:rsid w:val="55C533DD"/>
    <w:rsid w:val="56612D67"/>
    <w:rsid w:val="566338E1"/>
    <w:rsid w:val="567D3215"/>
    <w:rsid w:val="56C12B9C"/>
    <w:rsid w:val="56D72087"/>
    <w:rsid w:val="56DB7601"/>
    <w:rsid w:val="5715262A"/>
    <w:rsid w:val="571D20F5"/>
    <w:rsid w:val="572248AC"/>
    <w:rsid w:val="57390926"/>
    <w:rsid w:val="573E31AA"/>
    <w:rsid w:val="57545B64"/>
    <w:rsid w:val="57671E5A"/>
    <w:rsid w:val="57DA3415"/>
    <w:rsid w:val="5802613B"/>
    <w:rsid w:val="58101CFD"/>
    <w:rsid w:val="584A5C54"/>
    <w:rsid w:val="587367BD"/>
    <w:rsid w:val="58940BE2"/>
    <w:rsid w:val="58B53512"/>
    <w:rsid w:val="58BF3E8D"/>
    <w:rsid w:val="58F72EB5"/>
    <w:rsid w:val="592F2981"/>
    <w:rsid w:val="59361FCA"/>
    <w:rsid w:val="593F3FED"/>
    <w:rsid w:val="59612A54"/>
    <w:rsid w:val="597E1A34"/>
    <w:rsid w:val="599041FB"/>
    <w:rsid w:val="59CB639D"/>
    <w:rsid w:val="59D20119"/>
    <w:rsid w:val="5A26439D"/>
    <w:rsid w:val="5A5B74B2"/>
    <w:rsid w:val="5A6B7ADD"/>
    <w:rsid w:val="5AB22CAB"/>
    <w:rsid w:val="5AE4210C"/>
    <w:rsid w:val="5AF46872"/>
    <w:rsid w:val="5AF63BB9"/>
    <w:rsid w:val="5B184852"/>
    <w:rsid w:val="5B311CF2"/>
    <w:rsid w:val="5B563E6A"/>
    <w:rsid w:val="5B582EAB"/>
    <w:rsid w:val="5B7B70BB"/>
    <w:rsid w:val="5BA21593"/>
    <w:rsid w:val="5C1E62A8"/>
    <w:rsid w:val="5C213F80"/>
    <w:rsid w:val="5C3E2C52"/>
    <w:rsid w:val="5C695427"/>
    <w:rsid w:val="5C89128C"/>
    <w:rsid w:val="5CAD1A9D"/>
    <w:rsid w:val="5CC0734A"/>
    <w:rsid w:val="5CC1641F"/>
    <w:rsid w:val="5CCC5932"/>
    <w:rsid w:val="5CD474EE"/>
    <w:rsid w:val="5D76173F"/>
    <w:rsid w:val="5D8A2274"/>
    <w:rsid w:val="5D9459A1"/>
    <w:rsid w:val="5DE00D6E"/>
    <w:rsid w:val="5DE6332D"/>
    <w:rsid w:val="5E014490"/>
    <w:rsid w:val="5E637D49"/>
    <w:rsid w:val="5E985653"/>
    <w:rsid w:val="5E993FED"/>
    <w:rsid w:val="5E9D355C"/>
    <w:rsid w:val="5EA61BA3"/>
    <w:rsid w:val="5EC629E5"/>
    <w:rsid w:val="5ECB3A34"/>
    <w:rsid w:val="5F3B16E0"/>
    <w:rsid w:val="5F44535C"/>
    <w:rsid w:val="5F6B78F4"/>
    <w:rsid w:val="5F800213"/>
    <w:rsid w:val="5F830ADD"/>
    <w:rsid w:val="5F910D3B"/>
    <w:rsid w:val="5F9D6546"/>
    <w:rsid w:val="60001ADF"/>
    <w:rsid w:val="603A7CF1"/>
    <w:rsid w:val="606B48B1"/>
    <w:rsid w:val="60734D38"/>
    <w:rsid w:val="608F1214"/>
    <w:rsid w:val="6093541E"/>
    <w:rsid w:val="60A91631"/>
    <w:rsid w:val="60C47FA3"/>
    <w:rsid w:val="60C80E0D"/>
    <w:rsid w:val="60DC0305"/>
    <w:rsid w:val="60E470AD"/>
    <w:rsid w:val="61064EE8"/>
    <w:rsid w:val="61136E11"/>
    <w:rsid w:val="61382DD5"/>
    <w:rsid w:val="617910B8"/>
    <w:rsid w:val="61806942"/>
    <w:rsid w:val="61A14EBF"/>
    <w:rsid w:val="628A16C4"/>
    <w:rsid w:val="62E12FE9"/>
    <w:rsid w:val="62EC1529"/>
    <w:rsid w:val="62F91598"/>
    <w:rsid w:val="6302435F"/>
    <w:rsid w:val="631E2DB4"/>
    <w:rsid w:val="632B0FBE"/>
    <w:rsid w:val="63537544"/>
    <w:rsid w:val="637D7FCE"/>
    <w:rsid w:val="63B66146"/>
    <w:rsid w:val="63E916D9"/>
    <w:rsid w:val="64156E8F"/>
    <w:rsid w:val="64183119"/>
    <w:rsid w:val="642E2704"/>
    <w:rsid w:val="64597E31"/>
    <w:rsid w:val="6472075D"/>
    <w:rsid w:val="64835F6D"/>
    <w:rsid w:val="64BF0362"/>
    <w:rsid w:val="64F438AF"/>
    <w:rsid w:val="651010AD"/>
    <w:rsid w:val="654F59E6"/>
    <w:rsid w:val="65502BFA"/>
    <w:rsid w:val="659116E4"/>
    <w:rsid w:val="65CD787F"/>
    <w:rsid w:val="664D23B6"/>
    <w:rsid w:val="664F33EE"/>
    <w:rsid w:val="667020F9"/>
    <w:rsid w:val="667341BF"/>
    <w:rsid w:val="66952D5A"/>
    <w:rsid w:val="66A06BFF"/>
    <w:rsid w:val="66A7502B"/>
    <w:rsid w:val="66B7708F"/>
    <w:rsid w:val="66EA1002"/>
    <w:rsid w:val="670030A7"/>
    <w:rsid w:val="67137D4F"/>
    <w:rsid w:val="67166C85"/>
    <w:rsid w:val="672862FC"/>
    <w:rsid w:val="6734075C"/>
    <w:rsid w:val="67450314"/>
    <w:rsid w:val="675F67F0"/>
    <w:rsid w:val="677C6F61"/>
    <w:rsid w:val="678A17CF"/>
    <w:rsid w:val="678B4918"/>
    <w:rsid w:val="67A239F5"/>
    <w:rsid w:val="67F9114B"/>
    <w:rsid w:val="67FA5540"/>
    <w:rsid w:val="67FE41A7"/>
    <w:rsid w:val="680142D0"/>
    <w:rsid w:val="68015204"/>
    <w:rsid w:val="681109E4"/>
    <w:rsid w:val="683C3E4C"/>
    <w:rsid w:val="68F03F8B"/>
    <w:rsid w:val="68F04D92"/>
    <w:rsid w:val="691130EA"/>
    <w:rsid w:val="69613EFD"/>
    <w:rsid w:val="696B72C6"/>
    <w:rsid w:val="6976278F"/>
    <w:rsid w:val="69802A47"/>
    <w:rsid w:val="69930066"/>
    <w:rsid w:val="69B76DA8"/>
    <w:rsid w:val="69ED295B"/>
    <w:rsid w:val="69FF02D7"/>
    <w:rsid w:val="6A06440A"/>
    <w:rsid w:val="6A3D2F51"/>
    <w:rsid w:val="6A6529F3"/>
    <w:rsid w:val="6AB85C8B"/>
    <w:rsid w:val="6B150D22"/>
    <w:rsid w:val="6B2831C8"/>
    <w:rsid w:val="6B313115"/>
    <w:rsid w:val="6B32329F"/>
    <w:rsid w:val="6B4E64CC"/>
    <w:rsid w:val="6B534144"/>
    <w:rsid w:val="6B590C04"/>
    <w:rsid w:val="6B6A58AC"/>
    <w:rsid w:val="6B747153"/>
    <w:rsid w:val="6BAE267B"/>
    <w:rsid w:val="6BC47F3A"/>
    <w:rsid w:val="6BE74AF4"/>
    <w:rsid w:val="6C3D4E67"/>
    <w:rsid w:val="6C450326"/>
    <w:rsid w:val="6C4C0A7E"/>
    <w:rsid w:val="6C4C22E3"/>
    <w:rsid w:val="6C6D0398"/>
    <w:rsid w:val="6C840855"/>
    <w:rsid w:val="6C905D79"/>
    <w:rsid w:val="6CD82F55"/>
    <w:rsid w:val="6D05507A"/>
    <w:rsid w:val="6D523E62"/>
    <w:rsid w:val="6D6475C0"/>
    <w:rsid w:val="6D6E46F3"/>
    <w:rsid w:val="6D8130A7"/>
    <w:rsid w:val="6DBC0209"/>
    <w:rsid w:val="6DD72E11"/>
    <w:rsid w:val="6DEB03A1"/>
    <w:rsid w:val="6DF312AD"/>
    <w:rsid w:val="6E126B2A"/>
    <w:rsid w:val="6E2A5198"/>
    <w:rsid w:val="6E5B36DA"/>
    <w:rsid w:val="6E5F2FD7"/>
    <w:rsid w:val="6EC22FA9"/>
    <w:rsid w:val="6ED03839"/>
    <w:rsid w:val="6F240116"/>
    <w:rsid w:val="6F4E39AD"/>
    <w:rsid w:val="6F596E55"/>
    <w:rsid w:val="6F613B00"/>
    <w:rsid w:val="6F7170FE"/>
    <w:rsid w:val="6F824EA7"/>
    <w:rsid w:val="6F8E3CEF"/>
    <w:rsid w:val="6FAA52EC"/>
    <w:rsid w:val="6FD147F7"/>
    <w:rsid w:val="6FD35F2D"/>
    <w:rsid w:val="701E5A3C"/>
    <w:rsid w:val="70453892"/>
    <w:rsid w:val="704857D0"/>
    <w:rsid w:val="706C7BFE"/>
    <w:rsid w:val="70A02AFF"/>
    <w:rsid w:val="70CF7C2A"/>
    <w:rsid w:val="70D50188"/>
    <w:rsid w:val="710C6E1A"/>
    <w:rsid w:val="7140217F"/>
    <w:rsid w:val="71465F1D"/>
    <w:rsid w:val="71B00141"/>
    <w:rsid w:val="71B820EE"/>
    <w:rsid w:val="71BE6601"/>
    <w:rsid w:val="71CD6D72"/>
    <w:rsid w:val="71F2413D"/>
    <w:rsid w:val="720E65AC"/>
    <w:rsid w:val="72283DB2"/>
    <w:rsid w:val="72454D02"/>
    <w:rsid w:val="724F2FB7"/>
    <w:rsid w:val="7279312C"/>
    <w:rsid w:val="729938C3"/>
    <w:rsid w:val="72FD3B2C"/>
    <w:rsid w:val="73044883"/>
    <w:rsid w:val="730604C2"/>
    <w:rsid w:val="732575A1"/>
    <w:rsid w:val="733B7343"/>
    <w:rsid w:val="73433543"/>
    <w:rsid w:val="73C56CFF"/>
    <w:rsid w:val="73E21988"/>
    <w:rsid w:val="74561143"/>
    <w:rsid w:val="746B3549"/>
    <w:rsid w:val="746F7ADF"/>
    <w:rsid w:val="74C13A28"/>
    <w:rsid w:val="74C81314"/>
    <w:rsid w:val="74DA3693"/>
    <w:rsid w:val="74DA6643"/>
    <w:rsid w:val="74E71A07"/>
    <w:rsid w:val="74E946E7"/>
    <w:rsid w:val="74ED061F"/>
    <w:rsid w:val="74FE1236"/>
    <w:rsid w:val="74FE3405"/>
    <w:rsid w:val="753F478E"/>
    <w:rsid w:val="75410740"/>
    <w:rsid w:val="755977BC"/>
    <w:rsid w:val="75711A54"/>
    <w:rsid w:val="75902A3F"/>
    <w:rsid w:val="75C30244"/>
    <w:rsid w:val="75E46F36"/>
    <w:rsid w:val="75EB2D96"/>
    <w:rsid w:val="75F31DEC"/>
    <w:rsid w:val="761B5C5F"/>
    <w:rsid w:val="763B0605"/>
    <w:rsid w:val="76422CE1"/>
    <w:rsid w:val="76452F54"/>
    <w:rsid w:val="765F4AAA"/>
    <w:rsid w:val="76806202"/>
    <w:rsid w:val="768335DB"/>
    <w:rsid w:val="76A3556A"/>
    <w:rsid w:val="76BE5082"/>
    <w:rsid w:val="76E717B4"/>
    <w:rsid w:val="76EF0691"/>
    <w:rsid w:val="77055BC5"/>
    <w:rsid w:val="771345ED"/>
    <w:rsid w:val="771531DE"/>
    <w:rsid w:val="77180B48"/>
    <w:rsid w:val="77187C44"/>
    <w:rsid w:val="77276293"/>
    <w:rsid w:val="77E40FCA"/>
    <w:rsid w:val="782A7B72"/>
    <w:rsid w:val="78385FAC"/>
    <w:rsid w:val="783C2375"/>
    <w:rsid w:val="79181D7D"/>
    <w:rsid w:val="79370079"/>
    <w:rsid w:val="793C57CE"/>
    <w:rsid w:val="793C63F7"/>
    <w:rsid w:val="793D703B"/>
    <w:rsid w:val="794C784F"/>
    <w:rsid w:val="79891D40"/>
    <w:rsid w:val="799E149B"/>
    <w:rsid w:val="7A3457F0"/>
    <w:rsid w:val="7A432B04"/>
    <w:rsid w:val="7A55274D"/>
    <w:rsid w:val="7A8B15A7"/>
    <w:rsid w:val="7A8B5B28"/>
    <w:rsid w:val="7AC3356A"/>
    <w:rsid w:val="7B152780"/>
    <w:rsid w:val="7B173B57"/>
    <w:rsid w:val="7BD74270"/>
    <w:rsid w:val="7C160DDA"/>
    <w:rsid w:val="7C163AC7"/>
    <w:rsid w:val="7C237871"/>
    <w:rsid w:val="7C293037"/>
    <w:rsid w:val="7C347A7E"/>
    <w:rsid w:val="7C62266E"/>
    <w:rsid w:val="7C661BFA"/>
    <w:rsid w:val="7C860098"/>
    <w:rsid w:val="7CA9506D"/>
    <w:rsid w:val="7CD532BC"/>
    <w:rsid w:val="7CD97BA1"/>
    <w:rsid w:val="7CDD1D24"/>
    <w:rsid w:val="7CE65028"/>
    <w:rsid w:val="7D1D4F0F"/>
    <w:rsid w:val="7D43513E"/>
    <w:rsid w:val="7D5B727F"/>
    <w:rsid w:val="7D81485F"/>
    <w:rsid w:val="7D8D5C05"/>
    <w:rsid w:val="7DA04A28"/>
    <w:rsid w:val="7DA56196"/>
    <w:rsid w:val="7DAB79E4"/>
    <w:rsid w:val="7DB57C0C"/>
    <w:rsid w:val="7DBD0FB3"/>
    <w:rsid w:val="7DC54D53"/>
    <w:rsid w:val="7DC95C01"/>
    <w:rsid w:val="7DF80E1A"/>
    <w:rsid w:val="7E066142"/>
    <w:rsid w:val="7E4E526A"/>
    <w:rsid w:val="7E4F614E"/>
    <w:rsid w:val="7E572434"/>
    <w:rsid w:val="7E7C1377"/>
    <w:rsid w:val="7EB157D6"/>
    <w:rsid w:val="7EB63F83"/>
    <w:rsid w:val="7ED3149D"/>
    <w:rsid w:val="7ED457DA"/>
    <w:rsid w:val="7EF47ADC"/>
    <w:rsid w:val="7EFC4F7F"/>
    <w:rsid w:val="7F0F347D"/>
    <w:rsid w:val="7F270BF7"/>
    <w:rsid w:val="7F35585E"/>
    <w:rsid w:val="7F8E48E8"/>
    <w:rsid w:val="7FA37AA9"/>
    <w:rsid w:val="7FB54793"/>
    <w:rsid w:val="7FD07093"/>
    <w:rsid w:val="7FE33D17"/>
    <w:rsid w:val="7FF10E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0" w:name="toc 3" w:locked="1"/>
    <w:lsdException w:qFormat="1" w:unhideWhenUsed="0" w:uiPriority="0" w:name="toc 4" w:locked="1"/>
    <w:lsdException w:qFormat="1" w:unhideWhenUsed="0" w:uiPriority="0" w:name="toc 5" w:locked="1"/>
    <w:lsdException w:qFormat="1" w:unhideWhenUsed="0" w:uiPriority="0" w:name="toc 6" w:locked="1"/>
    <w:lsdException w:qFormat="1" w:unhideWhenUsed="0" w:uiPriority="0" w:name="toc 7" w:locked="1"/>
    <w:lsdException w:qFormat="1" w:unhideWhenUsed="0" w:uiPriority="0" w:name="toc 8" w:locked="1"/>
    <w:lsdException w:qFormat="1" w:unhideWhenUsed="0" w:uiPriority="0"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iPriority="99" w:semiHidden="0"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iPriority="99" w:semiHidden="0" w:name="HTML Keyboard" w:locked="1"/>
    <w:lsdException w:uiPriority="99" w:name="HTML Preformatted" w:locked="1"/>
    <w:lsdException w:qFormat="1" w:uiPriority="99" w:semiHidden="0" w:name="HTML Sample" w:locked="1"/>
    <w:lsdException w:uiPriority="99" w:name="HTML Typewriter" w:locked="1"/>
    <w:lsdException w:qFormat="1" w:unhideWhenUsed="0" w:uiPriority="99" w:semiHidden="0" w:name="HTML Variable"/>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qFormat="1" w:uiPriority="99" w:semiHidden="0"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6">
    <w:name w:val="heading 1"/>
    <w:basedOn w:val="1"/>
    <w:next w:val="1"/>
    <w:link w:val="53"/>
    <w:qFormat/>
    <w:uiPriority w:val="99"/>
    <w:pPr>
      <w:spacing w:line="360" w:lineRule="auto"/>
      <w:jc w:val="center"/>
      <w:outlineLvl w:val="0"/>
    </w:pPr>
    <w:rPr>
      <w:rFonts w:ascii="Calibri" w:hAnsi="Calibri" w:cs="Times New Roman"/>
      <w:b/>
      <w:bCs/>
      <w:kern w:val="44"/>
      <w:sz w:val="44"/>
      <w:szCs w:val="44"/>
    </w:rPr>
  </w:style>
  <w:style w:type="paragraph" w:styleId="7">
    <w:name w:val="heading 2"/>
    <w:basedOn w:val="1"/>
    <w:next w:val="1"/>
    <w:link w:val="54"/>
    <w:qFormat/>
    <w:uiPriority w:val="99"/>
    <w:pPr>
      <w:keepNext/>
      <w:keepLines/>
      <w:spacing w:before="260" w:after="260" w:line="415" w:lineRule="auto"/>
      <w:outlineLvl w:val="1"/>
    </w:pPr>
    <w:rPr>
      <w:rFonts w:ascii="Cambria" w:hAnsi="Cambria" w:cs="Times New Roman"/>
      <w:b/>
      <w:bCs/>
      <w:kern w:val="0"/>
      <w:sz w:val="32"/>
      <w:szCs w:val="32"/>
    </w:rPr>
  </w:style>
  <w:style w:type="paragraph" w:styleId="8">
    <w:name w:val="heading 3"/>
    <w:basedOn w:val="1"/>
    <w:next w:val="1"/>
    <w:link w:val="55"/>
    <w:qFormat/>
    <w:uiPriority w:val="99"/>
    <w:pPr>
      <w:keepNext/>
      <w:keepLines/>
      <w:spacing w:before="260" w:after="260" w:line="416" w:lineRule="auto"/>
      <w:outlineLvl w:val="2"/>
    </w:pPr>
    <w:rPr>
      <w:rFonts w:ascii="Calibri" w:hAnsi="Calibri" w:cs="Times New Roman"/>
      <w:b/>
      <w:bCs/>
      <w:kern w:val="0"/>
      <w:sz w:val="32"/>
      <w:szCs w:val="32"/>
    </w:rPr>
  </w:style>
  <w:style w:type="paragraph" w:styleId="9">
    <w:name w:val="heading 4"/>
    <w:basedOn w:val="1"/>
    <w:next w:val="1"/>
    <w:link w:val="56"/>
    <w:qFormat/>
    <w:uiPriority w:val="99"/>
    <w:pPr>
      <w:keepNext/>
      <w:keepLines/>
      <w:spacing w:before="280" w:after="290" w:line="374" w:lineRule="auto"/>
      <w:outlineLvl w:val="3"/>
    </w:pPr>
    <w:rPr>
      <w:rFonts w:ascii="Cambria" w:hAnsi="Cambria" w:cs="Times New Roman"/>
      <w:b/>
      <w:bCs/>
      <w:kern w:val="0"/>
      <w:sz w:val="28"/>
      <w:szCs w:val="28"/>
    </w:rPr>
  </w:style>
  <w:style w:type="paragraph" w:styleId="10">
    <w:name w:val="heading 5"/>
    <w:basedOn w:val="1"/>
    <w:next w:val="1"/>
    <w:qFormat/>
    <w:locked/>
    <w:uiPriority w:val="9"/>
    <w:pPr>
      <w:numPr>
        <w:ilvl w:val="4"/>
        <w:numId w:val="1"/>
      </w:numPr>
      <w:ind w:left="0" w:firstLine="0" w:firstLineChars="0"/>
      <w:outlineLvl w:val="4"/>
    </w:pPr>
    <w:rPr>
      <w:b/>
      <w:bCs/>
      <w:szCs w:val="28"/>
    </w:rPr>
  </w:style>
  <w:style w:type="character" w:default="1" w:styleId="38">
    <w:name w:val="Default Paragraph Font"/>
    <w:semiHidden/>
    <w:qFormat/>
    <w:uiPriority w:val="99"/>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4"/>
    <w:qFormat/>
    <w:locked/>
    <w:uiPriority w:val="0"/>
    <w:pPr>
      <w:spacing w:after="120" w:line="240" w:lineRule="auto"/>
      <w:ind w:firstLine="420"/>
    </w:pPr>
    <w:rPr>
      <w:sz w:val="21"/>
      <w:szCs w:val="24"/>
    </w:rPr>
  </w:style>
  <w:style w:type="paragraph" w:styleId="3">
    <w:name w:val="Body Text"/>
    <w:basedOn w:val="1"/>
    <w:next w:val="1"/>
    <w:link w:val="59"/>
    <w:qFormat/>
    <w:uiPriority w:val="99"/>
    <w:rPr>
      <w:rFonts w:ascii="Calibri" w:hAnsi="Calibri" w:cs="Times New Roman"/>
      <w:kern w:val="0"/>
    </w:rPr>
  </w:style>
  <w:style w:type="paragraph" w:styleId="4">
    <w:name w:val="Body Text First Indent 2"/>
    <w:basedOn w:val="5"/>
    <w:qFormat/>
    <w:locked/>
    <w:uiPriority w:val="0"/>
    <w:pPr>
      <w:spacing w:after="120" w:line="240" w:lineRule="auto"/>
      <w:ind w:left="420" w:firstLine="420"/>
    </w:pPr>
    <w:rPr>
      <w:sz w:val="21"/>
    </w:rPr>
  </w:style>
  <w:style w:type="paragraph" w:styleId="5">
    <w:name w:val="Body Text Indent"/>
    <w:basedOn w:val="1"/>
    <w:qFormat/>
    <w:locked/>
    <w:uiPriority w:val="0"/>
    <w:pPr>
      <w:spacing w:line="360" w:lineRule="auto"/>
      <w:ind w:firstLine="570"/>
    </w:pPr>
  </w:style>
  <w:style w:type="paragraph" w:styleId="11">
    <w:name w:val="toc 7"/>
    <w:basedOn w:val="1"/>
    <w:next w:val="1"/>
    <w:semiHidden/>
    <w:qFormat/>
    <w:locked/>
    <w:uiPriority w:val="0"/>
    <w:pPr>
      <w:ind w:left="1260"/>
      <w:jc w:val="left"/>
    </w:pPr>
    <w:rPr>
      <w:rFonts w:ascii="Times New Roman" w:hAnsi="Times New Roman" w:cs="Times New Roman"/>
      <w:sz w:val="18"/>
      <w:szCs w:val="18"/>
    </w:rPr>
  </w:style>
  <w:style w:type="paragraph" w:styleId="12">
    <w:name w:val="Normal Indent"/>
    <w:basedOn w:val="1"/>
    <w:qFormat/>
    <w:uiPriority w:val="99"/>
    <w:pPr>
      <w:ind w:firstLine="200" w:firstLineChars="200"/>
    </w:pPr>
  </w:style>
  <w:style w:type="paragraph" w:styleId="13">
    <w:name w:val="caption"/>
    <w:basedOn w:val="1"/>
    <w:next w:val="1"/>
    <w:qFormat/>
    <w:uiPriority w:val="99"/>
    <w:rPr>
      <w:rFonts w:ascii="Arial" w:hAnsi="Arial" w:eastAsia="黑体" w:cs="Arial"/>
      <w:sz w:val="20"/>
      <w:szCs w:val="20"/>
    </w:rPr>
  </w:style>
  <w:style w:type="paragraph" w:styleId="14">
    <w:name w:val="List Bullet"/>
    <w:basedOn w:val="1"/>
    <w:unhideWhenUsed/>
    <w:qFormat/>
    <w:locked/>
    <w:uiPriority w:val="99"/>
    <w:pPr>
      <w:numPr>
        <w:ilvl w:val="0"/>
        <w:numId w:val="2"/>
      </w:numPr>
    </w:pPr>
  </w:style>
  <w:style w:type="paragraph" w:styleId="15">
    <w:name w:val="annotation text"/>
    <w:basedOn w:val="1"/>
    <w:link w:val="57"/>
    <w:semiHidden/>
    <w:qFormat/>
    <w:uiPriority w:val="99"/>
    <w:pPr>
      <w:jc w:val="left"/>
    </w:pPr>
    <w:rPr>
      <w:rFonts w:ascii="Calibri" w:hAnsi="Calibri" w:cs="Times New Roman"/>
      <w:kern w:val="0"/>
    </w:rPr>
  </w:style>
  <w:style w:type="paragraph" w:styleId="16">
    <w:name w:val="Body Text 3"/>
    <w:basedOn w:val="1"/>
    <w:link w:val="58"/>
    <w:qFormat/>
    <w:uiPriority w:val="99"/>
    <w:pPr>
      <w:spacing w:after="120"/>
    </w:pPr>
    <w:rPr>
      <w:rFonts w:ascii="Calibri" w:hAnsi="Calibri" w:cs="Times New Roman"/>
      <w:kern w:val="0"/>
      <w:sz w:val="16"/>
      <w:szCs w:val="16"/>
    </w:rPr>
  </w:style>
  <w:style w:type="paragraph" w:styleId="17">
    <w:name w:val="toc 5"/>
    <w:basedOn w:val="1"/>
    <w:next w:val="1"/>
    <w:semiHidden/>
    <w:qFormat/>
    <w:locked/>
    <w:uiPriority w:val="0"/>
    <w:pPr>
      <w:ind w:left="840"/>
      <w:jc w:val="left"/>
    </w:pPr>
    <w:rPr>
      <w:rFonts w:ascii="Times New Roman" w:hAnsi="Times New Roman" w:cs="Times New Roman"/>
      <w:sz w:val="18"/>
      <w:szCs w:val="18"/>
    </w:rPr>
  </w:style>
  <w:style w:type="paragraph" w:styleId="18">
    <w:name w:val="toc 3"/>
    <w:basedOn w:val="1"/>
    <w:next w:val="1"/>
    <w:semiHidden/>
    <w:qFormat/>
    <w:locked/>
    <w:uiPriority w:val="0"/>
    <w:pPr>
      <w:ind w:left="420"/>
      <w:jc w:val="left"/>
    </w:pPr>
    <w:rPr>
      <w:rFonts w:ascii="Times New Roman" w:hAnsi="Times New Roman" w:cs="Times New Roman"/>
      <w:i/>
      <w:iCs/>
      <w:sz w:val="20"/>
      <w:szCs w:val="20"/>
    </w:rPr>
  </w:style>
  <w:style w:type="paragraph" w:styleId="19">
    <w:name w:val="Plain Text"/>
    <w:basedOn w:val="1"/>
    <w:link w:val="60"/>
    <w:qFormat/>
    <w:uiPriority w:val="99"/>
    <w:rPr>
      <w:rFonts w:ascii="宋体" w:hAnsi="Courier New" w:cs="Times New Roman"/>
      <w:kern w:val="0"/>
    </w:rPr>
  </w:style>
  <w:style w:type="paragraph" w:styleId="20">
    <w:name w:val="toc 8"/>
    <w:basedOn w:val="1"/>
    <w:next w:val="1"/>
    <w:semiHidden/>
    <w:qFormat/>
    <w:locked/>
    <w:uiPriority w:val="0"/>
    <w:pPr>
      <w:ind w:left="1470"/>
      <w:jc w:val="left"/>
    </w:pPr>
    <w:rPr>
      <w:rFonts w:ascii="Times New Roman" w:hAnsi="Times New Roman" w:cs="Times New Roman"/>
      <w:sz w:val="18"/>
      <w:szCs w:val="18"/>
    </w:rPr>
  </w:style>
  <w:style w:type="paragraph" w:styleId="21">
    <w:name w:val="Date"/>
    <w:basedOn w:val="1"/>
    <w:next w:val="1"/>
    <w:qFormat/>
    <w:locked/>
    <w:uiPriority w:val="0"/>
    <w:pPr>
      <w:widowControl w:val="0"/>
      <w:autoSpaceDE w:val="0"/>
      <w:autoSpaceDN w:val="0"/>
      <w:adjustRightInd w:val="0"/>
      <w:jc w:val="both"/>
      <w:textAlignment w:val="baseline"/>
    </w:pPr>
    <w:rPr>
      <w:rFonts w:ascii="宋体"/>
      <w:sz w:val="28"/>
    </w:rPr>
  </w:style>
  <w:style w:type="paragraph" w:styleId="22">
    <w:name w:val="Body Text Indent 2"/>
    <w:basedOn w:val="1"/>
    <w:qFormat/>
    <w:locked/>
    <w:uiPriority w:val="0"/>
    <w:pPr>
      <w:spacing w:line="560" w:lineRule="exact"/>
      <w:ind w:firstLine="560"/>
    </w:pPr>
    <w:rPr>
      <w:rFonts w:ascii="仿宋_GB2312" w:hAnsi="宋体" w:eastAsia="仿宋_GB2312"/>
      <w:color w:val="000000"/>
      <w:sz w:val="28"/>
    </w:rPr>
  </w:style>
  <w:style w:type="paragraph" w:styleId="23">
    <w:name w:val="Balloon Text"/>
    <w:basedOn w:val="1"/>
    <w:link w:val="61"/>
    <w:semiHidden/>
    <w:qFormat/>
    <w:uiPriority w:val="99"/>
    <w:rPr>
      <w:rFonts w:ascii="Calibri" w:hAnsi="Calibri" w:cs="Times New Roman"/>
      <w:sz w:val="18"/>
      <w:szCs w:val="18"/>
    </w:rPr>
  </w:style>
  <w:style w:type="paragraph" w:styleId="24">
    <w:name w:val="footer"/>
    <w:basedOn w:val="1"/>
    <w:link w:val="62"/>
    <w:qFormat/>
    <w:uiPriority w:val="99"/>
    <w:pPr>
      <w:tabs>
        <w:tab w:val="center" w:pos="4153"/>
        <w:tab w:val="right" w:pos="8306"/>
      </w:tabs>
      <w:snapToGrid w:val="0"/>
      <w:jc w:val="left"/>
    </w:pPr>
    <w:rPr>
      <w:rFonts w:ascii="Calibri" w:hAnsi="Calibri" w:cs="Times New Roman"/>
      <w:kern w:val="0"/>
      <w:sz w:val="18"/>
      <w:szCs w:val="18"/>
    </w:rPr>
  </w:style>
  <w:style w:type="paragraph" w:styleId="25">
    <w:name w:val="header"/>
    <w:basedOn w:val="1"/>
    <w:link w:val="63"/>
    <w:qFormat/>
    <w:uiPriority w:val="99"/>
    <w:pPr>
      <w:pBdr>
        <w:bottom w:val="single" w:color="auto" w:sz="6" w:space="1"/>
      </w:pBdr>
      <w:tabs>
        <w:tab w:val="center" w:pos="4153"/>
        <w:tab w:val="right" w:pos="8306"/>
      </w:tabs>
      <w:snapToGrid w:val="0"/>
      <w:jc w:val="center"/>
    </w:pPr>
    <w:rPr>
      <w:rFonts w:ascii="Calibri" w:hAnsi="Calibri" w:cs="Times New Roman"/>
      <w:kern w:val="0"/>
      <w:sz w:val="18"/>
      <w:szCs w:val="18"/>
    </w:rPr>
  </w:style>
  <w:style w:type="paragraph" w:styleId="26">
    <w:name w:val="toc 1"/>
    <w:basedOn w:val="1"/>
    <w:next w:val="1"/>
    <w:semiHidden/>
    <w:qFormat/>
    <w:uiPriority w:val="99"/>
    <w:pPr>
      <w:tabs>
        <w:tab w:val="right" w:leader="dot" w:pos="9742"/>
      </w:tabs>
      <w:spacing w:before="120" w:after="120"/>
      <w:jc w:val="left"/>
    </w:pPr>
    <w:rPr>
      <w:rFonts w:ascii="黑体" w:hAnsi="黑体" w:cs="黑体"/>
      <w:b/>
      <w:bCs/>
      <w:caps/>
      <w:sz w:val="24"/>
      <w:szCs w:val="24"/>
    </w:rPr>
  </w:style>
  <w:style w:type="paragraph" w:styleId="27">
    <w:name w:val="toc 4"/>
    <w:basedOn w:val="1"/>
    <w:next w:val="1"/>
    <w:semiHidden/>
    <w:qFormat/>
    <w:locked/>
    <w:uiPriority w:val="0"/>
    <w:pPr>
      <w:ind w:left="630"/>
      <w:jc w:val="left"/>
    </w:pPr>
    <w:rPr>
      <w:rFonts w:ascii="Times New Roman" w:hAnsi="Times New Roman" w:cs="Times New Roman"/>
      <w:sz w:val="18"/>
      <w:szCs w:val="18"/>
    </w:rPr>
  </w:style>
  <w:style w:type="paragraph" w:styleId="28">
    <w:name w:val="index heading"/>
    <w:basedOn w:val="1"/>
    <w:next w:val="29"/>
    <w:semiHidden/>
    <w:qFormat/>
    <w:uiPriority w:val="99"/>
    <w:rPr>
      <w:rFonts w:ascii="Times New Roman" w:hAnsi="Times New Roman" w:cs="Times New Roman"/>
    </w:rPr>
  </w:style>
  <w:style w:type="paragraph" w:styleId="29">
    <w:name w:val="index 1"/>
    <w:basedOn w:val="1"/>
    <w:next w:val="1"/>
    <w:semiHidden/>
    <w:qFormat/>
    <w:uiPriority w:val="99"/>
    <w:pPr>
      <w:tabs>
        <w:tab w:val="left" w:pos="7740"/>
      </w:tabs>
      <w:jc w:val="center"/>
    </w:pPr>
    <w:rPr>
      <w:rFonts w:ascii="仿宋" w:hAnsi="仿宋" w:eastAsia="仿宋" w:cs="仿宋"/>
      <w:b/>
      <w:bCs/>
      <w:sz w:val="28"/>
      <w:szCs w:val="28"/>
    </w:rPr>
  </w:style>
  <w:style w:type="paragraph" w:styleId="30">
    <w:name w:val="toc 6"/>
    <w:basedOn w:val="1"/>
    <w:next w:val="1"/>
    <w:semiHidden/>
    <w:qFormat/>
    <w:locked/>
    <w:uiPriority w:val="0"/>
    <w:pPr>
      <w:ind w:left="1050"/>
      <w:jc w:val="left"/>
    </w:pPr>
    <w:rPr>
      <w:rFonts w:ascii="Times New Roman" w:hAnsi="Times New Roman" w:cs="Times New Roman"/>
      <w:sz w:val="18"/>
      <w:szCs w:val="18"/>
    </w:rPr>
  </w:style>
  <w:style w:type="paragraph" w:styleId="31">
    <w:name w:val="toc 2"/>
    <w:basedOn w:val="1"/>
    <w:next w:val="1"/>
    <w:semiHidden/>
    <w:qFormat/>
    <w:uiPriority w:val="99"/>
    <w:pPr>
      <w:ind w:left="210"/>
      <w:jc w:val="left"/>
    </w:pPr>
    <w:rPr>
      <w:rFonts w:ascii="Times New Roman" w:hAnsi="Times New Roman" w:cs="Times New Roman"/>
      <w:smallCaps/>
      <w:sz w:val="20"/>
      <w:szCs w:val="20"/>
    </w:rPr>
  </w:style>
  <w:style w:type="paragraph" w:styleId="32">
    <w:name w:val="toc 9"/>
    <w:basedOn w:val="1"/>
    <w:next w:val="1"/>
    <w:semiHidden/>
    <w:qFormat/>
    <w:locked/>
    <w:uiPriority w:val="0"/>
    <w:pPr>
      <w:ind w:left="1680"/>
      <w:jc w:val="left"/>
    </w:pPr>
    <w:rPr>
      <w:rFonts w:ascii="Times New Roman" w:hAnsi="Times New Roman" w:cs="Times New Roman"/>
      <w:sz w:val="18"/>
      <w:szCs w:val="18"/>
    </w:rPr>
  </w:style>
  <w:style w:type="paragraph" w:styleId="33">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34">
    <w:name w:val="annotation subject"/>
    <w:basedOn w:val="15"/>
    <w:next w:val="15"/>
    <w:link w:val="64"/>
    <w:semiHidden/>
    <w:qFormat/>
    <w:uiPriority w:val="99"/>
    <w:rPr>
      <w:rFonts w:ascii="Calibri" w:hAnsi="Calibri"/>
      <w:b/>
      <w:bCs/>
    </w:rPr>
  </w:style>
  <w:style w:type="table" w:styleId="36">
    <w:name w:val="Table Grid"/>
    <w:basedOn w:val="3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7">
    <w:name w:val="Table Professional"/>
    <w:basedOn w:val="35"/>
    <w:unhideWhenUsed/>
    <w:qFormat/>
    <w:locked/>
    <w:uiPriority w:val="99"/>
    <w:pPr>
      <w:widowControl w:val="0"/>
      <w:autoSpaceDE w:val="0"/>
      <w:autoSpaceDN w:val="0"/>
      <w:adjustRightInd w:val="0"/>
      <w:spacing w:line="36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9">
    <w:name w:val="Strong"/>
    <w:qFormat/>
    <w:uiPriority w:val="99"/>
    <w:rPr>
      <w:rFonts w:ascii="Tahoma" w:hAnsi="Tahoma" w:eastAsia="宋体" w:cs="Tahoma"/>
      <w:b/>
      <w:bCs/>
      <w:spacing w:val="10"/>
      <w:sz w:val="24"/>
      <w:szCs w:val="24"/>
      <w:lang w:val="en-US" w:eastAsia="zh-CN"/>
    </w:rPr>
  </w:style>
  <w:style w:type="character" w:styleId="40">
    <w:name w:val="page number"/>
    <w:basedOn w:val="38"/>
    <w:qFormat/>
    <w:locked/>
    <w:uiPriority w:val="0"/>
  </w:style>
  <w:style w:type="character" w:styleId="41">
    <w:name w:val="FollowedHyperlink"/>
    <w:qFormat/>
    <w:uiPriority w:val="99"/>
    <w:rPr>
      <w:color w:val="auto"/>
      <w:u w:val="none"/>
    </w:rPr>
  </w:style>
  <w:style w:type="character" w:styleId="42">
    <w:name w:val="Emphasis"/>
    <w:qFormat/>
    <w:uiPriority w:val="20"/>
    <w:rPr>
      <w:color w:val="auto"/>
      <w:u w:val="none"/>
    </w:rPr>
  </w:style>
  <w:style w:type="character" w:styleId="43">
    <w:name w:val="HTML Definition"/>
    <w:basedOn w:val="38"/>
    <w:qFormat/>
    <w:uiPriority w:val="99"/>
  </w:style>
  <w:style w:type="character" w:styleId="44">
    <w:name w:val="HTML Acronym"/>
    <w:basedOn w:val="38"/>
    <w:qFormat/>
    <w:uiPriority w:val="99"/>
  </w:style>
  <w:style w:type="character" w:styleId="45">
    <w:name w:val="HTML Variable"/>
    <w:basedOn w:val="38"/>
    <w:qFormat/>
    <w:uiPriority w:val="99"/>
  </w:style>
  <w:style w:type="character" w:styleId="46">
    <w:name w:val="Hyperlink"/>
    <w:qFormat/>
    <w:uiPriority w:val="99"/>
    <w:rPr>
      <w:color w:val="333333"/>
      <w:u w:val="none"/>
    </w:rPr>
  </w:style>
  <w:style w:type="character" w:styleId="47">
    <w:name w:val="HTML Code"/>
    <w:qFormat/>
    <w:uiPriority w:val="99"/>
    <w:rPr>
      <w:rFonts w:ascii="Courier New" w:hAnsi="Courier New" w:cs="Courier New"/>
      <w:sz w:val="20"/>
      <w:szCs w:val="20"/>
    </w:rPr>
  </w:style>
  <w:style w:type="character" w:styleId="48">
    <w:name w:val="annotation reference"/>
    <w:semiHidden/>
    <w:qFormat/>
    <w:uiPriority w:val="99"/>
    <w:rPr>
      <w:sz w:val="21"/>
      <w:szCs w:val="21"/>
    </w:rPr>
  </w:style>
  <w:style w:type="character" w:styleId="49">
    <w:name w:val="HTML Cite"/>
    <w:basedOn w:val="38"/>
    <w:qFormat/>
    <w:uiPriority w:val="99"/>
  </w:style>
  <w:style w:type="character" w:styleId="50">
    <w:name w:val="HTML Keyboard"/>
    <w:unhideWhenUsed/>
    <w:qFormat/>
    <w:locked/>
    <w:uiPriority w:val="99"/>
    <w:rPr>
      <w:rFonts w:hint="default" w:ascii="Menlo" w:hAnsi="Menlo" w:eastAsia="Menlo" w:cs="Menlo"/>
      <w:color w:val="FFFFFF"/>
      <w:sz w:val="21"/>
      <w:szCs w:val="21"/>
      <w:shd w:val="clear" w:color="auto" w:fill="333333"/>
    </w:rPr>
  </w:style>
  <w:style w:type="character" w:styleId="51">
    <w:name w:val="HTML Sample"/>
    <w:unhideWhenUsed/>
    <w:qFormat/>
    <w:locked/>
    <w:uiPriority w:val="99"/>
    <w:rPr>
      <w:rFonts w:hint="default" w:ascii="Menlo" w:hAnsi="Menlo" w:eastAsia="Menlo" w:cs="Menlo"/>
      <w:sz w:val="21"/>
      <w:szCs w:val="21"/>
    </w:rPr>
  </w:style>
  <w:style w:type="paragraph" w:customStyle="1" w:styleId="5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标题 1 Char1"/>
    <w:link w:val="6"/>
    <w:qFormat/>
    <w:locked/>
    <w:uiPriority w:val="99"/>
    <w:rPr>
      <w:rFonts w:ascii="Calibri" w:hAnsi="Calibri" w:cs="Calibri"/>
      <w:b/>
      <w:bCs/>
      <w:kern w:val="44"/>
      <w:sz w:val="44"/>
      <w:szCs w:val="44"/>
    </w:rPr>
  </w:style>
  <w:style w:type="character" w:customStyle="1" w:styleId="54">
    <w:name w:val="标题 2 Char"/>
    <w:link w:val="7"/>
    <w:semiHidden/>
    <w:qFormat/>
    <w:locked/>
    <w:uiPriority w:val="99"/>
    <w:rPr>
      <w:rFonts w:ascii="Cambria" w:hAnsi="Cambria" w:eastAsia="宋体" w:cs="Cambria"/>
      <w:b/>
      <w:bCs/>
      <w:sz w:val="32"/>
      <w:szCs w:val="32"/>
    </w:rPr>
  </w:style>
  <w:style w:type="character" w:customStyle="1" w:styleId="55">
    <w:name w:val="标题 3 Char"/>
    <w:link w:val="8"/>
    <w:semiHidden/>
    <w:qFormat/>
    <w:locked/>
    <w:uiPriority w:val="99"/>
    <w:rPr>
      <w:rFonts w:ascii="Calibri" w:hAnsi="Calibri" w:cs="Calibri"/>
      <w:b/>
      <w:bCs/>
      <w:sz w:val="32"/>
      <w:szCs w:val="32"/>
    </w:rPr>
  </w:style>
  <w:style w:type="character" w:customStyle="1" w:styleId="56">
    <w:name w:val="标题 4 Char"/>
    <w:link w:val="9"/>
    <w:semiHidden/>
    <w:qFormat/>
    <w:locked/>
    <w:uiPriority w:val="99"/>
    <w:rPr>
      <w:rFonts w:ascii="Cambria" w:hAnsi="Cambria" w:eastAsia="宋体" w:cs="Cambria"/>
      <w:b/>
      <w:bCs/>
      <w:sz w:val="28"/>
      <w:szCs w:val="28"/>
    </w:rPr>
  </w:style>
  <w:style w:type="character" w:customStyle="1" w:styleId="57">
    <w:name w:val="批注文字 Char"/>
    <w:link w:val="15"/>
    <w:semiHidden/>
    <w:qFormat/>
    <w:locked/>
    <w:uiPriority w:val="99"/>
    <w:rPr>
      <w:rFonts w:ascii="Calibri" w:hAnsi="Calibri" w:cs="Calibri"/>
      <w:sz w:val="21"/>
      <w:szCs w:val="21"/>
    </w:rPr>
  </w:style>
  <w:style w:type="character" w:customStyle="1" w:styleId="58">
    <w:name w:val="正文文本 3 Char"/>
    <w:link w:val="16"/>
    <w:semiHidden/>
    <w:qFormat/>
    <w:locked/>
    <w:uiPriority w:val="99"/>
    <w:rPr>
      <w:rFonts w:ascii="Calibri" w:hAnsi="Calibri" w:cs="Calibri"/>
      <w:sz w:val="16"/>
      <w:szCs w:val="16"/>
    </w:rPr>
  </w:style>
  <w:style w:type="character" w:customStyle="1" w:styleId="59">
    <w:name w:val="正文文本 Char"/>
    <w:link w:val="3"/>
    <w:semiHidden/>
    <w:qFormat/>
    <w:locked/>
    <w:uiPriority w:val="99"/>
    <w:rPr>
      <w:rFonts w:ascii="Calibri" w:hAnsi="Calibri" w:cs="Calibri"/>
      <w:sz w:val="21"/>
      <w:szCs w:val="21"/>
    </w:rPr>
  </w:style>
  <w:style w:type="character" w:customStyle="1" w:styleId="60">
    <w:name w:val="纯文本 Char"/>
    <w:link w:val="19"/>
    <w:semiHidden/>
    <w:qFormat/>
    <w:locked/>
    <w:uiPriority w:val="99"/>
    <w:rPr>
      <w:rFonts w:ascii="宋体" w:hAnsi="Courier New" w:cs="宋体"/>
      <w:sz w:val="21"/>
      <w:szCs w:val="21"/>
    </w:rPr>
  </w:style>
  <w:style w:type="character" w:customStyle="1" w:styleId="61">
    <w:name w:val="批注框文本 Char"/>
    <w:link w:val="23"/>
    <w:qFormat/>
    <w:locked/>
    <w:uiPriority w:val="99"/>
    <w:rPr>
      <w:rFonts w:ascii="Calibri" w:hAnsi="Calibri" w:eastAsia="宋体" w:cs="Calibri"/>
      <w:kern w:val="2"/>
      <w:sz w:val="18"/>
      <w:szCs w:val="18"/>
    </w:rPr>
  </w:style>
  <w:style w:type="character" w:customStyle="1" w:styleId="62">
    <w:name w:val="页脚 Char"/>
    <w:link w:val="24"/>
    <w:semiHidden/>
    <w:qFormat/>
    <w:locked/>
    <w:uiPriority w:val="99"/>
    <w:rPr>
      <w:rFonts w:ascii="Calibri" w:hAnsi="Calibri" w:cs="Calibri"/>
      <w:sz w:val="18"/>
      <w:szCs w:val="18"/>
    </w:rPr>
  </w:style>
  <w:style w:type="character" w:customStyle="1" w:styleId="63">
    <w:name w:val="页眉 Char"/>
    <w:link w:val="25"/>
    <w:semiHidden/>
    <w:qFormat/>
    <w:locked/>
    <w:uiPriority w:val="99"/>
    <w:rPr>
      <w:rFonts w:ascii="Calibri" w:hAnsi="Calibri" w:cs="Calibri"/>
      <w:sz w:val="18"/>
      <w:szCs w:val="18"/>
    </w:rPr>
  </w:style>
  <w:style w:type="character" w:customStyle="1" w:styleId="64">
    <w:name w:val="批注主题 Char"/>
    <w:link w:val="34"/>
    <w:semiHidden/>
    <w:qFormat/>
    <w:locked/>
    <w:uiPriority w:val="99"/>
    <w:rPr>
      <w:rFonts w:ascii="Calibri" w:hAnsi="Calibri" w:cs="Calibri"/>
      <w:b/>
      <w:bCs/>
      <w:sz w:val="21"/>
      <w:szCs w:val="21"/>
    </w:rPr>
  </w:style>
  <w:style w:type="character" w:customStyle="1" w:styleId="65">
    <w:name w:val="font101"/>
    <w:qFormat/>
    <w:uiPriority w:val="0"/>
    <w:rPr>
      <w:rFonts w:ascii="font-weight : 700" w:hAnsi="font-weight : 700" w:eastAsia="font-weight : 700" w:cs="font-weight : 700"/>
      <w:color w:val="000000"/>
      <w:sz w:val="20"/>
      <w:szCs w:val="20"/>
      <w:u w:val="none"/>
    </w:rPr>
  </w:style>
  <w:style w:type="character" w:customStyle="1" w:styleId="66">
    <w:name w:val="gpa"/>
    <w:qFormat/>
    <w:uiPriority w:val="99"/>
    <w:rPr>
      <w:rFonts w:ascii="Arial" w:hAnsi="Arial" w:cs="Arial"/>
      <w:sz w:val="15"/>
      <w:szCs w:val="15"/>
    </w:rPr>
  </w:style>
  <w:style w:type="character" w:customStyle="1" w:styleId="67">
    <w:name w:val="font01"/>
    <w:qFormat/>
    <w:uiPriority w:val="0"/>
    <w:rPr>
      <w:rFonts w:hint="default" w:ascii="Calibri" w:hAnsi="Calibri" w:cs="Calibri"/>
      <w:color w:val="000000"/>
      <w:sz w:val="20"/>
      <w:szCs w:val="20"/>
      <w:u w:val="single"/>
    </w:rPr>
  </w:style>
  <w:style w:type="character" w:customStyle="1" w:styleId="68">
    <w:name w:val="font21"/>
    <w:qFormat/>
    <w:uiPriority w:val="99"/>
    <w:rPr>
      <w:rFonts w:ascii="宋体" w:hAnsi="宋体" w:eastAsia="宋体" w:cs="宋体"/>
      <w:b/>
      <w:bCs/>
      <w:color w:val="000000"/>
      <w:sz w:val="20"/>
      <w:szCs w:val="20"/>
      <w:u w:val="none"/>
    </w:rPr>
  </w:style>
  <w:style w:type="character" w:customStyle="1" w:styleId="69">
    <w:name w:val="button"/>
    <w:basedOn w:val="38"/>
    <w:qFormat/>
    <w:uiPriority w:val="0"/>
  </w:style>
  <w:style w:type="character" w:customStyle="1" w:styleId="70">
    <w:name w:val="font31"/>
    <w:qFormat/>
    <w:uiPriority w:val="99"/>
    <w:rPr>
      <w:rFonts w:ascii="宋体" w:hAnsi="宋体" w:eastAsia="宋体" w:cs="宋体"/>
      <w:color w:val="auto"/>
      <w:sz w:val="18"/>
      <w:szCs w:val="18"/>
      <w:u w:val="none"/>
    </w:rPr>
  </w:style>
  <w:style w:type="character" w:customStyle="1" w:styleId="71">
    <w:name w:val="font61"/>
    <w:qFormat/>
    <w:uiPriority w:val="99"/>
    <w:rPr>
      <w:rFonts w:ascii="宋体" w:hAnsi="宋体" w:eastAsia="宋体" w:cs="宋体"/>
      <w:color w:val="000000"/>
      <w:sz w:val="20"/>
      <w:szCs w:val="20"/>
      <w:u w:val="none"/>
    </w:rPr>
  </w:style>
  <w:style w:type="character" w:customStyle="1" w:styleId="72">
    <w:name w:val="displayarti"/>
    <w:qFormat/>
    <w:uiPriority w:val="99"/>
    <w:rPr>
      <w:color w:val="FFFFFF"/>
      <w:shd w:val="clear" w:color="auto" w:fill="auto"/>
    </w:rPr>
  </w:style>
  <w:style w:type="character" w:customStyle="1" w:styleId="73">
    <w:name w:val="old"/>
    <w:qFormat/>
    <w:uiPriority w:val="0"/>
    <w:rPr>
      <w:color w:val="999999"/>
    </w:rPr>
  </w:style>
  <w:style w:type="character" w:customStyle="1" w:styleId="74">
    <w:name w:val="font91"/>
    <w:qFormat/>
    <w:uiPriority w:val="99"/>
    <w:rPr>
      <w:rFonts w:ascii="Arial" w:hAnsi="Arial" w:cs="Arial"/>
      <w:color w:val="auto"/>
      <w:sz w:val="18"/>
      <w:szCs w:val="18"/>
      <w:u w:val="none"/>
    </w:rPr>
  </w:style>
  <w:style w:type="character" w:customStyle="1" w:styleId="75">
    <w:name w:val="gjfg"/>
    <w:basedOn w:val="38"/>
    <w:qFormat/>
    <w:uiPriority w:val="0"/>
  </w:style>
  <w:style w:type="character" w:customStyle="1" w:styleId="76">
    <w:name w:val="标题 1 Char"/>
    <w:qFormat/>
    <w:locked/>
    <w:uiPriority w:val="99"/>
    <w:rPr>
      <w:rFonts w:ascii="Calibri" w:hAnsi="Calibri" w:cs="Calibri"/>
      <w:b/>
      <w:bCs/>
      <w:kern w:val="44"/>
      <w:sz w:val="44"/>
      <w:szCs w:val="44"/>
    </w:rPr>
  </w:style>
  <w:style w:type="character" w:customStyle="1" w:styleId="77">
    <w:name w:val="font51"/>
    <w:qFormat/>
    <w:uiPriority w:val="0"/>
    <w:rPr>
      <w:rFonts w:hint="eastAsia" w:ascii="宋体" w:hAnsi="宋体" w:eastAsia="宋体" w:cs="宋体"/>
      <w:b/>
      <w:color w:val="000000"/>
      <w:sz w:val="21"/>
      <w:szCs w:val="21"/>
      <w:u w:val="none"/>
    </w:rPr>
  </w:style>
  <w:style w:type="character" w:customStyle="1" w:styleId="78">
    <w:name w:val="font71"/>
    <w:qFormat/>
    <w:uiPriority w:val="0"/>
    <w:rPr>
      <w:rFonts w:ascii="font-weight : 400" w:hAnsi="font-weight : 400" w:eastAsia="font-weight : 400" w:cs="font-weight : 400"/>
      <w:color w:val="000000"/>
      <w:sz w:val="20"/>
      <w:szCs w:val="20"/>
      <w:u w:val="none"/>
    </w:rPr>
  </w:style>
  <w:style w:type="character" w:customStyle="1" w:styleId="79">
    <w:name w:val="font41"/>
    <w:qFormat/>
    <w:uiPriority w:val="0"/>
    <w:rPr>
      <w:rFonts w:hint="default" w:ascii="Calibri" w:hAnsi="Calibri" w:cs="Calibri"/>
      <w:b/>
      <w:color w:val="000000"/>
      <w:sz w:val="21"/>
      <w:szCs w:val="21"/>
      <w:u w:val="none"/>
    </w:rPr>
  </w:style>
  <w:style w:type="character" w:customStyle="1" w:styleId="80">
    <w:name w:val="glyphicon4"/>
    <w:basedOn w:val="38"/>
    <w:qFormat/>
    <w:uiPriority w:val="0"/>
  </w:style>
  <w:style w:type="character" w:customStyle="1" w:styleId="81">
    <w:name w:val="redfilenumber"/>
    <w:qFormat/>
    <w:uiPriority w:val="0"/>
    <w:rPr>
      <w:color w:val="BA2636"/>
      <w:sz w:val="18"/>
      <w:szCs w:val="18"/>
    </w:rPr>
  </w:style>
  <w:style w:type="character" w:customStyle="1" w:styleId="82">
    <w:name w:val="hour_am"/>
    <w:basedOn w:val="38"/>
    <w:qFormat/>
    <w:uiPriority w:val="0"/>
  </w:style>
  <w:style w:type="character" w:customStyle="1" w:styleId="83">
    <w:name w:val="cfdate"/>
    <w:qFormat/>
    <w:uiPriority w:val="0"/>
    <w:rPr>
      <w:color w:val="333333"/>
      <w:sz w:val="18"/>
      <w:szCs w:val="18"/>
    </w:rPr>
  </w:style>
  <w:style w:type="character" w:customStyle="1" w:styleId="84">
    <w:name w:val="hover3"/>
    <w:qFormat/>
    <w:uiPriority w:val="0"/>
    <w:rPr>
      <w:shd w:val="clear" w:color="auto" w:fill="EEEEEE"/>
    </w:rPr>
  </w:style>
  <w:style w:type="character" w:customStyle="1" w:styleId="85">
    <w:name w:val="tmpztreemove_arrow"/>
    <w:qFormat/>
    <w:uiPriority w:val="0"/>
    <w:rPr>
      <w:shd w:val="clear" w:color="auto" w:fill="FFFFFF"/>
    </w:rPr>
  </w:style>
  <w:style w:type="character" w:customStyle="1" w:styleId="86">
    <w:name w:val="selected"/>
    <w:qFormat/>
    <w:uiPriority w:val="99"/>
    <w:rPr>
      <w:shd w:val="clear" w:color="auto" w:fill="auto"/>
    </w:rPr>
  </w:style>
  <w:style w:type="character" w:customStyle="1" w:styleId="87">
    <w:name w:val="glyphicon"/>
    <w:basedOn w:val="38"/>
    <w:qFormat/>
    <w:uiPriority w:val="0"/>
  </w:style>
  <w:style w:type="character" w:customStyle="1" w:styleId="88">
    <w:name w:val="qxdate"/>
    <w:qFormat/>
    <w:uiPriority w:val="0"/>
    <w:rPr>
      <w:color w:val="333333"/>
      <w:sz w:val="18"/>
      <w:szCs w:val="18"/>
    </w:rPr>
  </w:style>
  <w:style w:type="character" w:customStyle="1" w:styleId="89">
    <w:name w:val="sadicon"/>
    <w:basedOn w:val="38"/>
    <w:qFormat/>
    <w:uiPriority w:val="99"/>
  </w:style>
  <w:style w:type="character" w:customStyle="1" w:styleId="90">
    <w:name w:val="hour_pm"/>
    <w:basedOn w:val="38"/>
    <w:qFormat/>
    <w:uiPriority w:val="0"/>
  </w:style>
  <w:style w:type="character" w:customStyle="1" w:styleId="91">
    <w:name w:val="font81"/>
    <w:qFormat/>
    <w:uiPriority w:val="99"/>
    <w:rPr>
      <w:rFonts w:ascii="Wingdings 2" w:hAnsi="Wingdings 2" w:cs="Wingdings 2"/>
      <w:color w:val="000000"/>
      <w:sz w:val="20"/>
      <w:szCs w:val="20"/>
      <w:u w:val="none"/>
    </w:rPr>
  </w:style>
  <w:style w:type="character" w:customStyle="1" w:styleId="92">
    <w:name w:val="font11"/>
    <w:qFormat/>
    <w:uiPriority w:val="0"/>
    <w:rPr>
      <w:rFonts w:hint="default" w:ascii="Calibri" w:hAnsi="Calibri" w:cs="Calibri"/>
      <w:b/>
      <w:color w:val="000000"/>
      <w:sz w:val="21"/>
      <w:szCs w:val="21"/>
      <w:u w:val="single"/>
    </w:rPr>
  </w:style>
  <w:style w:type="character" w:customStyle="1" w:styleId="93">
    <w:name w:val="redfilefwwh"/>
    <w:qFormat/>
    <w:uiPriority w:val="0"/>
    <w:rPr>
      <w:color w:val="BA2636"/>
      <w:sz w:val="18"/>
      <w:szCs w:val="18"/>
    </w:rPr>
  </w:style>
  <w:style w:type="paragraph" w:customStyle="1" w:styleId="94">
    <w:name w:val=" Char Char1 Char Char Char Char Char Char"/>
    <w:basedOn w:val="1"/>
    <w:qFormat/>
    <w:uiPriority w:val="0"/>
    <w:pPr>
      <w:widowControl/>
      <w:spacing w:after="160" w:line="240" w:lineRule="exact"/>
      <w:jc w:val="center"/>
    </w:pPr>
    <w:rPr>
      <w:rFonts w:ascii="黑体" w:hAnsi="Verdana" w:eastAsia="黑体" w:cs="Times New Roman"/>
      <w:kern w:val="0"/>
      <w:sz w:val="36"/>
      <w:szCs w:val="36"/>
    </w:rPr>
  </w:style>
  <w:style w:type="paragraph" w:customStyle="1" w:styleId="95">
    <w:name w:val="*正文"/>
    <w:basedOn w:val="1"/>
    <w:qFormat/>
    <w:uiPriority w:val="99"/>
    <w:pPr>
      <w:widowControl/>
      <w:ind w:firstLine="200" w:firstLineChars="200"/>
    </w:pPr>
    <w:rPr>
      <w:rFonts w:ascii="??_GB2312" w:eastAsia="Times New Roman" w:cs="??_GB2312"/>
      <w:sz w:val="24"/>
      <w:szCs w:val="24"/>
    </w:rPr>
  </w:style>
  <w:style w:type="paragraph" w:customStyle="1" w:styleId="96">
    <w:name w:val="图样式"/>
    <w:basedOn w:val="1"/>
    <w:qFormat/>
    <w:uiPriority w:val="0"/>
    <w:pPr>
      <w:keepNext/>
      <w:widowControl/>
      <w:spacing w:before="80" w:after="80"/>
      <w:jc w:val="center"/>
    </w:pPr>
  </w:style>
  <w:style w:type="paragraph" w:customStyle="1" w:styleId="97">
    <w:name w:val="正文空2格  1."/>
    <w:basedOn w:val="1"/>
    <w:qFormat/>
    <w:uiPriority w:val="0"/>
    <w:pPr>
      <w:adjustRightInd w:val="0"/>
      <w:spacing w:line="360" w:lineRule="auto"/>
      <w:ind w:firstLine="480" w:firstLineChars="200"/>
    </w:pPr>
    <w:rPr>
      <w:rFonts w:ascii="宋体" w:hAnsi="仿宋" w:eastAsia="仿宋" w:cs="宋体"/>
      <w:kern w:val="0"/>
      <w:sz w:val="28"/>
      <w:szCs w:val="28"/>
    </w:rPr>
  </w:style>
  <w:style w:type="paragraph" w:customStyle="1" w:styleId="98">
    <w:name w:val="表格文字"/>
    <w:basedOn w:val="1"/>
    <w:next w:val="3"/>
    <w:qFormat/>
    <w:uiPriority w:val="99"/>
    <w:pPr>
      <w:spacing w:before="25" w:after="25"/>
      <w:jc w:val="left"/>
    </w:pPr>
    <w:rPr>
      <w:rFonts w:ascii="Times New Roman" w:hAnsi="Times New Roman" w:cs="Times New Roman"/>
      <w:spacing w:val="10"/>
      <w:kern w:val="0"/>
      <w:sz w:val="24"/>
      <w:szCs w:val="24"/>
    </w:rPr>
  </w:style>
  <w:style w:type="paragraph" w:customStyle="1" w:styleId="99">
    <w:name w:val="段落"/>
    <w:qFormat/>
    <w:uiPriority w:val="0"/>
    <w:pPr>
      <w:adjustRightInd w:val="0"/>
      <w:snapToGrid w:val="0"/>
      <w:spacing w:before="120" w:after="120" w:line="360" w:lineRule="auto"/>
      <w:ind w:firstLine="560" w:firstLineChars="200"/>
      <w:jc w:val="both"/>
    </w:pPr>
    <w:rPr>
      <w:rFonts w:ascii="Times New Roman" w:hAnsi="Times New Roman" w:eastAsia="仿宋_GB2312" w:cs="Times New Roman"/>
      <w:kern w:val="2"/>
      <w:sz w:val="28"/>
      <w:szCs w:val="24"/>
      <w:lang w:val="en-US" w:eastAsia="zh-CN" w:bidi="ar-SA"/>
    </w:rPr>
  </w:style>
  <w:style w:type="paragraph" w:customStyle="1" w:styleId="100">
    <w:name w:val="NormalIndent"/>
    <w:basedOn w:val="1"/>
    <w:qFormat/>
    <w:uiPriority w:val="0"/>
    <w:pPr>
      <w:ind w:firstLine="420"/>
      <w:jc w:val="both"/>
      <w:textAlignment w:val="baseline"/>
    </w:pPr>
    <w:rPr>
      <w:kern w:val="2"/>
      <w:sz w:val="21"/>
      <w:szCs w:val="20"/>
      <w:lang w:val="en-US" w:eastAsia="zh-CN" w:bidi="ar-SA"/>
    </w:rPr>
  </w:style>
  <w:style w:type="paragraph" w:customStyle="1" w:styleId="101">
    <w:name w:val="xl72"/>
    <w:basedOn w:val="1"/>
    <w:next w:val="21"/>
    <w:qFormat/>
    <w:uiPriority w:val="0"/>
    <w:pPr>
      <w:widowControl/>
      <w:shd w:val="clear" w:color="FFFFFF" w:fill="FFFFFF"/>
      <w:spacing w:before="280" w:after="280"/>
      <w:jc w:val="right"/>
    </w:pPr>
    <w:rPr>
      <w:rFonts w:ascii="宋体" w:hAnsi="Calibri"/>
      <w:kern w:val="0"/>
      <w:sz w:val="24"/>
    </w:rPr>
  </w:style>
  <w:style w:type="paragraph" w:customStyle="1" w:styleId="102">
    <w:name w:val="_Style 0"/>
    <w:qFormat/>
    <w:uiPriority w:val="1"/>
    <w:pPr>
      <w:widowControl w:val="0"/>
      <w:jc w:val="both"/>
    </w:pPr>
    <w:rPr>
      <w:rFonts w:ascii="Times New Roman" w:hAnsi="Times New Roman" w:eastAsia="宋体" w:cs="Calibri"/>
      <w:kern w:val="2"/>
      <w:sz w:val="21"/>
      <w:szCs w:val="21"/>
      <w:lang w:val="en-US" w:eastAsia="zh-CN" w:bidi="ar-SA"/>
    </w:rPr>
  </w:style>
  <w:style w:type="paragraph" w:customStyle="1" w:styleId="103">
    <w:name w:val="标号"/>
    <w:basedOn w:val="1"/>
    <w:qFormat/>
    <w:uiPriority w:val="99"/>
    <w:pPr>
      <w:spacing w:line="360" w:lineRule="auto"/>
    </w:pPr>
    <w:rPr>
      <w:rFonts w:ascii="宋体" w:hAnsi="宋体" w:eastAsia="宋体" w:cs="宋体"/>
      <w:sz w:val="24"/>
      <w:szCs w:val="24"/>
    </w:rPr>
  </w:style>
  <w:style w:type="paragraph" w:customStyle="1" w:styleId="104">
    <w:name w:val="Default"/>
    <w:next w:val="105"/>
    <w:qFormat/>
    <w:uiPriority w:val="6"/>
    <w:pPr>
      <w:widowControl w:val="0"/>
    </w:pPr>
    <w:rPr>
      <w:rFonts w:ascii="Times New Roman" w:hAnsi="Times New Roman" w:eastAsia="等线" w:cs="Times New Roman"/>
      <w:color w:val="000000"/>
      <w:sz w:val="24"/>
      <w:szCs w:val="24"/>
      <w:lang w:val="en-US" w:eastAsia="zh-CN" w:bidi="ar-SA"/>
    </w:rPr>
  </w:style>
  <w:style w:type="paragraph" w:customStyle="1" w:styleId="105">
    <w:name w:val="Char Char10 Char Char Char Char"/>
    <w:basedOn w:val="1"/>
    <w:next w:val="106"/>
    <w:qFormat/>
    <w:uiPriority w:val="0"/>
    <w:rPr>
      <w:rFonts w:ascii="Calibri" w:hAnsi="Calibri"/>
      <w:kern w:val="0"/>
    </w:rPr>
  </w:style>
  <w:style w:type="paragraph" w:customStyle="1" w:styleId="106">
    <w:name w:val="xl87"/>
    <w:basedOn w:val="1"/>
    <w:next w:val="101"/>
    <w:qFormat/>
    <w:uiPriority w:val="0"/>
    <w:pPr>
      <w:widowControl/>
      <w:shd w:val="clear" w:color="FFFFFF" w:fill="FFFFFF"/>
      <w:spacing w:before="280" w:after="280"/>
      <w:jc w:val="right"/>
    </w:pPr>
    <w:rPr>
      <w:rFonts w:ascii="宋体" w:hAnsi="Calibri"/>
      <w:kern w:val="0"/>
      <w:sz w:val="24"/>
    </w:rPr>
  </w:style>
  <w:style w:type="paragraph" w:customStyle="1" w:styleId="107">
    <w:name w:val="**正文"/>
    <w:basedOn w:val="1"/>
    <w:qFormat/>
    <w:uiPriority w:val="0"/>
    <w:pPr>
      <w:autoSpaceDE/>
      <w:autoSpaceDN/>
      <w:adjustRightInd/>
      <w:ind w:firstLine="482"/>
      <w:jc w:val="both"/>
    </w:pPr>
    <w:rPr>
      <w:rFonts w:ascii="宋体" w:hAnsi="宋体"/>
      <w:snapToGrid/>
      <w:sz w:val="20"/>
      <w:szCs w:val="24"/>
      <w:lang w:val="zh-CN" w:eastAsia="zh-CN"/>
    </w:rPr>
  </w:style>
  <w:style w:type="paragraph" w:customStyle="1" w:styleId="108">
    <w:name w:val="正文1"/>
    <w:qFormat/>
    <w:uiPriority w:val="99"/>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109">
    <w:name w:val="正文缩进1"/>
    <w:basedOn w:val="1"/>
    <w:qFormat/>
    <w:uiPriority w:val="0"/>
    <w:pPr>
      <w:autoSpaceDE w:val="0"/>
      <w:autoSpaceDN w:val="0"/>
      <w:adjustRightInd w:val="0"/>
      <w:ind w:firstLine="420"/>
      <w:jc w:val="left"/>
    </w:pPr>
    <w:rPr>
      <w:rFonts w:ascii="宋体"/>
      <w:kern w:val="0"/>
      <w:sz w:val="24"/>
    </w:rPr>
  </w:style>
  <w:style w:type="paragraph" w:customStyle="1" w:styleId="110">
    <w:name w:val="正文首行缩进两字符"/>
    <w:basedOn w:val="1"/>
    <w:qFormat/>
    <w:uiPriority w:val="99"/>
    <w:pPr>
      <w:spacing w:line="360" w:lineRule="auto"/>
      <w:ind w:firstLine="200" w:firstLineChars="200"/>
    </w:pPr>
  </w:style>
  <w:style w:type="paragraph" w:customStyle="1" w:styleId="111">
    <w:name w:val="一级缩进"/>
    <w:qFormat/>
    <w:uiPriority w:val="0"/>
    <w:pPr>
      <w:numPr>
        <w:ilvl w:val="0"/>
        <w:numId w:val="3"/>
      </w:numPr>
      <w:tabs>
        <w:tab w:val="left" w:pos="568"/>
        <w:tab w:val="clear" w:pos="710"/>
      </w:tabs>
      <w:adjustRightInd w:val="0"/>
      <w:snapToGrid w:val="0"/>
      <w:spacing w:before="120" w:after="120" w:line="360" w:lineRule="auto"/>
      <w:ind w:left="818"/>
      <w:jc w:val="both"/>
    </w:pPr>
    <w:rPr>
      <w:rFonts w:ascii="Times New Roman" w:hAnsi="Times New Roman" w:eastAsia="仿宋_GB2312" w:cs="Times New Roman"/>
      <w:kern w:val="2"/>
      <w:sz w:val="24"/>
      <w:szCs w:val="24"/>
      <w:lang w:val="en-US" w:eastAsia="zh-CN" w:bidi="ar-SA"/>
    </w:rPr>
  </w:style>
  <w:style w:type="paragraph" w:customStyle="1" w:styleId="112">
    <w:name w:val="题注5"/>
    <w:basedOn w:val="1"/>
    <w:next w:val="13"/>
    <w:qFormat/>
    <w:uiPriority w:val="99"/>
    <w:pPr>
      <w:jc w:val="center"/>
    </w:pPr>
    <w:rPr>
      <w:rFonts w:ascii="Times New Roman" w:hAnsi="Times New Roman" w:cs="Times New Roman"/>
      <w:b/>
      <w:bCs/>
      <w:color w:val="000000"/>
      <w:sz w:val="24"/>
      <w:szCs w:val="24"/>
    </w:rPr>
  </w:style>
  <w:style w:type="paragraph" w:customStyle="1" w:styleId="113">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14">
    <w:name w:val="图"/>
    <w:basedOn w:val="1"/>
    <w:qFormat/>
    <w:uiPriority w:val="99"/>
    <w:pPr>
      <w:keepNext/>
      <w:adjustRightInd w:val="0"/>
      <w:snapToGrid w:val="0"/>
      <w:spacing w:before="60" w:after="60" w:line="300" w:lineRule="auto"/>
      <w:jc w:val="center"/>
    </w:pPr>
    <w:rPr>
      <w:rFonts w:ascii="Times New Roman" w:hAnsi="Times New Roman" w:cs="Times New Roman"/>
      <w:spacing w:val="20"/>
      <w:kern w:val="0"/>
      <w:sz w:val="24"/>
      <w:szCs w:val="24"/>
    </w:rPr>
  </w:style>
  <w:style w:type="paragraph" w:customStyle="1" w:styleId="115">
    <w:name w:val="题注4"/>
    <w:basedOn w:val="1"/>
    <w:next w:val="13"/>
    <w:qFormat/>
    <w:uiPriority w:val="99"/>
    <w:pPr>
      <w:ind w:left="-132" w:leftChars="-64" w:right="-105" w:rightChars="-50" w:hanging="2"/>
      <w:jc w:val="center"/>
    </w:pPr>
    <w:rPr>
      <w:rFonts w:ascii="Times New Roman" w:hAnsi="Times New Roman" w:cs="Times New Roman"/>
      <w:b/>
      <w:bCs/>
      <w:color w:val="FF0000"/>
      <w:lang w:val="en-GB"/>
    </w:rPr>
  </w:style>
  <w:style w:type="paragraph" w:customStyle="1" w:styleId="116">
    <w:name w:val="Table Text"/>
    <w:basedOn w:val="1"/>
    <w:qFormat/>
    <w:uiPriority w:val="0"/>
    <w:pPr>
      <w:topLinePunct/>
      <w:autoSpaceDE/>
      <w:autoSpaceDN/>
      <w:snapToGrid w:val="0"/>
      <w:spacing w:before="80" w:after="80" w:line="240" w:lineRule="atLeast"/>
    </w:pPr>
  </w:style>
  <w:style w:type="paragraph" w:customStyle="1" w:styleId="117">
    <w:name w:val="正文-段落"/>
    <w:qFormat/>
    <w:uiPriority w:val="99"/>
    <w:pPr>
      <w:spacing w:line="360" w:lineRule="auto"/>
      <w:ind w:firstLine="200" w:firstLineChars="200"/>
    </w:pPr>
    <w:rPr>
      <w:rFonts w:ascii="Times New Roman" w:hAnsi="Times New Roman" w:eastAsia="宋体" w:cs="Calibri"/>
      <w:sz w:val="24"/>
      <w:szCs w:val="24"/>
      <w:lang w:val="en-US" w:eastAsia="zh-CN" w:bidi="ar-SA"/>
    </w:rPr>
  </w:style>
  <w:style w:type="paragraph" w:customStyle="1" w:styleId="118">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19">
    <w:name w:val="List Paragraph"/>
    <w:basedOn w:val="14"/>
    <w:qFormat/>
    <w:uiPriority w:val="34"/>
    <w:pPr>
      <w:ind w:firstLine="420" w:firstLineChars="200"/>
    </w:pPr>
  </w:style>
  <w:style w:type="paragraph" w:styleId="120">
    <w:name w:val="No Spacing"/>
    <w:qFormat/>
    <w:uiPriority w:val="1"/>
    <w:pPr>
      <w:widowControl w:val="0"/>
      <w:jc w:val="both"/>
    </w:pPr>
    <w:rPr>
      <w:rFonts w:ascii="Times New Roman" w:hAnsi="Times New Roman" w:eastAsia="宋体" w:cs="Calibri"/>
      <w:kern w:val="2"/>
      <w:sz w:val="21"/>
      <w:szCs w:val="21"/>
      <w:lang w:val="en-US" w:eastAsia="zh-CN" w:bidi="ar-SA"/>
    </w:rPr>
  </w:style>
  <w:style w:type="paragraph" w:customStyle="1" w:styleId="121">
    <w:name w:val="表格样式居中"/>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122">
    <w:name w:val="GP正文(首行缩进)"/>
    <w:basedOn w:val="1"/>
    <w:qFormat/>
    <w:uiPriority w:val="99"/>
    <w:pPr>
      <w:spacing w:line="360" w:lineRule="auto"/>
      <w:ind w:firstLine="200" w:firstLineChars="200"/>
      <w:jc w:val="left"/>
    </w:pPr>
    <w:rPr>
      <w:sz w:val="24"/>
      <w:szCs w:val="24"/>
    </w:rPr>
  </w:style>
  <w:style w:type="paragraph" w:customStyle="1" w:styleId="123">
    <w:name w:val="纯文本1"/>
    <w:basedOn w:val="1"/>
    <w:qFormat/>
    <w:uiPriority w:val="0"/>
    <w:rPr>
      <w:rFonts w:ascii="宋体" w:hAnsi="Courier New" w:eastAsia="宋体" w:cs="Times New Roman"/>
      <w:szCs w:val="22"/>
    </w:rPr>
  </w:style>
  <w:style w:type="paragraph" w:customStyle="1" w:styleId="124">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bCs w:val="0"/>
      <w:sz w:val="28"/>
      <w:szCs w:val="20"/>
    </w:rPr>
  </w:style>
  <w:style w:type="paragraph" w:customStyle="1" w:styleId="125">
    <w:name w:val="样式 标题 3 + (中文) 黑体 小四 非加粗 段前: 7.8 磅 段后: 0 磅 行距: 固定值 20 磅"/>
    <w:basedOn w:val="8"/>
    <w:qFormat/>
    <w:uiPriority w:val="0"/>
    <w:pPr>
      <w:spacing w:before="0" w:after="0" w:line="400" w:lineRule="exact"/>
    </w:pPr>
    <w:rPr>
      <w:rFonts w:eastAsia="黑体" w:cs="宋体"/>
      <w:b w:val="0"/>
      <w:bCs w:val="0"/>
      <w:sz w:val="24"/>
      <w:szCs w:val="20"/>
    </w:rPr>
  </w:style>
  <w:style w:type="paragraph" w:customStyle="1" w:styleId="126">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table" w:customStyle="1" w:styleId="127">
    <w:name w:val="Table"/>
    <w:basedOn w:val="37"/>
    <w:qFormat/>
    <w:uiPriority w:val="0"/>
    <w:pPr>
      <w:autoSpaceDE/>
      <w:autoSpaceDN/>
      <w:adjustRightInd/>
      <w:spacing w:line="240" w:lineRule="auto"/>
    </w:pPr>
    <w:rPr>
      <w:rFonts w:cs="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128">
    <w:name w:val="网格型1"/>
    <w:basedOn w:val="35"/>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29">
    <w:name w:val="表样式"/>
    <w:basedOn w:val="35"/>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5.bin"/><Relationship Id="rId17" Type="http://schemas.openxmlformats.org/officeDocument/2006/relationships/image" Target="media/image5.wmf"/><Relationship Id="rId16" Type="http://schemas.openxmlformats.org/officeDocument/2006/relationships/oleObject" Target="embeddings/oleObject4.bin"/><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177</Pages>
  <Words>94160</Words>
  <Characters>98659</Characters>
  <Lines>317</Lines>
  <Paragraphs>89</Paragraphs>
  <TotalTime>1</TotalTime>
  <ScaleCrop>false</ScaleCrop>
  <LinksUpToDate>false</LinksUpToDate>
  <CharactersWithSpaces>104774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2023-06-19T14:41:00Z</dcterms:created>
  <dc:creator>饣耳</dc:creator>
  <cp:lastModifiedBy>贾旭鸣</cp:lastModifiedBy>
  <dcterms:modified xsi:type="dcterms:W3CDTF">2023-06-27T10:32:07Z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RubyTemplateID">
    <vt:lpwstr>6</vt:lpwstr>
  </property>
  <property fmtid="{D5CDD505-2E9C-101B-9397-08002B2CF9AE}" pid="4" name="ICV">
    <vt:lpwstr>58C961FC1D8C410383540C667E312626_13</vt:lpwstr>
  </property>
</Properties>
</file>