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left"/>
        <w:rPr>
          <w:rFonts w:hint="eastAsia" w:ascii="宋体" w:hAnsi="宋体"/>
          <w:b/>
          <w:color w:val="auto"/>
          <w:sz w:val="24"/>
          <w:highlight w:val="none"/>
        </w:rPr>
      </w:pPr>
      <w:bookmarkStart w:id="0" w:name="_Toc217446030"/>
      <w:bookmarkStart w:id="1" w:name="_Toc183682338"/>
      <w:bookmarkStart w:id="93" w:name="_GoBack"/>
      <w:r>
        <w:rPr>
          <w:rFonts w:hint="eastAsia" w:ascii="宋体" w:hAnsi="宋体" w:cs="宋体"/>
          <w:color w:val="auto"/>
          <w:sz w:val="52"/>
          <w:szCs w:val="52"/>
          <w:highlight w:val="none"/>
        </w:rPr>
        <w:drawing>
          <wp:inline distT="0" distB="0" distL="114300" distR="114300">
            <wp:extent cx="2224405" cy="698500"/>
            <wp:effectExtent l="0" t="0" r="4445" b="6350"/>
            <wp:docPr id="1" name="图片 1" descr="d061cbcda31ae81aa792b407322c2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61cbcda31ae81aa792b407322c20e"/>
                    <pic:cNvPicPr>
                      <a:picLocks noChangeAspect="1"/>
                    </pic:cNvPicPr>
                  </pic:nvPicPr>
                  <pic:blipFill>
                    <a:blip r:embed="rId10"/>
                    <a:stretch>
                      <a:fillRect/>
                    </a:stretch>
                  </pic:blipFill>
                  <pic:spPr>
                    <a:xfrm>
                      <a:off x="0" y="0"/>
                      <a:ext cx="2224405" cy="698500"/>
                    </a:xfrm>
                    <a:prstGeom prst="rect">
                      <a:avLst/>
                    </a:prstGeom>
                    <a:noFill/>
                    <a:ln>
                      <a:noFill/>
                    </a:ln>
                  </pic:spPr>
                </pic:pic>
              </a:graphicData>
            </a:graphic>
          </wp:inline>
        </w:drawing>
      </w:r>
    </w:p>
    <w:p>
      <w:pPr>
        <w:spacing w:before="120" w:beforeLines="50" w:after="120" w:afterLines="50" w:line="360" w:lineRule="auto"/>
        <w:jc w:val="center"/>
        <w:rPr>
          <w:rFonts w:ascii="宋体" w:hAnsi="宋体"/>
          <w:b/>
          <w:color w:val="auto"/>
          <w:sz w:val="44"/>
          <w:szCs w:val="44"/>
          <w:highlight w:val="none"/>
        </w:rPr>
      </w:pPr>
    </w:p>
    <w:p>
      <w:pPr>
        <w:spacing w:before="120" w:beforeLines="50" w:after="120" w:afterLines="50" w:line="360" w:lineRule="auto"/>
        <w:jc w:val="center"/>
        <w:rPr>
          <w:rFonts w:hint="eastAsia" w:hAnsi="宋体" w:cs="宋体"/>
          <w:b/>
          <w:color w:val="auto"/>
          <w:sz w:val="48"/>
          <w:szCs w:val="48"/>
          <w:highlight w:val="none"/>
        </w:rPr>
      </w:pPr>
      <w:r>
        <w:rPr>
          <w:rFonts w:hint="eastAsia" w:hAnsi="宋体" w:cs="宋体"/>
          <w:b/>
          <w:color w:val="auto"/>
          <w:sz w:val="48"/>
          <w:szCs w:val="48"/>
          <w:highlight w:val="none"/>
          <w:lang w:eastAsia="zh-CN"/>
        </w:rPr>
        <w:t>咸阳师范学院</w:t>
      </w:r>
      <w:r>
        <w:rPr>
          <w:rFonts w:hint="eastAsia" w:hAnsi="宋体" w:cs="宋体"/>
          <w:b/>
          <w:color w:val="auto"/>
          <w:sz w:val="48"/>
          <w:szCs w:val="48"/>
          <w:highlight w:val="none"/>
          <w:lang w:val="en-US" w:eastAsia="zh-CN"/>
        </w:rPr>
        <w:t>2023年电子资源征订项目（电子资源数据库建设）</w:t>
      </w:r>
    </w:p>
    <w:p>
      <w:pPr>
        <w:spacing w:before="120" w:beforeLines="50" w:after="120" w:afterLines="50" w:line="360" w:lineRule="auto"/>
        <w:jc w:val="center"/>
        <w:rPr>
          <w:rFonts w:ascii="宋体" w:hAnsi="宋体"/>
          <w:color w:val="auto"/>
          <w:sz w:val="44"/>
          <w:szCs w:val="44"/>
          <w:highlight w:val="none"/>
        </w:rPr>
      </w:pPr>
    </w:p>
    <w:p>
      <w:pPr>
        <w:spacing w:before="120" w:beforeLines="50" w:after="120" w:afterLines="50" w:line="360" w:lineRule="auto"/>
        <w:jc w:val="center"/>
        <w:rPr>
          <w:rFonts w:ascii="宋体" w:hAnsi="宋体"/>
          <w:color w:val="auto"/>
          <w:sz w:val="44"/>
          <w:szCs w:val="44"/>
          <w:highlight w:val="none"/>
        </w:rPr>
      </w:pPr>
    </w:p>
    <w:p>
      <w:pPr>
        <w:spacing w:before="120" w:beforeLines="50" w:after="120" w:afterLines="50"/>
        <w:ind w:left="-178" w:leftChars="-85" w:right="-334" w:rightChars="-159"/>
        <w:jc w:val="center"/>
        <w:rPr>
          <w:rFonts w:ascii="宋体" w:hAnsi="宋体"/>
          <w:b/>
          <w:color w:val="auto"/>
          <w:spacing w:val="40"/>
          <w:sz w:val="56"/>
          <w:szCs w:val="56"/>
          <w:highlight w:val="none"/>
        </w:rPr>
      </w:pPr>
      <w:r>
        <w:rPr>
          <w:rFonts w:hint="eastAsia" w:ascii="宋体" w:hAnsi="宋体"/>
          <w:b/>
          <w:color w:val="auto"/>
          <w:spacing w:val="40"/>
          <w:sz w:val="56"/>
          <w:szCs w:val="56"/>
          <w:highlight w:val="none"/>
        </w:rPr>
        <w:t>单一来源采购文件</w:t>
      </w:r>
    </w:p>
    <w:p>
      <w:pPr>
        <w:pStyle w:val="53"/>
        <w:spacing w:line="480" w:lineRule="auto"/>
        <w:jc w:val="center"/>
        <w:rPr>
          <w:rFonts w:hint="eastAsia" w:hAnsi="宋体" w:cs="宋体"/>
          <w:b/>
          <w:color w:val="auto"/>
          <w:sz w:val="28"/>
          <w:szCs w:val="28"/>
          <w:highlight w:val="none"/>
        </w:rPr>
      </w:pPr>
      <w:r>
        <w:rPr>
          <w:rFonts w:hint="eastAsia" w:hAnsi="宋体" w:cs="宋体"/>
          <w:b/>
          <w:color w:val="auto"/>
          <w:sz w:val="28"/>
          <w:szCs w:val="28"/>
          <w:highlight w:val="none"/>
        </w:rPr>
        <w:t>（项目编号：HZJZS2023-0072）</w:t>
      </w:r>
    </w:p>
    <w:p>
      <w:pPr>
        <w:spacing w:before="120" w:beforeLines="50" w:after="120" w:afterLines="50" w:line="360" w:lineRule="auto"/>
        <w:jc w:val="center"/>
        <w:rPr>
          <w:rFonts w:ascii="宋体" w:hAnsi="宋体"/>
          <w:color w:val="auto"/>
          <w:sz w:val="44"/>
          <w:szCs w:val="44"/>
          <w:highlight w:val="none"/>
        </w:rPr>
      </w:pPr>
    </w:p>
    <w:p>
      <w:pPr>
        <w:spacing w:before="120" w:beforeLines="50" w:after="120" w:afterLines="50" w:line="360" w:lineRule="auto"/>
        <w:jc w:val="center"/>
        <w:rPr>
          <w:rFonts w:ascii="宋体" w:hAnsi="宋体"/>
          <w:color w:val="auto"/>
          <w:sz w:val="44"/>
          <w:szCs w:val="44"/>
          <w:highlight w:val="none"/>
        </w:rPr>
      </w:pPr>
    </w:p>
    <w:p>
      <w:pPr>
        <w:spacing w:before="120" w:beforeLines="50" w:after="120" w:afterLines="50" w:line="360" w:lineRule="auto"/>
        <w:jc w:val="left"/>
        <w:rPr>
          <w:rFonts w:hint="eastAsia" w:ascii="宋体" w:hAnsi="宋体"/>
          <w:b/>
          <w:color w:val="auto"/>
          <w:spacing w:val="4"/>
          <w:sz w:val="32"/>
          <w:szCs w:val="32"/>
          <w:highlight w:val="none"/>
        </w:rPr>
      </w:pPr>
    </w:p>
    <w:p>
      <w:pPr>
        <w:pStyle w:val="16"/>
        <w:spacing w:line="360" w:lineRule="auto"/>
        <w:ind w:left="0" w:leftChars="0" w:firstLine="1405" w:firstLineChars="500"/>
        <w:jc w:val="center"/>
        <w:rPr>
          <w:rFonts w:hint="eastAsia" w:ascii="宋体" w:hAnsi="宋体" w:eastAsia="宋体"/>
          <w:b/>
          <w:bCs/>
          <w:color w:val="auto"/>
          <w:sz w:val="28"/>
          <w:szCs w:val="36"/>
          <w:highlight w:val="none"/>
        </w:rPr>
      </w:pPr>
      <w:r>
        <w:rPr>
          <w:rFonts w:hint="eastAsia" w:ascii="宋体" w:hAnsi="宋体" w:eastAsia="宋体"/>
          <w:b/>
          <w:bCs/>
          <w:color w:val="auto"/>
          <w:sz w:val="28"/>
          <w:szCs w:val="36"/>
          <w:highlight w:val="none"/>
        </w:rPr>
        <w:t>采   购   人：咸阳师范学院</w:t>
      </w:r>
    </w:p>
    <w:p>
      <w:pPr>
        <w:pStyle w:val="16"/>
        <w:spacing w:line="360" w:lineRule="auto"/>
        <w:ind w:left="0" w:leftChars="0" w:firstLine="1405" w:firstLineChars="500"/>
        <w:jc w:val="center"/>
        <w:rPr>
          <w:rFonts w:hint="eastAsia" w:ascii="宋体" w:hAnsi="宋体" w:eastAsia="宋体"/>
          <w:b/>
          <w:bCs/>
          <w:color w:val="auto"/>
          <w:sz w:val="28"/>
          <w:szCs w:val="36"/>
          <w:highlight w:val="none"/>
        </w:rPr>
      </w:pPr>
      <w:r>
        <w:rPr>
          <w:rFonts w:hint="eastAsia" w:ascii="宋体" w:hAnsi="宋体" w:eastAsia="宋体"/>
          <w:b/>
          <w:bCs/>
          <w:color w:val="auto"/>
          <w:sz w:val="28"/>
          <w:szCs w:val="36"/>
          <w:highlight w:val="none"/>
        </w:rPr>
        <w:t>采购代理机构：华智建造价咨询有限公司</w:t>
      </w:r>
    </w:p>
    <w:p>
      <w:pPr>
        <w:pStyle w:val="16"/>
        <w:spacing w:line="360" w:lineRule="auto"/>
        <w:ind w:left="210" w:leftChars="100"/>
        <w:jc w:val="center"/>
        <w:rPr>
          <w:rFonts w:hint="eastAsia" w:ascii="宋体" w:hAnsi="宋体" w:eastAsia="宋体"/>
          <w:b/>
          <w:bCs/>
          <w:color w:val="auto"/>
          <w:sz w:val="28"/>
          <w:szCs w:val="36"/>
          <w:highlight w:val="none"/>
        </w:rPr>
      </w:pPr>
      <w:r>
        <w:rPr>
          <w:rFonts w:hint="eastAsia" w:ascii="宋体" w:hAnsi="宋体" w:eastAsia="宋体"/>
          <w:b/>
          <w:bCs/>
          <w:color w:val="auto"/>
          <w:sz w:val="28"/>
          <w:szCs w:val="36"/>
          <w:highlight w:val="none"/>
        </w:rPr>
        <w:t>二零二</w:t>
      </w:r>
      <w:r>
        <w:rPr>
          <w:rFonts w:hint="eastAsia" w:ascii="宋体" w:hAnsi="宋体" w:eastAsia="宋体"/>
          <w:b/>
          <w:bCs/>
          <w:color w:val="auto"/>
          <w:sz w:val="28"/>
          <w:szCs w:val="36"/>
          <w:highlight w:val="none"/>
          <w:lang w:val="en-US" w:eastAsia="zh-CN"/>
        </w:rPr>
        <w:t>三</w:t>
      </w:r>
      <w:r>
        <w:rPr>
          <w:rFonts w:hint="eastAsia" w:ascii="宋体" w:hAnsi="宋体" w:eastAsia="宋体"/>
          <w:b/>
          <w:bCs/>
          <w:color w:val="auto"/>
          <w:sz w:val="28"/>
          <w:szCs w:val="36"/>
          <w:highlight w:val="none"/>
        </w:rPr>
        <w:t>年</w:t>
      </w:r>
      <w:r>
        <w:rPr>
          <w:rFonts w:hint="eastAsia" w:ascii="宋体" w:hAnsi="宋体"/>
          <w:b/>
          <w:bCs/>
          <w:color w:val="auto"/>
          <w:sz w:val="28"/>
          <w:szCs w:val="36"/>
          <w:highlight w:val="none"/>
          <w:lang w:val="en-US" w:eastAsia="zh-CN"/>
        </w:rPr>
        <w:t>六</w:t>
      </w:r>
      <w:r>
        <w:rPr>
          <w:rFonts w:hint="eastAsia" w:ascii="宋体" w:hAnsi="宋体" w:eastAsia="宋体"/>
          <w:b/>
          <w:bCs/>
          <w:color w:val="auto"/>
          <w:sz w:val="28"/>
          <w:szCs w:val="36"/>
          <w:highlight w:val="none"/>
        </w:rPr>
        <w:t>月</w:t>
      </w:r>
    </w:p>
    <w:p>
      <w:pPr>
        <w:spacing w:line="360" w:lineRule="auto"/>
        <w:ind w:firstLine="202" w:firstLineChars="46"/>
        <w:jc w:val="center"/>
        <w:rPr>
          <w:rFonts w:hint="eastAsia" w:ascii="宋体" w:hAnsi="宋体" w:eastAsia="宋体" w:cs="宋体"/>
          <w:bCs/>
          <w:color w:val="auto"/>
          <w:sz w:val="44"/>
          <w:szCs w:val="44"/>
          <w:highlight w:val="none"/>
          <w:lang w:val="zh-CN"/>
        </w:rPr>
        <w:sectPr>
          <w:headerReference r:id="rId3" w:type="default"/>
          <w:footerReference r:id="rId5" w:type="default"/>
          <w:headerReference r:id="rId4" w:type="even"/>
          <w:footerReference r:id="rId6" w:type="even"/>
          <w:pgSz w:w="11907" w:h="16840"/>
          <w:pgMar w:top="1440" w:right="1474" w:bottom="1440" w:left="1474" w:header="851" w:footer="992" w:gutter="0"/>
          <w:cols w:space="720" w:num="1"/>
          <w:titlePg/>
        </w:sectPr>
      </w:pPr>
    </w:p>
    <w:p>
      <w:pPr>
        <w:spacing w:line="360" w:lineRule="auto"/>
        <w:ind w:firstLine="202" w:firstLineChars="46"/>
        <w:jc w:val="center"/>
        <w:rPr>
          <w:rFonts w:hint="eastAsia" w:ascii="宋体" w:hAnsi="宋体" w:eastAsia="宋体" w:cs="宋体"/>
          <w:bCs/>
          <w:color w:val="auto"/>
          <w:sz w:val="44"/>
          <w:szCs w:val="44"/>
          <w:highlight w:val="none"/>
          <w:lang w:val="zh-CN"/>
        </w:rPr>
      </w:pPr>
      <w:r>
        <w:rPr>
          <w:rFonts w:hint="eastAsia" w:ascii="宋体" w:hAnsi="宋体" w:eastAsia="宋体" w:cs="宋体"/>
          <w:bCs/>
          <w:color w:val="auto"/>
          <w:sz w:val="44"/>
          <w:szCs w:val="44"/>
          <w:highlight w:val="none"/>
          <w:lang w:val="zh-CN"/>
        </w:rPr>
        <w:t>温馨提示</w:t>
      </w:r>
    </w:p>
    <w:p>
      <w:pPr>
        <w:spacing w:before="120" w:beforeLines="50"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潜在供应商在获取单一来源采购文件后，请认真仔细阅读所有条款，特别注意实质性响应要求及粗体部分，如需询问，请及时来电咨询，电话：</w:t>
      </w:r>
      <w:r>
        <w:rPr>
          <w:rFonts w:hint="eastAsia" w:ascii="宋体" w:hAnsi="宋体" w:cs="宋体"/>
          <w:bCs/>
          <w:color w:val="auto"/>
          <w:sz w:val="24"/>
          <w:highlight w:val="none"/>
          <w:u w:val="single"/>
          <w:lang w:val="en-US" w:eastAsia="zh-CN"/>
        </w:rPr>
        <w:t>18302992489</w:t>
      </w:r>
      <w:r>
        <w:rPr>
          <w:rFonts w:hint="eastAsia" w:ascii="宋体" w:hAnsi="宋体" w:eastAsia="宋体" w:cs="宋体"/>
          <w:bCs/>
          <w:color w:val="auto"/>
          <w:sz w:val="24"/>
          <w:highlight w:val="none"/>
          <w:lang w:val="zh-CN"/>
        </w:rPr>
        <w:t>。</w:t>
      </w:r>
    </w:p>
    <w:p>
      <w:pPr>
        <w:spacing w:line="360" w:lineRule="auto"/>
        <w:ind w:firstLine="465" w:firstLineChars="194"/>
        <w:rPr>
          <w:rFonts w:hint="eastAsia" w:ascii="楷体" w:hAnsi="楷体" w:eastAsia="楷体"/>
          <w:bCs/>
          <w:color w:val="auto"/>
          <w:sz w:val="24"/>
          <w:highlight w:val="none"/>
          <w:lang w:val="zh-CN"/>
        </w:rPr>
      </w:pPr>
    </w:p>
    <w:p>
      <w:pPr>
        <w:spacing w:line="360" w:lineRule="auto"/>
        <w:ind w:firstLine="465" w:firstLineChars="194"/>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spacing w:line="360" w:lineRule="auto"/>
        <w:ind w:firstLine="620" w:firstLineChars="194"/>
        <w:rPr>
          <w:rFonts w:hint="eastAsia" w:ascii="宋体" w:hAnsi="宋体" w:eastAsia="宋体" w:cs="宋体"/>
          <w:bCs/>
          <w:color w:val="auto"/>
          <w:sz w:val="32"/>
          <w:szCs w:val="32"/>
          <w:highlight w:val="none"/>
          <w:lang w:val="zh-CN"/>
        </w:rPr>
      </w:pPr>
    </w:p>
    <w:p>
      <w:pPr>
        <w:widowControl/>
        <w:spacing w:line="540" w:lineRule="exact"/>
        <w:ind w:right="-197" w:rightChars="-94" w:firstLine="1341" w:firstLineChars="447"/>
        <w:jc w:val="left"/>
        <w:rPr>
          <w:rFonts w:hint="eastAsia" w:ascii="宋体" w:hAnsi="宋体" w:eastAsia="宋体" w:cs="宋体"/>
          <w:color w:val="auto"/>
          <w:kern w:val="0"/>
          <w:szCs w:val="21"/>
          <w:highlight w:val="none"/>
        </w:rPr>
      </w:pPr>
      <w:r>
        <w:rPr>
          <w:rFonts w:hint="eastAsia" w:ascii="宋体" w:hAnsi="宋体" w:eastAsia="宋体" w:cs="宋体"/>
          <w:bCs/>
          <w:color w:val="auto"/>
          <w:sz w:val="30"/>
          <w:szCs w:val="30"/>
          <w:highlight w:val="none"/>
          <w:lang w:val="zh-CN"/>
        </w:rPr>
        <w:t xml:space="preserve">      </w:t>
      </w:r>
    </w:p>
    <w:p>
      <w:pPr>
        <w:widowControl/>
        <w:spacing w:line="540" w:lineRule="exact"/>
        <w:ind w:right="-197" w:rightChars="-94" w:firstLine="555"/>
        <w:jc w:val="left"/>
        <w:rPr>
          <w:rFonts w:hint="eastAsia" w:ascii="宋体" w:hAnsi="宋体" w:eastAsia="宋体" w:cs="宋体"/>
          <w:color w:val="auto"/>
          <w:szCs w:val="21"/>
          <w:highlight w:val="none"/>
          <w:shd w:val="clear" w:color="auto" w:fill="FCFCFC"/>
        </w:rPr>
      </w:pPr>
    </w:p>
    <w:p>
      <w:pPr>
        <w:widowControl/>
        <w:spacing w:line="540" w:lineRule="exact"/>
        <w:ind w:right="-197" w:rightChars="-94" w:firstLine="555"/>
        <w:jc w:val="left"/>
        <w:rPr>
          <w:rFonts w:hint="eastAsia" w:ascii="宋体" w:hAnsi="宋体" w:eastAsia="宋体" w:cs="宋体"/>
          <w:color w:val="auto"/>
          <w:sz w:val="28"/>
          <w:szCs w:val="28"/>
          <w:highlight w:val="none"/>
          <w:shd w:val="clear" w:color="auto" w:fill="FCFCFC"/>
        </w:rPr>
      </w:pPr>
    </w:p>
    <w:p>
      <w:pPr>
        <w:spacing w:line="360" w:lineRule="auto"/>
        <w:rPr>
          <w:rFonts w:hint="eastAsia" w:ascii="宋体" w:hAnsi="宋体" w:eastAsia="宋体" w:cs="宋体"/>
          <w:bCs/>
          <w:color w:val="auto"/>
          <w:sz w:val="30"/>
          <w:szCs w:val="30"/>
          <w:highlight w:val="none"/>
          <w:lang w:val="zh-CN"/>
        </w:rPr>
      </w:pPr>
      <w:r>
        <w:rPr>
          <w:rFonts w:hint="eastAsia" w:ascii="宋体" w:hAnsi="宋体" w:eastAsia="宋体" w:cs="宋体"/>
          <w:b/>
          <w:bCs/>
          <w:color w:val="auto"/>
          <w:sz w:val="30"/>
          <w:szCs w:val="30"/>
          <w:highlight w:val="none"/>
          <w:lang w:val="zh-CN"/>
        </w:rPr>
        <w:t xml:space="preserve">      </w:t>
      </w:r>
      <w:r>
        <w:rPr>
          <w:rFonts w:hint="eastAsia" w:ascii="宋体" w:hAnsi="宋体" w:eastAsia="宋体" w:cs="宋体"/>
          <w:bCs/>
          <w:color w:val="auto"/>
          <w:sz w:val="30"/>
          <w:szCs w:val="30"/>
          <w:highlight w:val="none"/>
          <w:lang w:val="zh-CN"/>
        </w:rPr>
        <w:t>请将招标代理服务费汇至下列指定账户：</w:t>
      </w:r>
    </w:p>
    <w:p>
      <w:pPr>
        <w:widowControl/>
        <w:spacing w:line="540" w:lineRule="exact"/>
        <w:ind w:right="-197" w:rightChars="-94" w:firstLine="945" w:firstLineChars="450"/>
        <w:jc w:val="left"/>
        <w:rPr>
          <w:rFonts w:hint="eastAsia" w:ascii="宋体" w:hAnsi="宋体" w:eastAsia="宋体" w:cs="宋体"/>
          <w:color w:val="auto"/>
          <w:highlight w:val="none"/>
        </w:rPr>
      </w:pPr>
      <w:r>
        <w:rPr>
          <w:rFonts w:hint="eastAsia" w:ascii="宋体" w:hAnsi="宋体" w:eastAsia="宋体" w:cs="宋体"/>
          <w:color w:val="auto"/>
          <w:highlight w:val="none"/>
        </w:rPr>
        <w:t>开户名称:华智建造价咨询有限公司</w:t>
      </w:r>
    </w:p>
    <w:p>
      <w:pPr>
        <w:widowControl/>
        <w:spacing w:line="540" w:lineRule="exact"/>
        <w:ind w:right="-197" w:rightChars="-94" w:firstLine="945" w:firstLineChars="450"/>
        <w:jc w:val="left"/>
        <w:rPr>
          <w:rFonts w:hint="eastAsia" w:ascii="宋体" w:hAnsi="宋体" w:eastAsia="宋体" w:cs="宋体"/>
          <w:color w:val="auto"/>
          <w:highlight w:val="none"/>
        </w:rPr>
      </w:pPr>
      <w:r>
        <w:rPr>
          <w:rFonts w:hint="eastAsia" w:ascii="宋体" w:hAnsi="宋体" w:eastAsia="宋体" w:cs="宋体"/>
          <w:color w:val="auto"/>
          <w:highlight w:val="none"/>
        </w:rPr>
        <w:t>开 户 行：招商银行西安分行营业部</w:t>
      </w:r>
    </w:p>
    <w:p>
      <w:pPr>
        <w:widowControl/>
        <w:spacing w:line="540" w:lineRule="exact"/>
        <w:ind w:right="-197" w:rightChars="-94" w:firstLine="945" w:firstLineChars="450"/>
        <w:jc w:val="left"/>
        <w:rPr>
          <w:rFonts w:hint="eastAsia" w:ascii="宋体" w:hAnsi="宋体" w:eastAsia="宋体" w:cs="宋体"/>
          <w:color w:val="auto"/>
          <w:highlight w:val="none"/>
        </w:rPr>
      </w:pPr>
      <w:r>
        <w:rPr>
          <w:rFonts w:hint="eastAsia" w:ascii="宋体" w:hAnsi="宋体" w:eastAsia="宋体" w:cs="宋体"/>
          <w:color w:val="auto"/>
          <w:highlight w:val="none"/>
        </w:rPr>
        <w:t>账    号:129910591110111</w:t>
      </w:r>
    </w:p>
    <w:p>
      <w:pPr>
        <w:pStyle w:val="5"/>
        <w:spacing w:line="360" w:lineRule="auto"/>
        <w:ind w:firstLine="0"/>
        <w:rPr>
          <w:rFonts w:hint="eastAsia" w:ascii="宋体" w:hAnsi="宋体" w:eastAsia="宋体" w:cs="宋体"/>
          <w:b/>
          <w:color w:val="auto"/>
          <w:kern w:val="44"/>
          <w:szCs w:val="21"/>
          <w:highlight w:val="none"/>
        </w:rPr>
      </w:pPr>
    </w:p>
    <w:p>
      <w:pPr>
        <w:pStyle w:val="5"/>
        <w:spacing w:line="360" w:lineRule="auto"/>
        <w:ind w:firstLine="0"/>
        <w:rPr>
          <w:rFonts w:hint="eastAsia" w:ascii="宋体" w:hAnsi="宋体" w:eastAsia="宋体" w:cs="宋体"/>
          <w:b/>
          <w:color w:val="auto"/>
          <w:kern w:val="44"/>
          <w:szCs w:val="21"/>
          <w:highlight w:val="none"/>
        </w:rPr>
      </w:pPr>
    </w:p>
    <w:p>
      <w:pPr>
        <w:pStyle w:val="5"/>
        <w:spacing w:line="360" w:lineRule="auto"/>
        <w:ind w:firstLine="0"/>
        <w:rPr>
          <w:rFonts w:hint="eastAsia" w:ascii="宋体" w:hAnsi="宋体" w:eastAsia="宋体" w:cs="宋体"/>
          <w:b/>
          <w:color w:val="auto"/>
          <w:kern w:val="44"/>
          <w:szCs w:val="21"/>
          <w:highlight w:val="none"/>
        </w:rPr>
      </w:pPr>
    </w:p>
    <w:p>
      <w:pPr>
        <w:pStyle w:val="5"/>
        <w:spacing w:line="360" w:lineRule="auto"/>
        <w:ind w:firstLine="0"/>
        <w:rPr>
          <w:rFonts w:hint="eastAsia" w:ascii="宋体" w:hAnsi="宋体" w:eastAsia="宋体" w:cs="宋体"/>
          <w:b/>
          <w:color w:val="auto"/>
          <w:kern w:val="44"/>
          <w:szCs w:val="21"/>
          <w:highlight w:val="none"/>
        </w:rPr>
      </w:pPr>
    </w:p>
    <w:p>
      <w:pPr>
        <w:pStyle w:val="5"/>
        <w:spacing w:before="120" w:beforeLines="50"/>
        <w:ind w:firstLine="0"/>
        <w:rPr>
          <w:rFonts w:ascii="宋体" w:hAnsi="宋体"/>
          <w:b/>
          <w:color w:val="auto"/>
          <w:kern w:val="44"/>
          <w:sz w:val="44"/>
          <w:szCs w:val="44"/>
          <w:highlight w:val="none"/>
        </w:rPr>
      </w:pPr>
    </w:p>
    <w:p>
      <w:pPr>
        <w:pStyle w:val="4"/>
        <w:spacing w:line="360" w:lineRule="exact"/>
        <w:jc w:val="center"/>
        <w:rPr>
          <w:rFonts w:ascii="宋体" w:hAnsi="宋体" w:eastAsia="宋体"/>
          <w:bCs/>
          <w:color w:val="auto"/>
          <w:sz w:val="36"/>
          <w:highlight w:val="none"/>
        </w:rPr>
      </w:pPr>
    </w:p>
    <w:p>
      <w:pPr>
        <w:pStyle w:val="4"/>
        <w:spacing w:before="0" w:after="480" w:afterLines="200" w:line="240" w:lineRule="auto"/>
        <w:jc w:val="center"/>
        <w:rPr>
          <w:rFonts w:ascii="黑体" w:hAnsi="宋体"/>
          <w:b w:val="0"/>
          <w:bCs/>
          <w:color w:val="auto"/>
          <w:sz w:val="44"/>
          <w:szCs w:val="44"/>
          <w:highlight w:val="none"/>
        </w:rPr>
      </w:pPr>
      <w:r>
        <w:rPr>
          <w:rFonts w:hint="eastAsia" w:ascii="黑体" w:hAnsi="宋体"/>
          <w:b w:val="0"/>
          <w:bCs/>
          <w:color w:val="auto"/>
          <w:sz w:val="44"/>
          <w:szCs w:val="44"/>
          <w:highlight w:val="none"/>
        </w:rPr>
        <w:t>目    录</w:t>
      </w:r>
    </w:p>
    <w:p>
      <w:pPr>
        <w:pStyle w:val="4"/>
        <w:spacing w:before="0" w:after="0" w:line="360" w:lineRule="auto"/>
        <w:rPr>
          <w:rFonts w:hint="eastAsia" w:ascii="宋体" w:hAnsi="宋体" w:eastAsia="宋体"/>
          <w:bCs/>
          <w:color w:val="auto"/>
          <w:sz w:val="21"/>
          <w:szCs w:val="21"/>
          <w:highlight w:val="none"/>
          <w:lang w:eastAsia="zh-CN"/>
        </w:rPr>
      </w:pPr>
      <w:r>
        <w:rPr>
          <w:rFonts w:hint="eastAsia" w:ascii="宋体" w:hAnsi="宋体" w:eastAsia="宋体"/>
          <w:b w:val="0"/>
          <w:bCs/>
          <w:color w:val="auto"/>
          <w:sz w:val="21"/>
          <w:szCs w:val="21"/>
          <w:highlight w:val="none"/>
        </w:rPr>
        <w:t>第一章  单一来源采购邀请书………………………………… …………………………………</w:t>
      </w:r>
      <w:r>
        <w:rPr>
          <w:rFonts w:hint="eastAsia" w:ascii="宋体" w:hAnsi="宋体" w:eastAsia="宋体"/>
          <w:b w:val="0"/>
          <w:bCs/>
          <w:color w:val="auto"/>
          <w:sz w:val="21"/>
          <w:szCs w:val="21"/>
          <w:highlight w:val="none"/>
          <w:lang w:val="en-US" w:eastAsia="zh-CN"/>
        </w:rPr>
        <w:t>3</w:t>
      </w:r>
    </w:p>
    <w:p>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第二章  谈判须知 …………………………………………………………………………………</w:t>
      </w:r>
      <w:r>
        <w:rPr>
          <w:rFonts w:hint="eastAsia" w:ascii="宋体" w:hAnsi="宋体" w:eastAsia="宋体"/>
          <w:b w:val="0"/>
          <w:bCs/>
          <w:color w:val="auto"/>
          <w:sz w:val="21"/>
          <w:szCs w:val="21"/>
          <w:highlight w:val="none"/>
          <w:lang w:val="en-US" w:eastAsia="zh-CN"/>
        </w:rPr>
        <w:t>5</w:t>
      </w:r>
    </w:p>
    <w:p>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1.总则 ……………………………………………………………………………………</w:t>
      </w:r>
      <w:r>
        <w:rPr>
          <w:rFonts w:hint="eastAsia" w:ascii="宋体" w:hAnsi="宋体" w:eastAsia="宋体"/>
          <w:b w:val="0"/>
          <w:bCs/>
          <w:color w:val="auto"/>
          <w:sz w:val="21"/>
          <w:szCs w:val="21"/>
          <w:highlight w:val="none"/>
          <w:lang w:val="en-US" w:eastAsia="zh-CN"/>
        </w:rPr>
        <w:t>8</w:t>
      </w:r>
    </w:p>
    <w:p>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2.单一来源采购文件 ……………………………………………………………………1</w:t>
      </w:r>
      <w:r>
        <w:rPr>
          <w:rFonts w:hint="eastAsia" w:ascii="宋体" w:hAnsi="宋体" w:eastAsia="宋体"/>
          <w:b w:val="0"/>
          <w:bCs/>
          <w:color w:val="auto"/>
          <w:sz w:val="21"/>
          <w:szCs w:val="21"/>
          <w:highlight w:val="none"/>
          <w:lang w:val="en-US" w:eastAsia="zh-CN"/>
        </w:rPr>
        <w:t>0</w:t>
      </w:r>
    </w:p>
    <w:p>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3.单一来源响应文件 ……………………………………………………………………1</w:t>
      </w:r>
      <w:r>
        <w:rPr>
          <w:rFonts w:hint="eastAsia" w:ascii="宋体" w:hAnsi="宋体" w:eastAsia="宋体"/>
          <w:b w:val="0"/>
          <w:bCs/>
          <w:color w:val="auto"/>
          <w:sz w:val="21"/>
          <w:szCs w:val="21"/>
          <w:highlight w:val="none"/>
          <w:lang w:val="en-US" w:eastAsia="zh-CN"/>
        </w:rPr>
        <w:t>1</w:t>
      </w:r>
    </w:p>
    <w:p>
      <w:pPr>
        <w:pStyle w:val="4"/>
        <w:spacing w:before="0" w:after="0" w:line="360" w:lineRule="auto"/>
        <w:ind w:firstLine="840" w:firstLineChars="4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4.响应文件的递交 ………………………………………………………………………17</w:t>
      </w:r>
    </w:p>
    <w:p>
      <w:pPr>
        <w:pStyle w:val="4"/>
        <w:spacing w:before="0" w:after="0" w:line="360" w:lineRule="auto"/>
        <w:ind w:firstLine="840" w:firstLineChars="4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5.协商与谈判 ……………………………………………………………………………17</w:t>
      </w:r>
    </w:p>
    <w:p>
      <w:pPr>
        <w:pStyle w:val="4"/>
        <w:spacing w:before="0" w:after="0" w:line="360" w:lineRule="auto"/>
        <w:ind w:firstLine="840" w:firstLineChars="400"/>
        <w:rPr>
          <w:rFonts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6.合同授予 ………………………………………………………………………………21</w:t>
      </w:r>
    </w:p>
    <w:p>
      <w:pPr>
        <w:pStyle w:val="4"/>
        <w:spacing w:before="0" w:after="0" w:line="360" w:lineRule="auto"/>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 xml:space="preserve">        7.纪律与监督 ……………………………………………………………………………2</w:t>
      </w:r>
      <w:r>
        <w:rPr>
          <w:rFonts w:hint="eastAsia" w:ascii="宋体" w:hAnsi="宋体" w:eastAsia="宋体"/>
          <w:b w:val="0"/>
          <w:bCs/>
          <w:color w:val="auto"/>
          <w:sz w:val="21"/>
          <w:szCs w:val="21"/>
          <w:highlight w:val="none"/>
          <w:lang w:val="en-US" w:eastAsia="zh-CN"/>
        </w:rPr>
        <w:t>1</w:t>
      </w:r>
    </w:p>
    <w:p>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8.质疑和投诉   …………………………………………………………………………2</w:t>
      </w:r>
      <w:r>
        <w:rPr>
          <w:rFonts w:hint="eastAsia" w:ascii="宋体" w:hAnsi="宋体" w:eastAsia="宋体"/>
          <w:b w:val="0"/>
          <w:bCs/>
          <w:color w:val="auto"/>
          <w:sz w:val="21"/>
          <w:szCs w:val="21"/>
          <w:highlight w:val="none"/>
          <w:lang w:val="en-US" w:eastAsia="zh-CN"/>
        </w:rPr>
        <w:t>2</w:t>
      </w:r>
    </w:p>
    <w:p>
      <w:pPr>
        <w:pStyle w:val="4"/>
        <w:tabs>
          <w:tab w:val="left" w:pos="1890"/>
        </w:tabs>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9.采购代理服务费……</w:t>
      </w:r>
      <w:r>
        <w:rPr>
          <w:rFonts w:hint="eastAsia" w:ascii="宋体" w:hAnsi="宋体" w:eastAsia="宋体"/>
          <w:b w:val="0"/>
          <w:bCs/>
          <w:color w:val="auto"/>
          <w:sz w:val="21"/>
          <w:szCs w:val="21"/>
          <w:highlight w:val="none"/>
        </w:rPr>
        <w:t>………………………………………………………………</w:t>
      </w:r>
      <w:r>
        <w:rPr>
          <w:rFonts w:hint="eastAsia" w:ascii="宋体" w:hAnsi="宋体" w:eastAsia="宋体"/>
          <w:b w:val="0"/>
          <w:bCs/>
          <w:color w:val="auto"/>
          <w:sz w:val="21"/>
          <w:szCs w:val="21"/>
          <w:highlight w:val="none"/>
          <w:lang w:val="en-US" w:eastAsia="zh-CN"/>
        </w:rPr>
        <w:t xml:space="preserve">   </w:t>
      </w:r>
      <w:r>
        <w:rPr>
          <w:rFonts w:hint="eastAsia" w:ascii="宋体" w:hAnsi="宋体" w:eastAsia="宋体"/>
          <w:b w:val="0"/>
          <w:bCs/>
          <w:color w:val="auto"/>
          <w:sz w:val="21"/>
          <w:szCs w:val="21"/>
          <w:highlight w:val="none"/>
        </w:rPr>
        <w:t>2</w:t>
      </w:r>
      <w:r>
        <w:rPr>
          <w:rFonts w:hint="eastAsia" w:ascii="宋体" w:hAnsi="宋体" w:eastAsia="宋体"/>
          <w:b w:val="0"/>
          <w:bCs/>
          <w:color w:val="auto"/>
          <w:sz w:val="21"/>
          <w:szCs w:val="21"/>
          <w:highlight w:val="none"/>
          <w:lang w:val="en-US" w:eastAsia="zh-CN"/>
        </w:rPr>
        <w:t>4</w:t>
      </w:r>
    </w:p>
    <w:p>
      <w:pPr>
        <w:pStyle w:val="4"/>
        <w:spacing w:before="0" w:after="0" w:line="360" w:lineRule="auto"/>
        <w:ind w:firstLine="840" w:firstLineChars="400"/>
        <w:rPr>
          <w:rFonts w:hint="eastAsia" w:ascii="宋体" w:hAnsi="宋体" w:eastAsia="宋体"/>
          <w:b w:val="0"/>
          <w:bCs/>
          <w:color w:val="auto"/>
          <w:sz w:val="21"/>
          <w:szCs w:val="21"/>
          <w:highlight w:val="none"/>
          <w:lang w:eastAsia="zh-CN"/>
        </w:rPr>
      </w:pPr>
      <w:r>
        <w:rPr>
          <w:rFonts w:hint="eastAsia" w:ascii="宋体" w:hAnsi="宋体" w:eastAsia="宋体"/>
          <w:b w:val="0"/>
          <w:bCs/>
          <w:color w:val="auto"/>
          <w:sz w:val="21"/>
          <w:szCs w:val="21"/>
          <w:highlight w:val="none"/>
        </w:rPr>
        <w:t>10.其他……………………………………………………………………………………2</w:t>
      </w:r>
      <w:r>
        <w:rPr>
          <w:rFonts w:hint="eastAsia" w:ascii="宋体" w:hAnsi="宋体" w:eastAsia="宋体"/>
          <w:b w:val="0"/>
          <w:bCs/>
          <w:color w:val="auto"/>
          <w:sz w:val="21"/>
          <w:szCs w:val="21"/>
          <w:highlight w:val="none"/>
          <w:lang w:val="en-US" w:eastAsia="zh-CN"/>
        </w:rPr>
        <w:t>4</w:t>
      </w:r>
    </w:p>
    <w:p>
      <w:pPr>
        <w:pStyle w:val="4"/>
        <w:spacing w:before="0" w:after="0" w:line="360" w:lineRule="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第三章  采购内容及要求 …………………………………………………………………………2</w:t>
      </w:r>
      <w:r>
        <w:rPr>
          <w:rFonts w:hint="eastAsia" w:ascii="宋体" w:hAnsi="宋体" w:eastAsia="宋体"/>
          <w:b w:val="0"/>
          <w:bCs/>
          <w:color w:val="auto"/>
          <w:sz w:val="21"/>
          <w:szCs w:val="21"/>
          <w:highlight w:val="none"/>
          <w:lang w:val="en-US" w:eastAsia="zh-CN"/>
        </w:rPr>
        <w:t>6</w:t>
      </w:r>
    </w:p>
    <w:p>
      <w:pPr>
        <w:pStyle w:val="5"/>
        <w:spacing w:line="360" w:lineRule="auto"/>
        <w:ind w:firstLine="840" w:firstLineChars="400"/>
        <w:rPr>
          <w:rFonts w:hint="eastAsia" w:eastAsia="宋体"/>
          <w:color w:val="auto"/>
          <w:highlight w:val="none"/>
          <w:lang w:val="en-US" w:eastAsia="zh-CN"/>
        </w:rPr>
      </w:pPr>
      <w:r>
        <w:rPr>
          <w:rFonts w:hint="eastAsia"/>
          <w:color w:val="auto"/>
          <w:highlight w:val="none"/>
        </w:rPr>
        <w:t xml:space="preserve">一、项目概况及总体要求 </w:t>
      </w:r>
      <w:r>
        <w:rPr>
          <w:rFonts w:hint="eastAsia" w:ascii="宋体" w:hAnsi="宋体"/>
          <w:bCs/>
          <w:color w:val="auto"/>
          <w:szCs w:val="21"/>
          <w:highlight w:val="none"/>
        </w:rPr>
        <w:t>………………………………………………………………2</w:t>
      </w:r>
      <w:r>
        <w:rPr>
          <w:rFonts w:hint="eastAsia" w:ascii="宋体" w:hAnsi="宋体"/>
          <w:bCs/>
          <w:color w:val="auto"/>
          <w:szCs w:val="21"/>
          <w:highlight w:val="none"/>
          <w:lang w:val="en-US" w:eastAsia="zh-CN"/>
        </w:rPr>
        <w:t>6</w:t>
      </w:r>
    </w:p>
    <w:p>
      <w:pPr>
        <w:pStyle w:val="4"/>
        <w:spacing w:before="0" w:after="0" w:line="360" w:lineRule="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 xml:space="preserve">        二、货物需要及技术要求 ………………………………………………………………2</w:t>
      </w:r>
      <w:r>
        <w:rPr>
          <w:rFonts w:hint="eastAsia" w:ascii="宋体" w:hAnsi="宋体" w:eastAsia="宋体"/>
          <w:b w:val="0"/>
          <w:bCs/>
          <w:color w:val="auto"/>
          <w:sz w:val="21"/>
          <w:szCs w:val="21"/>
          <w:highlight w:val="none"/>
          <w:lang w:val="en-US" w:eastAsia="zh-CN"/>
        </w:rPr>
        <w:t>6</w:t>
      </w:r>
    </w:p>
    <w:p>
      <w:pPr>
        <w:pStyle w:val="5"/>
        <w:spacing w:line="360" w:lineRule="auto"/>
        <w:rPr>
          <w:rFonts w:hint="default" w:ascii="宋体" w:hAnsi="宋体" w:eastAsia="宋体"/>
          <w:bCs/>
          <w:color w:val="auto"/>
          <w:szCs w:val="21"/>
          <w:highlight w:val="none"/>
          <w:lang w:val="en-US" w:eastAsia="zh-CN"/>
        </w:rPr>
      </w:pPr>
      <w:r>
        <w:rPr>
          <w:rFonts w:hint="eastAsia"/>
          <w:color w:val="auto"/>
          <w:highlight w:val="none"/>
        </w:rPr>
        <w:t xml:space="preserve">    三、商务要求   </w:t>
      </w:r>
      <w:r>
        <w:rPr>
          <w:rFonts w:hint="eastAsia" w:ascii="宋体" w:hAnsi="宋体"/>
          <w:bCs/>
          <w:color w:val="auto"/>
          <w:szCs w:val="21"/>
          <w:highlight w:val="none"/>
        </w:rPr>
        <w:t>…………………………………………………………………………</w:t>
      </w:r>
      <w:r>
        <w:rPr>
          <w:rFonts w:hint="eastAsia" w:ascii="宋体" w:hAnsi="宋体"/>
          <w:bCs/>
          <w:color w:val="auto"/>
          <w:szCs w:val="21"/>
          <w:highlight w:val="none"/>
          <w:lang w:val="en-US" w:eastAsia="zh-CN"/>
        </w:rPr>
        <w:t>37</w:t>
      </w:r>
    </w:p>
    <w:p>
      <w:pPr>
        <w:pStyle w:val="4"/>
        <w:spacing w:before="0" w:after="0" w:line="360" w:lineRule="auto"/>
        <w:rPr>
          <w:rFonts w:hint="default"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rPr>
        <w:t>第四章  采购合同格式 ……………………………………………………………………………</w:t>
      </w:r>
      <w:r>
        <w:rPr>
          <w:rFonts w:hint="eastAsia" w:ascii="宋体" w:hAnsi="宋体" w:eastAsia="宋体"/>
          <w:b w:val="0"/>
          <w:bCs/>
          <w:color w:val="auto"/>
          <w:sz w:val="21"/>
          <w:szCs w:val="21"/>
          <w:highlight w:val="none"/>
          <w:lang w:val="en-US" w:eastAsia="zh-CN"/>
        </w:rPr>
        <w:t>39</w:t>
      </w:r>
    </w:p>
    <w:p>
      <w:pPr>
        <w:pStyle w:val="5"/>
        <w:spacing w:line="360" w:lineRule="auto"/>
        <w:ind w:firstLine="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第五章  单一来源采购响应文件格式 ……………………………………………………………</w:t>
      </w:r>
      <w:r>
        <w:rPr>
          <w:rFonts w:hint="eastAsia" w:ascii="宋体" w:hAnsi="宋体"/>
          <w:bCs/>
          <w:color w:val="auto"/>
          <w:szCs w:val="21"/>
          <w:highlight w:val="none"/>
          <w:lang w:val="en-US" w:eastAsia="zh-CN"/>
        </w:rPr>
        <w:t>41</w:t>
      </w:r>
    </w:p>
    <w:bookmarkEnd w:id="0"/>
    <w:bookmarkEnd w:id="1"/>
    <w:p>
      <w:pPr>
        <w:pStyle w:val="5"/>
        <w:spacing w:line="360" w:lineRule="auto"/>
        <w:ind w:firstLine="840" w:firstLineChars="400"/>
        <w:jc w:val="left"/>
        <w:rPr>
          <w:rFonts w:hint="eastAsia" w:ascii="宋体" w:hAnsi="宋体" w:eastAsia="宋体"/>
          <w:bCs/>
          <w:color w:val="auto"/>
          <w:szCs w:val="21"/>
          <w:highlight w:val="none"/>
          <w:lang w:val="en-US" w:eastAsia="zh-CN"/>
        </w:rPr>
      </w:pPr>
      <w:r>
        <w:rPr>
          <w:rFonts w:hint="eastAsia"/>
          <w:color w:val="auto"/>
          <w:szCs w:val="21"/>
          <w:highlight w:val="none"/>
        </w:rPr>
        <w:t>第一部分商务、技术文件 ……</w:t>
      </w:r>
      <w:r>
        <w:rPr>
          <w:rFonts w:hint="eastAsia" w:ascii="宋体" w:hAnsi="宋体"/>
          <w:bCs/>
          <w:color w:val="auto"/>
          <w:szCs w:val="21"/>
          <w:highlight w:val="none"/>
        </w:rPr>
        <w:t>…………………………………………………………4</w:t>
      </w:r>
      <w:r>
        <w:rPr>
          <w:rFonts w:hint="eastAsia" w:ascii="宋体" w:hAnsi="宋体"/>
          <w:bCs/>
          <w:color w:val="auto"/>
          <w:szCs w:val="21"/>
          <w:highlight w:val="none"/>
          <w:lang w:val="en-US" w:eastAsia="zh-CN"/>
        </w:rPr>
        <w:t>4</w:t>
      </w:r>
    </w:p>
    <w:p>
      <w:pPr>
        <w:pStyle w:val="5"/>
        <w:spacing w:line="360" w:lineRule="auto"/>
        <w:ind w:firstLine="840" w:firstLineChars="400"/>
        <w:jc w:val="left"/>
        <w:rPr>
          <w:rFonts w:hint="eastAsia" w:ascii="宋体" w:hAnsi="宋体" w:eastAsia="宋体"/>
          <w:bCs/>
          <w:color w:val="auto"/>
          <w:szCs w:val="21"/>
          <w:highlight w:val="none"/>
          <w:lang w:val="en-US" w:eastAsia="zh-CN"/>
        </w:rPr>
      </w:pPr>
      <w:r>
        <w:rPr>
          <w:rFonts w:hint="eastAsia" w:asciiTheme="minorEastAsia" w:hAnsiTheme="minorEastAsia" w:eastAsiaTheme="minorEastAsia"/>
          <w:color w:val="auto"/>
          <w:kern w:val="44"/>
          <w:szCs w:val="21"/>
          <w:highlight w:val="none"/>
        </w:rPr>
        <w:t xml:space="preserve">第二部分资格证明文件   </w:t>
      </w:r>
      <w:r>
        <w:rPr>
          <w:rFonts w:hint="eastAsia"/>
          <w:color w:val="auto"/>
          <w:szCs w:val="21"/>
          <w:highlight w:val="none"/>
        </w:rPr>
        <w:t>……</w:t>
      </w:r>
      <w:r>
        <w:rPr>
          <w:rFonts w:hint="eastAsia" w:ascii="宋体" w:hAnsi="宋体"/>
          <w:bCs/>
          <w:color w:val="auto"/>
          <w:szCs w:val="21"/>
          <w:highlight w:val="none"/>
        </w:rPr>
        <w:t>…………………………………………………………5</w:t>
      </w:r>
      <w:r>
        <w:rPr>
          <w:rFonts w:hint="eastAsia" w:ascii="宋体" w:hAnsi="宋体"/>
          <w:bCs/>
          <w:color w:val="auto"/>
          <w:szCs w:val="21"/>
          <w:highlight w:val="none"/>
          <w:lang w:val="en-US" w:eastAsia="zh-CN"/>
        </w:rPr>
        <w:t>5</w:t>
      </w:r>
    </w:p>
    <w:p>
      <w:pPr>
        <w:pStyle w:val="5"/>
        <w:spacing w:line="360" w:lineRule="auto"/>
        <w:ind w:firstLine="840" w:firstLineChars="400"/>
        <w:jc w:val="left"/>
        <w:rPr>
          <w:rFonts w:asciiTheme="minorEastAsia" w:hAnsiTheme="minorEastAsia" w:eastAsiaTheme="minorEastAsia"/>
          <w:color w:val="auto"/>
          <w:kern w:val="44"/>
          <w:szCs w:val="21"/>
          <w:highlight w:val="none"/>
        </w:rPr>
      </w:pPr>
    </w:p>
    <w:p>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pPr>
        <w:pStyle w:val="5"/>
        <w:spacing w:before="120" w:beforeLines="50" w:after="240" w:afterLines="100"/>
        <w:ind w:firstLine="0"/>
        <w:jc w:val="center"/>
        <w:rPr>
          <w:rFonts w:ascii="方正小标宋简体" w:hAnsi="宋体" w:eastAsia="方正小标宋简体"/>
          <w:color w:val="auto"/>
          <w:kern w:val="44"/>
          <w:sz w:val="44"/>
          <w:szCs w:val="44"/>
          <w:highlight w:val="none"/>
        </w:rPr>
      </w:pPr>
    </w:p>
    <w:p>
      <w:pPr>
        <w:widowControl/>
        <w:spacing w:before="600" w:beforeLines="250" w:line="360" w:lineRule="auto"/>
        <w:ind w:right="-197" w:rightChars="-94"/>
        <w:jc w:val="center"/>
        <w:rPr>
          <w:rFonts w:hint="eastAsia" w:ascii="方正小标宋简体" w:hAnsi="宋体" w:eastAsia="方正小标宋简体"/>
          <w:color w:val="auto"/>
          <w:kern w:val="44"/>
          <w:sz w:val="44"/>
          <w:szCs w:val="44"/>
          <w:highlight w:val="none"/>
        </w:rPr>
      </w:pPr>
    </w:p>
    <w:p>
      <w:pPr>
        <w:widowControl/>
        <w:spacing w:before="600" w:beforeLines="250" w:line="360" w:lineRule="auto"/>
        <w:ind w:right="-197" w:rightChars="-94"/>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kern w:val="44"/>
          <w:sz w:val="44"/>
          <w:szCs w:val="44"/>
          <w:highlight w:val="none"/>
        </w:rPr>
        <w:t>第一</w:t>
      </w:r>
      <w:r>
        <w:rPr>
          <w:rFonts w:hint="eastAsia" w:ascii="方正小标宋简体" w:hAnsi="宋体" w:eastAsia="方正小标宋简体"/>
          <w:color w:val="auto"/>
          <w:sz w:val="44"/>
          <w:szCs w:val="44"/>
          <w:highlight w:val="none"/>
        </w:rPr>
        <w:t xml:space="preserve">章  </w:t>
      </w:r>
      <w:bookmarkStart w:id="2" w:name="_Toc28359002"/>
      <w:bookmarkStart w:id="3" w:name="_Hlk24379207"/>
      <w:bookmarkStart w:id="4" w:name="_Toc28359079"/>
      <w:bookmarkStart w:id="5" w:name="_Toc35393621"/>
      <w:bookmarkStart w:id="6" w:name="_Toc35393790"/>
      <w:bookmarkStart w:id="7" w:name="_Toc213496267"/>
      <w:bookmarkStart w:id="8" w:name="_Toc213396759"/>
      <w:bookmarkStart w:id="9" w:name="_Toc213397009"/>
      <w:bookmarkStart w:id="10" w:name="_Toc217446031"/>
      <w:bookmarkStart w:id="11" w:name="_Toc213396945"/>
      <w:bookmarkStart w:id="12" w:name="_Toc89075871"/>
      <w:bookmarkStart w:id="13" w:name="_Toc77400776"/>
      <w:bookmarkStart w:id="14" w:name="_Toc183582202"/>
      <w:bookmarkStart w:id="15" w:name="_Toc183682339"/>
      <w:r>
        <w:rPr>
          <w:rFonts w:hint="eastAsia" w:ascii="方正小标宋简体" w:hAnsi="宋体" w:eastAsia="方正小标宋简体"/>
          <w:color w:val="auto"/>
          <w:sz w:val="44"/>
          <w:szCs w:val="44"/>
          <w:highlight w:val="none"/>
        </w:rPr>
        <w:t>单一来源采购邀请书</w:t>
      </w:r>
    </w:p>
    <w:bookmarkEnd w:id="2"/>
    <w:bookmarkEnd w:id="3"/>
    <w:bookmarkEnd w:id="4"/>
    <w:bookmarkEnd w:id="5"/>
    <w:bookmarkEnd w:id="6"/>
    <w:p>
      <w:pPr>
        <w:keepNext w:val="0"/>
        <w:keepLines w:val="0"/>
        <w:pageBreakBefore w:val="0"/>
        <w:widowControl/>
        <w:kinsoku/>
        <w:wordWrap/>
        <w:overflowPunct/>
        <w:topLinePunct w:val="0"/>
        <w:autoSpaceDE/>
        <w:autoSpaceDN/>
        <w:bidi w:val="0"/>
        <w:adjustRightInd/>
        <w:snapToGrid/>
        <w:spacing w:before="313" w:beforeLines="100" w:line="360" w:lineRule="auto"/>
        <w:ind w:right="-197" w:rightChars="-94"/>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u w:val="single"/>
          <w:lang w:val="en-US" w:eastAsia="zh-CN"/>
        </w:rPr>
        <w:t xml:space="preserve">               </w:t>
      </w:r>
      <w:r>
        <w:rPr>
          <w:rFonts w:hint="eastAsia" w:asciiTheme="minorEastAsia" w:hAnsiTheme="minorEastAsia" w:eastAsiaTheme="minorEastAsia"/>
          <w:color w:val="auto"/>
          <w:kern w:val="0"/>
          <w:szCs w:val="21"/>
          <w:highlight w:val="none"/>
        </w:rPr>
        <w:t>：</w:t>
      </w:r>
    </w:p>
    <w:p>
      <w:pPr>
        <w:widowControl/>
        <w:spacing w:before="120" w:beforeLines="50" w:line="360" w:lineRule="auto"/>
        <w:ind w:right="-197" w:rightChars="-94"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eastAsia="zh-CN"/>
        </w:rPr>
        <w:t>华智建造价咨询有限公司</w:t>
      </w:r>
      <w:r>
        <w:rPr>
          <w:rFonts w:hint="eastAsia" w:ascii="宋体" w:hAnsi="宋体"/>
          <w:color w:val="auto"/>
          <w:kern w:val="0"/>
          <w:szCs w:val="21"/>
          <w:highlight w:val="none"/>
        </w:rPr>
        <w:t>受</w:t>
      </w:r>
      <w:r>
        <w:rPr>
          <w:rFonts w:hint="eastAsia" w:ascii="宋体" w:hAnsi="宋体"/>
          <w:color w:val="auto"/>
          <w:kern w:val="0"/>
          <w:szCs w:val="21"/>
          <w:highlight w:val="none"/>
          <w:u w:val="single"/>
          <w:lang w:eastAsia="zh-CN"/>
        </w:rPr>
        <w:t>咸阳师范学院</w:t>
      </w:r>
      <w:r>
        <w:rPr>
          <w:rFonts w:hint="eastAsia" w:ascii="宋体" w:hAnsi="宋体"/>
          <w:color w:val="auto"/>
          <w:kern w:val="0"/>
          <w:szCs w:val="21"/>
          <w:highlight w:val="none"/>
        </w:rPr>
        <w:t>的委托，经政府采购管理部门批准，按照政府采购程序，对</w:t>
      </w:r>
      <w:r>
        <w:rPr>
          <w:rFonts w:hint="eastAsia" w:ascii="宋体" w:hAnsi="宋体"/>
          <w:color w:val="auto"/>
          <w:kern w:val="0"/>
          <w:szCs w:val="21"/>
          <w:highlight w:val="none"/>
          <w:u w:val="single"/>
        </w:rPr>
        <w:t>咸阳师范学院2023年电子资源征订项目（电子资源数据库建设）</w:t>
      </w:r>
      <w:r>
        <w:rPr>
          <w:rFonts w:hint="eastAsia" w:ascii="宋体" w:hAnsi="宋体"/>
          <w:color w:val="auto"/>
          <w:kern w:val="0"/>
          <w:szCs w:val="21"/>
          <w:highlight w:val="none"/>
        </w:rPr>
        <w:t>进行单一来源采购，由于你单位为本项目唯一供应商，现邀请你单位参与本项目采购活动，按照本项目单一来源采购文件的要求，编写单一来源采购响应文件，并按照邀请书规定的地点、时间，就本项目的商务、技术和报价等有关问题进行谈判。</w:t>
      </w:r>
    </w:p>
    <w:p>
      <w:pPr>
        <w:pStyle w:val="4"/>
        <w:spacing w:before="240" w:beforeLines="10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一、项目基本情况</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项目编号：HZJZS2023-0072</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项目名称：咸阳师范学院2023年电子资源征订项目（电子资源数据库建设）</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合同包号：</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包1：中国知网系列数据库</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包2：万方学位论文库</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包3：Springer数据</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包4：超星系列数据库（含发现系统、书世界两个资源）</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包5：起点考试网</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包6：中国名校精品课</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包7：中国探索教育视频资源服务平台</w:t>
      </w:r>
    </w:p>
    <w:p>
      <w:pPr>
        <w:spacing w:line="360" w:lineRule="auto"/>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包8：悦听有声数字图书馆</w:t>
      </w:r>
    </w:p>
    <w:p>
      <w:pPr>
        <w:spacing w:line="360" w:lineRule="auto"/>
        <w:ind w:firstLine="420" w:firstLineChars="200"/>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包9：掌阅精选数字图书馆</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80</w:t>
      </w:r>
      <w:r>
        <w:rPr>
          <w:rFonts w:hint="eastAsia" w:ascii="宋体" w:hAnsi="宋体"/>
          <w:color w:val="auto"/>
          <w:szCs w:val="21"/>
          <w:highlight w:val="none"/>
          <w:lang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0</w:t>
      </w:r>
      <w:r>
        <w:rPr>
          <w:rFonts w:hint="eastAsia" w:ascii="宋体" w:hAnsi="宋体"/>
          <w:color w:val="auto"/>
          <w:szCs w:val="21"/>
          <w:highlight w:val="none"/>
        </w:rPr>
        <w:t>0</w:t>
      </w:r>
      <w:r>
        <w:rPr>
          <w:rFonts w:hint="eastAsia" w:ascii="宋体" w:hAnsi="宋体"/>
          <w:color w:val="auto"/>
          <w:szCs w:val="21"/>
          <w:highlight w:val="none"/>
          <w:lang w:val="en-US" w:eastAsia="zh-CN"/>
        </w:rPr>
        <w:t>0</w:t>
      </w:r>
      <w:r>
        <w:rPr>
          <w:rFonts w:hint="eastAsia" w:ascii="宋体" w:hAnsi="宋体"/>
          <w:color w:val="auto"/>
          <w:szCs w:val="21"/>
          <w:highlight w:val="none"/>
        </w:rPr>
        <w:t>.00元</w:t>
      </w:r>
    </w:p>
    <w:p>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采购需求：</w:t>
      </w:r>
      <w:r>
        <w:rPr>
          <w:rFonts w:hint="eastAsia" w:ascii="宋体" w:hAnsi="宋体" w:eastAsia="宋体" w:cs="Times New Roman"/>
          <w:iCs/>
          <w:color w:val="auto"/>
          <w:szCs w:val="21"/>
          <w:highlight w:val="none"/>
          <w:u w:val="single"/>
          <w:lang w:eastAsia="zh-CN"/>
        </w:rPr>
        <w:t>主要功能和技术参数</w:t>
      </w:r>
      <w:r>
        <w:rPr>
          <w:rFonts w:hint="eastAsia" w:ascii="宋体" w:hAnsi="宋体"/>
          <w:iCs/>
          <w:color w:val="auto"/>
          <w:szCs w:val="21"/>
          <w:highlight w:val="none"/>
          <w:u w:val="single"/>
          <w:lang w:eastAsia="zh-CN"/>
        </w:rPr>
        <w:t>详见单一来源采购文件第</w:t>
      </w:r>
      <w:r>
        <w:rPr>
          <w:rFonts w:hint="eastAsia" w:ascii="宋体" w:hAnsi="宋体"/>
          <w:iCs/>
          <w:color w:val="auto"/>
          <w:szCs w:val="21"/>
          <w:highlight w:val="none"/>
          <w:u w:val="single"/>
          <w:lang w:val="en-US" w:eastAsia="zh-CN"/>
        </w:rPr>
        <w:t>三</w:t>
      </w:r>
      <w:r>
        <w:rPr>
          <w:rFonts w:hint="eastAsia" w:ascii="宋体" w:hAnsi="宋体"/>
          <w:iCs/>
          <w:color w:val="auto"/>
          <w:szCs w:val="21"/>
          <w:highlight w:val="none"/>
          <w:u w:val="single"/>
          <w:lang w:eastAsia="zh-CN"/>
        </w:rPr>
        <w:t>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eastAsia="宋体"/>
          <w:color w:val="auto"/>
          <w:szCs w:val="21"/>
          <w:highlight w:val="none"/>
          <w:lang w:val="en-US" w:eastAsia="zh-CN"/>
        </w:rPr>
        <w:t>上年度服务期结束之日起顺延一年</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接受联合体投标。</w:t>
      </w:r>
    </w:p>
    <w:p>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二、</w:t>
      </w:r>
      <w:r>
        <w:rPr>
          <w:rFonts w:hint="eastAsia" w:ascii="宋体" w:hAnsi="宋体" w:eastAsia="宋体" w:cs="宋体"/>
          <w:color w:val="auto"/>
          <w:sz w:val="30"/>
          <w:szCs w:val="30"/>
          <w:highlight w:val="none"/>
          <w:lang w:eastAsia="zh-CN"/>
        </w:rPr>
        <w:t>供应商</w:t>
      </w:r>
      <w:r>
        <w:rPr>
          <w:rFonts w:hint="eastAsia" w:ascii="宋体" w:hAnsi="宋体" w:eastAsia="宋体" w:cs="宋体"/>
          <w:color w:val="auto"/>
          <w:sz w:val="30"/>
          <w:szCs w:val="30"/>
          <w:highlight w:val="none"/>
        </w:rPr>
        <w:t>的资格要求：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eastAsia="zh-CN"/>
        </w:rPr>
        <w:t>无，本项目非专门面向中小企业采购。</w:t>
      </w:r>
    </w:p>
    <w:p>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p>
      <w:pPr>
        <w:pStyle w:val="4"/>
        <w:spacing w:before="120" w:beforeLines="50" w:after="0" w:line="36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三、获取</w:t>
      </w:r>
      <w:r>
        <w:rPr>
          <w:rFonts w:hint="eastAsia" w:ascii="宋体" w:hAnsi="宋体" w:eastAsia="宋体" w:cs="宋体"/>
          <w:color w:val="auto"/>
          <w:sz w:val="30"/>
          <w:szCs w:val="30"/>
          <w:highlight w:val="none"/>
          <w:lang w:eastAsia="zh-CN"/>
        </w:rPr>
        <w:t>单一来源采购文件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29 </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03 </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w:t>
      </w:r>
      <w:r>
        <w:rPr>
          <w:rFonts w:hint="eastAsia" w:ascii="宋体" w:hAnsi="宋体" w:cs="宋体"/>
          <w:color w:val="auto"/>
          <w:szCs w:val="21"/>
          <w:highlight w:val="none"/>
          <w:u w:val="single"/>
          <w:lang w:val="en-US" w:eastAsia="zh-CN"/>
        </w:rPr>
        <w:t>09时</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12时</w:t>
      </w:r>
      <w:r>
        <w:rPr>
          <w:rFonts w:hint="eastAsia" w:ascii="宋体" w:hAnsi="宋体" w:cs="宋体"/>
          <w:color w:val="auto"/>
          <w:szCs w:val="21"/>
          <w:highlight w:val="none"/>
        </w:rPr>
        <w:t>，下午</w:t>
      </w:r>
      <w:r>
        <w:rPr>
          <w:rFonts w:hint="eastAsia" w:ascii="宋体" w:hAnsi="宋体" w:cs="宋体"/>
          <w:color w:val="auto"/>
          <w:szCs w:val="21"/>
          <w:highlight w:val="none"/>
          <w:u w:val="single"/>
          <w:lang w:val="en-US" w:eastAsia="zh-CN"/>
        </w:rPr>
        <w:t>14时</w:t>
      </w:r>
      <w:r>
        <w:rPr>
          <w:rFonts w:hint="eastAsia" w:ascii="宋体" w:hAnsi="宋体" w:cs="宋体"/>
          <w:color w:val="auto"/>
          <w:szCs w:val="21"/>
          <w:highlight w:val="none"/>
        </w:rPr>
        <w:t>至</w:t>
      </w:r>
      <w:r>
        <w:rPr>
          <w:rFonts w:hint="eastAsia" w:ascii="宋体" w:hAnsi="宋体" w:cs="宋体"/>
          <w:color w:val="auto"/>
          <w:szCs w:val="21"/>
          <w:highlight w:val="none"/>
          <w:u w:val="single"/>
          <w:lang w:val="en-US" w:eastAsia="zh-CN"/>
        </w:rPr>
        <w:t>17时</w:t>
      </w:r>
      <w:r>
        <w:rPr>
          <w:rFonts w:hint="eastAsia" w:ascii="宋体" w:hAnsi="宋体" w:cs="宋体"/>
          <w:color w:val="auto"/>
          <w:szCs w:val="21"/>
          <w:highlight w:val="none"/>
        </w:rPr>
        <w:t>（北京时间，法定节假日除外）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地点：西安市莲湖区丰庆路48号1棟三层</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方式：</w:t>
      </w:r>
      <w:r>
        <w:rPr>
          <w:rFonts w:hint="eastAsia" w:ascii="宋体" w:hAnsi="宋体"/>
          <w:color w:val="auto"/>
          <w:szCs w:val="21"/>
          <w:highlight w:val="none"/>
          <w:lang w:eastAsia="zh-CN"/>
        </w:rPr>
        <w:t>☑</w:t>
      </w:r>
      <w:r>
        <w:rPr>
          <w:rFonts w:hint="eastAsia" w:ascii="宋体" w:hAnsi="宋体"/>
          <w:color w:val="auto"/>
          <w:szCs w:val="21"/>
          <w:highlight w:val="none"/>
        </w:rPr>
        <w:t>书面；</w:t>
      </w:r>
      <w:r>
        <w:rPr>
          <w:rFonts w:hint="eastAsia" w:ascii="宋体" w:hAnsi="宋体"/>
          <w:color w:val="auto"/>
          <w:szCs w:val="21"/>
          <w:highlight w:val="none"/>
        </w:rPr>
        <w:sym w:font="Wingdings 2" w:char="00A3"/>
      </w:r>
      <w:r>
        <w:rPr>
          <w:rFonts w:hint="eastAsia" w:ascii="宋体" w:hAnsi="宋体"/>
          <w:color w:val="auto"/>
          <w:szCs w:val="21"/>
          <w:highlight w:val="none"/>
        </w:rPr>
        <w:t>电子。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u w:val="single"/>
          <w:lang w:val="en-US" w:eastAsia="zh-CN"/>
        </w:rPr>
        <w:t>300元/套</w:t>
      </w:r>
      <w:r>
        <w:rPr>
          <w:rFonts w:hint="eastAsia" w:ascii="宋体" w:hAnsi="宋体" w:cs="宋体"/>
          <w:color w:val="auto"/>
          <w:szCs w:val="21"/>
          <w:highlight w:val="none"/>
        </w:rPr>
        <w:t>，售后不退。</w:t>
      </w:r>
    </w:p>
    <w:p>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四、提交</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截止时间、开标时间和地点</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lang w:val="en-US" w:eastAsia="zh-CN"/>
        </w:rPr>
        <w:t>2023</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 xml:space="preserve"> 07 </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 xml:space="preserve"> 12 </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14</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w:t>
      </w:r>
    </w:p>
    <w:p>
      <w:pPr>
        <w:spacing w:line="360" w:lineRule="auto"/>
        <w:ind w:firstLine="420" w:firstLineChars="200"/>
        <w:rPr>
          <w:rFonts w:hint="eastAsia" w:ascii="宋体" w:hAnsi="宋体" w:eastAsia="宋体"/>
          <w:bCs/>
          <w:color w:val="auto"/>
          <w:szCs w:val="21"/>
          <w:highlight w:val="none"/>
          <w:u w:val="single"/>
          <w:lang w:eastAsia="zh-CN"/>
        </w:rPr>
      </w:pPr>
      <w:r>
        <w:rPr>
          <w:rFonts w:hint="eastAsia" w:ascii="宋体" w:hAnsi="宋体"/>
          <w:color w:val="auto"/>
          <w:szCs w:val="21"/>
          <w:highlight w:val="none"/>
        </w:rPr>
        <w:t>地点：西安市莲湖区丰庆路48号1棟三层305室会议室</w:t>
      </w:r>
    </w:p>
    <w:p>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五、公告期限</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3</w:t>
      </w:r>
      <w:r>
        <w:rPr>
          <w:rFonts w:hint="eastAsia" w:ascii="宋体" w:hAnsi="宋体"/>
          <w:color w:val="auto"/>
          <w:szCs w:val="21"/>
          <w:highlight w:val="none"/>
        </w:rPr>
        <w:t>个工作日。</w:t>
      </w:r>
    </w:p>
    <w:p>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六、其他补充事宜</w:t>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u w:val="none"/>
        </w:rPr>
      </w:pPr>
      <w:r>
        <w:rPr>
          <w:rFonts w:hint="eastAsia" w:ascii="宋体" w:hAnsi="宋体" w:eastAsia="宋体" w:cs="宋体"/>
          <w:b w:val="0"/>
          <w:bCs w:val="0"/>
          <w:color w:val="auto"/>
          <w:kern w:val="0"/>
          <w:szCs w:val="21"/>
          <w:highlight w:val="none"/>
          <w:u w:val="none"/>
        </w:rPr>
        <w:fldChar w:fldCharType="begin"/>
      </w:r>
      <w:r>
        <w:rPr>
          <w:rFonts w:hint="eastAsia" w:ascii="宋体" w:hAnsi="宋体" w:eastAsia="宋体" w:cs="宋体"/>
          <w:b w:val="0"/>
          <w:bCs w:val="0"/>
          <w:color w:val="auto"/>
          <w:kern w:val="0"/>
          <w:szCs w:val="21"/>
          <w:highlight w:val="none"/>
          <w:u w:val="none"/>
        </w:rPr>
        <w:instrText xml:space="preserve"> HYPERLINK "mailto:1.潜在供应商获取单一来源采购文件时，须携带供应商出具的对获取人的授权委托书或介绍信原件以及获取人的身份证复印件并加盖公章（携带原件）；潜在供应商可以通过现金，或者金融机构转账等付款方式购买。书面单一来源采购文件现场领取，不提供邮寄；电子单一来源采购文件通过1064572595@qq.com邮箱发送。" </w:instrText>
      </w:r>
      <w:r>
        <w:rPr>
          <w:rFonts w:hint="eastAsia" w:ascii="宋体" w:hAnsi="宋体" w:eastAsia="宋体" w:cs="宋体"/>
          <w:b w:val="0"/>
          <w:bCs w:val="0"/>
          <w:color w:val="auto"/>
          <w:kern w:val="0"/>
          <w:szCs w:val="21"/>
          <w:highlight w:val="none"/>
          <w:u w:val="none"/>
        </w:rPr>
        <w:fldChar w:fldCharType="separate"/>
      </w:r>
      <w:r>
        <w:rPr>
          <w:rStyle w:val="29"/>
          <w:rFonts w:hint="eastAsia" w:ascii="宋体" w:hAnsi="宋体" w:eastAsia="宋体" w:cs="宋体"/>
          <w:b w:val="0"/>
          <w:bCs w:val="0"/>
          <w:color w:val="auto"/>
          <w:kern w:val="0"/>
          <w:szCs w:val="21"/>
          <w:highlight w:val="none"/>
          <w:u w:val="none"/>
        </w:rPr>
        <w:t>1.潜在</w:t>
      </w:r>
      <w:r>
        <w:rPr>
          <w:rStyle w:val="29"/>
          <w:rFonts w:hint="eastAsia" w:ascii="宋体" w:hAnsi="宋体" w:eastAsia="宋体" w:cs="宋体"/>
          <w:b w:val="0"/>
          <w:bCs w:val="0"/>
          <w:color w:val="auto"/>
          <w:kern w:val="0"/>
          <w:szCs w:val="21"/>
          <w:highlight w:val="none"/>
          <w:u w:val="none"/>
          <w:lang w:eastAsia="zh-CN"/>
        </w:rPr>
        <w:t>供应商</w:t>
      </w:r>
      <w:r>
        <w:rPr>
          <w:rStyle w:val="29"/>
          <w:rFonts w:hint="eastAsia" w:ascii="宋体" w:hAnsi="宋体" w:eastAsia="宋体" w:cs="宋体"/>
          <w:b w:val="0"/>
          <w:bCs w:val="0"/>
          <w:color w:val="auto"/>
          <w:kern w:val="0"/>
          <w:szCs w:val="21"/>
          <w:highlight w:val="none"/>
          <w:u w:val="none"/>
        </w:rPr>
        <w:t>获取单一来源采购文件时，须携带</w:t>
      </w:r>
      <w:r>
        <w:rPr>
          <w:rStyle w:val="29"/>
          <w:rFonts w:hint="eastAsia" w:ascii="宋体" w:hAnsi="宋体" w:eastAsia="宋体" w:cs="宋体"/>
          <w:b w:val="0"/>
          <w:bCs w:val="0"/>
          <w:color w:val="auto"/>
          <w:kern w:val="0"/>
          <w:szCs w:val="21"/>
          <w:highlight w:val="none"/>
          <w:u w:val="none"/>
          <w:lang w:eastAsia="zh-CN"/>
        </w:rPr>
        <w:t>供应商</w:t>
      </w:r>
      <w:r>
        <w:rPr>
          <w:rStyle w:val="29"/>
          <w:rFonts w:hint="eastAsia" w:ascii="宋体" w:hAnsi="宋体" w:eastAsia="宋体" w:cs="宋体"/>
          <w:b w:val="0"/>
          <w:bCs w:val="0"/>
          <w:color w:val="auto"/>
          <w:kern w:val="0"/>
          <w:szCs w:val="21"/>
          <w:highlight w:val="none"/>
          <w:u w:val="none"/>
        </w:rPr>
        <w:t>出具的对获取人的授权委托书或介绍信原件以及获取人的身份证复印件</w:t>
      </w:r>
      <w:r>
        <w:rPr>
          <w:rStyle w:val="29"/>
          <w:rFonts w:hint="eastAsia" w:ascii="宋体" w:hAnsi="宋体" w:cs="宋体"/>
          <w:b w:val="0"/>
          <w:bCs w:val="0"/>
          <w:color w:val="auto"/>
          <w:kern w:val="0"/>
          <w:szCs w:val="21"/>
          <w:highlight w:val="none"/>
          <w:u w:val="none"/>
          <w:lang w:val="en-US" w:eastAsia="zh-CN"/>
        </w:rPr>
        <w:t>并加盖公章</w:t>
      </w:r>
      <w:r>
        <w:rPr>
          <w:rStyle w:val="29"/>
          <w:rFonts w:hint="eastAsia" w:ascii="宋体" w:hAnsi="宋体" w:eastAsia="宋体" w:cs="宋体"/>
          <w:b w:val="0"/>
          <w:bCs w:val="0"/>
          <w:color w:val="auto"/>
          <w:kern w:val="0"/>
          <w:szCs w:val="21"/>
          <w:highlight w:val="none"/>
          <w:u w:val="none"/>
        </w:rPr>
        <w:t>（携带原件）；潜在</w:t>
      </w:r>
      <w:r>
        <w:rPr>
          <w:rStyle w:val="29"/>
          <w:rFonts w:hint="eastAsia" w:ascii="宋体" w:hAnsi="宋体" w:eastAsia="宋体" w:cs="宋体"/>
          <w:b w:val="0"/>
          <w:bCs w:val="0"/>
          <w:color w:val="auto"/>
          <w:kern w:val="0"/>
          <w:szCs w:val="21"/>
          <w:highlight w:val="none"/>
          <w:u w:val="none"/>
          <w:lang w:eastAsia="zh-CN"/>
        </w:rPr>
        <w:t>供应商</w:t>
      </w:r>
      <w:r>
        <w:rPr>
          <w:rStyle w:val="29"/>
          <w:rFonts w:hint="eastAsia" w:ascii="宋体" w:hAnsi="宋体" w:eastAsia="宋体" w:cs="宋体"/>
          <w:b w:val="0"/>
          <w:bCs w:val="0"/>
          <w:color w:val="auto"/>
          <w:kern w:val="0"/>
          <w:szCs w:val="21"/>
          <w:highlight w:val="none"/>
          <w:u w:val="none"/>
        </w:rPr>
        <w:t>可以通过现金，或者金融机构转账等付款方式购买。书面</w:t>
      </w:r>
      <w:r>
        <w:rPr>
          <w:rStyle w:val="29"/>
          <w:rFonts w:hint="eastAsia" w:ascii="宋体" w:hAnsi="宋体" w:cs="宋体"/>
          <w:b w:val="0"/>
          <w:bCs w:val="0"/>
          <w:color w:val="auto"/>
          <w:kern w:val="0"/>
          <w:szCs w:val="21"/>
          <w:highlight w:val="none"/>
          <w:u w:val="none"/>
          <w:lang w:eastAsia="zh-CN"/>
        </w:rPr>
        <w:t>单一来源采购文件</w:t>
      </w:r>
      <w:r>
        <w:rPr>
          <w:rStyle w:val="29"/>
          <w:rFonts w:hint="eastAsia" w:ascii="宋体" w:hAnsi="宋体" w:eastAsia="宋体" w:cs="宋体"/>
          <w:b w:val="0"/>
          <w:bCs w:val="0"/>
          <w:color w:val="auto"/>
          <w:kern w:val="0"/>
          <w:szCs w:val="21"/>
          <w:highlight w:val="none"/>
          <w:u w:val="none"/>
        </w:rPr>
        <w:t>现场领取，不提供邮寄；电子</w:t>
      </w:r>
      <w:r>
        <w:rPr>
          <w:rStyle w:val="29"/>
          <w:rFonts w:hint="eastAsia" w:ascii="宋体" w:hAnsi="宋体" w:cs="宋体"/>
          <w:b w:val="0"/>
          <w:bCs w:val="0"/>
          <w:color w:val="auto"/>
          <w:kern w:val="0"/>
          <w:szCs w:val="21"/>
          <w:highlight w:val="none"/>
          <w:u w:val="none"/>
          <w:lang w:eastAsia="zh-CN"/>
        </w:rPr>
        <w:t>单一来源采购文件</w:t>
      </w:r>
      <w:r>
        <w:rPr>
          <w:rStyle w:val="29"/>
          <w:rFonts w:hint="eastAsia" w:ascii="宋体" w:hAnsi="宋体" w:eastAsia="宋体" w:cs="宋体"/>
          <w:b w:val="0"/>
          <w:bCs w:val="0"/>
          <w:color w:val="auto"/>
          <w:kern w:val="0"/>
          <w:szCs w:val="21"/>
          <w:highlight w:val="none"/>
          <w:u w:val="none"/>
        </w:rPr>
        <w:t>通过</w:t>
      </w:r>
      <w:r>
        <w:rPr>
          <w:rStyle w:val="29"/>
          <w:rFonts w:hint="eastAsia" w:ascii="宋体" w:hAnsi="宋体" w:cs="宋体"/>
          <w:b w:val="0"/>
          <w:bCs w:val="0"/>
          <w:color w:val="auto"/>
          <w:kern w:val="0"/>
          <w:szCs w:val="21"/>
          <w:highlight w:val="none"/>
          <w:u w:val="none"/>
          <w:lang w:val="en-US" w:eastAsia="zh-CN"/>
        </w:rPr>
        <w:t>1064572595</w:t>
      </w:r>
      <w:r>
        <w:rPr>
          <w:rStyle w:val="29"/>
          <w:rFonts w:hint="eastAsia" w:ascii="宋体" w:hAnsi="宋体" w:eastAsia="宋体" w:cs="宋体"/>
          <w:b w:val="0"/>
          <w:bCs w:val="0"/>
          <w:color w:val="auto"/>
          <w:kern w:val="0"/>
          <w:szCs w:val="21"/>
          <w:highlight w:val="none"/>
          <w:u w:val="none"/>
        </w:rPr>
        <w:t>@qq.com邮箱发送。</w:t>
      </w:r>
      <w:r>
        <w:rPr>
          <w:rFonts w:hint="eastAsia" w:ascii="宋体" w:hAnsi="宋体" w:eastAsia="宋体" w:cs="宋体"/>
          <w:b w:val="0"/>
          <w:bCs w:val="0"/>
          <w:color w:val="auto"/>
          <w:kern w:val="0"/>
          <w:szCs w:val="21"/>
          <w:highlight w:val="none"/>
          <w:u w:val="none"/>
        </w:rPr>
        <w:fldChar w:fldCharType="end"/>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2.请潜在投标人务必按照《陕西省财政厅关于政府采购供应商注册登记有关事项的通知》要求，通过陕西省政府采购网（http://www.ccgp-shaanxi.gov.cn/）进行陕西政府采购统一身份认证注册登记。</w:t>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3.本项目需要落实的政府采购政策：</w:t>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中小企业发展政策：《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绿色发展政策：《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（3）支持本国产业政策：《财政部关于印发&lt;进口产品管理办法&gt;的通知》（财库[2007]119号）；《财政部办公厅关于政府采购进口产品管理有关问题的通知》（财办库[2008]248号）。</w:t>
      </w:r>
    </w:p>
    <w:p>
      <w:pPr>
        <w:widowControl/>
        <w:spacing w:line="360" w:lineRule="auto"/>
        <w:ind w:right="-197" w:rightChars="-94" w:firstLine="420" w:firstLineChars="200"/>
        <w:jc w:val="left"/>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（4）支持创新等政府采购政策。</w:t>
      </w:r>
    </w:p>
    <w:p>
      <w:pPr>
        <w:pStyle w:val="4"/>
        <w:spacing w:before="120" w:beforeLines="50" w:after="0" w:line="360" w:lineRule="auto"/>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七、对本次招标提出询问，请按</w:t>
      </w:r>
      <w:r>
        <w:rPr>
          <w:rFonts w:ascii="宋体" w:hAnsi="宋体" w:eastAsia="宋体" w:cs="宋体"/>
          <w:color w:val="auto"/>
          <w:sz w:val="30"/>
          <w:szCs w:val="30"/>
          <w:highlight w:val="none"/>
        </w:rPr>
        <w:t>以下方式</w:t>
      </w:r>
      <w:r>
        <w:rPr>
          <w:rFonts w:hint="eastAsia" w:ascii="宋体" w:hAnsi="宋体" w:eastAsia="宋体" w:cs="宋体"/>
          <w:color w:val="auto"/>
          <w:sz w:val="30"/>
          <w:szCs w:val="30"/>
          <w:highlight w:val="none"/>
        </w:rPr>
        <w:t>联系。</w:t>
      </w:r>
    </w:p>
    <w:p>
      <w:pPr>
        <w:widowControl/>
        <w:tabs>
          <w:tab w:val="left" w:pos="426"/>
        </w:tabs>
        <w:spacing w:line="360" w:lineRule="auto"/>
        <w:jc w:val="left"/>
        <w:rPr>
          <w:rFonts w:hint="eastAsia" w:ascii="宋体" w:hAnsi="宋体" w:eastAsia="宋体" w:cs="宋体"/>
          <w:color w:val="auto"/>
          <w:szCs w:val="21"/>
          <w:highlight w:val="none"/>
        </w:rPr>
      </w:pPr>
      <w:r>
        <w:rPr>
          <w:rFonts w:hint="eastAsia" w:ascii="仿宋" w:hAnsi="仿宋" w:eastAsia="仿宋" w:cs="宋体"/>
          <w:color w:val="auto"/>
          <w:sz w:val="28"/>
          <w:szCs w:val="28"/>
          <w:highlight w:val="none"/>
        </w:rPr>
        <w:t>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Cs w:val="21"/>
          <w:highlight w:val="none"/>
        </w:rPr>
        <w:t>1.采购人信息</w:t>
      </w:r>
    </w:p>
    <w:p>
      <w:pPr>
        <w:pStyle w:val="4"/>
        <w:shd w:val="clear" w:color="auto" w:fill="auto"/>
        <w:spacing w:before="0" w:after="0" w:line="360" w:lineRule="auto"/>
        <w:ind w:firstLine="420" w:firstLineChars="200"/>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rPr>
        <w:t>名称：</w:t>
      </w:r>
      <w:r>
        <w:rPr>
          <w:rFonts w:hint="eastAsia" w:ascii="宋体" w:hAnsi="宋体" w:eastAsia="宋体" w:cs="宋体"/>
          <w:b w:val="0"/>
          <w:color w:val="auto"/>
          <w:sz w:val="21"/>
          <w:szCs w:val="21"/>
          <w:highlight w:val="none"/>
          <w:u w:val="single"/>
          <w:lang w:eastAsia="zh-CN"/>
        </w:rPr>
        <w:t>咸阳师范学院</w:t>
      </w:r>
    </w:p>
    <w:p>
      <w:pPr>
        <w:shd w:val="clear" w:color="auto" w:fill="auto"/>
        <w:spacing w:line="360" w:lineRule="auto"/>
        <w:ind w:left="101" w:leftChars="48" w:firstLine="315" w:firstLineChars="150"/>
        <w:jc w:val="left"/>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地址：咸阳市文林路</w:t>
      </w:r>
    </w:p>
    <w:p>
      <w:pPr>
        <w:shd w:val="clear" w:color="auto" w:fill="auto"/>
        <w:spacing w:line="360" w:lineRule="auto"/>
        <w:ind w:left="101" w:leftChars="48" w:firstLine="315" w:firstLineChars="15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联系方式</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 xml:space="preserve">029-33720069 </w:t>
      </w:r>
    </w:p>
    <w:p>
      <w:pPr>
        <w:shd w:val="clear" w:color="auto" w:fill="auto"/>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华智建造价咨询有限公司</w:t>
      </w:r>
      <w:r>
        <w:rPr>
          <w:rFonts w:hint="eastAsia" w:ascii="宋体" w:hAnsi="宋体" w:eastAsia="宋体" w:cs="宋体"/>
          <w:color w:val="auto"/>
          <w:szCs w:val="21"/>
          <w:highlight w:val="none"/>
        </w:rPr>
        <w:t xml:space="preserve"> </w:t>
      </w:r>
    </w:p>
    <w:p>
      <w:pPr>
        <w:shd w:val="clear" w:color="auto" w:fill="auto"/>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地址：西安市莲湖区丰庆路48号1棟三层</w:t>
      </w:r>
    </w:p>
    <w:p>
      <w:pPr>
        <w:shd w:val="clear" w:color="auto" w:fill="auto"/>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w:t>
      </w:r>
      <w:r>
        <w:rPr>
          <w:rFonts w:hint="eastAsia" w:ascii="宋体" w:hAnsi="宋体" w:cs="宋体"/>
          <w:color w:val="auto"/>
          <w:szCs w:val="21"/>
          <w:highlight w:val="none"/>
          <w:lang w:val="en-US" w:eastAsia="zh-CN"/>
        </w:rPr>
        <w:t>18302992489</w:t>
      </w:r>
    </w:p>
    <w:p>
      <w:pPr>
        <w:shd w:val="clear" w:color="auto" w:fill="auto"/>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3.项目联系方式</w:t>
      </w:r>
    </w:p>
    <w:p>
      <w:pPr>
        <w:pStyle w:val="15"/>
        <w:shd w:val="clear" w:color="auto" w:fill="auto"/>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项目联系人：</w:t>
      </w:r>
      <w:r>
        <w:rPr>
          <w:rFonts w:hint="eastAsia" w:hAnsi="宋体" w:cs="宋体"/>
          <w:color w:val="auto"/>
          <w:highlight w:val="none"/>
          <w:u w:val="single"/>
          <w:lang w:val="en-US" w:eastAsia="zh-CN"/>
        </w:rPr>
        <w:t>王树森</w:t>
      </w:r>
    </w:p>
    <w:p>
      <w:pPr>
        <w:shd w:val="clear" w:color="auto" w:fill="auto"/>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val="en-US" w:eastAsia="zh-CN"/>
        </w:rPr>
        <w:t>18302992489</w:t>
      </w:r>
    </w:p>
    <w:p>
      <w:pPr>
        <w:rPr>
          <w:rFonts w:hint="eastAsia" w:ascii="方正小标宋简体" w:hAnsi="宋体" w:eastAsia="方正小标宋简体"/>
          <w:color w:val="auto"/>
          <w:kern w:val="44"/>
          <w:sz w:val="44"/>
          <w:szCs w:val="44"/>
          <w:highlight w:val="none"/>
        </w:rPr>
      </w:pPr>
      <w:r>
        <w:rPr>
          <w:rFonts w:hint="eastAsia" w:ascii="方正小标宋简体" w:hAnsi="宋体" w:eastAsia="方正小标宋简体"/>
          <w:color w:val="auto"/>
          <w:kern w:val="44"/>
          <w:sz w:val="44"/>
          <w:szCs w:val="44"/>
          <w:highlight w:val="none"/>
        </w:rPr>
        <w:br w:type="page"/>
      </w:r>
    </w:p>
    <w:p>
      <w:pPr>
        <w:spacing w:after="50" w:line="60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kern w:val="44"/>
          <w:sz w:val="44"/>
          <w:szCs w:val="44"/>
          <w:highlight w:val="none"/>
        </w:rPr>
        <w:t>第二</w:t>
      </w:r>
      <w:r>
        <w:rPr>
          <w:rFonts w:hint="eastAsia" w:ascii="方正小标宋简体" w:hAnsi="宋体" w:eastAsia="方正小标宋简体"/>
          <w:color w:val="auto"/>
          <w:sz w:val="44"/>
          <w:szCs w:val="44"/>
          <w:highlight w:val="none"/>
        </w:rPr>
        <w:t>章  谈判须知</w:t>
      </w:r>
      <w:bookmarkEnd w:id="7"/>
      <w:bookmarkEnd w:id="8"/>
      <w:bookmarkEnd w:id="9"/>
      <w:bookmarkEnd w:id="10"/>
      <w:bookmarkEnd w:id="11"/>
      <w:bookmarkStart w:id="16" w:name="_Toc184274915"/>
      <w:bookmarkStart w:id="17" w:name="_Toc184283909"/>
    </w:p>
    <w:p>
      <w:pPr>
        <w:rPr>
          <w:color w:val="auto"/>
          <w:highlight w:val="none"/>
        </w:rPr>
      </w:pPr>
    </w:p>
    <w:p>
      <w:pPr>
        <w:pStyle w:val="4"/>
        <w:spacing w:line="240" w:lineRule="exact"/>
        <w:jc w:val="center"/>
        <w:rPr>
          <w:rFonts w:asciiTheme="minorEastAsia" w:hAnsiTheme="minorEastAsia" w:eastAsiaTheme="minorEastAsia"/>
          <w:color w:val="auto"/>
          <w:sz w:val="32"/>
          <w:szCs w:val="32"/>
          <w:highlight w:val="none"/>
        </w:rPr>
      </w:pPr>
      <w:bookmarkStart w:id="18" w:name="_Toc213397010"/>
      <w:bookmarkStart w:id="19" w:name="_Toc213496268"/>
      <w:bookmarkStart w:id="20" w:name="_Toc217446032"/>
      <w:bookmarkStart w:id="21" w:name="_Toc213396760"/>
      <w:bookmarkStart w:id="22" w:name="_Toc213396946"/>
      <w:bookmarkStart w:id="23" w:name="_Toc189727030"/>
      <w:r>
        <w:rPr>
          <w:rFonts w:hint="eastAsia" w:asciiTheme="minorEastAsia" w:hAnsiTheme="minorEastAsia" w:eastAsiaTheme="minorEastAsia"/>
          <w:color w:val="auto"/>
          <w:sz w:val="32"/>
          <w:szCs w:val="32"/>
          <w:highlight w:val="none"/>
        </w:rPr>
        <w:t>谈判须知前附表</w:t>
      </w:r>
      <w:bookmarkEnd w:id="16"/>
      <w:bookmarkEnd w:id="17"/>
      <w:bookmarkEnd w:id="18"/>
      <w:bookmarkEnd w:id="19"/>
      <w:bookmarkEnd w:id="20"/>
      <w:bookmarkEnd w:id="21"/>
      <w:bookmarkEnd w:id="22"/>
      <w:bookmarkEnd w:id="23"/>
    </w:p>
    <w:tbl>
      <w:tblPr>
        <w:tblStyle w:val="24"/>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11"/>
        <w:gridCol w:w="2050"/>
        <w:gridCol w:w="664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11" w:type="dxa"/>
            <w:tcBorders>
              <w:top w:val="single" w:color="auto" w:sz="18" w:space="0"/>
              <w:left w:val="single" w:color="auto" w:sz="18" w:space="0"/>
              <w:bottom w:val="single" w:color="auto" w:sz="8" w:space="0"/>
              <w:right w:val="single" w:color="auto" w:sz="8" w:space="0"/>
            </w:tcBorders>
            <w:vAlign w:val="center"/>
          </w:tcPr>
          <w:p>
            <w:pPr>
              <w:pStyle w:val="33"/>
              <w:ind w:left="9"/>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序号 </w:t>
            </w:r>
          </w:p>
        </w:tc>
        <w:tc>
          <w:tcPr>
            <w:tcW w:w="2050" w:type="dxa"/>
            <w:tcBorders>
              <w:top w:val="single" w:color="auto" w:sz="1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内容</w:t>
            </w:r>
          </w:p>
        </w:tc>
        <w:tc>
          <w:tcPr>
            <w:tcW w:w="6640" w:type="dxa"/>
            <w:tcBorders>
              <w:top w:val="single" w:color="auto" w:sz="18" w:space="0"/>
              <w:left w:val="single" w:color="auto" w:sz="8" w:space="0"/>
              <w:bottom w:val="single" w:color="auto" w:sz="8" w:space="0"/>
              <w:right w:val="single" w:color="auto" w:sz="1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5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采购人</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hd w:val="clear" w:color="auto" w:fill="auto"/>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称:咸阳师范学院</w:t>
            </w:r>
          </w:p>
          <w:p>
            <w:pPr>
              <w:pStyle w:val="33"/>
              <w:shd w:val="clear" w:color="auto" w:fill="auto"/>
              <w:spacing w:line="360" w:lineRule="auto"/>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地  址:咸阳市文林路 </w:t>
            </w:r>
          </w:p>
          <w:p>
            <w:pPr>
              <w:pStyle w:val="33"/>
              <w:shd w:val="clear" w:color="auto" w:fill="auto"/>
              <w:spacing w:line="360" w:lineRule="auto"/>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en-US" w:eastAsia="zh-CN"/>
              </w:rPr>
              <w:t>029-33720069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采购代理机构</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hd w:val="clear" w:color="auto" w:fill="auto"/>
              <w:spacing w:line="360" w:lineRule="auto"/>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名  称: 华智建造价咨询有限公司</w:t>
            </w:r>
          </w:p>
          <w:p>
            <w:pPr>
              <w:widowControl/>
              <w:shd w:val="clear" w:color="auto" w:fill="auto"/>
              <w:tabs>
                <w:tab w:val="left" w:pos="1620"/>
              </w:tabs>
              <w:spacing w:line="360" w:lineRule="auto"/>
              <w:ind w:right="-197" w:rightChars="-94" w:firstLine="210" w:firstLineChars="1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地  址:</w:t>
            </w:r>
            <w:r>
              <w:rPr>
                <w:rFonts w:hint="eastAsia" w:ascii="宋体" w:hAnsi="宋体" w:eastAsia="宋体" w:cs="宋体"/>
                <w:color w:val="auto"/>
                <w:sz w:val="21"/>
                <w:szCs w:val="21"/>
                <w:highlight w:val="none"/>
              </w:rPr>
              <w:t xml:space="preserve"> 西安市莲湖区丰庆路48号1棟三层305室</w:t>
            </w:r>
          </w:p>
          <w:p>
            <w:pPr>
              <w:pStyle w:val="33"/>
              <w:shd w:val="clear" w:color="auto" w:fill="auto"/>
              <w:spacing w:line="360" w:lineRule="auto"/>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 xml:space="preserve"> 王树森</w:t>
            </w:r>
          </w:p>
          <w:p>
            <w:pPr>
              <w:pStyle w:val="33"/>
              <w:shd w:val="clear" w:color="auto" w:fill="auto"/>
              <w:spacing w:line="360" w:lineRule="auto"/>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lang w:val="en-US" w:eastAsia="zh-CN"/>
              </w:rPr>
              <w:t>18302992489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w:t>
            </w:r>
          </w:p>
        </w:tc>
        <w:tc>
          <w:tcPr>
            <w:tcW w:w="6640" w:type="dxa"/>
            <w:tcBorders>
              <w:top w:val="single" w:color="auto" w:sz="8" w:space="0"/>
              <w:left w:val="single" w:color="auto" w:sz="8" w:space="0"/>
              <w:bottom w:val="single" w:color="auto" w:sz="8" w:space="0"/>
              <w:right w:val="single" w:color="auto" w:sz="18" w:space="0"/>
            </w:tcBorders>
            <w:vAlign w:val="center"/>
          </w:tcPr>
          <w:p>
            <w:pPr>
              <w:ind w:firstLine="210" w:firstLineChars="10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咸阳师范学院2023年电子资源征订项目（电子资源数据库建设）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采购项目编号</w:t>
            </w:r>
          </w:p>
        </w:tc>
        <w:tc>
          <w:tcPr>
            <w:tcW w:w="6640" w:type="dxa"/>
            <w:tcBorders>
              <w:top w:val="single" w:color="auto" w:sz="8" w:space="0"/>
              <w:left w:val="single" w:color="auto" w:sz="8" w:space="0"/>
              <w:bottom w:val="single" w:color="auto" w:sz="8" w:space="0"/>
              <w:right w:val="single" w:color="auto" w:sz="18" w:space="0"/>
            </w:tcBorders>
            <w:vAlign w:val="center"/>
          </w:tcPr>
          <w:p>
            <w:pPr>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HZJZS2023-0072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资金来源</w:t>
            </w:r>
          </w:p>
        </w:tc>
        <w:tc>
          <w:tcPr>
            <w:tcW w:w="6640" w:type="dxa"/>
            <w:tcBorders>
              <w:top w:val="single" w:color="auto" w:sz="8" w:space="0"/>
              <w:left w:val="single" w:color="auto" w:sz="8" w:space="0"/>
              <w:bottom w:val="single" w:color="auto" w:sz="8" w:space="0"/>
              <w:right w:val="single" w:color="auto" w:sz="18" w:space="0"/>
            </w:tcBorders>
            <w:vAlign w:val="center"/>
          </w:tcPr>
          <w:p>
            <w:pPr>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财政</w:t>
            </w:r>
            <w:r>
              <w:rPr>
                <w:rFonts w:hint="eastAsia" w:ascii="宋体" w:hAnsi="宋体" w:eastAsia="宋体" w:cs="宋体"/>
                <w:color w:val="auto"/>
                <w:sz w:val="21"/>
                <w:szCs w:val="21"/>
                <w:highlight w:val="none"/>
                <w:lang w:eastAsia="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5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采购预算金额</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本项目采购预算金额</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310200.00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90000.00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99800.00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130000.00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35000.00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40000.00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35000.00</w:t>
            </w:r>
            <w:r>
              <w:rPr>
                <w:rFonts w:hint="eastAsia" w:ascii="宋体" w:hAnsi="宋体" w:eastAsia="宋体" w:cs="宋体"/>
                <w:color w:val="auto"/>
                <w:sz w:val="21"/>
                <w:szCs w:val="21"/>
                <w:highlight w:val="none"/>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各包</w:t>
            </w:r>
            <w:r>
              <w:rPr>
                <w:rFonts w:hint="eastAsia" w:ascii="宋体" w:hAnsi="宋体" w:eastAsia="宋体" w:cs="宋体"/>
                <w:color w:val="auto"/>
                <w:sz w:val="21"/>
                <w:szCs w:val="21"/>
                <w:highlight w:val="none"/>
              </w:rPr>
              <w:t>供应商报价超出采购预算金额，作为不实质性响应采购文件，按无效响应文件处理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43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项目用途</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学校</w:t>
            </w:r>
            <w:r>
              <w:rPr>
                <w:rFonts w:hint="eastAsia" w:ascii="宋体" w:hAnsi="宋体" w:eastAsia="宋体" w:cs="宋体"/>
                <w:color w:val="auto"/>
                <w:sz w:val="21"/>
                <w:szCs w:val="21"/>
                <w:highlight w:val="none"/>
                <w:lang w:val="zh-CN"/>
              </w:rPr>
              <w:t>自用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8</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采购方式</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单一来源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9</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8"/>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采购内容</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采购</w:t>
            </w:r>
            <w:r>
              <w:rPr>
                <w:rFonts w:hint="eastAsia" w:ascii="宋体" w:hAnsi="宋体" w:eastAsia="宋体" w:cs="宋体"/>
                <w:color w:val="auto"/>
                <w:sz w:val="21"/>
                <w:szCs w:val="21"/>
                <w:highlight w:val="none"/>
                <w:lang w:val="en-US" w:eastAsia="zh-CN"/>
              </w:rPr>
              <w:t>本次数据内容：</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包1：中国知网系列数据库</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包2：</w:t>
            </w:r>
            <w:r>
              <w:rPr>
                <w:rFonts w:hint="eastAsia" w:ascii="宋体" w:hAnsi="宋体" w:eastAsia="宋体" w:cs="宋体"/>
                <w:color w:val="auto"/>
                <w:sz w:val="21"/>
                <w:szCs w:val="21"/>
                <w:highlight w:val="none"/>
              </w:rPr>
              <w:t>万方学位论文</w:t>
            </w:r>
            <w:r>
              <w:rPr>
                <w:rFonts w:hint="eastAsia" w:ascii="宋体" w:hAnsi="宋体" w:eastAsia="宋体" w:cs="宋体"/>
                <w:color w:val="auto"/>
                <w:sz w:val="21"/>
                <w:szCs w:val="21"/>
                <w:highlight w:val="none"/>
                <w:lang w:eastAsia="zh-CN"/>
              </w:rPr>
              <w:t>库</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包3：</w:t>
            </w:r>
            <w:r>
              <w:rPr>
                <w:rFonts w:hint="eastAsia" w:ascii="宋体" w:hAnsi="宋体" w:eastAsia="宋体" w:cs="宋体"/>
                <w:color w:val="auto"/>
                <w:sz w:val="21"/>
                <w:szCs w:val="21"/>
                <w:highlight w:val="none"/>
              </w:rPr>
              <w:t>Springer数据</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包4：</w:t>
            </w:r>
            <w:r>
              <w:rPr>
                <w:rFonts w:hint="eastAsia" w:ascii="宋体" w:hAnsi="宋体" w:eastAsia="宋体" w:cs="宋体"/>
                <w:color w:val="auto"/>
                <w:sz w:val="21"/>
                <w:szCs w:val="21"/>
                <w:highlight w:val="none"/>
              </w:rPr>
              <w:t>超星系列数据库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含发现系统、书世界两个资源</w:t>
            </w:r>
            <w:r>
              <w:rPr>
                <w:rFonts w:hint="eastAsia" w:ascii="宋体" w:hAnsi="宋体" w:eastAsia="宋体" w:cs="宋体"/>
                <w:color w:val="auto"/>
                <w:sz w:val="21"/>
                <w:szCs w:val="21"/>
                <w:highlight w:val="none"/>
                <w:lang w:eastAsia="zh-CN"/>
              </w:rPr>
              <w:t>）</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包5：</w:t>
            </w:r>
            <w:r>
              <w:rPr>
                <w:rFonts w:hint="eastAsia" w:ascii="宋体" w:hAnsi="宋体" w:eastAsia="宋体" w:cs="宋体"/>
                <w:color w:val="auto"/>
                <w:sz w:val="21"/>
                <w:szCs w:val="21"/>
                <w:highlight w:val="none"/>
              </w:rPr>
              <w:t>起点考试网</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包6：</w:t>
            </w:r>
            <w:r>
              <w:rPr>
                <w:rFonts w:hint="eastAsia" w:ascii="宋体" w:hAnsi="宋体" w:eastAsia="宋体" w:cs="宋体"/>
                <w:color w:val="auto"/>
                <w:sz w:val="21"/>
                <w:szCs w:val="21"/>
                <w:highlight w:val="none"/>
                <w:lang w:eastAsia="zh-CN"/>
              </w:rPr>
              <w:t>中国名校精品课</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包7：</w:t>
            </w:r>
            <w:r>
              <w:rPr>
                <w:rFonts w:hint="eastAsia" w:ascii="宋体" w:hAnsi="宋体" w:eastAsia="宋体" w:cs="宋体"/>
                <w:color w:val="auto"/>
                <w:kern w:val="2"/>
                <w:sz w:val="21"/>
                <w:szCs w:val="21"/>
                <w:highlight w:val="none"/>
                <w:lang w:val="en-US" w:eastAsia="zh-CN" w:bidi="ar-SA"/>
              </w:rPr>
              <w:t>中国探索教育视频资源服务平台</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包8：</w:t>
            </w:r>
            <w:r>
              <w:rPr>
                <w:rFonts w:hint="eastAsia" w:ascii="宋体" w:hAnsi="宋体" w:eastAsia="宋体" w:cs="宋体"/>
                <w:color w:val="auto"/>
                <w:sz w:val="21"/>
                <w:szCs w:val="21"/>
                <w:highlight w:val="none"/>
                <w:lang w:eastAsia="zh-CN"/>
              </w:rPr>
              <w:t>悦听有声数字图书馆</w:t>
            </w:r>
          </w:p>
          <w:p>
            <w:pPr>
              <w:pStyle w:val="33"/>
              <w:spacing w:line="320" w:lineRule="exact"/>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包9：</w:t>
            </w:r>
            <w:r>
              <w:rPr>
                <w:rFonts w:hint="eastAsia" w:ascii="宋体" w:hAnsi="宋体" w:eastAsia="宋体" w:cs="宋体"/>
                <w:color w:val="auto"/>
                <w:sz w:val="21"/>
                <w:szCs w:val="21"/>
                <w:highlight w:val="none"/>
                <w:lang w:eastAsia="zh-CN"/>
              </w:rPr>
              <w:t>掌阅精选数字图书馆</w:t>
            </w:r>
          </w:p>
          <w:p>
            <w:pPr>
              <w:pStyle w:val="33"/>
              <w:ind w:left="96"/>
              <w:rPr>
                <w:rFonts w:hint="eastAsia" w:ascii="宋体" w:hAnsi="宋体" w:eastAsia="宋体" w:cs="宋体"/>
                <w:color w:val="auto"/>
                <w:sz w:val="21"/>
                <w:szCs w:val="21"/>
                <w:highlight w:val="none"/>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10</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9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left="9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上年度服务期结束之日起顺延一年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地点</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left="96"/>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12</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质量要求、验收标准</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left="9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详见第三章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13</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货款支付方式、时间</w:t>
            </w:r>
          </w:p>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和条件</w:t>
            </w:r>
          </w:p>
        </w:tc>
        <w:tc>
          <w:tcPr>
            <w:tcW w:w="6640" w:type="dxa"/>
            <w:tcBorders>
              <w:top w:val="single" w:color="auto" w:sz="8" w:space="0"/>
              <w:left w:val="single" w:color="auto" w:sz="8" w:space="0"/>
              <w:bottom w:val="single" w:color="auto" w:sz="8" w:space="0"/>
              <w:right w:val="single" w:color="auto" w:sz="18" w:space="0"/>
            </w:tcBorders>
            <w:vAlign w:val="center"/>
          </w:tcPr>
          <w:p>
            <w:pPr>
              <w:spacing w:line="340" w:lineRule="exact"/>
              <w:ind w:right="105" w:rightChars="50"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包1、包2、包3、包4，各分两次支付，合同签订后一个月内支付合同金额的50%，剩余50%于合同执行六个月后无息支付；包5、包6、包7、包8、包9数据库正常使用合同签订后一个月内支付。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14</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采购文件发售</w:t>
            </w:r>
          </w:p>
        </w:tc>
        <w:tc>
          <w:tcPr>
            <w:tcW w:w="6640" w:type="dxa"/>
            <w:tcBorders>
              <w:top w:val="single" w:color="auto" w:sz="8" w:space="0"/>
              <w:left w:val="single" w:color="auto" w:sz="8" w:space="0"/>
              <w:bottom w:val="single" w:color="auto" w:sz="8" w:space="0"/>
              <w:right w:val="single" w:color="auto" w:sz="18" w:space="0"/>
            </w:tcBorders>
          </w:tcPr>
          <w:p>
            <w:pPr>
              <w:widowControl/>
              <w:spacing w:line="360" w:lineRule="auto"/>
              <w:ind w:right="-197" w:rightChars="-94"/>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w:t>
            </w:r>
            <w:r>
              <w:rPr>
                <w:rFonts w:hint="eastAsia" w:ascii="宋体" w:hAnsi="宋体" w:eastAsia="宋体" w:cs="宋体"/>
                <w:color w:val="auto"/>
                <w:kern w:val="0"/>
                <w:sz w:val="21"/>
                <w:szCs w:val="21"/>
                <w:highlight w:val="none"/>
              </w:rPr>
              <w:t>间：</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06</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lang w:val="en-US" w:eastAsia="zh-CN"/>
              </w:rPr>
              <w:t>2023</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03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日</w:t>
            </w:r>
            <w:r>
              <w:rPr>
                <w:rFonts w:hint="eastAsia" w:ascii="宋体" w:hAnsi="宋体" w:eastAsia="宋体" w:cs="宋体"/>
                <w:i/>
                <w:iCs/>
                <w:color w:val="auto"/>
                <w:sz w:val="21"/>
                <w:szCs w:val="21"/>
                <w:highlight w:val="none"/>
                <w:u w:val="single"/>
                <w:lang w:eastAsia="zh-CN"/>
              </w:rPr>
              <w:t>，</w:t>
            </w:r>
            <w:r>
              <w:rPr>
                <w:rFonts w:hint="eastAsia" w:ascii="宋体" w:hAnsi="宋体" w:eastAsia="宋体" w:cs="宋体"/>
                <w:color w:val="auto"/>
                <w:kern w:val="0"/>
                <w:sz w:val="21"/>
                <w:szCs w:val="21"/>
                <w:highlight w:val="none"/>
              </w:rPr>
              <w:t>上午</w:t>
            </w:r>
            <w:r>
              <w:rPr>
                <w:rFonts w:hint="eastAsia" w:ascii="宋体" w:hAnsi="宋体" w:eastAsia="宋体" w:cs="宋体"/>
                <w:color w:val="auto"/>
                <w:kern w:val="0"/>
                <w:sz w:val="21"/>
                <w:szCs w:val="21"/>
                <w:highlight w:val="none"/>
                <w:u w:val="single"/>
              </w:rPr>
              <w:t>09:00-1</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:00</w:t>
            </w:r>
            <w:r>
              <w:rPr>
                <w:rFonts w:hint="eastAsia" w:ascii="宋体" w:hAnsi="宋体" w:eastAsia="宋体" w:cs="宋体"/>
                <w:color w:val="auto"/>
                <w:kern w:val="0"/>
                <w:sz w:val="21"/>
                <w:szCs w:val="21"/>
                <w:highlight w:val="none"/>
              </w:rPr>
              <w:t xml:space="preserve"> ，下午</w:t>
            </w:r>
            <w:r>
              <w:rPr>
                <w:rFonts w:hint="eastAsia" w:ascii="宋体" w:hAnsi="宋体" w:eastAsia="宋体" w:cs="宋体"/>
                <w:color w:val="auto"/>
                <w:kern w:val="0"/>
                <w:sz w:val="21"/>
                <w:szCs w:val="21"/>
                <w:highlight w:val="none"/>
                <w:u w:val="single"/>
              </w:rPr>
              <w:t>14:00-17:00</w:t>
            </w:r>
            <w:r>
              <w:rPr>
                <w:rFonts w:hint="eastAsia" w:ascii="宋体" w:hAnsi="宋体" w:eastAsia="宋体" w:cs="宋体"/>
                <w:color w:val="auto"/>
                <w:kern w:val="0"/>
                <w:sz w:val="21"/>
                <w:szCs w:val="21"/>
                <w:highlight w:val="none"/>
              </w:rPr>
              <w:t>。</w:t>
            </w:r>
          </w:p>
          <w:p>
            <w:pPr>
              <w:widowControl/>
              <w:snapToGrid w:val="0"/>
              <w:spacing w:line="360" w:lineRule="auto"/>
              <w:jc w:val="left"/>
              <w:rPr>
                <w:rFonts w:hint="eastAsia" w:ascii="宋体" w:hAnsi="宋体" w:eastAsia="宋体" w:cs="宋体"/>
                <w:color w:val="auto"/>
                <w:spacing w:val="-20"/>
                <w:kern w:val="0"/>
                <w:sz w:val="21"/>
                <w:szCs w:val="21"/>
                <w:highlight w:val="none"/>
              </w:rPr>
            </w:pPr>
            <w:r>
              <w:rPr>
                <w:rFonts w:hint="eastAsia" w:ascii="宋体" w:hAnsi="宋体" w:eastAsia="宋体" w:cs="宋体"/>
                <w:color w:val="auto"/>
                <w:kern w:val="0"/>
                <w:sz w:val="21"/>
                <w:szCs w:val="21"/>
                <w:highlight w:val="none"/>
              </w:rPr>
              <w:t>获取地点：西安市莲湖区丰庆路48号1棟三层</w:t>
            </w:r>
            <w:r>
              <w:rPr>
                <w:rFonts w:hint="eastAsia" w:ascii="宋体" w:hAnsi="宋体" w:eastAsia="宋体" w:cs="宋体"/>
                <w:color w:val="auto"/>
                <w:spacing w:val="-11"/>
                <w:kern w:val="0"/>
                <w:sz w:val="21"/>
                <w:szCs w:val="21"/>
                <w:highlight w:val="none"/>
              </w:rPr>
              <w:t>。</w:t>
            </w:r>
          </w:p>
          <w:p>
            <w:pPr>
              <w:widowControl/>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文件售价：采购文件每套售价人民币</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00</w:t>
            </w:r>
            <w:r>
              <w:rPr>
                <w:rFonts w:hint="eastAsia" w:ascii="宋体" w:hAnsi="宋体" w:eastAsia="宋体" w:cs="宋体"/>
                <w:color w:val="auto"/>
                <w:kern w:val="0"/>
                <w:sz w:val="21"/>
                <w:szCs w:val="21"/>
                <w:highlight w:val="none"/>
              </w:rPr>
              <w:t>元，售后不退。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转包与分包</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不得转包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16</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52"/>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构成采购文件的</w:t>
            </w:r>
          </w:p>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其他文件</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采购文件的澄清</w:t>
            </w:r>
            <w:r>
              <w:rPr>
                <w:rFonts w:hint="eastAsia" w:ascii="宋体" w:hAnsi="宋体" w:eastAsia="宋体" w:cs="宋体"/>
                <w:color w:val="auto"/>
                <w:sz w:val="21"/>
                <w:szCs w:val="21"/>
                <w:highlight w:val="none"/>
              </w:rPr>
              <w:t>、修改书及有关补充通知为采购文件的有效组成部分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17</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供应商对采购文件</w:t>
            </w:r>
          </w:p>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提出质疑的时间、形式</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时间：自供应商收到采购文件之日起7个工作日内</w:t>
            </w:r>
          </w:p>
          <w:p>
            <w:pPr>
              <w:pStyle w:val="33"/>
              <w:spacing w:line="320" w:lineRule="exact"/>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形式：书面形式（详见</w:t>
            </w:r>
            <w:r>
              <w:rPr>
                <w:rFonts w:hint="eastAsia" w:ascii="宋体" w:hAnsi="宋体" w:eastAsia="宋体" w:cs="宋体"/>
                <w:color w:val="auto"/>
                <w:sz w:val="21"/>
                <w:szCs w:val="21"/>
                <w:highlight w:val="none"/>
              </w:rPr>
              <w:t>谈判须知第8.1条</w:t>
            </w:r>
            <w:r>
              <w:rPr>
                <w:rFonts w:hint="eastAsia" w:ascii="宋体" w:hAnsi="宋体" w:eastAsia="宋体" w:cs="宋体"/>
                <w:color w:val="auto"/>
                <w:sz w:val="21"/>
                <w:szCs w:val="21"/>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7"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18</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对供应商提出质疑</w:t>
            </w:r>
          </w:p>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答复时间、形式</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时间：自收到供应商质疑函之日起7个工作日内</w:t>
            </w:r>
          </w:p>
          <w:p>
            <w:pPr>
              <w:pStyle w:val="33"/>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形式：书面形式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19</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响应文件有效期</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firstLine="210" w:firstLineChars="1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从递交响应文件截止日起90日历</w:t>
            </w:r>
            <w:r>
              <w:rPr>
                <w:rFonts w:hint="eastAsia" w:ascii="宋体" w:hAnsi="宋体" w:eastAsia="宋体" w:cs="宋体"/>
                <w:color w:val="auto"/>
                <w:sz w:val="21"/>
                <w:szCs w:val="21"/>
                <w:highlight w:val="none"/>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20</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是否允许递交多个</w:t>
            </w:r>
          </w:p>
          <w:p>
            <w:pPr>
              <w:pStyle w:val="33"/>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备选投标方案</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left="42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75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3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21</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谈判保证金</w:t>
            </w:r>
          </w:p>
        </w:tc>
        <w:tc>
          <w:tcPr>
            <w:tcW w:w="6640" w:type="dxa"/>
            <w:tcBorders>
              <w:top w:val="single" w:color="auto" w:sz="8" w:space="0"/>
              <w:left w:val="single" w:color="auto" w:sz="8" w:space="0"/>
              <w:bottom w:val="single" w:color="auto" w:sz="8" w:space="0"/>
              <w:right w:val="single" w:color="auto" w:sz="18" w:space="0"/>
            </w:tcBorders>
            <w:vAlign w:val="center"/>
          </w:tcPr>
          <w:p>
            <w:pPr>
              <w:spacing w:line="360" w:lineRule="auto"/>
              <w:ind w:left="281" w:leftChars="13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22</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不予退还谈判保证金的情形</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w:t>
            </w:r>
            <w:r>
              <w:rPr>
                <w:rFonts w:hint="eastAsia" w:ascii="宋体" w:hAnsi="宋体" w:eastAsia="宋体" w:cs="宋体"/>
                <w:color w:val="auto"/>
                <w:sz w:val="21"/>
                <w:szCs w:val="21"/>
                <w:highlight w:val="none"/>
              </w:rPr>
              <w:t>谈判须知第3.5.3.2条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2"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23</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响应文件份数</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一套正本、二套副本和一份电子文件（光盘）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24</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签名盖章</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供应商必须按照采购文件的规定和要求签</w:t>
            </w:r>
            <w:r>
              <w:rPr>
                <w:rFonts w:hint="eastAsia" w:ascii="宋体" w:hAnsi="宋体" w:eastAsia="宋体" w:cs="宋体"/>
                <w:color w:val="auto"/>
                <w:sz w:val="21"/>
                <w:szCs w:val="21"/>
                <w:highlight w:val="none"/>
                <w:lang w:val="en-US" w:eastAsia="zh-CN"/>
              </w:rPr>
              <w:t>名</w:t>
            </w:r>
            <w:r>
              <w:rPr>
                <w:rFonts w:hint="eastAsia" w:ascii="宋体" w:hAnsi="宋体" w:eastAsia="宋体" w:cs="宋体"/>
                <w:color w:val="auto"/>
                <w:sz w:val="21"/>
                <w:szCs w:val="21"/>
                <w:highlight w:val="none"/>
                <w:lang w:val="zh-CN"/>
              </w:rPr>
              <w:t>、盖章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50"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25</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响应文件的封装</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p>
            <w:pPr>
              <w:pStyle w:val="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采购文件按正本和副本分别装订，采用A4页幅、双面打印、左侧胶装方式装订，装订应牢固、不易拆散和换页，活页装订的响应文件按无效响应文件处理。</w:t>
            </w:r>
          </w:p>
          <w:p>
            <w:pPr>
              <w:pStyle w:val="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装袋要求：</w:t>
            </w:r>
          </w:p>
          <w:p>
            <w:pPr>
              <w:pStyle w:val="3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分二袋封装，正本一袋，所有副本一袋；光盘置于正本密封袋中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8"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26</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51" w:leftChars="16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响应文件封面</w:t>
            </w:r>
          </w:p>
          <w:p>
            <w:pPr>
              <w:pStyle w:val="33"/>
              <w:ind w:left="351" w:leftChars="167"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标注</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响应文件正本和副本的封面上均应标明：采购项目名称、采购项目编号、供应商名称、年月日；并分别在右上角标明“正本”和“副本”字样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27</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响应文件外层</w:t>
            </w:r>
          </w:p>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密封袋的标注</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采购项目名称、采购项目编号、供应商名称、年月日、“正本”或“副本”字样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6"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28</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52"/>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响应文件递交</w:t>
            </w:r>
          </w:p>
          <w:p>
            <w:pPr>
              <w:pStyle w:val="33"/>
              <w:ind w:left="352"/>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截至时间</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2023年 0</w:t>
            </w:r>
            <w:r>
              <w:rPr>
                <w:rFonts w:hint="eastAsia"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月</w:t>
            </w:r>
            <w:r>
              <w:rPr>
                <w:rFonts w:hint="eastAsia" w:ascii="宋体" w:hAnsi="宋体" w:eastAsia="宋体" w:cs="宋体"/>
                <w:color w:val="auto"/>
                <w:sz w:val="21"/>
                <w:szCs w:val="21"/>
                <w:highlight w:val="none"/>
                <w:lang w:val="en-US" w:eastAsia="zh-CN"/>
              </w:rPr>
              <w:t xml:space="preserve"> </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 xml:space="preserve"> 日</w:t>
            </w:r>
            <w:r>
              <w:rPr>
                <w:rFonts w:hint="eastAsia" w:cs="宋体"/>
                <w:color w:val="auto"/>
                <w:sz w:val="21"/>
                <w:szCs w:val="21"/>
                <w:highlight w:val="none"/>
                <w:lang w:val="en-US" w:eastAsia="zh-CN"/>
              </w:rPr>
              <w:t>14</w:t>
            </w:r>
            <w:r>
              <w:rPr>
                <w:rFonts w:hint="eastAsia" w:ascii="宋体" w:hAnsi="宋体" w:eastAsia="宋体" w:cs="宋体"/>
                <w:color w:val="auto"/>
                <w:sz w:val="21"/>
                <w:szCs w:val="21"/>
                <w:highlight w:val="none"/>
              </w:rPr>
              <w:t>点30分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29</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递交响应文件地点</w:t>
            </w:r>
          </w:p>
        </w:tc>
        <w:tc>
          <w:tcPr>
            <w:tcW w:w="6640" w:type="dxa"/>
            <w:tcBorders>
              <w:top w:val="single" w:color="auto" w:sz="8" w:space="0"/>
              <w:left w:val="single" w:color="auto" w:sz="8" w:space="0"/>
              <w:bottom w:val="single" w:color="auto" w:sz="8" w:space="0"/>
              <w:right w:val="single" w:color="auto" w:sz="18" w:space="0"/>
            </w:tcBorders>
            <w:vAlign w:val="center"/>
          </w:tcPr>
          <w:p>
            <w:pPr>
              <w:widowControl/>
              <w:tabs>
                <w:tab w:val="left" w:pos="1620"/>
              </w:tabs>
              <w:spacing w:line="360" w:lineRule="auto"/>
              <w:ind w:right="-197" w:rightChars="-94"/>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西安市莲湖区丰庆路48号1棟三层305室会议室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30</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3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响应文件是否退还</w:t>
            </w:r>
          </w:p>
        </w:tc>
        <w:tc>
          <w:tcPr>
            <w:tcW w:w="6640" w:type="dxa"/>
            <w:tcBorders>
              <w:top w:val="single" w:color="auto" w:sz="8" w:space="0"/>
              <w:left w:val="single" w:color="auto" w:sz="8" w:space="0"/>
              <w:bottom w:val="single" w:color="auto" w:sz="8" w:space="0"/>
              <w:right w:val="single" w:color="auto" w:sz="18" w:space="0"/>
            </w:tcBorders>
            <w:vAlign w:val="center"/>
          </w:tcPr>
          <w:p>
            <w:pPr>
              <w:autoSpaceDE w:val="0"/>
              <w:autoSpaceDN w:val="0"/>
              <w:adjustRightInd w:val="0"/>
              <w:ind w:left="2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0"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31</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谈判时间和地点</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谈判时间：同响应文件递交截至时间</w:t>
            </w:r>
          </w:p>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谈判地点：同递交响应文件地点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firstLine="210" w:firstLineChars="1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32</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9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采购小组的组成</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ind w:left="634" w:leftChars="102" w:hanging="420" w:hanging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详见谈判须知第5.2条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rightChars="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 xml:space="preserve"> 33</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96"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成交公告</w:t>
            </w:r>
          </w:p>
          <w:p>
            <w:pPr>
              <w:pStyle w:val="33"/>
              <w:ind w:left="96"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媒介、期限</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公告媒介：陕西政府采购网</w:t>
            </w:r>
          </w:p>
          <w:p>
            <w:pPr>
              <w:pStyle w:val="33"/>
              <w:spacing w:line="32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rightChars="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34</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ind w:left="96" w:leftChars="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履约保证金</w:t>
            </w:r>
          </w:p>
        </w:tc>
        <w:tc>
          <w:tcPr>
            <w:tcW w:w="6640" w:type="dxa"/>
            <w:tcBorders>
              <w:top w:val="single" w:color="auto" w:sz="8" w:space="0"/>
              <w:left w:val="single" w:color="auto" w:sz="8" w:space="0"/>
              <w:bottom w:val="single" w:color="auto" w:sz="8" w:space="0"/>
              <w:right w:val="single" w:color="auto" w:sz="18" w:space="0"/>
            </w:tcBorders>
            <w:vAlign w:val="center"/>
          </w:tcPr>
          <w:p>
            <w:pPr>
              <w:pStyle w:val="33"/>
              <w:spacing w:line="320" w:lineRule="exact"/>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是否要求成交供应商提交履约保证金：</w:t>
            </w:r>
          </w:p>
          <w:p>
            <w:pPr>
              <w:pStyle w:val="33"/>
              <w:spacing w:line="320" w:lineRule="exact"/>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sym w:font="Wingdings 2" w:char="0052"/>
            </w:r>
            <w:r>
              <w:rPr>
                <w:rFonts w:hint="eastAsia" w:ascii="宋体" w:hAnsi="宋体" w:eastAsia="宋体" w:cs="宋体"/>
                <w:color w:val="auto"/>
                <w:sz w:val="21"/>
                <w:szCs w:val="21"/>
                <w:highlight w:val="none"/>
                <w:lang w:val="en-US" w:eastAsia="zh-CN" w:bidi="ar-SA"/>
              </w:rPr>
              <w:t xml:space="preserve">  要求:</w:t>
            </w:r>
          </w:p>
          <w:p>
            <w:pPr>
              <w:pStyle w:val="33"/>
              <w:spacing w:line="320" w:lineRule="exact"/>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xml:space="preserve">    履约保证金的金额：成交金额的5%</w:t>
            </w:r>
          </w:p>
          <w:p>
            <w:pPr>
              <w:pStyle w:val="33"/>
              <w:spacing w:line="320" w:lineRule="exact"/>
              <w:ind w:firstLine="630" w:firstLineChars="3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履约保证金的形式：可采取银行转账或履约担保方式提交</w:t>
            </w:r>
          </w:p>
          <w:p>
            <w:pPr>
              <w:pStyle w:val="33"/>
              <w:spacing w:line="320" w:lineRule="exact"/>
              <w:ind w:firstLine="210" w:firstLineChars="1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 不要求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4"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rightChars="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35</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供应商信用信息</w:t>
            </w:r>
          </w:p>
          <w:p>
            <w:pPr>
              <w:pStyle w:val="33"/>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查询截至时点</w:t>
            </w:r>
          </w:p>
        </w:tc>
        <w:tc>
          <w:tcPr>
            <w:tcW w:w="6640" w:type="dxa"/>
            <w:tcBorders>
              <w:top w:val="single" w:color="auto" w:sz="8" w:space="0"/>
              <w:left w:val="single" w:color="auto" w:sz="8" w:space="0"/>
              <w:bottom w:val="single" w:color="auto" w:sz="8" w:space="0"/>
              <w:right w:val="single" w:color="auto" w:sz="18" w:space="0"/>
            </w:tcBorders>
            <w:vAlign w:val="center"/>
          </w:tcPr>
          <w:p>
            <w:pPr>
              <w:spacing w:line="340" w:lineRule="exact"/>
              <w:ind w:left="210" w:leftChars="0" w:right="105" w:righ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同递交响应文件截至时间当日（供应商自行查询，提供加盖公章的复印件信用截图）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rightChars="0"/>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36</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资格审查时是否</w:t>
            </w:r>
          </w:p>
          <w:p>
            <w:pPr>
              <w:pStyle w:val="33"/>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核验证件</w:t>
            </w:r>
          </w:p>
        </w:tc>
        <w:tc>
          <w:tcPr>
            <w:tcW w:w="6640" w:type="dxa"/>
            <w:tcBorders>
              <w:top w:val="single" w:color="auto" w:sz="8" w:space="0"/>
              <w:left w:val="single" w:color="auto" w:sz="8" w:space="0"/>
              <w:bottom w:val="single" w:color="auto" w:sz="8" w:space="0"/>
              <w:right w:val="single" w:color="auto" w:sz="18" w:space="0"/>
            </w:tcBorders>
            <w:vAlign w:val="center"/>
          </w:tcPr>
          <w:p>
            <w:pPr>
              <w:spacing w:line="340" w:lineRule="exact"/>
              <w:ind w:left="210" w:right="105" w:right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 需要</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文件时需要提供以下原件，未携带原件，或经审验后不合格，视为无效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文件，不得进入后续评审：</w:t>
            </w:r>
          </w:p>
          <w:p>
            <w:pPr>
              <w:spacing w:line="340" w:lineRule="exact"/>
              <w:ind w:left="210" w:leftChars="0" w:right="105" w:right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1、法定代表人授权书及被授权人身份证或法定代表人身份证（法定代表人参加投标）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686" w:hRule="atLeast"/>
          <w:jc w:val="center"/>
        </w:trPr>
        <w:tc>
          <w:tcPr>
            <w:tcW w:w="811" w:type="dxa"/>
            <w:tcBorders>
              <w:top w:val="single" w:color="auto" w:sz="8" w:space="0"/>
              <w:left w:val="single" w:color="auto" w:sz="18" w:space="0"/>
              <w:bottom w:val="single" w:color="auto" w:sz="8" w:space="0"/>
              <w:right w:val="single" w:color="auto" w:sz="8" w:space="0"/>
            </w:tcBorders>
            <w:vAlign w:val="center"/>
          </w:tcPr>
          <w:p>
            <w:pPr>
              <w:pStyle w:val="33"/>
              <w:ind w:right="264" w:righ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37</w:t>
            </w:r>
          </w:p>
        </w:tc>
        <w:tc>
          <w:tcPr>
            <w:tcW w:w="2050" w:type="dxa"/>
            <w:tcBorders>
              <w:top w:val="single" w:color="auto" w:sz="8" w:space="0"/>
              <w:left w:val="single" w:color="auto" w:sz="8" w:space="0"/>
              <w:bottom w:val="single" w:color="auto" w:sz="8" w:space="0"/>
              <w:right w:val="single" w:color="auto" w:sz="8" w:space="0"/>
            </w:tcBorders>
            <w:vAlign w:val="center"/>
          </w:tcPr>
          <w:p>
            <w:pPr>
              <w:pStyle w:val="33"/>
              <w:jc w:val="center"/>
              <w:rPr>
                <w:rFonts w:hint="eastAsia"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rPr>
              <w:t>其他</w:t>
            </w:r>
          </w:p>
        </w:tc>
        <w:tc>
          <w:tcPr>
            <w:tcW w:w="6640" w:type="dxa"/>
            <w:tcBorders>
              <w:top w:val="single" w:color="auto" w:sz="8" w:space="0"/>
              <w:left w:val="single" w:color="auto" w:sz="8" w:space="0"/>
              <w:bottom w:val="single" w:color="auto" w:sz="8" w:space="0"/>
              <w:right w:val="single" w:color="auto" w:sz="18" w:space="0"/>
            </w:tcBorders>
            <w:vAlign w:val="center"/>
          </w:tcPr>
          <w:p>
            <w:pPr>
              <w:spacing w:line="340" w:lineRule="exact"/>
              <w:ind w:left="277" w:leftChars="132" w:right="105" w:rightChars="50" w:firstLine="2" w:firstLineChars="1"/>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p>
        </w:tc>
      </w:tr>
    </w:tbl>
    <w:p>
      <w:pPr>
        <w:pStyle w:val="4"/>
        <w:spacing w:before="0" w:after="120" w:afterLines="50" w:line="240" w:lineRule="auto"/>
        <w:rPr>
          <w:rFonts w:ascii="黑体"/>
          <w:bCs/>
          <w:color w:val="auto"/>
          <w:sz w:val="36"/>
          <w:szCs w:val="36"/>
          <w:highlight w:val="none"/>
        </w:rPr>
      </w:pPr>
      <w:r>
        <w:rPr>
          <w:color w:val="auto"/>
          <w:highlight w:val="none"/>
        </w:rPr>
        <w:br w:type="page"/>
      </w:r>
      <w:bookmarkEnd w:id="12"/>
      <w:bookmarkEnd w:id="13"/>
      <w:bookmarkEnd w:id="14"/>
      <w:bookmarkEnd w:id="15"/>
      <w:bookmarkStart w:id="24" w:name="_Toc77400778"/>
      <w:bookmarkStart w:id="25" w:name="_Toc217446033"/>
      <w:bookmarkStart w:id="26" w:name="_Toc183582204"/>
      <w:bookmarkStart w:id="27" w:name="_Toc89075873"/>
      <w:bookmarkStart w:id="28" w:name="_Toc183682341"/>
      <w:r>
        <w:rPr>
          <w:rFonts w:hint="eastAsia" w:ascii="黑体"/>
          <w:bCs/>
          <w:color w:val="auto"/>
          <w:sz w:val="36"/>
          <w:szCs w:val="36"/>
          <w:highlight w:val="none"/>
        </w:rPr>
        <w:t>1.总  则</w:t>
      </w:r>
      <w:bookmarkEnd w:id="24"/>
      <w:bookmarkEnd w:id="25"/>
      <w:bookmarkEnd w:id="26"/>
      <w:bookmarkEnd w:id="27"/>
      <w:bookmarkEnd w:id="28"/>
      <w:bookmarkStart w:id="29" w:name="_Toc183582205"/>
      <w:bookmarkStart w:id="30" w:name="_Toc183682342"/>
      <w:bookmarkStart w:id="31" w:name="_Toc217446034"/>
    </w:p>
    <w:p>
      <w:pPr>
        <w:pStyle w:val="4"/>
        <w:spacing w:before="240" w:beforeLines="100" w:after="120" w:afterLines="50" w:line="240" w:lineRule="auto"/>
        <w:ind w:firstLine="148" w:firstLineChars="49"/>
        <w:rPr>
          <w:bCs/>
          <w:color w:val="auto"/>
          <w:sz w:val="30"/>
          <w:szCs w:val="30"/>
          <w:highlight w:val="none"/>
        </w:rPr>
      </w:pPr>
      <w:r>
        <w:rPr>
          <w:rFonts w:hint="eastAsia" w:ascii="宋体" w:hAnsi="宋体" w:eastAsia="宋体"/>
          <w:color w:val="auto"/>
          <w:sz w:val="30"/>
          <w:szCs w:val="30"/>
          <w:highlight w:val="none"/>
        </w:rPr>
        <w:t>1.</w:t>
      </w:r>
      <w:bookmarkEnd w:id="29"/>
      <w:bookmarkEnd w:id="30"/>
      <w:r>
        <w:rPr>
          <w:rFonts w:hint="eastAsia" w:ascii="宋体" w:hAnsi="宋体" w:eastAsia="宋体"/>
          <w:color w:val="auto"/>
          <w:sz w:val="30"/>
          <w:szCs w:val="30"/>
          <w:highlight w:val="none"/>
        </w:rPr>
        <w:t>1适用范围</w:t>
      </w:r>
      <w:bookmarkEnd w:id="31"/>
    </w:p>
    <w:p>
      <w:pPr>
        <w:tabs>
          <w:tab w:val="left" w:pos="7665"/>
        </w:tabs>
        <w:spacing w:line="360" w:lineRule="auto"/>
        <w:ind w:firstLine="420" w:firstLineChars="200"/>
        <w:rPr>
          <w:color w:val="auto"/>
          <w:szCs w:val="21"/>
          <w:highlight w:val="none"/>
        </w:rPr>
      </w:pPr>
      <w:r>
        <w:rPr>
          <w:rFonts w:hint="eastAsia"/>
          <w:color w:val="auto"/>
          <w:szCs w:val="21"/>
          <w:highlight w:val="none"/>
        </w:rPr>
        <w:t>本采购文件仅适用于本次单一来源采购所叙述的</w:t>
      </w:r>
      <w:r>
        <w:rPr>
          <w:rFonts w:hint="eastAsia"/>
          <w:color w:val="auto"/>
          <w:szCs w:val="21"/>
          <w:highlight w:val="none"/>
        </w:rPr>
        <w:t>货物（产品）</w:t>
      </w:r>
      <w:r>
        <w:rPr>
          <w:rFonts w:hint="eastAsia"/>
          <w:color w:val="auto"/>
          <w:szCs w:val="21"/>
          <w:highlight w:val="none"/>
        </w:rPr>
        <w:t>项目采购活动。</w:t>
      </w:r>
      <w:bookmarkStart w:id="32" w:name="_Toc183582206"/>
      <w:bookmarkStart w:id="33" w:name="_Toc217446035"/>
      <w:bookmarkStart w:id="34" w:name="_Toc183682343"/>
    </w:p>
    <w:p>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1.2</w:t>
      </w:r>
      <w:bookmarkEnd w:id="32"/>
      <w:bookmarkEnd w:id="33"/>
      <w:bookmarkEnd w:id="34"/>
      <w:r>
        <w:rPr>
          <w:rFonts w:hint="eastAsia"/>
          <w:b/>
          <w:color w:val="auto"/>
          <w:sz w:val="30"/>
          <w:szCs w:val="30"/>
          <w:highlight w:val="none"/>
        </w:rPr>
        <w:t>名词解释</w:t>
      </w:r>
    </w:p>
    <w:p>
      <w:pPr>
        <w:tabs>
          <w:tab w:val="left" w:pos="7665"/>
        </w:tabs>
        <w:spacing w:before="120" w:beforeLines="50" w:after="120" w:afterLines="50" w:line="360" w:lineRule="auto"/>
        <w:ind w:firstLine="420" w:firstLineChars="200"/>
        <w:rPr>
          <w:rFonts w:ascii="宋体" w:hAnsi="宋体"/>
          <w:b/>
          <w:color w:val="auto"/>
          <w:szCs w:val="21"/>
          <w:highlight w:val="none"/>
        </w:rPr>
      </w:pPr>
      <w:bookmarkStart w:id="35" w:name="_Toc183682345"/>
      <w:bookmarkStart w:id="36" w:name="_Toc183582208"/>
      <w:bookmarkStart w:id="37" w:name="_Toc217446037"/>
      <w:r>
        <w:rPr>
          <w:rFonts w:hint="eastAsia" w:ascii="宋体" w:hAnsi="宋体"/>
          <w:color w:val="auto"/>
          <w:szCs w:val="21"/>
          <w:highlight w:val="none"/>
        </w:rPr>
        <w:t>1.2.1</w:t>
      </w:r>
      <w:r>
        <w:rPr>
          <w:rFonts w:hint="eastAsia" w:ascii="宋体" w:hAnsi="宋体"/>
          <w:b/>
          <w:color w:val="auto"/>
          <w:szCs w:val="21"/>
          <w:highlight w:val="none"/>
        </w:rPr>
        <w:t>采购人</w:t>
      </w:r>
      <w:r>
        <w:rPr>
          <w:rFonts w:hint="eastAsia" w:ascii="宋体" w:hAnsi="宋体"/>
          <w:color w:val="auto"/>
          <w:szCs w:val="21"/>
          <w:highlight w:val="none"/>
        </w:rPr>
        <w:t>系指依法进行政府采购的国家机关、事业单位、团体组织。本次采购的采购人名称、地址、电话、联系人见供应商须知前附表。</w:t>
      </w:r>
    </w:p>
    <w:p>
      <w:pPr>
        <w:adjustRightInd w:val="0"/>
        <w:snapToGrid w:val="0"/>
        <w:spacing w:line="360" w:lineRule="auto"/>
        <w:ind w:firstLine="420" w:firstLineChars="20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1.2.2</w:t>
      </w:r>
      <w:r>
        <w:rPr>
          <w:rFonts w:hint="eastAsia" w:ascii="宋体" w:hAnsi="宋体"/>
          <w:b/>
          <w:color w:val="auto"/>
          <w:szCs w:val="21"/>
          <w:highlight w:val="none"/>
        </w:rPr>
        <w:t>监督机构</w:t>
      </w:r>
      <w:r>
        <w:rPr>
          <w:rFonts w:hint="eastAsia" w:ascii="宋体" w:hAnsi="宋体"/>
          <w:color w:val="auto"/>
          <w:szCs w:val="21"/>
          <w:highlight w:val="none"/>
        </w:rPr>
        <w:t>系指政府采购行政监督管理部门。本次采购的监督机构：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陕西省财政厅 </w:t>
      </w:r>
      <w:r>
        <w:rPr>
          <w:rFonts w:hint="eastAsia" w:ascii="宋体" w:hAnsi="宋体"/>
          <w:color w:val="auto"/>
          <w:szCs w:val="21"/>
          <w:highlight w:val="none"/>
        </w:rPr>
        <w:t>。</w:t>
      </w:r>
    </w:p>
    <w:p>
      <w:pPr>
        <w:adjustRightInd w:val="0"/>
        <w:snapToGrid w:val="0"/>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1.2.3</w:t>
      </w:r>
      <w:r>
        <w:rPr>
          <w:rFonts w:hint="eastAsia" w:ascii="宋体" w:hAnsi="宋体"/>
          <w:b/>
          <w:color w:val="auto"/>
          <w:szCs w:val="21"/>
          <w:highlight w:val="none"/>
        </w:rPr>
        <w:t>采购代理机构</w:t>
      </w:r>
      <w:r>
        <w:rPr>
          <w:rFonts w:hint="eastAsia" w:ascii="宋体" w:hAnsi="宋体"/>
          <w:color w:val="auto"/>
          <w:szCs w:val="21"/>
          <w:highlight w:val="none"/>
        </w:rPr>
        <w:t>系指接受采购人委托，代理采购项目的依法经财政部门认定资格的采购代理机构。本次采购的采购代理机构名称、地址、电话、联系人见供应商须知前附表。</w:t>
      </w:r>
    </w:p>
    <w:p>
      <w:pPr>
        <w:tabs>
          <w:tab w:val="left" w:pos="766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w:t>
      </w:r>
      <w:r>
        <w:rPr>
          <w:rFonts w:hint="eastAsia" w:ascii="宋体" w:hAnsi="宋体"/>
          <w:b/>
          <w:color w:val="auto"/>
          <w:szCs w:val="21"/>
          <w:highlight w:val="none"/>
        </w:rPr>
        <w:t xml:space="preserve"> 供应商</w:t>
      </w:r>
      <w:r>
        <w:rPr>
          <w:rFonts w:hint="eastAsia" w:ascii="宋体" w:hAnsi="宋体"/>
          <w:color w:val="auto"/>
          <w:szCs w:val="21"/>
          <w:highlight w:val="none"/>
        </w:rPr>
        <w:t>是指响应和符合竞争性谈判文件（以下简称谈判文件）规定资格条件且参与谈判活动的法人或其他组织或个人。</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1.2.5</w:t>
      </w:r>
      <w:r>
        <w:rPr>
          <w:rFonts w:hint="eastAsia" w:ascii="宋体" w:hAnsi="宋体"/>
          <w:b/>
          <w:color w:val="auto"/>
          <w:szCs w:val="21"/>
          <w:highlight w:val="none"/>
        </w:rPr>
        <w:t xml:space="preserve"> 货物</w:t>
      </w:r>
      <w:r>
        <w:rPr>
          <w:rFonts w:hint="eastAsia" w:ascii="宋体" w:hAnsi="宋体"/>
          <w:color w:val="auto"/>
          <w:szCs w:val="21"/>
          <w:highlight w:val="none"/>
        </w:rPr>
        <w:t>是指</w:t>
      </w:r>
      <w:r>
        <w:rPr>
          <w:rFonts w:hint="eastAsia"/>
          <w:color w:val="auto"/>
          <w:szCs w:val="21"/>
          <w:highlight w:val="none"/>
        </w:rPr>
        <w:t>本谈判文件中第四章所述所有货物。</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1.2.6 </w:t>
      </w:r>
      <w:r>
        <w:rPr>
          <w:rFonts w:hint="eastAsia" w:ascii="宋体" w:hAnsi="宋体"/>
          <w:b/>
          <w:color w:val="auto"/>
          <w:szCs w:val="21"/>
          <w:highlight w:val="none"/>
        </w:rPr>
        <w:t>服务</w:t>
      </w:r>
      <w:r>
        <w:rPr>
          <w:rFonts w:hint="eastAsia" w:ascii="宋体" w:hAnsi="宋体"/>
          <w:color w:val="auto"/>
          <w:szCs w:val="21"/>
          <w:highlight w:val="none"/>
        </w:rPr>
        <w:t>是指人为满足谈判文件要求而提供的服务。</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1.2.7 </w:t>
      </w:r>
      <w:r>
        <w:rPr>
          <w:rFonts w:hint="eastAsia" w:ascii="宋体" w:hAnsi="宋体"/>
          <w:b/>
          <w:color w:val="auto"/>
          <w:szCs w:val="21"/>
          <w:highlight w:val="none"/>
        </w:rPr>
        <w:t>节能产品</w:t>
      </w:r>
      <w:r>
        <w:rPr>
          <w:rFonts w:hint="eastAsia" w:ascii="宋体" w:hAnsi="宋体"/>
          <w:color w:val="auto"/>
          <w:szCs w:val="21"/>
          <w:highlight w:val="none"/>
        </w:rPr>
        <w:t>指</w:t>
      </w:r>
      <w:r>
        <w:rPr>
          <w:rFonts w:hint="eastAsia" w:ascii="宋体" w:hAnsi="宋体"/>
          <w:color w:val="auto"/>
          <w:szCs w:val="21"/>
          <w:highlight w:val="none"/>
        </w:rPr>
        <w:t>财政部、发展改革委、生态环境部等部门发布</w:t>
      </w:r>
      <w:r>
        <w:rPr>
          <w:rFonts w:hint="eastAsia" w:ascii="宋体" w:hAnsi="宋体"/>
          <w:color w:val="auto"/>
          <w:szCs w:val="21"/>
          <w:highlight w:val="none"/>
        </w:rPr>
        <w:t>的《节能产品品目清单》中的产品。</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1.2.8 </w:t>
      </w:r>
      <w:r>
        <w:rPr>
          <w:rFonts w:hint="eastAsia" w:ascii="宋体" w:hAnsi="宋体"/>
          <w:b/>
          <w:color w:val="auto"/>
          <w:szCs w:val="21"/>
          <w:highlight w:val="none"/>
        </w:rPr>
        <w:t>环境标志产品</w:t>
      </w:r>
      <w:r>
        <w:rPr>
          <w:rFonts w:hint="eastAsia" w:ascii="宋体" w:hAnsi="宋体"/>
          <w:color w:val="auto"/>
          <w:szCs w:val="21"/>
          <w:highlight w:val="none"/>
        </w:rPr>
        <w:t>是指</w:t>
      </w:r>
      <w:r>
        <w:rPr>
          <w:rFonts w:hint="eastAsia" w:ascii="宋体" w:hAnsi="宋体"/>
          <w:color w:val="auto"/>
          <w:szCs w:val="21"/>
          <w:highlight w:val="none"/>
        </w:rPr>
        <w:t>财政部、发展改革委、生态环境部等部门发布</w:t>
      </w:r>
      <w:r>
        <w:rPr>
          <w:rFonts w:hint="eastAsia" w:ascii="宋体" w:hAnsi="宋体"/>
          <w:color w:val="auto"/>
          <w:szCs w:val="21"/>
          <w:highlight w:val="none"/>
        </w:rPr>
        <w:t>的《环境标志产品品目清单》中的产品。</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1.2.9 </w:t>
      </w:r>
      <w:r>
        <w:rPr>
          <w:rFonts w:hint="eastAsia" w:ascii="宋体" w:hAnsi="宋体" w:cs="宋体"/>
          <w:b/>
          <w:color w:val="auto"/>
          <w:kern w:val="0"/>
          <w:szCs w:val="21"/>
          <w:highlight w:val="none"/>
        </w:rPr>
        <w:t>进口产品</w:t>
      </w:r>
      <w:r>
        <w:rPr>
          <w:rFonts w:hint="eastAsia" w:ascii="宋体" w:hAnsi="宋体" w:cs="宋体"/>
          <w:color w:val="auto"/>
          <w:kern w:val="0"/>
          <w:szCs w:val="21"/>
          <w:highlight w:val="none"/>
        </w:rPr>
        <w:t>是指通过中国海关报关验放进入中国境内且产自关境外的产品，详见《</w:t>
      </w:r>
      <w:r>
        <w:rPr>
          <w:rFonts w:ascii="宋体" w:hAnsi="宋体" w:cs="宋体"/>
          <w:color w:val="auto"/>
          <w:kern w:val="0"/>
          <w:szCs w:val="21"/>
          <w:highlight w:val="none"/>
        </w:rPr>
        <w:t>关于政府采购进口产品管理有关问题的通知</w:t>
      </w:r>
      <w:r>
        <w:rPr>
          <w:rFonts w:hint="eastAsia" w:ascii="宋体" w:hAnsi="宋体" w:cs="宋体"/>
          <w:color w:val="auto"/>
          <w:kern w:val="0"/>
          <w:szCs w:val="21"/>
          <w:highlight w:val="none"/>
        </w:rPr>
        <w:t>》(财库[2007]119号)。</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1.2.10</w:t>
      </w:r>
      <w:r>
        <w:rPr>
          <w:rFonts w:hint="eastAsia" w:ascii="宋体" w:hAnsi="宋体"/>
          <w:b/>
          <w:color w:val="auto"/>
          <w:szCs w:val="21"/>
          <w:highlight w:val="none"/>
        </w:rPr>
        <w:t>中小企业</w:t>
      </w:r>
      <w:r>
        <w:rPr>
          <w:rFonts w:ascii="宋体" w:hAnsi="宋体" w:cs="宋体"/>
          <w:color w:val="auto"/>
          <w:kern w:val="0"/>
          <w:szCs w:val="21"/>
          <w:highlight w:val="none"/>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1.2.11 </w:t>
      </w:r>
      <w:r>
        <w:rPr>
          <w:rFonts w:hint="eastAsia" w:ascii="宋体" w:hAnsi="宋体"/>
          <w:b/>
          <w:color w:val="auto"/>
          <w:szCs w:val="21"/>
          <w:highlight w:val="none"/>
        </w:rPr>
        <w:t>监狱企业</w:t>
      </w:r>
      <w:r>
        <w:rPr>
          <w:rFonts w:hint="eastAsia" w:ascii="宋体" w:hAnsi="宋体"/>
          <w:color w:val="auto"/>
          <w:szCs w:val="21"/>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20" w:firstLineChars="200"/>
        <w:rPr>
          <w:rFonts w:hint="eastAsia" w:ascii="宋体" w:hAnsi="宋体"/>
          <w:color w:val="auto"/>
          <w:spacing w:val="6"/>
          <w:szCs w:val="21"/>
          <w:highlight w:val="none"/>
        </w:rPr>
      </w:pPr>
      <w:r>
        <w:rPr>
          <w:rFonts w:hint="eastAsia" w:ascii="宋体" w:hAnsi="宋体"/>
          <w:color w:val="auto"/>
          <w:szCs w:val="21"/>
          <w:highlight w:val="none"/>
        </w:rPr>
        <w:t xml:space="preserve">1.2.12 </w:t>
      </w:r>
      <w:r>
        <w:rPr>
          <w:rFonts w:hint="eastAsia" w:ascii="宋体" w:hAnsi="宋体" w:cs="宋体"/>
          <w:b/>
          <w:color w:val="auto"/>
          <w:kern w:val="0"/>
          <w:szCs w:val="21"/>
          <w:highlight w:val="none"/>
        </w:rPr>
        <w:t>残疾人福利性单位</w:t>
      </w:r>
      <w:r>
        <w:rPr>
          <w:rFonts w:hint="eastAsia" w:ascii="宋体" w:hAnsi="宋体" w:cs="宋体"/>
          <w:color w:val="auto"/>
          <w:kern w:val="0"/>
          <w:szCs w:val="21"/>
          <w:highlight w:val="none"/>
        </w:rPr>
        <w:t>是指符合</w:t>
      </w:r>
      <w:r>
        <w:rPr>
          <w:rFonts w:hint="eastAsia" w:ascii="宋体" w:hAnsi="宋体"/>
          <w:color w:val="auto"/>
          <w:spacing w:val="6"/>
          <w:szCs w:val="21"/>
          <w:highlight w:val="none"/>
        </w:rPr>
        <w:t>《财政部、民政部、中国残疾人联合会关于促进残疾人就业政府采购政策的通知》（财库</w:t>
      </w:r>
      <w:r>
        <w:rPr>
          <w:rFonts w:hint="eastAsia" w:ascii="宋体" w:hAnsi="宋体"/>
          <w:color w:val="auto"/>
          <w:szCs w:val="21"/>
          <w:highlight w:val="none"/>
        </w:rPr>
        <w:t>〔</w:t>
      </w:r>
      <w:r>
        <w:rPr>
          <w:rFonts w:ascii="宋体" w:hAnsi="宋体"/>
          <w:color w:val="auto"/>
          <w:szCs w:val="21"/>
          <w:highlight w:val="none"/>
        </w:rPr>
        <w:t>2017</w:t>
      </w:r>
      <w:r>
        <w:rPr>
          <w:rFonts w:hint="eastAsia" w:ascii="宋体" w:hAnsi="宋体"/>
          <w:color w:val="auto"/>
          <w:szCs w:val="21"/>
          <w:highlight w:val="none"/>
        </w:rPr>
        <w:t>〕</w:t>
      </w:r>
      <w:r>
        <w:rPr>
          <w:rFonts w:ascii="宋体" w:hAnsi="宋体"/>
          <w:color w:val="auto"/>
          <w:szCs w:val="21"/>
          <w:highlight w:val="none"/>
        </w:rPr>
        <w:t>141</w:t>
      </w:r>
      <w:r>
        <w:rPr>
          <w:rFonts w:hint="eastAsia" w:ascii="宋体" w:hAnsi="宋体"/>
          <w:color w:val="auto"/>
          <w:spacing w:val="6"/>
          <w:szCs w:val="21"/>
          <w:highlight w:val="none"/>
        </w:rPr>
        <w:t>号）规定条件的单位。</w:t>
      </w:r>
    </w:p>
    <w:p>
      <w:pPr>
        <w:adjustRightInd w:val="0"/>
        <w:snapToGrid w:val="0"/>
        <w:spacing w:line="360" w:lineRule="auto"/>
        <w:ind w:firstLine="444" w:firstLineChars="200"/>
        <w:rPr>
          <w:rFonts w:hint="eastAsia" w:ascii="宋体" w:hAnsi="宋体"/>
          <w:color w:val="auto"/>
          <w:spacing w:val="6"/>
          <w:szCs w:val="21"/>
          <w:highlight w:val="none"/>
        </w:rPr>
      </w:pPr>
      <w:r>
        <w:rPr>
          <w:rFonts w:hint="eastAsia" w:ascii="宋体" w:hAnsi="宋体"/>
          <w:color w:val="auto"/>
          <w:spacing w:val="6"/>
          <w:szCs w:val="21"/>
          <w:highlight w:val="none"/>
        </w:rPr>
        <w:t>1.2.13</w:t>
      </w:r>
      <w:r>
        <w:rPr>
          <w:rFonts w:hint="eastAsia" w:ascii="宋体" w:hAnsi="宋体"/>
          <w:b/>
          <w:color w:val="auto"/>
          <w:spacing w:val="6"/>
          <w:szCs w:val="21"/>
          <w:highlight w:val="none"/>
        </w:rPr>
        <w:t>签名</w:t>
      </w:r>
      <w:r>
        <w:rPr>
          <w:rFonts w:hint="eastAsia" w:ascii="宋体" w:hAnsi="宋体"/>
          <w:color w:val="auto"/>
          <w:spacing w:val="6"/>
          <w:szCs w:val="21"/>
          <w:highlight w:val="none"/>
        </w:rPr>
        <w:t>是指手写签名或者加盖名章，</w:t>
      </w:r>
      <w:r>
        <w:rPr>
          <w:rFonts w:hint="eastAsia" w:ascii="宋体" w:hAnsi="宋体"/>
          <w:b/>
          <w:color w:val="auto"/>
          <w:spacing w:val="6"/>
          <w:szCs w:val="21"/>
          <w:highlight w:val="none"/>
        </w:rPr>
        <w:t>盖章</w:t>
      </w:r>
      <w:r>
        <w:rPr>
          <w:rFonts w:hint="eastAsia" w:ascii="宋体" w:hAnsi="宋体"/>
          <w:color w:val="auto"/>
          <w:spacing w:val="6"/>
          <w:szCs w:val="21"/>
          <w:highlight w:val="none"/>
        </w:rPr>
        <w:t>是指加盖单位印章。</w:t>
      </w:r>
    </w:p>
    <w:p>
      <w:pPr>
        <w:adjustRightInd w:val="0"/>
        <w:snapToGrid w:val="0"/>
        <w:spacing w:line="360" w:lineRule="auto"/>
        <w:ind w:firstLine="444" w:firstLineChars="200"/>
        <w:rPr>
          <w:rFonts w:hint="eastAsia" w:ascii="宋体" w:hAnsi="宋体" w:eastAsia="宋体" w:cs="Times New Roman"/>
          <w:color w:val="auto"/>
          <w:spacing w:val="6"/>
          <w:kern w:val="2"/>
          <w:sz w:val="21"/>
          <w:szCs w:val="21"/>
          <w:highlight w:val="none"/>
          <w:lang w:val="en-US" w:eastAsia="zh-CN" w:bidi="ar-SA"/>
        </w:rPr>
      </w:pPr>
      <w:r>
        <w:rPr>
          <w:rFonts w:hint="eastAsia" w:ascii="宋体" w:hAnsi="宋体"/>
          <w:color w:val="auto"/>
          <w:spacing w:val="6"/>
          <w:szCs w:val="21"/>
          <w:highlight w:val="none"/>
        </w:rPr>
        <w:t>1.2.14</w:t>
      </w:r>
      <w:r>
        <w:rPr>
          <w:rFonts w:hint="eastAsia" w:ascii="宋体" w:hAnsi="宋体"/>
          <w:b/>
          <w:color w:val="auto"/>
          <w:szCs w:val="21"/>
          <w:highlight w:val="none"/>
        </w:rPr>
        <w:t>较大数额罚款</w:t>
      </w:r>
      <w:r>
        <w:rPr>
          <w:rFonts w:hint="eastAsia" w:ascii="宋体" w:hAnsi="宋体"/>
          <w:color w:val="auto"/>
          <w:szCs w:val="21"/>
          <w:highlight w:val="none"/>
        </w:rPr>
        <w:t>是指200万元以上罚款，法律、行政法规以及国务院有关部门明确规定相关领域“较大数额罚款”标准高于200万元的，从其规定。</w:t>
      </w:r>
    </w:p>
    <w:p>
      <w:pPr>
        <w:pStyle w:val="5"/>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1.3供应商资格要求</w:t>
      </w:r>
    </w:p>
    <w:p>
      <w:pPr>
        <w:widowControl/>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1.3.1</w:t>
      </w:r>
      <w:r>
        <w:rPr>
          <w:rFonts w:hint="eastAsia" w:asciiTheme="majorEastAsia" w:hAnsiTheme="majorEastAsia" w:eastAsiaTheme="majorEastAsia"/>
          <w:color w:val="auto"/>
          <w:szCs w:val="21"/>
          <w:highlight w:val="none"/>
        </w:rPr>
        <w:t>基本资格条件。</w:t>
      </w:r>
      <w:r>
        <w:rPr>
          <w:rFonts w:hint="eastAsia" w:ascii="宋体" w:hAnsi="宋体" w:cs="宋体"/>
          <w:color w:val="auto"/>
          <w:kern w:val="0"/>
          <w:szCs w:val="21"/>
          <w:highlight w:val="none"/>
        </w:rPr>
        <w:t>供应商应符合《中华人民共和国政府采购法》第二十二条规定的条件，</w:t>
      </w:r>
      <w:r>
        <w:rPr>
          <w:rFonts w:hint="eastAsia" w:ascii="宋体" w:hAnsi="宋体" w:cs="宋体"/>
          <w:color w:val="auto"/>
          <w:kern w:val="0"/>
          <w:szCs w:val="21"/>
          <w:highlight w:val="none"/>
          <w:lang w:val="zh-CN"/>
        </w:rPr>
        <w:t>并提供下列材料：</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（1）供应商的营业执照等证明文件，自然人的身份证明；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szCs w:val="21"/>
          <w:highlight w:val="none"/>
        </w:rPr>
        <w:t>法定代表人（单位负责人）参加投标的，提供本人身份证复印件并出示身份证原件；法定代表人（单位负责人）授权他人参加投标的，提供法定代表人委托授权书并出示被授权代表的身份证原件；</w:t>
      </w:r>
    </w:p>
    <w:p>
      <w:pPr>
        <w:autoSpaceDE w:val="0"/>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zh-CN"/>
        </w:rPr>
        <w:t>（3）财务状况报告：</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val="en-US" w:eastAsia="zh-CN"/>
        </w:rPr>
        <w:t>2021年度或2022</w:t>
      </w:r>
      <w:r>
        <w:rPr>
          <w:rFonts w:hint="eastAsia" w:ascii="宋体" w:hAnsi="宋体" w:eastAsia="宋体" w:cs="宋体"/>
          <w:color w:val="auto"/>
          <w:szCs w:val="21"/>
          <w:highlight w:val="none"/>
        </w:rPr>
        <w:t>年度经审计的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财务会计报告或者近三个月内基本户开户行出具的银行资信证明；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（4）税收缴纳证明：提供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自投标前</w:t>
      </w:r>
      <w:r>
        <w:rPr>
          <w:rFonts w:hint="eastAsia" w:ascii="宋体" w:hAnsi="宋体" w:eastAsia="宋体" w:cs="宋体"/>
          <w:color w:val="auto"/>
          <w:szCs w:val="21"/>
          <w:highlight w:val="none"/>
        </w:rPr>
        <w:t>1年</w:t>
      </w:r>
      <w:r>
        <w:rPr>
          <w:rFonts w:hint="eastAsia" w:ascii="宋体" w:hAnsi="宋体" w:eastAsia="宋体" w:cs="宋体"/>
          <w:color w:val="auto"/>
          <w:szCs w:val="21"/>
          <w:highlight w:val="none"/>
        </w:rPr>
        <w:t>以来已缴纳任意时段完税凭证或税务机关开具的完税证明（任意税种）；依法免税的应提供相关文件证明；</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（5）社会保障资金缴纳证明：提供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自投标前</w:t>
      </w:r>
      <w:r>
        <w:rPr>
          <w:rFonts w:hint="eastAsia" w:ascii="宋体" w:hAnsi="宋体" w:eastAsia="宋体" w:cs="宋体"/>
          <w:color w:val="auto"/>
          <w:szCs w:val="21"/>
          <w:highlight w:val="none"/>
        </w:rPr>
        <w:t>1年</w:t>
      </w:r>
      <w:r>
        <w:rPr>
          <w:rFonts w:hint="eastAsia" w:ascii="宋体" w:hAnsi="宋体" w:eastAsia="宋体" w:cs="宋体"/>
          <w:color w:val="auto"/>
          <w:szCs w:val="21"/>
          <w:highlight w:val="none"/>
        </w:rPr>
        <w:t>以来已缴存的任意时段的社会保障资金缴存单据或社保机构开具的社会保险参保缴费情况证明；依法不需要缴纳社会保障资金的供应商应提供相关文件证明；</w:t>
      </w:r>
    </w:p>
    <w:p>
      <w:pPr>
        <w:autoSpaceDE w:val="0"/>
        <w:autoSpaceDN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（6）提供供应商具备履行合同所必需的设备和专业技术能力的证明材料；</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（7）供应商</w:t>
      </w:r>
      <w:r>
        <w:rPr>
          <w:rFonts w:hint="eastAsia" w:ascii="宋体" w:hAnsi="宋体" w:eastAsia="宋体" w:cs="宋体"/>
          <w:color w:val="auto"/>
          <w:kern w:val="0"/>
          <w:szCs w:val="21"/>
          <w:highlight w:val="none"/>
        </w:rPr>
        <w:t>参加本次招标前3年内，在经营活动中没有重大违法记录的书面声明；</w:t>
      </w:r>
    </w:p>
    <w:p>
      <w:pPr>
        <w:spacing w:line="360" w:lineRule="auto"/>
        <w:ind w:firstLine="420" w:firstLineChars="200"/>
        <w:rPr>
          <w:rFonts w:hint="eastAsia" w:ascii="宋体" w:hAnsi="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提供交纳</w:t>
      </w:r>
      <w:r>
        <w:rPr>
          <w:rFonts w:hint="eastAsia" w:ascii="宋体" w:hAnsi="宋体" w:eastAsia="宋体" w:cs="宋体"/>
          <w:color w:val="auto"/>
          <w:szCs w:val="21"/>
          <w:highlight w:val="none"/>
          <w:lang w:eastAsia="zh-CN"/>
        </w:rPr>
        <w:t>谈判保证金</w:t>
      </w:r>
      <w:r>
        <w:rPr>
          <w:rFonts w:hint="eastAsia" w:ascii="宋体" w:hAnsi="宋体" w:eastAsia="宋体" w:cs="宋体"/>
          <w:color w:val="auto"/>
          <w:szCs w:val="21"/>
          <w:highlight w:val="none"/>
        </w:rPr>
        <w:t>收据（</w:t>
      </w:r>
      <w:r>
        <w:rPr>
          <w:rFonts w:hint="eastAsia" w:ascii="宋体" w:hAnsi="宋体" w:eastAsia="宋体" w:cs="宋体"/>
          <w:color w:val="auto"/>
          <w:szCs w:val="21"/>
          <w:highlight w:val="none"/>
        </w:rPr>
        <w:t>仅限</w:t>
      </w:r>
      <w:r>
        <w:rPr>
          <w:rFonts w:hint="eastAsia" w:eastAsia="宋体" w:cs="宋体"/>
          <w:color w:val="auto"/>
          <w:kern w:val="2"/>
          <w:sz w:val="21"/>
          <w:szCs w:val="21"/>
          <w:highlight w:val="none"/>
          <w:lang w:val="en-US" w:eastAsia="zh-CN"/>
        </w:rPr>
        <w:t>谈判</w:t>
      </w:r>
      <w:r>
        <w:rPr>
          <w:rFonts w:hint="eastAsia" w:ascii="宋体" w:hAnsi="宋体" w:eastAsia="宋体" w:cs="宋体"/>
          <w:color w:val="auto"/>
          <w:szCs w:val="21"/>
          <w:highlight w:val="none"/>
        </w:rPr>
        <w:t>须知前附表要求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提交保证金的）。</w:t>
      </w:r>
    </w:p>
    <w:p>
      <w:pPr>
        <w:autoSpaceDE w:val="0"/>
        <w:autoSpaceDN w:val="0"/>
        <w:spacing w:line="360" w:lineRule="auto"/>
        <w:ind w:firstLine="420" w:firstLineChars="200"/>
        <w:rPr>
          <w:rFonts w:hint="eastAsia" w:ascii="宋体" w:hAnsi="宋体" w:eastAsia="宋体" w:cs="宋体"/>
          <w:color w:val="auto"/>
          <w:kern w:val="0"/>
          <w:highlight w:val="none"/>
        </w:rPr>
      </w:pPr>
      <w:r>
        <w:rPr>
          <w:rFonts w:hint="eastAsia" w:ascii="宋体" w:hAnsi="宋体" w:cs="宋体"/>
          <w:color w:val="auto"/>
          <w:kern w:val="0"/>
          <w:szCs w:val="21"/>
          <w:highlight w:val="none"/>
        </w:rPr>
        <w:t>1.3.</w:t>
      </w:r>
      <w:r>
        <w:rPr>
          <w:rFonts w:hint="eastAsia" w:ascii="宋体" w:hAnsi="宋体" w:eastAsia="宋体" w:cs="宋体"/>
          <w:b/>
          <w:color w:val="auto"/>
          <w:szCs w:val="21"/>
          <w:highlight w:val="none"/>
        </w:rPr>
        <w:t xml:space="preserve">2 </w:t>
      </w:r>
      <w:r>
        <w:rPr>
          <w:rFonts w:hint="eastAsia" w:ascii="宋体" w:hAnsi="宋体" w:eastAsia="宋体" w:cs="宋体"/>
          <w:b/>
          <w:color w:val="auto"/>
          <w:szCs w:val="21"/>
          <w:highlight w:val="none"/>
        </w:rPr>
        <w:t>落实政府采购政策资格条件</w:t>
      </w:r>
      <w:r>
        <w:rPr>
          <w:rFonts w:hint="eastAsia" w:ascii="宋体" w:hAnsi="宋体" w:eastAsia="宋体" w:cs="宋体"/>
          <w:color w:val="auto"/>
          <w:szCs w:val="21"/>
          <w:highlight w:val="none"/>
        </w:rPr>
        <w:t>。本采购项目（包）为未预留份额专门面向中小企业采购的项目（包），无落实政府采购政策资格条件要求。</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cs="宋体"/>
          <w:color w:val="auto"/>
          <w:kern w:val="0"/>
          <w:szCs w:val="21"/>
          <w:highlight w:val="none"/>
        </w:rPr>
        <w:t>1.3.</w:t>
      </w:r>
      <w:r>
        <w:rPr>
          <w:rFonts w:hint="eastAsia" w:ascii="宋体" w:hAnsi="宋体" w:eastAsia="宋体" w:cs="宋体"/>
          <w:b/>
          <w:color w:val="auto"/>
          <w:kern w:val="0"/>
          <w:szCs w:val="21"/>
          <w:highlight w:val="none"/>
        </w:rPr>
        <w:t>3 特定资格条件。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应满足《中华人民共和国政府采购法》第二十二条第二款规定，</w:t>
      </w:r>
      <w:r>
        <w:rPr>
          <w:rFonts w:hint="eastAsia" w:ascii="宋体" w:hAnsi="宋体" w:eastAsia="宋体" w:cs="宋体"/>
          <w:color w:val="auto"/>
          <w:kern w:val="0"/>
          <w:szCs w:val="21"/>
          <w:highlight w:val="none"/>
          <w:lang w:val="zh-CN"/>
        </w:rPr>
        <w:t>并根据《政府采购法实施条例》第十七条规定提供证明材料。</w:t>
      </w:r>
    </w:p>
    <w:p>
      <w:pPr>
        <w:autoSpaceDE w:val="0"/>
        <w:autoSpaceDN w:val="0"/>
        <w:spacing w:line="360" w:lineRule="auto"/>
        <w:ind w:firstLine="630" w:firstLineChars="3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3.1.3.1 供应商投标产品属于特定行业有法定准入要求的，提供下列材料：</w:t>
      </w:r>
      <w:r>
        <w:rPr>
          <w:rFonts w:hint="eastAsia" w:ascii="宋体" w:hAnsi="宋体" w:cs="宋体"/>
          <w:color w:val="auto"/>
          <w:kern w:val="0"/>
          <w:szCs w:val="21"/>
          <w:highlight w:val="none"/>
          <w:lang w:val="en-US" w:eastAsia="zh-CN"/>
        </w:rPr>
        <w:t>无</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1.3.</w:t>
      </w:r>
      <w:r>
        <w:rPr>
          <w:rFonts w:hint="eastAsia" w:ascii="宋体" w:hAnsi="宋体" w:eastAsia="宋体" w:cs="宋体"/>
          <w:b/>
          <w:color w:val="auto"/>
          <w:kern w:val="0"/>
          <w:szCs w:val="21"/>
          <w:highlight w:val="none"/>
        </w:rPr>
        <w:t>4 限定资格条件。</w:t>
      </w:r>
      <w:r>
        <w:rPr>
          <w:rFonts w:hint="eastAsia" w:ascii="宋体" w:hAnsi="宋体" w:eastAsia="宋体" w:cs="宋体"/>
          <w:color w:val="auto"/>
          <w:kern w:val="0"/>
          <w:szCs w:val="21"/>
          <w:highlight w:val="none"/>
        </w:rPr>
        <w:t>根据政府采购的法律法规、规章和规范性文件的规定，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不得存在本章第1.3.2规定的情形。</w:t>
      </w:r>
    </w:p>
    <w:p>
      <w:pPr>
        <w:autoSpaceDE w:val="0"/>
        <w:autoSpaceDN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采购代理机构将通过“信用中国”网站（www.creditchina.gov.cn）和中国政府采购网站（www.ccgp.gov.cn）查询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信用记录，被列入失信被执行人、重大税收违法案件当事人名单、政府采购严重违法失信行为记录名单的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将被拒绝参与本项目投标。</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上述资格证明材料为必备证明材料。在响应文件正本中应附一套以上完整的资格证明材料，复印件加盖供应商单位公章；响应文件副本可采用正本的复印件并加盖供应商单位公章。</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1.3.2供应商应保证所提供的全部证明材料的真实性，并保证愿意接受由采购人对其所提供材料的真实性的调查和考证。</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1.3.3供应商</w:t>
      </w:r>
      <w:r>
        <w:rPr>
          <w:rFonts w:hint="eastAsia" w:ascii="宋体" w:hAnsi="宋体"/>
          <w:color w:val="auto"/>
          <w:szCs w:val="21"/>
          <w:highlight w:val="none"/>
        </w:rPr>
        <w:t>不得存在下列情形之一：</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（l）与采购人和采购代理机构存在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w:t>
      </w:r>
      <w:r>
        <w:rPr>
          <w:rFonts w:hint="eastAsia" w:ascii="宋体" w:hAnsi="宋体"/>
          <w:color w:val="auto"/>
          <w:szCs w:val="21"/>
          <w:highlight w:val="none"/>
        </w:rPr>
        <w:t>或者其法定代表人、董事、监事、高级管理人员因经营活动中的违法行为受到行政处罚，但警告和罚款额在3万元以下的行政处罚除外；</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w:t>
      </w:r>
      <w:r>
        <w:rPr>
          <w:rFonts w:hint="eastAsia" w:ascii="宋体" w:hAnsi="宋体"/>
          <w:color w:val="auto"/>
          <w:szCs w:val="21"/>
          <w:highlight w:val="none"/>
        </w:rPr>
        <w:t>或者其法定代表人、董事、监事、高级管理人员因经营活动中的违法行为受到刑事处罚；</w:t>
      </w:r>
    </w:p>
    <w:p>
      <w:pPr>
        <w:widowControl/>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（4）列入“信用中国”网站</w:t>
      </w:r>
      <w:r>
        <w:rPr>
          <w:rFonts w:ascii="宋体" w:hAnsi="宋体"/>
          <w:color w:val="auto"/>
          <w:szCs w:val="21"/>
          <w:highlight w:val="none"/>
          <w:lang w:val="zh-CN"/>
        </w:rPr>
        <w:t>失信被执行人、重大税收违法案件当事人名单</w:t>
      </w:r>
      <w:r>
        <w:rPr>
          <w:rFonts w:hint="eastAsia" w:ascii="宋体" w:hAnsi="宋体"/>
          <w:color w:val="auto"/>
          <w:szCs w:val="21"/>
          <w:highlight w:val="none"/>
        </w:rPr>
        <w:t>或列入“中国政府采购”网站政府采购严重违法失信行为记录名单的。</w:t>
      </w:r>
    </w:p>
    <w:p>
      <w:pPr>
        <w:pStyle w:val="15"/>
        <w:adjustRightInd w:val="0"/>
        <w:snapToGrid w:val="0"/>
        <w:spacing w:before="120" w:beforeLines="50" w:line="360" w:lineRule="auto"/>
        <w:ind w:firstLine="148" w:firstLineChars="49"/>
        <w:rPr>
          <w:rFonts w:hAnsi="宋体"/>
          <w:b/>
          <w:bCs/>
          <w:color w:val="auto"/>
          <w:sz w:val="30"/>
          <w:szCs w:val="30"/>
          <w:highlight w:val="none"/>
        </w:rPr>
      </w:pPr>
      <w:r>
        <w:rPr>
          <w:rFonts w:hint="eastAsia" w:hAnsi="宋体"/>
          <w:b/>
          <w:bCs/>
          <w:color w:val="auto"/>
          <w:sz w:val="30"/>
          <w:szCs w:val="30"/>
          <w:highlight w:val="none"/>
        </w:rPr>
        <w:t>1.4授权委托</w:t>
      </w:r>
    </w:p>
    <w:p>
      <w:pPr>
        <w:pStyle w:val="15"/>
        <w:adjustRightInd w:val="0"/>
        <w:snapToGrid w:val="0"/>
        <w:spacing w:before="120" w:beforeLines="50"/>
        <w:ind w:left="105" w:leftChars="50" w:firstLine="315" w:firstLineChars="150"/>
        <w:rPr>
          <w:rFonts w:hAnsi="宋体"/>
          <w:color w:val="auto"/>
          <w:highlight w:val="none"/>
        </w:rPr>
      </w:pPr>
      <w:r>
        <w:rPr>
          <w:rFonts w:hint="eastAsia" w:hAnsi="宋体"/>
          <w:color w:val="auto"/>
          <w:highlight w:val="none"/>
        </w:rPr>
        <w:t>供应商代表为法定代表人的，应持有法定代表人身份证明</w:t>
      </w:r>
      <w:r>
        <w:rPr>
          <w:rFonts w:hint="eastAsia" w:hAnsi="宋体"/>
          <w:color w:val="auto"/>
          <w:highlight w:val="none"/>
          <w:lang w:eastAsia="zh-CN"/>
        </w:rPr>
        <w:t>；</w:t>
      </w:r>
      <w:r>
        <w:rPr>
          <w:rFonts w:hint="eastAsia" w:hAnsi="宋体"/>
          <w:color w:val="auto"/>
          <w:highlight w:val="none"/>
        </w:rPr>
        <w:t>供应商代表不是法定代表人的，应持有《授权委托书》，并附《法定代表人身份证明》。</w:t>
      </w:r>
    </w:p>
    <w:p>
      <w:pPr>
        <w:pStyle w:val="15"/>
        <w:adjustRightInd w:val="0"/>
        <w:snapToGrid w:val="0"/>
        <w:spacing w:before="240" w:beforeLines="100" w:after="240" w:afterLines="100"/>
        <w:ind w:firstLine="148" w:firstLineChars="49"/>
        <w:rPr>
          <w:rFonts w:hAnsi="宋体"/>
          <w:color w:val="auto"/>
          <w:sz w:val="30"/>
          <w:szCs w:val="30"/>
          <w:highlight w:val="none"/>
        </w:rPr>
      </w:pPr>
      <w:r>
        <w:rPr>
          <w:rFonts w:hint="eastAsia" w:hAnsi="宋体"/>
          <w:b/>
          <w:color w:val="auto"/>
          <w:sz w:val="30"/>
          <w:szCs w:val="30"/>
          <w:highlight w:val="none"/>
        </w:rPr>
        <w:t>1.5费用承担</w:t>
      </w:r>
    </w:p>
    <w:p>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供应商准备和参加采购活动发生的费用自理。</w:t>
      </w:r>
    </w:p>
    <w:p>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hint="eastAsia" w:asciiTheme="minorEastAsia" w:hAnsiTheme="minorEastAsia" w:eastAsiaTheme="minorEastAsia"/>
          <w:b/>
          <w:color w:val="auto"/>
          <w:sz w:val="30"/>
          <w:szCs w:val="30"/>
          <w:highlight w:val="none"/>
          <w:lang w:val="zh-CN"/>
        </w:rPr>
        <w:t xml:space="preserve">1.6 </w:t>
      </w:r>
      <w:r>
        <w:rPr>
          <w:rFonts w:ascii="宋体" w:hAnsi="宋体"/>
          <w:b/>
          <w:color w:val="auto"/>
          <w:sz w:val="30"/>
          <w:szCs w:val="30"/>
          <w:highlight w:val="none"/>
          <w:lang w:val="zh-CN"/>
        </w:rPr>
        <w:t>保密</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 xml:space="preserve">参与采购活动的当事人应对采购文件和响应文件中的商业秘密、技术秘密和个人隐私等保密，违者应对由此造成的后果承担法律责任。 </w:t>
      </w:r>
    </w:p>
    <w:p>
      <w:pPr>
        <w:pStyle w:val="15"/>
        <w:adjustRightInd w:val="0"/>
        <w:snapToGrid w:val="0"/>
        <w:spacing w:before="120" w:beforeLines="50" w:line="360" w:lineRule="auto"/>
        <w:ind w:firstLine="148" w:firstLineChars="49"/>
        <w:rPr>
          <w:rFonts w:hAnsi="宋体"/>
          <w:b/>
          <w:color w:val="auto"/>
          <w:sz w:val="30"/>
          <w:szCs w:val="30"/>
          <w:highlight w:val="none"/>
        </w:rPr>
      </w:pPr>
      <w:r>
        <w:rPr>
          <w:rFonts w:hint="eastAsia" w:hAnsi="宋体"/>
          <w:b/>
          <w:color w:val="auto"/>
          <w:sz w:val="30"/>
          <w:szCs w:val="30"/>
          <w:highlight w:val="none"/>
        </w:rPr>
        <w:t>1.7语言文字</w:t>
      </w:r>
    </w:p>
    <w:p>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单一来源采购文件和响应文件使用的语言为中文。专用术语使用外文的，应附有中文注释。</w:t>
      </w:r>
    </w:p>
    <w:p>
      <w:pPr>
        <w:pStyle w:val="15"/>
        <w:adjustRightInd w:val="0"/>
        <w:snapToGrid w:val="0"/>
        <w:spacing w:before="120" w:beforeLines="50" w:after="240" w:afterLines="100"/>
        <w:ind w:firstLine="148" w:firstLineChars="49"/>
        <w:rPr>
          <w:rFonts w:hAnsi="宋体"/>
          <w:b/>
          <w:color w:val="auto"/>
          <w:sz w:val="30"/>
          <w:szCs w:val="30"/>
          <w:highlight w:val="none"/>
        </w:rPr>
      </w:pPr>
      <w:r>
        <w:rPr>
          <w:rFonts w:hint="eastAsia" w:hAnsi="宋体"/>
          <w:b/>
          <w:color w:val="auto"/>
          <w:sz w:val="30"/>
          <w:szCs w:val="30"/>
          <w:highlight w:val="none"/>
        </w:rPr>
        <w:t>1.8计量单位</w:t>
      </w:r>
    </w:p>
    <w:p>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所有计量单位均采用中华人民共和国法定计量单位。</w:t>
      </w:r>
    </w:p>
    <w:p>
      <w:pPr>
        <w:pStyle w:val="15"/>
        <w:adjustRightInd w:val="0"/>
        <w:snapToGrid w:val="0"/>
        <w:spacing w:before="120" w:beforeLines="50" w:after="240" w:afterLines="100"/>
        <w:rPr>
          <w:rFonts w:hAnsi="宋体" w:cs="宋体"/>
          <w:b/>
          <w:bCs/>
          <w:color w:val="auto"/>
          <w:kern w:val="0"/>
          <w:sz w:val="30"/>
          <w:szCs w:val="30"/>
          <w:highlight w:val="none"/>
        </w:rPr>
      </w:pPr>
      <w:r>
        <w:rPr>
          <w:rFonts w:hint="eastAsia" w:hAnsi="宋体"/>
          <w:b/>
          <w:color w:val="auto"/>
          <w:sz w:val="30"/>
          <w:szCs w:val="30"/>
          <w:highlight w:val="none"/>
        </w:rPr>
        <w:t xml:space="preserve"> 1.9</w:t>
      </w:r>
      <w:r>
        <w:rPr>
          <w:rFonts w:hint="eastAsia" w:hAnsi="宋体" w:cs="宋体"/>
          <w:b/>
          <w:bCs/>
          <w:color w:val="auto"/>
          <w:kern w:val="0"/>
          <w:sz w:val="30"/>
          <w:szCs w:val="30"/>
          <w:highlight w:val="none"/>
        </w:rPr>
        <w:t>转包与分包</w:t>
      </w:r>
    </w:p>
    <w:p>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1.9.1本项目严禁采取转包方式履行合同。本项项目所称转包，是成交指供应商将政府采购合同业务转让给第三人，并退出现有政府采购合同当事人双方权利业务关系，受让人（即第三人）成为政府采购合同的另一方当事人的行为。</w:t>
      </w:r>
    </w:p>
    <w:p>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成交人转包的，视同拒绝履行政府采购合同业务，将依法追究法律责任。</w:t>
      </w:r>
    </w:p>
    <w:p>
      <w:pPr>
        <w:pStyle w:val="15"/>
        <w:adjustRightInd w:val="0"/>
        <w:snapToGrid w:val="0"/>
        <w:spacing w:before="120" w:beforeLines="50" w:line="360" w:lineRule="auto"/>
        <w:ind w:firstLine="405"/>
        <w:rPr>
          <w:rFonts w:hAnsi="宋体"/>
          <w:color w:val="auto"/>
          <w:highlight w:val="none"/>
        </w:rPr>
      </w:pPr>
      <w:r>
        <w:rPr>
          <w:rFonts w:hint="eastAsia" w:hAnsi="宋体"/>
          <w:color w:val="auto"/>
          <w:highlight w:val="none"/>
        </w:rPr>
        <w:t>1.9.2本项目不允许分包</w:t>
      </w:r>
    </w:p>
    <w:bookmarkEnd w:id="35"/>
    <w:bookmarkEnd w:id="36"/>
    <w:bookmarkEnd w:id="37"/>
    <w:p>
      <w:pPr>
        <w:tabs>
          <w:tab w:val="left" w:pos="7665"/>
        </w:tabs>
        <w:spacing w:before="120" w:beforeLines="50" w:after="120" w:afterLines="50"/>
        <w:ind w:firstLine="177" w:firstLineChars="49"/>
        <w:rPr>
          <w:rFonts w:ascii="黑体" w:hAnsi="宋体" w:eastAsia="黑体"/>
          <w:b/>
          <w:bCs/>
          <w:color w:val="auto"/>
          <w:sz w:val="36"/>
          <w:szCs w:val="36"/>
          <w:highlight w:val="none"/>
        </w:rPr>
      </w:pPr>
      <w:bookmarkStart w:id="38" w:name="_Toc217446038"/>
      <w:bookmarkStart w:id="39" w:name="_Toc77400779"/>
      <w:bookmarkStart w:id="40" w:name="_Toc89075875"/>
      <w:bookmarkStart w:id="41" w:name="_Toc183582209"/>
      <w:bookmarkStart w:id="42" w:name="_Toc183682346"/>
      <w:r>
        <w:rPr>
          <w:rFonts w:hint="eastAsia" w:ascii="黑体" w:hAnsi="宋体" w:eastAsia="黑体"/>
          <w:b/>
          <w:bCs/>
          <w:color w:val="auto"/>
          <w:sz w:val="36"/>
          <w:szCs w:val="36"/>
          <w:highlight w:val="none"/>
        </w:rPr>
        <w:t>2.单一来源采购文件</w:t>
      </w:r>
      <w:bookmarkEnd w:id="38"/>
      <w:bookmarkEnd w:id="39"/>
      <w:bookmarkEnd w:id="40"/>
      <w:bookmarkEnd w:id="41"/>
      <w:bookmarkEnd w:id="42"/>
      <w:bookmarkStart w:id="43" w:name="_Toc217446039"/>
      <w:bookmarkStart w:id="44" w:name="_Toc183682347"/>
      <w:bookmarkStart w:id="45" w:name="_Toc183582210"/>
    </w:p>
    <w:p>
      <w:pPr>
        <w:tabs>
          <w:tab w:val="left" w:pos="7665"/>
        </w:tabs>
        <w:spacing w:before="240" w:beforeLines="10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2.1采购文件的</w:t>
      </w:r>
      <w:bookmarkEnd w:id="43"/>
      <w:bookmarkEnd w:id="44"/>
      <w:bookmarkEnd w:id="45"/>
      <w:r>
        <w:rPr>
          <w:rFonts w:hint="eastAsia" w:ascii="宋体" w:hAnsi="宋体"/>
          <w:b/>
          <w:color w:val="auto"/>
          <w:sz w:val="30"/>
          <w:szCs w:val="30"/>
          <w:highlight w:val="none"/>
        </w:rPr>
        <w:t>组成</w:t>
      </w:r>
    </w:p>
    <w:p>
      <w:pPr>
        <w:tabs>
          <w:tab w:val="left" w:pos="7665"/>
        </w:tabs>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w:t>
      </w:r>
      <w:r>
        <w:rPr>
          <w:rFonts w:hint="eastAsia" w:ascii="宋体" w:hAnsi="宋体"/>
          <w:color w:val="auto"/>
          <w:szCs w:val="21"/>
          <w:highlight w:val="none"/>
        </w:rPr>
        <w:t>1.1本采购文件应包括下列内容：</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（1）单一来源采购邀请书；</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（2）谈判须知；</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（3）采购内容及要求；</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（4）采购合同条款；</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（6）响应文件格式；</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（7）供应商有关资格证明文件。</w:t>
      </w:r>
      <w:bookmarkStart w:id="46" w:name="_Toc183682348"/>
      <w:bookmarkStart w:id="47" w:name="_Toc183582211"/>
      <w:bookmarkStart w:id="48" w:name="_Toc217446040"/>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 2.2 条款对采购文件所作的澄清、修改，构成单一来源采购文件的组成部分。</w:t>
      </w:r>
    </w:p>
    <w:p>
      <w:pPr>
        <w:tabs>
          <w:tab w:val="left" w:pos="7665"/>
        </w:tabs>
        <w:spacing w:before="120" w:beforeLines="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2.2采购</w:t>
      </w:r>
      <w:r>
        <w:rPr>
          <w:rFonts w:hint="eastAsia"/>
          <w:b/>
          <w:color w:val="auto"/>
          <w:sz w:val="30"/>
          <w:szCs w:val="30"/>
          <w:highlight w:val="none"/>
        </w:rPr>
        <w:t>文件的澄清</w:t>
      </w:r>
      <w:bookmarkEnd w:id="46"/>
      <w:bookmarkEnd w:id="47"/>
      <w:r>
        <w:rPr>
          <w:rFonts w:hint="eastAsia"/>
          <w:b/>
          <w:color w:val="auto"/>
          <w:sz w:val="30"/>
          <w:szCs w:val="30"/>
          <w:highlight w:val="none"/>
        </w:rPr>
        <w:t>或修改</w:t>
      </w:r>
      <w:bookmarkEnd w:id="48"/>
    </w:p>
    <w:p>
      <w:pPr>
        <w:tabs>
          <w:tab w:val="left" w:pos="7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在递交响应文件截止时间前，采购代理机构无论出于何种原因，可以对已发出采购文件进行必要的澄清或者修改，但不得修改实质性条款。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采购人或采购代理机构对已发出的采购文件进行必要的澄清或者修改，澄清或修改的内容可能影响采购文件编制的，应当在响应文件递交截止时间3个工作日前，以书面形式将澄清或者修改的内容通知供应商。供应商在收到上述通知后，应立即以书面形式向采购代理机构确认。如果澄清或者修改发出的时间距规定的响应文件递交截止时间不足</w:t>
      </w:r>
      <w:r>
        <w:rPr>
          <w:rFonts w:hint="eastAsia" w:ascii="宋体" w:hAnsi="宋体" w:cs="TimesNewRomanPSMT"/>
          <w:b/>
          <w:color w:val="auto"/>
          <w:szCs w:val="21"/>
          <w:highlight w:val="none"/>
        </w:rPr>
        <w:t>3</w:t>
      </w:r>
      <w:r>
        <w:rPr>
          <w:rFonts w:hint="eastAsia" w:ascii="宋体" w:hAnsi="宋体" w:cs="TimesNewRomanPSMT"/>
          <w:color w:val="auto"/>
          <w:szCs w:val="21"/>
          <w:highlight w:val="none"/>
        </w:rPr>
        <w:t>个工作日</w:t>
      </w:r>
      <w:r>
        <w:rPr>
          <w:rFonts w:hint="eastAsia" w:ascii="宋体" w:hAnsi="宋体"/>
          <w:color w:val="auto"/>
          <w:szCs w:val="21"/>
          <w:highlight w:val="none"/>
        </w:rPr>
        <w:t>，将相应顺延长响应文件递交截止时间。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供应商应仔细阅读和检查采购文件的全部内容。如发现缺页或附件不全，应及时向采购代理机构提出，以便补齐。如需要询问或澄清的，应在收到采购文件1个工作日内，以书面形式向采购代理机构提出，采购代理机构应当在</w:t>
      </w:r>
      <w:r>
        <w:rPr>
          <w:rFonts w:hint="eastAsia" w:ascii="宋体" w:hAnsi="宋体"/>
          <w:b/>
          <w:color w:val="auto"/>
          <w:szCs w:val="21"/>
          <w:highlight w:val="none"/>
        </w:rPr>
        <w:t>3</w:t>
      </w:r>
      <w:r>
        <w:rPr>
          <w:rFonts w:hint="eastAsia" w:ascii="宋体" w:hAnsi="宋体"/>
          <w:color w:val="auto"/>
          <w:szCs w:val="21"/>
          <w:highlight w:val="none"/>
        </w:rPr>
        <w:t>个工作日内，以书面形式予以答复。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在响应文件递交截止时间前，采购代理机构可以视采购具体情况，延长响应文件截止时间和谈判时间，并将变更时间以书面形式通知</w:t>
      </w:r>
      <w:bookmarkStart w:id="49" w:name="_Toc217446041"/>
      <w:bookmarkStart w:id="50" w:name="_Toc183682350"/>
      <w:bookmarkStart w:id="51" w:name="_Toc208848971"/>
      <w:bookmarkStart w:id="52" w:name="_Toc183582213"/>
      <w:r>
        <w:rPr>
          <w:rFonts w:hint="eastAsia" w:ascii="宋体" w:hAnsi="宋体"/>
          <w:color w:val="auto"/>
          <w:szCs w:val="21"/>
          <w:highlight w:val="none"/>
        </w:rPr>
        <w:t>供应商。</w:t>
      </w:r>
    </w:p>
    <w:p>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2.2.5 </w:t>
      </w:r>
      <w:r>
        <w:rPr>
          <w:rFonts w:hint="eastAsia" w:ascii="宋体"/>
          <w:color w:val="auto"/>
          <w:szCs w:val="21"/>
          <w:highlight w:val="none"/>
        </w:rPr>
        <w:t>当采购文件</w:t>
      </w:r>
      <w:r>
        <w:rPr>
          <w:rFonts w:hint="eastAsia" w:ascii="宋体" w:hAnsi="宋体"/>
          <w:color w:val="auto"/>
          <w:szCs w:val="21"/>
          <w:highlight w:val="none"/>
        </w:rPr>
        <w:t>澄清、答复、修改或补充通知与采购文件</w:t>
      </w:r>
      <w:r>
        <w:rPr>
          <w:rFonts w:hint="eastAsia" w:ascii="宋体"/>
          <w:color w:val="auto"/>
          <w:szCs w:val="21"/>
          <w:highlight w:val="none"/>
        </w:rPr>
        <w:t>就同一内容表述不一致时，以最后发出的书面文件内容为准。</w:t>
      </w:r>
    </w:p>
    <w:bookmarkEnd w:id="49"/>
    <w:bookmarkEnd w:id="50"/>
    <w:bookmarkEnd w:id="51"/>
    <w:bookmarkEnd w:id="52"/>
    <w:p>
      <w:pPr>
        <w:tabs>
          <w:tab w:val="left" w:pos="7665"/>
        </w:tabs>
        <w:spacing w:before="120" w:beforeLines="50" w:after="240" w:afterLines="100"/>
        <w:rPr>
          <w:rFonts w:ascii="黑体" w:hAnsi="宋体" w:eastAsia="黑体" w:cs="宋体"/>
          <w:b/>
          <w:color w:val="auto"/>
          <w:kern w:val="0"/>
          <w:sz w:val="36"/>
          <w:szCs w:val="36"/>
          <w:highlight w:val="none"/>
        </w:rPr>
      </w:pPr>
      <w:bookmarkStart w:id="53" w:name="_Toc217446043"/>
      <w:bookmarkStart w:id="54" w:name="_Toc183582215"/>
      <w:bookmarkStart w:id="55" w:name="_Toc183682352"/>
      <w:r>
        <w:rPr>
          <w:rFonts w:hint="eastAsia" w:ascii="黑体" w:eastAsia="黑体"/>
          <w:b/>
          <w:bCs/>
          <w:color w:val="auto"/>
          <w:sz w:val="36"/>
          <w:szCs w:val="36"/>
          <w:highlight w:val="none"/>
        </w:rPr>
        <w:t>3.单一来源采购响应文件</w:t>
      </w:r>
    </w:p>
    <w:p>
      <w:pPr>
        <w:snapToGrid w:val="0"/>
        <w:spacing w:after="240" w:afterLines="100"/>
        <w:ind w:firstLine="298" w:firstLineChars="99"/>
        <w:outlineLvl w:val="2"/>
        <w:rPr>
          <w:rFonts w:ascii="宋体" w:hAnsi="宋体"/>
          <w:b/>
          <w:bCs/>
          <w:color w:val="auto"/>
          <w:sz w:val="30"/>
          <w:szCs w:val="30"/>
          <w:highlight w:val="none"/>
        </w:rPr>
      </w:pPr>
      <w:r>
        <w:rPr>
          <w:rFonts w:hint="eastAsia" w:ascii="宋体" w:hAnsi="宋体"/>
          <w:b/>
          <w:bCs/>
          <w:color w:val="auto"/>
          <w:sz w:val="30"/>
          <w:szCs w:val="30"/>
          <w:highlight w:val="none"/>
        </w:rPr>
        <w:t>3.1一般要求</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3.1.1供应商应仔细阅读采购文件的所有内容，按采购文件规定及要求编写，应当对采购文件提出的实质性要求做出响应，并提交完整的响应文件。供应商应对投标货物和服务提供完整详细的技术说明。</w:t>
      </w:r>
      <w:r>
        <w:rPr>
          <w:rFonts w:hint="eastAsia" w:ascii="宋体" w:hAnsi="宋体"/>
          <w:b/>
          <w:color w:val="auto"/>
          <w:szCs w:val="21"/>
          <w:highlight w:val="none"/>
        </w:rPr>
        <w:t>供应商拟在成交后将本项目的非主体、非关键性工作交由他人完成的，应当在响应文件中载明。</w:t>
      </w:r>
      <w:r>
        <w:rPr>
          <w:rFonts w:hint="eastAsia" w:ascii="宋体" w:hAnsi="宋体"/>
          <w:color w:val="auto"/>
          <w:szCs w:val="21"/>
          <w:highlight w:val="none"/>
        </w:rPr>
        <w:t>供应商对本采购文件的每一项要求所给予的响应必须是唯一的，否则将视为无效响应文件。</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3.1.2供应商应保证所提供的响应文件和所有资料的真实性、准确性和完整性。</w:t>
      </w:r>
    </w:p>
    <w:p>
      <w:pPr>
        <w:pStyle w:val="15"/>
        <w:adjustRightInd w:val="0"/>
        <w:snapToGrid w:val="0"/>
        <w:spacing w:line="360" w:lineRule="auto"/>
        <w:ind w:firstLine="420" w:firstLineChars="200"/>
        <w:rPr>
          <w:color w:val="auto"/>
          <w:highlight w:val="none"/>
        </w:rPr>
      </w:pPr>
      <w:r>
        <w:rPr>
          <w:rFonts w:hint="eastAsia" w:hAnsi="宋体"/>
          <w:color w:val="auto"/>
          <w:highlight w:val="none"/>
        </w:rPr>
        <w:t>3.1.3本项目响应</w:t>
      </w:r>
      <w:r>
        <w:rPr>
          <w:rFonts w:hint="eastAsia"/>
          <w:color w:val="auto"/>
          <w:highlight w:val="none"/>
        </w:rPr>
        <w:t>文件应采用书面文件形式，电报、传真、电子邮件形式的响应文件不予接受。</w:t>
      </w:r>
    </w:p>
    <w:p>
      <w:pPr>
        <w:tabs>
          <w:tab w:val="left" w:pos="72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3.1.4本项目不接受备选方案，响应文件的报价只允许有一个报价，不接受有任何选择或具有附加条件的报价，否则，</w:t>
      </w:r>
      <w:r>
        <w:rPr>
          <w:rFonts w:hint="eastAsia" w:hAnsi="宋体"/>
          <w:color w:val="auto"/>
          <w:szCs w:val="21"/>
          <w:highlight w:val="none"/>
        </w:rPr>
        <w:t>视为无效响应文件。</w:t>
      </w:r>
    </w:p>
    <w:bookmarkEnd w:id="53"/>
    <w:bookmarkEnd w:id="54"/>
    <w:bookmarkEnd w:id="55"/>
    <w:p>
      <w:pPr>
        <w:tabs>
          <w:tab w:val="left" w:pos="720"/>
        </w:tabs>
        <w:snapToGrid w:val="0"/>
        <w:spacing w:before="120" w:beforeLines="50" w:after="120" w:afterLines="50"/>
        <w:ind w:firstLine="298" w:firstLineChars="99"/>
        <w:rPr>
          <w:rFonts w:asciiTheme="majorEastAsia" w:hAnsiTheme="majorEastAsia" w:eastAsiaTheme="majorEastAsia"/>
          <w:b/>
          <w:color w:val="auto"/>
          <w:sz w:val="30"/>
          <w:szCs w:val="30"/>
          <w:highlight w:val="none"/>
        </w:rPr>
      </w:pPr>
      <w:bookmarkStart w:id="56" w:name="_Toc183682354"/>
      <w:bookmarkStart w:id="57" w:name="_Toc183582217"/>
      <w:bookmarkStart w:id="58" w:name="_Toc217446048"/>
      <w:r>
        <w:rPr>
          <w:rFonts w:hint="eastAsia" w:asciiTheme="majorEastAsia" w:hAnsiTheme="majorEastAsia" w:eastAsiaTheme="majorEastAsia"/>
          <w:b/>
          <w:color w:val="auto"/>
          <w:sz w:val="30"/>
          <w:szCs w:val="30"/>
          <w:highlight w:val="none"/>
        </w:rPr>
        <w:t>3.2响应文件的组成</w:t>
      </w:r>
      <w:bookmarkEnd w:id="56"/>
      <w:bookmarkEnd w:id="57"/>
      <w:bookmarkEnd w:id="58"/>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3.2.1响应文件应包括以下内容：</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（1）商务文件</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（2）技术文件</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（3）资格证明文件</w:t>
      </w:r>
    </w:p>
    <w:p>
      <w:pPr>
        <w:spacing w:line="360" w:lineRule="auto"/>
        <w:rPr>
          <w:rFonts w:ascii="宋体" w:hAnsi="宋体"/>
          <w:color w:val="auto"/>
          <w:szCs w:val="21"/>
          <w:highlight w:val="none"/>
        </w:rPr>
      </w:pPr>
      <w:r>
        <w:rPr>
          <w:rFonts w:hint="eastAsia" w:ascii="宋体" w:hAnsi="宋体"/>
          <w:color w:val="auto"/>
          <w:szCs w:val="21"/>
          <w:highlight w:val="none"/>
        </w:rPr>
        <w:t xml:space="preserve">    3.2.1</w:t>
      </w:r>
      <w:r>
        <w:rPr>
          <w:rFonts w:hint="eastAsia" w:ascii="宋体" w:hAnsi="宋体"/>
          <w:b/>
          <w:color w:val="auto"/>
          <w:szCs w:val="21"/>
          <w:highlight w:val="none"/>
        </w:rPr>
        <w:t>商务文件</w:t>
      </w:r>
      <w:r>
        <w:rPr>
          <w:rFonts w:hint="eastAsia" w:ascii="宋体" w:hAnsi="宋体"/>
          <w:color w:val="auto"/>
          <w:szCs w:val="21"/>
          <w:highlight w:val="none"/>
        </w:rPr>
        <w:t>主要包括以下内容：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（1）单一来源采购响应函；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（2）报价；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（3）证明投标货物（产品）的合格性；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（4）商务条款偏离表；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（5）承诺及售后服务。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技术文件</w:t>
      </w:r>
      <w:r>
        <w:rPr>
          <w:rFonts w:hint="eastAsia" w:ascii="宋体" w:hAnsi="宋体"/>
          <w:color w:val="auto"/>
          <w:szCs w:val="21"/>
          <w:highlight w:val="none"/>
          <w:lang w:val="en-US" w:eastAsia="zh-CN"/>
        </w:rPr>
        <w:t>包含但不限于</w:t>
      </w:r>
      <w:r>
        <w:rPr>
          <w:rFonts w:hint="eastAsia" w:ascii="宋体" w:hAnsi="宋体"/>
          <w:color w:val="auto"/>
          <w:szCs w:val="21"/>
          <w:highlight w:val="none"/>
        </w:rPr>
        <w:t>以下内容：</w:t>
      </w:r>
    </w:p>
    <w:p>
      <w:pP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（1）提供货物（产品）的品牌、型号、配置；</w:t>
      </w:r>
    </w:p>
    <w:p>
      <w:pPr>
        <w:spacing w:line="360" w:lineRule="auto"/>
        <w:ind w:left="504" w:leftChars="226" w:hanging="29" w:hangingChars="14"/>
        <w:rPr>
          <w:rFonts w:ascii="宋体" w:hAnsi="宋体"/>
          <w:color w:val="auto"/>
          <w:szCs w:val="21"/>
          <w:highlight w:val="none"/>
        </w:rPr>
      </w:pPr>
      <w:r>
        <w:rPr>
          <w:rFonts w:hint="eastAsia" w:ascii="宋体" w:hAnsi="宋体"/>
          <w:color w:val="auto"/>
          <w:szCs w:val="21"/>
          <w:highlight w:val="none"/>
        </w:rPr>
        <w:t>（2）详细的技术指标和参数；</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（3）技术支持资料；</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（4）技术服务、项目实施方案；</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（5）技术要求偏离表；</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（6）产品彩页资料；</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（7）产品工作环境条件；</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（8）产品验收标准和验收方法；</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）供应商认为需要提供的文件和资料。</w:t>
      </w:r>
    </w:p>
    <w:p>
      <w:pPr>
        <w:spacing w:line="360" w:lineRule="auto"/>
        <w:ind w:left="523" w:leftChars="236" w:hanging="27" w:hangingChars="13"/>
        <w:rPr>
          <w:rFonts w:ascii="宋体" w:hAnsi="宋体"/>
          <w:color w:val="auto"/>
          <w:szCs w:val="21"/>
          <w:highlight w:val="none"/>
        </w:rPr>
      </w:pPr>
      <w:r>
        <w:rPr>
          <w:rFonts w:hint="eastAsia" w:ascii="宋体" w:hAnsi="宋体"/>
          <w:color w:val="auto"/>
          <w:szCs w:val="21"/>
          <w:highlight w:val="none"/>
        </w:rPr>
        <w:t xml:space="preserve">3.2.3 </w:t>
      </w:r>
      <w:r>
        <w:rPr>
          <w:rFonts w:hint="eastAsia" w:ascii="宋体" w:hAnsi="宋体"/>
          <w:b/>
          <w:color w:val="auto"/>
          <w:szCs w:val="21"/>
          <w:highlight w:val="none"/>
        </w:rPr>
        <w:t>资格证明文件</w:t>
      </w:r>
      <w:r>
        <w:rPr>
          <w:rFonts w:hint="eastAsia" w:ascii="宋体" w:hAnsi="宋体"/>
          <w:color w:val="auto"/>
          <w:szCs w:val="21"/>
          <w:highlight w:val="none"/>
        </w:rPr>
        <w:t>包括本章第1.3.1条款内容。</w:t>
      </w:r>
    </w:p>
    <w:p>
      <w:pPr>
        <w:spacing w:before="120" w:beforeLines="50" w:after="120" w:afterLines="50"/>
        <w:ind w:firstLine="440" w:firstLineChars="146"/>
        <w:rPr>
          <w:rFonts w:ascii="宋体" w:hAnsi="宋体"/>
          <w:b/>
          <w:color w:val="auto"/>
          <w:sz w:val="30"/>
          <w:szCs w:val="30"/>
          <w:highlight w:val="none"/>
        </w:rPr>
      </w:pPr>
      <w:r>
        <w:rPr>
          <w:rFonts w:hint="eastAsia" w:ascii="宋体" w:hAnsi="宋体"/>
          <w:b/>
          <w:color w:val="auto"/>
          <w:sz w:val="30"/>
          <w:szCs w:val="30"/>
          <w:highlight w:val="none"/>
        </w:rPr>
        <w:t>3.3报价</w:t>
      </w:r>
    </w:p>
    <w:p>
      <w:pPr>
        <w:adjustRightInd w:val="0"/>
        <w:snapToGrid w:val="0"/>
        <w:spacing w:line="360" w:lineRule="auto"/>
        <w:ind w:firstLine="525" w:firstLineChars="250"/>
        <w:rPr>
          <w:rFonts w:ascii="宋体" w:hAnsi="宋体" w:cs="宋体"/>
          <w:color w:val="auto"/>
          <w:kern w:val="0"/>
          <w:szCs w:val="21"/>
          <w:highlight w:val="none"/>
        </w:rPr>
      </w:pPr>
      <w:r>
        <w:rPr>
          <w:rFonts w:hint="eastAsia" w:ascii="宋体" w:hAnsi="宋体"/>
          <w:color w:val="auto"/>
          <w:szCs w:val="21"/>
          <w:highlight w:val="none"/>
        </w:rPr>
        <w:t>3.3.1供应商应当根据采购文件要求和范围，以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r>
        <w:rPr>
          <w:rFonts w:hint="eastAsia" w:ascii="宋体" w:hAnsi="宋体" w:cs="宋体"/>
          <w:color w:val="auto"/>
          <w:kern w:val="0"/>
          <w:szCs w:val="21"/>
          <w:highlight w:val="none"/>
        </w:rPr>
        <w:t>供应商的报价应包括货物、随配附件、备品备件、工具、制造商赠品、运抵指定</w:t>
      </w:r>
      <w:r>
        <w:rPr>
          <w:rFonts w:hint="eastAsia" w:ascii="宋体" w:hAnsi="宋体" w:cs="宋体"/>
          <w:color w:val="auto"/>
          <w:kern w:val="0"/>
          <w:szCs w:val="21"/>
          <w:highlight w:val="none"/>
          <w:lang w:eastAsia="zh-CN"/>
        </w:rPr>
        <w:t>服务</w:t>
      </w:r>
      <w:r>
        <w:rPr>
          <w:rFonts w:hint="eastAsia" w:ascii="宋体" w:hAnsi="宋体" w:cs="宋体"/>
          <w:color w:val="auto"/>
          <w:kern w:val="0"/>
          <w:szCs w:val="21"/>
          <w:highlight w:val="none"/>
        </w:rPr>
        <w:t>地点费用、保险费、安装调试费、售后服务费、税金及其他所有费用的总和。</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3.3.2供应商应按首次报价表、首次报价明细表的内容填写。</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3.3.3</w:t>
      </w:r>
      <w:r>
        <w:rPr>
          <w:rFonts w:asciiTheme="minorEastAsia" w:hAnsiTheme="minorEastAsia" w:eastAsiaTheme="minorEastAsia"/>
          <w:color w:val="auto"/>
          <w:szCs w:val="21"/>
          <w:highlight w:val="none"/>
          <w:lang w:val="zh-CN"/>
        </w:rPr>
        <w:t>本次采购只允许供应商报一种方案，且不接受选择性报价和附有条件的报价，否则其报价无效。</w:t>
      </w:r>
      <w:r>
        <w:rPr>
          <w:rFonts w:hint="eastAsia" w:asciiTheme="minorEastAsia" w:hAnsiTheme="minorEastAsia" w:eastAsiaTheme="minorEastAsia"/>
          <w:color w:val="auto"/>
          <w:szCs w:val="21"/>
          <w:highlight w:val="none"/>
        </w:rPr>
        <w:t xml:space="preserve"> </w:t>
      </w:r>
    </w:p>
    <w:p>
      <w:pPr>
        <w:pStyle w:val="15"/>
        <w:adjustRightInd w:val="0"/>
        <w:snapToGrid w:val="0"/>
        <w:spacing w:line="360" w:lineRule="auto"/>
        <w:ind w:firstLine="422" w:firstLineChars="200"/>
        <w:rPr>
          <w:rFonts w:hAnsi="宋体"/>
          <w:b/>
          <w:color w:val="auto"/>
          <w:highlight w:val="none"/>
        </w:rPr>
      </w:pPr>
      <w:r>
        <w:rPr>
          <w:rFonts w:hint="eastAsia" w:hAnsi="宋体"/>
          <w:b/>
          <w:color w:val="auto"/>
          <w:highlight w:val="none"/>
        </w:rPr>
        <w:t>3.3.4 最终报价在合同执行过程中是固定不变的，不得以任何理由予以变更。以可变动价格提交的报价将被认为是非实质响应而被拒绝。</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3.3.5</w:t>
      </w:r>
      <w:r>
        <w:rPr>
          <w:rFonts w:hint="eastAsia" w:hAnsi="宋体" w:cs="宋体"/>
          <w:color w:val="auto"/>
          <w:kern w:val="0"/>
          <w:highlight w:val="none"/>
          <w:lang w:val="zh-CN"/>
        </w:rPr>
        <w:t>供应商</w:t>
      </w:r>
      <w:r>
        <w:rPr>
          <w:rFonts w:hint="eastAsia" w:hAnsi="宋体"/>
          <w:color w:val="auto"/>
          <w:highlight w:val="none"/>
        </w:rPr>
        <w:t>的报价不得超过采购项目预算，采购项目预算见</w:t>
      </w:r>
      <w:r>
        <w:rPr>
          <w:rFonts w:hint="eastAsia" w:hAnsi="宋体"/>
          <w:b/>
          <w:color w:val="auto"/>
          <w:highlight w:val="none"/>
        </w:rPr>
        <w:t>谈判须知前附表</w:t>
      </w:r>
      <w:r>
        <w:rPr>
          <w:rFonts w:hint="eastAsia" w:hAnsi="宋体"/>
          <w:color w:val="auto"/>
          <w:highlight w:val="none"/>
        </w:rPr>
        <w:t>。</w:t>
      </w:r>
    </w:p>
    <w:p>
      <w:pPr>
        <w:spacing w:before="120" w:beforeLines="50" w:after="120" w:afterLines="50" w:line="360" w:lineRule="auto"/>
        <w:ind w:firstLine="295" w:firstLineChars="98"/>
        <w:rPr>
          <w:rFonts w:ascii="宋体" w:hAnsi="宋体"/>
          <w:b/>
          <w:bCs/>
          <w:color w:val="auto"/>
          <w:sz w:val="30"/>
          <w:szCs w:val="30"/>
          <w:highlight w:val="none"/>
        </w:rPr>
      </w:pPr>
      <w:bookmarkStart w:id="59" w:name="_Toc183582223"/>
      <w:bookmarkStart w:id="60" w:name="_Toc183682360"/>
      <w:bookmarkStart w:id="61" w:name="_Toc217446050"/>
      <w:r>
        <w:rPr>
          <w:rFonts w:hint="eastAsia" w:ascii="宋体" w:hAnsi="宋体"/>
          <w:b/>
          <w:bCs/>
          <w:color w:val="auto"/>
          <w:sz w:val="30"/>
          <w:szCs w:val="30"/>
          <w:highlight w:val="none"/>
        </w:rPr>
        <w:t>3.4响应文件有效期</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3.4.1响应文件有效期见</w:t>
      </w:r>
      <w:r>
        <w:rPr>
          <w:rFonts w:hint="eastAsia" w:hAnsi="宋体"/>
          <w:b/>
          <w:color w:val="auto"/>
          <w:highlight w:val="none"/>
        </w:rPr>
        <w:t>谈判须知前附表</w:t>
      </w:r>
      <w:r>
        <w:rPr>
          <w:rFonts w:hint="eastAsia" w:hAnsi="宋体"/>
          <w:color w:val="auto"/>
          <w:highlight w:val="none"/>
        </w:rPr>
        <w:t>，在此期间响应文件对供应商具有法律约束力，响应文件有效期</w:t>
      </w:r>
      <w:r>
        <w:rPr>
          <w:rFonts w:hint="eastAsia" w:hAnsi="宋体" w:cs="Arial"/>
          <w:color w:val="auto"/>
          <w:highlight w:val="none"/>
        </w:rPr>
        <w:t>从</w:t>
      </w:r>
      <w:r>
        <w:rPr>
          <w:rFonts w:hint="eastAsia" w:hAnsi="宋体"/>
          <w:color w:val="auto"/>
          <w:highlight w:val="none"/>
        </w:rPr>
        <w:t>本章第4.2.1项规定的</w:t>
      </w:r>
      <w:r>
        <w:rPr>
          <w:rFonts w:hint="eastAsia" w:hAnsi="宋体" w:cs="Arial"/>
          <w:color w:val="auto"/>
          <w:highlight w:val="none"/>
        </w:rPr>
        <w:t>递交</w:t>
      </w:r>
      <w:r>
        <w:rPr>
          <w:rFonts w:hint="eastAsia" w:hAnsi="宋体"/>
          <w:color w:val="auto"/>
          <w:highlight w:val="none"/>
        </w:rPr>
        <w:t>响应文件</w:t>
      </w:r>
      <w:r>
        <w:rPr>
          <w:rFonts w:hint="eastAsia" w:hAnsi="宋体" w:cs="Arial"/>
          <w:color w:val="auto"/>
          <w:highlight w:val="none"/>
        </w:rPr>
        <w:t>截止时间之日起计算。</w:t>
      </w:r>
      <w:r>
        <w:rPr>
          <w:rFonts w:hint="eastAsia" w:hAnsi="宋体"/>
          <w:color w:val="auto"/>
          <w:highlight w:val="none"/>
        </w:rPr>
        <w:t>响应文件有效期不足的将被视为无效响应，并予以拒绝。</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3.4.2特殊情况下，采购代理机构可于响应文件有效期满之前要求供应商同意延长有效期，要求与答复均应为书面形式。供应商可以拒绝上述要求而其保证金不被没收。供应商同意该要求，既不要求也不允许其修改响应文件，但将要求其相应延长保证金的有效期。有关退还和没收保证金的规定在响应文件有效期的延长期内继续有效。</w:t>
      </w:r>
    </w:p>
    <w:p>
      <w:pPr>
        <w:pStyle w:val="5"/>
        <w:spacing w:before="120" w:beforeLines="50" w:after="240" w:afterLines="100"/>
        <w:ind w:firstLine="298" w:firstLineChars="99"/>
        <w:rPr>
          <w:rFonts w:ascii="宋体" w:hAnsi="宋体"/>
          <w:b/>
          <w:color w:val="auto"/>
          <w:sz w:val="30"/>
          <w:szCs w:val="30"/>
          <w:highlight w:val="none"/>
        </w:rPr>
      </w:pPr>
      <w:r>
        <w:rPr>
          <w:rFonts w:hint="eastAsia" w:ascii="宋体" w:hAnsi="宋体"/>
          <w:b/>
          <w:bCs/>
          <w:color w:val="auto"/>
          <w:sz w:val="30"/>
          <w:szCs w:val="30"/>
          <w:highlight w:val="none"/>
        </w:rPr>
        <w:t>3.5谈判保证金</w:t>
      </w:r>
      <w:bookmarkEnd w:id="59"/>
      <w:bookmarkEnd w:id="60"/>
      <w:bookmarkEnd w:id="61"/>
      <w:r>
        <w:rPr>
          <w:rFonts w:hint="eastAsia" w:ascii="宋体" w:hAnsi="宋体"/>
          <w:b/>
          <w:bCs/>
          <w:color w:val="auto"/>
          <w:sz w:val="30"/>
          <w:szCs w:val="30"/>
          <w:highlight w:val="none"/>
        </w:rPr>
        <w:t>（适用于谈判须知前附表要求递交谈判保证金的情形，本项目不适用）</w:t>
      </w:r>
    </w:p>
    <w:p>
      <w:pPr>
        <w:spacing w:line="360" w:lineRule="auto"/>
        <w:ind w:firstLine="411" w:firstLineChars="196"/>
        <w:rPr>
          <w:rFonts w:hint="eastAsia" w:ascii="宋体" w:hAnsi="宋体"/>
          <w:color w:val="auto"/>
          <w:szCs w:val="21"/>
          <w:highlight w:val="none"/>
        </w:rPr>
      </w:pPr>
      <w:bookmarkStart w:id="62" w:name="_Toc183582224"/>
      <w:bookmarkStart w:id="63" w:name="_Toc217446051"/>
      <w:bookmarkStart w:id="64" w:name="_Toc183682361"/>
      <w:r>
        <w:rPr>
          <w:rFonts w:hint="eastAsia" w:ascii="宋体" w:hAnsi="宋体"/>
          <w:color w:val="auto"/>
          <w:szCs w:val="21"/>
          <w:highlight w:val="none"/>
          <w:lang w:val="en-US" w:eastAsia="zh-CN"/>
        </w:rPr>
        <w:t>3</w:t>
      </w:r>
      <w:r>
        <w:rPr>
          <w:rFonts w:hint="eastAsia" w:ascii="宋体" w:hAnsi="宋体"/>
          <w:color w:val="auto"/>
          <w:szCs w:val="21"/>
          <w:highlight w:val="none"/>
        </w:rPr>
        <w:t>.5.1 供应商须知前附表要求供应商提交谈判保证金的，适用本条款；供应商须知前附表未要求供应商提交谈判保证金的，供应商不需提交，也不必遵守本条款。</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.5.2谈判保证金的提交</w:t>
      </w:r>
    </w:p>
    <w:p>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3</w:t>
      </w:r>
      <w:r>
        <w:rPr>
          <w:rFonts w:hint="eastAsia" w:ascii="宋体" w:hAnsi="宋体"/>
          <w:color w:val="auto"/>
          <w:szCs w:val="21"/>
          <w:highlight w:val="none"/>
        </w:rPr>
        <w:t>.5.2.1 开启响应文件现场不办理谈判保证金事宜。</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.5.2.2 供应商应当按照供应商须知前附表规定的金额、形式、时间和第七章“响应文件格式”规定的谈判保证金格式提交，作为其响应文件的一部分。联合体谈判的，应当以联合体各方或者联合体中牵头人的名义提交谈判保证金。以联合体牵头单位提交谈判保证金的，对联合体各方均具有约束力。</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.5.2.3 谈判保证金可以银行转账或者金融机构、担保机构出具的保函等非现金形式提交：</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（1）以银行转账提交保证金的，可以采取支票、电汇、网银、汇票、本票等方式，应从其基本账户转出，并在响应文件中附上基本账户开户证明。</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（2）以信用担保函形式提交保证金的，应当按照谈判文件规定的格式提交，供应商违约，开具保函单位承担连带责任。</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（3）以汇票形式提交保证金的，应提前将汇票送至财务部门，汇票签发到期日至少为送至财务部门的当日，以便财务部门到银行办理兑现手续。</w:t>
      </w:r>
    </w:p>
    <w:p>
      <w:pPr>
        <w:widowControl/>
        <w:spacing w:line="360" w:lineRule="auto"/>
        <w:ind w:firstLine="630" w:firstLineChars="300"/>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.5.2.4 </w:t>
      </w:r>
      <w:r>
        <w:rPr>
          <w:rFonts w:ascii="宋体" w:hAnsi="宋体"/>
          <w:color w:val="auto"/>
          <w:szCs w:val="21"/>
          <w:highlight w:val="none"/>
        </w:rPr>
        <w:t>换取</w:t>
      </w:r>
      <w:r>
        <w:rPr>
          <w:rFonts w:hint="eastAsia" w:ascii="宋体" w:hAnsi="宋体"/>
          <w:color w:val="auto"/>
          <w:szCs w:val="21"/>
          <w:highlight w:val="none"/>
        </w:rPr>
        <w:t>提交谈判</w:t>
      </w:r>
      <w:r>
        <w:rPr>
          <w:rFonts w:ascii="宋体" w:hAnsi="宋体"/>
          <w:color w:val="auto"/>
          <w:szCs w:val="21"/>
          <w:highlight w:val="none"/>
        </w:rPr>
        <w:t>保证金</w:t>
      </w:r>
      <w:r>
        <w:rPr>
          <w:rFonts w:hint="eastAsia" w:ascii="宋体" w:hAnsi="宋体"/>
          <w:color w:val="auto"/>
          <w:szCs w:val="21"/>
          <w:highlight w:val="none"/>
        </w:rPr>
        <w:t>收据</w:t>
      </w:r>
    </w:p>
    <w:p>
      <w:pPr>
        <w:widowControl/>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（1）供应商在确认保证金到账后，凭相关资料到采购代理机构财务部门办理谈判保证金换票手续。</w:t>
      </w:r>
    </w:p>
    <w:p>
      <w:pPr>
        <w:widowControl/>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（2）换取谈判保证金提交票据时，供应商应向采购代理机构提供以下资料：</w:t>
      </w:r>
    </w:p>
    <w:p>
      <w:pPr>
        <w:widowControl/>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1）交纳保证金的银行回单（进账单、电汇单、电子回单）原件，或加盖供应商单位章的复印件；</w:t>
      </w:r>
    </w:p>
    <w:p>
      <w:pPr>
        <w:widowControl/>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2）基本存款账户开户许可证复印件或者基本存款账户编号说明（仅限开户许可证取消后成立的公司）并加盖单位章。</w:t>
      </w:r>
    </w:p>
    <w:p>
      <w:pPr>
        <w:spacing w:line="360" w:lineRule="auto"/>
        <w:ind w:firstLine="621" w:firstLineChars="296"/>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.5.2.5供应商未按本章第</w:t>
      </w:r>
      <w:r>
        <w:rPr>
          <w:rFonts w:hint="eastAsia" w:ascii="宋体" w:hAnsi="宋体"/>
          <w:color w:val="auto"/>
          <w:szCs w:val="21"/>
          <w:highlight w:val="none"/>
          <w:lang w:eastAsia="zh-CN"/>
        </w:rPr>
        <w:t>3</w:t>
      </w:r>
      <w:r>
        <w:rPr>
          <w:rFonts w:hint="eastAsia" w:ascii="宋体" w:hAnsi="宋体"/>
          <w:color w:val="auto"/>
          <w:szCs w:val="21"/>
          <w:highlight w:val="none"/>
        </w:rPr>
        <w:t>.5.2.2条款要求提交谈判保证金的，或者由于到账时间晚于提交首次响应文件截止时间的，或者票据错误、印鉴不清等原因导致不能到账的，</w:t>
      </w:r>
      <w:r>
        <w:rPr>
          <w:rFonts w:hint="eastAsia" w:ascii="宋体" w:hAnsi="宋体"/>
          <w:b/>
          <w:color w:val="auto"/>
          <w:szCs w:val="21"/>
          <w:highlight w:val="none"/>
        </w:rPr>
        <w:t>其响应文件无效。</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.5.3 谈判保证金的退还</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5.3.1未成交供应商的谈判保证金，将在成交通知书发出之日起5个工作日内全额退还；成交供应商的谈判保证金，在采购人与成交供应商签订合同之日起5个工作日内全额退还；终止采购项目的谈判保证金，自终止采购活动后</w:t>
      </w:r>
      <w:r>
        <w:rPr>
          <w:rFonts w:ascii="宋体" w:hAnsi="宋体"/>
          <w:color w:val="auto"/>
          <w:szCs w:val="21"/>
          <w:highlight w:val="none"/>
        </w:rPr>
        <w:t>5</w:t>
      </w:r>
      <w:r>
        <w:rPr>
          <w:rFonts w:hint="eastAsia" w:ascii="宋体" w:hAnsi="宋体"/>
          <w:color w:val="auto"/>
          <w:szCs w:val="21"/>
          <w:highlight w:val="none"/>
        </w:rPr>
        <w:t>个工作日内全额退还。</w:t>
      </w:r>
    </w:p>
    <w:p>
      <w:pPr>
        <w:spacing w:line="360" w:lineRule="auto"/>
        <w:ind w:firstLine="621" w:firstLineChars="296"/>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.5.3.2有下列情形之一的，谈判保证金将不予退还：</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（1）供应商在谈判有效期内撤销响应文件的；</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（2）在采购人确定成交供应商以前放弃成交候选资格的；</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（3）成交后放弃成交、不领取或者不接收成交通知书的；</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（4）除因不可抗力或谈判文件认可的情形以外，成交供应商不与采购人订立合同的；</w:t>
      </w:r>
    </w:p>
    <w:p>
      <w:pPr>
        <w:spacing w:line="360" w:lineRule="auto"/>
        <w:ind w:firstLine="516" w:firstLineChars="246"/>
        <w:rPr>
          <w:rFonts w:hint="eastAsia" w:ascii="宋体" w:hAnsi="宋体"/>
          <w:color w:val="auto"/>
          <w:szCs w:val="21"/>
          <w:highlight w:val="none"/>
        </w:rPr>
      </w:pPr>
      <w:r>
        <w:rPr>
          <w:rFonts w:hint="eastAsia" w:ascii="宋体" w:hAnsi="宋体"/>
          <w:color w:val="auto"/>
          <w:szCs w:val="21"/>
          <w:highlight w:val="none"/>
        </w:rPr>
        <w:t>（5）成交供应商在签订合同时向采购人提出附加条件的；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（6）成交供应商未向采购代理机构支付采购代理服务费的；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（7）成交供应商未按谈判文件规定向采购人提交履约保证金的；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（8）供应商与采购人、其他供应商或者采购代理机构恶意串通的；</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（9）法律法规和谈判文件规定的其他情形。</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.5.3.3 谈判保证金退还程序：</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（1）在开启响应文件现场供应商提交响应文件时，同时提交谈判保证金收据原件和加盖单位章的</w:t>
      </w:r>
      <w:r>
        <w:rPr>
          <w:rFonts w:ascii="宋体" w:hAnsi="宋体"/>
          <w:color w:val="auto"/>
          <w:szCs w:val="21"/>
          <w:highlight w:val="none"/>
        </w:rPr>
        <w:t>基本存款账户开户许可证</w:t>
      </w:r>
      <w:r>
        <w:rPr>
          <w:rFonts w:hint="eastAsia" w:ascii="宋体" w:hAnsi="宋体"/>
          <w:color w:val="auto"/>
          <w:szCs w:val="21"/>
          <w:highlight w:val="none"/>
        </w:rPr>
        <w:t>复印件，并填写《退还保证金登记表》（一联财务留存，一联随采购文件存档）。</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（2）未成交供应商的谈判保证金，在《成交通知书》发出之日起5个工作日内，采购代理机构将主动退还至其基本账户。</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（3）成交供应商应当在合同签订生效之日起5个工作日内，持采购合同原件和办理人员身份证复印件到采购代理机构办理，逾期后果自负。采购代理机构应当及时将谈判保证金退还至其基本账户。</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.5.3.4 谈判保证金退还时间：星期-至星期五，9:00-16:00。</w:t>
      </w:r>
    </w:p>
    <w:p>
      <w:pPr>
        <w:widowControl/>
        <w:tabs>
          <w:tab w:val="left" w:pos="1620"/>
        </w:tabs>
        <w:spacing w:line="360" w:lineRule="auto"/>
        <w:ind w:right="-197" w:rightChars="-94" w:firstLine="630" w:firstLineChars="30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3</w:t>
      </w:r>
      <w:r>
        <w:rPr>
          <w:rFonts w:hint="eastAsia" w:ascii="宋体" w:hAnsi="宋体"/>
          <w:color w:val="auto"/>
          <w:szCs w:val="21"/>
          <w:highlight w:val="none"/>
        </w:rPr>
        <w:t>.5.3.5 谈判保证金退还地点：</w:t>
      </w:r>
      <w:r>
        <w:rPr>
          <w:rFonts w:hint="eastAsia" w:ascii="宋体" w:hAnsi="宋体" w:eastAsia="宋体" w:cs="宋体"/>
          <w:color w:val="auto"/>
          <w:szCs w:val="21"/>
          <w:highlight w:val="none"/>
        </w:rPr>
        <w:t>西安市莲湖区丰庆路48号1棟三层305室</w:t>
      </w:r>
      <w:r>
        <w:rPr>
          <w:rFonts w:hint="eastAsia" w:ascii="宋体" w:hAnsi="宋体" w:cs="宋体"/>
          <w:color w:val="auto"/>
          <w:szCs w:val="21"/>
          <w:highlight w:val="none"/>
          <w:lang w:eastAsia="zh-CN"/>
        </w:rPr>
        <w:t>。</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.5.3.6谈判保证金退还方式：银行转账。</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.5.3.7 谈判保证金收据丢失处理办法。供应商通过银行转账（基本账户）形式提交谈判保证金的，因收款收据丢失，应当在提供下列资料后，方可将谈判保证金退还至其基本账户：</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（1）开据单位证明，说明丢失情况，加单位盖章及法人章；</w:t>
      </w:r>
    </w:p>
    <w:p>
      <w:pPr>
        <w:spacing w:line="360" w:lineRule="auto"/>
        <w:ind w:firstLine="525" w:firstLineChars="250"/>
        <w:rPr>
          <w:rFonts w:hint="eastAsia" w:ascii="宋体" w:hAnsi="宋体"/>
          <w:color w:val="auto"/>
          <w:szCs w:val="21"/>
          <w:highlight w:val="none"/>
          <w:u w:val="single"/>
        </w:rPr>
      </w:pPr>
      <w:r>
        <w:rPr>
          <w:rFonts w:hint="eastAsia" w:ascii="宋体" w:hAnsi="宋体"/>
          <w:color w:val="auto"/>
          <w:szCs w:val="21"/>
          <w:highlight w:val="none"/>
        </w:rPr>
        <w:t>（2）开具收款收据，抬头为</w:t>
      </w:r>
      <w:r>
        <w:rPr>
          <w:rFonts w:hint="eastAsia" w:ascii="宋体" w:hAnsi="宋体"/>
          <w:b/>
          <w:color w:val="auto"/>
          <w:szCs w:val="21"/>
          <w:highlight w:val="none"/>
          <w:lang w:eastAsia="zh-CN"/>
        </w:rPr>
        <w:t>华智建造价咨询有限公司</w:t>
      </w:r>
      <w:r>
        <w:rPr>
          <w:rFonts w:hint="eastAsia" w:ascii="宋体" w:hAnsi="宋体"/>
          <w:color w:val="auto"/>
          <w:szCs w:val="21"/>
          <w:highlight w:val="none"/>
        </w:rPr>
        <w:t>，摘要为收到退还谈判保证金款项，金额为谈判保证金金额。</w:t>
      </w:r>
    </w:p>
    <w:bookmarkEnd w:id="62"/>
    <w:bookmarkEnd w:id="63"/>
    <w:bookmarkEnd w:id="64"/>
    <w:p>
      <w:pPr>
        <w:tabs>
          <w:tab w:val="left" w:pos="7665"/>
        </w:tabs>
        <w:spacing w:before="120" w:beforeLines="50" w:after="240" w:afterLines="100"/>
        <w:rPr>
          <w:rFonts w:ascii="宋体" w:hAnsi="宋体"/>
          <w:b/>
          <w:bCs/>
          <w:color w:val="auto"/>
          <w:sz w:val="30"/>
          <w:szCs w:val="30"/>
          <w:highlight w:val="none"/>
        </w:rPr>
      </w:pPr>
      <w:bookmarkStart w:id="65" w:name="_Toc217446052"/>
      <w:bookmarkStart w:id="66" w:name="_Toc183682362"/>
      <w:bookmarkStart w:id="67" w:name="_Toc183582225"/>
      <w:r>
        <w:rPr>
          <w:rFonts w:hint="eastAsia" w:ascii="宋体" w:hAnsi="宋体"/>
          <w:b/>
          <w:bCs/>
          <w:color w:val="auto"/>
          <w:szCs w:val="21"/>
          <w:highlight w:val="none"/>
        </w:rPr>
        <w:t xml:space="preserve">  </w:t>
      </w:r>
      <w:r>
        <w:rPr>
          <w:rFonts w:hint="eastAsia" w:ascii="宋体" w:hAnsi="宋体"/>
          <w:b/>
          <w:bCs/>
          <w:color w:val="auto"/>
          <w:sz w:val="30"/>
          <w:szCs w:val="30"/>
          <w:highlight w:val="none"/>
        </w:rPr>
        <w:t>3.6 响应文件的编制</w:t>
      </w:r>
      <w:bookmarkEnd w:id="65"/>
      <w:bookmarkEnd w:id="66"/>
      <w:bookmarkEnd w:id="67"/>
    </w:p>
    <w:p>
      <w:pP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3.6.1</w:t>
      </w:r>
      <w:r>
        <w:rPr>
          <w:rFonts w:hint="eastAsia" w:ascii="宋体" w:hAnsi="宋体"/>
          <w:color w:val="auto"/>
          <w:szCs w:val="21"/>
          <w:highlight w:val="none"/>
        </w:rPr>
        <w:t>响应文件应根据采购文件的要求编制。供应商应填写全称，同时加盖单位公章，签署、盖章和内容应完整，如有遗漏，将被视为无效响应文件。</w:t>
      </w:r>
    </w:p>
    <w:p>
      <w:pPr>
        <w:tabs>
          <w:tab w:val="left" w:pos="7665"/>
        </w:tabs>
        <w:spacing w:line="360" w:lineRule="auto"/>
        <w:ind w:left="13" w:leftChars="6" w:firstLine="420" w:firstLineChars="200"/>
        <w:rPr>
          <w:rFonts w:ascii="宋体" w:hAnsi="宋体"/>
          <w:color w:val="auto"/>
          <w:szCs w:val="21"/>
          <w:highlight w:val="none"/>
        </w:rPr>
      </w:pPr>
      <w:r>
        <w:rPr>
          <w:rFonts w:hint="eastAsia" w:ascii="宋体" w:hAnsi="宋体"/>
          <w:color w:val="auto"/>
          <w:szCs w:val="21"/>
          <w:highlight w:val="none"/>
        </w:rPr>
        <w:t>3.6.2 响应文件格式要求：</w:t>
      </w:r>
    </w:p>
    <w:p>
      <w:pPr>
        <w:tabs>
          <w:tab w:val="left" w:pos="7665"/>
        </w:tabs>
        <w:spacing w:line="360" w:lineRule="auto"/>
        <w:ind w:left="13" w:leftChars="6" w:firstLine="525" w:firstLineChars="250"/>
        <w:rPr>
          <w:rFonts w:ascii="宋体" w:hAnsi="宋体"/>
          <w:color w:val="auto"/>
          <w:szCs w:val="21"/>
          <w:highlight w:val="none"/>
        </w:rPr>
      </w:pPr>
      <w:r>
        <w:rPr>
          <w:rFonts w:hint="eastAsia" w:ascii="宋体" w:hAnsi="宋体"/>
          <w:color w:val="auto"/>
          <w:szCs w:val="21"/>
          <w:highlight w:val="none"/>
        </w:rPr>
        <w:t>（1）供应商应严格按照采购文件</w:t>
      </w:r>
      <w:r>
        <w:rPr>
          <w:rFonts w:hint="eastAsia" w:ascii="宋体" w:hAnsi="宋体"/>
          <w:color w:val="auto"/>
          <w:szCs w:val="21"/>
          <w:highlight w:val="none"/>
        </w:rPr>
        <w:t>第六章</w:t>
      </w:r>
      <w:r>
        <w:rPr>
          <w:rFonts w:hint="eastAsia" w:ascii="宋体" w:hAnsi="宋体"/>
          <w:color w:val="auto"/>
          <w:szCs w:val="21"/>
          <w:highlight w:val="none"/>
        </w:rPr>
        <w:t>提供的“响应文件格式”编写相关内容，如有必要，可以增加附页，作为响应文件的组成部分。</w:t>
      </w:r>
    </w:p>
    <w:p>
      <w:pPr>
        <w:tabs>
          <w:tab w:val="left" w:pos="7665"/>
        </w:tabs>
        <w:spacing w:line="360" w:lineRule="auto"/>
        <w:ind w:left="13" w:leftChars="6" w:firstLine="525" w:firstLineChars="250"/>
        <w:rPr>
          <w:rFonts w:ascii="宋体" w:hAnsi="宋体"/>
          <w:color w:val="auto"/>
          <w:szCs w:val="21"/>
          <w:highlight w:val="none"/>
        </w:rPr>
      </w:pPr>
      <w:r>
        <w:rPr>
          <w:rFonts w:hint="eastAsia" w:ascii="宋体" w:hAnsi="宋体"/>
          <w:color w:val="auto"/>
          <w:szCs w:val="21"/>
          <w:highlight w:val="none"/>
        </w:rPr>
        <w:t>（2）对于没有格式要求的响应文件由供应商自行编写。除明确允许供应商可以自行编写的外，供应商不得以“响应文件格式”规定之外的方式填写相关内容。否则，供应商提供的响应文件将作为无效响应处理。</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3.6.3响应文件应当对采购文件有关供货期、响应文件有效期、供货要求、采购范围等实在性内容作出响应。响应文件在满足采购文件的实在性基础上，可以提出比采购文件要求更有利于采购人的承诺。</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3.6.4供应商应按“谈判须知前附表”准备响应文件正本和副本。响应文件的正本和副本应在其封面右上角清楚地标明“正本”或“副本”字样。若正本和副本有不一致的内容，以纸质正本为准。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3.6.5 </w:t>
      </w:r>
      <w:r>
        <w:rPr>
          <w:rFonts w:hint="eastAsia" w:ascii="宋体" w:hAnsi="宋体"/>
          <w:color w:val="auto"/>
          <w:szCs w:val="21"/>
          <w:highlight w:val="none"/>
        </w:rPr>
        <w:t>响应文件的正本和副本均需打印或用不褪色、不变质的墨水书写，并由供应商的法定代表人或其授权代表在规定签章处</w:t>
      </w:r>
      <w:r>
        <w:rPr>
          <w:rFonts w:hint="eastAsia" w:ascii="宋体" w:hAnsi="宋体"/>
          <w:color w:val="auto"/>
          <w:szCs w:val="21"/>
          <w:highlight w:val="none"/>
          <w:lang w:eastAsia="zh-CN"/>
        </w:rPr>
        <w:t>签名</w:t>
      </w:r>
      <w:r>
        <w:rPr>
          <w:rFonts w:hint="eastAsia" w:ascii="宋体" w:hAnsi="宋体"/>
          <w:color w:val="auto"/>
          <w:szCs w:val="21"/>
          <w:highlight w:val="none"/>
        </w:rPr>
        <w:t>和盖章。响应文件副本可采用正本的复印件。</w:t>
      </w:r>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3.6.6响应文件的打印和书写应清楚工整，任何行间插字、涂改或增删，应当由供应商的法定代表人或其授权代表</w:t>
      </w:r>
      <w:r>
        <w:rPr>
          <w:rFonts w:hint="eastAsia" w:ascii="宋体" w:hAnsi="宋体"/>
          <w:color w:val="auto"/>
          <w:szCs w:val="21"/>
          <w:highlight w:val="none"/>
          <w:lang w:eastAsia="zh-CN"/>
        </w:rPr>
        <w:t>签名</w:t>
      </w:r>
      <w:r>
        <w:rPr>
          <w:rFonts w:hint="eastAsia" w:ascii="宋体" w:hAnsi="宋体"/>
          <w:color w:val="auto"/>
          <w:szCs w:val="21"/>
          <w:highlight w:val="none"/>
        </w:rPr>
        <w:t>或盖个人印鉴。字迹潦草、表达不清或可能导致非唯一理解的投标文件可能视为无效投标。</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3.6.7 响应文件正本和副本</w:t>
      </w:r>
      <w:r>
        <w:rPr>
          <w:rFonts w:hint="eastAsia" w:ascii="宋体" w:hAnsi="宋体"/>
          <w:color w:val="auto"/>
          <w:szCs w:val="21"/>
          <w:highlight w:val="none"/>
          <w:lang w:val="zh-CN"/>
        </w:rPr>
        <w:t>按照供应商须知前附表的要求胶装分别装订成册</w:t>
      </w:r>
      <w:r>
        <w:rPr>
          <w:rFonts w:hint="eastAsia" w:ascii="宋体" w:hAnsi="宋体"/>
          <w:color w:val="auto"/>
          <w:szCs w:val="21"/>
          <w:highlight w:val="none"/>
          <w:lang w:val="zh-CN"/>
        </w:rPr>
        <w:t>，</w:t>
      </w:r>
      <w:r>
        <w:rPr>
          <w:rFonts w:hint="eastAsia" w:ascii="宋体" w:hAnsi="宋体"/>
          <w:color w:val="auto"/>
          <w:szCs w:val="21"/>
          <w:highlight w:val="none"/>
        </w:rPr>
        <w:t>并逐页编目编码。文件胶装装订后，页面不可抽取，不得有活动页，无破损、不可拆分。</w:t>
      </w:r>
    </w:p>
    <w:p>
      <w:pPr>
        <w:tabs>
          <w:tab w:val="left" w:pos="1080"/>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3.6.8</w:t>
      </w:r>
      <w:r>
        <w:rPr>
          <w:rFonts w:hint="eastAsia" w:hAnsi="宋体"/>
          <w:color w:val="auto"/>
          <w:szCs w:val="21"/>
          <w:highlight w:val="none"/>
        </w:rPr>
        <w:t>在谈判过程中，供应商按采购文件规定和采购小组要求</w:t>
      </w:r>
      <w:r>
        <w:rPr>
          <w:rFonts w:hint="eastAsia" w:hAnsi="宋体" w:cs="宋体"/>
          <w:color w:val="auto"/>
          <w:kern w:val="0"/>
          <w:szCs w:val="21"/>
          <w:highlight w:val="none"/>
        </w:rPr>
        <w:t>提交的</w:t>
      </w:r>
      <w:r>
        <w:rPr>
          <w:rFonts w:hint="eastAsia" w:hAnsi="宋体"/>
          <w:color w:val="auto"/>
          <w:szCs w:val="21"/>
          <w:highlight w:val="none"/>
        </w:rPr>
        <w:t>最终报价(或者</w:t>
      </w:r>
      <w:r>
        <w:rPr>
          <w:rFonts w:hint="eastAsia" w:hAnsi="宋体"/>
          <w:bCs/>
          <w:color w:val="auto"/>
          <w:szCs w:val="21"/>
          <w:highlight w:val="none"/>
        </w:rPr>
        <w:t>重</w:t>
      </w:r>
      <w:r>
        <w:rPr>
          <w:rFonts w:hint="eastAsia" w:hAnsi="宋体" w:cs="宋体"/>
          <w:color w:val="auto"/>
          <w:kern w:val="0"/>
          <w:szCs w:val="21"/>
          <w:highlight w:val="none"/>
        </w:rPr>
        <w:t>新提交的响应文件和</w:t>
      </w:r>
      <w:r>
        <w:rPr>
          <w:rFonts w:hint="eastAsia" w:hAnsi="宋体"/>
          <w:color w:val="auto"/>
          <w:szCs w:val="21"/>
          <w:highlight w:val="none"/>
        </w:rPr>
        <w:t>最终报价)，可打印或用不退色墨水书写，但需经法定代表人或其委托代理人签</w:t>
      </w:r>
      <w:r>
        <w:rPr>
          <w:rFonts w:hint="eastAsia" w:hAnsi="宋体"/>
          <w:color w:val="auto"/>
          <w:szCs w:val="21"/>
          <w:highlight w:val="none"/>
          <w:lang w:val="en-US" w:eastAsia="zh-CN"/>
        </w:rPr>
        <w:t>名</w:t>
      </w:r>
      <w:r>
        <w:rPr>
          <w:rFonts w:hint="eastAsia" w:hAnsi="宋体"/>
          <w:color w:val="auto"/>
          <w:szCs w:val="21"/>
          <w:highlight w:val="none"/>
        </w:rPr>
        <w:t>，</w:t>
      </w:r>
      <w:r>
        <w:rPr>
          <w:rFonts w:hint="eastAsia" w:hAnsi="宋体" w:cs="宋体"/>
          <w:color w:val="auto"/>
          <w:kern w:val="0"/>
          <w:szCs w:val="21"/>
          <w:highlight w:val="none"/>
        </w:rPr>
        <w:t>或者加盖供应商单位章</w:t>
      </w:r>
      <w:r>
        <w:rPr>
          <w:rFonts w:hint="eastAsia" w:hAnsi="宋体"/>
          <w:color w:val="auto"/>
          <w:szCs w:val="21"/>
          <w:highlight w:val="none"/>
        </w:rPr>
        <w:t>。否则，将导致响应文件无效。</w:t>
      </w:r>
    </w:p>
    <w:p>
      <w:pPr>
        <w:tabs>
          <w:tab w:val="left" w:pos="1080"/>
        </w:tabs>
        <w:spacing w:before="120" w:beforeLines="50" w:after="240" w:afterLines="100"/>
        <w:rPr>
          <w:rFonts w:ascii="黑体" w:hAnsi="宋体" w:eastAsia="黑体"/>
          <w:b/>
          <w:bCs/>
          <w:color w:val="auto"/>
          <w:sz w:val="36"/>
          <w:szCs w:val="36"/>
          <w:highlight w:val="none"/>
        </w:rPr>
      </w:pPr>
      <w:bookmarkStart w:id="68" w:name="_Toc77400781"/>
      <w:bookmarkStart w:id="69" w:name="_Toc183582226"/>
      <w:bookmarkStart w:id="70" w:name="_Toc89075877"/>
      <w:bookmarkStart w:id="71" w:name="_Toc183682363"/>
      <w:bookmarkStart w:id="72" w:name="_Toc217446053"/>
      <w:r>
        <w:rPr>
          <w:rFonts w:hint="eastAsia" w:ascii="黑体" w:hAnsi="宋体" w:eastAsia="黑体"/>
          <w:b/>
          <w:bCs/>
          <w:color w:val="auto"/>
          <w:sz w:val="36"/>
          <w:szCs w:val="36"/>
          <w:highlight w:val="none"/>
        </w:rPr>
        <w:t>4.递交响应文件</w:t>
      </w:r>
    </w:p>
    <w:p>
      <w:pPr>
        <w:tabs>
          <w:tab w:val="left" w:pos="1080"/>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4.1响应文件的密封和标</w:t>
      </w:r>
      <w:bookmarkEnd w:id="68"/>
      <w:bookmarkEnd w:id="69"/>
      <w:bookmarkEnd w:id="70"/>
      <w:bookmarkEnd w:id="71"/>
      <w:r>
        <w:rPr>
          <w:rFonts w:hint="eastAsia" w:ascii="宋体" w:hAnsi="宋体"/>
          <w:b/>
          <w:color w:val="auto"/>
          <w:sz w:val="30"/>
          <w:szCs w:val="30"/>
          <w:highlight w:val="none"/>
        </w:rPr>
        <w:t>注</w:t>
      </w:r>
      <w:bookmarkEnd w:id="72"/>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4.1.1</w:t>
      </w:r>
      <w:r>
        <w:rPr>
          <w:rFonts w:hint="eastAsia" w:asciiTheme="minorEastAsia" w:hAnsiTheme="minorEastAsia" w:eastAsiaTheme="minorEastAsia"/>
          <w:color w:val="auto"/>
          <w:kern w:val="0"/>
          <w:szCs w:val="21"/>
          <w:highlight w:val="none"/>
        </w:rPr>
        <w:t>开标前，供应商应将响应文件所有正本、副本全部密封递交。</w:t>
      </w:r>
    </w:p>
    <w:p>
      <w:pPr>
        <w:adjustRightInd w:val="0"/>
        <w:snapToGrid w:val="0"/>
        <w:spacing w:line="360" w:lineRule="auto"/>
        <w:ind w:firstLine="420" w:firstLineChars="20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 xml:space="preserve">4.1.2 </w:t>
      </w:r>
      <w:r>
        <w:rPr>
          <w:rFonts w:hint="eastAsia" w:cs="宋体" w:asciiTheme="minorEastAsia" w:hAnsiTheme="minorEastAsia" w:eastAsiaTheme="minorEastAsia"/>
          <w:color w:val="auto"/>
          <w:kern w:val="0"/>
          <w:szCs w:val="21"/>
          <w:highlight w:val="none"/>
        </w:rPr>
        <w:t>所有密封包装均应符合以下要求：</w:t>
      </w:r>
    </w:p>
    <w:p>
      <w:pPr>
        <w:adjustRightInd w:val="0"/>
        <w:snapToGrid w:val="0"/>
        <w:spacing w:line="360"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（1）</w:t>
      </w:r>
      <w:r>
        <w:rPr>
          <w:rFonts w:hint="eastAsia" w:asciiTheme="minorEastAsia" w:hAnsiTheme="minorEastAsia" w:eastAsiaTheme="minorEastAsia"/>
          <w:color w:val="auto"/>
          <w:szCs w:val="21"/>
          <w:highlight w:val="none"/>
        </w:rPr>
        <w:t>响应文件装订密封装袋要求见谈判须知前附表，并在封套的封口处（缝隙处）加贴封条，应粘贴牢固，加盖密封章（供应商单位公章）。</w:t>
      </w:r>
    </w:p>
    <w:p>
      <w:pPr>
        <w:adjustRightInd w:val="0"/>
        <w:snapToGrid w:val="0"/>
        <w:spacing w:line="360" w:lineRule="auto"/>
        <w:ind w:firstLine="420" w:firstLineChars="20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（2）</w:t>
      </w:r>
      <w:r>
        <w:rPr>
          <w:rFonts w:hint="eastAsia" w:cs="宋体" w:asciiTheme="minorEastAsia" w:hAnsiTheme="minorEastAsia" w:eastAsiaTheme="minorEastAsia"/>
          <w:color w:val="auto"/>
          <w:kern w:val="0"/>
          <w:szCs w:val="21"/>
          <w:highlight w:val="none"/>
        </w:rPr>
        <w:t>清楚标明递交至采购文件中指明的地址。</w:t>
      </w:r>
    </w:p>
    <w:p>
      <w:pPr>
        <w:adjustRightInd w:val="0"/>
        <w:snapToGrid w:val="0"/>
        <w:spacing w:line="360" w:lineRule="auto"/>
        <w:ind w:firstLine="420"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（3）注明项目名称、编号 “在开标时启封”的字样。</w:t>
      </w:r>
    </w:p>
    <w:p>
      <w:pPr>
        <w:adjustRightInd w:val="0"/>
        <w:snapToGrid w:val="0"/>
        <w:spacing w:line="360" w:lineRule="auto"/>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（4）所有密封包装上还应写明供应商名称和地址。</w:t>
      </w:r>
    </w:p>
    <w:p>
      <w:pPr>
        <w:tabs>
          <w:tab w:val="left" w:pos="1080"/>
        </w:tabs>
        <w:spacing w:before="120" w:beforeLines="50" w:after="240" w:afterLines="100"/>
        <w:ind w:firstLine="148" w:firstLineChars="49"/>
        <w:rPr>
          <w:rFonts w:ascii="宋体" w:hAnsi="宋体"/>
          <w:b/>
          <w:color w:val="auto"/>
          <w:sz w:val="30"/>
          <w:szCs w:val="30"/>
          <w:highlight w:val="none"/>
        </w:rPr>
      </w:pPr>
      <w:bookmarkStart w:id="73" w:name="_Toc183682364"/>
      <w:bookmarkStart w:id="74" w:name="_Toc183582227"/>
      <w:bookmarkStart w:id="75" w:name="_Toc217446054"/>
      <w:r>
        <w:rPr>
          <w:rFonts w:hint="eastAsia" w:ascii="宋体" w:hAnsi="宋体"/>
          <w:b/>
          <w:bCs/>
          <w:color w:val="auto"/>
          <w:sz w:val="30"/>
          <w:szCs w:val="30"/>
          <w:highlight w:val="none"/>
        </w:rPr>
        <w:t>4.2响应文件的</w:t>
      </w:r>
      <w:bookmarkEnd w:id="73"/>
      <w:bookmarkEnd w:id="74"/>
      <w:r>
        <w:rPr>
          <w:rFonts w:hint="eastAsia" w:ascii="宋体" w:hAnsi="宋体"/>
          <w:b/>
          <w:bCs/>
          <w:color w:val="auto"/>
          <w:sz w:val="30"/>
          <w:szCs w:val="30"/>
          <w:highlight w:val="none"/>
        </w:rPr>
        <w:t>递交</w:t>
      </w:r>
      <w:bookmarkEnd w:id="75"/>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4.2.1供应商应在谈判须知前附表规定的递交响应文件截止时间前递交响应文件。</w:t>
      </w:r>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4.2.2供应商递交响应文件的地点：见谈判须知前附表。</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4.2.3除采购文件另有规定外，供应商递交的响应文件不予退还。</w:t>
      </w:r>
    </w:p>
    <w:p>
      <w:pPr>
        <w:tabs>
          <w:tab w:val="left" w:pos="1095"/>
        </w:tabs>
        <w:spacing w:line="360" w:lineRule="auto"/>
        <w:ind w:firstLine="403" w:firstLineChars="192"/>
        <w:rPr>
          <w:rFonts w:ascii="宋体" w:hAnsi="宋体"/>
          <w:color w:val="auto"/>
          <w:szCs w:val="21"/>
          <w:highlight w:val="none"/>
        </w:rPr>
      </w:pPr>
      <w:r>
        <w:rPr>
          <w:rFonts w:hint="eastAsia" w:ascii="宋体" w:hAnsi="宋体"/>
          <w:color w:val="auto"/>
          <w:szCs w:val="21"/>
          <w:highlight w:val="none"/>
        </w:rPr>
        <w:t>4.2.4 逾期送达或者未按采购文件要求密封的响应文件，采购代理机构将予以拒收。</w:t>
      </w:r>
    </w:p>
    <w:p>
      <w:pPr>
        <w:pStyle w:val="5"/>
        <w:spacing w:line="360" w:lineRule="auto"/>
        <w:ind w:firstLineChars="200"/>
        <w:rPr>
          <w:rFonts w:ascii="宋体" w:hAnsi="宋体"/>
          <w:color w:val="auto"/>
          <w:szCs w:val="21"/>
          <w:highlight w:val="none"/>
        </w:rPr>
      </w:pPr>
      <w:r>
        <w:rPr>
          <w:rFonts w:hint="eastAsia" w:ascii="宋体" w:hAnsi="宋体"/>
          <w:color w:val="auto"/>
          <w:szCs w:val="21"/>
          <w:highlight w:val="none"/>
        </w:rPr>
        <w:t>4.2.5本次采购项目不接受邮寄的响应文件。</w:t>
      </w:r>
    </w:p>
    <w:p>
      <w:pPr>
        <w:pStyle w:val="5"/>
        <w:spacing w:before="120" w:beforeLines="50" w:after="240" w:afterLines="100"/>
        <w:ind w:firstLine="148" w:firstLineChars="49"/>
        <w:rPr>
          <w:rFonts w:ascii="宋体" w:hAnsi="宋体"/>
          <w:b/>
          <w:color w:val="auto"/>
          <w:sz w:val="30"/>
          <w:szCs w:val="30"/>
          <w:highlight w:val="none"/>
        </w:rPr>
      </w:pPr>
      <w:bookmarkStart w:id="76" w:name="_Toc183682365"/>
      <w:bookmarkStart w:id="77" w:name="_Toc183582228"/>
      <w:bookmarkStart w:id="78" w:name="_Toc217446055"/>
      <w:r>
        <w:rPr>
          <w:rFonts w:hint="eastAsia" w:ascii="宋体" w:hAnsi="宋体"/>
          <w:b/>
          <w:bCs/>
          <w:color w:val="auto"/>
          <w:sz w:val="30"/>
          <w:szCs w:val="30"/>
          <w:highlight w:val="none"/>
        </w:rPr>
        <w:t>4.3</w:t>
      </w:r>
      <w:r>
        <w:rPr>
          <w:rFonts w:hint="eastAsia" w:ascii="宋体" w:hAnsi="宋体"/>
          <w:b/>
          <w:bCs/>
          <w:color w:val="auto"/>
          <w:spacing w:val="20"/>
          <w:sz w:val="30"/>
          <w:szCs w:val="30"/>
          <w:highlight w:val="none"/>
        </w:rPr>
        <w:t>响应文件的修改与撤</w:t>
      </w:r>
      <w:bookmarkEnd w:id="76"/>
      <w:bookmarkEnd w:id="77"/>
      <w:r>
        <w:rPr>
          <w:rFonts w:hint="eastAsia" w:ascii="宋体" w:hAnsi="宋体"/>
          <w:b/>
          <w:bCs/>
          <w:color w:val="auto"/>
          <w:spacing w:val="20"/>
          <w:sz w:val="30"/>
          <w:szCs w:val="30"/>
          <w:highlight w:val="none"/>
        </w:rPr>
        <w:t>回</w:t>
      </w:r>
      <w:bookmarkEnd w:id="78"/>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4.3.1</w:t>
      </w:r>
      <w:r>
        <w:rPr>
          <w:rFonts w:hint="eastAsia" w:ascii="宋体" w:hAnsi="宋体"/>
          <w:color w:val="auto"/>
          <w:szCs w:val="21"/>
          <w:highlight w:val="none"/>
        </w:rPr>
        <w:t>供应商在递交了响应文件后，可以修改或撤回其响应文件，但必须在规定的递交响应文件截止时间前，以书面形式通知采购代理机构。</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4.3.2供应商的修改书或撤回通知书，应由其法定代表人或委托代理人签署并盖单位公章。修改书应按本章第4.1条规定进行密封和标注，并在密封袋上标注“响应文件修改”或“响应文件撤回通知”字样，“修改文件”作为响应文件的组成部分。</w:t>
      </w: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4.3.3在递交响应文件截止时间之后，供应商不得对其递交的响应文件做任何修改或撤销递交的响应文件。</w:t>
      </w:r>
      <w:bookmarkStart w:id="79" w:name="_Toc89075878"/>
      <w:bookmarkStart w:id="80" w:name="_Toc183582231"/>
      <w:bookmarkStart w:id="81" w:name="_Toc77400782"/>
      <w:bookmarkStart w:id="82" w:name="_Toc217446056"/>
      <w:bookmarkStart w:id="83" w:name="_Toc183682368"/>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4.3.4供应商撤回响应文件的，采购代理机构自收到供应商书面撤回通知之日起5个工作日内退还已收取的保证金。</w:t>
      </w:r>
    </w:p>
    <w:p>
      <w:pPr>
        <w:spacing w:before="120" w:beforeLines="50" w:after="120" w:afterLines="50"/>
        <w:rPr>
          <w:rFonts w:ascii="黑体" w:hAnsi="宋体" w:eastAsia="黑体"/>
          <w:b/>
          <w:color w:val="auto"/>
          <w:sz w:val="36"/>
          <w:szCs w:val="36"/>
          <w:highlight w:val="none"/>
        </w:rPr>
      </w:pPr>
      <w:r>
        <w:rPr>
          <w:rFonts w:hint="eastAsia" w:ascii="黑体" w:hAnsi="宋体" w:eastAsia="黑体"/>
          <w:b/>
          <w:color w:val="auto"/>
          <w:sz w:val="36"/>
          <w:szCs w:val="36"/>
          <w:highlight w:val="none"/>
        </w:rPr>
        <w:t>5.协商与谈判</w:t>
      </w:r>
    </w:p>
    <w:p>
      <w:pPr>
        <w:tabs>
          <w:tab w:val="left" w:pos="0"/>
        </w:tabs>
        <w:adjustRightInd w:val="0"/>
        <w:snapToGrid w:val="0"/>
        <w:spacing w:before="240" w:beforeLines="100" w:after="240" w:afterLines="100"/>
        <w:rPr>
          <w:rFonts w:ascii="宋体" w:hAnsi="宋体"/>
          <w:b/>
          <w:color w:val="auto"/>
          <w:sz w:val="30"/>
          <w:szCs w:val="30"/>
          <w:highlight w:val="none"/>
        </w:rPr>
      </w:pPr>
      <w:r>
        <w:rPr>
          <w:rFonts w:hint="eastAsia" w:ascii="宋体" w:hAnsi="宋体"/>
          <w:b/>
          <w:color w:val="auto"/>
          <w:sz w:val="24"/>
          <w:highlight w:val="none"/>
        </w:rPr>
        <w:t xml:space="preserve">  </w:t>
      </w:r>
      <w:r>
        <w:rPr>
          <w:rFonts w:hint="eastAsia" w:ascii="宋体" w:hAnsi="宋体"/>
          <w:b/>
          <w:color w:val="auto"/>
          <w:sz w:val="30"/>
          <w:szCs w:val="30"/>
          <w:highlight w:val="none"/>
        </w:rPr>
        <w:t>5.1谈判时间与地点</w:t>
      </w:r>
    </w:p>
    <w:p>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5.1.1</w:t>
      </w:r>
      <w:r>
        <w:rPr>
          <w:rFonts w:hint="eastAsia" w:ascii="宋体" w:hAnsi="宋体"/>
          <w:color w:val="auto"/>
          <w:szCs w:val="21"/>
          <w:highlight w:val="none"/>
        </w:rPr>
        <w:t>采购代理机构在“谈判须知前附表”中规定的谈判日期、时间和地点组织谈判，采购人、供应商须派代表参加并签到以证明其出席。</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5.1.2</w:t>
      </w:r>
      <w:r>
        <w:rPr>
          <w:rFonts w:hint="eastAsia" w:ascii="宋体" w:hAnsi="宋体"/>
          <w:color w:val="auto"/>
          <w:szCs w:val="21"/>
          <w:highlight w:val="none"/>
        </w:rPr>
        <w:t>采购代理机构邀请有关监督管理机构对谈判进行现场监督。</w:t>
      </w:r>
    </w:p>
    <w:p>
      <w:pPr>
        <w:tabs>
          <w:tab w:val="left" w:pos="0"/>
        </w:tabs>
        <w:adjustRightInd w:val="0"/>
        <w:snapToGrid w:val="0"/>
        <w:spacing w:before="120" w:beforeLines="50" w:after="240" w:afterLines="100"/>
        <w:ind w:firstLine="148" w:firstLineChars="49"/>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5.2组建采购小组</w:t>
      </w:r>
    </w:p>
    <w:p>
      <w:pPr>
        <w:tabs>
          <w:tab w:val="left" w:pos="0"/>
        </w:tabs>
        <w:adjustRightInd w:val="0"/>
        <w:snapToGrid w:val="0"/>
        <w:spacing w:line="360" w:lineRule="auto"/>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5.2.1采购代理机构根据采购项目的特点依法组建采购小组。采购小组由采购人代表和有关技术、经济等方面的评审专家组成，成员为</w:t>
      </w:r>
      <w:r>
        <w:rPr>
          <w:rFonts w:hint="eastAsia" w:ascii="宋体" w:hAnsi="宋体" w:cs="宋体"/>
          <w:color w:val="auto"/>
          <w:kern w:val="0"/>
          <w:szCs w:val="21"/>
          <w:highlight w:val="none"/>
          <w:u w:val="single"/>
        </w:rPr>
        <w:t>3</w:t>
      </w:r>
      <w:r>
        <w:rPr>
          <w:rFonts w:hint="eastAsia" w:ascii="宋体" w:hAnsi="宋体" w:cs="宋体"/>
          <w:color w:val="auto"/>
          <w:kern w:val="0"/>
          <w:szCs w:val="21"/>
          <w:highlight w:val="none"/>
        </w:rPr>
        <w:t>人(成员由3人以上单数组成。达到公开招标限额标准，成员人数应为5人以上单数)。</w:t>
      </w:r>
    </w:p>
    <w:p>
      <w:pPr>
        <w:tabs>
          <w:tab w:val="left" w:pos="0"/>
        </w:tabs>
        <w:adjustRightInd w:val="0"/>
        <w:snapToGrid w:val="0"/>
        <w:spacing w:line="360" w:lineRule="auto"/>
        <w:ind w:firstLine="411" w:firstLineChars="196"/>
        <w:rPr>
          <w:rFonts w:ascii="宋体" w:hAnsi="宋体"/>
          <w:color w:val="auto"/>
          <w:szCs w:val="21"/>
          <w:highlight w:val="none"/>
        </w:rPr>
      </w:pPr>
      <w:r>
        <w:rPr>
          <w:rFonts w:hint="eastAsia" w:ascii="宋体" w:hAnsi="宋体" w:cs="宋体"/>
          <w:color w:val="auto"/>
          <w:kern w:val="0"/>
          <w:szCs w:val="21"/>
          <w:highlight w:val="none"/>
        </w:rPr>
        <w:t>5.2.2采购人代表不得担任采购小组组长。评审</w:t>
      </w:r>
      <w:r>
        <w:rPr>
          <w:rFonts w:hint="eastAsia" w:ascii="宋体" w:hAnsi="宋体"/>
          <w:color w:val="auto"/>
          <w:szCs w:val="21"/>
          <w:highlight w:val="none"/>
        </w:rPr>
        <w:t>专家人选在省级财政部门设立的政府采购评审专家库中随机抽取。抽取的评审专家名单，在谈判开始前，任何人不得打开。</w:t>
      </w:r>
    </w:p>
    <w:p>
      <w:pPr>
        <w:autoSpaceDE w:val="0"/>
        <w:autoSpaceDN w:val="0"/>
        <w:spacing w:after="240" w:afterLines="100"/>
        <w:ind w:firstLine="148" w:firstLineChars="49"/>
        <w:rPr>
          <w:rFonts w:ascii="宋体" w:hAnsi="宋体"/>
          <w:b/>
          <w:color w:val="auto"/>
          <w:sz w:val="30"/>
          <w:szCs w:val="30"/>
          <w:highlight w:val="none"/>
          <w:lang w:val="zh-CN"/>
        </w:rPr>
      </w:pPr>
      <w:r>
        <w:rPr>
          <w:rFonts w:hint="eastAsia" w:ascii="宋体" w:hAnsi="宋体"/>
          <w:b/>
          <w:color w:val="auto"/>
          <w:sz w:val="30"/>
          <w:szCs w:val="30"/>
          <w:highlight w:val="none"/>
          <w:lang w:val="zh-CN"/>
        </w:rPr>
        <w:t>5.3谈判</w:t>
      </w:r>
      <w:r>
        <w:rPr>
          <w:rFonts w:ascii="宋体" w:hAnsi="宋体"/>
          <w:b/>
          <w:color w:val="auto"/>
          <w:sz w:val="30"/>
          <w:szCs w:val="30"/>
          <w:highlight w:val="none"/>
          <w:lang w:val="zh-CN"/>
        </w:rPr>
        <w:t>程序</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谈判按以下程序进行：</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（1）</w:t>
      </w:r>
      <w:r>
        <w:rPr>
          <w:rFonts w:asciiTheme="minorEastAsia" w:hAnsiTheme="minorEastAsia" w:eastAsiaTheme="minorEastAsia"/>
          <w:color w:val="auto"/>
          <w:szCs w:val="21"/>
          <w:highlight w:val="none"/>
          <w:lang w:val="zh-CN"/>
        </w:rPr>
        <w:t>宣布</w:t>
      </w:r>
      <w:r>
        <w:rPr>
          <w:rFonts w:hint="eastAsia" w:asciiTheme="minorEastAsia" w:hAnsiTheme="minorEastAsia" w:eastAsiaTheme="minorEastAsia"/>
          <w:color w:val="auto"/>
          <w:szCs w:val="21"/>
          <w:highlight w:val="none"/>
          <w:lang w:val="zh-CN"/>
        </w:rPr>
        <w:t>谈判</w:t>
      </w:r>
      <w:r>
        <w:rPr>
          <w:rFonts w:asciiTheme="minorEastAsia" w:hAnsiTheme="minorEastAsia" w:eastAsiaTheme="minorEastAsia"/>
          <w:color w:val="auto"/>
          <w:szCs w:val="21"/>
          <w:highlight w:val="none"/>
          <w:lang w:val="zh-CN"/>
        </w:rPr>
        <w:t>纪律以及回避提示；</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（2）</w:t>
      </w:r>
      <w:r>
        <w:rPr>
          <w:rFonts w:asciiTheme="minorEastAsia" w:hAnsiTheme="minorEastAsia" w:eastAsiaTheme="minorEastAsia"/>
          <w:color w:val="auto"/>
          <w:szCs w:val="21"/>
          <w:highlight w:val="none"/>
          <w:lang w:val="zh-CN"/>
        </w:rPr>
        <w:t>推荐采购小组组长；</w:t>
      </w:r>
    </w:p>
    <w:p>
      <w:pPr>
        <w:autoSpaceDE w:val="0"/>
        <w:autoSpaceDN w:val="0"/>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（3）响应文件</w:t>
      </w:r>
      <w:r>
        <w:rPr>
          <w:rFonts w:ascii="宋体" w:hAnsi="宋体"/>
          <w:color w:val="auto"/>
          <w:szCs w:val="21"/>
          <w:highlight w:val="none"/>
          <w:lang w:val="zh-CN"/>
        </w:rPr>
        <w:t>密封情况检查</w:t>
      </w:r>
      <w:r>
        <w:rPr>
          <w:rFonts w:hint="eastAsia" w:ascii="宋体" w:hAnsi="宋体"/>
          <w:color w:val="auto"/>
          <w:szCs w:val="21"/>
          <w:highlight w:val="none"/>
          <w:lang w:val="zh-CN"/>
        </w:rPr>
        <w:t>；</w:t>
      </w:r>
      <w:r>
        <w:rPr>
          <w:rFonts w:ascii="宋体" w:hAnsi="宋体"/>
          <w:color w:val="auto"/>
          <w:szCs w:val="21"/>
          <w:highlight w:val="none"/>
          <w:lang w:val="zh-CN"/>
        </w:rPr>
        <w:t xml:space="preserve"> </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（4）响应文件的初步</w:t>
      </w:r>
      <w:r>
        <w:rPr>
          <w:rFonts w:asciiTheme="minorEastAsia" w:hAnsiTheme="minorEastAsia" w:eastAsiaTheme="minorEastAsia"/>
          <w:color w:val="auto"/>
          <w:szCs w:val="21"/>
          <w:highlight w:val="none"/>
          <w:lang w:val="zh-CN"/>
        </w:rPr>
        <w:t>审查；</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（5）响应文件的</w:t>
      </w:r>
      <w:r>
        <w:rPr>
          <w:rFonts w:asciiTheme="minorEastAsia" w:hAnsiTheme="minorEastAsia" w:eastAsiaTheme="minorEastAsia"/>
          <w:color w:val="auto"/>
          <w:szCs w:val="21"/>
          <w:highlight w:val="none"/>
          <w:lang w:val="zh-CN"/>
        </w:rPr>
        <w:t>澄清</w:t>
      </w:r>
      <w:r>
        <w:rPr>
          <w:rFonts w:hint="eastAsia" w:asciiTheme="minorEastAsia" w:hAnsiTheme="minorEastAsia" w:eastAsiaTheme="minorEastAsia"/>
          <w:color w:val="auto"/>
          <w:szCs w:val="21"/>
          <w:highlight w:val="none"/>
          <w:lang w:val="zh-CN"/>
        </w:rPr>
        <w:t>或说明</w:t>
      </w:r>
      <w:r>
        <w:rPr>
          <w:rFonts w:asciiTheme="minorEastAsia" w:hAnsiTheme="minorEastAsia" w:eastAsiaTheme="minorEastAsia"/>
          <w:color w:val="auto"/>
          <w:szCs w:val="21"/>
          <w:highlight w:val="none"/>
          <w:lang w:val="zh-CN"/>
        </w:rPr>
        <w:t>；</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（6）协商与</w:t>
      </w:r>
      <w:r>
        <w:rPr>
          <w:rFonts w:asciiTheme="minorEastAsia" w:hAnsiTheme="minorEastAsia" w:eastAsiaTheme="minorEastAsia"/>
          <w:color w:val="auto"/>
          <w:szCs w:val="21"/>
          <w:highlight w:val="none"/>
          <w:lang w:val="zh-CN"/>
        </w:rPr>
        <w:t>谈判；</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（7）推荐</w:t>
      </w:r>
      <w:r>
        <w:rPr>
          <w:rFonts w:asciiTheme="minorEastAsia" w:hAnsiTheme="minorEastAsia" w:eastAsiaTheme="minorEastAsia"/>
          <w:color w:val="auto"/>
          <w:szCs w:val="21"/>
          <w:highlight w:val="none"/>
          <w:lang w:val="zh-CN"/>
        </w:rPr>
        <w:t>成交供应商；</w:t>
      </w:r>
    </w:p>
    <w:p>
      <w:pPr>
        <w:autoSpaceDE w:val="0"/>
        <w:autoSpaceDN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（8）</w:t>
      </w:r>
      <w:r>
        <w:rPr>
          <w:rFonts w:asciiTheme="minorEastAsia" w:hAnsiTheme="minorEastAsia" w:eastAsiaTheme="minorEastAsia"/>
          <w:color w:val="auto"/>
          <w:szCs w:val="21"/>
          <w:highlight w:val="none"/>
          <w:lang w:val="zh-CN"/>
        </w:rPr>
        <w:t>编写</w:t>
      </w:r>
      <w:r>
        <w:rPr>
          <w:rFonts w:hint="eastAsia" w:asciiTheme="minorEastAsia" w:hAnsiTheme="minorEastAsia" w:eastAsiaTheme="minorEastAsia"/>
          <w:color w:val="auto"/>
          <w:szCs w:val="21"/>
          <w:highlight w:val="none"/>
          <w:lang w:val="zh-CN"/>
        </w:rPr>
        <w:t>协商情况记录</w:t>
      </w:r>
      <w:r>
        <w:rPr>
          <w:rFonts w:asciiTheme="minorEastAsia" w:hAnsiTheme="minorEastAsia" w:eastAsiaTheme="minorEastAsia"/>
          <w:color w:val="auto"/>
          <w:szCs w:val="21"/>
          <w:highlight w:val="none"/>
          <w:lang w:val="zh-CN"/>
        </w:rPr>
        <w:t>。</w:t>
      </w:r>
    </w:p>
    <w:p>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5.4</w:t>
      </w:r>
      <w:r>
        <w:rPr>
          <w:rFonts w:hint="eastAsia" w:ascii="宋体" w:hAnsi="宋体"/>
          <w:b/>
          <w:color w:val="auto"/>
          <w:sz w:val="30"/>
          <w:szCs w:val="30"/>
          <w:highlight w:val="none"/>
          <w:lang w:val="zh-CN"/>
        </w:rPr>
        <w:t>响应文件</w:t>
      </w:r>
      <w:r>
        <w:rPr>
          <w:rFonts w:ascii="宋体" w:hAnsi="宋体"/>
          <w:b/>
          <w:color w:val="auto"/>
          <w:sz w:val="30"/>
          <w:szCs w:val="30"/>
          <w:highlight w:val="none"/>
          <w:lang w:val="zh-CN"/>
        </w:rPr>
        <w:t>密封情况检查</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供应商法定代表人或者被授权代表与采购人代表共同检查</w:t>
      </w:r>
      <w:r>
        <w:rPr>
          <w:rFonts w:hint="eastAsia" w:ascii="宋体" w:hAnsi="宋体"/>
          <w:color w:val="auto"/>
          <w:szCs w:val="21"/>
          <w:highlight w:val="none"/>
          <w:lang w:val="zh-CN"/>
        </w:rPr>
        <w:t>响应</w:t>
      </w:r>
      <w:r>
        <w:rPr>
          <w:rFonts w:ascii="宋体" w:hAnsi="宋体"/>
          <w:color w:val="auto"/>
          <w:szCs w:val="21"/>
          <w:highlight w:val="none"/>
          <w:lang w:val="zh-CN"/>
        </w:rPr>
        <w:t>文件的密封情况，并</w:t>
      </w:r>
      <w:r>
        <w:rPr>
          <w:rFonts w:hint="eastAsia" w:ascii="宋体" w:hAnsi="宋体"/>
          <w:color w:val="auto"/>
          <w:szCs w:val="21"/>
          <w:highlight w:val="none"/>
          <w:lang w:val="zh-CN"/>
        </w:rPr>
        <w:t>如实记载密封情况，</w:t>
      </w:r>
      <w:r>
        <w:rPr>
          <w:rFonts w:ascii="宋体" w:hAnsi="宋体"/>
          <w:color w:val="auto"/>
          <w:szCs w:val="21"/>
          <w:highlight w:val="none"/>
          <w:lang w:val="zh-CN"/>
        </w:rPr>
        <w:t>请供应商法定代表人或者授权代表签字确认。</w:t>
      </w:r>
    </w:p>
    <w:p>
      <w:pPr>
        <w:spacing w:before="120" w:beforeLines="50" w:after="120" w:afterLines="50" w:line="360" w:lineRule="auto"/>
        <w:ind w:firstLine="118" w:firstLineChars="49"/>
        <w:rPr>
          <w:rFonts w:ascii="宋体" w:hAnsi="宋体"/>
          <w:b/>
          <w:color w:val="auto"/>
          <w:sz w:val="30"/>
          <w:szCs w:val="30"/>
          <w:highlight w:val="none"/>
        </w:rPr>
      </w:pPr>
      <w:r>
        <w:rPr>
          <w:rFonts w:hint="eastAsia" w:ascii="宋体" w:hAnsi="宋体"/>
          <w:b/>
          <w:color w:val="auto"/>
          <w:sz w:val="24"/>
          <w:highlight w:val="none"/>
        </w:rPr>
        <w:t xml:space="preserve"> </w:t>
      </w:r>
      <w:r>
        <w:rPr>
          <w:rFonts w:hint="eastAsia" w:ascii="宋体" w:hAnsi="宋体"/>
          <w:b/>
          <w:color w:val="auto"/>
          <w:sz w:val="30"/>
          <w:szCs w:val="30"/>
          <w:highlight w:val="none"/>
        </w:rPr>
        <w:t>5.5响应文件的初步审查</w:t>
      </w:r>
    </w:p>
    <w:p>
      <w:pPr>
        <w:spacing w:before="120" w:beforeLines="50" w:line="360" w:lineRule="auto"/>
        <w:ind w:firstLine="413" w:firstLineChars="197"/>
        <w:rPr>
          <w:rFonts w:ascii="宋体" w:hAnsi="宋体"/>
          <w:color w:val="auto"/>
          <w:szCs w:val="21"/>
          <w:highlight w:val="none"/>
        </w:rPr>
      </w:pPr>
      <w:r>
        <w:rPr>
          <w:rFonts w:hint="eastAsia" w:ascii="宋体" w:hAnsi="宋体"/>
          <w:color w:val="auto"/>
          <w:szCs w:val="21"/>
          <w:highlight w:val="none"/>
        </w:rPr>
        <w:t>5.5.1 资格性审查:</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5.5.1.1采购人在采购项目采购方式审批时，已对供应商资格进行了审查，采购小组不再对供应商的资格进行实质性审查，应当按照以下标准审查：</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（1）响应文件中未提交法人身份证明或授权委托书或单一来源采购响应函的，终止本次谈判，重新组织采购活动。</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（2）未提交谈判保证金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的，终止本次谈判，重新组织采购活动。</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（3）除上述2项外，对资格证明文件的完整性进行审查，对缺少的部分，供应商应当予以补充。</w:t>
      </w:r>
    </w:p>
    <w:p>
      <w:pPr>
        <w:spacing w:line="360" w:lineRule="auto"/>
        <w:ind w:firstLine="518" w:firstLineChars="247"/>
        <w:rPr>
          <w:rFonts w:ascii="宋体" w:hAnsi="宋体"/>
          <w:color w:val="auto"/>
          <w:szCs w:val="21"/>
          <w:highlight w:val="none"/>
        </w:rPr>
      </w:pPr>
      <w:r>
        <w:rPr>
          <w:rFonts w:hint="eastAsia" w:ascii="宋体" w:hAnsi="宋体"/>
          <w:color w:val="auto"/>
          <w:szCs w:val="21"/>
          <w:highlight w:val="none"/>
        </w:rPr>
        <w:t>（4）若供应商在单一来源公示结束之日至递交响应文件期间，资格发生变化，仅对资格发生变化的部分进行审查，看其是否符合供应商的资格条件,如不再符合本章第1.3 条规定的供应商资格条件，将终止本次谈判。</w:t>
      </w:r>
    </w:p>
    <w:p>
      <w:pPr>
        <w:spacing w:line="360" w:lineRule="auto"/>
        <w:ind w:firstLine="623" w:firstLineChars="297"/>
        <w:rPr>
          <w:rFonts w:ascii="宋体" w:hAnsi="宋体"/>
          <w:color w:val="auto"/>
          <w:szCs w:val="21"/>
          <w:highlight w:val="none"/>
        </w:rPr>
      </w:pPr>
      <w:r>
        <w:rPr>
          <w:rFonts w:hint="eastAsia" w:ascii="宋体" w:hAnsi="宋体"/>
          <w:color w:val="auto"/>
          <w:szCs w:val="21"/>
          <w:highlight w:val="none"/>
        </w:rPr>
        <w:t>5.1.1.2 供应商应当在资格证明文件中</w:t>
      </w:r>
      <w:r>
        <w:rPr>
          <w:rFonts w:hint="eastAsia" w:ascii="宋体" w:hAnsi="宋体"/>
          <w:b/>
          <w:color w:val="auto"/>
          <w:szCs w:val="21"/>
          <w:highlight w:val="none"/>
        </w:rPr>
        <w:t>注明</w:t>
      </w:r>
      <w:r>
        <w:rPr>
          <w:rFonts w:hint="eastAsia" w:ascii="宋体" w:hAnsi="宋体"/>
          <w:color w:val="auto"/>
          <w:szCs w:val="21"/>
          <w:highlight w:val="none"/>
        </w:rPr>
        <w:t>资格发生变化的部分。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5.5.2符合性审查:</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5.5.2.1采购小组依据采购文件的规定，对供应商的响应文件的有效性、完整性和对采购文件的响应程度进行审查，以确定其是否对采购文件实质性内容作出响应。</w:t>
      </w:r>
    </w:p>
    <w:p>
      <w:pPr>
        <w:spacing w:after="120" w:afterLines="50" w:line="360" w:lineRule="auto"/>
        <w:ind w:firstLine="516" w:firstLineChars="246"/>
        <w:rPr>
          <w:rFonts w:ascii="宋体" w:hAnsi="宋体"/>
          <w:color w:val="auto"/>
          <w:szCs w:val="21"/>
          <w:highlight w:val="none"/>
        </w:rPr>
      </w:pPr>
      <w:r>
        <w:rPr>
          <w:rFonts w:hint="eastAsia" w:ascii="宋体" w:hAnsi="宋体"/>
          <w:color w:val="auto"/>
          <w:szCs w:val="21"/>
          <w:highlight w:val="none"/>
        </w:rPr>
        <w:t>5.5.2.2采购小组应当按以下审查标准进行符合性审查，对不符合要求的，供应商应当对响应文件予以补正，供应商拒不补正或不按采购文件要求补正的，本次采购活动终止。</w:t>
      </w:r>
    </w:p>
    <w:tbl>
      <w:tblPr>
        <w:tblStyle w:val="25"/>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67"/>
        <w:gridCol w:w="325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 w:type="dxa"/>
            <w:vAlign w:val="center"/>
          </w:tcPr>
          <w:p>
            <w:pPr>
              <w:tabs>
                <w:tab w:val="left" w:pos="0"/>
              </w:tabs>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3826" w:type="dxa"/>
            <w:gridSpan w:val="2"/>
            <w:vAlign w:val="center"/>
          </w:tcPr>
          <w:p>
            <w:pPr>
              <w:tabs>
                <w:tab w:val="left" w:pos="0"/>
              </w:tabs>
              <w:adjustRightInd w:val="0"/>
              <w:snapToGrid w:val="0"/>
              <w:jc w:val="center"/>
              <w:rPr>
                <w:rFonts w:ascii="宋体" w:hAnsi="宋体"/>
                <w:b/>
                <w:color w:val="auto"/>
                <w:szCs w:val="21"/>
                <w:highlight w:val="none"/>
              </w:rPr>
            </w:pPr>
            <w:r>
              <w:rPr>
                <w:rFonts w:hint="eastAsia" w:ascii="宋体" w:hAnsi="宋体"/>
                <w:b/>
                <w:color w:val="auto"/>
                <w:szCs w:val="21"/>
                <w:highlight w:val="none"/>
              </w:rPr>
              <w:t>评审因素</w:t>
            </w:r>
          </w:p>
        </w:tc>
        <w:tc>
          <w:tcPr>
            <w:tcW w:w="4252" w:type="dxa"/>
            <w:vAlign w:val="center"/>
          </w:tcPr>
          <w:p>
            <w:pPr>
              <w:tabs>
                <w:tab w:val="left" w:pos="0"/>
              </w:tabs>
              <w:adjustRightInd w:val="0"/>
              <w:snapToGrid w:val="0"/>
              <w:jc w:val="center"/>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27" w:type="dxa"/>
            <w:vMerge w:val="restart"/>
            <w:vAlign w:val="center"/>
          </w:tcPr>
          <w:p>
            <w:pP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67" w:type="dxa"/>
            <w:vMerge w:val="restart"/>
            <w:vAlign w:val="center"/>
          </w:tcPr>
          <w:p>
            <w:pP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有效性审查</w:t>
            </w: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（1）响应文件的签署、盖章</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有法定代表人或其授权代表人的</w:t>
            </w:r>
            <w:r>
              <w:rPr>
                <w:rFonts w:hint="eastAsia" w:ascii="宋体" w:hAnsi="宋体"/>
                <w:color w:val="auto"/>
                <w:szCs w:val="21"/>
                <w:highlight w:val="none"/>
                <w:lang w:val="en-US" w:eastAsia="zh-CN"/>
              </w:rPr>
              <w:t>签名</w:t>
            </w:r>
            <w:r>
              <w:rPr>
                <w:rFonts w:hint="eastAsia" w:ascii="宋体" w:hAnsi="宋体"/>
                <w:color w:val="auto"/>
                <w:szCs w:val="21"/>
                <w:highlight w:val="none"/>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（2）响应文件格式</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应符合“采购文件格式”要求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（3）报价唯一</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（4）电子文件（光盘）</w:t>
            </w:r>
          </w:p>
        </w:tc>
        <w:tc>
          <w:tcPr>
            <w:tcW w:w="4252" w:type="dxa"/>
            <w:vAlign w:val="center"/>
          </w:tcPr>
          <w:p>
            <w:pPr>
              <w:tabs>
                <w:tab w:val="left" w:pos="0"/>
              </w:tabs>
              <w:adjustRightInd w:val="0"/>
              <w:snapToGrid w:val="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szCs w:val="21"/>
                <w:highlight w:val="none"/>
              </w:rPr>
              <w:t>应符合</w:t>
            </w:r>
            <w:r>
              <w:rPr>
                <w:rFonts w:hint="eastAsia" w:ascii="宋体" w:hAnsi="宋体" w:cs="Times New Roman"/>
                <w:color w:val="auto"/>
                <w:szCs w:val="21"/>
                <w:highlight w:val="none"/>
                <w:lang w:val="en-US" w:eastAsia="zh-CN"/>
              </w:rPr>
              <w:t>采购</w:t>
            </w:r>
            <w:r>
              <w:rPr>
                <w:rFonts w:hint="eastAsia" w:ascii="宋体" w:hAnsi="宋体" w:cs="Times New Roman"/>
                <w:color w:val="auto"/>
                <w:szCs w:val="21"/>
                <w:highlight w:val="none"/>
              </w:rPr>
              <w:t>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（5）附加条件</w:t>
            </w:r>
          </w:p>
        </w:tc>
        <w:tc>
          <w:tcPr>
            <w:tcW w:w="4252" w:type="dxa"/>
            <w:vAlign w:val="center"/>
          </w:tcPr>
          <w:p>
            <w:pPr>
              <w:tabs>
                <w:tab w:val="left" w:pos="0"/>
              </w:tabs>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27" w:type="dxa"/>
            <w:vMerge w:val="restart"/>
            <w:vAlign w:val="center"/>
          </w:tcPr>
          <w:p>
            <w:pP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67" w:type="dxa"/>
            <w:vMerge w:val="restart"/>
            <w:vAlign w:val="center"/>
          </w:tcPr>
          <w:p>
            <w:pP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完整性审查</w:t>
            </w:r>
          </w:p>
        </w:tc>
        <w:tc>
          <w:tcPr>
            <w:tcW w:w="3259" w:type="dxa"/>
            <w:vAlign w:val="center"/>
          </w:tcPr>
          <w:p>
            <w:pPr>
              <w:tabs>
                <w:tab w:val="left" w:pos="0"/>
              </w:tabs>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（5）响应文件份数</w:t>
            </w:r>
          </w:p>
        </w:tc>
        <w:tc>
          <w:tcPr>
            <w:tcW w:w="4252" w:type="dxa"/>
            <w:vAlign w:val="center"/>
          </w:tcPr>
          <w:p>
            <w:pPr>
              <w:tabs>
                <w:tab w:val="left" w:pos="0"/>
              </w:tabs>
              <w:adjustRightInd w:val="0"/>
              <w:snapToGrid w:val="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应符合“谈判须知前附表”规定的正本、副本数量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（6）响应文件内容</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7" w:type="dxa"/>
            <w:vMerge w:val="restart"/>
            <w:vAlign w:val="center"/>
          </w:tcPr>
          <w:p>
            <w:pP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67" w:type="dxa"/>
            <w:vMerge w:val="restart"/>
            <w:vAlign w:val="center"/>
          </w:tcPr>
          <w:p>
            <w:pP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响应性审查</w:t>
            </w: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（7）对招标文件响应程度</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eastAsia="zh-CN"/>
              </w:rPr>
              <w:t>服务期</w:t>
            </w:r>
          </w:p>
        </w:tc>
        <w:tc>
          <w:tcPr>
            <w:tcW w:w="4252" w:type="dxa"/>
            <w:vAlign w:val="center"/>
          </w:tcPr>
          <w:p>
            <w:pPr>
              <w:tabs>
                <w:tab w:val="left" w:pos="0"/>
              </w:tabs>
              <w:adjustRightInd w:val="0"/>
              <w:snapToGrid w:val="0"/>
              <w:rPr>
                <w:rFonts w:hint="eastAsia" w:ascii="宋体" w:hAnsi="宋体" w:eastAsia="宋体"/>
                <w:color w:val="auto"/>
                <w:szCs w:val="21"/>
                <w:highlight w:val="none"/>
                <w:lang w:eastAsia="zh-CN"/>
              </w:rPr>
            </w:pPr>
            <w:r>
              <w:rPr>
                <w:rFonts w:hint="eastAsia" w:ascii="宋体" w:hAnsi="宋体"/>
                <w:color w:val="auto"/>
                <w:szCs w:val="21"/>
                <w:highlight w:val="none"/>
              </w:rPr>
              <w:t>应满足采购文件中要求的</w:t>
            </w:r>
            <w:r>
              <w:rPr>
                <w:rFonts w:hint="eastAsia" w:ascii="宋体" w:hAnsi="宋体"/>
                <w:color w:val="auto"/>
                <w:szCs w:val="21"/>
                <w:highlight w:val="none"/>
                <w:lang w:eastAsia="zh-CN"/>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eastAsia="zh-CN"/>
              </w:rPr>
              <w:t>服务</w:t>
            </w:r>
            <w:r>
              <w:rPr>
                <w:rFonts w:hint="eastAsia" w:ascii="宋体" w:hAnsi="宋体"/>
                <w:color w:val="auto"/>
                <w:szCs w:val="21"/>
                <w:highlight w:val="none"/>
              </w:rPr>
              <w:t>地点</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应满足采购文件中要求的</w:t>
            </w:r>
            <w:r>
              <w:rPr>
                <w:rFonts w:hint="eastAsia" w:ascii="宋体" w:hAnsi="宋体"/>
                <w:color w:val="auto"/>
                <w:szCs w:val="21"/>
                <w:highlight w:val="none"/>
                <w:lang w:eastAsia="zh-CN"/>
              </w:rPr>
              <w:t>服务</w:t>
            </w:r>
            <w:r>
              <w:rPr>
                <w:rFonts w:hint="eastAsia" w:ascii="宋体" w:hAnsi="宋体"/>
                <w:color w:val="auto"/>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eastAsia="zh-CN"/>
              </w:rPr>
              <w:t>谈判</w:t>
            </w:r>
            <w:r>
              <w:rPr>
                <w:rFonts w:hint="eastAsia" w:ascii="宋体" w:hAnsi="宋体"/>
                <w:color w:val="auto"/>
                <w:szCs w:val="21"/>
                <w:highlight w:val="none"/>
              </w:rPr>
              <w:t>有效期</w:t>
            </w:r>
          </w:p>
        </w:tc>
        <w:tc>
          <w:tcPr>
            <w:tcW w:w="4252"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应满足采购文件中的规定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27" w:type="dxa"/>
            <w:vMerge w:val="continue"/>
          </w:tcPr>
          <w:p>
            <w:pPr>
              <w:tabs>
                <w:tab w:val="left" w:pos="0"/>
              </w:tabs>
              <w:adjustRightInd w:val="0"/>
              <w:snapToGrid w:val="0"/>
              <w:spacing w:line="360" w:lineRule="auto"/>
              <w:rPr>
                <w:rFonts w:ascii="宋体" w:hAnsi="宋体"/>
                <w:color w:val="auto"/>
                <w:szCs w:val="21"/>
                <w:highlight w:val="none"/>
              </w:rPr>
            </w:pPr>
          </w:p>
        </w:tc>
        <w:tc>
          <w:tcPr>
            <w:tcW w:w="567" w:type="dxa"/>
            <w:vMerge w:val="continue"/>
          </w:tcPr>
          <w:p>
            <w:pPr>
              <w:tabs>
                <w:tab w:val="left" w:pos="0"/>
              </w:tabs>
              <w:adjustRightInd w:val="0"/>
              <w:snapToGrid w:val="0"/>
              <w:spacing w:line="360" w:lineRule="auto"/>
              <w:rPr>
                <w:rFonts w:ascii="宋体" w:hAnsi="宋体"/>
                <w:color w:val="auto"/>
                <w:szCs w:val="21"/>
                <w:highlight w:val="none"/>
              </w:rPr>
            </w:pPr>
          </w:p>
        </w:tc>
        <w:tc>
          <w:tcPr>
            <w:tcW w:w="3259" w:type="dxa"/>
            <w:vAlign w:val="center"/>
          </w:tcPr>
          <w:p>
            <w:pPr>
              <w:tabs>
                <w:tab w:val="left" w:pos="0"/>
              </w:tabs>
              <w:adjustRightInd w:val="0"/>
              <w:snapToGrid w:val="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eastAsia="zh-CN"/>
              </w:rPr>
              <w:t>（11）权利义务</w:t>
            </w:r>
          </w:p>
        </w:tc>
        <w:tc>
          <w:tcPr>
            <w:tcW w:w="4252" w:type="dxa"/>
            <w:vAlign w:val="center"/>
          </w:tcPr>
          <w:p>
            <w:pPr>
              <w:tabs>
                <w:tab w:val="left" w:pos="0"/>
              </w:tabs>
              <w:adjustRightInd w:val="0"/>
              <w:snapToGrid w:val="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eastAsia="zh-CN"/>
              </w:rPr>
              <w:t>符合第四章“政府采购合同格式”条款中实质性要求和条件</w:t>
            </w:r>
          </w:p>
        </w:tc>
      </w:tr>
    </w:tbl>
    <w:p>
      <w:pPr>
        <w:spacing w:before="360" w:beforeLines="150" w:after="240" w:afterLines="100"/>
        <w:ind w:firstLine="298" w:firstLineChars="99"/>
        <w:rPr>
          <w:rFonts w:ascii="宋体" w:hAnsi="宋体"/>
          <w:b/>
          <w:color w:val="auto"/>
          <w:sz w:val="30"/>
          <w:szCs w:val="30"/>
          <w:highlight w:val="none"/>
        </w:rPr>
      </w:pPr>
      <w:r>
        <w:rPr>
          <w:rFonts w:hint="eastAsia" w:ascii="宋体" w:hAnsi="宋体"/>
          <w:b/>
          <w:color w:val="auto"/>
          <w:sz w:val="30"/>
          <w:szCs w:val="30"/>
          <w:highlight w:val="none"/>
        </w:rPr>
        <w:t>5.6响应文件的澄清</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5.6.1采购小组在对响应文件(包括首次响应文件、重新提交的响应文件)的有效性、完整性和对采购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采购文件的范围。</w:t>
      </w:r>
    </w:p>
    <w:p>
      <w:pPr>
        <w:adjustRightInd w:val="0"/>
        <w:snapToGrid w:val="0"/>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5.6.2</w:t>
      </w:r>
      <w:r>
        <w:rPr>
          <w:rFonts w:hint="eastAsia" w:ascii="宋体" w:hAnsi="宋体"/>
          <w:bCs/>
          <w:color w:val="auto"/>
          <w:szCs w:val="21"/>
          <w:highlight w:val="none"/>
        </w:rPr>
        <w:t>计算错误修正的原则：单价与总价有出入,以单价为准；大、小写有</w:t>
      </w:r>
      <w:r>
        <w:rPr>
          <w:rFonts w:hint="eastAsia" w:ascii="宋体" w:hAnsi="宋体"/>
          <w:color w:val="auto"/>
          <w:szCs w:val="21"/>
          <w:highlight w:val="none"/>
        </w:rPr>
        <w:t>出入，以大写为准；响应文件正本与副本有出入，以正本为准。按上述原则修正的响应文件，对供应商起约束作用，供应商不接受修正的，其响应文件将被拒绝。</w:t>
      </w:r>
    </w:p>
    <w:p>
      <w:pPr>
        <w:spacing w:before="120" w:beforeLines="50" w:after="240" w:afterLines="100"/>
        <w:ind w:firstLine="102" w:firstLineChars="49"/>
        <w:rPr>
          <w:rFonts w:ascii="宋体" w:hAnsi="宋体"/>
          <w:b/>
          <w:color w:val="auto"/>
          <w:sz w:val="30"/>
          <w:szCs w:val="30"/>
          <w:highlight w:val="none"/>
        </w:rPr>
      </w:pPr>
      <w:r>
        <w:rPr>
          <w:rFonts w:hint="eastAsia" w:ascii="宋体" w:hAnsi="宋体" w:cs="Arial"/>
          <w:color w:val="auto"/>
          <w:kern w:val="0"/>
          <w:szCs w:val="21"/>
          <w:highlight w:val="none"/>
        </w:rPr>
        <w:t xml:space="preserve"> </w:t>
      </w:r>
      <w:r>
        <w:rPr>
          <w:rFonts w:hint="eastAsia" w:ascii="宋体" w:hAnsi="宋体"/>
          <w:b/>
          <w:color w:val="auto"/>
          <w:sz w:val="30"/>
          <w:szCs w:val="30"/>
          <w:highlight w:val="none"/>
        </w:rPr>
        <w:t xml:space="preserve"> 5.7谈判</w:t>
      </w:r>
    </w:p>
    <w:p>
      <w:pPr>
        <w:autoSpaceDE w:val="0"/>
        <w:autoSpaceDN w:val="0"/>
        <w:spacing w:line="360" w:lineRule="auto"/>
        <w:ind w:firstLine="482"/>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 xml:space="preserve">5.7.1 </w:t>
      </w:r>
      <w:r>
        <w:rPr>
          <w:rFonts w:asciiTheme="majorEastAsia" w:hAnsiTheme="majorEastAsia" w:eastAsiaTheme="majorEastAsia"/>
          <w:color w:val="auto"/>
          <w:szCs w:val="21"/>
          <w:highlight w:val="none"/>
        </w:rPr>
        <w:t>采购小组按照采购文件</w:t>
      </w:r>
      <w:r>
        <w:rPr>
          <w:rFonts w:hint="eastAsia" w:asciiTheme="majorEastAsia" w:hAnsiTheme="majorEastAsia" w:eastAsiaTheme="majorEastAsia"/>
          <w:color w:val="auto"/>
          <w:szCs w:val="21"/>
          <w:highlight w:val="none"/>
        </w:rPr>
        <w:t>的要求</w:t>
      </w:r>
      <w:r>
        <w:rPr>
          <w:rFonts w:asciiTheme="majorEastAsia" w:hAnsiTheme="majorEastAsia" w:eastAsiaTheme="majorEastAsia"/>
          <w:color w:val="auto"/>
          <w:szCs w:val="21"/>
          <w:highlight w:val="none"/>
        </w:rPr>
        <w:t>，就采购项目的</w:t>
      </w:r>
      <w:r>
        <w:rPr>
          <w:rFonts w:hint="eastAsia" w:asciiTheme="majorEastAsia" w:hAnsiTheme="majorEastAsia" w:eastAsiaTheme="majorEastAsia"/>
          <w:color w:val="auto"/>
          <w:szCs w:val="21"/>
          <w:highlight w:val="none"/>
        </w:rPr>
        <w:t>技术要求、</w:t>
      </w:r>
      <w:r>
        <w:rPr>
          <w:rFonts w:asciiTheme="majorEastAsia" w:hAnsiTheme="majorEastAsia" w:eastAsiaTheme="majorEastAsia"/>
          <w:color w:val="auto"/>
          <w:szCs w:val="21"/>
          <w:highlight w:val="none"/>
        </w:rPr>
        <w:t>服务承诺</w:t>
      </w:r>
      <w:r>
        <w:rPr>
          <w:rFonts w:hint="eastAsia" w:asciiTheme="majorEastAsia" w:hAnsiTheme="majorEastAsia" w:eastAsiaTheme="majorEastAsia"/>
          <w:color w:val="auto"/>
          <w:szCs w:val="21"/>
          <w:highlight w:val="none"/>
        </w:rPr>
        <w:t>、合同条款</w:t>
      </w:r>
      <w:r>
        <w:rPr>
          <w:rFonts w:asciiTheme="majorEastAsia" w:hAnsiTheme="majorEastAsia" w:eastAsiaTheme="majorEastAsia"/>
          <w:color w:val="auto"/>
          <w:szCs w:val="21"/>
          <w:highlight w:val="none"/>
        </w:rPr>
        <w:t>等与供应商进行谈判</w:t>
      </w:r>
      <w:r>
        <w:rPr>
          <w:rFonts w:hint="eastAsia" w:asciiTheme="majorEastAsia" w:hAnsiTheme="majorEastAsia" w:eastAsiaTheme="majorEastAsia"/>
          <w:color w:val="auto"/>
          <w:szCs w:val="21"/>
          <w:highlight w:val="none"/>
        </w:rPr>
        <w:t>，并商定合理的成交价格。</w:t>
      </w:r>
    </w:p>
    <w:p>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Theme="majorEastAsia" w:hAnsiTheme="majorEastAsia" w:eastAsiaTheme="majorEastAsia"/>
          <w:color w:val="auto"/>
          <w:szCs w:val="21"/>
          <w:highlight w:val="none"/>
        </w:rPr>
        <w:t>5.7.2</w:t>
      </w:r>
      <w:r>
        <w:rPr>
          <w:rFonts w:hint="eastAsia" w:ascii="宋体" w:hAnsi="宋体"/>
          <w:bCs/>
          <w:color w:val="auto"/>
          <w:szCs w:val="21"/>
          <w:highlight w:val="none"/>
        </w:rPr>
        <w:t>在谈判过程中，</w:t>
      </w:r>
      <w:r>
        <w:rPr>
          <w:rFonts w:hint="eastAsia" w:ascii="宋体" w:hAnsi="宋体"/>
          <w:color w:val="auto"/>
          <w:szCs w:val="21"/>
          <w:highlight w:val="none"/>
        </w:rPr>
        <w:t>采购文件若有实质性变动，采购小组将以书面形式通知参加谈判的供应商。</w:t>
      </w:r>
    </w:p>
    <w:p>
      <w:pPr>
        <w:tabs>
          <w:tab w:val="left" w:pos="0"/>
        </w:tabs>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5.7.3价格谈判采用协商制，可以多轮报价。对于能准确掌握同类产品同业同期平均价格（市场平均价）的，采购小组可要求供应商报出不超过市场平均价的一个合理价格；不能准确掌握市场价格的，采购小组可根据供应商提供产品成本测算表或产品在近一年内其他项目销售合同影印件，作为双方协商价格的参考依据。</w:t>
      </w:r>
    </w:p>
    <w:p>
      <w:pPr>
        <w:tabs>
          <w:tab w:val="left" w:pos="0"/>
        </w:tabs>
        <w:adjustRightInd w:val="0"/>
        <w:snapToGrid w:val="0"/>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5.7.4</w:t>
      </w:r>
      <w:r>
        <w:rPr>
          <w:rFonts w:hint="eastAsia" w:ascii="宋体" w:hAnsi="宋体"/>
          <w:color w:val="auto"/>
          <w:szCs w:val="21"/>
          <w:highlight w:val="none"/>
        </w:rPr>
        <w:t>供应商的最终报价若高于同业同期平均价格（市场平均价）的，采购小组将视情况接受或不接受：供应商响应文件实质性响应采购文件要求的，且未超过采购预算，则应确认成交，但采购小组应出具相关书面材料说明接受该报价的理由；采购小组不接受的，采购小组应出具相关书面材料说明的理由，本次采购活动终止。</w:t>
      </w:r>
    </w:p>
    <w:p>
      <w:pPr>
        <w:tabs>
          <w:tab w:val="left" w:pos="0"/>
        </w:tabs>
        <w:adjustRightInd w:val="0"/>
        <w:snapToGrid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5.7.5供应商的最终报价只报总价，不报分项价格，由法定代表人或其委托代理人</w:t>
      </w:r>
      <w:r>
        <w:rPr>
          <w:rFonts w:hint="eastAsia" w:asciiTheme="majorEastAsia" w:hAnsiTheme="majorEastAsia" w:eastAsiaTheme="majorEastAsia"/>
          <w:color w:val="auto"/>
          <w:szCs w:val="21"/>
          <w:highlight w:val="none"/>
          <w:lang w:val="en-US" w:eastAsia="zh-CN"/>
        </w:rPr>
        <w:t>签名</w:t>
      </w:r>
      <w:r>
        <w:rPr>
          <w:rFonts w:hint="eastAsia" w:asciiTheme="majorEastAsia" w:hAnsiTheme="majorEastAsia" w:eastAsiaTheme="majorEastAsia"/>
          <w:color w:val="auto"/>
          <w:szCs w:val="21"/>
          <w:highlight w:val="none"/>
        </w:rPr>
        <w:t>或加盖单位公章</w:t>
      </w:r>
      <w:r>
        <w:rPr>
          <w:rFonts w:asciiTheme="majorEastAsia" w:hAnsiTheme="majorEastAsia" w:eastAsiaTheme="majorEastAsia"/>
          <w:color w:val="auto"/>
          <w:szCs w:val="21"/>
          <w:highlight w:val="none"/>
        </w:rPr>
        <w:t>。</w:t>
      </w:r>
      <w:r>
        <w:rPr>
          <w:rFonts w:hint="eastAsia" w:ascii="宋体" w:hAnsi="宋体" w:cs="宋体"/>
          <w:b/>
          <w:color w:val="auto"/>
          <w:kern w:val="0"/>
          <w:szCs w:val="21"/>
          <w:highlight w:val="none"/>
        </w:rPr>
        <w:t>由委托代理人签名的，应附法人代表授权委托书；</w:t>
      </w:r>
      <w:r>
        <w:rPr>
          <w:rFonts w:hint="eastAsia" w:ascii="宋体" w:hAnsi="宋体" w:cs="Arial"/>
          <w:b/>
          <w:color w:val="auto"/>
          <w:kern w:val="0"/>
          <w:szCs w:val="21"/>
          <w:highlight w:val="none"/>
        </w:rPr>
        <w:t>供应商为自然人的，应当由本人签名。</w:t>
      </w:r>
      <w:r>
        <w:rPr>
          <w:rFonts w:hint="eastAsia" w:ascii="宋体" w:hAnsi="宋体" w:cs="宋体"/>
          <w:b/>
          <w:color w:val="auto"/>
          <w:kern w:val="0"/>
          <w:szCs w:val="21"/>
          <w:highlight w:val="none"/>
        </w:rPr>
        <w:t>供应商在最终谈判报价后，（首次谈判报价-最终谈判报价）/首次谈判报价，所得出的优惠率视为分项报价明细表中全部分项的优惠率。此优惠率适用于合同内价格的计算及项目的增减、变更时价格计算。</w:t>
      </w:r>
    </w:p>
    <w:p>
      <w:pPr>
        <w:autoSpaceDE w:val="0"/>
        <w:autoSpaceDN w:val="0"/>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5.7.6 供应商应当对本项目的采购质量作出保证。</w:t>
      </w:r>
    </w:p>
    <w:p>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5.8 推荐成交供应商</w:t>
      </w:r>
    </w:p>
    <w:p>
      <w:pPr>
        <w:pStyle w:val="47"/>
        <w:spacing w:line="360" w:lineRule="auto"/>
        <w:ind w:firstLine="420" w:firstLineChars="200"/>
        <w:rPr>
          <w:rFonts w:hint="default" w:ascii="宋体" w:hAnsi="宋体"/>
          <w:color w:val="auto"/>
          <w:sz w:val="21"/>
          <w:szCs w:val="21"/>
          <w:highlight w:val="none"/>
        </w:rPr>
      </w:pPr>
      <w:r>
        <w:rPr>
          <w:rFonts w:ascii="宋体" w:hAnsi="宋体"/>
          <w:color w:val="auto"/>
          <w:sz w:val="21"/>
          <w:szCs w:val="21"/>
          <w:highlight w:val="none"/>
        </w:rPr>
        <w:t>采购小组经过谈判后，在保证项目质量和合理价格的基础上确定成交供应商。</w:t>
      </w:r>
    </w:p>
    <w:p>
      <w:pPr>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5.9编写协商情况记录</w:t>
      </w:r>
    </w:p>
    <w:p>
      <w:pPr>
        <w:pStyle w:val="21"/>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5.9.1采购小组应当编写协商情况记录，主要内容包括：</w:t>
      </w:r>
    </w:p>
    <w:p>
      <w:pPr>
        <w:pStyle w:val="21"/>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（1）达到公开招标数额进行公示的，公示情况说明；</w:t>
      </w:r>
    </w:p>
    <w:p>
      <w:pPr>
        <w:pStyle w:val="21"/>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（2）协商日期和地点，采购小组成员名单；</w:t>
      </w:r>
    </w:p>
    <w:p>
      <w:pPr>
        <w:pStyle w:val="21"/>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（3）供应商提供的采购标的成本、同类项目合同价格以及相关专利、专有技术等情况说明；</w:t>
      </w:r>
    </w:p>
    <w:p>
      <w:pPr>
        <w:pStyle w:val="21"/>
        <w:spacing w:before="0" w:beforeAutospacing="0" w:after="0" w:afterAutospacing="0"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（4）合同主要条款及价格商定情况。</w:t>
      </w:r>
    </w:p>
    <w:p>
      <w:pPr>
        <w:pStyle w:val="21"/>
        <w:spacing w:before="0" w:beforeAutospacing="0" w:after="0" w:afterAutospacing="0"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5.9.2协商情况记录应当由采购小组全体人员</w:t>
      </w:r>
      <w:r>
        <w:rPr>
          <w:rFonts w:hint="eastAsia" w:asciiTheme="minorEastAsia" w:hAnsiTheme="minorEastAsia" w:eastAsiaTheme="minorEastAsia"/>
          <w:color w:val="auto"/>
          <w:sz w:val="21"/>
          <w:szCs w:val="21"/>
          <w:highlight w:val="none"/>
          <w:lang w:val="en-US" w:eastAsia="zh-CN"/>
        </w:rPr>
        <w:t>签名</w:t>
      </w:r>
      <w:r>
        <w:rPr>
          <w:rFonts w:hint="eastAsia" w:asciiTheme="minorEastAsia" w:hAnsiTheme="minorEastAsia" w:eastAsiaTheme="minorEastAsia"/>
          <w:color w:val="auto"/>
          <w:sz w:val="21"/>
          <w:szCs w:val="21"/>
          <w:highlight w:val="none"/>
        </w:rPr>
        <w:t>认可。对记录有异议的采购小组成员，应当签署不同意见并说明理由。采购小组成员拒绝在记录上签字又不书面说明其不同意见和理由的，视为同意。</w:t>
      </w:r>
    </w:p>
    <w:p>
      <w:pPr>
        <w:pStyle w:val="21"/>
        <w:snapToGrid w:val="0"/>
        <w:spacing w:before="120" w:beforeLines="50" w:beforeAutospacing="0" w:after="240" w:afterLines="100" w:afterAutospacing="0"/>
        <w:ind w:firstLine="148" w:firstLineChars="49"/>
        <w:rPr>
          <w:rFonts w:asciiTheme="majorEastAsia" w:hAnsiTheme="majorEastAsia" w:eastAsiaTheme="majorEastAsia"/>
          <w:b/>
          <w:color w:val="auto"/>
          <w:sz w:val="30"/>
          <w:szCs w:val="30"/>
          <w:highlight w:val="none"/>
        </w:rPr>
      </w:pPr>
      <w:r>
        <w:rPr>
          <w:rFonts w:hint="eastAsia" w:asciiTheme="majorEastAsia" w:hAnsiTheme="majorEastAsia" w:eastAsiaTheme="majorEastAsia"/>
          <w:b/>
          <w:color w:val="auto"/>
          <w:sz w:val="30"/>
          <w:szCs w:val="30"/>
          <w:highlight w:val="none"/>
        </w:rPr>
        <w:t>5.10谈判终止</w:t>
      </w:r>
    </w:p>
    <w:p>
      <w:pPr>
        <w:pStyle w:val="21"/>
        <w:snapToGrid w:val="0"/>
        <w:spacing w:before="0" w:beforeAutospacing="0" w:after="0" w:afterAutospacing="0" w:line="360" w:lineRule="auto"/>
        <w:ind w:firstLine="420" w:firstLineChars="200"/>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xml:space="preserve">5.10.1出现下列情形之一的，本次采购活动终止： </w:t>
      </w:r>
    </w:p>
    <w:p>
      <w:pPr>
        <w:pStyle w:val="21"/>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（1）因情况变化，不再符合规定的单一来源采购方式适用情形的；</w:t>
      </w:r>
    </w:p>
    <w:p>
      <w:pPr>
        <w:pStyle w:val="21"/>
        <w:snapToGrid w:val="0"/>
        <w:spacing w:before="0" w:beforeAutospacing="0" w:after="0" w:afterAutospacing="0" w:line="360" w:lineRule="auto"/>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　　（2）出现影响采购公正的违法、违规行为的；</w:t>
      </w:r>
    </w:p>
    <w:p>
      <w:pPr>
        <w:pStyle w:val="21"/>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（3）报价超过采购预算的</w:t>
      </w:r>
    </w:p>
    <w:p>
      <w:pPr>
        <w:pStyle w:val="21"/>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（4）出现重大变故，采购任务取消的。</w:t>
      </w:r>
    </w:p>
    <w:p>
      <w:pPr>
        <w:pStyle w:val="21"/>
        <w:snapToGrid w:val="0"/>
        <w:spacing w:before="0" w:beforeAutospacing="0" w:after="0" w:afterAutospacing="0" w:line="360" w:lineRule="auto"/>
        <w:ind w:firstLine="405"/>
        <w:rPr>
          <w:rFonts w:asciiTheme="majorEastAsia" w:hAnsiTheme="majorEastAsia" w:eastAsiaTheme="majorEastAsia"/>
          <w:color w:val="auto"/>
          <w:sz w:val="21"/>
          <w:szCs w:val="21"/>
          <w:highlight w:val="none"/>
        </w:rPr>
      </w:pPr>
      <w:r>
        <w:rPr>
          <w:rFonts w:hint="eastAsia" w:asciiTheme="majorEastAsia" w:hAnsiTheme="majorEastAsia" w:eastAsiaTheme="majorEastAsia"/>
          <w:color w:val="auto"/>
          <w:sz w:val="21"/>
          <w:szCs w:val="21"/>
          <w:highlight w:val="none"/>
        </w:rPr>
        <w:t>5.10.2 采购人或采购代理机构，在指定媒体发布项目终止公告并说明原因。</w:t>
      </w:r>
    </w:p>
    <w:p>
      <w:pPr>
        <w:autoSpaceDE w:val="0"/>
        <w:autoSpaceDN w:val="0"/>
        <w:spacing w:before="120" w:beforeLines="50" w:after="120" w:afterLines="50" w:line="360" w:lineRule="auto"/>
        <w:rPr>
          <w:rFonts w:asciiTheme="majorEastAsia" w:hAnsiTheme="majorEastAsia" w:eastAsiaTheme="majorEastAsia"/>
          <w:b/>
          <w:color w:val="auto"/>
          <w:sz w:val="30"/>
          <w:szCs w:val="30"/>
          <w:highlight w:val="none"/>
          <w:lang w:val="zh-CN"/>
        </w:rPr>
      </w:pPr>
      <w:r>
        <w:rPr>
          <w:rFonts w:hint="eastAsia" w:ascii="宋体" w:hAnsi="宋体"/>
          <w:b/>
          <w:color w:val="auto"/>
          <w:sz w:val="32"/>
          <w:szCs w:val="32"/>
          <w:highlight w:val="none"/>
        </w:rPr>
        <w:t xml:space="preserve"> </w:t>
      </w:r>
      <w:r>
        <w:rPr>
          <w:rFonts w:hint="eastAsia" w:ascii="宋体" w:hAnsi="宋体"/>
          <w:b/>
          <w:color w:val="auto"/>
          <w:sz w:val="30"/>
          <w:szCs w:val="30"/>
          <w:highlight w:val="none"/>
        </w:rPr>
        <w:t>5.11</w:t>
      </w:r>
      <w:r>
        <w:rPr>
          <w:rFonts w:asciiTheme="majorEastAsia" w:hAnsiTheme="majorEastAsia" w:eastAsiaTheme="majorEastAsia"/>
          <w:b/>
          <w:color w:val="auto"/>
          <w:sz w:val="30"/>
          <w:szCs w:val="30"/>
          <w:highlight w:val="none"/>
          <w:lang w:val="zh-CN"/>
        </w:rPr>
        <w:t>违法违规情形</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.1</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有下列情形之一的，属于采购人与供应商串通报价：</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（1）采购人直接或者间接向供应商透露采购小组成员等信息；</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（2）采购人明示或者暗示供应商压低或者抬高报价；</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（3）采购人授意供应商撤换、修改响应文件</w:t>
      </w:r>
      <w:r>
        <w:rPr>
          <w:rFonts w:hint="eastAsia" w:asciiTheme="minorEastAsia" w:hAnsiTheme="minorEastAsia" w:eastAsiaTheme="minorEastAsia"/>
          <w:color w:val="auto"/>
          <w:szCs w:val="21"/>
          <w:highlight w:val="none"/>
          <w:lang w:val="zh-CN"/>
        </w:rPr>
        <w:t>。</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hint="eastAsia" w:asciiTheme="minorEastAsia" w:hAnsiTheme="minorEastAsia" w:eastAsiaTheme="minorEastAsia"/>
          <w:color w:val="auto"/>
          <w:szCs w:val="21"/>
          <w:highlight w:val="none"/>
          <w:lang w:val="zh-CN"/>
        </w:rPr>
        <w:t>5.11</w:t>
      </w:r>
      <w:r>
        <w:rPr>
          <w:rFonts w:asciiTheme="minorEastAsia" w:hAnsiTheme="minorEastAsia" w:eastAsiaTheme="minorEastAsia"/>
          <w:color w:val="auto"/>
          <w:szCs w:val="21"/>
          <w:highlight w:val="none"/>
          <w:lang w:val="zh-CN"/>
        </w:rPr>
        <w:t>.2</w:t>
      </w:r>
      <w:r>
        <w:rPr>
          <w:rFonts w:hint="eastAsia" w:asciiTheme="minorEastAsia" w:hAnsiTheme="minorEastAsia" w:eastAsiaTheme="minorEastAsia"/>
          <w:color w:val="auto"/>
          <w:szCs w:val="21"/>
          <w:highlight w:val="none"/>
          <w:lang w:val="zh-CN"/>
        </w:rPr>
        <w:t xml:space="preserve"> </w:t>
      </w:r>
      <w:r>
        <w:rPr>
          <w:rFonts w:asciiTheme="minorEastAsia" w:hAnsiTheme="minorEastAsia" w:eastAsiaTheme="minorEastAsia"/>
          <w:color w:val="auto"/>
          <w:szCs w:val="21"/>
          <w:highlight w:val="none"/>
          <w:lang w:val="zh-CN"/>
        </w:rPr>
        <w:t>有下列情形之一的，属于供应商弄虚作假的行为：</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（1）使用伪造、变造的许可证件；</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（2）提供虚假的财务状况或者业绩；</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（3）提供虚假的项目负责人或者主要技术服务人员简历、劳动关系证明；</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（4）提供虚假的信用状况；</w:t>
      </w:r>
    </w:p>
    <w:p>
      <w:pPr>
        <w:autoSpaceDE w:val="0"/>
        <w:autoSpaceDN w:val="0"/>
        <w:adjustRightInd w:val="0"/>
        <w:spacing w:line="360" w:lineRule="auto"/>
        <w:ind w:firstLine="420" w:firstLineChars="200"/>
        <w:rPr>
          <w:rFonts w:asciiTheme="minorEastAsia" w:hAnsiTheme="minorEastAsia" w:eastAsiaTheme="minorEastAsia"/>
          <w:color w:val="auto"/>
          <w:szCs w:val="21"/>
          <w:highlight w:val="none"/>
          <w:lang w:val="zh-CN"/>
        </w:rPr>
      </w:pPr>
      <w:r>
        <w:rPr>
          <w:rFonts w:asciiTheme="minorEastAsia" w:hAnsiTheme="minorEastAsia" w:eastAsiaTheme="minorEastAsia"/>
          <w:color w:val="auto"/>
          <w:szCs w:val="21"/>
          <w:highlight w:val="none"/>
          <w:lang w:val="zh-CN"/>
        </w:rPr>
        <w:t>（5）其他弄虚作假的行为。</w:t>
      </w:r>
    </w:p>
    <w:p>
      <w:pPr>
        <w:adjustRightInd w:val="0"/>
        <w:snapToGrid w:val="0"/>
        <w:spacing w:before="120" w:beforeLines="50" w:after="240" w:afterLines="100"/>
        <w:rPr>
          <w:rFonts w:ascii="宋体" w:hAnsi="宋体"/>
          <w:b/>
          <w:color w:val="auto"/>
          <w:sz w:val="36"/>
          <w:szCs w:val="36"/>
          <w:highlight w:val="none"/>
        </w:rPr>
      </w:pPr>
      <w:r>
        <w:rPr>
          <w:rFonts w:hint="eastAsia" w:ascii="宋体" w:hAnsi="宋体"/>
          <w:b/>
          <w:color w:val="auto"/>
          <w:sz w:val="36"/>
          <w:szCs w:val="36"/>
          <w:highlight w:val="none"/>
        </w:rPr>
        <w:t>6.合同授予</w:t>
      </w:r>
    </w:p>
    <w:p>
      <w:pPr>
        <w:spacing w:before="120" w:beforeLines="50" w:after="120" w:afterLines="50"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6.1确定成交供应商</w:t>
      </w:r>
    </w:p>
    <w:p>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6.1.1 采购代理机构在谈判结束后2个工作日内将谈判协商情况记录送采购人。</w:t>
      </w:r>
    </w:p>
    <w:p>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6.1.2 采购人应当在收到谈判协商情况记录后5个工作日内，按照推荐的供应商确定成交供应商。同时，复函采购代理机构。</w:t>
      </w:r>
    </w:p>
    <w:p>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shd w:val="clear" w:color="auto" w:fill="FFFFFF"/>
        </w:rPr>
        <w:t>6.1.3采购人在收到谈判协商情况记录5个工作日内未确定成交供应商的，又不能说明合法理由的，视同按推荐的成交供应商为成交供应商。</w:t>
      </w:r>
    </w:p>
    <w:p>
      <w:pPr>
        <w:spacing w:line="360" w:lineRule="auto"/>
        <w:ind w:firstLine="367" w:firstLineChars="1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6.1.4采购代理机构应当在接到采购人“成交复函”之日起2个工作日内，根据采购人确定的成交供应商，在省级以上的媒体上发布成交公告，同时向成交供应商发出《成交通知书》。</w:t>
      </w:r>
    </w:p>
    <w:p>
      <w:pPr>
        <w:adjustRightInd w:val="0"/>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6.2成交通知书</w:t>
      </w:r>
    </w:p>
    <w:p>
      <w:pPr>
        <w:tabs>
          <w:tab w:val="left" w:pos="7665"/>
        </w:tabs>
        <w:spacing w:line="360" w:lineRule="auto"/>
        <w:ind w:firstLine="420" w:firstLineChars="200"/>
        <w:rPr>
          <w:rFonts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6.2</w:t>
      </w:r>
      <w:r>
        <w:rPr>
          <w:rFonts w:hint="eastAsia" w:ascii="宋体" w:hAnsi="宋体"/>
          <w:color w:val="auto"/>
          <w:szCs w:val="21"/>
          <w:highlight w:val="none"/>
        </w:rPr>
        <w:t>.1</w:t>
      </w:r>
      <w:r>
        <w:rPr>
          <w:rFonts w:hint="eastAsia" w:asciiTheme="majorEastAsia" w:hAnsiTheme="majorEastAsia" w:eastAsiaTheme="majorEastAsia"/>
          <w:color w:val="auto"/>
          <w:szCs w:val="21"/>
          <w:highlight w:val="none"/>
        </w:rPr>
        <w:t>成交通知书为签订政府采购合同的依据之一，是合同的有效组成部分。</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6.2.2成交通知书对采购人和成交供应商具有同等法律效力。</w:t>
      </w:r>
    </w:p>
    <w:p>
      <w:pPr>
        <w:tabs>
          <w:tab w:val="left" w:pos="7665"/>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6.2.3成交供应商应当在接到采购代理机构通知之日起7个工作日内领取《成交通知书》。</w:t>
      </w:r>
    </w:p>
    <w:p>
      <w:pPr>
        <w:tabs>
          <w:tab w:val="left" w:pos="7665"/>
        </w:tabs>
        <w:spacing w:before="120" w:beforeLines="50" w:after="240" w:afterLines="100"/>
        <w:ind w:firstLine="148" w:firstLineChars="49"/>
        <w:rPr>
          <w:rFonts w:ascii="宋体" w:hAnsi="宋体"/>
          <w:b/>
          <w:color w:val="auto"/>
          <w:sz w:val="30"/>
          <w:szCs w:val="30"/>
          <w:highlight w:val="none"/>
        </w:rPr>
      </w:pPr>
      <w:r>
        <w:rPr>
          <w:rFonts w:hint="eastAsia" w:ascii="宋体" w:hAnsi="宋体"/>
          <w:b/>
          <w:color w:val="auto"/>
          <w:sz w:val="30"/>
          <w:szCs w:val="30"/>
          <w:highlight w:val="none"/>
        </w:rPr>
        <w:t>6.3履约保证金</w:t>
      </w:r>
    </w:p>
    <w:p>
      <w:pPr>
        <w:adjustRightInd w:val="0"/>
        <w:snapToGrid w:val="0"/>
        <w:spacing w:line="360" w:lineRule="auto"/>
        <w:ind w:firstLine="522" w:firstLineChars="249"/>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见须知前附表</w:t>
      </w:r>
    </w:p>
    <w:p>
      <w:pPr>
        <w:adjustRightInd w:val="0"/>
        <w:snapToGrid w:val="0"/>
        <w:spacing w:line="360" w:lineRule="auto"/>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6.4签订合同</w:t>
      </w:r>
    </w:p>
    <w:p>
      <w:pPr>
        <w:tabs>
          <w:tab w:val="left" w:pos="7665"/>
        </w:tabs>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6.4.1 采购人和成交供应商应在《成交通知书》发出之日起</w:t>
      </w:r>
      <w:r>
        <w:rPr>
          <w:rFonts w:hint="eastAsia" w:ascii="宋体" w:hAnsi="宋体"/>
          <w:color w:val="auto"/>
          <w:szCs w:val="21"/>
          <w:highlight w:val="none"/>
          <w:lang w:val="en-US" w:eastAsia="zh-CN"/>
        </w:rPr>
        <w:t>25</w:t>
      </w:r>
      <w:r>
        <w:rPr>
          <w:rFonts w:hint="eastAsia" w:ascii="宋体" w:hAnsi="宋体"/>
          <w:color w:val="auto"/>
          <w:szCs w:val="21"/>
          <w:highlight w:val="none"/>
        </w:rPr>
        <w:t>日内，根据采购文件和成交供应商的响应文件订立书面采购合同。由于成交供应商的原因逾期未与采购人签订采购合同的，将视为放弃成交，取消其成交资格，其投标保证金不予退还，给采购人造成的损失超过保证金数额的，</w:t>
      </w:r>
      <w:r>
        <w:rPr>
          <w:rFonts w:hint="eastAsia"/>
          <w:color w:val="auto"/>
          <w:spacing w:val="2"/>
          <w:szCs w:val="21"/>
          <w:highlight w:val="none"/>
        </w:rPr>
        <w:t>成交供应商应当对超过部分予以赔偿。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6.4.2 发出成交通知书后，采购人不得向成交供应商人提出任何不合理要求，作为签订合</w:t>
      </w:r>
      <w:r>
        <w:rPr>
          <w:rFonts w:hint="eastAsia" w:ascii="宋体" w:hAnsi="宋体"/>
          <w:color w:val="auto"/>
          <w:szCs w:val="21"/>
          <w:highlight w:val="none"/>
          <w:lang w:eastAsia="zh-CN"/>
        </w:rPr>
        <w:t>同</w:t>
      </w:r>
      <w:r>
        <w:rPr>
          <w:rFonts w:hint="eastAsia" w:ascii="宋体" w:hAnsi="宋体"/>
          <w:color w:val="auto"/>
          <w:szCs w:val="21"/>
          <w:highlight w:val="none"/>
        </w:rPr>
        <w:t>的条件，不得与成交供应商私下订立背离合同实质性内容的任何协议，所签订的合同不得对采购文件确定的事项和成交供应商的响应文件做实质性修改。采购人无正当理由拒签采购合同的，应退还成交供应商保证金；给成交供应商造成损失的，还应当赔偿损失。</w:t>
      </w:r>
    </w:p>
    <w:p>
      <w:pPr>
        <w:snapToGrid w:val="0"/>
        <w:spacing w:before="120" w:beforeLines="50" w:after="240" w:afterLines="100"/>
        <w:ind w:firstLine="148" w:firstLineChars="49"/>
        <w:rPr>
          <w:rFonts w:ascii="宋体" w:hAnsi="宋体"/>
          <w:b/>
          <w:bCs/>
          <w:color w:val="auto"/>
          <w:sz w:val="30"/>
          <w:szCs w:val="30"/>
          <w:highlight w:val="none"/>
        </w:rPr>
      </w:pPr>
      <w:r>
        <w:rPr>
          <w:rFonts w:hint="eastAsia" w:ascii="宋体" w:hAnsi="宋体"/>
          <w:b/>
          <w:bCs/>
          <w:color w:val="auto"/>
          <w:sz w:val="30"/>
          <w:szCs w:val="30"/>
          <w:highlight w:val="none"/>
        </w:rPr>
        <w:t>6.5合同履行</w:t>
      </w:r>
    </w:p>
    <w:p>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6.5.1 </w:t>
      </w:r>
      <w:r>
        <w:rPr>
          <w:rFonts w:hint="eastAsia" w:ascii="宋体" w:hAnsi="宋体" w:cs="宋体"/>
          <w:color w:val="auto"/>
          <w:szCs w:val="21"/>
          <w:highlight w:val="none"/>
          <w:lang w:eastAsia="zh-TW"/>
        </w:rPr>
        <w:t>政府采购合同订立后，合同各方不得擅自变更</w:t>
      </w:r>
      <w:r>
        <w:rPr>
          <w:rFonts w:hint="eastAsia" w:ascii="宋体" w:hAnsi="宋体" w:cs="宋体"/>
          <w:color w:val="auto"/>
          <w:szCs w:val="21"/>
          <w:highlight w:val="none"/>
        </w:rPr>
        <w:t>或者</w:t>
      </w:r>
      <w:r>
        <w:rPr>
          <w:rFonts w:hint="eastAsia" w:ascii="宋体" w:hAnsi="宋体" w:cs="宋体"/>
          <w:color w:val="auto"/>
          <w:szCs w:val="21"/>
          <w:highlight w:val="none"/>
          <w:lang w:eastAsia="zh-TW"/>
        </w:rPr>
        <w:t>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tabs>
          <w:tab w:val="left" w:pos="426"/>
        </w:tabs>
        <w:autoSpaceDE w:val="0"/>
        <w:autoSpaceDN w:val="0"/>
        <w:adjustRightInd w:val="0"/>
        <w:snapToGrid w:val="0"/>
        <w:spacing w:line="360" w:lineRule="auto"/>
        <w:ind w:firstLine="420" w:firstLineChars="200"/>
        <w:rPr>
          <w:rFonts w:ascii="宋体" w:hAnsi="宋体" w:cs="黑体"/>
          <w:b/>
          <w:bCs/>
          <w:color w:val="auto"/>
          <w:szCs w:val="21"/>
          <w:highlight w:val="none"/>
        </w:rPr>
      </w:pPr>
      <w:r>
        <w:rPr>
          <w:rFonts w:hint="eastAsia" w:ascii="宋体" w:hAnsi="宋体" w:cs="宋体"/>
          <w:color w:val="auto"/>
          <w:szCs w:val="21"/>
          <w:highlight w:val="none"/>
        </w:rPr>
        <w:t xml:space="preserve">6.5.2 </w:t>
      </w:r>
      <w:r>
        <w:rPr>
          <w:rFonts w:hint="eastAsia" w:ascii="宋体" w:hAnsi="宋体" w:cs="宋体"/>
          <w:color w:val="auto"/>
          <w:szCs w:val="21"/>
          <w:highlight w:val="none"/>
          <w:lang w:eastAsia="zh-TW"/>
        </w:rPr>
        <w:t>政府采购合同履行中，采购人需追加与合同标的相同的货物的，在不改变合同其他条款的前提下，可以与</w:t>
      </w:r>
      <w:r>
        <w:rPr>
          <w:rFonts w:hint="eastAsia" w:ascii="宋体" w:hAnsi="宋体" w:cs="宋体"/>
          <w:color w:val="auto"/>
          <w:szCs w:val="21"/>
          <w:highlight w:val="none"/>
        </w:rPr>
        <w:t>中标人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w:t>
      </w:r>
      <w:r>
        <w:rPr>
          <w:rFonts w:hint="eastAsia" w:ascii="宋体" w:hAnsi="宋体" w:cs="宋体"/>
          <w:color w:val="auto"/>
          <w:szCs w:val="21"/>
          <w:highlight w:val="none"/>
        </w:rPr>
        <w:t>应</w:t>
      </w:r>
      <w:r>
        <w:rPr>
          <w:rFonts w:hint="eastAsia" w:ascii="宋体" w:hAnsi="宋体" w:cs="宋体"/>
          <w:color w:val="auto"/>
          <w:szCs w:val="21"/>
          <w:highlight w:val="none"/>
          <w:lang w:eastAsia="zh-TW"/>
        </w:rPr>
        <w:t>按规定备案。</w:t>
      </w:r>
    </w:p>
    <w:p>
      <w:pPr>
        <w:pStyle w:val="4"/>
        <w:keepNext w:val="0"/>
        <w:keepLines w:val="0"/>
        <w:spacing w:before="120" w:beforeLines="50" w:after="240" w:afterLines="100" w:line="240" w:lineRule="auto"/>
        <w:rPr>
          <w:rFonts w:ascii="宋体" w:hAnsi="宋体" w:eastAsia="宋体"/>
          <w:color w:val="auto"/>
          <w:sz w:val="36"/>
          <w:szCs w:val="36"/>
          <w:highlight w:val="none"/>
          <w:lang w:val="zh-CN"/>
        </w:rPr>
      </w:pPr>
      <w:bookmarkStart w:id="84" w:name="_Toc470424504"/>
      <w:r>
        <w:rPr>
          <w:rFonts w:ascii="宋体" w:hAnsi="宋体" w:eastAsia="宋体"/>
          <w:color w:val="auto"/>
          <w:sz w:val="36"/>
          <w:szCs w:val="36"/>
          <w:highlight w:val="none"/>
          <w:lang w:val="zh-CN"/>
        </w:rPr>
        <w:t>7</w:t>
      </w:r>
      <w:r>
        <w:rPr>
          <w:rFonts w:hint="eastAsia" w:asciiTheme="minorEastAsia" w:hAnsiTheme="minorEastAsia" w:eastAsiaTheme="minorEastAsia"/>
          <w:color w:val="auto"/>
          <w:sz w:val="36"/>
          <w:szCs w:val="36"/>
          <w:highlight w:val="none"/>
          <w:lang w:val="zh-CN"/>
        </w:rPr>
        <w:t>.</w:t>
      </w:r>
      <w:r>
        <w:rPr>
          <w:rFonts w:ascii="宋体" w:hAnsi="宋体" w:eastAsia="宋体"/>
          <w:color w:val="auto"/>
          <w:sz w:val="36"/>
          <w:szCs w:val="36"/>
          <w:highlight w:val="none"/>
          <w:lang w:val="zh-CN"/>
        </w:rPr>
        <w:t xml:space="preserve"> 纪律和监督</w:t>
      </w:r>
      <w:bookmarkEnd w:id="84"/>
    </w:p>
    <w:p>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7.1 对采购人的纪律要求</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采购人不得泄漏采购活动中应当保密的情况和资料，不得与供应商串通损害国家利益、社会公共利益或者他人合法权益。</w:t>
      </w:r>
    </w:p>
    <w:p>
      <w:pPr>
        <w:autoSpaceDE w:val="0"/>
        <w:autoSpaceDN w:val="0"/>
        <w:spacing w:before="120" w:beforeLines="50" w:after="240" w:afterLines="100"/>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7.2 对供应商的纪律要求</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供应商不得与采购人串通，不得向采购人或者采购小组成员行贿谋取成交；不得以他人名义</w:t>
      </w:r>
      <w:r>
        <w:rPr>
          <w:rFonts w:hint="eastAsia" w:asciiTheme="majorEastAsia" w:hAnsiTheme="majorEastAsia" w:eastAsiaTheme="majorEastAsia"/>
          <w:color w:val="auto"/>
          <w:szCs w:val="21"/>
          <w:highlight w:val="none"/>
          <w:lang w:val="zh-CN"/>
        </w:rPr>
        <w:t>参加谈判或者报</w:t>
      </w:r>
      <w:r>
        <w:rPr>
          <w:rFonts w:ascii="宋体" w:hAnsi="宋体"/>
          <w:color w:val="auto"/>
          <w:szCs w:val="21"/>
          <w:highlight w:val="none"/>
          <w:lang w:val="zh-CN"/>
        </w:rPr>
        <w:t>价或者以其他方式弄虚作假骗取成交；供应商不得以任何方式干扰、影响</w:t>
      </w:r>
      <w:r>
        <w:rPr>
          <w:rFonts w:hint="eastAsia" w:asciiTheme="majorEastAsia" w:hAnsiTheme="majorEastAsia" w:eastAsiaTheme="majorEastAsia"/>
          <w:color w:val="auto"/>
          <w:szCs w:val="21"/>
          <w:highlight w:val="none"/>
          <w:lang w:val="zh-CN"/>
        </w:rPr>
        <w:t>谈判协商</w:t>
      </w:r>
      <w:r>
        <w:rPr>
          <w:rFonts w:ascii="宋体" w:hAnsi="宋体"/>
          <w:color w:val="auto"/>
          <w:szCs w:val="21"/>
          <w:highlight w:val="none"/>
          <w:lang w:val="zh-CN"/>
        </w:rPr>
        <w:t>工作。</w:t>
      </w:r>
    </w:p>
    <w:p>
      <w:pPr>
        <w:autoSpaceDE w:val="0"/>
        <w:autoSpaceDN w:val="0"/>
        <w:spacing w:before="120" w:beforeLines="50" w:after="120" w:afterLines="50"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7.3 对采购小组成员的纪律要求</w:t>
      </w:r>
    </w:p>
    <w:p>
      <w:pPr>
        <w:autoSpaceDE w:val="0"/>
        <w:autoSpaceDN w:val="0"/>
        <w:spacing w:line="360" w:lineRule="auto"/>
        <w:ind w:firstLine="420" w:firstLineChars="200"/>
        <w:rPr>
          <w:rFonts w:asciiTheme="majorEastAsia" w:hAnsiTheme="majorEastAsia" w:eastAsiaTheme="majorEastAsia"/>
          <w:color w:val="auto"/>
          <w:szCs w:val="21"/>
          <w:highlight w:val="none"/>
          <w:lang w:val="zh-CN"/>
        </w:rPr>
      </w:pPr>
      <w:r>
        <w:rPr>
          <w:rFonts w:hint="eastAsia" w:asciiTheme="majorEastAsia" w:hAnsiTheme="majorEastAsia" w:eastAsiaTheme="majorEastAsia"/>
          <w:color w:val="auto"/>
          <w:szCs w:val="21"/>
          <w:highlight w:val="none"/>
          <w:lang w:val="zh-CN"/>
        </w:rPr>
        <w:t>7.3.1</w:t>
      </w:r>
      <w:r>
        <w:rPr>
          <w:rFonts w:ascii="宋体" w:hAnsi="宋体"/>
          <w:color w:val="auto"/>
          <w:szCs w:val="21"/>
          <w:highlight w:val="none"/>
          <w:lang w:val="zh-CN"/>
        </w:rPr>
        <w:t>采购小组成员不得收受他人的财物或者其他好处，不得向他人透露对响应文件</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活动中，采购小组成员应当客观、公正地履行职责，遵守职业道德，不得擅离职守，影响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程序正常进行，不得使用超出本采购文件有关规定的</w:t>
      </w:r>
      <w:r>
        <w:rPr>
          <w:rFonts w:hint="eastAsia" w:asciiTheme="majorEastAsia" w:hAnsiTheme="majorEastAsia" w:eastAsiaTheme="majorEastAsia"/>
          <w:color w:val="auto"/>
          <w:szCs w:val="21"/>
          <w:highlight w:val="none"/>
          <w:lang w:val="zh-CN"/>
        </w:rPr>
        <w:t>要求</w:t>
      </w:r>
      <w:r>
        <w:rPr>
          <w:rFonts w:ascii="宋体" w:hAnsi="宋体"/>
          <w:color w:val="auto"/>
          <w:szCs w:val="21"/>
          <w:highlight w:val="none"/>
          <w:lang w:val="zh-CN"/>
        </w:rPr>
        <w:t>进行</w:t>
      </w:r>
      <w:r>
        <w:rPr>
          <w:rFonts w:hint="eastAsia" w:asciiTheme="majorEastAsia" w:hAnsiTheme="majorEastAsia" w:eastAsiaTheme="majorEastAsia"/>
          <w:color w:val="auto"/>
          <w:szCs w:val="21"/>
          <w:highlight w:val="none"/>
          <w:lang w:val="zh-CN"/>
        </w:rPr>
        <w:t>谈判与协商</w:t>
      </w:r>
      <w:r>
        <w:rPr>
          <w:rFonts w:ascii="宋体" w:hAnsi="宋体"/>
          <w:color w:val="auto"/>
          <w:szCs w:val="21"/>
          <w:highlight w:val="none"/>
          <w:lang w:val="zh-CN"/>
        </w:rPr>
        <w:t>。</w:t>
      </w:r>
    </w:p>
    <w:p>
      <w:pPr>
        <w:spacing w:line="360" w:lineRule="auto"/>
        <w:ind w:left="120" w:leftChars="57" w:firstLine="315" w:firstLineChars="150"/>
        <w:rPr>
          <w:rFonts w:ascii="宋体" w:hAnsi="宋体"/>
          <w:color w:val="auto"/>
          <w:szCs w:val="21"/>
          <w:highlight w:val="none"/>
        </w:rPr>
      </w:pPr>
      <w:r>
        <w:rPr>
          <w:rFonts w:hint="eastAsia" w:asciiTheme="majorEastAsia" w:hAnsiTheme="majorEastAsia" w:eastAsiaTheme="majorEastAsia"/>
          <w:color w:val="auto"/>
          <w:szCs w:val="21"/>
          <w:highlight w:val="none"/>
          <w:lang w:val="zh-CN"/>
        </w:rPr>
        <w:t>7.3.2</w:t>
      </w:r>
      <w:r>
        <w:rPr>
          <w:rFonts w:hint="eastAsia" w:ascii="宋体" w:hAnsi="宋体"/>
          <w:color w:val="auto"/>
          <w:szCs w:val="21"/>
          <w:highlight w:val="none"/>
        </w:rPr>
        <w:t>采购小组成员有下列情形之一的，应当回避：</w:t>
      </w:r>
    </w:p>
    <w:p>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（1）采购人或供应商主要负责人的近亲属；</w:t>
      </w:r>
    </w:p>
    <w:p>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（2）与供应商有经济利益关系，可能影响公正谈判与协商的；</w:t>
      </w:r>
    </w:p>
    <w:p>
      <w:pPr>
        <w:spacing w:line="360" w:lineRule="auto"/>
        <w:ind w:left="120" w:leftChars="57" w:firstLine="315" w:firstLineChars="150"/>
        <w:rPr>
          <w:rFonts w:ascii="宋体" w:hAnsi="宋体"/>
          <w:color w:val="auto"/>
          <w:szCs w:val="21"/>
          <w:highlight w:val="none"/>
        </w:rPr>
      </w:pPr>
      <w:r>
        <w:rPr>
          <w:rFonts w:hint="eastAsia" w:ascii="宋体" w:hAnsi="宋体"/>
          <w:color w:val="auto"/>
          <w:szCs w:val="21"/>
          <w:highlight w:val="none"/>
        </w:rPr>
        <w:t>（3）曾因在招标、评标以及其他与采购有关活动中从事违法行为而受过行政处罚或刑事处罚的。</w:t>
      </w:r>
    </w:p>
    <w:p>
      <w:pPr>
        <w:autoSpaceDE w:val="0"/>
        <w:autoSpaceDN w:val="0"/>
        <w:spacing w:line="360" w:lineRule="auto"/>
        <w:ind w:firstLine="151" w:firstLineChars="50"/>
        <w:rPr>
          <w:rFonts w:ascii="宋体" w:hAnsi="宋体"/>
          <w:b/>
          <w:color w:val="auto"/>
          <w:sz w:val="30"/>
          <w:szCs w:val="30"/>
          <w:highlight w:val="none"/>
          <w:lang w:val="zh-CN"/>
        </w:rPr>
      </w:pPr>
      <w:r>
        <w:rPr>
          <w:rFonts w:ascii="宋体" w:hAnsi="宋体"/>
          <w:b/>
          <w:color w:val="auto"/>
          <w:sz w:val="30"/>
          <w:szCs w:val="30"/>
          <w:highlight w:val="none"/>
          <w:lang w:val="zh-CN"/>
        </w:rPr>
        <w:t>7.4 对与</w:t>
      </w:r>
      <w:r>
        <w:rPr>
          <w:rFonts w:hint="eastAsia" w:asciiTheme="majorEastAsia" w:hAnsiTheme="majorEastAsia" w:eastAsiaTheme="majorEastAsia"/>
          <w:b/>
          <w:color w:val="auto"/>
          <w:sz w:val="30"/>
          <w:szCs w:val="30"/>
          <w:highlight w:val="none"/>
          <w:lang w:val="zh-CN"/>
        </w:rPr>
        <w:t>采购</w:t>
      </w:r>
      <w:r>
        <w:rPr>
          <w:rFonts w:ascii="宋体" w:hAnsi="宋体"/>
          <w:b/>
          <w:color w:val="auto"/>
          <w:sz w:val="30"/>
          <w:szCs w:val="30"/>
          <w:highlight w:val="none"/>
          <w:lang w:val="zh-CN"/>
        </w:rPr>
        <w:t>活动有关的工作人员的纪律要求</w:t>
      </w:r>
    </w:p>
    <w:p>
      <w:pPr>
        <w:autoSpaceDE w:val="0"/>
        <w:autoSpaceDN w:val="0"/>
        <w:spacing w:line="360" w:lineRule="auto"/>
        <w:ind w:firstLine="420" w:firstLineChars="200"/>
        <w:rPr>
          <w:rFonts w:ascii="宋体" w:hAnsi="宋体"/>
          <w:color w:val="auto"/>
          <w:szCs w:val="21"/>
          <w:highlight w:val="none"/>
          <w:lang w:val="zh-CN"/>
        </w:rPr>
      </w:pPr>
      <w:r>
        <w:rPr>
          <w:rFonts w:ascii="宋体" w:hAnsi="宋体"/>
          <w:color w:val="auto"/>
          <w:szCs w:val="21"/>
          <w:highlight w:val="none"/>
          <w:lang w:val="zh-CN"/>
        </w:rPr>
        <w:t>与</w:t>
      </w:r>
      <w:r>
        <w:rPr>
          <w:rFonts w:hint="eastAsia" w:asciiTheme="majorEastAsia" w:hAnsiTheme="majorEastAsia" w:eastAsiaTheme="majorEastAsia"/>
          <w:color w:val="auto"/>
          <w:szCs w:val="21"/>
          <w:highlight w:val="none"/>
          <w:lang w:val="zh-CN"/>
        </w:rPr>
        <w:t>采购</w:t>
      </w:r>
      <w:r>
        <w:rPr>
          <w:rFonts w:ascii="宋体" w:hAnsi="宋体"/>
          <w:color w:val="auto"/>
          <w:szCs w:val="21"/>
          <w:highlight w:val="none"/>
          <w:lang w:val="zh-CN"/>
        </w:rPr>
        <w:t>活动有关的工作人员不得收受他人的财物或者其他好处，不得向他人透露对响应文件的</w:t>
      </w:r>
      <w:r>
        <w:rPr>
          <w:rFonts w:hint="eastAsia" w:asciiTheme="majorEastAsia" w:hAnsiTheme="majorEastAsia" w:eastAsiaTheme="majorEastAsia"/>
          <w:color w:val="auto"/>
          <w:szCs w:val="21"/>
          <w:highlight w:val="none"/>
          <w:lang w:val="zh-CN"/>
        </w:rPr>
        <w:t>谈判与协商有关</w:t>
      </w:r>
      <w:r>
        <w:rPr>
          <w:rFonts w:ascii="宋体" w:hAnsi="宋体"/>
          <w:color w:val="auto"/>
          <w:szCs w:val="21"/>
          <w:highlight w:val="none"/>
          <w:lang w:val="zh-CN"/>
        </w:rPr>
        <w:t>的其他情况。在</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活动中，与</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活动有关的工作人员不得擅离职守，影响</w:t>
      </w:r>
      <w:r>
        <w:rPr>
          <w:rFonts w:hint="eastAsia" w:asciiTheme="majorEastAsia" w:hAnsiTheme="majorEastAsia" w:eastAsiaTheme="majorEastAsia"/>
          <w:color w:val="auto"/>
          <w:szCs w:val="21"/>
          <w:highlight w:val="none"/>
          <w:lang w:val="zh-CN"/>
        </w:rPr>
        <w:t>谈判</w:t>
      </w:r>
      <w:r>
        <w:rPr>
          <w:rFonts w:ascii="宋体" w:hAnsi="宋体"/>
          <w:color w:val="auto"/>
          <w:szCs w:val="21"/>
          <w:highlight w:val="none"/>
          <w:lang w:val="zh-CN"/>
        </w:rPr>
        <w:t>程序正常进行。</w:t>
      </w:r>
    </w:p>
    <w:p>
      <w:pPr>
        <w:spacing w:before="240" w:beforeLines="100" w:after="120" w:afterLines="50" w:line="360" w:lineRule="auto"/>
        <w:rPr>
          <w:rFonts w:hint="eastAsia" w:ascii="黑体" w:hAnsi="宋体" w:eastAsia="黑体"/>
          <w:color w:val="auto"/>
          <w:sz w:val="36"/>
          <w:szCs w:val="36"/>
          <w:highlight w:val="none"/>
        </w:rPr>
      </w:pPr>
      <w:r>
        <w:rPr>
          <w:rFonts w:hint="eastAsia" w:ascii="宋体" w:hAnsi="宋体"/>
          <w:b/>
          <w:color w:val="auto"/>
          <w:sz w:val="36"/>
          <w:szCs w:val="36"/>
          <w:highlight w:val="none"/>
        </w:rPr>
        <w:t>8.</w:t>
      </w:r>
      <w:bookmarkEnd w:id="79"/>
      <w:bookmarkEnd w:id="80"/>
      <w:bookmarkEnd w:id="81"/>
      <w:bookmarkEnd w:id="82"/>
      <w:bookmarkEnd w:id="83"/>
      <w:bookmarkStart w:id="85" w:name="_Toc217446081"/>
      <w:r>
        <w:rPr>
          <w:rFonts w:hint="eastAsia" w:ascii="黑体" w:hAnsi="宋体" w:eastAsia="黑体"/>
          <w:color w:val="auto"/>
          <w:sz w:val="36"/>
          <w:szCs w:val="36"/>
          <w:highlight w:val="none"/>
        </w:rPr>
        <w:t>质疑与投诉</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8</w:t>
      </w:r>
      <w:r>
        <w:rPr>
          <w:rFonts w:hint="eastAsia" w:ascii="宋体" w:hAnsi="宋体"/>
          <w:b/>
          <w:color w:val="auto"/>
          <w:sz w:val="30"/>
          <w:szCs w:val="30"/>
          <w:highlight w:val="none"/>
        </w:rPr>
        <w:t>.1质疑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.1.1 如供应商对本次采购活动有疑问，认为需要提出质疑和投诉的，应当按照《政府采购质疑投诉办法》（财政部94号令）的有关规定办理。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.1.2 供应商对采购文件、采购过程或成交结果使自身的合法权益受到损害，应当在法定期限内，按照质疑函范本格式要求以书面形式向采购代理机构或采购人提出质疑，并附必要的证明材料</w:t>
      </w:r>
      <w:r>
        <w:rPr>
          <w:rFonts w:hint="eastAsia" w:ascii="宋体" w:hAnsi="宋体"/>
          <w:color w:val="auto"/>
          <w:szCs w:val="21"/>
          <w:highlight w:val="none"/>
          <w:lang w:eastAsia="zh-CN"/>
        </w:rPr>
        <w:t>，</w:t>
      </w:r>
      <w:r>
        <w:rPr>
          <w:rFonts w:hint="eastAsia" w:ascii="宋体" w:hAnsi="宋体"/>
          <w:color w:val="auto"/>
          <w:szCs w:val="21"/>
          <w:highlight w:val="none"/>
        </w:rPr>
        <w:t>也可以传真、电子邮件形式提出。</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.1.3 质疑函应当包括下列内容：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（1）供应商的姓名或者名称、地址、邮编、联系人及联系电话；</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（2）质疑项目的名称、编号；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（3）具体、明确的质疑事项和与质疑事项相关的请求；</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（4）事实依据；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（5）必要的法律依据；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（6）提出质疑的日期。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供应商为自然人的，应当由本人签名；供应商为法人或者其他组织的，应当由法定代表人、主要负责人，或者其委托代理人签名或者盖章，并加盖单位章。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.1.4质疑人可以委托代理人办理质疑事项，代理人办理质疑事项时，除提交质疑函外，还应当提交质疑人的授权委托书及代理人的有效身份证明，授权委托书应当载明委托代理的具体权限期限和相关事项。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.1.5 质疑函范本格式在中国政府采购网站（</w:t>
      </w:r>
      <w:r>
        <w:rPr>
          <w:rFonts w:ascii="宋体" w:hAnsi="宋体"/>
          <w:color w:val="auto"/>
          <w:szCs w:val="21"/>
          <w:highlight w:val="none"/>
        </w:rPr>
        <w:t>http://www.ccgp.gov.cn/</w:t>
      </w:r>
      <w:r>
        <w:rPr>
          <w:rFonts w:hint="eastAsia" w:ascii="宋体" w:hAnsi="宋体"/>
          <w:color w:val="auto"/>
          <w:szCs w:val="21"/>
          <w:highlight w:val="none"/>
        </w:rPr>
        <w:t>）自行下载。</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.1.6 接收质疑函的联系部门、联系电话和通讯地址谈判标公告。</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.1.7 有下列情形之一的，属于无效质疑：</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（1）对采购文件提出质疑的质疑人不是依法获取采购文件的潜在供应商；对采购过程、成交结果提出质疑的不是参与本次政府采购项目的供应商；</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（2）质疑人与质疑事项不存在利害关系的；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（3）未在法定期限内提出质疑的；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（4）质疑未按质疑函范本格式提出的；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）未提交营业执照或法人证书复印件，由授权代表签名的，未提交授权委托书；</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）质疑书没有合法有效的签名、盖章的；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）以非法手段取得证据、材料的；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）质疑答复后，同一质疑人就同一事项再次提出质疑的；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）不符合法律、法规、规章和政府采购监管机构规定的其他条件的。</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.1.8 采购代理机构或采购人将在收到书面质疑后7个工作日内做出答复，并以书面形式通知质疑人和其他有关供应商。</w:t>
      </w:r>
    </w:p>
    <w:p>
      <w:pPr>
        <w:spacing w:before="120" w:beforeLines="50" w:after="120" w:afterLines="50" w:line="360" w:lineRule="auto"/>
        <w:rPr>
          <w:rFonts w:hint="eastAsia"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.2 投诉</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.2.1 质疑人对采购代理机构或采购人的答复不满意，或者采购人、采购代理机构未在规定时间内作出答复的，可以在答复期满后15个工</w:t>
      </w:r>
      <w:r>
        <w:rPr>
          <w:rFonts w:hint="eastAsia" w:ascii="宋体" w:hAnsi="宋体"/>
          <w:color w:val="auto"/>
          <w:szCs w:val="21"/>
          <w:highlight w:val="none"/>
        </w:rPr>
        <w:t>作日内向</w:t>
      </w:r>
      <w:r>
        <w:rPr>
          <w:rFonts w:hint="eastAsia" w:ascii="宋体" w:hAnsi="宋体"/>
          <w:color w:val="auto"/>
          <w:szCs w:val="21"/>
          <w:highlight w:val="none"/>
          <w:u w:val="single"/>
          <w:lang w:val="en-US" w:eastAsia="zh-CN"/>
        </w:rPr>
        <w:t>陕西省财政厅</w:t>
      </w:r>
      <w:r>
        <w:rPr>
          <w:rFonts w:hint="eastAsia" w:ascii="宋体" w:hAnsi="宋体"/>
          <w:color w:val="auto"/>
          <w:szCs w:val="21"/>
          <w:highlight w:val="none"/>
        </w:rPr>
        <w:t>提起投诉，联系电话：</w:t>
      </w:r>
      <w:r>
        <w:rPr>
          <w:rFonts w:hint="eastAsia" w:ascii="宋体" w:hAnsi="宋体" w:cs="宋体"/>
          <w:color w:val="auto"/>
          <w:szCs w:val="21"/>
          <w:highlight w:val="none"/>
          <w:u w:val="single"/>
          <w:lang w:val="en-US" w:eastAsia="zh-CN"/>
        </w:rPr>
        <w:t>029-96702</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.2.2 供应商投诉时</w:t>
      </w:r>
      <w:r>
        <w:rPr>
          <w:rFonts w:hint="eastAsia" w:ascii="宋体" w:hAnsi="宋体"/>
          <w:b w:val="0"/>
          <w:bCs w:val="0"/>
          <w:color w:val="auto"/>
          <w:szCs w:val="21"/>
          <w:highlight w:val="none"/>
        </w:rPr>
        <w:t>,应当提交投诉</w:t>
      </w:r>
      <w:r>
        <w:rPr>
          <w:rFonts w:hint="eastAsia" w:ascii="宋体" w:hAnsi="宋体"/>
          <w:color w:val="auto"/>
          <w:szCs w:val="21"/>
          <w:highlight w:val="none"/>
        </w:rPr>
        <w:t>书和必要的证明材料，并按照被投诉采购人、采购代理机构（以下简称被投诉人）和与投诉事项有关的供应商数量提供投诉书的副本。投诉书应当包括下列内容：</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（1）投诉人和被投诉人的姓名或者名称、通讯地址、邮编、联系人及联系电话；</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（2）质疑和质疑答复情况说明及相关证明材料；</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（3）具体、明确的投诉事项和与投诉事项相关的投诉请求；</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（4）事实依据；</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（5）法律依据；</w:t>
      </w:r>
    </w:p>
    <w:p>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（6）提起投诉的日期。</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投诉人为自然人的，应当由本人签名；投诉人为法人或者其他组织的，应当由法定代表人、主要负责人，或者其委托代理人签名或者盖章，并加盖单位章。</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投诉</w:t>
      </w:r>
      <w:r>
        <w:rPr>
          <w:rFonts w:hint="eastAsia" w:ascii="宋体" w:hAnsi="宋体"/>
          <w:color w:val="auto"/>
          <w:szCs w:val="21"/>
          <w:highlight w:val="none"/>
        </w:rPr>
        <w:t>人除书面投诉外，也可通过“陕西省政府采购网站”进行线上投诉（http://www.ccgp-shaanxi.gov.cn/cms-sx/site/shanxi/tszq/index.html）。</w:t>
      </w:r>
    </w:p>
    <w:p>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.2.3 投诉书范本格式在中国政府采购网站（</w:t>
      </w:r>
      <w:r>
        <w:rPr>
          <w:rFonts w:ascii="宋体" w:hAnsi="宋体"/>
          <w:color w:val="auto"/>
          <w:szCs w:val="21"/>
          <w:highlight w:val="none"/>
        </w:rPr>
        <w:t>http://www.ccgp.gov.cn/</w:t>
      </w:r>
      <w:r>
        <w:rPr>
          <w:rFonts w:hint="eastAsia" w:ascii="宋体" w:hAnsi="宋体"/>
          <w:color w:val="auto"/>
          <w:szCs w:val="21"/>
          <w:highlight w:val="none"/>
        </w:rPr>
        <w:t>）自行下载。</w:t>
      </w:r>
    </w:p>
    <w:p>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.2.4 投诉人提起投诉应当符合下列条件：</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（1）提起投诉前已依法进行质疑；</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（2）投诉书内容符合财政部94号令的规定；</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（3）在投诉有效期限内提起投诉；</w:t>
      </w:r>
    </w:p>
    <w:p>
      <w:pPr>
        <w:widowControl/>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（4）同一投诉事项未经财政部门投诉处理；</w:t>
      </w:r>
    </w:p>
    <w:p>
      <w:pPr>
        <w:widowControl/>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（5）财政部规定的其他条件。</w:t>
      </w:r>
    </w:p>
    <w:p>
      <w:pPr>
        <w:spacing w:line="360" w:lineRule="auto"/>
        <w:jc w:val="left"/>
        <w:rPr>
          <w:rFonts w:hint="eastAsia"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.2.5  投诉人投诉的事项不得超出已质疑事项的范围，但基于质疑答复内容提出的投诉事项除外。</w:t>
      </w:r>
    </w:p>
    <w:p>
      <w:pPr>
        <w:spacing w:line="360" w:lineRule="auto"/>
        <w:jc w:val="left"/>
        <w:rPr>
          <w:rFonts w:hint="eastAsia" w:ascii="宋体" w:hAnsi="宋体"/>
          <w:b/>
          <w:color w:val="auto"/>
          <w:sz w:val="30"/>
          <w:szCs w:val="30"/>
          <w:highlight w:val="none"/>
        </w:rPr>
      </w:pPr>
    </w:p>
    <w:p>
      <w:pPr>
        <w:spacing w:line="360" w:lineRule="auto"/>
        <w:jc w:val="left"/>
        <w:rPr>
          <w:rFonts w:ascii="宋体" w:hAnsi="宋体"/>
          <w:b/>
          <w:color w:val="auto"/>
          <w:sz w:val="30"/>
          <w:szCs w:val="30"/>
          <w:highlight w:val="none"/>
        </w:rPr>
      </w:pPr>
      <w:r>
        <w:rPr>
          <w:rFonts w:hint="eastAsia" w:ascii="宋体" w:hAnsi="宋体"/>
          <w:b/>
          <w:color w:val="auto"/>
          <w:sz w:val="30"/>
          <w:szCs w:val="30"/>
          <w:highlight w:val="none"/>
          <w:lang w:eastAsia="zh-CN"/>
        </w:rPr>
        <w:t>8</w:t>
      </w:r>
      <w:r>
        <w:rPr>
          <w:rFonts w:hint="eastAsia" w:ascii="宋体" w:hAnsi="宋体"/>
          <w:b/>
          <w:color w:val="auto"/>
          <w:sz w:val="30"/>
          <w:szCs w:val="30"/>
          <w:highlight w:val="none"/>
        </w:rPr>
        <w:t>.3恶意质疑、投诉的法律后果</w:t>
      </w:r>
    </w:p>
    <w:p>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.3.1对捏造事实、提供虚假材料进行质疑、投诉的行为将予以严肃处理：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lang w:eastAsia="zh-CN"/>
        </w:rPr>
        <w:t>8</w:t>
      </w:r>
      <w:r>
        <w:rPr>
          <w:rFonts w:hint="eastAsia" w:ascii="宋体" w:hAnsi="宋体"/>
          <w:b/>
          <w:color w:val="auto"/>
          <w:szCs w:val="21"/>
          <w:highlight w:val="none"/>
        </w:rPr>
        <w:t>.3.2对捏造事实诬告陷害他人、诽谤他人的法律适用：</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（2）《中华人民共和国刑法》第246条【侮辱罪、诽谤罪】以暴力或者其他方法公然侮辱他人或者捏造事实诽谤他人，情节严重的，处三年以下有期徒刑、拘役、管制或者剥夺政治权利。</w:t>
      </w:r>
    </w:p>
    <w:p>
      <w:pPr>
        <w:spacing w:before="120" w:beforeLines="50" w:after="120" w:afterLines="50" w:line="360" w:lineRule="auto"/>
        <w:rPr>
          <w:rFonts w:ascii="宋体" w:hAnsi="宋体"/>
          <w:b/>
          <w:color w:val="auto"/>
          <w:sz w:val="36"/>
          <w:szCs w:val="36"/>
          <w:highlight w:val="none"/>
        </w:rPr>
      </w:pPr>
      <w:r>
        <w:rPr>
          <w:rFonts w:hint="eastAsia" w:ascii="宋体" w:hAnsi="宋体"/>
          <w:b/>
          <w:color w:val="auto"/>
          <w:sz w:val="36"/>
          <w:szCs w:val="36"/>
          <w:highlight w:val="none"/>
        </w:rPr>
        <w:t>9.采购代理服务费</w:t>
      </w:r>
    </w:p>
    <w:p>
      <w:pPr>
        <w:spacing w:line="360" w:lineRule="auto"/>
        <w:ind w:firstLine="573"/>
        <w:rPr>
          <w:rFonts w:ascii="宋体" w:hAnsi="宋体"/>
          <w:color w:val="auto"/>
          <w:szCs w:val="21"/>
          <w:highlight w:val="none"/>
        </w:rPr>
      </w:pPr>
      <w:r>
        <w:rPr>
          <w:rFonts w:hint="eastAsia" w:ascii="宋体" w:hAnsi="宋体"/>
          <w:color w:val="auto"/>
          <w:szCs w:val="21"/>
          <w:highlight w:val="none"/>
        </w:rPr>
        <w:t>9.1 成交供应商在领取《成交通知书》之前，应向采购代理机构缴纳采购代理服务费。</w:t>
      </w:r>
    </w:p>
    <w:p>
      <w:pPr>
        <w:spacing w:line="360" w:lineRule="auto"/>
        <w:ind w:firstLine="573"/>
        <w:rPr>
          <w:rFonts w:hint="eastAsia" w:ascii="宋体" w:hAnsi="宋体" w:eastAsia="宋体"/>
          <w:color w:val="auto"/>
          <w:szCs w:val="21"/>
          <w:highlight w:val="none"/>
          <w:lang w:eastAsia="zh-CN"/>
        </w:rPr>
      </w:pPr>
      <w:r>
        <w:rPr>
          <w:rFonts w:hint="eastAsia" w:ascii="宋体" w:hAnsi="宋体"/>
          <w:color w:val="auto"/>
          <w:szCs w:val="21"/>
          <w:highlight w:val="none"/>
        </w:rPr>
        <w:t>9.2 采购代理服务费依据按照“国家计委关于印发《招标代理服务收费管理暂行办法的通知》 (计价格[ 2002]1980号)”“《国家发展改革委办公厅关于招标代理服务收费有关问题的通知》 (发改价格[2003]857号)”“国家发展改革委《关于降低部分建设项目收费标准规范收费行为等有关问题的通知》 (发改价格[2011]534 号)”的规定方式下浮</w:t>
      </w:r>
      <w:r>
        <w:rPr>
          <w:rFonts w:hint="eastAsia" w:ascii="宋体" w:hAnsi="宋体"/>
          <w:color w:val="auto"/>
          <w:szCs w:val="21"/>
          <w:highlight w:val="none"/>
          <w:u w:val="single"/>
          <w:lang w:val="en-US" w:eastAsia="zh-CN"/>
        </w:rPr>
        <w:t xml:space="preserve"> 10  </w:t>
      </w:r>
      <w:r>
        <w:rPr>
          <w:rFonts w:hint="eastAsia" w:ascii="宋体" w:hAnsi="宋体"/>
          <w:color w:val="auto"/>
          <w:szCs w:val="21"/>
          <w:highlight w:val="none"/>
        </w:rPr>
        <w:t>%。具体收费金额将在中标公告中公布</w:t>
      </w:r>
      <w:r>
        <w:rPr>
          <w:rFonts w:hint="eastAsia" w:ascii="宋体" w:hAnsi="宋体"/>
          <w:color w:val="auto"/>
          <w:szCs w:val="21"/>
          <w:highlight w:val="none"/>
          <w:lang w:eastAsia="zh-CN"/>
        </w:rPr>
        <w:t>。</w:t>
      </w:r>
    </w:p>
    <w:p>
      <w:pPr>
        <w:spacing w:line="360" w:lineRule="auto"/>
        <w:ind w:firstLine="573"/>
        <w:rPr>
          <w:rFonts w:ascii="宋体" w:hAnsi="宋体"/>
          <w:color w:val="auto"/>
          <w:szCs w:val="21"/>
          <w:highlight w:val="none"/>
        </w:rPr>
      </w:pPr>
      <w:r>
        <w:rPr>
          <w:rFonts w:hint="eastAsia" w:ascii="宋体" w:hAnsi="宋体"/>
          <w:color w:val="auto"/>
          <w:szCs w:val="21"/>
          <w:highlight w:val="none"/>
        </w:rPr>
        <w:t>9.3 采购代理服务费，可以采取现金、支票、银行汇票、电汇、网银等方式缴纳。不得保证金冲抵。</w:t>
      </w:r>
    </w:p>
    <w:p>
      <w:pPr>
        <w:spacing w:line="360" w:lineRule="auto"/>
        <w:ind w:firstLine="573"/>
        <w:rPr>
          <w:rFonts w:ascii="宋体" w:hAnsi="宋体"/>
          <w:color w:val="auto"/>
          <w:szCs w:val="21"/>
          <w:highlight w:val="none"/>
        </w:rPr>
      </w:pPr>
      <w:r>
        <w:rPr>
          <w:rFonts w:hint="eastAsia" w:ascii="宋体" w:hAnsi="宋体"/>
          <w:color w:val="auto"/>
          <w:szCs w:val="21"/>
          <w:highlight w:val="none"/>
        </w:rPr>
        <w:t>9.4 成交供应商未按本章第9.1条款规定缴纳采购代理服务费的，其保证金将被采购代理机构全额没收。</w:t>
      </w:r>
    </w:p>
    <w:p>
      <w:pPr>
        <w:spacing w:before="120" w:beforeLines="50"/>
        <w:rPr>
          <w:rFonts w:ascii="宋体" w:hAnsi="宋体"/>
          <w:b/>
          <w:color w:val="auto"/>
          <w:sz w:val="36"/>
          <w:szCs w:val="36"/>
          <w:highlight w:val="none"/>
        </w:rPr>
      </w:pPr>
      <w:r>
        <w:rPr>
          <w:rFonts w:hint="eastAsia" w:ascii="宋体" w:hAnsi="宋体"/>
          <w:b/>
          <w:color w:val="auto"/>
          <w:sz w:val="36"/>
          <w:szCs w:val="36"/>
          <w:highlight w:val="none"/>
        </w:rPr>
        <w:t>10.其他</w:t>
      </w:r>
    </w:p>
    <w:p>
      <w:pPr>
        <w:spacing w:before="240" w:beforeLines="100" w:after="120" w:afterLines="50"/>
        <w:rPr>
          <w:rFonts w:asciiTheme="minorEastAsia" w:hAnsiTheme="minorEastAsia" w:eastAsiaTheme="minorEastAsia"/>
          <w:b/>
          <w:color w:val="auto"/>
          <w:sz w:val="30"/>
          <w:szCs w:val="30"/>
          <w:highlight w:val="none"/>
        </w:rPr>
      </w:pPr>
      <w:r>
        <w:rPr>
          <w:rFonts w:hint="eastAsia"/>
          <w:color w:val="auto"/>
          <w:sz w:val="24"/>
          <w:highlight w:val="none"/>
        </w:rPr>
        <w:t xml:space="preserve">  </w:t>
      </w:r>
      <w:r>
        <w:rPr>
          <w:rFonts w:hint="eastAsia" w:asciiTheme="minorEastAsia" w:hAnsiTheme="minorEastAsia" w:eastAsiaTheme="minorEastAsia"/>
          <w:b/>
          <w:color w:val="auto"/>
          <w:sz w:val="30"/>
          <w:szCs w:val="30"/>
          <w:highlight w:val="none"/>
        </w:rPr>
        <w:t>10.1采购文件解释权</w:t>
      </w:r>
    </w:p>
    <w:p>
      <w:pPr>
        <w:pStyle w:val="5"/>
        <w:spacing w:line="360" w:lineRule="auto"/>
        <w:ind w:firstLine="480" w:firstLineChars="200"/>
        <w:rPr>
          <w:rFonts w:ascii="宋体" w:hAnsi="宋体"/>
          <w:color w:val="auto"/>
          <w:szCs w:val="21"/>
          <w:highlight w:val="none"/>
        </w:rPr>
      </w:pPr>
      <w:r>
        <w:rPr>
          <w:rFonts w:hint="eastAsia"/>
          <w:color w:val="auto"/>
          <w:sz w:val="24"/>
          <w:highlight w:val="none"/>
        </w:rPr>
        <w:t xml:space="preserve"> </w:t>
      </w:r>
      <w:r>
        <w:rPr>
          <w:rFonts w:hint="eastAsia"/>
          <w:color w:val="auto"/>
          <w:szCs w:val="21"/>
          <w:highlight w:val="none"/>
        </w:rPr>
        <w:t>采购文件解释权归采购代理机构，</w:t>
      </w:r>
      <w:r>
        <w:rPr>
          <w:rFonts w:hint="eastAsia" w:ascii="宋体" w:hAnsi="宋体"/>
          <w:color w:val="auto"/>
          <w:szCs w:val="21"/>
          <w:highlight w:val="none"/>
        </w:rPr>
        <w:t>如发现采购文件内容与现行法律法规不相符的情况，以现行法律法规为准。</w:t>
      </w:r>
    </w:p>
    <w:p>
      <w:pPr>
        <w:pStyle w:val="5"/>
        <w:spacing w:before="120" w:beforeLines="50" w:after="120" w:afterLines="50" w:line="360" w:lineRule="auto"/>
        <w:ind w:firstLine="301" w:firstLineChars="100"/>
        <w:rPr>
          <w:rFonts w:ascii="宋体" w:hAnsi="宋体"/>
          <w:b/>
          <w:color w:val="auto"/>
          <w:szCs w:val="21"/>
          <w:highlight w:val="none"/>
        </w:rPr>
      </w:pPr>
      <w:r>
        <w:rPr>
          <w:rFonts w:hint="eastAsia" w:asciiTheme="majorEastAsia" w:hAnsiTheme="majorEastAsia" w:eastAsiaTheme="majorEastAsia"/>
          <w:b/>
          <w:color w:val="auto"/>
          <w:sz w:val="30"/>
          <w:szCs w:val="30"/>
          <w:highlight w:val="none"/>
        </w:rPr>
        <w:t>10.2谈判现场录像</w:t>
      </w:r>
    </w:p>
    <w:p>
      <w:pPr>
        <w:spacing w:line="360" w:lineRule="auto"/>
        <w:ind w:firstLine="573"/>
        <w:rPr>
          <w:color w:val="auto"/>
          <w:szCs w:val="21"/>
          <w:highlight w:val="none"/>
        </w:rPr>
      </w:pPr>
      <w:r>
        <w:rPr>
          <w:rFonts w:hint="eastAsia"/>
          <w:color w:val="auto"/>
          <w:szCs w:val="21"/>
          <w:highlight w:val="none"/>
        </w:rPr>
        <w:t>根据政府采购法等相关规定，本采购项目将对谈判现场进行全程录音录像，其影像资料与采购活动资料一起存档。</w:t>
      </w:r>
    </w:p>
    <w:p>
      <w:pPr>
        <w:spacing w:line="360" w:lineRule="auto"/>
        <w:ind w:firstLine="573"/>
        <w:rPr>
          <w:color w:val="auto"/>
          <w:szCs w:val="21"/>
          <w:highlight w:val="none"/>
        </w:rPr>
      </w:pPr>
      <w:bookmarkStart w:id="86" w:name="_Toc217446093"/>
    </w:p>
    <w:p>
      <w:pPr>
        <w:rPr>
          <w:rFonts w:hint="eastAsia" w:ascii="方正小标宋简体" w:hAnsi="宋体" w:eastAsia="方正小标宋简体"/>
          <w:b w:val="0"/>
          <w:color w:val="auto"/>
          <w:sz w:val="44"/>
          <w:szCs w:val="44"/>
          <w:highlight w:val="none"/>
        </w:rPr>
      </w:pPr>
      <w:r>
        <w:rPr>
          <w:rFonts w:hint="eastAsia" w:ascii="方正小标宋简体" w:hAnsi="宋体" w:eastAsia="方正小标宋简体"/>
          <w:b w:val="0"/>
          <w:color w:val="auto"/>
          <w:sz w:val="44"/>
          <w:szCs w:val="44"/>
          <w:highlight w:val="none"/>
        </w:rPr>
        <w:br w:type="page"/>
      </w:r>
    </w:p>
    <w:p>
      <w:pPr>
        <w:pStyle w:val="4"/>
        <w:spacing w:before="120" w:beforeLines="50" w:after="100" w:afterAutospacing="1"/>
        <w:jc w:val="center"/>
        <w:rPr>
          <w:rFonts w:ascii="方正小标宋简体" w:hAnsi="宋体" w:eastAsia="方正小标宋简体"/>
          <w:b w:val="0"/>
          <w:color w:val="auto"/>
          <w:sz w:val="44"/>
          <w:szCs w:val="44"/>
          <w:highlight w:val="none"/>
        </w:rPr>
      </w:pPr>
      <w:r>
        <w:rPr>
          <w:rFonts w:hint="eastAsia" w:ascii="方正小标宋简体" w:hAnsi="宋体" w:eastAsia="方正小标宋简体"/>
          <w:b w:val="0"/>
          <w:color w:val="auto"/>
          <w:sz w:val="44"/>
          <w:szCs w:val="44"/>
          <w:highlight w:val="none"/>
        </w:rPr>
        <w:t>第三章 采购内容及要求</w:t>
      </w:r>
      <w:bookmarkEnd w:id="86"/>
    </w:p>
    <w:p>
      <w:pPr>
        <w:pStyle w:val="4"/>
        <w:spacing w:before="240" w:beforeLines="100" w:after="0" w:line="360" w:lineRule="auto"/>
        <w:rPr>
          <w:rFonts w:hint="eastAsia" w:ascii="宋体" w:hAnsi="宋体" w:eastAsia="宋体"/>
          <w:color w:val="auto"/>
          <w:sz w:val="36"/>
          <w:szCs w:val="36"/>
          <w:highlight w:val="none"/>
        </w:rPr>
      </w:pPr>
      <w:bookmarkStart w:id="87" w:name="_Toc217446094"/>
      <w:r>
        <w:rPr>
          <w:rFonts w:hint="eastAsia" w:ascii="宋体" w:hAnsi="宋体" w:eastAsia="宋体"/>
          <w:color w:val="auto"/>
          <w:sz w:val="36"/>
          <w:szCs w:val="36"/>
          <w:highlight w:val="none"/>
        </w:rPr>
        <w:t>1.项目概况及总体要求</w:t>
      </w:r>
    </w:p>
    <w:p>
      <w:pPr>
        <w:pStyle w:val="5"/>
        <w:spacing w:line="360" w:lineRule="auto"/>
        <w:rPr>
          <w:rFonts w:hint="eastAsia"/>
          <w:color w:val="auto"/>
          <w:highlight w:val="none"/>
          <w:lang w:eastAsia="zh-CN"/>
        </w:rPr>
      </w:pPr>
      <w:r>
        <w:rPr>
          <w:rFonts w:hint="eastAsia"/>
          <w:color w:val="auto"/>
          <w:highlight w:val="none"/>
          <w:lang w:eastAsia="zh-CN"/>
        </w:rPr>
        <w:t>项目名称：咸阳师范学院</w:t>
      </w:r>
      <w:r>
        <w:rPr>
          <w:rFonts w:hint="eastAsia"/>
          <w:color w:val="auto"/>
          <w:highlight w:val="none"/>
          <w:lang w:val="en-US" w:eastAsia="zh-CN"/>
        </w:rPr>
        <w:t>2023年电子资源征订项目（电子资源数据库建设）</w:t>
      </w:r>
      <w:r>
        <w:rPr>
          <w:rFonts w:hint="eastAsia"/>
          <w:color w:val="auto"/>
          <w:highlight w:val="none"/>
          <w:lang w:eastAsia="zh-CN"/>
        </w:rPr>
        <w:t>。</w:t>
      </w:r>
    </w:p>
    <w:p>
      <w:pPr>
        <w:pStyle w:val="5"/>
        <w:spacing w:line="360" w:lineRule="auto"/>
        <w:rPr>
          <w:rFonts w:hint="eastAsia"/>
          <w:color w:val="auto"/>
          <w:highlight w:val="none"/>
          <w:lang w:eastAsia="zh-CN"/>
        </w:rPr>
      </w:pPr>
      <w:r>
        <w:rPr>
          <w:rFonts w:hint="eastAsia"/>
          <w:color w:val="auto"/>
          <w:highlight w:val="none"/>
          <w:lang w:eastAsia="zh-CN"/>
        </w:rPr>
        <w:t>用途：</w:t>
      </w:r>
      <w:r>
        <w:rPr>
          <w:rFonts w:hint="eastAsia"/>
          <w:color w:val="auto"/>
          <w:highlight w:val="none"/>
          <w:lang w:val="en-US" w:eastAsia="zh-CN"/>
        </w:rPr>
        <w:t>学校自用</w:t>
      </w:r>
      <w:r>
        <w:rPr>
          <w:rFonts w:hint="eastAsia"/>
          <w:color w:val="auto"/>
          <w:highlight w:val="none"/>
          <w:lang w:eastAsia="zh-CN"/>
        </w:rPr>
        <w:t>。</w:t>
      </w:r>
    </w:p>
    <w:p>
      <w:pPr>
        <w:pStyle w:val="4"/>
        <w:numPr>
          <w:ilvl w:val="0"/>
          <w:numId w:val="2"/>
        </w:numPr>
        <w:spacing w:before="120" w:beforeLines="50" w:after="120" w:afterLines="50" w:line="360" w:lineRule="auto"/>
        <w:rPr>
          <w:rFonts w:hint="eastAsia"/>
          <w:b w:val="0"/>
          <w:bCs w:val="0"/>
          <w:color w:val="auto"/>
          <w:highlight w:val="none"/>
        </w:rPr>
      </w:pPr>
      <w:r>
        <w:rPr>
          <w:rFonts w:hint="eastAsia" w:ascii="宋体" w:hAnsi="宋体" w:eastAsia="宋体"/>
          <w:color w:val="auto"/>
          <w:sz w:val="36"/>
          <w:szCs w:val="36"/>
          <w:highlight w:val="none"/>
        </w:rPr>
        <w:t>需求一览表</w:t>
      </w:r>
    </w:p>
    <w:p>
      <w:pPr>
        <w:pStyle w:val="4"/>
        <w:numPr>
          <w:ilvl w:val="0"/>
          <w:numId w:val="0"/>
        </w:numPr>
        <w:spacing w:before="120" w:beforeLines="50" w:after="120" w:afterLines="50" w:line="360" w:lineRule="auto"/>
        <w:ind w:firstLine="420" w:firstLineChars="200"/>
        <w:rPr>
          <w:rFonts w:hint="eastAsia" w:ascii="宋体" w:hAnsi="宋体" w:eastAsia="宋体"/>
          <w:b w:val="0"/>
          <w:bCs w:val="0"/>
          <w:color w:val="auto"/>
          <w:kern w:val="2"/>
          <w:sz w:val="21"/>
          <w:szCs w:val="21"/>
          <w:highlight w:val="none"/>
          <w:lang w:val="en-US" w:eastAsia="zh-CN" w:bidi="ar-SA"/>
        </w:rPr>
      </w:pPr>
      <w:r>
        <w:rPr>
          <w:rFonts w:hint="eastAsia" w:ascii="宋体" w:hAnsi="宋体" w:eastAsia="宋体"/>
          <w:b w:val="0"/>
          <w:bCs w:val="0"/>
          <w:color w:val="auto"/>
          <w:kern w:val="2"/>
          <w:sz w:val="21"/>
          <w:szCs w:val="21"/>
          <w:highlight w:val="none"/>
          <w:lang w:val="en-US" w:eastAsia="zh-CN" w:bidi="ar-SA"/>
        </w:rPr>
        <w:t>2.1采购需求一览表</w:t>
      </w:r>
    </w:p>
    <w:p>
      <w:pPr>
        <w:numPr>
          <w:ilvl w:val="0"/>
          <w:numId w:val="3"/>
        </w:numPr>
        <w:spacing w:line="500" w:lineRule="exact"/>
        <w:ind w:firstLine="480" w:firstLineChars="200"/>
        <w:rPr>
          <w:rFonts w:hint="eastAsia" w:ascii="华文仿宋" w:hAnsi="华文仿宋" w:eastAsia="华文仿宋" w:cs="华文仿宋"/>
          <w:b/>
          <w:bCs/>
          <w:color w:val="auto"/>
          <w:sz w:val="24"/>
          <w:szCs w:val="24"/>
          <w:highlight w:val="none"/>
          <w:lang w:val="en-US" w:eastAsia="zh-CN"/>
        </w:rPr>
      </w:pPr>
      <w:r>
        <w:rPr>
          <w:rFonts w:hint="eastAsia" w:ascii="华文仿宋" w:hAnsi="华文仿宋" w:eastAsia="华文仿宋" w:cs="华文仿宋"/>
          <w:b/>
          <w:bCs/>
          <w:color w:val="auto"/>
          <w:sz w:val="24"/>
          <w:szCs w:val="24"/>
          <w:highlight w:val="none"/>
          <w:lang w:val="en-US" w:eastAsia="zh-CN"/>
        </w:rPr>
        <w:t>中国知网系列数据库</w:t>
      </w:r>
    </w:p>
    <w:p>
      <w:pPr>
        <w:numPr>
          <w:ilvl w:val="0"/>
          <w:numId w:val="0"/>
        </w:numPr>
        <w:spacing w:line="500" w:lineRule="exact"/>
        <w:ind w:firstLine="480" w:firstLineChars="200"/>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（1）中国学术期刊（网络版）</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订购专辑：A,B,F,G,H,I,J</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使用模式：托管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国际刊号：ISSN 2096-4188</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收录范围</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我国公开出版发行的学术期刊（含英文版）全文文献，包括基础与应用基础研究、技术研究、工程研究、工程与项目管理、技术开发、实用工程技术、行业技术发展与评论、高级科普、学科教育教学类期刊。</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文献总量</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截至2023年2月底，全专辑累计收录8400余种期刊，中文全文文献总量达6040万余篇。其中，收录核心期刊1970余种。</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收录年限</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1915年至今</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期刊文献收录完整率</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核心期刊、重要评价性数据库来源期刊完整率高于98%；其它学术期刊完整率高于93%。</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出版时效</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网络数据实时更新。平均不迟于纸质期刊出版之后45天。网络首发数字出版模式</w:t>
      </w:r>
      <w:r>
        <w:rPr>
          <w:rFonts w:hint="eastAsia" w:ascii="华文仿宋" w:hAnsi="华文仿宋" w:eastAsia="华文仿宋" w:cs="华文仿宋"/>
          <w:color w:val="auto"/>
          <w:sz w:val="24"/>
          <w:szCs w:val="24"/>
          <w:highlight w:val="none"/>
          <w:lang w:eastAsia="zh-CN"/>
        </w:rPr>
        <w:t>的文献</w:t>
      </w:r>
      <w:r>
        <w:rPr>
          <w:rFonts w:hint="eastAsia" w:ascii="华文仿宋" w:hAnsi="华文仿宋" w:eastAsia="华文仿宋" w:cs="华文仿宋"/>
          <w:color w:val="auto"/>
          <w:sz w:val="24"/>
          <w:szCs w:val="24"/>
          <w:highlight w:val="none"/>
        </w:rPr>
        <w:t>平均提前75天</w:t>
      </w:r>
      <w:r>
        <w:rPr>
          <w:rFonts w:hint="eastAsia" w:ascii="华文仿宋" w:hAnsi="华文仿宋" w:eastAsia="华文仿宋" w:cs="华文仿宋"/>
          <w:color w:val="auto"/>
          <w:sz w:val="24"/>
          <w:szCs w:val="24"/>
          <w:highlight w:val="none"/>
          <w:lang w:eastAsia="zh-CN"/>
        </w:rPr>
        <w:t>可见</w:t>
      </w:r>
      <w:r>
        <w:rPr>
          <w:rFonts w:hint="eastAsia" w:ascii="华文仿宋" w:hAnsi="华文仿宋" w:eastAsia="华文仿宋" w:cs="华文仿宋"/>
          <w:color w:val="auto"/>
          <w:sz w:val="24"/>
          <w:szCs w:val="24"/>
          <w:highlight w:val="none"/>
        </w:rPr>
        <w:t>。</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更新频率：中心网站版实时发布。</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导航体系</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学科导航、卓越期刊导航、数据库刊源导航、主办单位导航、出版周期导航、出版地导航、核心期刊导航、社科基金资助期刊导航。</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检索字段</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主题、篇关摘、篇名、关键词、摘要、小标题、全文、参考文献、中图分类号、DOI、栏目信息、基金、作者、第一作者、通讯作者、作者单位、第一单位、期刊名称、年、期、ISSN、CN、来源类别。</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检索结果处理</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支持通过分组排序检索结果进行进一步筛选，可按照科技、社科、主题（主要主题、次要主题）、发表年度、研究层次、期刊、来源类别、学科、基金、作者、机构等条件进行分组聚类，并且对于检索结果还能够按照相关度、发表时间、被引频次、下载频次进行排序。提供批量下载、按多种格式导出文献、可视化分析、在线阅读功能方便读者使用文献。</w:t>
      </w:r>
    </w:p>
    <w:p>
      <w:pPr>
        <w:spacing w:line="500" w:lineRule="exact"/>
        <w:ind w:firstLine="480" w:firstLineChars="200"/>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（2）中国博士学位论文全文数据库</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 xml:space="preserve">全国统一刊号：CN11-9133/G  </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国际标准刊号：ISSN1674-022X</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订购专辑：A,B,F,G,H,I,J</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使用模式：托管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收录范围</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具有博士学位授予权的研究生培养单位的博士学位论文（涉及国家保密的论文除外）。</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文献总量</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截止到2023年，全专辑收录博士学位论文52.3余万篇。</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收录年限</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从1984年至今的博士学位论文。</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文献来源完整率</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收录来自520余家博士培养单位（涉及国家保密的单位除外）的博士学位论文。“双一流”建设高校覆盖率达到100%。国家重点学科覆盖率达98%，收全率达95%。特色学科覆盖率达100%，收全率95%。</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文献收录完整率</w:t>
      </w:r>
      <w:r>
        <w:rPr>
          <w:rFonts w:hint="eastAsia" w:ascii="华文仿宋" w:hAnsi="华文仿宋" w:eastAsia="华文仿宋" w:cs="华文仿宋"/>
          <w:color w:val="auto"/>
          <w:sz w:val="24"/>
          <w:szCs w:val="24"/>
          <w:highlight w:val="none"/>
          <w:lang w:eastAsia="zh-CN"/>
        </w:rPr>
        <w:t>：收录</w:t>
      </w:r>
      <w:r>
        <w:rPr>
          <w:rFonts w:hint="eastAsia" w:ascii="华文仿宋" w:hAnsi="华文仿宋" w:eastAsia="华文仿宋" w:cs="华文仿宋"/>
          <w:color w:val="auto"/>
          <w:sz w:val="24"/>
          <w:szCs w:val="24"/>
          <w:highlight w:val="none"/>
        </w:rPr>
        <w:t>2015</w:t>
      </w:r>
      <w:r>
        <w:rPr>
          <w:rFonts w:hint="eastAsia" w:ascii="华文仿宋" w:hAnsi="华文仿宋" w:eastAsia="华文仿宋" w:cs="华文仿宋"/>
          <w:color w:val="auto"/>
          <w:sz w:val="24"/>
          <w:szCs w:val="24"/>
          <w:highlight w:val="none"/>
          <w:lang w:eastAsia="zh-CN"/>
        </w:rPr>
        <w:t>至</w:t>
      </w:r>
      <w:r>
        <w:rPr>
          <w:rFonts w:hint="eastAsia" w:ascii="华文仿宋" w:hAnsi="华文仿宋" w:eastAsia="华文仿宋" w:cs="华文仿宋"/>
          <w:color w:val="auto"/>
          <w:sz w:val="24"/>
          <w:szCs w:val="24"/>
          <w:highlight w:val="none"/>
        </w:rPr>
        <w:t>2022年博士学位论文数量占全国当年毕业且可公开出版的博士学位论文总量的90％以上。</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出版时效</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论文按篇出版，平均不晚于授予学位之后2个月。</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更新频率</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实时更新：云租用、云托管、云机构馆托管。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导航体系</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学位授予单位导航(包括地域导航和学科专业导航)、文献分类导航。</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检索字段</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主题、篇关摘、关键词、题名、全文、作者、作者单位、导师、第一导师、学位授予单位、基金、摘要、目录、参考文献、中图分类号、学科专业名称、DOI。</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下载方式</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CAJ整本下载、分页下载、分章下载、在线阅读。</w:t>
      </w:r>
    </w:p>
    <w:p>
      <w:pPr>
        <w:spacing w:line="500" w:lineRule="exact"/>
        <w:ind w:firstLine="480" w:firstLineChars="200"/>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（3）中国优秀硕士学位论文全文数据库</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 xml:space="preserve">全国统一刊号：CN11-9144/G  </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国际标准刊号：ISSN1674-0246</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订购专辑：A,B,F,G,H,I,J</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使用模式：托管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收录范围</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具有硕士学位授予权的研究生培养单位的硕士学位论文。以优先保证文献质量为基本原则。</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文献总量</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截止到2023年，收录硕士学位论文535.8余万篇。</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文献来源完整率</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收录来自790余家硕士培养单位（涉及国家保密的单位除外）的硕士学位论文。“双一流”建设高校覆盖率达到100%。国家重点学科覆盖率达98%，收全率达95%。特色学科覆盖率达100%，收全率95%。</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文献收录完整率</w:t>
      </w:r>
      <w:r>
        <w:rPr>
          <w:rFonts w:hint="eastAsia" w:ascii="华文仿宋" w:hAnsi="华文仿宋" w:eastAsia="华文仿宋" w:cs="华文仿宋"/>
          <w:color w:val="auto"/>
          <w:sz w:val="24"/>
          <w:szCs w:val="24"/>
          <w:highlight w:val="none"/>
          <w:lang w:eastAsia="zh-CN"/>
        </w:rPr>
        <w:t>：收录</w:t>
      </w:r>
      <w:r>
        <w:rPr>
          <w:rFonts w:hint="eastAsia" w:ascii="华文仿宋" w:hAnsi="华文仿宋" w:eastAsia="华文仿宋" w:cs="华文仿宋"/>
          <w:color w:val="auto"/>
          <w:sz w:val="24"/>
          <w:szCs w:val="24"/>
          <w:highlight w:val="none"/>
        </w:rPr>
        <w:t>2015年</w:t>
      </w:r>
      <w:r>
        <w:rPr>
          <w:rFonts w:hint="eastAsia" w:ascii="华文仿宋" w:hAnsi="华文仿宋" w:eastAsia="华文仿宋" w:cs="华文仿宋"/>
          <w:color w:val="auto"/>
          <w:sz w:val="24"/>
          <w:szCs w:val="24"/>
          <w:highlight w:val="none"/>
          <w:lang w:eastAsia="zh-CN"/>
        </w:rPr>
        <w:t>至</w:t>
      </w:r>
      <w:r>
        <w:rPr>
          <w:rFonts w:hint="eastAsia" w:ascii="华文仿宋" w:hAnsi="华文仿宋" w:eastAsia="华文仿宋" w:cs="华文仿宋"/>
          <w:color w:val="auto"/>
          <w:sz w:val="24"/>
          <w:szCs w:val="24"/>
          <w:highlight w:val="none"/>
        </w:rPr>
        <w:t>2022年硕士学位论文数量占全国当年毕业且可公开出版的硕士学位论文总量的90％以上。</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收录年限</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从1984年至今的硕士学位论文。</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出版时效</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论文按篇出版，平均不晚于授予学位之后2个月。</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更新频率</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实时更新：云租用、云托管、云机构馆托管。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导航体系</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学位授予单位导航(包括地域导航和学科专业导航)、文献分类导航。</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检索字段</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主题、篇关摘、关键词、题名、全文、作者、作者单位、导师、第一导师、学位授予单位、基金、摘要、目录、参考文献、中图分类号、学科专业名称、DOI。</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下载方式</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CAJ整本下载、分页下载、分章下载、在线阅读。</w:t>
      </w:r>
    </w:p>
    <w:p>
      <w:pPr>
        <w:spacing w:line="500" w:lineRule="exact"/>
        <w:ind w:firstLine="480" w:firstLineChars="200"/>
        <w:rPr>
          <w:rFonts w:hint="eastAsia" w:ascii="华文仿宋" w:hAnsi="华文仿宋" w:eastAsia="华文仿宋" w:cs="华文仿宋"/>
          <w:b/>
          <w:bCs/>
          <w:color w:val="auto"/>
          <w:sz w:val="24"/>
          <w:szCs w:val="24"/>
          <w:highlight w:val="none"/>
        </w:rPr>
      </w:pPr>
      <w:r>
        <w:rPr>
          <w:rFonts w:hint="eastAsia" w:ascii="华文仿宋" w:hAnsi="华文仿宋" w:eastAsia="华文仿宋" w:cs="华文仿宋"/>
          <w:b/>
          <w:bCs/>
          <w:color w:val="auto"/>
          <w:sz w:val="24"/>
          <w:szCs w:val="24"/>
          <w:highlight w:val="none"/>
        </w:rPr>
        <w:t>（4）中国年鉴网络出版总库</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 xml:space="preserve">全国统一刊号CN 11-9126/Z  </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国际标准刊号 ISSN 1673-8063</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订购专辑：A</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使用模式：托管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文献总量</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截至2023年2月，全专辑收录各类年鉴5406种，共计44983册。文献条目数约4112万条。</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收录年限</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lang w:val="en-US" w:eastAsia="zh-CN"/>
        </w:rPr>
        <w:t>1</w:t>
      </w:r>
      <w:r>
        <w:rPr>
          <w:rFonts w:hint="eastAsia" w:ascii="华文仿宋" w:hAnsi="华文仿宋" w:eastAsia="华文仿宋" w:cs="华文仿宋"/>
          <w:color w:val="auto"/>
          <w:sz w:val="24"/>
          <w:szCs w:val="24"/>
          <w:highlight w:val="none"/>
        </w:rPr>
        <w:t>949年至今。</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收录完整率</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截至2023年2月，收录各种年鉴及相关资料5406种，44983册，4112万余条。多种年鉴册数完整率约99%。</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出版周期</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中心网站版实时更新，镜像站点按月更新。纸质年鉴现刊出版后，最快40天即可上网。</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导航体系</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可按地域、行业、学科、年鉴级别浏览各类年鉴，读者可按目录浏览条目。</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检索导航：在检索前可通过三种检索导航模式（行业分类、专辑分类、地域分类），限定检索范围，控制检索区域，精确检索结果。</w:t>
      </w:r>
    </w:p>
    <w:p>
      <w:pPr>
        <w:spacing w:line="500" w:lineRule="exact"/>
        <w:ind w:firstLine="480" w:firstLineChars="200"/>
        <w:rPr>
          <w:rFonts w:hint="eastAsia" w:ascii="华文仿宋" w:hAnsi="华文仿宋" w:eastAsia="华文仿宋" w:cs="华文仿宋"/>
          <w:color w:val="auto"/>
          <w:sz w:val="24"/>
          <w:szCs w:val="24"/>
          <w:highlight w:val="none"/>
        </w:rPr>
      </w:pPr>
      <w:r>
        <w:rPr>
          <w:rFonts w:hint="eastAsia" w:ascii="华文仿宋" w:hAnsi="华文仿宋" w:eastAsia="华文仿宋" w:cs="华文仿宋"/>
          <w:color w:val="auto"/>
          <w:sz w:val="24"/>
          <w:szCs w:val="24"/>
          <w:highlight w:val="none"/>
        </w:rPr>
        <w:t>检索功能</w:t>
      </w:r>
      <w:r>
        <w:rPr>
          <w:rFonts w:hint="eastAsia" w:ascii="华文仿宋" w:hAnsi="华文仿宋" w:eastAsia="华文仿宋" w:cs="华文仿宋"/>
          <w:color w:val="auto"/>
          <w:sz w:val="24"/>
          <w:szCs w:val="24"/>
          <w:highlight w:val="none"/>
          <w:lang w:eastAsia="zh-CN"/>
        </w:rPr>
        <w:t>：</w:t>
      </w:r>
      <w:r>
        <w:rPr>
          <w:rFonts w:hint="eastAsia" w:ascii="华文仿宋" w:hAnsi="华文仿宋" w:eastAsia="华文仿宋" w:cs="华文仿宋"/>
          <w:color w:val="auto"/>
          <w:sz w:val="24"/>
          <w:szCs w:val="24"/>
          <w:highlight w:val="none"/>
        </w:rPr>
        <w:t>条目题名、主题、正文、DOI、主编、主编单位、条目作者、作者单位、出版者、出版日期、年鉴名称卷、ISSN、CN、ISBN等。</w:t>
      </w:r>
      <w:r>
        <w:rPr>
          <w:rFonts w:hint="eastAsia" w:ascii="华文仿宋" w:hAnsi="华文仿宋" w:eastAsia="华文仿宋" w:cs="华文仿宋"/>
          <w:color w:val="auto"/>
          <w:sz w:val="24"/>
          <w:szCs w:val="24"/>
          <w:highlight w:val="none"/>
          <w:lang w:eastAsia="zh-CN"/>
        </w:rPr>
        <w:t>可</w:t>
      </w:r>
      <w:r>
        <w:rPr>
          <w:rFonts w:hint="eastAsia" w:ascii="华文仿宋" w:hAnsi="华文仿宋" w:eastAsia="华文仿宋" w:cs="华文仿宋"/>
          <w:color w:val="auto"/>
          <w:sz w:val="24"/>
          <w:szCs w:val="24"/>
          <w:highlight w:val="none"/>
        </w:rPr>
        <w:t>限定文献时间范围、年鉴级别、条目类型；</w:t>
      </w:r>
      <w:r>
        <w:rPr>
          <w:rFonts w:hint="eastAsia" w:ascii="华文仿宋" w:hAnsi="华文仿宋" w:eastAsia="华文仿宋" w:cs="华文仿宋"/>
          <w:color w:val="auto"/>
          <w:sz w:val="24"/>
          <w:szCs w:val="24"/>
          <w:highlight w:val="none"/>
          <w:lang w:eastAsia="zh-CN"/>
        </w:rPr>
        <w:t>可对</w:t>
      </w:r>
      <w:r>
        <w:rPr>
          <w:rFonts w:hint="eastAsia" w:ascii="华文仿宋" w:hAnsi="华文仿宋" w:eastAsia="华文仿宋" w:cs="华文仿宋"/>
          <w:color w:val="auto"/>
          <w:sz w:val="24"/>
          <w:szCs w:val="24"/>
          <w:highlight w:val="none"/>
        </w:rPr>
        <w:t>检索词</w:t>
      </w:r>
      <w:r>
        <w:rPr>
          <w:rFonts w:hint="eastAsia" w:ascii="华文仿宋" w:hAnsi="华文仿宋" w:eastAsia="华文仿宋" w:cs="华文仿宋"/>
          <w:color w:val="auto"/>
          <w:sz w:val="24"/>
          <w:szCs w:val="24"/>
          <w:highlight w:val="none"/>
          <w:lang w:eastAsia="zh-CN"/>
        </w:rPr>
        <w:t>进行</w:t>
      </w:r>
      <w:r>
        <w:rPr>
          <w:rFonts w:hint="eastAsia" w:ascii="华文仿宋" w:hAnsi="华文仿宋" w:eastAsia="华文仿宋" w:cs="华文仿宋"/>
          <w:color w:val="auto"/>
          <w:sz w:val="24"/>
          <w:szCs w:val="24"/>
          <w:highlight w:val="none"/>
        </w:rPr>
        <w:t>精确或模糊查询</w:t>
      </w:r>
      <w:r>
        <w:rPr>
          <w:rFonts w:hint="eastAsia" w:ascii="华文仿宋" w:hAnsi="华文仿宋" w:eastAsia="华文仿宋" w:cs="华文仿宋"/>
          <w:color w:val="auto"/>
          <w:sz w:val="24"/>
          <w:szCs w:val="24"/>
          <w:highlight w:val="none"/>
          <w:lang w:eastAsia="zh-CN"/>
        </w:rPr>
        <w:t>控制</w:t>
      </w:r>
      <w:r>
        <w:rPr>
          <w:rFonts w:hint="eastAsia" w:ascii="华文仿宋" w:hAnsi="华文仿宋" w:eastAsia="华文仿宋" w:cs="华文仿宋"/>
          <w:color w:val="auto"/>
          <w:sz w:val="24"/>
          <w:szCs w:val="24"/>
          <w:highlight w:val="none"/>
        </w:rPr>
        <w:t>；检索结果排序</w:t>
      </w:r>
      <w:r>
        <w:rPr>
          <w:rFonts w:hint="eastAsia" w:ascii="华文仿宋" w:hAnsi="华文仿宋" w:eastAsia="华文仿宋" w:cs="华文仿宋"/>
          <w:color w:val="auto"/>
          <w:sz w:val="24"/>
          <w:szCs w:val="24"/>
          <w:highlight w:val="none"/>
          <w:lang w:eastAsia="zh-CN"/>
        </w:rPr>
        <w:t>可</w:t>
      </w:r>
      <w:r>
        <w:rPr>
          <w:rFonts w:hint="eastAsia" w:ascii="华文仿宋" w:hAnsi="华文仿宋" w:eastAsia="华文仿宋" w:cs="华文仿宋"/>
          <w:color w:val="auto"/>
          <w:sz w:val="24"/>
          <w:szCs w:val="24"/>
          <w:highlight w:val="none"/>
        </w:rPr>
        <w:t>按文献出版时间的正序、倒序，或按检索结果与检索词的相关度排序。</w:t>
      </w:r>
    </w:p>
    <w:p>
      <w:pPr>
        <w:keepNext w:val="0"/>
        <w:keepLines w:val="0"/>
        <w:widowControl w:val="0"/>
        <w:numPr>
          <w:ilvl w:val="0"/>
          <w:numId w:val="0"/>
        </w:numPr>
        <w:suppressLineNumbers w:val="0"/>
        <w:spacing w:before="0" w:beforeAutospacing="0" w:after="0" w:afterAutospacing="0" w:line="360" w:lineRule="auto"/>
        <w:ind w:right="0" w:rightChars="0" w:firstLine="482" w:firstLineChars="200"/>
        <w:jc w:val="both"/>
        <w:rPr>
          <w:rFonts w:hint="eastAsia" w:ascii="Arial Narrow" w:hAnsi="Arial Narrow" w:eastAsia="仿宋_GB2312" w:cs="仿宋_GB2312"/>
          <w:b/>
          <w:bCs/>
          <w:color w:val="auto"/>
          <w:kern w:val="2"/>
          <w:sz w:val="24"/>
          <w:szCs w:val="24"/>
          <w:highlight w:val="none"/>
          <w:lang w:val="en-US" w:eastAsia="zh-CN" w:bidi="ar"/>
        </w:rPr>
      </w:pPr>
      <w:r>
        <w:rPr>
          <w:rFonts w:hint="eastAsia" w:ascii="Arial Narrow" w:hAnsi="Arial Narrow" w:eastAsia="仿宋_GB2312" w:cs="仿宋_GB2312"/>
          <w:b/>
          <w:bCs/>
          <w:color w:val="auto"/>
          <w:kern w:val="2"/>
          <w:sz w:val="24"/>
          <w:szCs w:val="24"/>
          <w:highlight w:val="none"/>
          <w:lang w:val="en-US" w:eastAsia="zh-CN" w:bidi="ar"/>
        </w:rPr>
        <w:t>2、万方学位论文库</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Arial Narrow" w:hAnsi="Arial Narrow" w:eastAsia="仿宋_GB2312" w:cs="仿宋_GB2312"/>
          <w:color w:val="auto"/>
          <w:kern w:val="2"/>
          <w:sz w:val="24"/>
          <w:szCs w:val="24"/>
          <w:highlight w:val="none"/>
          <w:lang w:val="en-US" w:eastAsia="zh-CN" w:bidi="ar"/>
        </w:rPr>
      </w:pPr>
      <w:r>
        <w:rPr>
          <w:rFonts w:hint="eastAsia" w:ascii="Arial Narrow" w:hAnsi="Arial Narrow" w:eastAsia="仿宋_GB2312" w:cs="仿宋_GB2312"/>
          <w:color w:val="auto"/>
          <w:kern w:val="2"/>
          <w:sz w:val="24"/>
          <w:szCs w:val="24"/>
          <w:highlight w:val="none"/>
          <w:lang w:val="en-US" w:eastAsia="zh-CN" w:bidi="ar"/>
        </w:rPr>
        <w:t>精选全国重点学位授予单位的硕士、博士学位论文以及博士后报告。内容涵盖理学、工业技术、人文科学、社会科学、医药卫生、农业科学、交通运输、航空航天和环境科学等各学科领域。</w:t>
      </w:r>
    </w:p>
    <w:p>
      <w:pPr>
        <w:keepNext w:val="0"/>
        <w:keepLines w:val="0"/>
        <w:widowControl w:val="0"/>
        <w:numPr>
          <w:ilvl w:val="0"/>
          <w:numId w:val="4"/>
        </w:numPr>
        <w:suppressLineNumbers w:val="0"/>
        <w:spacing w:before="0" w:beforeAutospacing="0" w:after="0" w:afterAutospacing="0" w:line="360" w:lineRule="auto"/>
        <w:ind w:left="0" w:leftChars="0" w:right="0" w:firstLine="400" w:firstLineChars="0"/>
        <w:jc w:val="both"/>
        <w:rPr>
          <w:rFonts w:hint="eastAsia" w:ascii="Arial Narrow" w:hAnsi="Arial Narrow" w:eastAsia="仿宋_GB2312" w:cs="仿宋_GB2312"/>
          <w:color w:val="auto"/>
          <w:kern w:val="2"/>
          <w:sz w:val="24"/>
          <w:szCs w:val="24"/>
          <w:highlight w:val="none"/>
          <w:lang w:val="en-US" w:eastAsia="zh-CN" w:bidi="ar"/>
        </w:rPr>
      </w:pPr>
      <w:r>
        <w:rPr>
          <w:rFonts w:hint="eastAsia" w:ascii="Arial Narrow" w:hAnsi="Arial Narrow" w:eastAsia="仿宋_GB2312" w:cs="仿宋_GB2312"/>
          <w:color w:val="auto"/>
          <w:kern w:val="2"/>
          <w:sz w:val="24"/>
          <w:szCs w:val="24"/>
          <w:highlight w:val="none"/>
          <w:lang w:val="en-US" w:eastAsia="zh-CN" w:bidi="ar"/>
        </w:rPr>
        <w:t>合作单位：与国内</w:t>
      </w:r>
      <w:r>
        <w:rPr>
          <w:rFonts w:hint="default" w:ascii="Arial Narrow" w:hAnsi="Arial Narrow" w:eastAsia="仿宋_GB2312" w:cs="仿宋_GB2312"/>
          <w:color w:val="auto"/>
          <w:kern w:val="2"/>
          <w:sz w:val="24"/>
          <w:szCs w:val="24"/>
          <w:highlight w:val="none"/>
          <w:lang w:val="en-US" w:eastAsia="zh-CN" w:bidi="ar"/>
        </w:rPr>
        <w:t>900</w:t>
      </w:r>
      <w:r>
        <w:rPr>
          <w:rFonts w:hint="eastAsia" w:ascii="Arial Narrow" w:hAnsi="Arial Narrow" w:eastAsia="仿宋_GB2312" w:cs="仿宋_GB2312"/>
          <w:color w:val="auto"/>
          <w:kern w:val="2"/>
          <w:sz w:val="24"/>
          <w:szCs w:val="24"/>
          <w:highlight w:val="none"/>
          <w:lang w:val="en-US" w:eastAsia="zh-CN" w:bidi="ar"/>
        </w:rPr>
        <w:t>余所高校（其中国家</w:t>
      </w:r>
      <w:r>
        <w:rPr>
          <w:rFonts w:hint="default" w:ascii="Arial Narrow" w:hAnsi="Arial Narrow" w:eastAsia="仿宋_GB2312" w:cs="仿宋_GB2312"/>
          <w:color w:val="auto"/>
          <w:kern w:val="2"/>
          <w:sz w:val="24"/>
          <w:szCs w:val="24"/>
          <w:highlight w:val="none"/>
          <w:lang w:val="en-US" w:eastAsia="zh-CN" w:bidi="ar"/>
        </w:rPr>
        <w:t>211</w:t>
      </w:r>
      <w:r>
        <w:rPr>
          <w:rFonts w:hint="eastAsia" w:ascii="Arial Narrow" w:hAnsi="Arial Narrow" w:eastAsia="仿宋_GB2312" w:cs="仿宋_GB2312"/>
          <w:color w:val="auto"/>
          <w:kern w:val="2"/>
          <w:sz w:val="24"/>
          <w:szCs w:val="24"/>
          <w:highlight w:val="none"/>
          <w:lang w:val="en-US" w:eastAsia="zh-CN" w:bidi="ar"/>
        </w:rPr>
        <w:t>、</w:t>
      </w:r>
      <w:r>
        <w:rPr>
          <w:rFonts w:hint="default" w:ascii="Arial Narrow" w:hAnsi="Arial Narrow" w:eastAsia="仿宋_GB2312" w:cs="仿宋_GB2312"/>
          <w:color w:val="auto"/>
          <w:kern w:val="2"/>
          <w:sz w:val="24"/>
          <w:szCs w:val="24"/>
          <w:highlight w:val="none"/>
          <w:lang w:val="en-US" w:eastAsia="zh-CN" w:bidi="ar"/>
        </w:rPr>
        <w:t>985</w:t>
      </w:r>
      <w:r>
        <w:rPr>
          <w:rFonts w:hint="eastAsia" w:ascii="Arial Narrow" w:hAnsi="Arial Narrow" w:eastAsia="仿宋_GB2312" w:cs="仿宋_GB2312"/>
          <w:color w:val="auto"/>
          <w:kern w:val="2"/>
          <w:sz w:val="24"/>
          <w:szCs w:val="24"/>
          <w:highlight w:val="none"/>
          <w:lang w:val="en-US" w:eastAsia="zh-CN" w:bidi="ar"/>
        </w:rPr>
        <w:t>高校全面覆盖）、</w:t>
      </w:r>
      <w:r>
        <w:rPr>
          <w:rFonts w:hint="default" w:ascii="Arial Narrow" w:hAnsi="Arial Narrow" w:eastAsia="仿宋_GB2312" w:cs="仿宋_GB2312"/>
          <w:color w:val="auto"/>
          <w:kern w:val="2"/>
          <w:sz w:val="24"/>
          <w:szCs w:val="24"/>
          <w:highlight w:val="none"/>
          <w:lang w:val="en-US" w:eastAsia="zh-CN" w:bidi="ar"/>
        </w:rPr>
        <w:t>600</w:t>
      </w:r>
      <w:r>
        <w:rPr>
          <w:rFonts w:hint="eastAsia" w:ascii="Arial Narrow" w:hAnsi="Arial Narrow" w:eastAsia="仿宋_GB2312" w:cs="仿宋_GB2312"/>
          <w:color w:val="auto"/>
          <w:kern w:val="2"/>
          <w:sz w:val="24"/>
          <w:szCs w:val="24"/>
          <w:highlight w:val="none"/>
          <w:lang w:val="en-US" w:eastAsia="zh-CN" w:bidi="ar"/>
        </w:rPr>
        <w:t>余所科研院所等学位授予单位合作。</w:t>
      </w:r>
    </w:p>
    <w:p>
      <w:pPr>
        <w:keepNext w:val="0"/>
        <w:keepLines w:val="0"/>
        <w:widowControl w:val="0"/>
        <w:numPr>
          <w:ilvl w:val="0"/>
          <w:numId w:val="4"/>
        </w:numPr>
        <w:suppressLineNumbers w:val="0"/>
        <w:spacing w:before="0" w:beforeAutospacing="0" w:after="0" w:afterAutospacing="0" w:line="360" w:lineRule="auto"/>
        <w:ind w:left="0" w:leftChars="0" w:right="0" w:firstLine="400" w:firstLineChars="0"/>
        <w:jc w:val="both"/>
        <w:rPr>
          <w:rFonts w:hint="eastAsia" w:ascii="Arial Narrow" w:hAnsi="Arial Narrow" w:eastAsia="仿宋_GB2312" w:cs="仿宋_GB2312"/>
          <w:color w:val="auto"/>
          <w:kern w:val="2"/>
          <w:sz w:val="24"/>
          <w:szCs w:val="24"/>
          <w:highlight w:val="none"/>
          <w:lang w:val="en-US" w:eastAsia="zh-CN" w:bidi="ar"/>
        </w:rPr>
      </w:pPr>
      <w:r>
        <w:rPr>
          <w:rFonts w:hint="eastAsia" w:ascii="Arial Narrow" w:hAnsi="Arial Narrow" w:eastAsia="仿宋_GB2312" w:cs="仿宋_GB2312"/>
          <w:color w:val="auto"/>
          <w:kern w:val="2"/>
          <w:sz w:val="24"/>
          <w:szCs w:val="24"/>
          <w:highlight w:val="none"/>
          <w:lang w:val="en-US" w:eastAsia="zh-CN" w:bidi="ar"/>
        </w:rPr>
        <w:t>资源数量：总体资源量不少于10TB，收录自</w:t>
      </w:r>
      <w:r>
        <w:rPr>
          <w:rFonts w:hint="default" w:ascii="Arial Narrow" w:hAnsi="Arial Narrow" w:eastAsia="仿宋_GB2312" w:cs="仿宋_GB2312"/>
          <w:color w:val="auto"/>
          <w:kern w:val="2"/>
          <w:sz w:val="24"/>
          <w:szCs w:val="24"/>
          <w:highlight w:val="none"/>
          <w:lang w:val="en-US" w:eastAsia="zh-CN" w:bidi="ar"/>
        </w:rPr>
        <w:t>1980</w:t>
      </w:r>
      <w:r>
        <w:rPr>
          <w:rFonts w:hint="eastAsia" w:ascii="Arial Narrow" w:hAnsi="Arial Narrow" w:eastAsia="仿宋_GB2312" w:cs="仿宋_GB2312"/>
          <w:color w:val="auto"/>
          <w:kern w:val="2"/>
          <w:sz w:val="24"/>
          <w:szCs w:val="24"/>
          <w:highlight w:val="none"/>
          <w:lang w:val="en-US" w:eastAsia="zh-CN" w:bidi="ar"/>
        </w:rPr>
        <w:t>年以来的学位论文，总量达50</w:t>
      </w:r>
      <w:r>
        <w:rPr>
          <w:rFonts w:hint="default" w:ascii="Arial Narrow" w:hAnsi="Arial Narrow" w:eastAsia="仿宋_GB2312" w:cs="仿宋_GB2312"/>
          <w:color w:val="auto"/>
          <w:kern w:val="2"/>
          <w:sz w:val="24"/>
          <w:szCs w:val="24"/>
          <w:highlight w:val="none"/>
          <w:lang w:val="en-US" w:eastAsia="zh-CN" w:bidi="ar"/>
        </w:rPr>
        <w:t>0</w:t>
      </w:r>
      <w:r>
        <w:rPr>
          <w:rFonts w:hint="eastAsia" w:ascii="Arial Narrow" w:hAnsi="Arial Narrow" w:eastAsia="仿宋_GB2312" w:cs="仿宋_GB2312"/>
          <w:color w:val="auto"/>
          <w:kern w:val="2"/>
          <w:sz w:val="24"/>
          <w:szCs w:val="24"/>
          <w:highlight w:val="none"/>
          <w:lang w:val="en-US" w:eastAsia="zh-CN" w:bidi="ar"/>
        </w:rPr>
        <w:t>余万篇，每年增加约</w:t>
      </w:r>
      <w:r>
        <w:rPr>
          <w:rFonts w:hint="default" w:ascii="Arial Narrow" w:hAnsi="Arial Narrow" w:eastAsia="仿宋_GB2312" w:cs="仿宋_GB2312"/>
          <w:color w:val="auto"/>
          <w:kern w:val="2"/>
          <w:sz w:val="24"/>
          <w:szCs w:val="24"/>
          <w:highlight w:val="none"/>
          <w:lang w:val="en-US" w:eastAsia="zh-CN" w:bidi="ar"/>
        </w:rPr>
        <w:t>30</w:t>
      </w:r>
      <w:r>
        <w:rPr>
          <w:rFonts w:hint="eastAsia" w:ascii="Arial Narrow" w:hAnsi="Arial Narrow" w:eastAsia="仿宋_GB2312" w:cs="仿宋_GB2312"/>
          <w:color w:val="auto"/>
          <w:kern w:val="2"/>
          <w:sz w:val="24"/>
          <w:szCs w:val="24"/>
          <w:highlight w:val="none"/>
          <w:lang w:val="en-US" w:eastAsia="zh-CN" w:bidi="ar"/>
        </w:rPr>
        <w:t>万篇。</w:t>
      </w:r>
    </w:p>
    <w:p>
      <w:pPr>
        <w:keepNext w:val="0"/>
        <w:keepLines w:val="0"/>
        <w:widowControl w:val="0"/>
        <w:numPr>
          <w:ilvl w:val="0"/>
          <w:numId w:val="4"/>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导航：学科专业目录、学校所在地，</w:t>
      </w:r>
      <w:r>
        <w:rPr>
          <w:rFonts w:hint="eastAsia" w:ascii="仿宋" w:hAnsi="仿宋" w:eastAsia="仿宋" w:cs="仿宋"/>
          <w:color w:val="auto"/>
          <w:kern w:val="2"/>
          <w:sz w:val="24"/>
          <w:szCs w:val="24"/>
          <w:highlight w:val="none"/>
          <w:lang w:val="en-US" w:eastAsia="zh-CN" w:bidi="ar"/>
        </w:rPr>
        <w:t>学科目录、专业目录、学位授予单位</w:t>
      </w:r>
      <w:r>
        <w:rPr>
          <w:rFonts w:hint="eastAsia" w:ascii="仿宋" w:hAnsi="仿宋" w:eastAsia="仿宋" w:cs="仿宋"/>
          <w:color w:val="auto"/>
          <w:kern w:val="2"/>
          <w:sz w:val="24"/>
          <w:szCs w:val="24"/>
          <w:highlight w:val="none"/>
          <w:lang w:val="en-US" w:eastAsia="zh-CN" w:bidi="ar"/>
        </w:rPr>
        <w:t>。</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收录单位及学科覆盖面：涉及全国包括985高校和211重点高校、中科院、工程院、农科院、医科院、林科院等机构的重点精选博硕士论文；</w:t>
      </w:r>
      <w:r>
        <w:rPr>
          <w:rFonts w:hint="eastAsia" w:ascii="仿宋" w:hAnsi="仿宋" w:eastAsia="仿宋" w:cs="仿宋"/>
          <w:color w:val="auto"/>
          <w:kern w:val="2"/>
          <w:sz w:val="24"/>
          <w:szCs w:val="24"/>
          <w:highlight w:val="none"/>
          <w:lang w:val="en-US" w:eastAsia="zh-CN" w:bidi="ar"/>
        </w:rPr>
        <w:t>按中图法进行学科分类、教育部公布的专业目录进行专业分类，覆盖各个学科领域。</w:t>
      </w:r>
      <w:r>
        <w:rPr>
          <w:rFonts w:hint="eastAsia" w:ascii="仿宋" w:hAnsi="仿宋" w:eastAsia="仿宋" w:cs="仿宋"/>
          <w:color w:val="auto"/>
          <w:kern w:val="2"/>
          <w:sz w:val="24"/>
          <w:szCs w:val="24"/>
          <w:highlight w:val="none"/>
          <w:lang w:val="en-US" w:eastAsia="zh-CN" w:bidi="ar"/>
        </w:rPr>
        <w:t xml:space="preserve"> </w:t>
      </w:r>
    </w:p>
    <w:p>
      <w:pPr>
        <w:keepNext w:val="0"/>
        <w:keepLines w:val="0"/>
        <w:widowControl w:val="0"/>
        <w:numPr>
          <w:ilvl w:val="0"/>
          <w:numId w:val="4"/>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收录年限：收录1980年以来的学位论文，并将逐年回溯并月度追加，可提供1977年以来的学位论文全文传递服务；</w:t>
      </w:r>
    </w:p>
    <w:p>
      <w:pPr>
        <w:keepNext w:val="0"/>
        <w:keepLines w:val="0"/>
        <w:widowControl w:val="0"/>
        <w:numPr>
          <w:ilvl w:val="0"/>
          <w:numId w:val="4"/>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服务方式：全文数据以PDF格式提供服务，所购数据为数据库网络包年方式；资源支撑的平台为万方数据知识服务云系统V2.0，可实现统一检索。7×24小时技术服务响应；根据实际情况需要，可48小时内故障上门服务。</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检索字段：题名、关键词、摘要、作者、学科专业、导师、学位授予单位。</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二次检索：提供三种形式的二次检索：直接修改检索表达式、聚类、缩小检索范围重新检索。学位论文提供授予学位、论文年份、语种、学科、导师、学位授予单位聚类。缩小检索范围提供标题、作者、关键词、专业、学校、导师、年份范围检索。</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检索结果标记：展示文献类型、作者、专业、学位授予单位、学位授予时间、摘要、关键词。</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检索策略：简单检索+逐步限定+推荐。用户输入简单检索词开始，在得到的检索结果中通过聚类、排序以及综合系统推荐的检索词，逐步限定，得到结果。</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检索结果排序：提供相关度、学位授予时间、被引量、下载量、热度、经典论文优先这六种排序方式。</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保存题录：提供参考文献、文本、XML、NoteExpress、Refworks、EndNote等多种格式以及自定义格式。</w:t>
      </w:r>
    </w:p>
    <w:p>
      <w:pPr>
        <w:keepNext w:val="0"/>
        <w:keepLines w:val="0"/>
        <w:widowControl w:val="0"/>
        <w:numPr>
          <w:ilvl w:val="0"/>
          <w:numId w:val="4"/>
        </w:numPr>
        <w:suppressLineNumbers w:val="0"/>
        <w:spacing w:before="0" w:beforeAutospacing="0" w:after="0" w:afterAutospacing="0" w:line="360" w:lineRule="auto"/>
        <w:ind w:left="0" w:leftChars="0" w:right="0" w:rightChars="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知识关联：提供“相关论文”、“相关图书”、“相关学者”、“相关主题”、“相关机构”、“相关学者”等服务。</w:t>
      </w:r>
    </w:p>
    <w:p>
      <w:pPr>
        <w:keepNext w:val="0"/>
        <w:keepLines w:val="0"/>
        <w:widowControl w:val="0"/>
        <w:numPr>
          <w:ilvl w:val="0"/>
          <w:numId w:val="0"/>
        </w:numPr>
        <w:suppressLineNumbers w:val="0"/>
        <w:spacing w:before="0" w:beforeAutospacing="0" w:after="0" w:afterAutospacing="0" w:line="360" w:lineRule="auto"/>
        <w:ind w:right="0" w:rightChars="0" w:firstLine="241" w:firstLineChars="100"/>
        <w:jc w:val="both"/>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3：Springer数据</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数据库名称：</w:t>
      </w:r>
      <w:r>
        <w:rPr>
          <w:rFonts w:hint="eastAsia" w:ascii="仿宋" w:hAnsi="仿宋" w:eastAsia="仿宋" w:cs="仿宋"/>
          <w:color w:val="auto"/>
          <w:kern w:val="0"/>
          <w:sz w:val="24"/>
          <w:szCs w:val="24"/>
          <w:highlight w:val="none"/>
          <w:lang w:val="en-US" w:eastAsia="zh-CN" w:bidi="ar"/>
        </w:rPr>
        <w:t>Springer电子期刊，</w:t>
      </w:r>
      <w:r>
        <w:rPr>
          <w:rFonts w:hint="eastAsia" w:ascii="仿宋" w:hAnsi="仿宋" w:eastAsia="仿宋" w:cs="仿宋"/>
          <w:color w:val="auto"/>
          <w:kern w:val="2"/>
          <w:sz w:val="24"/>
          <w:szCs w:val="24"/>
          <w:highlight w:val="none"/>
          <w:lang w:val="en-US" w:eastAsia="zh-CN" w:bidi="ar"/>
        </w:rPr>
        <w:t>平台名称：SpringerLink</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期刊收录数量：Springer每年出版2500余种期刊，其中DRAA集团用户可访问的期刊数量为2030余种。</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数据更新周期：实时更新</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收录期刊质量：Springer出版的期刊60%以上被SCI及SSCI,EI等收录</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期刊学科范围：Springer电子期刊数据库一共包括三个专辑：科技工程包，生物医学包和人文社科包，其中科技工程专辑涵盖数学与统计、化学与材料科学、计算机科学、地球与环境科学、物理与天文学、工程等学科；生物医学专辑涵盖医学、生物医学和生命科学等学科；人文社科专辑涵盖行为科学、商业和经济学、人文社科和法律等学科。</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期刊回溯：回溯数据库可回溯至1997年或创刊年。</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平台访问方式：IP控制，并发无限制。</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浏览：提供导航功能，可按学科领域或文献内容类型进行浏览</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
        </w:rPr>
        <w:t>网络：CERNET专线为用户提供快捷的访问，用户无需支付国际流量费。</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试用：校方还未订购的数据库可提供30-60天的免费试用。</w:t>
      </w:r>
    </w:p>
    <w:p>
      <w:pPr>
        <w:keepNext w:val="0"/>
        <w:keepLines w:val="0"/>
        <w:widowControl w:val="0"/>
        <w:numPr>
          <w:ilvl w:val="0"/>
          <w:numId w:val="5"/>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提供出版物进口经营许可证证明材料，提供 Springer公司代理授权书</w:t>
      </w:r>
    </w:p>
    <w:p>
      <w:pPr>
        <w:keepNext w:val="0"/>
        <w:keepLines w:val="0"/>
        <w:widowControl w:val="0"/>
        <w:numPr>
          <w:ilvl w:val="0"/>
          <w:numId w:val="0"/>
        </w:numPr>
        <w:suppressLineNumbers w:val="0"/>
        <w:spacing w:before="0" w:beforeAutospacing="0" w:after="0" w:afterAutospacing="0" w:line="360" w:lineRule="auto"/>
        <w:ind w:leftChars="0" w:right="0" w:rightChars="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4：超星系列数据库</w:t>
      </w:r>
    </w:p>
    <w:p>
      <w:pPr>
        <w:keepNext w:val="0"/>
        <w:keepLines w:val="0"/>
        <w:widowControl w:val="0"/>
        <w:numPr>
          <w:ilvl w:val="0"/>
          <w:numId w:val="0"/>
        </w:numPr>
        <w:suppressLineNumbers w:val="0"/>
        <w:spacing w:before="0" w:beforeAutospacing="0" w:after="0" w:afterAutospacing="0" w:line="360" w:lineRule="auto"/>
        <w:ind w:leftChars="0" w:right="0" w:rightChars="0" w:firstLine="482" w:firstLineChars="20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（1）发现系统</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发现是一个统一的学术资源搜索工具，可通过分面聚类、引文分析、知识关联分析等实现学术文献发现、深度知识挖掘、可视化的全方位知识关联。</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可为图书馆读者用户提供对于本校购买资源的便捷使用服务，点击获取链接即可得到学术原文。</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服务内容：图书、期刊、报纸、学位论文、会议论文、专利、标准、视频、引文、科技成果、信息资讯、法律法规、特色库等。</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系统功能要求：</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支持简体字/繁体字检索，并且在检索时，支持简体字/繁体字的同义转换；支持空检索，并显示空检条件下整体数据量，以及各文献类型包括图书、期刊、学位等数据量，各年份收录量等；提供简单检索、并支持google like检索方式（搜索支持分词），如date、author、title等检索方式；提供二次检索，支持在当前检索结果下再次搜索；支持在限定条件下重新检索；提供智能检索，如自动匹配检索词曾用名、学名、简全称等；以及检索作者、作者机构，自动匹配作者或作者机构字段；提供高级检索，并支持精确/模糊两种匹配方式，支持多种字段与、或、非逻辑检索，且各类文献特殊字段检索；提供专业检索，支持多个字段布尔逻辑表达式检索；提供分面聚类复选搜索，支持多个分面聚类组合复选搜索功能；</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检索结果按内容类型、年份、学科分类、作者（第一作者）、作者机构等十几个分面聚类展示，并显示每个分面聚类数量；支持对不同资源混合排序，如支持学术性、相关性、馆藏优先、时间升降序等排序方式；</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支持部分分面聚类扩展到二级分类，如作者机构、学科分类等，同时二级分类同样支持复选；据检索结果，提供知识点-知识点、知识点-人、人-人（学位论文作者谱系图等）、机构-机构动态的关联关系，并通过可视化方式展现；</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提供各种文献的图形化信息展示，同时图书、期刊文献封面显示，且能放大显示；</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提供期刊导航，可显示该期刊按年代的完整导航，可限定期刊某一期的所有文献；提供报纸导航，可显示该报纸按年代的完整导航，可限定报纸某一月某一日的所有文献；</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提供文章被引用次数展示，支持具体到篇；</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提供文章被核心期刊收录情况标引，如SCI、EI、北大核心期刊等，并具体到篇；提供期刊历年影响因子趋势图普分析；提供图书、期刊等文献被引用情况的年代分布曲线；</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提供全国馆藏揭示，展示此资源被哪些馆收录；</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提供摘要和列表两种检索结果显示方式；</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支持图书、期刊、学位论文、会议论文等各种文献的学术文章发展趋势预判和多主题对比；并支持EXCEL文件导出；</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提供学科分布统计图、刊种统计图、地区统计图等多维度统计分布图分析；并支持EXCEL文件导出；</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提供当前检索词同义词、上位词、兄弟词等多种关系图谱展示；</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提供图书-图书、图书-期刊、期刊-图书、期刊-期刊、期刊-论文、期刊-报纸等文献的引用分析，提供完整参考文献与引证文献的列表，列表中的文献具备引证关系二次拓展的功能；</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提供检索式的保存服务，更新的数据如果命中了已保存的检索式，可定期按照已保存的检索式推送最新资源到读者邮箱；提供读者的个人学习空间，并可收藏文献到学习空间支持文献资源分享到QQ空间、微博、博客等平台</w:t>
      </w:r>
    </w:p>
    <w:p>
      <w:pPr>
        <w:keepNext w:val="0"/>
        <w:keepLines w:val="0"/>
        <w:widowControl w:val="0"/>
        <w:numPr>
          <w:ilvl w:val="0"/>
          <w:numId w:val="6"/>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支持与图书馆OPAC系统、各类商业数据库无缝对接；支持首页LOGO个性化定制服务；</w:t>
      </w:r>
    </w:p>
    <w:p>
      <w:pPr>
        <w:keepNext w:val="0"/>
        <w:keepLines w:val="0"/>
        <w:widowControl w:val="0"/>
        <w:numPr>
          <w:ilvl w:val="0"/>
          <w:numId w:val="0"/>
        </w:numPr>
        <w:suppressLineNumbers w:val="0"/>
        <w:spacing w:before="0" w:beforeAutospacing="0" w:after="0" w:afterAutospacing="0" w:line="360" w:lineRule="auto"/>
        <w:ind w:leftChars="0" w:right="0" w:rightChars="0" w:firstLine="482" w:firstLineChars="20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2）超星电子图书</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具有独立法人资格和电子图书及相应出版物经销权（《出版物经营许可证》），并能提供标准的电子图书数据。</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近五年内没有盗用他公司数据、技术、资料的不良记录。</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提供不低于130万种图书目录分类表</w:t>
      </w:r>
      <w:r>
        <w:rPr>
          <w:rFonts w:hint="eastAsia" w:ascii="仿宋" w:hAnsi="仿宋" w:eastAsia="仿宋" w:cs="仿宋"/>
          <w:color w:val="auto"/>
          <w:kern w:val="0"/>
          <w:sz w:val="24"/>
          <w:szCs w:val="24"/>
          <w:highlight w:val="none"/>
          <w:lang w:val="en-US" w:eastAsia="zh-CN" w:bidi="ar"/>
        </w:rPr>
        <w:t>，</w:t>
      </w:r>
      <w:r>
        <w:rPr>
          <w:rFonts w:hint="default" w:ascii="仿宋" w:hAnsi="仿宋" w:eastAsia="仿宋" w:cs="仿宋"/>
          <w:color w:val="auto"/>
          <w:kern w:val="0"/>
          <w:sz w:val="24"/>
          <w:szCs w:val="24"/>
          <w:highlight w:val="none"/>
          <w:lang w:val="en-US" w:eastAsia="zh-CN" w:bidi="ar"/>
        </w:rPr>
        <w:t>覆盖中图分类法22个大类。</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 xml:space="preserve">提供平台内图书的搜索服务（含目次检索及全文检索），高清晰全文在线阅读，具备下载借阅功能。  </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 xml:space="preserve">平台提供普通检索、二次检索和高级检索，包含按书名、作者、书目及全文检索，高级检索中包含分类、中图法分类、主题词、起始年份等，检索结果支持按书名、出版日期排序。提供图书目录导航，高清晰全文在线阅读，具备快速定位翻页、文字摘录、下载借阅、打印、旋转、页内检索等功能。 </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平台提供多种在线阅读方式，图像、文本多种阅读方式供用户选择。部分新书支持移动端扫码阅读。</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平台免费支持与学习通、读秀、图书馆馆藏系统等平台无缝对接。</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平台中的部分精品图书可有偿支持微信公众号、第三方app对接。</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提供馆外访问及第三方认证对接。</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免费提供针对管理员和用户的培训活动。</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电子图书图像遵循图书的原版原貌，文字差错率不高于万分之一。</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平台电子图书馆藏量每年保持5-10万的更新。</w:t>
      </w:r>
    </w:p>
    <w:p>
      <w:pPr>
        <w:keepNext w:val="0"/>
        <w:keepLines w:val="0"/>
        <w:widowControl w:val="0"/>
        <w:numPr>
          <w:ilvl w:val="0"/>
          <w:numId w:val="7"/>
        </w:numPr>
        <w:suppressLineNumbers w:val="0"/>
        <w:spacing w:before="0" w:beforeAutospacing="0" w:after="0" w:afterAutospacing="0" w:line="360" w:lineRule="auto"/>
        <w:ind w:left="0" w:leftChars="0" w:right="0" w:firstLine="400" w:firstLineChars="0"/>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用户所在</w:t>
      </w:r>
      <w:r>
        <w:rPr>
          <w:rFonts w:hint="default" w:ascii="仿宋" w:hAnsi="仿宋" w:eastAsia="仿宋" w:cs="仿宋"/>
          <w:color w:val="auto"/>
          <w:kern w:val="0"/>
          <w:sz w:val="24"/>
          <w:szCs w:val="24"/>
          <w:highlight w:val="none"/>
          <w:lang w:val="en-US" w:eastAsia="zh-CN" w:bidi="ar"/>
        </w:rPr>
        <w:t>省备有办事处，出现问题随时解决。</w:t>
      </w:r>
      <w:r>
        <w:rPr>
          <w:rFonts w:hint="eastAsia" w:ascii="仿宋" w:hAnsi="仿宋" w:eastAsia="仿宋" w:cs="仿宋"/>
          <w:color w:val="auto"/>
          <w:kern w:val="0"/>
          <w:sz w:val="24"/>
          <w:szCs w:val="24"/>
          <w:highlight w:val="none"/>
          <w:lang w:val="en-US" w:eastAsia="zh-CN" w:bidi="ar"/>
        </w:rPr>
        <w:t>提供</w:t>
      </w:r>
      <w:r>
        <w:rPr>
          <w:rFonts w:hint="default" w:ascii="仿宋" w:hAnsi="仿宋" w:eastAsia="仿宋" w:cs="仿宋"/>
          <w:color w:val="auto"/>
          <w:kern w:val="0"/>
          <w:sz w:val="24"/>
          <w:szCs w:val="24"/>
          <w:highlight w:val="none"/>
          <w:lang w:val="en-US" w:eastAsia="zh-CN" w:bidi="ar"/>
        </w:rPr>
        <w:t>7*42小时无间断服务，提供邮件、电话、在线客服等多种途径的问题答疑。</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5：起点考试网</w:t>
      </w:r>
    </w:p>
    <w:p>
      <w:pPr>
        <w:pStyle w:val="15"/>
        <w:spacing w:line="400" w:lineRule="exact"/>
        <w:ind w:firstLine="56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资源内容要求：</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考试试题库包括英语、计算机、公务员、司法、会计、考研、工程、资格、医学、职业技能、素质教育、信息素养等12个专辑，覆盖至少170个门类、500个以上专业科目。</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试卷试题内容为历年各科目考试的完整真题和完整模拟题， 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年底考试题库的试卷总量不少于17万套，其中真题试卷1万套以上。</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考试视频库覆盖英语、计算机、研究生、公务员、财经类、法律类、资格类、就业指导等9大类，至202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年底视频总量不少于20000课时。</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职业培训类视频不少于15个专业，要求课程由相关专业机构提供；其他语言、计算机、会计、职业技能等至少在40门以上。</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年度试题库更新量不少于15000套，视频库更新量不少于1500课时。</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提供10个重点考试科目的考前辅导课程和2-3套全真模拟试卷。</w:t>
      </w:r>
    </w:p>
    <w:p>
      <w:pPr>
        <w:pStyle w:val="15"/>
        <w:numPr>
          <w:ilvl w:val="0"/>
          <w:numId w:val="8"/>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资源必须具有合法版权。</w:t>
      </w:r>
    </w:p>
    <w:p>
      <w:pPr>
        <w:pStyle w:val="15"/>
        <w:numPr>
          <w:ilvl w:val="0"/>
          <w:numId w:val="0"/>
        </w:numPr>
        <w:spacing w:line="400" w:lineRule="exact"/>
        <w:ind w:left="400" w:left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资源平台要求</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考试试题库应具有专项训练、随机组卷、模拟考场、试卷管理、续答功能、错题库、答题进度卡、个人中心、用户管理、应急备份、考试咨讯等功能模块。</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支持模糊检索、分类检索、结果排序、精确查询等功能，精确检索功能可精确定位到目标资源，也可再通过关键字搜索快速精准定位资源。</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在有效的使用范围内应不受时间、空间的限制，无并发数限制，可通过网络终端电脑进行模拟练习或模拟考试。可以通过微信号、APP客户端，在手机上观看视频学习。</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系统采用B/S架构，同时支持windows、Linux系统，网站能够兼容各类浏览器。</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售后服务包括产品培训、电话咨询、电子邮件服务、传真服务等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协助用户解决实际操作中的困难，提供操作技巧指导。 </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系统出现</w:t>
      </w:r>
      <w:r>
        <w:rPr>
          <w:rFonts w:hint="eastAsia" w:ascii="仿宋" w:hAnsi="仿宋" w:eastAsia="仿宋" w:cs="仿宋"/>
          <w:color w:val="auto"/>
          <w:sz w:val="24"/>
          <w:szCs w:val="24"/>
          <w:highlight w:val="none"/>
        </w:rPr>
        <w:t>故障时，及时</w:t>
      </w:r>
      <w:r>
        <w:rPr>
          <w:rFonts w:hint="eastAsia" w:ascii="仿宋" w:hAnsi="仿宋" w:eastAsia="仿宋" w:cs="仿宋"/>
          <w:color w:val="auto"/>
          <w:sz w:val="24"/>
          <w:szCs w:val="24"/>
          <w:highlight w:val="none"/>
          <w:lang w:eastAsia="zh-CN"/>
        </w:rPr>
        <w:t>使用</w:t>
      </w:r>
      <w:r>
        <w:rPr>
          <w:rFonts w:hint="eastAsia" w:ascii="仿宋" w:hAnsi="仿宋" w:eastAsia="仿宋" w:cs="仿宋"/>
          <w:color w:val="auto"/>
          <w:sz w:val="24"/>
          <w:szCs w:val="24"/>
          <w:highlight w:val="none"/>
        </w:rPr>
        <w:t>远程共享备用数据库，并提供电话或网络在线解决方案，如果仍不能解决问题，应在48小时内现场解决；当网络访问方式出现故障时，保证在接报24小时内解决。</w:t>
      </w:r>
    </w:p>
    <w:p>
      <w:pPr>
        <w:pStyle w:val="15"/>
        <w:numPr>
          <w:ilvl w:val="0"/>
          <w:numId w:val="9"/>
        </w:numPr>
        <w:spacing w:line="400" w:lineRule="exact"/>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对用户提供管理使用培训、电子版使用手册、使用量统计，以及每年一次的考研讲座以及学生使用培训。 </w:t>
      </w:r>
    </w:p>
    <w:p>
      <w:pPr>
        <w:keepNext w:val="0"/>
        <w:keepLines w:val="0"/>
        <w:widowControl w:val="0"/>
        <w:numPr>
          <w:ilvl w:val="0"/>
          <w:numId w:val="9"/>
        </w:numPr>
        <w:suppressLineNumbers w:val="0"/>
        <w:spacing w:before="0" w:beforeAutospacing="0" w:after="0" w:afterAutospacing="0" w:line="360" w:lineRule="auto"/>
        <w:ind w:left="0" w:leftChars="0" w:right="0" w:firstLine="40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对镜像用户所提供的数据库平台在停止购买后仍提供三年的系统平台免费维护。</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6：中国名校精品课</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内容要汇集了从985到211、双一流学科等国内顶级院校的著名教授的优秀课程视频资源，包含管理学、经济学、教育学、法学、文学、哲学、理学、工学、历史学、军事学、艺术学</w:t>
      </w:r>
      <w:r>
        <w:rPr>
          <w:rFonts w:hint="eastAsia" w:ascii="仿宋" w:hAnsi="仿宋" w:eastAsia="仿宋" w:cs="仿宋"/>
          <w:color w:val="auto"/>
          <w:sz w:val="24"/>
          <w:szCs w:val="24"/>
          <w:highlight w:val="none"/>
          <w:lang w:eastAsia="zh-CN"/>
        </w:rPr>
        <w:t>、医学、农学</w:t>
      </w:r>
      <w:r>
        <w:rPr>
          <w:rFonts w:hint="eastAsia" w:ascii="仿宋" w:hAnsi="仿宋" w:eastAsia="仿宋" w:cs="仿宋"/>
          <w:color w:val="auto"/>
          <w:sz w:val="24"/>
          <w:szCs w:val="24"/>
          <w:highlight w:val="none"/>
        </w:rPr>
        <w:t>等十三个学科，视频数量≥55000集。</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产品采用流媒体技术，高清、流畅、稳定的播放效果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视频格式是flv.mp4流媒体格式，支持本地缓存播放。800*600分辨率、25帧、视频平均1000kb、音频是96kb。</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产品平台页面设计人性化，页面简洁、操作简单，符合学习者使用习惯。截取、下载及二维码扫描移动终端观看等功能。视频资源高清原版原声发音，专业编译中英文字幕对照，并经过严格审核。</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视频资源库点播系统模块是流媒体服务平台，可以独立运营。整个模块基于B/S架构，采用自主知识产权的服务内核，除支持MPEG-1（mpg、dat、mp3）、MPEG-4（avi、asf、wmv）、REAL（rm、rmvb）、REAL10、FLV、CSF等众多主流媒体格式外，还支持所有非媒体流格式，同时采用NoDelay独创技术，支持广域网任意拖拽，响应时间极短。采用标准HTTP协议，全面实现对多网卡、跨网段、跨路由、跨防火墙的支持。单服务器支持1000并发流（无缓冲）。</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技术手段对课程进行保护，防止视频被非法传播。</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eastAsia="zh-CN"/>
        </w:rPr>
        <w:t>采用</w:t>
      </w:r>
      <w:r>
        <w:rPr>
          <w:rFonts w:hint="eastAsia" w:ascii="仿宋" w:hAnsi="仿宋" w:eastAsia="仿宋" w:cs="仿宋"/>
          <w:color w:val="auto"/>
          <w:sz w:val="24"/>
          <w:szCs w:val="24"/>
          <w:highlight w:val="none"/>
        </w:rPr>
        <w:t>ip地址授权</w:t>
      </w:r>
      <w:r>
        <w:rPr>
          <w:rFonts w:hint="eastAsia" w:ascii="仿宋" w:hAnsi="仿宋" w:eastAsia="仿宋" w:cs="仿宋"/>
          <w:color w:val="auto"/>
          <w:sz w:val="24"/>
          <w:szCs w:val="24"/>
          <w:highlight w:val="none"/>
          <w:lang w:eastAsia="zh-CN"/>
        </w:rPr>
        <w:t>访问，用户</w:t>
      </w:r>
      <w:r>
        <w:rPr>
          <w:rFonts w:hint="eastAsia" w:ascii="仿宋" w:hAnsi="仿宋" w:eastAsia="仿宋" w:cs="仿宋"/>
          <w:color w:val="auto"/>
          <w:sz w:val="24"/>
          <w:szCs w:val="24"/>
          <w:highlight w:val="none"/>
        </w:rPr>
        <w:t>学校的ip地址段访问，无需用户帐号登录，即可访问互联网资源库站和访问所授权的内容。</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要求供应商</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产品后台</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功能模块</w:t>
      </w:r>
      <w:r>
        <w:rPr>
          <w:rFonts w:hint="eastAsia" w:ascii="仿宋" w:hAnsi="仿宋" w:eastAsia="仿宋" w:cs="仿宋"/>
          <w:color w:val="auto"/>
          <w:sz w:val="24"/>
          <w:szCs w:val="24"/>
          <w:highlight w:val="none"/>
          <w:lang w:eastAsia="zh-CN"/>
        </w:rPr>
        <w:t>，用户可以通过该模块自主查询资源使用的各种情况。</w:t>
      </w:r>
    </w:p>
    <w:p>
      <w:pPr>
        <w:pStyle w:val="5"/>
        <w:numPr>
          <w:ilvl w:val="0"/>
          <w:numId w:val="10"/>
        </w:numPr>
        <w:ind w:left="0" w:leftChars="0" w:firstLine="40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订购内容</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全库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使用年限</w:t>
      </w:r>
      <w:r>
        <w:rPr>
          <w:rFonts w:hint="eastAsia" w:ascii="仿宋" w:hAnsi="仿宋" w:eastAsia="仿宋" w:cs="仿宋"/>
          <w:color w:val="auto"/>
          <w:sz w:val="24"/>
          <w:szCs w:val="24"/>
          <w:highlight w:val="none"/>
          <w:lang w:eastAsia="zh-CN"/>
        </w:rPr>
        <w:t>为一年，</w:t>
      </w:r>
      <w:r>
        <w:rPr>
          <w:rFonts w:hint="eastAsia" w:ascii="仿宋" w:hAnsi="仿宋" w:eastAsia="仿宋" w:cs="仿宋"/>
          <w:color w:val="auto"/>
          <w:sz w:val="24"/>
          <w:szCs w:val="24"/>
          <w:highlight w:val="none"/>
        </w:rPr>
        <w:t>版权问题由供应商负责</w:t>
      </w:r>
      <w:r>
        <w:rPr>
          <w:rFonts w:hint="eastAsia" w:ascii="仿宋" w:hAnsi="仿宋" w:eastAsia="仿宋" w:cs="仿宋"/>
          <w:color w:val="auto"/>
          <w:sz w:val="24"/>
          <w:szCs w:val="24"/>
          <w:highlight w:val="none"/>
          <w:lang w:eastAsia="zh-CN"/>
        </w:rPr>
        <w:t>，用户不承担任何版权连带责任。</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免费的数据库讲座及学习培训保证每年至少一次。提供免费的校内宣传及推广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免费提供数据库介绍，使用指导，课程说明，易拉宝等宣传物品。免费安装调试、人员培训、技术支持。定期进行用户回访，及时处理用户意见。数据库使用中出现任何问题保证2小时内作出响应，48小时内解决问题。产品供应商要提供课程的备份。采购方数据丢失和损坏时要免费重新上门安装。</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全部内容均通过网络实现访问，由保证7*24小时的客户服务，不间断进行数据更新及维护服务。故障天数一年内累计不得超过5天次，并保证有相应补救措施以不影响用户正常使用。</w:t>
      </w:r>
    </w:p>
    <w:p>
      <w:pPr>
        <w:pStyle w:val="5"/>
        <w:numPr>
          <w:ilvl w:val="0"/>
          <w:numId w:val="10"/>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要求提供产品的计算机软件著作权登记证书，代理商还需同时提供产品生产厂商的授权文件。（复印件加盖公章）</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7：中国探索教育视频资源服务平台</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探索资源服务平台涵盖探索发现、CCTV10、CCTV9、BTV纪实、北京卫视、辽宁卫视、凤凰视野等知名媒体最新节目内容，知识点涉及面广，内容珍贵丰富，能够较好的配合学校的课堂教育及课外素质教育。平台应涵盖科学探索、历史地理、文化艺术、军事战争、人物传记、社会生活、百家讲坛、旅游风光、健康养生等九个专题。视频数量≥12000集。</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采用流媒体技术，高清、流畅、稳定的播放效果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支持本地缓存播放。800*600分辨率、25帧、视频平均1000kb、音频是96kb。</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产品平台页面设计人性化，页面简洁、操作简单，符合学习者使用习惯。截取、下载及二维码扫描移动终端观看等功能。视频资源高清原版原声发音，专业编译中英文字幕对照，并经过严格审核。</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视频资源库点播系统模块是流媒体服务平台，可以独立运营。整个模块基于B/S架构，采用自主知识产权的服务内核，除支持MPEG-1（mpg、dat、mp3）、MPEG-4（avi、asf、wmv）、REAL（rm、rmvb）、REAL10、FLV、CSF等众多主流媒体格式外，还支持所有非媒体流格式，同时采用NoDelay独创技术，支持广域网任意拖拽，响应时间极短。采用标准HTTP协议，全面实现对多网卡、跨网段、跨路由、跨防火墙的支持。单服务器支持1000并发流（无缓冲）。</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技术手段对课程进行保护，防止视频被非法传播。</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平台提供</w:t>
      </w:r>
      <w:r>
        <w:rPr>
          <w:rFonts w:hint="eastAsia" w:ascii="仿宋" w:hAnsi="仿宋" w:eastAsia="仿宋" w:cs="仿宋"/>
          <w:color w:val="auto"/>
          <w:sz w:val="24"/>
          <w:szCs w:val="24"/>
          <w:highlight w:val="none"/>
        </w:rPr>
        <w:t>ip地址授权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lang w:eastAsia="zh-CN"/>
        </w:rPr>
        <w:t>用户单位</w:t>
      </w:r>
      <w:r>
        <w:rPr>
          <w:rFonts w:hint="eastAsia" w:ascii="仿宋" w:hAnsi="仿宋" w:eastAsia="仿宋" w:cs="仿宋"/>
          <w:color w:val="auto"/>
          <w:sz w:val="24"/>
          <w:szCs w:val="24"/>
          <w:highlight w:val="none"/>
        </w:rPr>
        <w:t>的ip地址段访问，无需用户帐号登录，即可访问互联网资源库站和访问所授权的内容。</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要求供应商提供产品后台</w:t>
      </w:r>
      <w:r>
        <w:rPr>
          <w:rFonts w:hint="eastAsia" w:ascii="仿宋" w:hAnsi="仿宋" w:eastAsia="仿宋" w:cs="仿宋"/>
          <w:color w:val="auto"/>
          <w:sz w:val="24"/>
          <w:szCs w:val="24"/>
          <w:highlight w:val="none"/>
          <w:lang w:eastAsia="zh-CN"/>
        </w:rPr>
        <w:t>管理</w:t>
      </w:r>
      <w:r>
        <w:rPr>
          <w:rFonts w:hint="eastAsia" w:ascii="仿宋" w:hAnsi="仿宋" w:eastAsia="仿宋" w:cs="仿宋"/>
          <w:color w:val="auto"/>
          <w:sz w:val="24"/>
          <w:szCs w:val="24"/>
          <w:highlight w:val="none"/>
        </w:rPr>
        <w:t>功能模块，用户可以通过该模块自主查询资源使用的各种情况。</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订购内容为全库，使用年限为一年，版权问题由供应商负责，用户不承担任何版权连带责任。</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费的数据库讲座及学习培训保证每年至少一次。提供免费的校内宣传及推广，免费提供数据库介绍，使用指导，课程说明，易拉宝等宣传物品。免费安装调试、人员培训、技术支持。定期进行用户回访，及时处理用户意见。数据库使用中出现任何问题保证2小时内作出响应，48小时内解决问题。产品供应商要提供课程的备份。采购方数据丢失和损坏时要免费重新上门安装。</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全部内容均通过网络实现访问，由保证7*24小时的客户服务，不间断进行数据更新及维护服务。故障天数一年内累计不得超过5天次，并保证有相应补救措施以不影响用户正常使用。</w:t>
      </w:r>
    </w:p>
    <w:p>
      <w:pPr>
        <w:pStyle w:val="5"/>
        <w:numPr>
          <w:ilvl w:val="0"/>
          <w:numId w:val="11"/>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要求提供产品的计算机软件著作权登记证书，代理商还需同时提供产品生产厂商的授权文件。（复印件加盖公章）</w:t>
      </w:r>
    </w:p>
    <w:p>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8:悦听有声数字图书馆</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平台具备中华人民共和国家版权局颁发的专业软件著作权证书。</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平台配备专业真人发声的“今日主播” 栏目功能，每天为读者播出不同内容。</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资源内容包含今日主播馆、中华国学馆、现代文学馆、探案悬疑馆、科学幻想馆、游记心情馆、人文社科馆、生活百科馆、音乐名曲馆、美术鉴赏馆、生活百科馆等 13 个一级分类共计 10万余集。</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有“文字和声音同步显示”的功能，收听的同时有可以阅读的文本格式文字，可以复制粘贴，实现“边听边看”的享受，方便读者学习引用。</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检索具备一框式检索和明确的分类导航，具有“优选推荐” 和“主播推荐”的导航功能；操作功能：具有提供上一页、下一页翻页功能，显示上一页和下一页。播放器：显示播放状态和已经播放的时间，可暂停或播放继续听。每篇内容的播放页面都会显示一个二维码， 可扫描该二维码，根据提示可以通过手机网络收听。</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不限制并发数，在规定网络范围都可以访问学习。</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每篇文章具备下载功能和“浏览历史”的导航功能。</w:t>
      </w:r>
    </w:p>
    <w:p>
      <w:pPr>
        <w:pStyle w:val="5"/>
        <w:numPr>
          <w:ilvl w:val="0"/>
          <w:numId w:val="12"/>
        </w:numPr>
        <w:ind w:left="0" w:lef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具有在馆外任何有网络的移动终端访问的功能，不限制时间地点随时随地可以访问学习。不限制并发数。</w:t>
      </w:r>
    </w:p>
    <w:p>
      <w:pPr>
        <w:keepNext w:val="0"/>
        <w:keepLines w:val="0"/>
        <w:widowControl w:val="0"/>
        <w:numPr>
          <w:ilvl w:val="0"/>
          <w:numId w:val="0"/>
        </w:numPr>
        <w:suppressLineNumbers w:val="0"/>
        <w:spacing w:before="0" w:beforeAutospacing="0" w:after="0" w:afterAutospacing="0" w:line="360" w:lineRule="auto"/>
        <w:ind w:right="0" w:rightChars="0" w:firstLine="241" w:firstLineChars="100"/>
        <w:jc w:val="both"/>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kern w:val="2"/>
          <w:sz w:val="24"/>
          <w:szCs w:val="24"/>
          <w:highlight w:val="none"/>
          <w:lang w:val="en-US" w:eastAsia="zh-CN" w:bidi="ar"/>
        </w:rPr>
        <w:t>9：掌阅精选数字图书馆</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资源数量：电子图书数量不少于3万种，有声图书数量不于10000集。</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资源年更新量：电子图书不少于5000种，有声图书不少于1000集。</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电子图书和有声图书须在同一平台上运行。</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资源格式：所有电子图书均须为EPUB格式，有声图书须为MP3格式，以保证图书的阅读体验和阅读质量。</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图书图书资源内容应涵盖全世界各学科各领域，有世界经典文学、历史、医学、心理、政治、军事、国际、语言、心理、法律、管理、经济、教育、体育，艺术、外交、互联网、媒体、翻译、地理、人文、艺术、传记、社科、经管、理财、科普、医学、外语、哲学、法律、农业、体育、外文、国学、影视原著、等包罗万象的全世界经典名著及各类国内外大奖获奖作品书。均为豆瓣高分书、热度榜单书、新书、好书、经典书，亚马逊Kindle销售排行榜书100%覆盖，当当新书热卖榜单书覆盖80%，近3年上市新书占比一半以上等分类优质电子图书；</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有声图书应包含经典名著解读书、知识课程、人文社科、经管、文学、励志、英语学习、国学、评书、广播剧等优质有声资源；</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涵盖“新时代新经典”专题图书，收录学习习近平新时代中国特色社会主义思想重点数字图书，“新时代新经典”专题图书不少于100本。</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资源版权保障：电子图书均为正规出版物发行授权的正版图书</w:t>
      </w:r>
      <w:r>
        <w:rPr>
          <w:rFonts w:hint="eastAsia" w:ascii="仿宋" w:hAnsi="仿宋" w:eastAsia="仿宋" w:cs="仿宋"/>
          <w:color w:val="auto"/>
          <w:sz w:val="24"/>
          <w:szCs w:val="24"/>
          <w:highlight w:val="none"/>
          <w:lang w:val="en-US" w:eastAsia="zh-CN"/>
        </w:rPr>
        <w:t>.所有资源版权，供应方必须有效解决，用户方不承担因版权问题引起的任何连带责任。</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为保障采购人所提供的电子图书的品质，收录</w:t>
      </w:r>
      <w:r>
        <w:rPr>
          <w:rFonts w:hint="eastAsia" w:ascii="仿宋" w:hAnsi="仿宋" w:eastAsia="仿宋" w:cs="仿宋"/>
          <w:color w:val="auto"/>
          <w:sz w:val="24"/>
          <w:szCs w:val="24"/>
          <w:highlight w:val="none"/>
          <w:lang w:eastAsia="zh-CN"/>
        </w:rPr>
        <w:t>的作品包括</w:t>
      </w:r>
      <w:r>
        <w:rPr>
          <w:rFonts w:hint="eastAsia" w:ascii="仿宋" w:hAnsi="仿宋" w:eastAsia="仿宋" w:cs="仿宋"/>
          <w:color w:val="auto"/>
          <w:sz w:val="24"/>
          <w:szCs w:val="24"/>
          <w:highlight w:val="none"/>
        </w:rPr>
        <w:t>大奖书系作品，</w:t>
      </w:r>
      <w:r>
        <w:rPr>
          <w:rFonts w:hint="eastAsia" w:ascii="仿宋" w:hAnsi="仿宋" w:eastAsia="仿宋" w:cs="仿宋"/>
          <w:color w:val="auto"/>
          <w:sz w:val="24"/>
          <w:szCs w:val="24"/>
          <w:highlight w:val="none"/>
          <w:lang w:eastAsia="zh-CN"/>
        </w:rPr>
        <w:t>如</w:t>
      </w:r>
      <w:r>
        <w:rPr>
          <w:rFonts w:hint="eastAsia" w:ascii="仿宋" w:hAnsi="仿宋" w:eastAsia="仿宋" w:cs="仿宋"/>
          <w:color w:val="auto"/>
          <w:sz w:val="24"/>
          <w:szCs w:val="24"/>
          <w:highlight w:val="none"/>
        </w:rPr>
        <w:t>茅盾文学奖、诺贝尔文学奖、鲁迅文学奖、雨果奖、星云奖、文津图书奖、中国好书</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服务方式：系统平台采用互联网访问模式、无需使用VPN等第三方系统，支持H5、PC、APP、小程序等多终端阅读方式；</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帐号登录：“掌阅精选”PC端、微信/H5端、APP端账号体系同步，用户在“掌阅精选”PC端或微信/H5端注册账号后可在所有服务端口直接登录使用。</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收藏：支持收藏图书、听书功能；收藏记录在“掌阅精选”PC端、微信/H5端、APP端账号体系同步；</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浏览记录：支持图书、听书浏览记录功能；浏览记录在“掌阅精选”PC端、微信/H5端、APP端账号体系同步；</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支持记录上次阅读位置，读者点击浏览记录即可定位到上次阅读的页面或章节；</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搜索：支持图书、听书资源检索；支持书名、作者、出版社等关键字搜索。</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阅读数据统计：支持数据统计，包括但不限于阅读时长、阅读次数、阅读记录、阅读排名；支持个人阅读（收听）数据统计展示功能，统计展示今日、本周及累计阅读时长；</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移动阅读客户端软件APP客户端版本：支持安卓、苹果手机系统，支持苹果App Store下载。具备在线试读（试听）、收藏、个人书架、浏览记录、下载、资源搜索、资源分类、阅读排行、阅读数据统计、资源分享等功能。</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书籍详情介绍：书籍详情介绍丰富全面，包含图书基本信息、版权信息、书籍简介、目录、图书推荐语、书籍金句、作者介绍、同类热门书籍推荐等信息展示；</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图书支持3D仿真翻页效果，阅读界面支持图书多种翻页方式、字体更换、字号大小切换、阅读背景切换、行距调整、护眼模式，支持阅读时进行划线、阅读批注、书籍关键词搜索、词典、翻译、阅读背景音乐、添加书签、章节切换、支持划线及批注笔记导出等；</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资源下载：支持阅读下载图书资源。</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机构可发起“机构共读”活动，指定特定图书在机构读者范围内开展共度活动，机构可随时查看读者参与情况、读者阅读进度；</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图书分享：读者可将图书分享至微信、朋友圈等社交平台。</w:t>
      </w:r>
    </w:p>
    <w:p>
      <w:pPr>
        <w:pStyle w:val="5"/>
        <w:numPr>
          <w:ilvl w:val="0"/>
          <w:numId w:val="13"/>
        </w:numPr>
        <w:ind w:left="0" w:leftChars="0" w:right="0" w:rightChars="0" w:firstLine="40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代理商须提供</w:t>
      </w:r>
      <w:r>
        <w:rPr>
          <w:rFonts w:hint="eastAsia" w:ascii="仿宋" w:hAnsi="仿宋" w:eastAsia="仿宋" w:cs="仿宋"/>
          <w:color w:val="auto"/>
          <w:sz w:val="24"/>
          <w:szCs w:val="24"/>
          <w:highlight w:val="none"/>
          <w:lang w:eastAsia="zh-CN"/>
        </w:rPr>
        <w:t>掌</w:t>
      </w:r>
      <w:r>
        <w:rPr>
          <w:rFonts w:hint="eastAsia" w:ascii="仿宋" w:hAnsi="仿宋" w:eastAsia="仿宋" w:cs="仿宋"/>
          <w:color w:val="auto"/>
          <w:sz w:val="24"/>
          <w:szCs w:val="24"/>
          <w:highlight w:val="none"/>
        </w:rPr>
        <w:t>阅科技股份有限公司授权书</w:t>
      </w:r>
    </w:p>
    <w:p>
      <w:pPr>
        <w:pStyle w:val="5"/>
        <w:spacing w:line="360" w:lineRule="auto"/>
        <w:ind w:left="0" w:leftChars="0" w:firstLine="0" w:firstLineChars="0"/>
        <w:rPr>
          <w:rFonts w:hint="eastAsia" w:ascii="宋体" w:hAnsi="宋体"/>
          <w:color w:val="auto"/>
          <w:szCs w:val="21"/>
          <w:highlight w:val="none"/>
        </w:rPr>
      </w:pPr>
    </w:p>
    <w:p>
      <w:pPr>
        <w:pStyle w:val="5"/>
        <w:spacing w:line="360" w:lineRule="auto"/>
        <w:ind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本章第2.</w:t>
      </w:r>
      <w:r>
        <w:rPr>
          <w:rFonts w:hint="eastAsia" w:ascii="宋体" w:hAnsi="宋体"/>
          <w:color w:val="auto"/>
          <w:szCs w:val="21"/>
          <w:highlight w:val="none"/>
          <w:lang w:val="en-US" w:eastAsia="zh-CN"/>
        </w:rPr>
        <w:t>1</w:t>
      </w:r>
      <w:r>
        <w:rPr>
          <w:rFonts w:hint="eastAsia" w:ascii="宋体" w:hAnsi="宋体"/>
          <w:color w:val="auto"/>
          <w:szCs w:val="21"/>
          <w:highlight w:val="none"/>
        </w:rPr>
        <w:t>条款未明确货物（产品）执行标准、规范的，则按下列方法进行选择：</w:t>
      </w:r>
    </w:p>
    <w:p>
      <w:pPr>
        <w:pStyle w:val="5"/>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rPr>
        <w:t xml:space="preserve">     □ 顺序执行：国家标准→行业标准→地方标准→团体标准→企业标准（有国家标准按国家标准执行，没有国家标准按行业标准，以此类推）；</w:t>
      </w:r>
    </w:p>
    <w:p>
      <w:pPr>
        <w:pStyle w:val="5"/>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rPr>
        <w:t xml:space="preserve">     □ 最高标准执行：国家标准，行业标准，地方标准，团体标准，企业标准（那个标准高执行那个标准）；</w:t>
      </w:r>
    </w:p>
    <w:p>
      <w:pPr>
        <w:pStyle w:val="5"/>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hint="eastAsia" w:ascii="宋体" w:hAnsi="宋体"/>
          <w:color w:val="auto"/>
          <w:position w:val="2"/>
          <w:szCs w:val="21"/>
          <w:highlight w:val="none"/>
        </w:rPr>
        <w:instrText xml:space="preserve">√</w:instrText>
      </w:r>
      <w:r>
        <w:rPr>
          <w:rFonts w:hint="eastAsia" w:ascii="宋体" w:hAnsi="宋体"/>
          <w:color w:val="auto"/>
          <w:szCs w:val="21"/>
          <w:highlight w:val="none"/>
        </w:rPr>
        <w:instrText xml:space="preserve">)</w:instrText>
      </w:r>
      <w:r>
        <w:rPr>
          <w:rFonts w:ascii="宋体" w:hAnsi="宋体"/>
          <w:color w:val="auto"/>
          <w:szCs w:val="21"/>
          <w:highlight w:val="none"/>
        </w:rPr>
        <w:fldChar w:fldCharType="end"/>
      </w:r>
      <w:r>
        <w:rPr>
          <w:rFonts w:hint="eastAsia" w:ascii="宋体" w:hAnsi="宋体"/>
          <w:color w:val="auto"/>
          <w:szCs w:val="21"/>
          <w:highlight w:val="none"/>
        </w:rPr>
        <w:t xml:space="preserve"> 必须执行：国家（行业）强制性标准。</w:t>
      </w:r>
    </w:p>
    <w:p>
      <w:pPr>
        <w:pStyle w:val="5"/>
        <w:spacing w:before="120" w:beforeLines="50" w:after="120" w:afterLines="50" w:line="360" w:lineRule="auto"/>
        <w:ind w:firstLine="0"/>
        <w:rPr>
          <w:rFonts w:hint="eastAsia" w:ascii="宋体" w:hAnsi="宋体"/>
          <w:b/>
          <w:bCs/>
          <w:color w:val="auto"/>
          <w:sz w:val="36"/>
          <w:szCs w:val="36"/>
          <w:highlight w:val="none"/>
        </w:rPr>
      </w:pPr>
      <w:r>
        <w:rPr>
          <w:rFonts w:hint="eastAsia" w:ascii="宋体" w:hAnsi="宋体"/>
          <w:b/>
          <w:color w:val="auto"/>
          <w:sz w:val="36"/>
          <w:szCs w:val="36"/>
          <w:highlight w:val="none"/>
        </w:rPr>
        <w:t>3.</w:t>
      </w:r>
      <w:r>
        <w:rPr>
          <w:rFonts w:hint="eastAsia" w:ascii="宋体" w:hAnsi="宋体"/>
          <w:b/>
          <w:bCs/>
          <w:color w:val="auto"/>
          <w:sz w:val="36"/>
          <w:szCs w:val="36"/>
          <w:highlight w:val="none"/>
        </w:rPr>
        <w:t>商务要求</w:t>
      </w:r>
    </w:p>
    <w:bookmarkEnd w:id="87"/>
    <w:p>
      <w:pPr>
        <w:pStyle w:val="6"/>
        <w:spacing w:before="120" w:beforeLines="50" w:after="0" w:line="360" w:lineRule="auto"/>
        <w:ind w:firstLine="527" w:firstLineChars="250"/>
        <w:rPr>
          <w:rFonts w:hint="eastAsia" w:ascii="宋体" w:hAnsi="宋体"/>
          <w:bCs/>
          <w:color w:val="auto"/>
          <w:sz w:val="21"/>
          <w:szCs w:val="21"/>
          <w:highlight w:val="none"/>
        </w:rPr>
      </w:pPr>
      <w:r>
        <w:rPr>
          <w:rFonts w:hint="eastAsia" w:ascii="宋体" w:hAnsi="宋体"/>
          <w:bCs/>
          <w:color w:val="auto"/>
          <w:sz w:val="21"/>
          <w:szCs w:val="21"/>
          <w:highlight w:val="none"/>
        </w:rPr>
        <w:t>带有☆号的商务要求为实质性条款不得有偏差。</w:t>
      </w:r>
    </w:p>
    <w:p>
      <w:pPr>
        <w:pStyle w:val="5"/>
        <w:spacing w:line="360" w:lineRule="auto"/>
        <w:rPr>
          <w:rFonts w:hint="eastAsia" w:ascii="宋体" w:hAnsi="宋体"/>
          <w:color w:val="auto"/>
          <w:szCs w:val="21"/>
          <w:highlight w:val="none"/>
        </w:rPr>
      </w:pP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3.</w:t>
      </w:r>
      <w:r>
        <w:rPr>
          <w:rFonts w:hint="eastAsia" w:ascii="宋体" w:hAnsi="宋体"/>
          <w:color w:val="auto"/>
          <w:szCs w:val="21"/>
          <w:highlight w:val="none"/>
          <w:lang w:val="en-US" w:eastAsia="zh-CN"/>
        </w:rPr>
        <w:t>1</w:t>
      </w:r>
      <w:r>
        <w:rPr>
          <w:rFonts w:hint="eastAsia" w:ascii="宋体" w:hAnsi="宋体"/>
          <w:b/>
          <w:color w:val="auto"/>
          <w:szCs w:val="21"/>
          <w:highlight w:val="none"/>
        </w:rPr>
        <w:t>实施时间（期限）和地点：</w:t>
      </w:r>
      <w:r>
        <w:rPr>
          <w:rFonts w:hint="eastAsia" w:ascii="宋体" w:hAnsi="宋体"/>
          <w:color w:val="auto"/>
          <w:szCs w:val="21"/>
          <w:highlight w:val="none"/>
        </w:rPr>
        <w:t>见</w:t>
      </w:r>
      <w:r>
        <w:rPr>
          <w:rFonts w:hint="eastAsia" w:ascii="宋体" w:hAnsi="宋体"/>
          <w:color w:val="auto"/>
          <w:szCs w:val="21"/>
          <w:highlight w:val="none"/>
          <w:lang w:val="en-US" w:eastAsia="zh-CN"/>
        </w:rPr>
        <w:t>谈判</w:t>
      </w:r>
      <w:r>
        <w:rPr>
          <w:rFonts w:hint="eastAsia" w:ascii="宋体" w:hAnsi="宋体"/>
          <w:color w:val="auto"/>
          <w:szCs w:val="21"/>
          <w:highlight w:val="none"/>
        </w:rPr>
        <w:t>须知附表。</w:t>
      </w:r>
    </w:p>
    <w:p>
      <w:pPr>
        <w:pStyle w:val="5"/>
        <w:spacing w:line="360" w:lineRule="auto"/>
        <w:rPr>
          <w:rFonts w:hint="eastAsia" w:ascii="宋体" w:hAnsi="宋体"/>
          <w:color w:val="auto"/>
          <w:szCs w:val="21"/>
          <w:highlight w:val="none"/>
        </w:rPr>
      </w:pPr>
      <w:r>
        <w:rPr>
          <w:rFonts w:hint="eastAsia" w:ascii="宋体" w:hAnsi="宋体"/>
          <w:bCs/>
          <w:color w:val="auto"/>
          <w:sz w:val="21"/>
          <w:szCs w:val="21"/>
          <w:highlight w:val="none"/>
        </w:rPr>
        <w:t>☆</w:t>
      </w:r>
      <w:r>
        <w:rPr>
          <w:rFonts w:hint="eastAsia" w:ascii="宋体" w:hAnsi="宋体"/>
          <w:color w:val="auto"/>
          <w:szCs w:val="21"/>
          <w:highlight w:val="none"/>
          <w:lang w:val="en-US" w:eastAsia="zh-CN"/>
        </w:rPr>
        <w:t>3.2</w:t>
      </w:r>
      <w:r>
        <w:rPr>
          <w:rFonts w:hint="eastAsia" w:ascii="宋体" w:hAnsi="宋体"/>
          <w:b/>
          <w:color w:val="auto"/>
          <w:szCs w:val="21"/>
          <w:highlight w:val="none"/>
        </w:rPr>
        <w:t>付款条件：</w:t>
      </w:r>
      <w:r>
        <w:rPr>
          <w:rFonts w:hint="eastAsia" w:ascii="宋体" w:hAnsi="宋体"/>
          <w:b/>
          <w:color w:val="auto"/>
          <w:szCs w:val="21"/>
          <w:highlight w:val="none"/>
          <w:lang w:val="en-US" w:eastAsia="zh-CN"/>
        </w:rPr>
        <w:t xml:space="preserve"> </w:t>
      </w:r>
      <w:r>
        <w:rPr>
          <w:rFonts w:hint="eastAsia" w:ascii="宋体" w:hAnsi="宋体"/>
          <w:b w:val="0"/>
          <w:bCs/>
          <w:color w:val="auto"/>
          <w:szCs w:val="21"/>
          <w:highlight w:val="none"/>
          <w:lang w:val="en-US" w:eastAsia="zh-CN"/>
        </w:rPr>
        <w:t>分包1、分包2、分包3、分包4，各分两次支付，合同签订后一个月内支付合同金额的50%，剩余50%于合同执行六个月后无息支付；分包5、分包6、分包7、分包8、分包9，数据库正常使用合同签订后一个月内支付。</w:t>
      </w:r>
    </w:p>
    <w:p>
      <w:pPr>
        <w:pStyle w:val="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3.3质保期：数据库开通后一年。</w:t>
      </w:r>
    </w:p>
    <w:p>
      <w:pPr>
        <w:pStyle w:val="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3.4履约保证金的缴纳与退还：成交金额的5%，合同签订前数据提供商支付到用户单位帐户，数据库开通六个月后无息退还。</w:t>
      </w:r>
    </w:p>
    <w:p>
      <w:pPr>
        <w:pStyle w:val="5"/>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3.5售后服务：1）网络访问出现问题后，在24小时内解决。2）根据用户要求，随时提供数据访问统计。</w:t>
      </w:r>
    </w:p>
    <w:p>
      <w:pPr>
        <w:pStyle w:val="5"/>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3.6质量保证： 1、数据库内容符合招标要求。2、数据平台运行稳定，运行速度符合行业标准。3、数据库任何版权问题，由提供商解决，用户不承担任何版权责任</w:t>
      </w:r>
    </w:p>
    <w:p>
      <w:pPr>
        <w:widowControl/>
        <w:spacing w:after="240" w:afterLines="100" w:line="400" w:lineRule="atLeast"/>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4.本项目所属行业</w:t>
      </w:r>
    </w:p>
    <w:p>
      <w:pPr>
        <w:pStyle w:val="5"/>
        <w:spacing w:line="360" w:lineRule="auto"/>
        <w:rPr>
          <w:rFonts w:hint="eastAsia" w:eastAsia="宋体"/>
          <w:color w:val="auto"/>
          <w:highlight w:val="none"/>
          <w:lang w:eastAsia="zh-CN"/>
        </w:rPr>
      </w:pPr>
      <w:r>
        <w:rPr>
          <w:rFonts w:hint="eastAsia" w:eastAsia="宋体"/>
          <w:color w:val="auto"/>
          <w:highlight w:val="none"/>
          <w:lang w:val="en-US" w:eastAsia="zh-CN"/>
        </w:rPr>
        <w:t>本项目所属行业：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5"/>
        <w:spacing w:line="360" w:lineRule="auto"/>
        <w:rPr>
          <w:rFonts w:hint="eastAsia" w:eastAsia="宋体"/>
          <w:color w:val="auto"/>
          <w:highlight w:val="none"/>
          <w:lang w:eastAsia="zh-CN"/>
        </w:rPr>
      </w:pPr>
      <w:r>
        <w:rPr>
          <w:rFonts w:hint="eastAsia" w:eastAsia="宋体"/>
          <w:color w:val="auto"/>
          <w:highlight w:val="none"/>
          <w:lang w:eastAsia="zh-CN"/>
        </w:rPr>
        <w:br w:type="page"/>
      </w:r>
    </w:p>
    <w:p>
      <w:pPr>
        <w:widowControl/>
        <w:spacing w:after="240" w:afterLines="100" w:line="400" w:lineRule="atLeast"/>
        <w:ind w:firstLine="660" w:firstLineChars="150"/>
        <w:jc w:val="center"/>
        <w:rPr>
          <w:rFonts w:hint="eastAsia" w:ascii="方正小标宋简体" w:hAnsi="宋体" w:eastAsia="方正小标宋简体"/>
          <w:color w:val="auto"/>
          <w:sz w:val="44"/>
          <w:szCs w:val="44"/>
          <w:highlight w:val="none"/>
          <w:lang w:eastAsia="zh-CN"/>
        </w:rPr>
      </w:pPr>
      <w:r>
        <w:rPr>
          <w:rFonts w:hint="eastAsia" w:ascii="方正小标宋简体" w:hAnsi="宋体" w:eastAsia="方正小标宋简体"/>
          <w:color w:val="auto"/>
          <w:sz w:val="44"/>
          <w:szCs w:val="44"/>
          <w:highlight w:val="none"/>
        </w:rPr>
        <w:t xml:space="preserve">第四章  </w:t>
      </w:r>
      <w:r>
        <w:rPr>
          <w:rFonts w:hint="eastAsia" w:ascii="方正小标宋简体" w:hAnsi="宋体" w:eastAsia="方正小标宋简体"/>
          <w:color w:val="auto"/>
          <w:sz w:val="44"/>
          <w:szCs w:val="44"/>
          <w:highlight w:val="none"/>
          <w:lang w:eastAsia="zh-CN"/>
        </w:rPr>
        <w:t>合同主要条款</w:t>
      </w: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szCs w:val="21"/>
          <w:highlight w:val="none"/>
        </w:rPr>
      </w:pPr>
      <w:bookmarkStart w:id="88" w:name="_Toc479756141"/>
      <w:r>
        <w:rPr>
          <w:rFonts w:hint="eastAsia" w:ascii="宋体" w:hAnsi="宋体"/>
          <w:color w:val="auto"/>
          <w:szCs w:val="21"/>
          <w:highlight w:val="none"/>
        </w:rPr>
        <w:t xml:space="preserve">甲方：咸阳师范学院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乙方：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甲乙双方本着互惠互利的原则，就乙方为甲方</w:t>
      </w:r>
      <w:r>
        <w:rPr>
          <w:rFonts w:hint="eastAsia" w:ascii="宋体" w:hAnsi="宋体"/>
          <w:color w:val="auto"/>
          <w:kern w:val="0"/>
          <w:szCs w:val="21"/>
          <w:highlight w:val="none"/>
          <w:u w:val="single"/>
        </w:rPr>
        <w:t>2023年电子资源征订项目（电子资源数据库建设）</w:t>
      </w:r>
      <w:r>
        <w:rPr>
          <w:rFonts w:hint="eastAsia" w:ascii="宋体" w:hAnsi="宋体"/>
          <w:color w:val="auto"/>
          <w:szCs w:val="21"/>
          <w:highlight w:val="none"/>
          <w:u w:val="single"/>
        </w:rPr>
        <w:t xml:space="preserve">       </w:t>
      </w:r>
      <w:r>
        <w:rPr>
          <w:rFonts w:hint="eastAsia" w:ascii="宋体" w:hAnsi="宋体"/>
          <w:color w:val="auto"/>
          <w:szCs w:val="21"/>
          <w:highlight w:val="none"/>
        </w:rPr>
        <w:t>（包段号），双方通过友好协商，现将有关事项签订合同如下，以资共同遵守。</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一、服务内容：</w:t>
      </w:r>
    </w:p>
    <w:p>
      <w:pPr>
        <w:spacing w:line="360" w:lineRule="auto"/>
        <w:ind w:firstLine="420" w:firstLineChars="200"/>
        <w:jc w:val="left"/>
        <w:rPr>
          <w:rFonts w:hint="eastAsia" w:ascii="宋体" w:hAnsi="宋体" w:eastAsia="宋体"/>
          <w:color w:val="auto"/>
          <w:szCs w:val="21"/>
          <w:highlight w:val="none"/>
          <w:u w:val="none"/>
          <w:lang w:val="en-US" w:eastAsia="zh-CN"/>
        </w:rPr>
      </w:pPr>
      <w:r>
        <w:rPr>
          <w:rFonts w:hint="eastAsia" w:ascii="宋体" w:hAnsi="宋体"/>
          <w:color w:val="auto"/>
          <w:szCs w:val="21"/>
          <w:highlight w:val="none"/>
          <w:u w:val="single"/>
        </w:rPr>
        <w:t>详见采购内容。</w:t>
      </w:r>
      <w:r>
        <w:rPr>
          <w:rFonts w:hint="eastAsia" w:ascii="宋体" w:hAnsi="宋体"/>
          <w:color w:val="auto"/>
          <w:szCs w:val="21"/>
          <w:highlight w:val="none"/>
          <w:u w:val="single"/>
          <w:lang w:val="en-US" w:eastAsia="zh-CN"/>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二、合同价格：</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合同总价：人民币大写：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元整；￥</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三、服务期限</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服务日期：       年    月    日至       年    月    日。</w:t>
      </w:r>
    </w:p>
    <w:p>
      <w:pPr>
        <w:spacing w:line="360" w:lineRule="auto"/>
        <w:ind w:firstLine="420" w:firstLineChars="200"/>
        <w:jc w:val="left"/>
        <w:rPr>
          <w:rFonts w:hint="default" w:ascii="宋体" w:hAnsi="宋体" w:eastAsia="宋体"/>
          <w:color w:val="auto"/>
          <w:szCs w:val="21"/>
          <w:highlight w:val="none"/>
          <w:u w:val="single"/>
          <w:lang w:val="en-US" w:eastAsia="zh-CN"/>
        </w:rPr>
      </w:pPr>
      <w:r>
        <w:rPr>
          <w:rFonts w:hint="eastAsia" w:ascii="宋体" w:hAnsi="宋体"/>
          <w:color w:val="auto"/>
          <w:szCs w:val="21"/>
          <w:highlight w:val="none"/>
          <w:lang w:val="en-US" w:eastAsia="zh-CN"/>
        </w:rPr>
        <w:t>四、</w:t>
      </w:r>
      <w:r>
        <w:rPr>
          <w:rFonts w:hint="eastAsia" w:ascii="宋体" w:hAnsi="宋体"/>
          <w:color w:val="auto"/>
          <w:szCs w:val="21"/>
          <w:highlight w:val="none"/>
        </w:rPr>
        <w:t>付款方式及期限：</w:t>
      </w:r>
      <w:r>
        <w:rPr>
          <w:rFonts w:hint="eastAsia" w:ascii="宋体" w:hAnsi="宋体"/>
          <w:color w:val="auto"/>
          <w:szCs w:val="21"/>
          <w:highlight w:val="none"/>
          <w:u w:val="single"/>
          <w:lang w:val="en-US" w:eastAsia="zh-CN"/>
        </w:rPr>
        <w:t xml:space="preserve">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五、违约责任 </w:t>
      </w:r>
    </w:p>
    <w:p>
      <w:pPr>
        <w:spacing w:line="36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 xml:space="preserve">  合同期间，双方必须信守合同，真诚合作，不得违反合同规定。否则，应负违约责任，并给对方以相应的经济赔偿(非人为因素除外) 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六、未尽事宜</w:t>
      </w:r>
    </w:p>
    <w:p>
      <w:pPr>
        <w:spacing w:line="36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1、本协议未尽事宜，双方友好协商解决。</w:t>
      </w:r>
    </w:p>
    <w:p>
      <w:pPr>
        <w:spacing w:line="36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2、如甲方上级单位另有具体要求，将按照上级要求进行完善，以补充协议形式进行实施。补充协议与本协议具有同等法律效力。</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七、合同履行</w:t>
      </w:r>
    </w:p>
    <w:p>
      <w:pPr>
        <w:spacing w:line="360" w:lineRule="auto"/>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本合同在履行过程中，如发生争议，双方先协商解决，若未达成一致，再申请所在地法院解决。</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八、合同生效</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合同一式</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份，甲方持</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份、乙方执</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份，招标代理机构壹份。双方签字盖章后生效，合同执行完毕自动失效。（合同的服务承诺长期有效）。</w:t>
      </w: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甲方:咸阳师范学院                     乙方：</w:t>
      </w: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法人/委托代理人：                     法人/委托代理人：</w:t>
      </w:r>
    </w:p>
    <w:p>
      <w:pPr>
        <w:spacing w:line="360" w:lineRule="auto"/>
        <w:ind w:firstLine="420" w:firstLineChars="200"/>
        <w:jc w:val="left"/>
        <w:rPr>
          <w:rFonts w:hint="eastAsia" w:ascii="宋体" w:hAnsi="宋体"/>
          <w:color w:val="auto"/>
          <w:szCs w:val="21"/>
          <w:highlight w:val="none"/>
        </w:rPr>
      </w:pP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地址：                                 地址：</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电话：                                 电话：</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开户行：                               开户行：</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账号：                                 账号：</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签订地址：</w:t>
      </w:r>
    </w:p>
    <w:p>
      <w:pPr>
        <w:spacing w:line="360" w:lineRule="auto"/>
        <w:ind w:firstLine="420" w:firstLineChars="200"/>
        <w:jc w:val="left"/>
        <w:rPr>
          <w:rFonts w:hint="eastAsia" w:ascii="方正小标宋简体" w:hAnsi="宋体" w:eastAsia="方正小标宋简体"/>
          <w:color w:val="auto"/>
          <w:sz w:val="44"/>
          <w:szCs w:val="44"/>
          <w:highlight w:val="none"/>
        </w:rPr>
      </w:pPr>
      <w:r>
        <w:rPr>
          <w:rFonts w:hint="eastAsia" w:ascii="宋体" w:hAnsi="宋体"/>
          <w:color w:val="auto"/>
          <w:szCs w:val="21"/>
          <w:highlight w:val="none"/>
        </w:rPr>
        <w:t>签订日期：        年     月    日</w:t>
      </w:r>
      <w:bookmarkEnd w:id="88"/>
      <w:r>
        <w:rPr>
          <w:rFonts w:hint="eastAsia" w:ascii="宋体" w:hAnsi="宋体"/>
          <w:color w:val="auto"/>
          <w:szCs w:val="21"/>
          <w:highlight w:val="none"/>
        </w:rPr>
        <w:br w:type="page"/>
      </w:r>
    </w:p>
    <w:p>
      <w:pPr>
        <w:spacing w:before="120" w:beforeLines="50" w:line="520" w:lineRule="exact"/>
        <w:jc w:val="center"/>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第五章 响应文件格式</w:t>
      </w:r>
      <w:bookmarkEnd w:id="85"/>
    </w:p>
    <w:p>
      <w:pPr>
        <w:spacing w:line="520" w:lineRule="exact"/>
        <w:jc w:val="center"/>
        <w:rPr>
          <w:rFonts w:ascii="仿宋_GB2312" w:eastAsia="仿宋_GB2312"/>
          <w:b/>
          <w:color w:val="auto"/>
          <w:sz w:val="32"/>
          <w:szCs w:val="32"/>
          <w:highlight w:val="none"/>
        </w:rPr>
      </w:pPr>
    </w:p>
    <w:p>
      <w:pPr>
        <w:spacing w:line="400" w:lineRule="exact"/>
        <w:jc w:val="center"/>
        <w:rPr>
          <w:rFonts w:ascii="仿宋_GB2312" w:eastAsia="仿宋_GB2312"/>
          <w:b/>
          <w:color w:val="auto"/>
          <w:sz w:val="32"/>
          <w:szCs w:val="32"/>
          <w:highlight w:val="none"/>
        </w:rPr>
      </w:pPr>
    </w:p>
    <w:p>
      <w:pPr>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响应文件格式是供应商的部分响应文件格式，供应商应按照这些格式编制响应文件。编制响应文件前，请详细阅读采购文件，理解文件中的每一项要求，做出逐一实质性响应，认为有必要，可做补充说明。</w:t>
      </w:r>
    </w:p>
    <w:p>
      <w:pPr>
        <w:spacing w:line="400" w:lineRule="exact"/>
        <w:jc w:val="center"/>
        <w:rPr>
          <w:rFonts w:ascii="仿宋_GB2312" w:hAnsi="宋体" w:eastAsia="仿宋_GB2312"/>
          <w:b/>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spacing w:line="400" w:lineRule="exact"/>
        <w:ind w:firstLine="570"/>
        <w:rPr>
          <w:rFonts w:ascii="仿宋_GB2312" w:hAnsi="宋体" w:eastAsia="仿宋_GB2312"/>
          <w:color w:val="auto"/>
          <w:sz w:val="28"/>
          <w:szCs w:val="28"/>
          <w:highlight w:val="none"/>
        </w:rPr>
      </w:pPr>
    </w:p>
    <w:p>
      <w:pPr>
        <w:pStyle w:val="4"/>
        <w:spacing w:line="400" w:lineRule="exact"/>
        <w:ind w:right="840"/>
        <w:jc w:val="right"/>
        <w:rPr>
          <w:rFonts w:ascii="仿宋_GB2312" w:eastAsia="仿宋_GB2312"/>
          <w:color w:val="auto"/>
          <w:szCs w:val="28"/>
          <w:highlight w:val="none"/>
        </w:rPr>
      </w:pPr>
      <w:bookmarkStart w:id="89" w:name="_Toc217446082"/>
      <w:r>
        <w:rPr>
          <w:rFonts w:hint="eastAsia" w:ascii="宋体" w:hAnsi="宋体" w:eastAsia="宋体"/>
          <w:color w:val="auto"/>
          <w:szCs w:val="28"/>
          <w:highlight w:val="none"/>
        </w:rPr>
        <w:t>正本/副本</w:t>
      </w:r>
    </w:p>
    <w:p>
      <w:pPr>
        <w:pStyle w:val="4"/>
        <w:spacing w:before="120" w:after="120" w:line="400" w:lineRule="exact"/>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政府采购项目</w:t>
      </w:r>
    </w:p>
    <w:p>
      <w:pPr>
        <w:pStyle w:val="4"/>
        <w:spacing w:before="120" w:after="120" w:line="400" w:lineRule="exact"/>
        <w:rPr>
          <w:rFonts w:asciiTheme="minorEastAsia" w:hAnsiTheme="minorEastAsia" w:eastAsiaTheme="minorEastAsia"/>
          <w:color w:val="auto"/>
          <w:szCs w:val="28"/>
          <w:highlight w:val="none"/>
        </w:rPr>
      </w:pPr>
      <w:r>
        <w:rPr>
          <w:rFonts w:hint="eastAsia" w:asciiTheme="minorEastAsia" w:hAnsiTheme="minorEastAsia" w:eastAsiaTheme="minorEastAsia"/>
          <w:color w:val="auto"/>
          <w:szCs w:val="28"/>
          <w:highlight w:val="none"/>
        </w:rPr>
        <w:t>采购项目编号：</w:t>
      </w:r>
      <w:r>
        <w:rPr>
          <w:rFonts w:hint="eastAsia" w:asciiTheme="minorEastAsia" w:hAnsiTheme="minorEastAsia" w:eastAsiaTheme="minorEastAsia"/>
          <w:color w:val="auto"/>
          <w:szCs w:val="28"/>
          <w:highlight w:val="none"/>
          <w:lang w:eastAsia="zh-CN"/>
        </w:rPr>
        <w:t>HZJZS2023-0072</w:t>
      </w:r>
      <w:r>
        <w:rPr>
          <w:rFonts w:hint="eastAsia" w:asciiTheme="minorEastAsia" w:hAnsiTheme="minorEastAsia" w:eastAsiaTheme="minorEastAsia"/>
          <w:color w:val="auto"/>
          <w:szCs w:val="28"/>
          <w:highlight w:val="none"/>
        </w:rPr>
        <w:t xml:space="preserve"> </w:t>
      </w:r>
    </w:p>
    <w:p>
      <w:pPr>
        <w:pStyle w:val="4"/>
        <w:spacing w:line="400" w:lineRule="exact"/>
        <w:rPr>
          <w:rFonts w:ascii="仿宋_GB2312" w:eastAsia="仿宋_GB2312"/>
          <w:color w:val="auto"/>
          <w:szCs w:val="28"/>
          <w:highlight w:val="none"/>
        </w:rPr>
      </w:pPr>
      <w:r>
        <w:rPr>
          <w:rFonts w:hint="eastAsia" w:ascii="仿宋_GB2312" w:eastAsia="仿宋_GB2312"/>
          <w:color w:val="auto"/>
          <w:szCs w:val="28"/>
          <w:highlight w:val="none"/>
        </w:rPr>
        <w:t xml:space="preserve">                           </w:t>
      </w:r>
    </w:p>
    <w:p>
      <w:pPr>
        <w:pStyle w:val="4"/>
        <w:spacing w:line="360" w:lineRule="auto"/>
        <w:jc w:val="center"/>
        <w:rPr>
          <w:rFonts w:hint="eastAsia" w:ascii="宋体" w:hAnsi="宋体" w:eastAsia="宋体" w:cs="宋体"/>
          <w:color w:val="auto"/>
          <w:szCs w:val="28"/>
          <w:highlight w:val="none"/>
        </w:rPr>
      </w:pPr>
    </w:p>
    <w:p>
      <w:pPr>
        <w:pStyle w:val="4"/>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lang w:eastAsia="zh-CN"/>
        </w:rPr>
        <w:t>咸阳师范学院</w:t>
      </w:r>
      <w:r>
        <w:rPr>
          <w:rFonts w:hint="eastAsia" w:ascii="宋体" w:hAnsi="宋体" w:eastAsia="宋体" w:cs="宋体"/>
          <w:color w:val="auto"/>
          <w:sz w:val="48"/>
          <w:szCs w:val="48"/>
          <w:highlight w:val="none"/>
          <w:lang w:val="en-US" w:eastAsia="zh-CN"/>
        </w:rPr>
        <w:t>2023年电子资源征订项目（电子资源数据库建设）</w:t>
      </w:r>
    </w:p>
    <w:p>
      <w:pPr>
        <w:pStyle w:val="4"/>
        <w:spacing w:line="360" w:lineRule="auto"/>
        <w:jc w:val="center"/>
        <w:rPr>
          <w:rFonts w:hint="eastAsia" w:ascii="宋体" w:hAnsi="宋体" w:eastAsia="宋体" w:cs="宋体"/>
          <w:color w:val="auto"/>
          <w:sz w:val="44"/>
          <w:szCs w:val="44"/>
          <w:highlight w:val="none"/>
        </w:rPr>
      </w:pPr>
    </w:p>
    <w:p>
      <w:pPr>
        <w:pStyle w:val="4"/>
        <w:spacing w:line="240" w:lineRule="auto"/>
        <w:jc w:val="center"/>
        <w:rPr>
          <w:rFonts w:hint="eastAsia" w:ascii="宋体" w:hAnsi="宋体" w:eastAsia="宋体" w:cs="宋体"/>
          <w:b w:val="0"/>
          <w:color w:val="auto"/>
          <w:sz w:val="52"/>
          <w:szCs w:val="52"/>
          <w:highlight w:val="none"/>
        </w:rPr>
      </w:pPr>
      <w:r>
        <w:rPr>
          <w:rFonts w:hint="eastAsia" w:ascii="宋体" w:hAnsi="宋体" w:eastAsia="宋体" w:cs="宋体"/>
          <w:b w:val="0"/>
          <w:color w:val="auto"/>
          <w:sz w:val="52"/>
          <w:szCs w:val="52"/>
          <w:highlight w:val="none"/>
        </w:rPr>
        <w:t>单一来源采购响应文件</w:t>
      </w:r>
    </w:p>
    <w:p>
      <w:pPr>
        <w:pStyle w:val="4"/>
        <w:spacing w:line="240" w:lineRule="auto"/>
        <w:ind w:firstLine="2520" w:firstLineChars="700"/>
        <w:jc w:val="left"/>
        <w:rPr>
          <w:rFonts w:hint="default" w:ascii="宋体" w:hAnsi="宋体" w:eastAsia="宋体" w:cs="宋体"/>
          <w:b w:val="0"/>
          <w:color w:val="auto"/>
          <w:sz w:val="36"/>
          <w:szCs w:val="36"/>
          <w:highlight w:val="none"/>
          <w:u w:val="single"/>
          <w:lang w:val="en-US" w:eastAsia="zh-CN"/>
        </w:rPr>
      </w:pPr>
      <w:r>
        <w:rPr>
          <w:rFonts w:hint="eastAsia" w:ascii="宋体" w:hAnsi="宋体" w:eastAsia="宋体" w:cs="宋体"/>
          <w:b w:val="0"/>
          <w:color w:val="auto"/>
          <w:sz w:val="36"/>
          <w:szCs w:val="36"/>
          <w:highlight w:val="none"/>
          <w:lang w:val="en-US" w:eastAsia="zh-CN"/>
        </w:rPr>
        <w:t>包号（</w:t>
      </w:r>
      <w:r>
        <w:rPr>
          <w:rFonts w:hint="eastAsia" w:ascii="宋体" w:hAnsi="宋体" w:eastAsia="宋体" w:cs="宋体"/>
          <w:b w:val="0"/>
          <w:color w:val="auto"/>
          <w:sz w:val="36"/>
          <w:szCs w:val="36"/>
          <w:highlight w:val="none"/>
          <w:u w:val="single"/>
          <w:lang w:val="en-US" w:eastAsia="zh-CN"/>
        </w:rPr>
        <w:t xml:space="preserve">  </w:t>
      </w:r>
      <w:r>
        <w:rPr>
          <w:rFonts w:hint="eastAsia" w:ascii="宋体" w:hAnsi="宋体" w:eastAsia="宋体" w:cs="宋体"/>
          <w:b w:val="0"/>
          <w:color w:val="auto"/>
          <w:sz w:val="36"/>
          <w:szCs w:val="36"/>
          <w:highlight w:val="none"/>
          <w:lang w:val="en-US" w:eastAsia="zh-CN"/>
        </w:rPr>
        <w:t>）：</w:t>
      </w:r>
      <w:r>
        <w:rPr>
          <w:rFonts w:hint="eastAsia" w:ascii="宋体" w:hAnsi="宋体" w:eastAsia="宋体" w:cs="宋体"/>
          <w:b w:val="0"/>
          <w:color w:val="auto"/>
          <w:sz w:val="36"/>
          <w:szCs w:val="36"/>
          <w:highlight w:val="none"/>
          <w:u w:val="single"/>
          <w:lang w:val="en-US" w:eastAsia="zh-CN"/>
        </w:rPr>
        <w:t xml:space="preserve">          </w:t>
      </w: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rPr>
          <w:color w:val="auto"/>
          <w:sz w:val="28"/>
          <w:szCs w:val="28"/>
          <w:highlight w:val="none"/>
        </w:rPr>
      </w:pPr>
    </w:p>
    <w:p>
      <w:pPr>
        <w:pStyle w:val="5"/>
        <w:spacing w:before="120" w:beforeLines="50"/>
        <w:ind w:firstLine="1630" w:firstLineChars="580"/>
        <w:rPr>
          <w:rFonts w:ascii="宋体" w:hAnsi="宋体"/>
          <w:b/>
          <w:color w:val="auto"/>
          <w:sz w:val="28"/>
          <w:szCs w:val="28"/>
          <w:highlight w:val="none"/>
        </w:rPr>
      </w:pPr>
    </w:p>
    <w:p>
      <w:pPr>
        <w:pStyle w:val="5"/>
        <w:spacing w:before="120" w:beforeLines="50"/>
        <w:ind w:firstLine="1630" w:firstLineChars="580"/>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供应商：                         （单位盖章）</w:t>
      </w:r>
    </w:p>
    <w:p>
      <w:pPr>
        <w:pStyle w:val="5"/>
        <w:spacing w:before="120" w:beforeLines="50"/>
        <w:ind w:firstLine="1630" w:firstLineChars="580"/>
        <w:rPr>
          <w:rFonts w:asciiTheme="majorEastAsia" w:hAnsiTheme="majorEastAsia" w:eastAsiaTheme="majorEastAsia"/>
          <w:color w:val="auto"/>
          <w:sz w:val="28"/>
          <w:szCs w:val="28"/>
          <w:highlight w:val="none"/>
        </w:rPr>
      </w:pPr>
      <w:r>
        <w:rPr>
          <w:rFonts w:hint="eastAsia" w:asciiTheme="majorEastAsia" w:hAnsiTheme="majorEastAsia" w:eastAsiaTheme="majorEastAsia"/>
          <w:b/>
          <w:color w:val="auto"/>
          <w:sz w:val="28"/>
          <w:szCs w:val="28"/>
          <w:highlight w:val="none"/>
        </w:rPr>
        <w:t>法定代表人或其委托代理人：       （</w:t>
      </w:r>
      <w:r>
        <w:rPr>
          <w:rFonts w:hint="eastAsia" w:asciiTheme="majorEastAsia" w:hAnsiTheme="majorEastAsia" w:eastAsiaTheme="majorEastAsia"/>
          <w:b/>
          <w:color w:val="auto"/>
          <w:sz w:val="28"/>
          <w:szCs w:val="28"/>
          <w:highlight w:val="none"/>
          <w:lang w:eastAsia="zh-CN"/>
        </w:rPr>
        <w:t>签名</w:t>
      </w:r>
      <w:r>
        <w:rPr>
          <w:rFonts w:hint="eastAsia" w:asciiTheme="majorEastAsia" w:hAnsiTheme="majorEastAsia" w:eastAsiaTheme="majorEastAsia"/>
          <w:b/>
          <w:color w:val="auto"/>
          <w:sz w:val="28"/>
          <w:szCs w:val="28"/>
          <w:highlight w:val="none"/>
        </w:rPr>
        <w:t>）</w:t>
      </w:r>
    </w:p>
    <w:p>
      <w:pPr>
        <w:pStyle w:val="5"/>
        <w:spacing w:before="120" w:beforeLines="50"/>
        <w:ind w:firstLine="1630" w:firstLineChars="580"/>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时  间：         年  月  日</w:t>
      </w:r>
    </w:p>
    <w:p>
      <w:pPr>
        <w:pStyle w:val="5"/>
        <w:spacing w:before="120" w:beforeLines="50"/>
        <w:ind w:firstLine="2088" w:firstLineChars="580"/>
        <w:rPr>
          <w:rFonts w:ascii="仿宋_GB2312" w:eastAsia="仿宋_GB2312"/>
          <w:color w:val="auto"/>
          <w:sz w:val="36"/>
          <w:szCs w:val="36"/>
          <w:highlight w:val="none"/>
        </w:rPr>
      </w:pPr>
    </w:p>
    <w:p>
      <w:pPr>
        <w:pStyle w:val="5"/>
        <w:spacing w:before="120" w:beforeLines="50" w:after="600" w:afterLines="250"/>
        <w:ind w:firstLine="0"/>
        <w:jc w:val="center"/>
        <w:rPr>
          <w:b/>
          <w:color w:val="auto"/>
          <w:sz w:val="44"/>
          <w:szCs w:val="44"/>
          <w:highlight w:val="none"/>
        </w:rPr>
      </w:pPr>
    </w:p>
    <w:p>
      <w:pPr>
        <w:pStyle w:val="5"/>
        <w:spacing w:before="120" w:beforeLines="50" w:after="600" w:afterLines="250"/>
        <w:ind w:firstLine="0"/>
        <w:jc w:val="center"/>
        <w:rPr>
          <w:b/>
          <w:color w:val="auto"/>
          <w:sz w:val="44"/>
          <w:szCs w:val="44"/>
          <w:highlight w:val="none"/>
        </w:rPr>
      </w:pPr>
      <w:r>
        <w:rPr>
          <w:rFonts w:hint="eastAsia"/>
          <w:b/>
          <w:color w:val="auto"/>
          <w:sz w:val="44"/>
          <w:szCs w:val="44"/>
          <w:highlight w:val="none"/>
        </w:rPr>
        <w:t>目  录</w:t>
      </w:r>
    </w:p>
    <w:p>
      <w:pPr>
        <w:pStyle w:val="5"/>
        <w:spacing w:before="120" w:beforeLines="50" w:line="360" w:lineRule="auto"/>
        <w:ind w:firstLine="0"/>
        <w:rPr>
          <w:color w:val="auto"/>
          <w:szCs w:val="21"/>
          <w:highlight w:val="none"/>
        </w:rPr>
      </w:pPr>
      <w:r>
        <w:rPr>
          <w:rFonts w:hint="eastAsia"/>
          <w:color w:val="auto"/>
          <w:szCs w:val="21"/>
          <w:highlight w:val="none"/>
        </w:rPr>
        <w:t>第一部分商务、技术文件……………………………………………………………………页码</w:t>
      </w:r>
    </w:p>
    <w:p>
      <w:pPr>
        <w:pStyle w:val="5"/>
        <w:spacing w:line="360" w:lineRule="auto"/>
        <w:ind w:firstLineChars="200"/>
        <w:rPr>
          <w:color w:val="auto"/>
          <w:szCs w:val="21"/>
          <w:highlight w:val="none"/>
        </w:rPr>
      </w:pPr>
      <w:r>
        <w:rPr>
          <w:rFonts w:hint="eastAsia"/>
          <w:color w:val="auto"/>
          <w:szCs w:val="21"/>
          <w:highlight w:val="none"/>
        </w:rPr>
        <w:t>一、单一来源采购响应函 ……………………………………………………………</w:t>
      </w:r>
    </w:p>
    <w:p>
      <w:pPr>
        <w:pStyle w:val="5"/>
        <w:spacing w:line="360" w:lineRule="auto"/>
        <w:ind w:firstLineChars="200"/>
        <w:rPr>
          <w:color w:val="auto"/>
          <w:szCs w:val="21"/>
          <w:highlight w:val="none"/>
        </w:rPr>
      </w:pPr>
      <w:r>
        <w:rPr>
          <w:rFonts w:hint="eastAsia"/>
          <w:color w:val="auto"/>
          <w:szCs w:val="21"/>
          <w:highlight w:val="none"/>
        </w:rPr>
        <w:t>二、首次报价表 ………………………………………………………………………</w:t>
      </w:r>
    </w:p>
    <w:p>
      <w:pPr>
        <w:pStyle w:val="5"/>
        <w:spacing w:line="360" w:lineRule="auto"/>
        <w:ind w:firstLineChars="200"/>
        <w:rPr>
          <w:color w:val="auto"/>
          <w:szCs w:val="21"/>
          <w:highlight w:val="none"/>
        </w:rPr>
      </w:pPr>
      <w:r>
        <w:rPr>
          <w:rFonts w:hint="eastAsia"/>
          <w:color w:val="auto"/>
          <w:szCs w:val="21"/>
          <w:highlight w:val="none"/>
        </w:rPr>
        <w:t>三、</w:t>
      </w:r>
      <w:r>
        <w:rPr>
          <w:rFonts w:hint="eastAsia" w:hAnsi="宋体"/>
          <w:bCs/>
          <w:color w:val="auto"/>
          <w:szCs w:val="21"/>
          <w:highlight w:val="none"/>
        </w:rPr>
        <w:t xml:space="preserve">货物（产品）首次分项报价表 </w:t>
      </w:r>
      <w:r>
        <w:rPr>
          <w:rFonts w:hint="eastAsia"/>
          <w:color w:val="auto"/>
          <w:szCs w:val="21"/>
          <w:highlight w:val="none"/>
        </w:rPr>
        <w:t>…………………………………………………</w:t>
      </w:r>
    </w:p>
    <w:p>
      <w:pPr>
        <w:pStyle w:val="5"/>
        <w:spacing w:line="360" w:lineRule="auto"/>
        <w:ind w:firstLineChars="200"/>
        <w:rPr>
          <w:color w:val="auto"/>
          <w:szCs w:val="21"/>
          <w:highlight w:val="none"/>
        </w:rPr>
      </w:pPr>
      <w:r>
        <w:rPr>
          <w:rFonts w:hint="eastAsia"/>
          <w:color w:val="auto"/>
          <w:szCs w:val="21"/>
          <w:highlight w:val="none"/>
        </w:rPr>
        <w:t>四、</w:t>
      </w:r>
      <w:r>
        <w:rPr>
          <w:rFonts w:hint="eastAsia" w:hAnsi="宋体"/>
          <w:bCs/>
          <w:color w:val="auto"/>
          <w:szCs w:val="21"/>
          <w:highlight w:val="none"/>
        </w:rPr>
        <w:t xml:space="preserve">货物说明一览表 </w:t>
      </w:r>
      <w:r>
        <w:rPr>
          <w:rFonts w:hint="eastAsia"/>
          <w:color w:val="auto"/>
          <w:szCs w:val="21"/>
          <w:highlight w:val="none"/>
        </w:rPr>
        <w:t>…………………………………………………………………</w:t>
      </w:r>
    </w:p>
    <w:p>
      <w:pPr>
        <w:pStyle w:val="5"/>
        <w:spacing w:line="360" w:lineRule="auto"/>
        <w:ind w:firstLineChars="200"/>
        <w:rPr>
          <w:color w:val="auto"/>
          <w:szCs w:val="21"/>
          <w:highlight w:val="none"/>
        </w:rPr>
      </w:pPr>
      <w:r>
        <w:rPr>
          <w:rFonts w:hint="eastAsia"/>
          <w:color w:val="auto"/>
          <w:szCs w:val="21"/>
          <w:highlight w:val="none"/>
          <w:lang w:val="en-US" w:eastAsia="zh-CN"/>
        </w:rPr>
        <w:t>五</w:t>
      </w:r>
      <w:r>
        <w:rPr>
          <w:rFonts w:hint="eastAsia"/>
          <w:color w:val="auto"/>
          <w:szCs w:val="21"/>
          <w:highlight w:val="none"/>
        </w:rPr>
        <w:t>、商务条款偏离表 …………………………………………………………………</w:t>
      </w:r>
    </w:p>
    <w:p>
      <w:pPr>
        <w:pStyle w:val="5"/>
        <w:spacing w:line="360" w:lineRule="auto"/>
        <w:ind w:firstLineChars="200"/>
        <w:rPr>
          <w:color w:val="auto"/>
          <w:szCs w:val="21"/>
          <w:highlight w:val="none"/>
        </w:rPr>
      </w:pPr>
      <w:r>
        <w:rPr>
          <w:rFonts w:hint="eastAsia"/>
          <w:color w:val="auto"/>
          <w:szCs w:val="21"/>
          <w:highlight w:val="none"/>
          <w:lang w:val="en-US" w:eastAsia="zh-CN"/>
        </w:rPr>
        <w:t>六</w:t>
      </w:r>
      <w:r>
        <w:rPr>
          <w:rFonts w:hint="eastAsia"/>
          <w:color w:val="auto"/>
          <w:szCs w:val="21"/>
          <w:highlight w:val="none"/>
        </w:rPr>
        <w:t>、承诺文件 …………………………………………………………………………</w:t>
      </w:r>
    </w:p>
    <w:p>
      <w:pPr>
        <w:pStyle w:val="5"/>
        <w:spacing w:line="360" w:lineRule="auto"/>
        <w:ind w:firstLineChars="200"/>
        <w:rPr>
          <w:color w:val="auto"/>
          <w:szCs w:val="21"/>
          <w:highlight w:val="none"/>
        </w:rPr>
      </w:pPr>
      <w:r>
        <w:rPr>
          <w:rFonts w:hint="eastAsia"/>
          <w:color w:val="auto"/>
          <w:szCs w:val="21"/>
          <w:highlight w:val="none"/>
          <w:lang w:val="en-US" w:eastAsia="zh-CN"/>
        </w:rPr>
        <w:t>七</w:t>
      </w:r>
      <w:r>
        <w:rPr>
          <w:rFonts w:hint="eastAsia"/>
          <w:color w:val="auto"/>
          <w:szCs w:val="21"/>
          <w:highlight w:val="none"/>
        </w:rPr>
        <w:t>、售后服务文件 ……………………………………………………………………</w:t>
      </w:r>
    </w:p>
    <w:p>
      <w:pPr>
        <w:pStyle w:val="5"/>
        <w:spacing w:line="360" w:lineRule="auto"/>
        <w:ind w:firstLineChars="200"/>
        <w:rPr>
          <w:color w:val="auto"/>
          <w:szCs w:val="21"/>
          <w:highlight w:val="none"/>
        </w:rPr>
      </w:pPr>
      <w:r>
        <w:rPr>
          <w:rFonts w:hint="eastAsia"/>
          <w:color w:val="auto"/>
          <w:szCs w:val="21"/>
          <w:highlight w:val="none"/>
          <w:lang w:val="en-US" w:eastAsia="zh-CN"/>
        </w:rPr>
        <w:t>八</w:t>
      </w:r>
      <w:r>
        <w:rPr>
          <w:rFonts w:hint="eastAsia"/>
          <w:color w:val="auto"/>
          <w:szCs w:val="21"/>
          <w:highlight w:val="none"/>
        </w:rPr>
        <w:t xml:space="preserve">、近3年同类项目合同价目表 …………………………………………………… </w:t>
      </w:r>
    </w:p>
    <w:p>
      <w:pPr>
        <w:pStyle w:val="5"/>
        <w:spacing w:line="360" w:lineRule="auto"/>
        <w:ind w:firstLineChars="200"/>
        <w:rPr>
          <w:color w:val="auto"/>
          <w:szCs w:val="21"/>
          <w:highlight w:val="none"/>
        </w:rPr>
      </w:pPr>
      <w:r>
        <w:rPr>
          <w:rFonts w:hint="eastAsia"/>
          <w:color w:val="auto"/>
          <w:szCs w:val="21"/>
          <w:highlight w:val="none"/>
          <w:lang w:val="en-US" w:eastAsia="zh-CN"/>
        </w:rPr>
        <w:t>九</w:t>
      </w:r>
      <w:r>
        <w:rPr>
          <w:rFonts w:hint="eastAsia"/>
          <w:color w:val="auto"/>
          <w:szCs w:val="21"/>
          <w:highlight w:val="none"/>
        </w:rPr>
        <w:t>、技术文件…………………………………………………………………………</w:t>
      </w:r>
    </w:p>
    <w:p>
      <w:pPr>
        <w:pStyle w:val="5"/>
        <w:spacing w:line="360" w:lineRule="auto"/>
        <w:ind w:firstLineChars="200"/>
        <w:rPr>
          <w:rFonts w:hint="eastAsia" w:eastAsia="宋体"/>
          <w:color w:val="auto"/>
          <w:szCs w:val="21"/>
          <w:highlight w:val="none"/>
        </w:rPr>
      </w:pPr>
      <w:r>
        <w:rPr>
          <w:rFonts w:hint="eastAsia"/>
          <w:color w:val="auto"/>
          <w:szCs w:val="21"/>
          <w:highlight w:val="none"/>
        </w:rPr>
        <w:t>十、</w:t>
      </w:r>
      <w:r>
        <w:rPr>
          <w:rFonts w:hint="eastAsia" w:hAnsi="宋体"/>
          <w:bCs/>
          <w:color w:val="auto"/>
          <w:kern w:val="0"/>
          <w:szCs w:val="21"/>
          <w:highlight w:val="none"/>
        </w:rPr>
        <w:t>技术</w:t>
      </w:r>
      <w:r>
        <w:rPr>
          <w:rFonts w:hint="eastAsia" w:eastAsia="宋体"/>
          <w:color w:val="auto"/>
          <w:szCs w:val="21"/>
          <w:highlight w:val="none"/>
        </w:rPr>
        <w:t>条款偏离表 ………………………………………………………………</w:t>
      </w:r>
    </w:p>
    <w:p>
      <w:pPr>
        <w:pStyle w:val="5"/>
        <w:spacing w:line="360" w:lineRule="auto"/>
        <w:ind w:firstLineChars="200"/>
        <w:rPr>
          <w:color w:val="auto"/>
          <w:szCs w:val="21"/>
          <w:highlight w:val="none"/>
        </w:rPr>
      </w:pPr>
      <w:r>
        <w:rPr>
          <w:rFonts w:hint="eastAsia" w:eastAsia="宋体"/>
          <w:color w:val="auto"/>
          <w:szCs w:val="21"/>
          <w:highlight w:val="none"/>
        </w:rPr>
        <w:t>十</w:t>
      </w:r>
      <w:r>
        <w:rPr>
          <w:rFonts w:hint="eastAsia"/>
          <w:color w:val="auto"/>
          <w:szCs w:val="21"/>
          <w:highlight w:val="none"/>
          <w:lang w:val="en-US" w:eastAsia="zh-CN"/>
        </w:rPr>
        <w:t>一</w:t>
      </w:r>
      <w:r>
        <w:rPr>
          <w:rFonts w:hint="eastAsia" w:eastAsia="宋体"/>
          <w:color w:val="auto"/>
          <w:szCs w:val="21"/>
          <w:highlight w:val="none"/>
          <w:lang w:eastAsia="zh-CN"/>
        </w:rPr>
        <w:t>、</w:t>
      </w:r>
      <w:r>
        <w:rPr>
          <w:rFonts w:hint="eastAsia" w:eastAsia="宋体"/>
          <w:color w:val="auto"/>
          <w:szCs w:val="21"/>
          <w:highlight w:val="none"/>
        </w:rPr>
        <w:t>供应商需要补充说明的事项 ……………</w:t>
      </w:r>
      <w:r>
        <w:rPr>
          <w:rFonts w:hint="eastAsia"/>
          <w:color w:val="auto"/>
          <w:szCs w:val="21"/>
          <w:highlight w:val="none"/>
        </w:rPr>
        <w:t>……………………………………</w:t>
      </w:r>
    </w:p>
    <w:p>
      <w:pPr>
        <w:pStyle w:val="5"/>
        <w:spacing w:before="120" w:beforeLines="50" w:after="240" w:afterLines="100"/>
        <w:ind w:firstLine="0"/>
        <w:rPr>
          <w:color w:val="auto"/>
          <w:szCs w:val="21"/>
          <w:highlight w:val="none"/>
        </w:rPr>
      </w:pPr>
      <w:r>
        <w:rPr>
          <w:rFonts w:hint="eastAsia"/>
          <w:color w:val="auto"/>
          <w:szCs w:val="21"/>
          <w:highlight w:val="none"/>
        </w:rPr>
        <w:t>第二部分资格证明文件 ……………………………………………………………………</w:t>
      </w:r>
    </w:p>
    <w:p>
      <w:pPr>
        <w:pStyle w:val="5"/>
        <w:spacing w:before="120" w:beforeLines="50" w:after="120" w:afterLines="50"/>
        <w:ind w:firstLine="0"/>
        <w:rPr>
          <w:color w:val="auto"/>
          <w:szCs w:val="21"/>
          <w:highlight w:val="none"/>
        </w:rPr>
      </w:pPr>
      <w:r>
        <w:rPr>
          <w:rFonts w:hint="eastAsia"/>
          <w:color w:val="auto"/>
          <w:szCs w:val="21"/>
          <w:highlight w:val="none"/>
        </w:rPr>
        <w:t xml:space="preserve">    一、供应商基本情况表…………………………………………………………………</w:t>
      </w:r>
    </w:p>
    <w:p>
      <w:pPr>
        <w:pStyle w:val="5"/>
        <w:spacing w:before="120" w:beforeLines="50" w:after="120" w:afterLines="50"/>
        <w:ind w:firstLine="0"/>
        <w:rPr>
          <w:color w:val="auto"/>
          <w:szCs w:val="21"/>
          <w:highlight w:val="none"/>
        </w:rPr>
      </w:pPr>
      <w:r>
        <w:rPr>
          <w:rFonts w:hint="eastAsia"/>
          <w:color w:val="auto"/>
          <w:szCs w:val="21"/>
          <w:highlight w:val="none"/>
        </w:rPr>
        <w:t xml:space="preserve">    二、法人代表身份证明…………………………………………………………………</w:t>
      </w:r>
    </w:p>
    <w:p>
      <w:pPr>
        <w:pStyle w:val="5"/>
        <w:spacing w:line="360" w:lineRule="auto"/>
        <w:ind w:firstLineChars="200"/>
        <w:rPr>
          <w:color w:val="auto"/>
          <w:szCs w:val="21"/>
          <w:highlight w:val="none"/>
        </w:rPr>
      </w:pPr>
      <w:r>
        <w:rPr>
          <w:rFonts w:hint="eastAsia"/>
          <w:color w:val="auto"/>
          <w:szCs w:val="21"/>
          <w:highlight w:val="none"/>
        </w:rPr>
        <w:t>三、授权委托书    ……………………………………………………………………</w:t>
      </w:r>
    </w:p>
    <w:p>
      <w:pPr>
        <w:pStyle w:val="5"/>
        <w:ind w:firstLine="0"/>
        <w:rPr>
          <w:color w:val="auto"/>
          <w:szCs w:val="21"/>
          <w:highlight w:val="none"/>
        </w:rPr>
      </w:pPr>
      <w:r>
        <w:rPr>
          <w:rFonts w:hint="eastAsia"/>
          <w:color w:val="auto"/>
          <w:szCs w:val="21"/>
          <w:highlight w:val="none"/>
        </w:rPr>
        <w:t xml:space="preserve">    四、企业法人营业执照…………………………………………………………………</w:t>
      </w:r>
    </w:p>
    <w:p>
      <w:pPr>
        <w:pStyle w:val="5"/>
        <w:spacing w:before="120" w:beforeLines="50" w:after="120" w:afterLines="50"/>
        <w:ind w:firstLine="0"/>
        <w:rPr>
          <w:color w:val="auto"/>
          <w:szCs w:val="21"/>
          <w:highlight w:val="none"/>
        </w:rPr>
      </w:pPr>
      <w:r>
        <w:rPr>
          <w:rFonts w:hint="eastAsia"/>
          <w:color w:val="auto"/>
          <w:szCs w:val="21"/>
          <w:highlight w:val="none"/>
        </w:rPr>
        <w:t xml:space="preserve">    五、财务状况、完税和缴纳社会保障资金证明………………………………………</w:t>
      </w:r>
    </w:p>
    <w:p>
      <w:pPr>
        <w:pStyle w:val="5"/>
        <w:spacing w:before="120" w:beforeLines="50" w:after="120" w:afterLines="50"/>
        <w:ind w:firstLine="420"/>
        <w:rPr>
          <w:rFonts w:hint="eastAsia"/>
          <w:color w:val="auto"/>
          <w:szCs w:val="21"/>
          <w:highlight w:val="none"/>
        </w:rPr>
      </w:pPr>
      <w:r>
        <w:rPr>
          <w:rFonts w:hint="eastAsia"/>
          <w:color w:val="auto"/>
          <w:szCs w:val="21"/>
          <w:highlight w:val="none"/>
        </w:rPr>
        <w:t>六、提供供应商具备履行合同所必需的设备和专业技术能力的证明材料…………</w:t>
      </w:r>
    </w:p>
    <w:p>
      <w:pPr>
        <w:pStyle w:val="5"/>
        <w:spacing w:before="120" w:beforeLines="50" w:after="120" w:afterLines="50"/>
        <w:ind w:firstLine="420"/>
        <w:rPr>
          <w:color w:val="auto"/>
          <w:szCs w:val="21"/>
          <w:highlight w:val="none"/>
        </w:rPr>
      </w:pPr>
      <w:r>
        <w:rPr>
          <w:rFonts w:hint="eastAsia"/>
          <w:color w:val="auto"/>
          <w:szCs w:val="21"/>
          <w:highlight w:val="none"/>
          <w:lang w:val="en-US" w:eastAsia="zh-CN"/>
        </w:rPr>
        <w:t>七、</w:t>
      </w:r>
      <w:r>
        <w:rPr>
          <w:rFonts w:hint="eastAsia"/>
          <w:color w:val="auto"/>
          <w:szCs w:val="21"/>
          <w:highlight w:val="none"/>
        </w:rPr>
        <w:t>单一来源采购响应声明书…………………………………………………………</w:t>
      </w:r>
    </w:p>
    <w:p>
      <w:pPr>
        <w:pStyle w:val="5"/>
        <w:spacing w:before="120" w:beforeLines="50" w:after="120" w:afterLines="50"/>
        <w:ind w:firstLine="0"/>
        <w:rPr>
          <w:color w:val="auto"/>
          <w:szCs w:val="21"/>
          <w:highlight w:val="none"/>
        </w:rPr>
      </w:pPr>
      <w:r>
        <w:rPr>
          <w:rFonts w:hint="eastAsia"/>
          <w:color w:val="auto"/>
          <w:szCs w:val="21"/>
          <w:highlight w:val="none"/>
        </w:rPr>
        <w:t xml:space="preserve">    八、供应商信用证明  …………………………………………………………………</w:t>
      </w:r>
    </w:p>
    <w:p>
      <w:pPr>
        <w:pStyle w:val="5"/>
        <w:spacing w:before="120" w:beforeLines="50" w:after="120" w:afterLines="50"/>
        <w:ind w:left="840" w:hanging="840" w:hangingChars="400"/>
        <w:rPr>
          <w:rFonts w:hint="eastAsia" w:eastAsia="宋体"/>
          <w:b/>
          <w:color w:val="auto"/>
          <w:sz w:val="44"/>
          <w:szCs w:val="44"/>
          <w:highlight w:val="none"/>
          <w:lang w:eastAsia="zh-CN"/>
        </w:rPr>
      </w:pPr>
      <w:r>
        <w:rPr>
          <w:rFonts w:hint="eastAsia"/>
          <w:color w:val="auto"/>
          <w:szCs w:val="21"/>
          <w:highlight w:val="none"/>
        </w:rPr>
        <w:t xml:space="preserve">    </w:t>
      </w:r>
      <w:r>
        <w:rPr>
          <w:rFonts w:hint="eastAsia"/>
          <w:color w:val="auto"/>
          <w:szCs w:val="21"/>
          <w:highlight w:val="none"/>
          <w:lang w:eastAsia="zh-CN"/>
        </w:rPr>
        <w:t>九</w:t>
      </w:r>
      <w:r>
        <w:rPr>
          <w:rFonts w:hint="eastAsia"/>
          <w:color w:val="auto"/>
          <w:szCs w:val="21"/>
          <w:highlight w:val="none"/>
        </w:rPr>
        <w:t>、</w:t>
      </w:r>
      <w:r>
        <w:rPr>
          <w:rFonts w:hint="eastAsia"/>
          <w:color w:val="auto"/>
          <w:szCs w:val="21"/>
          <w:highlight w:val="none"/>
          <w:lang w:val="en-US" w:eastAsia="zh-CN"/>
        </w:rPr>
        <w:t>其他</w:t>
      </w:r>
      <w:r>
        <w:rPr>
          <w:rFonts w:hint="eastAsia"/>
          <w:color w:val="auto"/>
          <w:szCs w:val="21"/>
          <w:highlight w:val="none"/>
        </w:rPr>
        <w:t>……………………………………………………………………………………</w:t>
      </w:r>
    </w:p>
    <w:p>
      <w:pPr>
        <w:pStyle w:val="5"/>
        <w:spacing w:before="120" w:beforeLines="50" w:after="120" w:afterLines="50"/>
        <w:ind w:firstLine="0"/>
        <w:jc w:val="left"/>
        <w:rPr>
          <w:b/>
          <w:color w:val="auto"/>
          <w:sz w:val="44"/>
          <w:szCs w:val="44"/>
          <w:highlight w:val="none"/>
        </w:rPr>
      </w:pPr>
    </w:p>
    <w:p>
      <w:pPr>
        <w:pStyle w:val="5"/>
        <w:tabs>
          <w:tab w:val="left" w:pos="426"/>
        </w:tabs>
        <w:spacing w:before="120" w:beforeLines="50" w:after="120" w:afterLines="50"/>
        <w:ind w:firstLine="0"/>
        <w:jc w:val="left"/>
        <w:rPr>
          <w:b/>
          <w:color w:val="auto"/>
          <w:sz w:val="44"/>
          <w:szCs w:val="44"/>
          <w:highlight w:val="none"/>
        </w:rPr>
      </w:pPr>
    </w:p>
    <w:p>
      <w:pPr>
        <w:pStyle w:val="5"/>
        <w:spacing w:before="120" w:beforeLines="50" w:after="120" w:afterLines="50"/>
        <w:ind w:firstLine="0"/>
        <w:jc w:val="center"/>
        <w:rPr>
          <w:b/>
          <w:color w:val="auto"/>
          <w:sz w:val="44"/>
          <w:szCs w:val="44"/>
          <w:highlight w:val="none"/>
        </w:rPr>
      </w:pPr>
    </w:p>
    <w:p>
      <w:pPr>
        <w:pStyle w:val="5"/>
        <w:spacing w:before="120" w:beforeLines="50" w:after="120" w:afterLines="50"/>
        <w:ind w:firstLine="0"/>
        <w:jc w:val="center"/>
        <w:rPr>
          <w:b/>
          <w:color w:val="auto"/>
          <w:sz w:val="44"/>
          <w:szCs w:val="44"/>
          <w:highlight w:val="none"/>
        </w:rPr>
      </w:pPr>
    </w:p>
    <w:p>
      <w:pPr>
        <w:rPr>
          <w:rFonts w:hint="eastAsia"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br w:type="page"/>
      </w:r>
    </w:p>
    <w:p>
      <w:pPr>
        <w:pStyle w:val="5"/>
        <w:spacing w:before="120" w:beforeLines="50" w:after="120" w:afterLines="50"/>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第一部分 商务、技术文件</w:t>
      </w:r>
    </w:p>
    <w:bookmarkEnd w:id="89"/>
    <w:p>
      <w:pPr>
        <w:pStyle w:val="17"/>
        <w:spacing w:before="240" w:beforeLines="100" w:after="240" w:afterLines="100" w:line="360" w:lineRule="auto"/>
        <w:ind w:firstLine="0"/>
        <w:jc w:val="center"/>
        <w:rPr>
          <w:rFonts w:ascii="黑体" w:eastAsia="黑体"/>
          <w:bCs/>
          <w:color w:val="auto"/>
          <w:sz w:val="28"/>
          <w:szCs w:val="28"/>
          <w:highlight w:val="none"/>
        </w:rPr>
      </w:pPr>
      <w:r>
        <w:rPr>
          <w:rFonts w:hint="eastAsia" w:ascii="黑体" w:hAnsi="宋体" w:eastAsia="黑体"/>
          <w:color w:val="auto"/>
          <w:sz w:val="36"/>
          <w:szCs w:val="36"/>
          <w:highlight w:val="none"/>
        </w:rPr>
        <w:t>一、单一来源采购响应函</w:t>
      </w:r>
    </w:p>
    <w:p>
      <w:pPr>
        <w:pStyle w:val="17"/>
        <w:spacing w:after="240" w:afterLines="100" w:line="400" w:lineRule="exact"/>
        <w:ind w:firstLine="0"/>
        <w:rPr>
          <w:rFonts w:ascii="宋体" w:hAnsi="宋体"/>
          <w:b/>
          <w:bCs/>
          <w:color w:val="auto"/>
          <w:sz w:val="24"/>
          <w:szCs w:val="24"/>
          <w:highlight w:val="none"/>
        </w:rPr>
      </w:pPr>
      <w:r>
        <w:rPr>
          <w:rFonts w:hint="eastAsia" w:ascii="宋体" w:hAnsi="宋体"/>
          <w:b/>
          <w:bCs/>
          <w:color w:val="auto"/>
          <w:sz w:val="24"/>
          <w:szCs w:val="24"/>
          <w:highlight w:val="none"/>
          <w:lang w:eastAsia="zh-CN"/>
        </w:rPr>
        <w:t>华智建造价咨询有限公司</w:t>
      </w:r>
      <w:r>
        <w:rPr>
          <w:rFonts w:hint="eastAsia" w:ascii="宋体" w:hAnsi="宋体"/>
          <w:b/>
          <w:bCs/>
          <w:color w:val="auto"/>
          <w:sz w:val="24"/>
          <w:szCs w:val="24"/>
          <w:highlight w:val="none"/>
        </w:rPr>
        <w:t>：</w:t>
      </w:r>
    </w:p>
    <w:p>
      <w:pPr>
        <w:pStyle w:val="17"/>
        <w:spacing w:line="360" w:lineRule="auto"/>
        <w:ind w:firstLine="420" w:firstLineChars="200"/>
        <w:rPr>
          <w:color w:val="auto"/>
          <w:sz w:val="21"/>
          <w:szCs w:val="21"/>
          <w:highlight w:val="none"/>
        </w:rPr>
      </w:pPr>
      <w:r>
        <w:rPr>
          <w:rFonts w:hint="eastAsia"/>
          <w:color w:val="auto"/>
          <w:sz w:val="21"/>
          <w:szCs w:val="21"/>
          <w:highlight w:val="none"/>
        </w:rPr>
        <w:t>我方已仔细研究了</w:t>
      </w:r>
      <w:r>
        <w:rPr>
          <w:rFonts w:hint="eastAsia"/>
          <w:color w:val="auto"/>
          <w:sz w:val="21"/>
          <w:szCs w:val="21"/>
          <w:highlight w:val="none"/>
          <w:u w:val="single"/>
        </w:rPr>
        <w:t xml:space="preserve">                 (</w:t>
      </w:r>
      <w:r>
        <w:rPr>
          <w:rFonts w:hint="eastAsia"/>
          <w:color w:val="auto"/>
          <w:sz w:val="21"/>
          <w:szCs w:val="21"/>
          <w:highlight w:val="none"/>
        </w:rPr>
        <w:t>项目名称</w:t>
      </w:r>
      <w:r>
        <w:rPr>
          <w:rFonts w:hint="eastAsia"/>
          <w:color w:val="auto"/>
          <w:sz w:val="21"/>
          <w:szCs w:val="21"/>
          <w:highlight w:val="none"/>
          <w:lang w:eastAsia="zh-CN"/>
        </w:rPr>
        <w:t>、</w:t>
      </w:r>
      <w:r>
        <w:rPr>
          <w:rFonts w:hint="eastAsia"/>
          <w:color w:val="auto"/>
          <w:sz w:val="21"/>
          <w:szCs w:val="21"/>
          <w:highlight w:val="none"/>
          <w:lang w:val="en-US" w:eastAsia="zh-CN"/>
        </w:rPr>
        <w:t>包号</w:t>
      </w:r>
      <w:r>
        <w:rPr>
          <w:rFonts w:hint="eastAsia"/>
          <w:color w:val="auto"/>
          <w:sz w:val="21"/>
          <w:szCs w:val="21"/>
          <w:highlight w:val="none"/>
        </w:rPr>
        <w:t>)的单一来源采购文件（政府采购项目编号：</w:t>
      </w:r>
      <w:r>
        <w:rPr>
          <w:rFonts w:hint="eastAsia"/>
          <w:color w:val="auto"/>
          <w:sz w:val="21"/>
          <w:szCs w:val="21"/>
          <w:highlight w:val="none"/>
          <w:lang w:val="en-US" w:eastAsia="zh-CN"/>
        </w:rPr>
        <w:t xml:space="preserve">       </w:t>
      </w:r>
      <w:r>
        <w:rPr>
          <w:rFonts w:hint="eastAsia"/>
          <w:color w:val="auto"/>
          <w:sz w:val="21"/>
          <w:szCs w:val="21"/>
          <w:highlight w:val="none"/>
        </w:rPr>
        <w:t>）的全部内容，</w:t>
      </w:r>
      <w:r>
        <w:rPr>
          <w:rFonts w:hint="eastAsia"/>
          <w:bCs/>
          <w:color w:val="auto"/>
          <w:sz w:val="21"/>
          <w:szCs w:val="21"/>
          <w:highlight w:val="none"/>
        </w:rPr>
        <w:t>决定参加贵单位组织的本项目谈判。我方正式授权</w:t>
      </w:r>
      <w:r>
        <w:rPr>
          <w:rFonts w:hint="eastAsia"/>
          <w:bCs/>
          <w:color w:val="auto"/>
          <w:sz w:val="21"/>
          <w:szCs w:val="21"/>
          <w:highlight w:val="none"/>
          <w:u w:val="single"/>
        </w:rPr>
        <w:t>（姓名、职务）</w:t>
      </w:r>
      <w:r>
        <w:rPr>
          <w:rFonts w:hint="eastAsia"/>
          <w:bCs/>
          <w:color w:val="auto"/>
          <w:sz w:val="21"/>
          <w:szCs w:val="21"/>
          <w:highlight w:val="none"/>
        </w:rPr>
        <w:t xml:space="preserve">代表我方 </w:t>
      </w:r>
      <w:r>
        <w:rPr>
          <w:rFonts w:hint="eastAsia"/>
          <w:bCs/>
          <w:color w:val="auto"/>
          <w:sz w:val="21"/>
          <w:szCs w:val="21"/>
          <w:highlight w:val="none"/>
          <w:u w:val="single"/>
        </w:rPr>
        <w:t xml:space="preserve">             </w:t>
      </w:r>
      <w:r>
        <w:rPr>
          <w:rFonts w:hint="eastAsia"/>
          <w:bCs/>
          <w:color w:val="auto"/>
          <w:sz w:val="21"/>
          <w:szCs w:val="21"/>
          <w:highlight w:val="none"/>
        </w:rPr>
        <w:t>（供应商的名称）全权处理本项目谈判的有关事宜。</w:t>
      </w:r>
    </w:p>
    <w:p>
      <w:pPr>
        <w:pStyle w:val="15"/>
        <w:adjustRightInd w:val="0"/>
        <w:snapToGrid w:val="0"/>
        <w:spacing w:line="360" w:lineRule="auto"/>
        <w:ind w:firstLine="420" w:firstLineChars="200"/>
        <w:rPr>
          <w:rFonts w:ascii="仿宋_GB2312" w:eastAsia="仿宋_GB2312"/>
          <w:bCs/>
          <w:color w:val="auto"/>
          <w:highlight w:val="none"/>
        </w:rPr>
      </w:pPr>
      <w:r>
        <w:rPr>
          <w:rFonts w:hint="eastAsia" w:hAnsi="宋体"/>
          <w:color w:val="auto"/>
          <w:highlight w:val="none"/>
        </w:rPr>
        <w:t>1.我方提交单一来源采购响应文件正本1套和副本</w:t>
      </w:r>
      <w:r>
        <w:rPr>
          <w:rFonts w:hint="eastAsia" w:hAnsi="宋体"/>
          <w:color w:val="auto"/>
          <w:highlight w:val="none"/>
          <w:u w:val="single"/>
        </w:rPr>
        <w:t xml:space="preserve">   </w:t>
      </w:r>
      <w:r>
        <w:rPr>
          <w:rFonts w:hint="eastAsia" w:hAnsi="宋体"/>
          <w:color w:val="auto"/>
          <w:highlight w:val="none"/>
        </w:rPr>
        <w:t>套，</w:t>
      </w:r>
      <w:r>
        <w:rPr>
          <w:rFonts w:hint="eastAsia" w:hAnsi="宋体"/>
          <w:bCs/>
          <w:color w:val="auto"/>
          <w:highlight w:val="none"/>
        </w:rPr>
        <w:t>电子文件1份</w:t>
      </w:r>
      <w:r>
        <w:rPr>
          <w:rFonts w:hint="eastAsia" w:ascii="仿宋_GB2312" w:eastAsia="仿宋_GB2312"/>
          <w:bCs/>
          <w:color w:val="auto"/>
          <w:highlight w:val="none"/>
        </w:rPr>
        <w:t>。</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2.我方按照采购文件规定，首次总报价为人民币大写</w:t>
      </w:r>
      <w:r>
        <w:rPr>
          <w:rFonts w:hint="eastAsia" w:hAnsi="宋体"/>
          <w:color w:val="auto"/>
          <w:highlight w:val="none"/>
          <w:u w:val="single"/>
        </w:rPr>
        <w:t xml:space="preserve">      </w:t>
      </w:r>
      <w:r>
        <w:rPr>
          <w:rFonts w:hint="eastAsia" w:hAnsi="宋体"/>
          <w:color w:val="auto"/>
          <w:highlight w:val="none"/>
        </w:rPr>
        <w:t xml:space="preserve"> 元 （￥</w:t>
      </w:r>
      <w:r>
        <w:rPr>
          <w:rFonts w:hint="eastAsia" w:hAnsi="宋体"/>
          <w:color w:val="auto"/>
          <w:highlight w:val="none"/>
          <w:u w:val="single"/>
        </w:rPr>
        <w:t xml:space="preserve">    </w:t>
      </w:r>
      <w:r>
        <w:rPr>
          <w:rFonts w:hint="eastAsia" w:hAnsi="宋体"/>
          <w:color w:val="auto"/>
          <w:highlight w:val="none"/>
        </w:rPr>
        <w:t>）。</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3.我方愿意按采购文件规定的各项要求，向采购人提供所需货物（产品）及相应服务。</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4.我方愿意向贵方提供任何与本项采购有关的样品、数据、情况和技术资料。若贵方需要，我方愿意提供我方作出的一切承诺的证明材料。</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5.我方承诺在采购文件规定的响应文件有效期内，不撤销响应文件。</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6.我方承诺遵守《中华人民共和国政府采购法》及其实施条例的有关规定，按合同履行全部义务：</w:t>
      </w:r>
      <w:r>
        <w:rPr>
          <w:rFonts w:hAnsi="宋体"/>
          <w:color w:val="auto"/>
          <w:highlight w:val="none"/>
        </w:rPr>
        <w:t xml:space="preserve"> </w:t>
      </w:r>
    </w:p>
    <w:p>
      <w:pPr>
        <w:pStyle w:val="17"/>
        <w:spacing w:line="360" w:lineRule="auto"/>
        <w:ind w:firstLine="420" w:firstLineChars="200"/>
        <w:rPr>
          <w:rFonts w:ascii="宋体" w:hAnsi="宋体"/>
          <w:bCs/>
          <w:color w:val="auto"/>
          <w:sz w:val="21"/>
          <w:szCs w:val="21"/>
          <w:highlight w:val="none"/>
        </w:rPr>
      </w:pPr>
      <w:r>
        <w:rPr>
          <w:rFonts w:hint="eastAsia" w:hAnsi="宋体"/>
          <w:color w:val="auto"/>
          <w:sz w:val="21"/>
          <w:szCs w:val="21"/>
          <w:highlight w:val="none"/>
        </w:rPr>
        <w:t>（1）在收到《成交通知书》后，按照采购文件规定期限与采购人签订政府采购合同；</w:t>
      </w:r>
      <w:r>
        <w:rPr>
          <w:rFonts w:ascii="宋体" w:hAnsi="宋体"/>
          <w:bCs/>
          <w:color w:val="auto"/>
          <w:sz w:val="21"/>
          <w:szCs w:val="21"/>
          <w:highlight w:val="none"/>
        </w:rPr>
        <w:t xml:space="preserve"> </w:t>
      </w:r>
    </w:p>
    <w:p>
      <w:pPr>
        <w:pStyle w:val="15"/>
        <w:adjustRightInd w:val="0"/>
        <w:snapToGrid w:val="0"/>
        <w:spacing w:line="360" w:lineRule="auto"/>
        <w:ind w:firstLine="420" w:firstLineChars="200"/>
        <w:rPr>
          <w:rFonts w:hAnsi="宋体"/>
          <w:color w:val="auto"/>
          <w:highlight w:val="none"/>
        </w:rPr>
      </w:pPr>
      <w:r>
        <w:rPr>
          <w:rFonts w:hint="eastAsia" w:hAnsi="宋体"/>
          <w:color w:val="auto"/>
          <w:highlight w:val="none"/>
        </w:rPr>
        <w:t>（2）在签订合同时不向采购人提出附件条件；</w:t>
      </w:r>
    </w:p>
    <w:p>
      <w:pPr>
        <w:pStyle w:val="15"/>
        <w:adjustRightInd w:val="0"/>
        <w:snapToGrid w:val="0"/>
        <w:spacing w:line="360" w:lineRule="auto"/>
        <w:ind w:firstLine="420" w:firstLineChars="200"/>
        <w:rPr>
          <w:rFonts w:hAnsi="宋体"/>
          <w:bCs/>
          <w:color w:val="auto"/>
          <w:highlight w:val="none"/>
        </w:rPr>
      </w:pPr>
      <w:r>
        <w:rPr>
          <w:rFonts w:hint="eastAsia" w:hAnsi="宋体"/>
          <w:bCs/>
          <w:color w:val="auto"/>
          <w:highlight w:val="none"/>
        </w:rPr>
        <w:t>（3）按照采购文件规定要求提交履约保证金；</w:t>
      </w:r>
    </w:p>
    <w:p>
      <w:pPr>
        <w:pStyle w:val="15"/>
        <w:adjustRightInd w:val="0"/>
        <w:snapToGrid w:val="0"/>
        <w:spacing w:line="360" w:lineRule="auto"/>
        <w:ind w:firstLine="420" w:firstLineChars="200"/>
        <w:rPr>
          <w:rFonts w:hAnsi="宋体"/>
          <w:bCs/>
          <w:color w:val="auto"/>
          <w:highlight w:val="none"/>
        </w:rPr>
      </w:pPr>
      <w:r>
        <w:rPr>
          <w:rFonts w:hint="eastAsia" w:hAnsi="宋体"/>
          <w:bCs/>
          <w:color w:val="auto"/>
          <w:highlight w:val="none"/>
        </w:rPr>
        <w:t>（4）我方保证按规定和标准向贵方缴纳采购代理服务费；</w:t>
      </w:r>
    </w:p>
    <w:p>
      <w:pPr>
        <w:pStyle w:val="15"/>
        <w:adjustRightInd w:val="0"/>
        <w:snapToGrid w:val="0"/>
        <w:spacing w:line="360" w:lineRule="auto"/>
        <w:ind w:firstLine="420" w:firstLineChars="200"/>
        <w:rPr>
          <w:color w:val="auto"/>
          <w:highlight w:val="none"/>
        </w:rPr>
      </w:pPr>
      <w:r>
        <w:rPr>
          <w:rFonts w:hint="eastAsia"/>
          <w:color w:val="auto"/>
          <w:highlight w:val="none"/>
        </w:rPr>
        <w:t>（5）响应文件有效期自动延长至合同履行完毕。</w:t>
      </w:r>
    </w:p>
    <w:p>
      <w:pPr>
        <w:pStyle w:val="15"/>
        <w:adjustRightInd w:val="0"/>
        <w:snapToGrid w:val="0"/>
        <w:spacing w:line="360" w:lineRule="auto"/>
        <w:ind w:firstLine="420" w:firstLineChars="200"/>
        <w:rPr>
          <w:color w:val="auto"/>
          <w:highlight w:val="none"/>
        </w:rPr>
      </w:pPr>
      <w:r>
        <w:rPr>
          <w:rFonts w:hint="eastAsia"/>
          <w:color w:val="auto"/>
          <w:highlight w:val="none"/>
        </w:rPr>
        <w:t>7.我方完全理解并同意采购文件中有关不退还保证金条款所规定的情形。</w:t>
      </w:r>
    </w:p>
    <w:p>
      <w:pPr>
        <w:pStyle w:val="15"/>
        <w:adjustRightInd w:val="0"/>
        <w:snapToGrid w:val="0"/>
        <w:spacing w:line="360" w:lineRule="auto"/>
        <w:ind w:firstLine="420" w:firstLineChars="200"/>
        <w:rPr>
          <w:rFonts w:hAnsi="宋体"/>
          <w:bCs/>
          <w:color w:val="auto"/>
          <w:highlight w:val="none"/>
        </w:rPr>
      </w:pPr>
      <w:r>
        <w:rPr>
          <w:rFonts w:hint="eastAsia" w:hAnsi="宋体"/>
          <w:bCs/>
          <w:color w:val="auto"/>
          <w:highlight w:val="none"/>
        </w:rPr>
        <w:t>8.我方在此声明，所递交的</w:t>
      </w:r>
      <w:r>
        <w:rPr>
          <w:rFonts w:hint="eastAsia" w:hAnsi="宋体"/>
          <w:color w:val="auto"/>
          <w:highlight w:val="none"/>
        </w:rPr>
        <w:t>响应文件及有关资料内容完整、真实和准确。否则，愿承担《中华人民共和国政府采购法》</w:t>
      </w:r>
      <w:r>
        <w:rPr>
          <w:rFonts w:hint="eastAsia" w:hAnsi="宋体"/>
          <w:bCs/>
          <w:color w:val="auto"/>
          <w:highlight w:val="none"/>
        </w:rPr>
        <w:t>第七十七条规定的法律责任。</w:t>
      </w:r>
    </w:p>
    <w:p>
      <w:pPr>
        <w:pStyle w:val="17"/>
        <w:spacing w:line="360" w:lineRule="auto"/>
        <w:ind w:firstLine="0"/>
        <w:rPr>
          <w:rFonts w:ascii="宋体" w:hAnsi="宋体"/>
          <w:bCs/>
          <w:color w:val="auto"/>
          <w:sz w:val="21"/>
          <w:szCs w:val="21"/>
          <w:highlight w:val="none"/>
        </w:rPr>
      </w:pP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供应商名称：</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（盖单位公章）</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法定代表人或委托代理人：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w:t>
      </w:r>
      <w:r>
        <w:rPr>
          <w:rFonts w:hint="eastAsia" w:ascii="宋体" w:hAnsi="宋体"/>
          <w:bCs/>
          <w:color w:val="auto"/>
          <w:sz w:val="21"/>
          <w:szCs w:val="21"/>
          <w:highlight w:val="none"/>
          <w:lang w:eastAsia="zh-CN"/>
        </w:rPr>
        <w:t>签名</w:t>
      </w:r>
      <w:r>
        <w:rPr>
          <w:rFonts w:hint="eastAsia" w:ascii="宋体" w:hAnsi="宋体"/>
          <w:bCs/>
          <w:color w:val="auto"/>
          <w:sz w:val="21"/>
          <w:szCs w:val="21"/>
          <w:highlight w:val="none"/>
        </w:rPr>
        <w:t>）</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通讯地址：</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邮政编码：</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联系电话：</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传    真：</w:t>
      </w:r>
    </w:p>
    <w:p>
      <w:pPr>
        <w:pStyle w:val="17"/>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电子邮件：</w:t>
      </w:r>
    </w:p>
    <w:p>
      <w:pPr>
        <w:pStyle w:val="17"/>
        <w:spacing w:line="360" w:lineRule="auto"/>
        <w:ind w:firstLine="420" w:firstLineChars="200"/>
        <w:rPr>
          <w:rFonts w:hint="eastAsia" w:ascii="宋体" w:hAnsi="宋体"/>
          <w:bCs/>
          <w:color w:val="auto"/>
          <w:sz w:val="21"/>
          <w:szCs w:val="21"/>
          <w:highlight w:val="none"/>
        </w:rPr>
      </w:pPr>
      <w:r>
        <w:rPr>
          <w:rFonts w:hint="eastAsia" w:ascii="宋体" w:hAnsi="宋体"/>
          <w:bCs/>
          <w:color w:val="auto"/>
          <w:sz w:val="21"/>
          <w:szCs w:val="21"/>
          <w:highlight w:val="none"/>
        </w:rPr>
        <w:t>日    期：</w:t>
      </w:r>
    </w:p>
    <w:p>
      <w:pPr>
        <w:spacing w:after="240" w:afterLines="100" w:line="360" w:lineRule="auto"/>
        <w:jc w:val="center"/>
        <w:outlineLvl w:val="1"/>
        <w:rPr>
          <w:rFonts w:hint="eastAsia" w:ascii="黑体" w:hAnsi="宋体" w:eastAsia="黑体"/>
          <w:color w:val="auto"/>
          <w:sz w:val="36"/>
          <w:szCs w:val="36"/>
          <w:highlight w:val="none"/>
        </w:rPr>
      </w:pPr>
    </w:p>
    <w:p>
      <w:pPr>
        <w:spacing w:after="240" w:afterLines="100" w:line="360" w:lineRule="auto"/>
        <w:jc w:val="center"/>
        <w:outlineLvl w:val="1"/>
        <w:rPr>
          <w:rFonts w:ascii="黑体" w:hAnsi="宋体" w:eastAsia="黑体"/>
          <w:color w:val="auto"/>
          <w:sz w:val="36"/>
          <w:szCs w:val="36"/>
          <w:highlight w:val="none"/>
        </w:rPr>
      </w:pPr>
      <w:r>
        <w:rPr>
          <w:rFonts w:hint="eastAsia" w:ascii="黑体" w:hAnsi="宋体" w:eastAsia="黑体"/>
          <w:color w:val="auto"/>
          <w:sz w:val="36"/>
          <w:szCs w:val="36"/>
          <w:highlight w:val="none"/>
        </w:rPr>
        <w:t xml:space="preserve">二、首次报价表 </w:t>
      </w:r>
    </w:p>
    <w:p>
      <w:pPr>
        <w:spacing w:after="120" w:afterLines="50" w:line="400" w:lineRule="exact"/>
        <w:ind w:firstLine="105" w:firstLineChars="50"/>
        <w:outlineLvl w:val="1"/>
        <w:rPr>
          <w:rFonts w:hint="eastAsia" w:ascii="楷体_GB2312" w:hAnsi="宋体" w:eastAsia="楷体_GB2312"/>
          <w:color w:val="auto"/>
          <w:szCs w:val="21"/>
          <w:highlight w:val="none"/>
        </w:rPr>
      </w:pPr>
      <w:r>
        <w:rPr>
          <w:rFonts w:hint="eastAsia" w:ascii="宋体" w:hAnsi="宋体"/>
          <w:color w:val="auto"/>
          <w:szCs w:val="21"/>
          <w:highlight w:val="none"/>
        </w:rPr>
        <w:t xml:space="preserve">采购项目编号： </w:t>
      </w:r>
      <w:r>
        <w:rPr>
          <w:rFonts w:hint="eastAsia" w:ascii="楷体_GB2312" w:hAnsi="宋体" w:eastAsia="楷体_GB2312"/>
          <w:color w:val="auto"/>
          <w:szCs w:val="21"/>
          <w:highlight w:val="none"/>
        </w:rPr>
        <w:t xml:space="preserve">  </w:t>
      </w:r>
    </w:p>
    <w:p>
      <w:pPr>
        <w:spacing w:after="120" w:afterLines="50" w:line="400" w:lineRule="exact"/>
        <w:ind w:firstLine="105" w:firstLineChars="50"/>
        <w:outlineLvl w:val="1"/>
        <w:rPr>
          <w:rFonts w:ascii="宋体" w:hAnsi="宋体"/>
          <w:color w:val="auto"/>
          <w:szCs w:val="21"/>
          <w:highlight w:val="none"/>
        </w:rPr>
      </w:pPr>
      <w:r>
        <w:rPr>
          <w:rFonts w:hint="eastAsia" w:ascii="宋体" w:hAnsi="宋体"/>
          <w:color w:val="auto"/>
          <w:szCs w:val="21"/>
          <w:highlight w:val="none"/>
        </w:rPr>
        <w:t>采购项目</w:t>
      </w:r>
      <w:r>
        <w:rPr>
          <w:rFonts w:hint="eastAsia" w:ascii="宋体" w:hAnsi="宋体"/>
          <w:color w:val="auto"/>
          <w:szCs w:val="21"/>
          <w:highlight w:val="none"/>
          <w:lang w:val="en-US" w:eastAsia="zh-CN"/>
        </w:rPr>
        <w:t>名称</w:t>
      </w:r>
      <w:r>
        <w:rPr>
          <w:rFonts w:hint="eastAsia" w:ascii="宋体" w:hAnsi="宋体"/>
          <w:color w:val="auto"/>
          <w:szCs w:val="21"/>
          <w:highlight w:val="none"/>
        </w:rPr>
        <w:t>：</w:t>
      </w:r>
      <w:r>
        <w:rPr>
          <w:rFonts w:hint="eastAsia" w:ascii="楷体_GB2312" w:hAnsi="宋体" w:eastAsia="楷体_GB2312"/>
          <w:color w:val="auto"/>
          <w:szCs w:val="21"/>
          <w:highlight w:val="none"/>
        </w:rPr>
        <w:t xml:space="preserve">                                                       </w:t>
      </w:r>
    </w:p>
    <w:tbl>
      <w:tblPr>
        <w:tblStyle w:val="24"/>
        <w:tblW w:w="9300" w:type="dxa"/>
        <w:tblInd w:w="93" w:type="dxa"/>
        <w:tblLayout w:type="fixed"/>
        <w:tblCellMar>
          <w:top w:w="0" w:type="dxa"/>
          <w:left w:w="108" w:type="dxa"/>
          <w:bottom w:w="0" w:type="dxa"/>
          <w:right w:w="108" w:type="dxa"/>
        </w:tblCellMar>
      </w:tblPr>
      <w:tblGrid>
        <w:gridCol w:w="1000"/>
        <w:gridCol w:w="2401"/>
        <w:gridCol w:w="2511"/>
        <w:gridCol w:w="2063"/>
        <w:gridCol w:w="1325"/>
      </w:tblGrid>
      <w:tr>
        <w:tblPrEx>
          <w:tblCellMar>
            <w:top w:w="0" w:type="dxa"/>
            <w:left w:w="108" w:type="dxa"/>
            <w:bottom w:w="0" w:type="dxa"/>
            <w:right w:w="108" w:type="dxa"/>
          </w:tblCellMar>
        </w:tblPrEx>
        <w:trPr>
          <w:trHeight w:val="555" w:hRule="atLeast"/>
        </w:trPr>
        <w:tc>
          <w:tcPr>
            <w:tcW w:w="9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供应商名称：</w:t>
            </w:r>
          </w:p>
        </w:tc>
      </w:tr>
      <w:tr>
        <w:tblPrEx>
          <w:tblCellMar>
            <w:top w:w="0" w:type="dxa"/>
            <w:left w:w="108" w:type="dxa"/>
            <w:bottom w:w="0" w:type="dxa"/>
            <w:right w:w="108" w:type="dxa"/>
          </w:tblCellMar>
        </w:tblPrEx>
        <w:trPr>
          <w:trHeight w:val="900"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包号</w:t>
            </w: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包号名称</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总报价（元）</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服务</w:t>
            </w:r>
            <w:r>
              <w:rPr>
                <w:rFonts w:hint="eastAsia" w:ascii="宋体" w:hAnsi="宋体" w:cs="宋体"/>
                <w:b/>
                <w:bCs/>
                <w:color w:val="auto"/>
                <w:kern w:val="0"/>
                <w:szCs w:val="21"/>
                <w:highlight w:val="none"/>
              </w:rPr>
              <w:t>期</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地点</w:t>
            </w:r>
          </w:p>
        </w:tc>
      </w:tr>
      <w:tr>
        <w:tblPrEx>
          <w:tblCellMar>
            <w:top w:w="0" w:type="dxa"/>
            <w:left w:w="108" w:type="dxa"/>
            <w:bottom w:w="0" w:type="dxa"/>
            <w:right w:w="108" w:type="dxa"/>
          </w:tblCellMar>
        </w:tblPrEx>
        <w:trPr>
          <w:trHeight w:val="1170"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4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765" w:hRule="atLeast"/>
        </w:trPr>
        <w:tc>
          <w:tcPr>
            <w:tcW w:w="93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总报价（大写）：</w:t>
            </w:r>
          </w:p>
        </w:tc>
      </w:tr>
    </w:tbl>
    <w:p>
      <w:pPr>
        <w:spacing w:before="120" w:beforeLines="50" w:line="200" w:lineRule="exact"/>
        <w:ind w:left="413" w:hanging="413" w:hangingChars="196"/>
        <w:jc w:val="left"/>
        <w:rPr>
          <w:rFonts w:ascii="仿宋_GB2312" w:hAnsi="宋体" w:eastAsia="仿宋_GB2312"/>
          <w:b/>
          <w:color w:val="auto"/>
          <w:szCs w:val="21"/>
          <w:highlight w:val="none"/>
        </w:rPr>
      </w:pPr>
    </w:p>
    <w:p>
      <w:pPr>
        <w:spacing w:before="120" w:beforeLines="50" w:line="200" w:lineRule="exact"/>
        <w:ind w:left="412" w:hanging="411" w:hangingChars="196"/>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w:t>
      </w:r>
      <w:r>
        <w:rPr>
          <w:rFonts w:hint="eastAsia" w:ascii="仿宋_GB2312" w:eastAsia="仿宋_GB2312" w:hAnsiTheme="minorEastAsia"/>
          <w:b/>
          <w:color w:val="auto"/>
          <w:szCs w:val="21"/>
          <w:highlight w:val="none"/>
        </w:rPr>
        <w:t>：</w:t>
      </w:r>
      <w:r>
        <w:rPr>
          <w:rFonts w:hint="eastAsia" w:ascii="仿宋_GB2312" w:eastAsia="仿宋_GB2312" w:hAnsiTheme="minorEastAsia"/>
          <w:color w:val="auto"/>
          <w:szCs w:val="21"/>
          <w:highlight w:val="none"/>
        </w:rPr>
        <w:t>1.</w:t>
      </w:r>
      <w:r>
        <w:rPr>
          <w:rFonts w:hint="eastAsia" w:ascii="仿宋_GB2312" w:eastAsia="仿宋_GB2312" w:hAnsiTheme="minorEastAsia"/>
          <w:color w:val="auto"/>
          <w:szCs w:val="21"/>
          <w:highlight w:val="none"/>
        </w:rPr>
        <w:t>报价应按总报价填写，精确到小数点后两位，大小写不一致时，以大写为准；</w:t>
      </w:r>
    </w:p>
    <w:p>
      <w:pPr>
        <w:spacing w:before="120" w:beforeLines="50" w:line="200" w:lineRule="exact"/>
        <w:ind w:firstLine="630" w:firstLineChars="3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2.本表所列各项数据与响应文件其他地方表述不一致时，以本表为准。</w:t>
      </w:r>
    </w:p>
    <w:p>
      <w:pPr>
        <w:spacing w:line="400" w:lineRule="exact"/>
        <w:jc w:val="left"/>
        <w:rPr>
          <w:rFonts w:ascii="仿宋_GB2312" w:hAnsi="宋体" w:eastAsia="仿宋_GB2312"/>
          <w:color w:val="auto"/>
          <w:sz w:val="28"/>
          <w:szCs w:val="28"/>
          <w:highlight w:val="none"/>
        </w:rPr>
      </w:pPr>
    </w:p>
    <w:p>
      <w:pPr>
        <w:adjustRightInd w:val="0"/>
        <w:spacing w:line="400" w:lineRule="exact"/>
        <w:jc w:val="left"/>
        <w:rPr>
          <w:rFonts w:ascii="仿宋_GB2312" w:hAnsi="宋体" w:eastAsia="仿宋_GB2312"/>
          <w:color w:val="auto"/>
          <w:sz w:val="28"/>
          <w:szCs w:val="28"/>
          <w:highlight w:val="none"/>
        </w:rPr>
      </w:pPr>
    </w:p>
    <w:p>
      <w:pPr>
        <w:adjustRightInd w:val="0"/>
        <w:spacing w:line="400" w:lineRule="exact"/>
        <w:jc w:val="left"/>
        <w:rPr>
          <w:rFonts w:ascii="仿宋_GB2312" w:hAnsi="宋体" w:eastAsia="仿宋_GB2312"/>
          <w:color w:val="auto"/>
          <w:sz w:val="28"/>
          <w:szCs w:val="28"/>
          <w:highlight w:val="none"/>
        </w:rPr>
      </w:pPr>
    </w:p>
    <w:p>
      <w:pPr>
        <w:adjustRightInd w:val="0"/>
        <w:spacing w:line="400" w:lineRule="exact"/>
        <w:ind w:firstLine="120" w:firstLineChars="50"/>
        <w:jc w:val="left"/>
        <w:rPr>
          <w:rFonts w:ascii="宋体" w:hAnsi="宋体"/>
          <w:color w:val="auto"/>
          <w:sz w:val="24"/>
          <w:highlight w:val="none"/>
        </w:rPr>
      </w:pPr>
      <w:r>
        <w:rPr>
          <w:rFonts w:hint="eastAsia" w:ascii="宋体" w:hAnsi="宋体"/>
          <w:color w:val="auto"/>
          <w:sz w:val="24"/>
          <w:highlight w:val="none"/>
        </w:rPr>
        <w:t xml:space="preserve"> </w:t>
      </w:r>
    </w:p>
    <w:p>
      <w:pPr>
        <w:adjustRightInd w:val="0"/>
        <w:spacing w:line="400" w:lineRule="exact"/>
        <w:ind w:firstLine="120" w:firstLineChars="50"/>
        <w:jc w:val="left"/>
        <w:rPr>
          <w:rFonts w:ascii="宋体" w:hAnsi="宋体"/>
          <w:color w:val="auto"/>
          <w:sz w:val="24"/>
          <w:highlight w:val="none"/>
        </w:rPr>
      </w:pPr>
    </w:p>
    <w:p>
      <w:pPr>
        <w:adjustRightInd w:val="0"/>
        <w:spacing w:line="400" w:lineRule="exact"/>
        <w:ind w:firstLine="3990" w:firstLineChars="1900"/>
        <w:jc w:val="lef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（单位公章）</w:t>
      </w:r>
    </w:p>
    <w:p>
      <w:pPr>
        <w:spacing w:line="400" w:lineRule="exact"/>
        <w:jc w:val="center"/>
        <w:outlineLvl w:val="1"/>
        <w:rPr>
          <w:rFonts w:ascii="宋体" w:hAnsi="宋体"/>
          <w:color w:val="auto"/>
          <w:szCs w:val="21"/>
          <w:highlight w:val="none"/>
        </w:rPr>
      </w:pPr>
      <w:r>
        <w:rPr>
          <w:rFonts w:hint="eastAsia" w:ascii="宋体" w:hAnsi="宋体"/>
          <w:color w:val="auto"/>
          <w:szCs w:val="21"/>
          <w:highlight w:val="none"/>
        </w:rPr>
        <w:t xml:space="preserve"> </w:t>
      </w:r>
    </w:p>
    <w:p>
      <w:pPr>
        <w:spacing w:line="400" w:lineRule="exact"/>
        <w:ind w:firstLine="105" w:firstLineChars="50"/>
        <w:outlineLvl w:val="1"/>
        <w:rPr>
          <w:rFonts w:ascii="宋体" w:hAnsi="宋体"/>
          <w:color w:val="auto"/>
          <w:szCs w:val="21"/>
          <w:highlight w:val="none"/>
        </w:rPr>
      </w:pPr>
    </w:p>
    <w:p>
      <w:pPr>
        <w:spacing w:line="400" w:lineRule="exact"/>
        <w:ind w:firstLine="3990" w:firstLineChars="1900"/>
        <w:outlineLvl w:val="1"/>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p>
    <w:p>
      <w:pPr>
        <w:spacing w:line="400" w:lineRule="exact"/>
        <w:ind w:firstLine="105" w:firstLineChars="50"/>
        <w:outlineLvl w:val="1"/>
        <w:rPr>
          <w:rFonts w:ascii="仿宋_GB2312" w:hAnsi="宋体" w:eastAsia="仿宋_GB2312"/>
          <w:color w:val="auto"/>
          <w:szCs w:val="21"/>
          <w:highlight w:val="none"/>
        </w:rPr>
      </w:pPr>
    </w:p>
    <w:p>
      <w:pPr>
        <w:spacing w:line="400" w:lineRule="exact"/>
        <w:ind w:firstLine="105" w:firstLineChars="50"/>
        <w:outlineLvl w:val="1"/>
        <w:rPr>
          <w:rFonts w:ascii="仿宋_GB2312" w:hAnsi="宋体" w:eastAsia="仿宋_GB2312"/>
          <w:color w:val="auto"/>
          <w:szCs w:val="21"/>
          <w:highlight w:val="none"/>
        </w:rPr>
      </w:pPr>
    </w:p>
    <w:p>
      <w:pPr>
        <w:spacing w:line="400" w:lineRule="exact"/>
        <w:outlineLvl w:val="1"/>
        <w:rPr>
          <w:rFonts w:ascii="仿宋_GB2312" w:hAnsi="宋体" w:eastAsia="仿宋_GB2312"/>
          <w:color w:val="auto"/>
          <w:szCs w:val="21"/>
          <w:highlight w:val="none"/>
        </w:rPr>
      </w:pPr>
    </w:p>
    <w:p>
      <w:pPr>
        <w:spacing w:line="400" w:lineRule="exact"/>
        <w:ind w:firstLine="5460" w:firstLineChars="2600"/>
        <w:outlineLvl w:val="1"/>
        <w:rPr>
          <w:rFonts w:ascii="仿宋_GB2312" w:hAnsi="宋体" w:eastAsia="仿宋_GB2312"/>
          <w:b/>
          <w:color w:val="auto"/>
          <w:szCs w:val="21"/>
          <w:highlight w:val="none"/>
        </w:rPr>
      </w:pPr>
      <w:r>
        <w:rPr>
          <w:rFonts w:hint="eastAsia" w:ascii="宋体" w:hAnsi="宋体"/>
          <w:color w:val="auto"/>
          <w:szCs w:val="21"/>
          <w:highlight w:val="none"/>
        </w:rPr>
        <w:t>日期：20  年  月  日</w:t>
      </w:r>
    </w:p>
    <w:p>
      <w:pPr>
        <w:spacing w:line="400" w:lineRule="exact"/>
        <w:outlineLvl w:val="1"/>
        <w:rPr>
          <w:rFonts w:ascii="仿宋_GB2312" w:hAnsi="宋体" w:eastAsia="仿宋_GB2312"/>
          <w:b/>
          <w:color w:val="auto"/>
          <w:sz w:val="36"/>
          <w:szCs w:val="36"/>
          <w:highlight w:val="none"/>
        </w:rPr>
        <w:sectPr>
          <w:footerReference r:id="rId8" w:type="first"/>
          <w:footerReference r:id="rId7" w:type="default"/>
          <w:pgSz w:w="11907" w:h="16840"/>
          <w:pgMar w:top="1440" w:right="1474" w:bottom="1440" w:left="1474" w:header="851" w:footer="992" w:gutter="0"/>
          <w:pgNumType w:fmt="decimal" w:start="1"/>
          <w:cols w:space="720" w:num="1"/>
          <w:titlePg/>
        </w:sectPr>
      </w:pPr>
    </w:p>
    <w:p>
      <w:pPr>
        <w:spacing w:after="240" w:afterLines="100"/>
        <w:jc w:val="center"/>
        <w:rPr>
          <w:rFonts w:ascii="黑体" w:hAnsi="宋体" w:eastAsia="黑体"/>
          <w:color w:val="auto"/>
          <w:sz w:val="36"/>
          <w:szCs w:val="36"/>
          <w:highlight w:val="none"/>
        </w:rPr>
      </w:pPr>
      <w:bookmarkStart w:id="90" w:name="_Toc217446086"/>
      <w:r>
        <w:rPr>
          <w:rFonts w:hint="eastAsia" w:ascii="黑体" w:hAnsi="宋体" w:eastAsia="黑体"/>
          <w:bCs/>
          <w:color w:val="auto"/>
          <w:sz w:val="36"/>
          <w:szCs w:val="36"/>
          <w:highlight w:val="none"/>
        </w:rPr>
        <w:t>三、货物（产品）首次分项报价表</w:t>
      </w:r>
    </w:p>
    <w:p>
      <w:pPr>
        <w:spacing w:after="120" w:afterLines="50" w:line="360" w:lineRule="exact"/>
        <w:ind w:firstLine="210" w:firstLineChars="10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供应商名称：    </w:t>
      </w:r>
      <w:r>
        <w:rPr>
          <w:rFonts w:hint="eastAsia" w:ascii="楷体_GB2312" w:eastAsia="楷体_GB2312"/>
          <w:color w:val="auto"/>
          <w:highlight w:val="none"/>
        </w:rPr>
        <w:t xml:space="preserve">                                                                      </w:t>
      </w:r>
      <w:r>
        <w:rPr>
          <w:rFonts w:hint="eastAsia" w:asciiTheme="majorEastAsia" w:hAnsiTheme="majorEastAsia" w:eastAsiaTheme="majorEastAsia"/>
          <w:color w:val="auto"/>
          <w:highlight w:val="none"/>
        </w:rPr>
        <w:t>采购项目编号：</w:t>
      </w:r>
    </w:p>
    <w:tbl>
      <w:tblPr>
        <w:tblStyle w:val="24"/>
        <w:tblW w:w="1342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64"/>
        <w:gridCol w:w="2056"/>
        <w:gridCol w:w="1240"/>
        <w:gridCol w:w="2422"/>
        <w:gridCol w:w="1346"/>
        <w:gridCol w:w="1006"/>
        <w:gridCol w:w="1559"/>
        <w:gridCol w:w="1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18"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564"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货物名称</w:t>
            </w:r>
          </w:p>
        </w:tc>
        <w:tc>
          <w:tcPr>
            <w:tcW w:w="2056"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品牌</w:t>
            </w:r>
          </w:p>
        </w:tc>
        <w:tc>
          <w:tcPr>
            <w:tcW w:w="1240"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型号规格</w:t>
            </w:r>
          </w:p>
        </w:tc>
        <w:tc>
          <w:tcPr>
            <w:tcW w:w="2422"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制造商</w:t>
            </w:r>
          </w:p>
        </w:tc>
        <w:tc>
          <w:tcPr>
            <w:tcW w:w="1346"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数量/单位</w:t>
            </w:r>
          </w:p>
        </w:tc>
        <w:tc>
          <w:tcPr>
            <w:tcW w:w="1006"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单价（元）</w:t>
            </w:r>
          </w:p>
        </w:tc>
        <w:tc>
          <w:tcPr>
            <w:tcW w:w="1559"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报价（元）</w:t>
            </w:r>
          </w:p>
        </w:tc>
        <w:tc>
          <w:tcPr>
            <w:tcW w:w="1417" w:type="dxa"/>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1564" w:type="dxa"/>
            <w:vAlign w:val="center"/>
          </w:tcPr>
          <w:p>
            <w:pPr>
              <w:adjustRightInd w:val="0"/>
              <w:snapToGrid w:val="0"/>
              <w:jc w:val="center"/>
              <w:rPr>
                <w:rFonts w:ascii="宋体" w:hAnsi="宋体"/>
                <w:color w:val="auto"/>
                <w:szCs w:val="21"/>
                <w:highlight w:val="none"/>
              </w:rPr>
            </w:pPr>
          </w:p>
        </w:tc>
        <w:tc>
          <w:tcPr>
            <w:tcW w:w="2056" w:type="dxa"/>
          </w:tcPr>
          <w:p>
            <w:pPr>
              <w:adjustRightInd w:val="0"/>
              <w:snapToGrid w:val="0"/>
              <w:jc w:val="center"/>
              <w:rPr>
                <w:rFonts w:ascii="宋体" w:hAnsi="宋体"/>
                <w:color w:val="auto"/>
                <w:szCs w:val="21"/>
                <w:highlight w:val="none"/>
              </w:rPr>
            </w:pPr>
          </w:p>
        </w:tc>
        <w:tc>
          <w:tcPr>
            <w:tcW w:w="1240" w:type="dxa"/>
          </w:tcPr>
          <w:p>
            <w:pPr>
              <w:adjustRightInd w:val="0"/>
              <w:snapToGrid w:val="0"/>
              <w:jc w:val="center"/>
              <w:rPr>
                <w:rFonts w:ascii="宋体" w:hAnsi="宋体"/>
                <w:color w:val="auto"/>
                <w:szCs w:val="21"/>
                <w:highlight w:val="none"/>
              </w:rPr>
            </w:pPr>
          </w:p>
        </w:tc>
        <w:tc>
          <w:tcPr>
            <w:tcW w:w="2422" w:type="dxa"/>
          </w:tcPr>
          <w:p>
            <w:pPr>
              <w:adjustRightInd w:val="0"/>
              <w:snapToGrid w:val="0"/>
              <w:jc w:val="center"/>
              <w:rPr>
                <w:rFonts w:ascii="宋体" w:hAnsi="宋体"/>
                <w:color w:val="auto"/>
                <w:szCs w:val="21"/>
                <w:highlight w:val="none"/>
              </w:rPr>
            </w:pPr>
          </w:p>
        </w:tc>
        <w:tc>
          <w:tcPr>
            <w:tcW w:w="1346" w:type="dxa"/>
          </w:tcPr>
          <w:p>
            <w:pPr>
              <w:adjustRightInd w:val="0"/>
              <w:snapToGrid w:val="0"/>
              <w:jc w:val="center"/>
              <w:rPr>
                <w:rFonts w:ascii="宋体" w:hAnsi="宋体"/>
                <w:color w:val="auto"/>
                <w:szCs w:val="21"/>
                <w:highlight w:val="none"/>
              </w:rPr>
            </w:pPr>
          </w:p>
        </w:tc>
        <w:tc>
          <w:tcPr>
            <w:tcW w:w="1006" w:type="dxa"/>
            <w:vAlign w:val="center"/>
          </w:tcPr>
          <w:p>
            <w:pPr>
              <w:adjustRightInd w:val="0"/>
              <w:snapToGrid w:val="0"/>
              <w:jc w:val="center"/>
              <w:rPr>
                <w:rFonts w:ascii="宋体" w:hAnsi="宋体"/>
                <w:color w:val="auto"/>
                <w:szCs w:val="21"/>
                <w:highlight w:val="none"/>
              </w:rPr>
            </w:pPr>
          </w:p>
        </w:tc>
        <w:tc>
          <w:tcPr>
            <w:tcW w:w="1559" w:type="dxa"/>
          </w:tcPr>
          <w:p>
            <w:pPr>
              <w:adjustRightInd w:val="0"/>
              <w:snapToGrid w:val="0"/>
              <w:jc w:val="center"/>
              <w:rPr>
                <w:rFonts w:ascii="宋体" w:hAnsi="宋体"/>
                <w:color w:val="auto"/>
                <w:szCs w:val="21"/>
                <w:highlight w:val="none"/>
              </w:rPr>
            </w:pPr>
          </w:p>
        </w:tc>
        <w:tc>
          <w:tcPr>
            <w:tcW w:w="1417" w:type="dxa"/>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2</w:t>
            </w:r>
          </w:p>
        </w:tc>
        <w:tc>
          <w:tcPr>
            <w:tcW w:w="1564" w:type="dxa"/>
            <w:vAlign w:val="center"/>
          </w:tcPr>
          <w:p>
            <w:pPr>
              <w:adjustRightInd w:val="0"/>
              <w:snapToGrid w:val="0"/>
              <w:jc w:val="center"/>
              <w:rPr>
                <w:rFonts w:ascii="宋体" w:hAnsi="宋体"/>
                <w:color w:val="auto"/>
                <w:szCs w:val="21"/>
                <w:highlight w:val="none"/>
              </w:rPr>
            </w:pPr>
          </w:p>
        </w:tc>
        <w:tc>
          <w:tcPr>
            <w:tcW w:w="2056" w:type="dxa"/>
          </w:tcPr>
          <w:p>
            <w:pPr>
              <w:adjustRightInd w:val="0"/>
              <w:snapToGrid w:val="0"/>
              <w:jc w:val="center"/>
              <w:rPr>
                <w:rFonts w:ascii="宋体" w:hAnsi="宋体"/>
                <w:color w:val="auto"/>
                <w:szCs w:val="21"/>
                <w:highlight w:val="none"/>
              </w:rPr>
            </w:pPr>
          </w:p>
        </w:tc>
        <w:tc>
          <w:tcPr>
            <w:tcW w:w="1240" w:type="dxa"/>
          </w:tcPr>
          <w:p>
            <w:pPr>
              <w:adjustRightInd w:val="0"/>
              <w:snapToGrid w:val="0"/>
              <w:jc w:val="center"/>
              <w:rPr>
                <w:rFonts w:ascii="宋体" w:hAnsi="宋体"/>
                <w:color w:val="auto"/>
                <w:szCs w:val="21"/>
                <w:highlight w:val="none"/>
              </w:rPr>
            </w:pPr>
          </w:p>
        </w:tc>
        <w:tc>
          <w:tcPr>
            <w:tcW w:w="2422" w:type="dxa"/>
          </w:tcPr>
          <w:p>
            <w:pPr>
              <w:adjustRightInd w:val="0"/>
              <w:snapToGrid w:val="0"/>
              <w:jc w:val="center"/>
              <w:rPr>
                <w:rFonts w:ascii="宋体" w:hAnsi="宋体"/>
                <w:color w:val="auto"/>
                <w:szCs w:val="21"/>
                <w:highlight w:val="none"/>
              </w:rPr>
            </w:pPr>
          </w:p>
        </w:tc>
        <w:tc>
          <w:tcPr>
            <w:tcW w:w="1346" w:type="dxa"/>
          </w:tcPr>
          <w:p>
            <w:pPr>
              <w:adjustRightInd w:val="0"/>
              <w:snapToGrid w:val="0"/>
              <w:jc w:val="center"/>
              <w:rPr>
                <w:rFonts w:ascii="宋体" w:hAnsi="宋体"/>
                <w:color w:val="auto"/>
                <w:szCs w:val="21"/>
                <w:highlight w:val="none"/>
              </w:rPr>
            </w:pPr>
          </w:p>
        </w:tc>
        <w:tc>
          <w:tcPr>
            <w:tcW w:w="1006" w:type="dxa"/>
            <w:vAlign w:val="center"/>
          </w:tcPr>
          <w:p>
            <w:pPr>
              <w:adjustRightInd w:val="0"/>
              <w:snapToGrid w:val="0"/>
              <w:jc w:val="center"/>
              <w:rPr>
                <w:rFonts w:ascii="宋体" w:hAnsi="宋体"/>
                <w:color w:val="auto"/>
                <w:szCs w:val="21"/>
                <w:highlight w:val="none"/>
              </w:rPr>
            </w:pPr>
          </w:p>
        </w:tc>
        <w:tc>
          <w:tcPr>
            <w:tcW w:w="1559" w:type="dxa"/>
          </w:tcPr>
          <w:p>
            <w:pPr>
              <w:adjustRightInd w:val="0"/>
              <w:snapToGrid w:val="0"/>
              <w:jc w:val="center"/>
              <w:rPr>
                <w:rFonts w:ascii="宋体" w:hAnsi="宋体"/>
                <w:color w:val="auto"/>
                <w:szCs w:val="21"/>
                <w:highlight w:val="none"/>
              </w:rPr>
            </w:pPr>
          </w:p>
        </w:tc>
        <w:tc>
          <w:tcPr>
            <w:tcW w:w="1417" w:type="dxa"/>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 w:type="dxa"/>
            <w:tcBorders>
              <w:bottom w:val="single" w:color="auto" w:sz="4" w:space="0"/>
            </w:tcBorders>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3</w:t>
            </w:r>
          </w:p>
        </w:tc>
        <w:tc>
          <w:tcPr>
            <w:tcW w:w="1564" w:type="dxa"/>
            <w:tcBorders>
              <w:bottom w:val="single" w:color="auto" w:sz="4" w:space="0"/>
            </w:tcBorders>
            <w:vAlign w:val="center"/>
          </w:tcPr>
          <w:p>
            <w:pPr>
              <w:adjustRightInd w:val="0"/>
              <w:snapToGrid w:val="0"/>
              <w:jc w:val="center"/>
              <w:rPr>
                <w:rFonts w:ascii="宋体" w:hAnsi="宋体"/>
                <w:color w:val="auto"/>
                <w:szCs w:val="21"/>
                <w:highlight w:val="none"/>
              </w:rPr>
            </w:pPr>
          </w:p>
        </w:tc>
        <w:tc>
          <w:tcPr>
            <w:tcW w:w="2056" w:type="dxa"/>
            <w:tcBorders>
              <w:bottom w:val="single" w:color="auto" w:sz="4" w:space="0"/>
            </w:tcBorders>
          </w:tcPr>
          <w:p>
            <w:pPr>
              <w:adjustRightInd w:val="0"/>
              <w:snapToGrid w:val="0"/>
              <w:jc w:val="center"/>
              <w:rPr>
                <w:rFonts w:ascii="宋体" w:hAnsi="宋体"/>
                <w:color w:val="auto"/>
                <w:szCs w:val="21"/>
                <w:highlight w:val="none"/>
              </w:rPr>
            </w:pPr>
          </w:p>
        </w:tc>
        <w:tc>
          <w:tcPr>
            <w:tcW w:w="1240" w:type="dxa"/>
            <w:tcBorders>
              <w:bottom w:val="single" w:color="auto" w:sz="4" w:space="0"/>
            </w:tcBorders>
          </w:tcPr>
          <w:p>
            <w:pPr>
              <w:adjustRightInd w:val="0"/>
              <w:snapToGrid w:val="0"/>
              <w:jc w:val="center"/>
              <w:rPr>
                <w:rFonts w:ascii="宋体" w:hAnsi="宋体"/>
                <w:color w:val="auto"/>
                <w:szCs w:val="21"/>
                <w:highlight w:val="none"/>
              </w:rPr>
            </w:pPr>
          </w:p>
        </w:tc>
        <w:tc>
          <w:tcPr>
            <w:tcW w:w="2422" w:type="dxa"/>
            <w:tcBorders>
              <w:bottom w:val="single" w:color="auto" w:sz="4" w:space="0"/>
            </w:tcBorders>
          </w:tcPr>
          <w:p>
            <w:pPr>
              <w:adjustRightInd w:val="0"/>
              <w:snapToGrid w:val="0"/>
              <w:jc w:val="center"/>
              <w:rPr>
                <w:rFonts w:ascii="宋体" w:hAnsi="宋体"/>
                <w:color w:val="auto"/>
                <w:szCs w:val="21"/>
                <w:highlight w:val="none"/>
              </w:rPr>
            </w:pPr>
          </w:p>
        </w:tc>
        <w:tc>
          <w:tcPr>
            <w:tcW w:w="1346" w:type="dxa"/>
            <w:tcBorders>
              <w:bottom w:val="single" w:color="auto" w:sz="4" w:space="0"/>
            </w:tcBorders>
          </w:tcPr>
          <w:p>
            <w:pPr>
              <w:adjustRightInd w:val="0"/>
              <w:snapToGrid w:val="0"/>
              <w:jc w:val="center"/>
              <w:rPr>
                <w:rFonts w:ascii="宋体" w:hAnsi="宋体"/>
                <w:color w:val="auto"/>
                <w:szCs w:val="21"/>
                <w:highlight w:val="none"/>
              </w:rPr>
            </w:pPr>
          </w:p>
        </w:tc>
        <w:tc>
          <w:tcPr>
            <w:tcW w:w="1006" w:type="dxa"/>
            <w:tcBorders>
              <w:bottom w:val="single" w:color="auto" w:sz="4" w:space="0"/>
            </w:tcBorders>
            <w:vAlign w:val="center"/>
          </w:tcPr>
          <w:p>
            <w:pPr>
              <w:adjustRightInd w:val="0"/>
              <w:snapToGrid w:val="0"/>
              <w:jc w:val="center"/>
              <w:rPr>
                <w:rFonts w:ascii="宋体" w:hAnsi="宋体"/>
                <w:color w:val="auto"/>
                <w:szCs w:val="21"/>
                <w:highlight w:val="none"/>
              </w:rPr>
            </w:pPr>
          </w:p>
        </w:tc>
        <w:tc>
          <w:tcPr>
            <w:tcW w:w="1559" w:type="dxa"/>
            <w:tcBorders>
              <w:bottom w:val="single" w:color="auto" w:sz="4" w:space="0"/>
            </w:tcBorders>
          </w:tcPr>
          <w:p>
            <w:pPr>
              <w:adjustRightInd w:val="0"/>
              <w:snapToGrid w:val="0"/>
              <w:jc w:val="center"/>
              <w:rPr>
                <w:rFonts w:ascii="宋体" w:hAnsi="宋体"/>
                <w:color w:val="auto"/>
                <w:szCs w:val="21"/>
                <w:highlight w:val="none"/>
              </w:rPr>
            </w:pPr>
          </w:p>
        </w:tc>
        <w:tc>
          <w:tcPr>
            <w:tcW w:w="1417" w:type="dxa"/>
            <w:tcBorders>
              <w:bottom w:val="single" w:color="auto" w:sz="4" w:space="0"/>
            </w:tcBorders>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8" w:type="dxa"/>
            <w:tcBorders>
              <w:top w:val="single" w:color="auto" w:sz="4" w:space="0"/>
              <w:bottom w:val="double" w:color="auto" w:sz="4" w:space="0"/>
            </w:tcBorders>
            <w:vAlign w:val="center"/>
          </w:tcPr>
          <w:p>
            <w:pPr>
              <w:adjustRightInd w:val="0"/>
              <w:snapToGrid w:val="0"/>
              <w:jc w:val="center"/>
              <w:rPr>
                <w:rFonts w:ascii="宋体" w:hAnsi="宋体"/>
                <w:color w:val="auto"/>
                <w:szCs w:val="21"/>
                <w:highlight w:val="none"/>
              </w:rPr>
            </w:pPr>
            <w:r>
              <w:rPr>
                <w:rFonts w:ascii="宋体" w:hAnsi="宋体"/>
                <w:b/>
                <w:color w:val="auto"/>
                <w:szCs w:val="21"/>
                <w:highlight w:val="none"/>
              </w:rPr>
              <w:t>…</w:t>
            </w:r>
          </w:p>
        </w:tc>
        <w:tc>
          <w:tcPr>
            <w:tcW w:w="1564" w:type="dxa"/>
            <w:tcBorders>
              <w:top w:val="single" w:color="auto" w:sz="4" w:space="0"/>
              <w:bottom w:val="double" w:color="auto" w:sz="4" w:space="0"/>
            </w:tcBorders>
            <w:vAlign w:val="center"/>
          </w:tcPr>
          <w:p>
            <w:pPr>
              <w:adjustRightInd w:val="0"/>
              <w:snapToGrid w:val="0"/>
              <w:jc w:val="center"/>
              <w:rPr>
                <w:rFonts w:ascii="宋体" w:hAnsi="宋体"/>
                <w:color w:val="auto"/>
                <w:szCs w:val="21"/>
                <w:highlight w:val="none"/>
              </w:rPr>
            </w:pPr>
          </w:p>
        </w:tc>
        <w:tc>
          <w:tcPr>
            <w:tcW w:w="2056" w:type="dxa"/>
            <w:tcBorders>
              <w:top w:val="single" w:color="auto" w:sz="4" w:space="0"/>
              <w:bottom w:val="double" w:color="auto" w:sz="4" w:space="0"/>
            </w:tcBorders>
          </w:tcPr>
          <w:p>
            <w:pPr>
              <w:adjustRightInd w:val="0"/>
              <w:snapToGrid w:val="0"/>
              <w:jc w:val="center"/>
              <w:rPr>
                <w:rFonts w:ascii="宋体" w:hAnsi="宋体"/>
                <w:color w:val="auto"/>
                <w:szCs w:val="21"/>
                <w:highlight w:val="none"/>
              </w:rPr>
            </w:pPr>
          </w:p>
        </w:tc>
        <w:tc>
          <w:tcPr>
            <w:tcW w:w="1240" w:type="dxa"/>
            <w:tcBorders>
              <w:top w:val="single" w:color="auto" w:sz="4" w:space="0"/>
              <w:bottom w:val="double" w:color="auto" w:sz="4" w:space="0"/>
            </w:tcBorders>
          </w:tcPr>
          <w:p>
            <w:pPr>
              <w:adjustRightInd w:val="0"/>
              <w:snapToGrid w:val="0"/>
              <w:jc w:val="center"/>
              <w:rPr>
                <w:rFonts w:ascii="宋体" w:hAnsi="宋体"/>
                <w:color w:val="auto"/>
                <w:szCs w:val="21"/>
                <w:highlight w:val="none"/>
              </w:rPr>
            </w:pPr>
          </w:p>
        </w:tc>
        <w:tc>
          <w:tcPr>
            <w:tcW w:w="2422" w:type="dxa"/>
            <w:tcBorders>
              <w:top w:val="single" w:color="auto" w:sz="4" w:space="0"/>
              <w:bottom w:val="double" w:color="auto" w:sz="4" w:space="0"/>
            </w:tcBorders>
          </w:tcPr>
          <w:p>
            <w:pPr>
              <w:adjustRightInd w:val="0"/>
              <w:snapToGrid w:val="0"/>
              <w:jc w:val="center"/>
              <w:rPr>
                <w:rFonts w:ascii="宋体" w:hAnsi="宋体"/>
                <w:color w:val="auto"/>
                <w:szCs w:val="21"/>
                <w:highlight w:val="none"/>
              </w:rPr>
            </w:pPr>
          </w:p>
        </w:tc>
        <w:tc>
          <w:tcPr>
            <w:tcW w:w="1346" w:type="dxa"/>
            <w:tcBorders>
              <w:top w:val="single" w:color="auto" w:sz="4" w:space="0"/>
              <w:bottom w:val="double" w:color="auto" w:sz="4" w:space="0"/>
            </w:tcBorders>
          </w:tcPr>
          <w:p>
            <w:pPr>
              <w:adjustRightInd w:val="0"/>
              <w:snapToGrid w:val="0"/>
              <w:jc w:val="center"/>
              <w:rPr>
                <w:rFonts w:ascii="宋体" w:hAnsi="宋体"/>
                <w:color w:val="auto"/>
                <w:szCs w:val="21"/>
                <w:highlight w:val="none"/>
              </w:rPr>
            </w:pPr>
          </w:p>
        </w:tc>
        <w:tc>
          <w:tcPr>
            <w:tcW w:w="1006" w:type="dxa"/>
            <w:tcBorders>
              <w:top w:val="single" w:color="auto" w:sz="4" w:space="0"/>
              <w:bottom w:val="double" w:color="auto" w:sz="4" w:space="0"/>
            </w:tcBorders>
            <w:vAlign w:val="center"/>
          </w:tcPr>
          <w:p>
            <w:pPr>
              <w:adjustRightInd w:val="0"/>
              <w:snapToGrid w:val="0"/>
              <w:jc w:val="center"/>
              <w:rPr>
                <w:rFonts w:ascii="宋体" w:hAnsi="宋体"/>
                <w:color w:val="auto"/>
                <w:szCs w:val="21"/>
                <w:highlight w:val="none"/>
              </w:rPr>
            </w:pPr>
          </w:p>
        </w:tc>
        <w:tc>
          <w:tcPr>
            <w:tcW w:w="1559" w:type="dxa"/>
            <w:tcBorders>
              <w:top w:val="single" w:color="auto" w:sz="4" w:space="0"/>
              <w:bottom w:val="double" w:color="auto" w:sz="4" w:space="0"/>
            </w:tcBorders>
          </w:tcPr>
          <w:p>
            <w:pPr>
              <w:adjustRightInd w:val="0"/>
              <w:snapToGrid w:val="0"/>
              <w:jc w:val="center"/>
              <w:rPr>
                <w:rFonts w:ascii="宋体" w:hAnsi="宋体"/>
                <w:color w:val="auto"/>
                <w:szCs w:val="21"/>
                <w:highlight w:val="none"/>
              </w:rPr>
            </w:pPr>
          </w:p>
        </w:tc>
        <w:tc>
          <w:tcPr>
            <w:tcW w:w="1417" w:type="dxa"/>
            <w:tcBorders>
              <w:top w:val="single" w:color="auto" w:sz="4" w:space="0"/>
              <w:bottom w:val="double" w:color="auto" w:sz="4" w:space="0"/>
            </w:tcBorders>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 w:type="dxa"/>
            <w:vAlign w:val="center"/>
          </w:tcPr>
          <w:p>
            <w:pPr>
              <w:adjustRightInd w:val="0"/>
              <w:snapToGrid w:val="0"/>
              <w:jc w:val="center"/>
              <w:rPr>
                <w:rFonts w:ascii="宋体" w:hAnsi="宋体"/>
                <w:color w:val="auto"/>
                <w:szCs w:val="21"/>
                <w:highlight w:val="none"/>
              </w:rPr>
            </w:pPr>
          </w:p>
        </w:tc>
        <w:tc>
          <w:tcPr>
            <w:tcW w:w="1564"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税金</w:t>
            </w:r>
          </w:p>
        </w:tc>
        <w:tc>
          <w:tcPr>
            <w:tcW w:w="8070" w:type="dxa"/>
            <w:gridSpan w:val="5"/>
          </w:tcPr>
          <w:p>
            <w:pPr>
              <w:adjustRightInd w:val="0"/>
              <w:snapToGrid w:val="0"/>
              <w:jc w:val="center"/>
              <w:rPr>
                <w:rFonts w:ascii="宋体" w:hAnsi="宋体"/>
                <w:color w:val="auto"/>
                <w:szCs w:val="21"/>
                <w:highlight w:val="none"/>
              </w:rPr>
            </w:pPr>
          </w:p>
        </w:tc>
        <w:tc>
          <w:tcPr>
            <w:tcW w:w="1559" w:type="dxa"/>
          </w:tcPr>
          <w:p>
            <w:pPr>
              <w:adjustRightInd w:val="0"/>
              <w:snapToGrid w:val="0"/>
              <w:jc w:val="center"/>
              <w:rPr>
                <w:rFonts w:ascii="宋体" w:hAnsi="宋体"/>
                <w:color w:val="auto"/>
                <w:szCs w:val="21"/>
                <w:highlight w:val="none"/>
              </w:rPr>
            </w:pPr>
          </w:p>
        </w:tc>
        <w:tc>
          <w:tcPr>
            <w:tcW w:w="1417" w:type="dxa"/>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 w:type="dxa"/>
            <w:vAlign w:val="center"/>
          </w:tcPr>
          <w:p>
            <w:pPr>
              <w:adjustRightInd w:val="0"/>
              <w:snapToGrid w:val="0"/>
              <w:jc w:val="center"/>
              <w:rPr>
                <w:rFonts w:ascii="宋体" w:hAnsi="宋体"/>
                <w:color w:val="auto"/>
                <w:szCs w:val="21"/>
                <w:highlight w:val="none"/>
              </w:rPr>
            </w:pPr>
          </w:p>
        </w:tc>
        <w:tc>
          <w:tcPr>
            <w:tcW w:w="1564"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其他</w:t>
            </w:r>
          </w:p>
        </w:tc>
        <w:tc>
          <w:tcPr>
            <w:tcW w:w="8070" w:type="dxa"/>
            <w:gridSpan w:val="5"/>
          </w:tcPr>
          <w:p>
            <w:pPr>
              <w:adjustRightInd w:val="0"/>
              <w:snapToGrid w:val="0"/>
              <w:jc w:val="center"/>
              <w:rPr>
                <w:rFonts w:ascii="宋体" w:hAnsi="宋体"/>
                <w:color w:val="auto"/>
                <w:szCs w:val="21"/>
                <w:highlight w:val="none"/>
              </w:rPr>
            </w:pPr>
          </w:p>
        </w:tc>
        <w:tc>
          <w:tcPr>
            <w:tcW w:w="1559" w:type="dxa"/>
          </w:tcPr>
          <w:p>
            <w:pPr>
              <w:adjustRightInd w:val="0"/>
              <w:snapToGrid w:val="0"/>
              <w:jc w:val="center"/>
              <w:rPr>
                <w:rFonts w:ascii="宋体" w:hAnsi="宋体"/>
                <w:color w:val="auto"/>
                <w:szCs w:val="21"/>
                <w:highlight w:val="none"/>
              </w:rPr>
            </w:pPr>
          </w:p>
        </w:tc>
        <w:tc>
          <w:tcPr>
            <w:tcW w:w="1417" w:type="dxa"/>
            <w:vAlign w:val="center"/>
          </w:tcPr>
          <w:p>
            <w:pPr>
              <w:adjustRightInd w:val="0"/>
              <w:snapToGrid w:val="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8" w:type="dxa"/>
            <w:vAlign w:val="center"/>
          </w:tcPr>
          <w:p>
            <w:pPr>
              <w:adjustRightInd w:val="0"/>
              <w:snapToGrid w:val="0"/>
              <w:jc w:val="center"/>
              <w:rPr>
                <w:rFonts w:ascii="宋体" w:hAnsi="宋体"/>
                <w:color w:val="auto"/>
                <w:szCs w:val="21"/>
                <w:highlight w:val="none"/>
              </w:rPr>
            </w:pPr>
          </w:p>
        </w:tc>
        <w:tc>
          <w:tcPr>
            <w:tcW w:w="1564" w:type="dxa"/>
            <w:vAlign w:val="center"/>
          </w:tcPr>
          <w:p>
            <w:pPr>
              <w:adjustRightInd w:val="0"/>
              <w:snapToGrid w:val="0"/>
              <w:jc w:val="center"/>
              <w:rPr>
                <w:rFonts w:ascii="宋体" w:hAnsi="宋体"/>
                <w:color w:val="auto"/>
                <w:szCs w:val="21"/>
                <w:highlight w:val="none"/>
              </w:rPr>
            </w:pPr>
            <w:r>
              <w:rPr>
                <w:rFonts w:hint="eastAsia" w:ascii="宋体" w:hAnsi="宋体"/>
                <w:color w:val="auto"/>
                <w:szCs w:val="21"/>
                <w:highlight w:val="none"/>
              </w:rPr>
              <w:t>合计（大写）</w:t>
            </w:r>
          </w:p>
        </w:tc>
        <w:tc>
          <w:tcPr>
            <w:tcW w:w="8070" w:type="dxa"/>
            <w:gridSpan w:val="5"/>
            <w:vAlign w:val="center"/>
          </w:tcPr>
          <w:p>
            <w:pPr>
              <w:adjustRightInd w:val="0"/>
              <w:snapToGrid w:val="0"/>
              <w:jc w:val="center"/>
              <w:rPr>
                <w:rFonts w:ascii="宋体" w:hAnsi="宋体"/>
                <w:color w:val="auto"/>
                <w:szCs w:val="21"/>
                <w:highlight w:val="none"/>
              </w:rPr>
            </w:pPr>
          </w:p>
        </w:tc>
        <w:tc>
          <w:tcPr>
            <w:tcW w:w="2976" w:type="dxa"/>
            <w:gridSpan w:val="2"/>
            <w:vAlign w:val="center"/>
          </w:tcPr>
          <w:p>
            <w:pPr>
              <w:adjustRightInd w:val="0"/>
              <w:snapToGrid w:val="0"/>
              <w:jc w:val="left"/>
              <w:rPr>
                <w:rFonts w:ascii="宋体" w:hAnsi="宋体"/>
                <w:color w:val="auto"/>
                <w:szCs w:val="21"/>
                <w:highlight w:val="none"/>
              </w:rPr>
            </w:pPr>
            <w:r>
              <w:rPr>
                <w:rFonts w:hint="eastAsia" w:hAnsi="宋体"/>
                <w:color w:val="auto"/>
                <w:highlight w:val="none"/>
              </w:rPr>
              <w:t>￥</w:t>
            </w:r>
          </w:p>
        </w:tc>
      </w:tr>
    </w:tbl>
    <w:p>
      <w:pPr>
        <w:adjustRightInd w:val="0"/>
        <w:snapToGrid w:val="0"/>
        <w:spacing w:before="120" w:beforeLines="50"/>
        <w:ind w:left="-88" w:leftChars="-42" w:firstLine="210" w:firstLineChars="100"/>
        <w:rPr>
          <w:rFonts w:ascii="仿宋_GB2312" w:hAnsi="宋体" w:eastAsia="仿宋_GB2312"/>
          <w:color w:val="auto"/>
          <w:szCs w:val="21"/>
          <w:highlight w:val="none"/>
        </w:rPr>
      </w:pPr>
      <w:r>
        <w:rPr>
          <w:rFonts w:hint="eastAsia" w:ascii="仿宋_GB2312" w:hAnsi="宋体" w:eastAsia="仿宋_GB2312"/>
          <w:color w:val="auto"/>
          <w:szCs w:val="21"/>
          <w:highlight w:val="none"/>
        </w:rPr>
        <w:t>说明</w:t>
      </w:r>
    </w:p>
    <w:p>
      <w:pPr>
        <w:adjustRightInd w:val="0"/>
        <w:snapToGrid w:val="0"/>
        <w:ind w:left="-88" w:leftChars="-42" w:firstLine="840" w:firstLineChars="400"/>
        <w:rPr>
          <w:rFonts w:ascii="仿宋_GB2312" w:hAnsi="宋体" w:eastAsia="仿宋_GB2312"/>
          <w:color w:val="auto"/>
          <w:szCs w:val="21"/>
          <w:highlight w:val="none"/>
        </w:rPr>
      </w:pPr>
      <w:r>
        <w:rPr>
          <w:rFonts w:hint="eastAsia" w:ascii="仿宋_GB2312" w:hAnsi="宋体" w:eastAsia="仿宋_GB2312"/>
          <w:color w:val="auto"/>
          <w:szCs w:val="21"/>
          <w:highlight w:val="none"/>
        </w:rPr>
        <w:t>1.供应商</w:t>
      </w:r>
      <w:r>
        <w:rPr>
          <w:rFonts w:hint="eastAsia" w:ascii="仿宋_GB2312" w:eastAsia="仿宋_GB2312"/>
          <w:color w:val="auto"/>
          <w:szCs w:val="21"/>
          <w:highlight w:val="none"/>
        </w:rPr>
        <w:t>必须按“货物（产品）</w:t>
      </w:r>
      <w:r>
        <w:rPr>
          <w:rFonts w:hint="eastAsia" w:ascii="仿宋_GB2312" w:eastAsia="仿宋_GB2312"/>
          <w:bCs/>
          <w:color w:val="auto"/>
          <w:szCs w:val="21"/>
          <w:highlight w:val="none"/>
        </w:rPr>
        <w:t>分项报价表”的格式</w:t>
      </w:r>
      <w:r>
        <w:rPr>
          <w:rFonts w:hint="eastAsia" w:ascii="仿宋_GB2312" w:eastAsia="仿宋_GB2312"/>
          <w:color w:val="auto"/>
          <w:szCs w:val="21"/>
          <w:highlight w:val="none"/>
        </w:rPr>
        <w:t>详细报出总价的各个组成部分的报价，</w:t>
      </w:r>
      <w:r>
        <w:rPr>
          <w:rFonts w:hint="eastAsia" w:ascii="仿宋_GB2312" w:hAnsi="宋体" w:eastAsia="仿宋_GB2312"/>
          <w:color w:val="auto"/>
          <w:szCs w:val="21"/>
          <w:highlight w:val="none"/>
        </w:rPr>
        <w:t>报价精确到小数点后两位；</w:t>
      </w:r>
    </w:p>
    <w:p>
      <w:pPr>
        <w:adjustRightInd w:val="0"/>
        <w:snapToGrid w:val="0"/>
        <w:ind w:left="-88" w:leftChars="-42" w:firstLine="840" w:firstLineChars="400"/>
        <w:rPr>
          <w:rFonts w:ascii="仿宋_GB2312" w:hAnsi="宋体" w:eastAsia="仿宋_GB2312"/>
          <w:color w:val="auto"/>
          <w:szCs w:val="21"/>
          <w:highlight w:val="none"/>
        </w:rPr>
      </w:pPr>
      <w:r>
        <w:rPr>
          <w:rFonts w:hint="eastAsia" w:ascii="仿宋_GB2312" w:hAnsi="宋体" w:eastAsia="仿宋_GB2312"/>
          <w:color w:val="auto"/>
          <w:szCs w:val="21"/>
          <w:highlight w:val="none"/>
        </w:rPr>
        <w:t>2.本</w:t>
      </w:r>
      <w:r>
        <w:rPr>
          <w:rFonts w:hint="eastAsia" w:ascii="仿宋_GB2312" w:eastAsia="仿宋_GB2312"/>
          <w:bCs/>
          <w:color w:val="auto"/>
          <w:szCs w:val="21"/>
          <w:highlight w:val="none"/>
        </w:rPr>
        <w:t>表各分项报价合计应当与“首次报价表”总报价相等；</w:t>
      </w:r>
      <w:r>
        <w:rPr>
          <w:rFonts w:hint="eastAsia" w:ascii="仿宋_GB2312" w:hAnsi="宋体" w:eastAsia="仿宋_GB2312"/>
          <w:color w:val="auto"/>
          <w:szCs w:val="21"/>
          <w:highlight w:val="none"/>
        </w:rPr>
        <w:t>如果按单价计算的结果与报价不一致时，以单价为准修正报价与合计报价；</w:t>
      </w:r>
    </w:p>
    <w:p>
      <w:pPr>
        <w:adjustRightInd w:val="0"/>
        <w:snapToGrid w:val="0"/>
        <w:ind w:left="-88" w:leftChars="-42" w:firstLine="840" w:firstLineChars="400"/>
        <w:rPr>
          <w:rFonts w:ascii="仿宋_GB2312" w:hAnsi="宋体" w:eastAsia="仿宋_GB2312"/>
          <w:color w:val="auto"/>
          <w:szCs w:val="21"/>
          <w:highlight w:val="none"/>
        </w:rPr>
      </w:pPr>
      <w:r>
        <w:rPr>
          <w:rFonts w:hint="eastAsia" w:ascii="仿宋_GB2312" w:hAnsi="宋体" w:eastAsia="仿宋_GB2312"/>
          <w:color w:val="auto"/>
          <w:szCs w:val="21"/>
          <w:highlight w:val="none"/>
        </w:rPr>
        <w:t>3.本表</w:t>
      </w:r>
      <w:r>
        <w:rPr>
          <w:rFonts w:hint="eastAsia" w:ascii="仿宋_GB2312" w:hAnsi="宋体" w:eastAsia="仿宋_GB2312"/>
          <w:color w:val="auto"/>
          <w:szCs w:val="21"/>
          <w:highlight w:val="none"/>
        </w:rPr>
        <w:t>为多页的，每页均需由法定代表人或委托代理人</w:t>
      </w:r>
      <w:r>
        <w:rPr>
          <w:rFonts w:hint="eastAsia" w:ascii="仿宋_GB2312" w:hAnsi="宋体" w:eastAsia="仿宋_GB2312"/>
          <w:color w:val="auto"/>
          <w:szCs w:val="21"/>
          <w:highlight w:val="none"/>
          <w:lang w:eastAsia="zh-CN"/>
        </w:rPr>
        <w:t>签名</w:t>
      </w:r>
      <w:r>
        <w:rPr>
          <w:rFonts w:hint="eastAsia" w:ascii="仿宋_GB2312" w:hAnsi="宋体" w:eastAsia="仿宋_GB2312"/>
          <w:color w:val="auto"/>
          <w:szCs w:val="21"/>
          <w:highlight w:val="none"/>
        </w:rPr>
        <w:t>并盖单位公章。</w:t>
      </w:r>
    </w:p>
    <w:p>
      <w:pPr>
        <w:adjustRightInd w:val="0"/>
        <w:spacing w:before="120" w:beforeLines="50" w:line="360" w:lineRule="auto"/>
        <w:ind w:firstLine="6930" w:firstLineChars="3300"/>
        <w:jc w:val="lef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（单位公章）      </w:t>
      </w:r>
    </w:p>
    <w:p>
      <w:pPr>
        <w:adjustRightInd w:val="0"/>
        <w:spacing w:before="120" w:beforeLines="50" w:line="360" w:lineRule="auto"/>
        <w:ind w:firstLine="6930" w:firstLineChars="3300"/>
        <w:jc w:val="left"/>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 xml:space="preserve">）：                                          </w:t>
      </w:r>
    </w:p>
    <w:p>
      <w:pPr>
        <w:adjustRightInd w:val="0"/>
        <w:spacing w:before="120" w:beforeLines="50"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日期：20  年  月  日</w:t>
      </w:r>
    </w:p>
    <w:bookmarkEnd w:id="90"/>
    <w:p>
      <w:pPr>
        <w:spacing w:after="360" w:afterLines="150" w:line="400" w:lineRule="exact"/>
        <w:jc w:val="center"/>
        <w:rPr>
          <w:rFonts w:ascii="黑体" w:hAnsi="宋体" w:eastAsia="黑体"/>
          <w:bCs/>
          <w:color w:val="auto"/>
          <w:sz w:val="36"/>
          <w:szCs w:val="36"/>
          <w:highlight w:val="none"/>
        </w:rPr>
      </w:pPr>
      <w:bookmarkStart w:id="91" w:name="_Toc217446087"/>
    </w:p>
    <w:p>
      <w:pPr>
        <w:spacing w:after="360" w:afterLines="150" w:line="400" w:lineRule="exact"/>
        <w:jc w:val="center"/>
        <w:rPr>
          <w:rFonts w:hint="eastAsia" w:ascii="黑体" w:hAnsi="宋体" w:eastAsia="黑体"/>
          <w:bCs/>
          <w:color w:val="auto"/>
          <w:sz w:val="36"/>
          <w:szCs w:val="36"/>
          <w:highlight w:val="none"/>
        </w:rPr>
      </w:pPr>
    </w:p>
    <w:p>
      <w:pPr>
        <w:spacing w:after="240" w:afterLines="100" w:line="400" w:lineRule="exact"/>
        <w:ind w:left="775" w:leftChars="86" w:hanging="594" w:hangingChars="165"/>
        <w:jc w:val="center"/>
        <w:rPr>
          <w:rFonts w:ascii="黑体" w:hAnsi="宋体" w:eastAsia="黑体"/>
          <w:color w:val="auto"/>
          <w:sz w:val="28"/>
          <w:szCs w:val="28"/>
          <w:highlight w:val="none"/>
        </w:rPr>
      </w:pPr>
      <w:r>
        <w:rPr>
          <w:rFonts w:hint="eastAsia" w:ascii="黑体" w:eastAsia="黑体"/>
          <w:bCs/>
          <w:color w:val="auto"/>
          <w:sz w:val="36"/>
          <w:szCs w:val="36"/>
          <w:highlight w:val="none"/>
          <w:lang w:val="en-US" w:eastAsia="zh-CN"/>
        </w:rPr>
        <w:t>四</w:t>
      </w:r>
      <w:r>
        <w:rPr>
          <w:rFonts w:hint="eastAsia" w:ascii="黑体" w:eastAsia="黑体"/>
          <w:bCs/>
          <w:color w:val="auto"/>
          <w:sz w:val="36"/>
          <w:szCs w:val="36"/>
          <w:highlight w:val="none"/>
        </w:rPr>
        <w:t>、货物</w:t>
      </w:r>
      <w:r>
        <w:rPr>
          <w:rFonts w:hint="eastAsia" w:ascii="黑体" w:hAnsi="宋体" w:eastAsia="黑体"/>
          <w:bCs/>
          <w:color w:val="auto"/>
          <w:sz w:val="36"/>
          <w:szCs w:val="36"/>
          <w:highlight w:val="none"/>
        </w:rPr>
        <w:t>（产品）</w:t>
      </w:r>
      <w:r>
        <w:rPr>
          <w:rFonts w:hint="eastAsia" w:ascii="黑体" w:eastAsia="黑体"/>
          <w:bCs/>
          <w:color w:val="auto"/>
          <w:sz w:val="36"/>
          <w:szCs w:val="36"/>
          <w:highlight w:val="none"/>
        </w:rPr>
        <w:t>说明一览表</w:t>
      </w:r>
    </w:p>
    <w:p>
      <w:pPr>
        <w:pStyle w:val="5"/>
        <w:ind w:firstLine="840" w:firstLineChars="400"/>
        <w:rPr>
          <w:color w:val="auto"/>
          <w:highlight w:val="none"/>
        </w:rPr>
      </w:pPr>
      <w:r>
        <w:rPr>
          <w:rFonts w:hint="eastAsia"/>
          <w:color w:val="auto"/>
          <w:highlight w:val="none"/>
        </w:rPr>
        <w:t xml:space="preserve"> </w:t>
      </w:r>
    </w:p>
    <w:p>
      <w:pPr>
        <w:widowControl/>
        <w:ind w:firstLine="420" w:firstLineChars="200"/>
        <w:jc w:val="left"/>
        <w:rPr>
          <w:rFonts w:hint="eastAsia" w:eastAsia="宋体"/>
          <w:color w:val="auto"/>
          <w:highlight w:val="none"/>
          <w:lang w:eastAsia="zh-CN"/>
        </w:rPr>
      </w:pPr>
      <w:r>
        <w:rPr>
          <w:rFonts w:hint="eastAsia" w:ascii="宋体" w:hAnsi="宋体"/>
          <w:color w:val="auto"/>
          <w:highlight w:val="none"/>
        </w:rPr>
        <w:t>供应商名称:                                                                                   采购项目编号：</w:t>
      </w:r>
      <w:r>
        <w:rPr>
          <w:rFonts w:hint="eastAsia" w:ascii="宋体" w:hAnsi="宋体" w:cs="宋体"/>
          <w:color w:val="auto"/>
          <w:kern w:val="0"/>
          <w:sz w:val="24"/>
          <w:highlight w:val="none"/>
          <w:lang w:val="en-US" w:eastAsia="zh-CN"/>
        </w:rPr>
        <w:t xml:space="preserve"> </w:t>
      </w:r>
    </w:p>
    <w:tbl>
      <w:tblPr>
        <w:tblStyle w:val="24"/>
        <w:tblpPr w:leftFromText="180" w:rightFromText="180" w:vertAnchor="text" w:horzAnchor="margin" w:tblpXSpec="center" w:tblpY="74"/>
        <w:tblW w:w="12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7"/>
        <w:gridCol w:w="1891"/>
        <w:gridCol w:w="3584"/>
        <w:gridCol w:w="2380"/>
        <w:gridCol w:w="97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675" w:type="dxa"/>
            <w:tcBorders>
              <w:top w:val="single" w:color="auto" w:sz="12" w:space="0"/>
              <w:left w:val="single" w:color="auto" w:sz="12" w:space="0"/>
              <w:bottom w:val="single" w:color="auto" w:sz="4" w:space="0"/>
              <w:right w:val="single" w:color="auto" w:sz="4" w:space="0"/>
            </w:tcBorders>
            <w:vAlign w:val="center"/>
          </w:tcPr>
          <w:p>
            <w:pPr>
              <w:snapToGrid w:val="0"/>
              <w:spacing w:line="400" w:lineRule="exact"/>
              <w:rPr>
                <w:rFonts w:ascii="宋体" w:hAnsi="宋体"/>
                <w:b/>
                <w:color w:val="auto"/>
                <w:szCs w:val="21"/>
                <w:highlight w:val="none"/>
              </w:rPr>
            </w:pPr>
            <w:r>
              <w:rPr>
                <w:rFonts w:hint="eastAsia" w:ascii="宋体" w:hAnsi="宋体"/>
                <w:b/>
                <w:color w:val="auto"/>
                <w:szCs w:val="21"/>
                <w:highlight w:val="none"/>
              </w:rPr>
              <w:t>序号</w:t>
            </w:r>
          </w:p>
        </w:tc>
        <w:tc>
          <w:tcPr>
            <w:tcW w:w="1937" w:type="dxa"/>
            <w:tcBorders>
              <w:top w:val="single" w:color="auto" w:sz="12"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产品名称</w:t>
            </w:r>
          </w:p>
        </w:tc>
        <w:tc>
          <w:tcPr>
            <w:tcW w:w="1891" w:type="dxa"/>
            <w:tcBorders>
              <w:top w:val="single" w:color="auto" w:sz="12" w:space="0"/>
              <w:left w:val="single" w:color="auto" w:sz="4" w:space="0"/>
              <w:bottom w:val="single" w:color="auto" w:sz="4" w:space="0"/>
              <w:right w:val="single" w:color="auto" w:sz="4" w:space="0"/>
            </w:tcBorders>
            <w:vAlign w:val="center"/>
          </w:tcPr>
          <w:p>
            <w:pPr>
              <w:snapToGrid w:val="0"/>
              <w:spacing w:line="400" w:lineRule="exact"/>
              <w:ind w:firstLine="517" w:firstLineChars="245"/>
              <w:rPr>
                <w:rFonts w:ascii="宋体" w:hAnsi="宋体"/>
                <w:b/>
                <w:color w:val="auto"/>
                <w:szCs w:val="21"/>
                <w:highlight w:val="none"/>
              </w:rPr>
            </w:pPr>
            <w:r>
              <w:rPr>
                <w:rFonts w:hint="eastAsia" w:ascii="宋体" w:hAnsi="宋体"/>
                <w:b/>
                <w:color w:val="auto"/>
                <w:szCs w:val="21"/>
                <w:highlight w:val="none"/>
              </w:rPr>
              <w:t>品牌/型号</w:t>
            </w:r>
          </w:p>
        </w:tc>
        <w:tc>
          <w:tcPr>
            <w:tcW w:w="3584" w:type="dxa"/>
            <w:tcBorders>
              <w:top w:val="single" w:color="auto" w:sz="12"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规格、配置及主要技术参数</w:t>
            </w:r>
          </w:p>
        </w:tc>
        <w:tc>
          <w:tcPr>
            <w:tcW w:w="2380" w:type="dxa"/>
            <w:tcBorders>
              <w:top w:val="single" w:color="auto" w:sz="12"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制造商</w:t>
            </w:r>
          </w:p>
        </w:tc>
        <w:tc>
          <w:tcPr>
            <w:tcW w:w="976" w:type="dxa"/>
            <w:tcBorders>
              <w:top w:val="single" w:color="auto" w:sz="12"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
                <w:color w:val="auto"/>
                <w:szCs w:val="21"/>
                <w:highlight w:val="none"/>
              </w:rPr>
            </w:pPr>
            <w:r>
              <w:rPr>
                <w:rFonts w:hint="eastAsia" w:ascii="宋体" w:hAnsi="宋体"/>
                <w:b/>
                <w:color w:val="auto"/>
                <w:szCs w:val="21"/>
                <w:highlight w:val="none"/>
              </w:rPr>
              <w:t>数量</w:t>
            </w:r>
          </w:p>
        </w:tc>
        <w:tc>
          <w:tcPr>
            <w:tcW w:w="1544" w:type="dxa"/>
            <w:tcBorders>
              <w:top w:val="single" w:color="auto" w:sz="12" w:space="0"/>
              <w:left w:val="single" w:color="auto" w:sz="4" w:space="0"/>
              <w:bottom w:val="single" w:color="auto" w:sz="4" w:space="0"/>
              <w:right w:val="single" w:color="auto" w:sz="12" w:space="0"/>
            </w:tcBorders>
            <w:vAlign w:val="center"/>
          </w:tcPr>
          <w:p>
            <w:pPr>
              <w:snapToGrid w:val="0"/>
              <w:spacing w:line="400" w:lineRule="exact"/>
              <w:ind w:firstLine="105" w:firstLineChars="50"/>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服务</w:t>
            </w:r>
            <w:r>
              <w:rPr>
                <w:rFonts w:hint="eastAsia" w:ascii="宋体" w:hAnsi="宋体"/>
                <w:b/>
                <w:color w:val="auto"/>
                <w:szCs w:val="21"/>
                <w:highlight w:val="none"/>
                <w:lang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仿宋_GB2312" w:hAnsi="宋体" w:eastAsia="仿宋_GB2312"/>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仿宋_GB2312" w:hAnsi="宋体" w:eastAsia="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仿宋_GB2312" w:hAnsi="宋体" w:eastAsia="仿宋_GB2312"/>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仿宋_GB2312" w:hAnsi="宋体" w:eastAsia="仿宋_GB2312"/>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仿宋_GB2312" w:hAnsi="宋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24"/>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75" w:type="dxa"/>
            <w:tcBorders>
              <w:top w:val="single" w:color="auto" w:sz="4" w:space="0"/>
              <w:left w:val="single" w:color="auto" w:sz="12"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olor w:val="auto"/>
                <w:sz w:val="18"/>
                <w:szCs w:val="18"/>
                <w:highlight w:val="none"/>
              </w:rPr>
            </w:pPr>
          </w:p>
        </w:tc>
        <w:tc>
          <w:tcPr>
            <w:tcW w:w="18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3584"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4" w:space="0"/>
              <w:right w:val="single" w:color="auto" w:sz="4" w:space="0"/>
            </w:tcBorders>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4" w:space="0"/>
              <w:right w:val="single" w:color="auto" w:sz="12" w:space="0"/>
            </w:tcBorders>
            <w:vAlign w:val="center"/>
          </w:tcPr>
          <w:p>
            <w:pPr>
              <w:snapToGrid w:val="0"/>
              <w:spacing w:line="4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75" w:type="dxa"/>
            <w:tcBorders>
              <w:top w:val="single" w:color="auto" w:sz="4" w:space="0"/>
              <w:left w:val="single" w:color="auto" w:sz="12" w:space="0"/>
              <w:bottom w:val="single" w:color="auto" w:sz="12"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937" w:type="dxa"/>
            <w:tcBorders>
              <w:top w:val="single" w:color="auto" w:sz="4" w:space="0"/>
              <w:left w:val="single" w:color="auto" w:sz="4" w:space="0"/>
              <w:bottom w:val="single" w:color="auto" w:sz="12" w:space="0"/>
              <w:right w:val="single" w:color="auto" w:sz="4" w:space="0"/>
            </w:tcBorders>
            <w:vAlign w:val="center"/>
          </w:tcPr>
          <w:p>
            <w:pPr>
              <w:snapToGrid w:val="0"/>
              <w:spacing w:line="400" w:lineRule="exact"/>
              <w:jc w:val="center"/>
              <w:rPr>
                <w:rFonts w:ascii="仿宋_GB2312" w:hAnsi="宋体" w:eastAsia="仿宋_GB2312"/>
                <w:color w:val="auto"/>
                <w:sz w:val="18"/>
                <w:szCs w:val="18"/>
                <w:highlight w:val="none"/>
              </w:rPr>
            </w:pPr>
          </w:p>
        </w:tc>
        <w:tc>
          <w:tcPr>
            <w:tcW w:w="1891" w:type="dxa"/>
            <w:tcBorders>
              <w:top w:val="single" w:color="auto" w:sz="4" w:space="0"/>
              <w:left w:val="single" w:color="auto" w:sz="4" w:space="0"/>
              <w:bottom w:val="single" w:color="auto" w:sz="12"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3584" w:type="dxa"/>
            <w:tcBorders>
              <w:top w:val="single" w:color="auto" w:sz="4" w:space="0"/>
              <w:left w:val="single" w:color="auto" w:sz="4" w:space="0"/>
              <w:bottom w:val="single" w:color="auto" w:sz="12" w:space="0"/>
              <w:right w:val="single" w:color="auto" w:sz="4" w:space="0"/>
            </w:tcBorders>
          </w:tcPr>
          <w:p>
            <w:pPr>
              <w:snapToGrid w:val="0"/>
              <w:spacing w:line="400" w:lineRule="exact"/>
              <w:jc w:val="center"/>
              <w:rPr>
                <w:rFonts w:ascii="宋体" w:hAnsi="宋体"/>
                <w:color w:val="auto"/>
                <w:sz w:val="24"/>
                <w:highlight w:val="none"/>
              </w:rPr>
            </w:pPr>
          </w:p>
        </w:tc>
        <w:tc>
          <w:tcPr>
            <w:tcW w:w="2380" w:type="dxa"/>
            <w:tcBorders>
              <w:top w:val="single" w:color="auto" w:sz="4" w:space="0"/>
              <w:left w:val="single" w:color="auto" w:sz="4" w:space="0"/>
              <w:bottom w:val="single" w:color="auto" w:sz="12" w:space="0"/>
              <w:right w:val="single" w:color="auto" w:sz="4" w:space="0"/>
            </w:tcBorders>
          </w:tcPr>
          <w:p>
            <w:pPr>
              <w:snapToGrid w:val="0"/>
              <w:spacing w:line="400" w:lineRule="exact"/>
              <w:jc w:val="center"/>
              <w:rPr>
                <w:rFonts w:ascii="宋体" w:hAnsi="宋体"/>
                <w:color w:val="auto"/>
                <w:sz w:val="24"/>
                <w:highlight w:val="none"/>
              </w:rPr>
            </w:pPr>
          </w:p>
        </w:tc>
        <w:tc>
          <w:tcPr>
            <w:tcW w:w="976" w:type="dxa"/>
            <w:tcBorders>
              <w:top w:val="single" w:color="auto" w:sz="4" w:space="0"/>
              <w:left w:val="single" w:color="auto" w:sz="4" w:space="0"/>
              <w:bottom w:val="single" w:color="auto" w:sz="12" w:space="0"/>
              <w:right w:val="single" w:color="auto" w:sz="4" w:space="0"/>
            </w:tcBorders>
            <w:vAlign w:val="center"/>
          </w:tcPr>
          <w:p>
            <w:pPr>
              <w:snapToGrid w:val="0"/>
              <w:spacing w:line="400" w:lineRule="exact"/>
              <w:jc w:val="center"/>
              <w:rPr>
                <w:rFonts w:ascii="宋体" w:hAnsi="宋体"/>
                <w:color w:val="auto"/>
                <w:sz w:val="24"/>
                <w:highlight w:val="none"/>
              </w:rPr>
            </w:pPr>
          </w:p>
        </w:tc>
        <w:tc>
          <w:tcPr>
            <w:tcW w:w="1544" w:type="dxa"/>
            <w:tcBorders>
              <w:top w:val="single" w:color="auto" w:sz="4" w:space="0"/>
              <w:left w:val="single" w:color="auto" w:sz="4" w:space="0"/>
              <w:bottom w:val="single" w:color="auto" w:sz="12" w:space="0"/>
              <w:right w:val="single" w:color="auto" w:sz="12" w:space="0"/>
            </w:tcBorders>
            <w:vAlign w:val="center"/>
          </w:tcPr>
          <w:p>
            <w:pPr>
              <w:snapToGrid w:val="0"/>
              <w:spacing w:line="400" w:lineRule="exact"/>
              <w:jc w:val="center"/>
              <w:rPr>
                <w:rFonts w:ascii="宋体" w:hAnsi="宋体"/>
                <w:color w:val="auto"/>
                <w:sz w:val="24"/>
                <w:highlight w:val="none"/>
              </w:rPr>
            </w:pPr>
          </w:p>
        </w:tc>
      </w:tr>
    </w:tbl>
    <w:p>
      <w:pPr>
        <w:pStyle w:val="5"/>
        <w:rPr>
          <w:color w:val="auto"/>
          <w:highlight w:val="none"/>
        </w:rPr>
      </w:pPr>
    </w:p>
    <w:p>
      <w:pPr>
        <w:pStyle w:val="5"/>
        <w:spacing w:before="120" w:beforeLines="50"/>
        <w:ind w:firstLine="1050" w:firstLineChars="500"/>
        <w:rPr>
          <w:rFonts w:ascii="仿宋_GB2312" w:eastAsia="仿宋_GB2312"/>
          <w:color w:val="auto"/>
          <w:highlight w:val="none"/>
        </w:rPr>
      </w:pPr>
      <w:r>
        <w:rPr>
          <w:rFonts w:hint="eastAsia" w:ascii="仿宋_GB2312" w:eastAsia="仿宋_GB2312"/>
          <w:color w:val="auto"/>
          <w:highlight w:val="none"/>
        </w:rPr>
        <w:t>说明：</w:t>
      </w:r>
    </w:p>
    <w:p>
      <w:pPr>
        <w:pStyle w:val="5"/>
        <w:ind w:firstLine="1050" w:firstLineChars="500"/>
        <w:rPr>
          <w:rFonts w:ascii="仿宋_GB2312" w:eastAsia="仿宋_GB2312"/>
          <w:color w:val="auto"/>
          <w:highlight w:val="none"/>
        </w:rPr>
      </w:pPr>
      <w:r>
        <w:rPr>
          <w:rFonts w:hint="eastAsia" w:ascii="仿宋_GB2312" w:eastAsia="仿宋_GB2312"/>
          <w:color w:val="auto"/>
          <w:highlight w:val="none"/>
        </w:rPr>
        <w:t>1.本表须逐项填写，不得空缺；</w:t>
      </w:r>
      <w:r>
        <w:rPr>
          <w:rFonts w:ascii="仿宋_GB2312" w:eastAsia="仿宋_GB2312"/>
          <w:color w:val="auto"/>
          <w:highlight w:val="none"/>
        </w:rPr>
        <w:t xml:space="preserve"> </w:t>
      </w:r>
    </w:p>
    <w:p>
      <w:pPr>
        <w:pStyle w:val="5"/>
        <w:ind w:firstLine="1050" w:firstLineChars="500"/>
        <w:rPr>
          <w:rFonts w:ascii="仿宋_GB2312" w:eastAsia="仿宋_GB2312"/>
          <w:color w:val="auto"/>
          <w:highlight w:val="none"/>
        </w:rPr>
      </w:pPr>
      <w:r>
        <w:rPr>
          <w:rFonts w:hint="eastAsia" w:ascii="仿宋_GB2312" w:eastAsia="仿宋_GB2312"/>
          <w:color w:val="auto"/>
          <w:highlight w:val="none"/>
        </w:rPr>
        <w:t>2.货物各项详细技术性能可另页描述；若货物没有注册商标和具体型号须注明。</w:t>
      </w:r>
    </w:p>
    <w:p>
      <w:pPr>
        <w:pStyle w:val="5"/>
        <w:rPr>
          <w:rFonts w:ascii="仿宋_GB2312" w:eastAsia="仿宋_GB2312"/>
          <w:color w:val="auto"/>
          <w:highlight w:val="none"/>
        </w:rPr>
      </w:pPr>
    </w:p>
    <w:p>
      <w:pPr>
        <w:adjustRightInd w:val="0"/>
        <w:spacing w:line="400" w:lineRule="exact"/>
        <w:ind w:firstLine="7875" w:firstLineChars="3750"/>
        <w:jc w:val="lef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（单位公章）</w:t>
      </w:r>
    </w:p>
    <w:p>
      <w:pPr>
        <w:adjustRightInd w:val="0"/>
        <w:spacing w:line="400" w:lineRule="exact"/>
        <w:ind w:firstLine="7875" w:firstLineChars="3750"/>
        <w:jc w:val="left"/>
        <w:rPr>
          <w:color w:val="auto"/>
          <w:szCs w:val="21"/>
          <w:highlight w:val="none"/>
        </w:rPr>
      </w:pPr>
      <w:r>
        <w:rPr>
          <w:rFonts w:hint="eastAsia"/>
          <w:color w:val="auto"/>
          <w:szCs w:val="21"/>
          <w:highlight w:val="none"/>
        </w:rPr>
        <w:t>法定代表人或委托代理人：</w:t>
      </w:r>
      <w:r>
        <w:rPr>
          <w:rFonts w:hint="eastAsia"/>
          <w:color w:val="auto"/>
          <w:szCs w:val="21"/>
          <w:highlight w:val="none"/>
          <w:u w:val="single"/>
        </w:rPr>
        <w:t xml:space="preserve">                     </w:t>
      </w:r>
      <w:r>
        <w:rPr>
          <w:rFonts w:hint="eastAsia"/>
          <w:color w:val="auto"/>
          <w:szCs w:val="21"/>
          <w:highlight w:val="none"/>
        </w:rPr>
        <w:t>（</w:t>
      </w:r>
      <w:r>
        <w:rPr>
          <w:rFonts w:hint="eastAsia"/>
          <w:color w:val="auto"/>
          <w:szCs w:val="21"/>
          <w:highlight w:val="none"/>
          <w:lang w:eastAsia="zh-CN"/>
        </w:rPr>
        <w:t>签名</w:t>
      </w:r>
      <w:r>
        <w:rPr>
          <w:rFonts w:hint="eastAsia"/>
          <w:color w:val="auto"/>
          <w:szCs w:val="21"/>
          <w:highlight w:val="none"/>
        </w:rPr>
        <w:t xml:space="preserve">）                  </w:t>
      </w:r>
    </w:p>
    <w:p>
      <w:pPr>
        <w:adjustRightInd w:val="0"/>
        <w:spacing w:before="240" w:beforeLines="100" w:line="400" w:lineRule="exact"/>
        <w:ind w:firstLine="840" w:firstLineChars="400"/>
        <w:jc w:val="left"/>
        <w:rPr>
          <w:color w:val="auto"/>
          <w:szCs w:val="21"/>
          <w:highlight w:val="none"/>
        </w:rPr>
      </w:pPr>
      <w:r>
        <w:rPr>
          <w:rFonts w:hint="eastAsia"/>
          <w:color w:val="auto"/>
          <w:szCs w:val="21"/>
          <w:highlight w:val="none"/>
        </w:rPr>
        <w:t xml:space="preserve">                                                                                    日期：20   年   月   日</w:t>
      </w:r>
    </w:p>
    <w:p>
      <w:pPr>
        <w:adjustRightInd w:val="0"/>
        <w:spacing w:line="400" w:lineRule="exact"/>
        <w:ind w:firstLine="840" w:firstLineChars="400"/>
        <w:jc w:val="left"/>
        <w:rPr>
          <w:rFonts w:ascii="仿宋_GB2312" w:eastAsia="仿宋_GB2312"/>
          <w:bCs/>
          <w:color w:val="auto"/>
          <w:szCs w:val="28"/>
          <w:highlight w:val="none"/>
        </w:rPr>
        <w:sectPr>
          <w:pgSz w:w="16840" w:h="11907" w:orient="landscape"/>
          <w:pgMar w:top="1474" w:right="1440" w:bottom="1474" w:left="1440" w:header="851" w:footer="992" w:gutter="0"/>
          <w:pgNumType w:fmt="decimal"/>
          <w:cols w:space="720" w:num="1"/>
          <w:docGrid w:linePitch="312" w:charSpace="0"/>
        </w:sectPr>
      </w:pPr>
    </w:p>
    <w:bookmarkEnd w:id="91"/>
    <w:p>
      <w:pPr>
        <w:pStyle w:val="5"/>
        <w:spacing w:after="312" w:afterLines="100" w:line="360" w:lineRule="auto"/>
        <w:ind w:firstLine="0"/>
        <w:jc w:val="center"/>
        <w:rPr>
          <w:rFonts w:ascii="黑体" w:hAnsi="宋体" w:eastAsia="黑体"/>
          <w:color w:val="auto"/>
          <w:sz w:val="36"/>
          <w:szCs w:val="36"/>
          <w:highlight w:val="none"/>
        </w:rPr>
      </w:pPr>
      <w:r>
        <w:rPr>
          <w:rFonts w:hint="eastAsia" w:ascii="黑体" w:hAnsi="宋体" w:eastAsia="黑体"/>
          <w:bCs/>
          <w:color w:val="auto"/>
          <w:sz w:val="36"/>
          <w:szCs w:val="36"/>
          <w:highlight w:val="none"/>
          <w:lang w:val="en-US" w:eastAsia="zh-CN"/>
        </w:rPr>
        <w:t>五</w:t>
      </w:r>
      <w:r>
        <w:rPr>
          <w:rFonts w:hint="eastAsia" w:ascii="黑体" w:hAnsi="宋体" w:eastAsia="黑体"/>
          <w:bCs/>
          <w:color w:val="auto"/>
          <w:sz w:val="36"/>
          <w:szCs w:val="36"/>
          <w:highlight w:val="none"/>
        </w:rPr>
        <w:t>、商务条款偏离表</w:t>
      </w:r>
    </w:p>
    <w:p>
      <w:pPr>
        <w:widowControl/>
        <w:jc w:val="left"/>
        <w:rPr>
          <w:rFonts w:hint="default" w:ascii="仿宋_GB2312" w:eastAsia="仿宋_GB2312"/>
          <w:color w:val="auto"/>
          <w:highlight w:val="none"/>
          <w:lang w:val="en-US" w:eastAsia="zh-CN"/>
        </w:rPr>
      </w:pPr>
      <w:r>
        <w:rPr>
          <w:rFonts w:hint="eastAsia" w:ascii="仿宋_GB2312" w:eastAsia="仿宋_GB2312"/>
          <w:color w:val="auto"/>
          <w:highlight w:val="none"/>
        </w:rPr>
        <w:t>供应商名称：                                         采购项目编号：</w:t>
      </w:r>
      <w:r>
        <w:rPr>
          <w:rFonts w:hint="eastAsia" w:ascii="宋体" w:hAnsi="宋体" w:eastAsia="仿宋_GB2312" w:cs="宋体"/>
          <w:color w:val="auto"/>
          <w:kern w:val="0"/>
          <w:sz w:val="24"/>
          <w:highlight w:val="none"/>
          <w:lang w:val="en-US" w:eastAsia="zh-CN"/>
        </w:rPr>
        <w:t xml:space="preserve">  </w:t>
      </w:r>
    </w:p>
    <w:tbl>
      <w:tblPr>
        <w:tblStyle w:val="25"/>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29"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文件条目号</w:t>
            </w:r>
          </w:p>
        </w:tc>
        <w:tc>
          <w:tcPr>
            <w:tcW w:w="160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采购商务要求</w:t>
            </w:r>
          </w:p>
        </w:tc>
        <w:tc>
          <w:tcPr>
            <w:tcW w:w="218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响应文件商务响应</w:t>
            </w:r>
          </w:p>
        </w:tc>
        <w:tc>
          <w:tcPr>
            <w:tcW w:w="104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w:t>
            </w:r>
          </w:p>
        </w:tc>
        <w:tc>
          <w:tcPr>
            <w:tcW w:w="2020"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auto"/>
                <w:sz w:val="24"/>
                <w:highlight w:val="none"/>
              </w:rPr>
            </w:pPr>
          </w:p>
        </w:tc>
        <w:tc>
          <w:tcPr>
            <w:tcW w:w="1429" w:type="dxa"/>
          </w:tcPr>
          <w:p>
            <w:pPr>
              <w:adjustRightInd w:val="0"/>
              <w:snapToGrid w:val="0"/>
              <w:spacing w:line="360" w:lineRule="auto"/>
              <w:ind w:right="24"/>
              <w:rPr>
                <w:rFonts w:ascii="黑体" w:hAnsi="华文中宋" w:eastAsia="黑体"/>
                <w:bCs/>
                <w:color w:val="auto"/>
                <w:sz w:val="24"/>
                <w:highlight w:val="none"/>
              </w:rPr>
            </w:pPr>
          </w:p>
        </w:tc>
        <w:tc>
          <w:tcPr>
            <w:tcW w:w="1600" w:type="dxa"/>
          </w:tcPr>
          <w:p>
            <w:pPr>
              <w:adjustRightInd w:val="0"/>
              <w:snapToGrid w:val="0"/>
              <w:spacing w:line="360" w:lineRule="auto"/>
              <w:ind w:right="24"/>
              <w:rPr>
                <w:rFonts w:ascii="黑体" w:hAnsi="华文中宋" w:eastAsia="黑体"/>
                <w:bCs/>
                <w:color w:val="auto"/>
                <w:sz w:val="24"/>
                <w:highlight w:val="none"/>
              </w:rPr>
            </w:pPr>
          </w:p>
        </w:tc>
        <w:tc>
          <w:tcPr>
            <w:tcW w:w="2180" w:type="dxa"/>
          </w:tcPr>
          <w:p>
            <w:pPr>
              <w:adjustRightInd w:val="0"/>
              <w:snapToGrid w:val="0"/>
              <w:spacing w:line="360" w:lineRule="auto"/>
              <w:ind w:right="24"/>
              <w:rPr>
                <w:rFonts w:ascii="黑体" w:hAnsi="华文中宋" w:eastAsia="黑体"/>
                <w:bCs/>
                <w:color w:val="auto"/>
                <w:sz w:val="24"/>
                <w:highlight w:val="none"/>
              </w:rPr>
            </w:pPr>
          </w:p>
        </w:tc>
        <w:tc>
          <w:tcPr>
            <w:tcW w:w="1040" w:type="dxa"/>
          </w:tcPr>
          <w:p>
            <w:pPr>
              <w:adjustRightInd w:val="0"/>
              <w:snapToGrid w:val="0"/>
              <w:spacing w:line="360" w:lineRule="auto"/>
              <w:ind w:right="24"/>
              <w:rPr>
                <w:rFonts w:ascii="黑体" w:hAnsi="华文中宋" w:eastAsia="黑体"/>
                <w:bCs/>
                <w:color w:val="auto"/>
                <w:sz w:val="24"/>
                <w:highlight w:val="none"/>
              </w:rPr>
            </w:pPr>
          </w:p>
        </w:tc>
        <w:tc>
          <w:tcPr>
            <w:tcW w:w="2020" w:type="dxa"/>
          </w:tcPr>
          <w:p>
            <w:pPr>
              <w:adjustRightInd w:val="0"/>
              <w:snapToGrid w:val="0"/>
              <w:spacing w:line="360" w:lineRule="auto"/>
              <w:ind w:right="24"/>
              <w:rPr>
                <w:rFonts w:ascii="黑体" w:hAnsi="华文中宋" w:eastAsia="黑体"/>
                <w:bCs/>
                <w:color w:val="auto"/>
                <w:sz w:val="24"/>
                <w:highlight w:val="none"/>
              </w:rPr>
            </w:pPr>
          </w:p>
        </w:tc>
      </w:tr>
    </w:tbl>
    <w:p>
      <w:pPr>
        <w:spacing w:before="156" w:beforeLines="50" w:line="400" w:lineRule="exact"/>
        <w:ind w:left="105" w:leftChars="50"/>
        <w:rPr>
          <w:rFonts w:ascii="仿宋_GB2312" w:hAnsi="宋体" w:eastAsia="仿宋_GB2312"/>
          <w:color w:val="auto"/>
          <w:szCs w:val="21"/>
          <w:highlight w:val="none"/>
        </w:rPr>
      </w:pPr>
      <w:r>
        <w:rPr>
          <w:rFonts w:hint="eastAsia" w:ascii="仿宋_GB2312" w:hAnsi="宋体" w:eastAsia="仿宋_GB2312"/>
          <w:color w:val="auto"/>
          <w:szCs w:val="21"/>
          <w:highlight w:val="none"/>
        </w:rPr>
        <w:t>说明：对商务条款中所有要求，除本表所列出偏离外，均视为供应商响应其余全部商务条款要求；如供应商响应谈判文件所有商务条款要求的，必须提交空白表，否则，其响应文件无效。</w:t>
      </w:r>
    </w:p>
    <w:p>
      <w:pPr>
        <w:adjustRightInd w:val="0"/>
        <w:spacing w:line="400" w:lineRule="exact"/>
        <w:ind w:firstLine="560" w:firstLineChars="200"/>
        <w:jc w:val="left"/>
        <w:rPr>
          <w:rFonts w:ascii="仿宋_GB2312" w:hAnsi="宋体" w:eastAsia="仿宋_GB2312"/>
          <w:bCs/>
          <w:color w:val="auto"/>
          <w:sz w:val="28"/>
          <w:szCs w:val="28"/>
          <w:highlight w:val="none"/>
        </w:rPr>
      </w:pPr>
    </w:p>
    <w:p>
      <w:pPr>
        <w:adjustRightInd w:val="0"/>
        <w:spacing w:line="400" w:lineRule="exact"/>
        <w:ind w:firstLine="420" w:firstLineChars="200"/>
        <w:jc w:val="left"/>
        <w:rPr>
          <w:rFonts w:ascii="宋体" w:hAnsi="宋体"/>
          <w:bCs/>
          <w:color w:val="auto"/>
          <w:szCs w:val="21"/>
          <w:highlight w:val="none"/>
        </w:rPr>
      </w:pPr>
    </w:p>
    <w:p>
      <w:pPr>
        <w:adjustRightInd w:val="0"/>
        <w:spacing w:line="400" w:lineRule="exact"/>
        <w:ind w:firstLine="3465" w:firstLineChars="1650"/>
        <w:jc w:val="left"/>
        <w:rPr>
          <w:rFonts w:ascii="宋体" w:hAnsi="宋体"/>
          <w:bCs/>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（单位公章）</w:t>
      </w:r>
    </w:p>
    <w:p>
      <w:pPr>
        <w:adjustRightInd w:val="0"/>
        <w:spacing w:line="400" w:lineRule="exact"/>
        <w:ind w:firstLine="367" w:firstLineChars="175"/>
        <w:jc w:val="left"/>
        <w:rPr>
          <w:rFonts w:ascii="宋体" w:hAnsi="宋体"/>
          <w:color w:val="auto"/>
          <w:szCs w:val="21"/>
          <w:highlight w:val="none"/>
        </w:rPr>
      </w:pPr>
    </w:p>
    <w:p>
      <w:pPr>
        <w:adjustRightInd w:val="0"/>
        <w:spacing w:line="400" w:lineRule="exact"/>
        <w:ind w:firstLine="3517" w:firstLineChars="167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312" w:beforeLines="100" w:line="400" w:lineRule="exact"/>
        <w:ind w:firstLine="5040" w:firstLineChars="2400"/>
        <w:jc w:val="left"/>
        <w:rPr>
          <w:rFonts w:ascii="宋体" w:hAnsi="宋体"/>
          <w:bCs/>
          <w:color w:val="auto"/>
          <w:szCs w:val="21"/>
          <w:highlight w:val="none"/>
        </w:rPr>
      </w:pPr>
      <w:r>
        <w:rPr>
          <w:rFonts w:hint="eastAsia" w:ascii="宋体" w:hAnsi="宋体"/>
          <w:bCs/>
          <w:color w:val="auto"/>
          <w:szCs w:val="21"/>
          <w:highlight w:val="none"/>
        </w:rPr>
        <w:t>日期:20  年  月  日</w:t>
      </w:r>
    </w:p>
    <w:p>
      <w:pPr>
        <w:adjustRightInd w:val="0"/>
        <w:spacing w:line="400" w:lineRule="exact"/>
        <w:jc w:val="left"/>
        <w:rPr>
          <w:b/>
          <w:color w:val="auto"/>
          <w:sz w:val="36"/>
          <w:szCs w:val="36"/>
          <w:highlight w:val="none"/>
        </w:rPr>
      </w:pPr>
    </w:p>
    <w:p>
      <w:pPr>
        <w:adjustRightInd w:val="0"/>
        <w:spacing w:line="400" w:lineRule="exact"/>
        <w:jc w:val="left"/>
        <w:rPr>
          <w:b/>
          <w:color w:val="auto"/>
          <w:sz w:val="36"/>
          <w:szCs w:val="36"/>
          <w:highlight w:val="none"/>
        </w:rPr>
      </w:pPr>
    </w:p>
    <w:p>
      <w:pPr>
        <w:adjustRightInd w:val="0"/>
        <w:spacing w:line="400" w:lineRule="exact"/>
        <w:jc w:val="left"/>
        <w:rPr>
          <w:b/>
          <w:color w:val="auto"/>
          <w:sz w:val="36"/>
          <w:szCs w:val="36"/>
          <w:highlight w:val="none"/>
        </w:rPr>
      </w:pPr>
    </w:p>
    <w:p>
      <w:pPr>
        <w:adjustRightInd w:val="0"/>
        <w:spacing w:line="400" w:lineRule="exact"/>
        <w:jc w:val="center"/>
        <w:rPr>
          <w:rFonts w:ascii="黑体" w:eastAsia="黑体"/>
          <w:color w:val="auto"/>
          <w:sz w:val="36"/>
          <w:szCs w:val="36"/>
          <w:highlight w:val="none"/>
        </w:rPr>
      </w:pPr>
    </w:p>
    <w:p>
      <w:pPr>
        <w:adjustRightInd w:val="0"/>
        <w:spacing w:line="400" w:lineRule="exact"/>
        <w:jc w:val="center"/>
        <w:rPr>
          <w:rFonts w:ascii="黑体" w:eastAsia="黑体"/>
          <w:color w:val="auto"/>
          <w:sz w:val="36"/>
          <w:szCs w:val="36"/>
          <w:highlight w:val="none"/>
        </w:rPr>
      </w:pPr>
      <w:r>
        <w:rPr>
          <w:rFonts w:hint="eastAsia" w:ascii="黑体" w:eastAsia="黑体"/>
          <w:color w:val="auto"/>
          <w:sz w:val="36"/>
          <w:szCs w:val="36"/>
          <w:highlight w:val="none"/>
          <w:lang w:val="en-US" w:eastAsia="zh-CN"/>
        </w:rPr>
        <w:t>六</w:t>
      </w:r>
      <w:r>
        <w:rPr>
          <w:rFonts w:hint="eastAsia" w:ascii="黑体" w:eastAsia="黑体"/>
          <w:color w:val="auto"/>
          <w:sz w:val="36"/>
          <w:szCs w:val="36"/>
          <w:highlight w:val="none"/>
        </w:rPr>
        <w:t>、承诺文件</w:t>
      </w:r>
    </w:p>
    <w:p>
      <w:pPr>
        <w:adjustRightInd w:val="0"/>
        <w:spacing w:line="400" w:lineRule="exact"/>
        <w:jc w:val="left"/>
        <w:rPr>
          <w:b/>
          <w:color w:val="auto"/>
          <w:sz w:val="36"/>
          <w:szCs w:val="36"/>
          <w:highlight w:val="none"/>
        </w:rPr>
      </w:pPr>
    </w:p>
    <w:p>
      <w:pPr>
        <w:adjustRightInd w:val="0"/>
        <w:spacing w:line="400" w:lineRule="exact"/>
        <w:jc w:val="left"/>
        <w:rPr>
          <w:color w:val="auto"/>
          <w:szCs w:val="21"/>
          <w:highlight w:val="none"/>
        </w:rPr>
      </w:pPr>
      <w:r>
        <w:rPr>
          <w:rFonts w:hint="eastAsia"/>
          <w:b/>
          <w:color w:val="auto"/>
          <w:sz w:val="36"/>
          <w:szCs w:val="36"/>
          <w:highlight w:val="none"/>
        </w:rPr>
        <w:t xml:space="preserve">    </w:t>
      </w:r>
      <w:r>
        <w:rPr>
          <w:rFonts w:hint="eastAsia"/>
          <w:color w:val="auto"/>
          <w:szCs w:val="21"/>
          <w:highlight w:val="none"/>
        </w:rPr>
        <w:t>格式自定。供应商根据采购文件要求和采购需求，作出质量保证承诺和</w:t>
      </w:r>
      <w:r>
        <w:rPr>
          <w:rFonts w:hint="eastAsia"/>
          <w:color w:val="auto"/>
          <w:szCs w:val="21"/>
          <w:highlight w:val="none"/>
          <w:lang w:eastAsia="zh-CN"/>
        </w:rPr>
        <w:t>维保</w:t>
      </w:r>
      <w:r>
        <w:rPr>
          <w:rFonts w:hint="eastAsia"/>
          <w:color w:val="auto"/>
          <w:szCs w:val="21"/>
          <w:highlight w:val="none"/>
        </w:rPr>
        <w:t>期服务计划。</w:t>
      </w: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line="400" w:lineRule="exact"/>
        <w:jc w:val="left"/>
        <w:rPr>
          <w:rFonts w:ascii="宋体" w:hAnsi="宋体"/>
          <w:b/>
          <w:bCs/>
          <w:color w:val="auto"/>
          <w:sz w:val="36"/>
          <w:szCs w:val="36"/>
          <w:highlight w:val="none"/>
        </w:rPr>
      </w:pPr>
    </w:p>
    <w:p>
      <w:pPr>
        <w:adjustRightInd w:val="0"/>
        <w:spacing w:after="312" w:afterLines="100" w:line="400" w:lineRule="exact"/>
        <w:jc w:val="left"/>
        <w:rPr>
          <w:b/>
          <w:color w:val="auto"/>
          <w:kern w:val="0"/>
          <w:sz w:val="36"/>
          <w:szCs w:val="36"/>
          <w:highlight w:val="none"/>
        </w:rPr>
      </w:pPr>
    </w:p>
    <w:p>
      <w:pPr>
        <w:adjustRightInd w:val="0"/>
        <w:spacing w:after="312" w:afterLines="100" w:line="400" w:lineRule="exact"/>
        <w:jc w:val="center"/>
        <w:rPr>
          <w:rFonts w:ascii="黑体" w:eastAsia="黑体"/>
          <w:color w:val="auto"/>
          <w:kern w:val="0"/>
          <w:sz w:val="36"/>
          <w:szCs w:val="36"/>
          <w:highlight w:val="none"/>
        </w:rPr>
      </w:pPr>
    </w:p>
    <w:p>
      <w:pPr>
        <w:adjustRightInd w:val="0"/>
        <w:spacing w:after="312" w:afterLines="100" w:line="400" w:lineRule="exact"/>
        <w:jc w:val="center"/>
        <w:rPr>
          <w:rFonts w:ascii="黑体" w:eastAsia="黑体"/>
          <w:color w:val="auto"/>
          <w:kern w:val="0"/>
          <w:sz w:val="36"/>
          <w:szCs w:val="36"/>
          <w:highlight w:val="none"/>
        </w:rPr>
      </w:pPr>
      <w:r>
        <w:rPr>
          <w:rFonts w:hint="eastAsia" w:ascii="黑体" w:eastAsia="黑体"/>
          <w:color w:val="auto"/>
          <w:kern w:val="0"/>
          <w:sz w:val="36"/>
          <w:szCs w:val="36"/>
          <w:highlight w:val="none"/>
          <w:lang w:val="en-US" w:eastAsia="zh-CN"/>
        </w:rPr>
        <w:t>七</w:t>
      </w:r>
      <w:r>
        <w:rPr>
          <w:rFonts w:hint="eastAsia" w:ascii="黑体" w:eastAsia="黑体"/>
          <w:color w:val="auto"/>
          <w:kern w:val="0"/>
          <w:sz w:val="36"/>
          <w:szCs w:val="36"/>
          <w:highlight w:val="none"/>
        </w:rPr>
        <w:t>、售后服务文件</w:t>
      </w:r>
    </w:p>
    <w:p>
      <w:pPr>
        <w:spacing w:before="468" w:beforeLines="150" w:line="360" w:lineRule="auto"/>
        <w:ind w:firstLine="420" w:firstLineChars="200"/>
        <w:rPr>
          <w:rFonts w:ascii="宋体" w:hAnsi="宋体"/>
          <w:color w:val="auto"/>
          <w:szCs w:val="21"/>
          <w:highlight w:val="none"/>
        </w:rPr>
      </w:pPr>
      <w:r>
        <w:rPr>
          <w:rFonts w:hint="eastAsia" w:ascii="宋体" w:hAnsi="宋体"/>
          <w:color w:val="auto"/>
          <w:szCs w:val="21"/>
          <w:highlight w:val="none"/>
        </w:rPr>
        <w:t>1. 供应商依据产品特性和需求，按招标文件要求自拟售后服务方案和培训计划。</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供应商应提供在</w:t>
      </w:r>
      <w:r>
        <w:rPr>
          <w:rFonts w:hint="eastAsia" w:ascii="宋体" w:hAnsi="宋体"/>
          <w:color w:val="auto"/>
          <w:szCs w:val="21"/>
          <w:highlight w:val="none"/>
          <w:lang w:eastAsia="zh-CN"/>
        </w:rPr>
        <w:t>本地</w:t>
      </w:r>
      <w:r>
        <w:rPr>
          <w:rFonts w:hint="eastAsia" w:ascii="宋体" w:hAnsi="宋体"/>
          <w:color w:val="auto"/>
          <w:szCs w:val="21"/>
          <w:highlight w:val="none"/>
        </w:rPr>
        <w:t>的售后服务中心证明材料或与合作方的协议书，这些服务中心和特约维修服务点的名称、地址、电话、联系人应在响应文件中一一列出（参考样式如下）。</w:t>
      </w:r>
    </w:p>
    <w:p>
      <w:pPr>
        <w:spacing w:before="156" w:beforeLines="50"/>
        <w:jc w:val="center"/>
        <w:rPr>
          <w:rFonts w:ascii="宋体" w:hAnsi="宋体"/>
          <w:b/>
          <w:color w:val="auto"/>
          <w:sz w:val="32"/>
          <w:szCs w:val="32"/>
          <w:highlight w:val="none"/>
        </w:rPr>
      </w:pPr>
      <w:r>
        <w:rPr>
          <w:rFonts w:hint="eastAsia" w:ascii="宋体" w:hAnsi="宋体"/>
          <w:b/>
          <w:color w:val="auto"/>
          <w:sz w:val="32"/>
          <w:szCs w:val="32"/>
          <w:highlight w:val="none"/>
        </w:rPr>
        <w:t>货物（产品）售后服务点联系表</w:t>
      </w:r>
    </w:p>
    <w:tbl>
      <w:tblPr>
        <w:tblStyle w:val="24"/>
        <w:tblW w:w="88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1080"/>
        <w:gridCol w:w="1260"/>
        <w:gridCol w:w="1516"/>
        <w:gridCol w:w="2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34" w:type="dxa"/>
            <w:vAlign w:val="center"/>
          </w:tcPr>
          <w:p>
            <w:pPr>
              <w:spacing w:line="480" w:lineRule="exact"/>
              <w:jc w:val="center"/>
              <w:rPr>
                <w:rFonts w:ascii="宋体" w:hAnsi="宋体"/>
                <w:b/>
                <w:color w:val="auto"/>
                <w:szCs w:val="21"/>
                <w:highlight w:val="none"/>
              </w:rPr>
            </w:pPr>
            <w:r>
              <w:rPr>
                <w:rFonts w:hint="eastAsia" w:ascii="宋体" w:hAnsi="宋体"/>
                <w:b/>
                <w:color w:val="auto"/>
                <w:szCs w:val="21"/>
                <w:highlight w:val="none"/>
              </w:rPr>
              <w:t>服务机构名称</w:t>
            </w:r>
          </w:p>
        </w:tc>
        <w:tc>
          <w:tcPr>
            <w:tcW w:w="1080" w:type="dxa"/>
            <w:vAlign w:val="center"/>
          </w:tcPr>
          <w:p>
            <w:pPr>
              <w:spacing w:line="480" w:lineRule="exact"/>
              <w:jc w:val="center"/>
              <w:rPr>
                <w:rFonts w:ascii="宋体" w:hAnsi="宋体"/>
                <w:b/>
                <w:color w:val="auto"/>
                <w:szCs w:val="21"/>
                <w:highlight w:val="none"/>
              </w:rPr>
            </w:pPr>
            <w:r>
              <w:rPr>
                <w:rFonts w:hint="eastAsia" w:ascii="宋体" w:hAnsi="宋体"/>
                <w:b/>
                <w:color w:val="auto"/>
                <w:szCs w:val="21"/>
                <w:highlight w:val="none"/>
              </w:rPr>
              <w:t>所在地</w:t>
            </w:r>
          </w:p>
        </w:tc>
        <w:tc>
          <w:tcPr>
            <w:tcW w:w="1260" w:type="dxa"/>
            <w:vAlign w:val="center"/>
          </w:tcPr>
          <w:p>
            <w:pPr>
              <w:spacing w:line="480" w:lineRule="exact"/>
              <w:jc w:val="center"/>
              <w:rPr>
                <w:rFonts w:ascii="宋体" w:hAnsi="宋体"/>
                <w:b/>
                <w:color w:val="auto"/>
                <w:szCs w:val="21"/>
                <w:highlight w:val="none"/>
              </w:rPr>
            </w:pPr>
            <w:r>
              <w:rPr>
                <w:rFonts w:hint="eastAsia" w:ascii="宋体" w:hAnsi="宋体"/>
                <w:b/>
                <w:color w:val="auto"/>
                <w:szCs w:val="21"/>
                <w:highlight w:val="none"/>
              </w:rPr>
              <w:t>联系人</w:t>
            </w:r>
          </w:p>
        </w:tc>
        <w:tc>
          <w:tcPr>
            <w:tcW w:w="1516" w:type="dxa"/>
            <w:vAlign w:val="center"/>
          </w:tcPr>
          <w:p>
            <w:pPr>
              <w:spacing w:line="480" w:lineRule="exact"/>
              <w:jc w:val="center"/>
              <w:rPr>
                <w:rFonts w:ascii="宋体" w:hAnsi="宋体"/>
                <w:b/>
                <w:color w:val="auto"/>
                <w:szCs w:val="21"/>
                <w:highlight w:val="none"/>
              </w:rPr>
            </w:pPr>
            <w:r>
              <w:rPr>
                <w:rFonts w:hint="eastAsia" w:ascii="宋体" w:hAnsi="宋体"/>
                <w:b/>
                <w:color w:val="auto"/>
                <w:szCs w:val="21"/>
                <w:highlight w:val="none"/>
              </w:rPr>
              <w:t>联系电话</w:t>
            </w:r>
          </w:p>
        </w:tc>
        <w:tc>
          <w:tcPr>
            <w:tcW w:w="2548" w:type="dxa"/>
            <w:vAlign w:val="center"/>
          </w:tcPr>
          <w:p>
            <w:pPr>
              <w:spacing w:line="480" w:lineRule="exact"/>
              <w:jc w:val="center"/>
              <w:rPr>
                <w:rFonts w:ascii="宋体" w:hAnsi="宋体"/>
                <w:b/>
                <w:color w:val="auto"/>
                <w:szCs w:val="21"/>
                <w:highlight w:val="none"/>
              </w:rPr>
            </w:pPr>
            <w:r>
              <w:rPr>
                <w:rFonts w:hint="eastAsia" w:ascii="宋体" w:hAnsi="宋体"/>
                <w:b/>
                <w:color w:val="auto"/>
                <w:szCs w:val="21"/>
                <w:highlight w:val="none"/>
              </w:rPr>
              <w:t>地 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434" w:type="dxa"/>
            <w:vAlign w:val="center"/>
          </w:tcPr>
          <w:p>
            <w:pPr>
              <w:spacing w:line="480" w:lineRule="exact"/>
              <w:jc w:val="center"/>
              <w:rPr>
                <w:rFonts w:ascii="宋体" w:hAnsi="宋体"/>
                <w:color w:val="auto"/>
                <w:szCs w:val="21"/>
                <w:highlight w:val="none"/>
              </w:rPr>
            </w:pPr>
          </w:p>
        </w:tc>
        <w:tc>
          <w:tcPr>
            <w:tcW w:w="1080" w:type="dxa"/>
            <w:vAlign w:val="center"/>
          </w:tcPr>
          <w:p>
            <w:pPr>
              <w:spacing w:line="480" w:lineRule="exact"/>
              <w:jc w:val="center"/>
              <w:rPr>
                <w:rFonts w:ascii="宋体" w:hAnsi="宋体"/>
                <w:color w:val="auto"/>
                <w:szCs w:val="21"/>
                <w:highlight w:val="none"/>
              </w:rPr>
            </w:pPr>
          </w:p>
        </w:tc>
        <w:tc>
          <w:tcPr>
            <w:tcW w:w="1260" w:type="dxa"/>
            <w:vAlign w:val="center"/>
          </w:tcPr>
          <w:p>
            <w:pPr>
              <w:spacing w:line="480" w:lineRule="exact"/>
              <w:jc w:val="center"/>
              <w:rPr>
                <w:rFonts w:ascii="宋体" w:hAnsi="宋体"/>
                <w:color w:val="auto"/>
                <w:szCs w:val="21"/>
                <w:highlight w:val="none"/>
              </w:rPr>
            </w:pPr>
          </w:p>
        </w:tc>
        <w:tc>
          <w:tcPr>
            <w:tcW w:w="1516" w:type="dxa"/>
            <w:vAlign w:val="center"/>
          </w:tcPr>
          <w:p>
            <w:pPr>
              <w:spacing w:line="480" w:lineRule="exact"/>
              <w:jc w:val="center"/>
              <w:rPr>
                <w:rFonts w:ascii="宋体" w:hAnsi="宋体"/>
                <w:color w:val="auto"/>
                <w:szCs w:val="21"/>
                <w:highlight w:val="none"/>
              </w:rPr>
            </w:pPr>
          </w:p>
        </w:tc>
        <w:tc>
          <w:tcPr>
            <w:tcW w:w="2548" w:type="dxa"/>
            <w:vAlign w:val="center"/>
          </w:tcPr>
          <w:p>
            <w:pPr>
              <w:spacing w:line="480" w:lineRule="exact"/>
              <w:jc w:val="center"/>
              <w:rPr>
                <w:rFonts w:ascii="宋体" w:hAnsi="宋体"/>
                <w:color w:val="auto"/>
                <w:szCs w:val="21"/>
                <w:highlight w:val="none"/>
              </w:rPr>
            </w:pPr>
          </w:p>
        </w:tc>
      </w:tr>
    </w:tbl>
    <w:p>
      <w:pPr>
        <w:spacing w:before="312" w:beforeLines="100" w:line="360" w:lineRule="auto"/>
        <w:ind w:firstLine="409" w:firstLineChars="195"/>
        <w:rPr>
          <w:rFonts w:ascii="仿宋_GB2312" w:hAnsi="宋体" w:eastAsia="仿宋_GB2312"/>
          <w:bCs/>
          <w:iCs/>
          <w:color w:val="auto"/>
          <w:szCs w:val="21"/>
          <w:highlight w:val="none"/>
        </w:rPr>
      </w:pPr>
      <w:r>
        <w:rPr>
          <w:rFonts w:hint="eastAsia" w:ascii="仿宋_GB2312" w:hAnsi="宋体" w:eastAsia="仿宋_GB2312"/>
          <w:bCs/>
          <w:iCs/>
          <w:color w:val="auto"/>
          <w:szCs w:val="21"/>
          <w:highlight w:val="none"/>
        </w:rPr>
        <w:t>说明：采购人将核实供应商承诺的售后服务机构，如果不属实，则从扣除合同总额的2％作为违约处罚。</w:t>
      </w:r>
    </w:p>
    <w:p>
      <w:pPr>
        <w:spacing w:before="312" w:beforeLines="100" w:line="360" w:lineRule="auto"/>
        <w:ind w:firstLine="409" w:firstLineChars="195"/>
        <w:rPr>
          <w:rFonts w:ascii="仿宋_GB2312" w:hAnsi="宋体" w:eastAsia="仿宋_GB2312"/>
          <w:bCs/>
          <w:iCs/>
          <w:color w:val="auto"/>
          <w:highlight w:val="none"/>
        </w:rPr>
      </w:pPr>
    </w:p>
    <w:p>
      <w:pPr>
        <w:adjustRightInd w:val="0"/>
        <w:spacing w:line="400" w:lineRule="exact"/>
        <w:jc w:val="left"/>
        <w:rPr>
          <w:rFonts w:ascii="宋体" w:hAnsi="宋体"/>
          <w:b/>
          <w:bCs/>
          <w:color w:val="auto"/>
          <w:sz w:val="36"/>
          <w:szCs w:val="36"/>
          <w:highlight w:val="none"/>
        </w:rPr>
      </w:pPr>
    </w:p>
    <w:p>
      <w:pPr>
        <w:pStyle w:val="4"/>
        <w:spacing w:before="0" w:after="312" w:afterLines="100" w:line="400" w:lineRule="exact"/>
        <w:jc w:val="center"/>
        <w:rPr>
          <w:rFonts w:ascii="黑体" w:hAnsi="宋体" w:cs="Arial"/>
          <w:b w:val="0"/>
          <w:bCs/>
          <w:color w:val="auto"/>
          <w:sz w:val="36"/>
          <w:szCs w:val="36"/>
          <w:highlight w:val="none"/>
        </w:rPr>
      </w:pPr>
      <w:r>
        <w:rPr>
          <w:rFonts w:hint="eastAsia" w:ascii="黑体" w:hAnsi="宋体" w:cs="Arial"/>
          <w:b w:val="0"/>
          <w:bCs/>
          <w:color w:val="auto"/>
          <w:sz w:val="36"/>
          <w:szCs w:val="36"/>
          <w:highlight w:val="none"/>
          <w:lang w:val="en-US" w:eastAsia="zh-CN"/>
        </w:rPr>
        <w:t>八</w:t>
      </w:r>
      <w:r>
        <w:rPr>
          <w:rFonts w:hint="eastAsia" w:ascii="黑体" w:hAnsi="宋体" w:cs="Arial"/>
          <w:b w:val="0"/>
          <w:bCs/>
          <w:color w:val="auto"/>
          <w:sz w:val="36"/>
          <w:szCs w:val="36"/>
          <w:highlight w:val="none"/>
        </w:rPr>
        <w:t>、近3年同类项目合同价目表</w:t>
      </w:r>
    </w:p>
    <w:p>
      <w:pPr>
        <w:pStyle w:val="4"/>
        <w:spacing w:after="120" w:line="400" w:lineRule="exact"/>
        <w:ind w:firstLine="210" w:firstLineChars="100"/>
        <w:rPr>
          <w:rFonts w:cs="Arial" w:asciiTheme="minorEastAsia" w:hAnsiTheme="minorEastAsia" w:eastAsiaTheme="minorEastAsia"/>
          <w:b w:val="0"/>
          <w:bCs/>
          <w:color w:val="auto"/>
          <w:sz w:val="21"/>
          <w:szCs w:val="21"/>
          <w:highlight w:val="none"/>
        </w:rPr>
      </w:pPr>
      <w:r>
        <w:rPr>
          <w:rFonts w:hint="eastAsia" w:cs="Arial" w:asciiTheme="minorEastAsia" w:hAnsiTheme="minorEastAsia" w:eastAsiaTheme="minorEastAsia"/>
          <w:b w:val="0"/>
          <w:bCs/>
          <w:color w:val="auto"/>
          <w:sz w:val="21"/>
          <w:szCs w:val="21"/>
          <w:highlight w:val="none"/>
        </w:rPr>
        <w:t>供应商名称：                                                          单位：万元</w:t>
      </w:r>
    </w:p>
    <w:tbl>
      <w:tblPr>
        <w:tblStyle w:val="25"/>
        <w:tblW w:w="893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61"/>
        <w:gridCol w:w="2693"/>
        <w:gridCol w:w="1701"/>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年份</w:t>
            </w:r>
          </w:p>
        </w:tc>
        <w:tc>
          <w:tcPr>
            <w:tcW w:w="2361"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用户名称</w:t>
            </w:r>
          </w:p>
        </w:tc>
        <w:tc>
          <w:tcPr>
            <w:tcW w:w="2693"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项目名称</w:t>
            </w:r>
          </w:p>
        </w:tc>
        <w:tc>
          <w:tcPr>
            <w:tcW w:w="1701"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合同金额</w:t>
            </w:r>
          </w:p>
        </w:tc>
        <w:tc>
          <w:tcPr>
            <w:tcW w:w="1276" w:type="dxa"/>
            <w:vAlign w:val="center"/>
          </w:tcPr>
          <w:p>
            <w:pPr>
              <w:pStyle w:val="5"/>
              <w:ind w:firstLine="0"/>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Pr>
          <w:p>
            <w:pPr>
              <w:pStyle w:val="5"/>
              <w:ind w:firstLine="0"/>
              <w:rPr>
                <w:color w:val="auto"/>
                <w:sz w:val="24"/>
                <w:szCs w:val="24"/>
                <w:highlight w:val="none"/>
              </w:rPr>
            </w:pPr>
          </w:p>
        </w:tc>
        <w:tc>
          <w:tcPr>
            <w:tcW w:w="2361" w:type="dxa"/>
          </w:tcPr>
          <w:p>
            <w:pPr>
              <w:pStyle w:val="5"/>
              <w:ind w:firstLine="0"/>
              <w:rPr>
                <w:color w:val="auto"/>
                <w:sz w:val="24"/>
                <w:szCs w:val="24"/>
                <w:highlight w:val="none"/>
              </w:rPr>
            </w:pPr>
          </w:p>
        </w:tc>
        <w:tc>
          <w:tcPr>
            <w:tcW w:w="2693" w:type="dxa"/>
          </w:tcPr>
          <w:p>
            <w:pPr>
              <w:pStyle w:val="5"/>
              <w:ind w:firstLine="0"/>
              <w:rPr>
                <w:color w:val="auto"/>
                <w:sz w:val="24"/>
                <w:szCs w:val="24"/>
                <w:highlight w:val="none"/>
              </w:rPr>
            </w:pPr>
          </w:p>
        </w:tc>
        <w:tc>
          <w:tcPr>
            <w:tcW w:w="1701" w:type="dxa"/>
          </w:tcPr>
          <w:p>
            <w:pPr>
              <w:pStyle w:val="5"/>
              <w:ind w:firstLine="0"/>
              <w:rPr>
                <w:color w:val="auto"/>
                <w:sz w:val="24"/>
                <w:szCs w:val="24"/>
                <w:highlight w:val="none"/>
              </w:rPr>
            </w:pPr>
          </w:p>
        </w:tc>
        <w:tc>
          <w:tcPr>
            <w:tcW w:w="1276" w:type="dxa"/>
          </w:tcPr>
          <w:p>
            <w:pPr>
              <w:pStyle w:val="5"/>
              <w:ind w:firstLine="0"/>
              <w:rPr>
                <w:color w:val="auto"/>
                <w:sz w:val="24"/>
                <w:szCs w:val="24"/>
                <w:highlight w:val="none"/>
              </w:rPr>
            </w:pPr>
          </w:p>
        </w:tc>
      </w:tr>
    </w:tbl>
    <w:p>
      <w:pPr>
        <w:pStyle w:val="5"/>
        <w:rPr>
          <w:color w:val="auto"/>
          <w:highlight w:val="none"/>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left="840" w:hanging="840" w:hangingChars="400"/>
        <w:rPr>
          <w:rFonts w:ascii="仿宋_GB2312" w:hAnsi="宋体" w:eastAsia="仿宋_GB2312" w:cs="Arial"/>
          <w:color w:val="auto"/>
          <w:szCs w:val="21"/>
          <w:highlight w:val="none"/>
        </w:rPr>
      </w:pPr>
      <w:r>
        <w:rPr>
          <w:rFonts w:hint="eastAsia" w:ascii="仿宋_GB2312" w:hAnsi="宋体" w:eastAsia="仿宋_GB2312" w:cs="Arial"/>
          <w:color w:val="auto"/>
          <w:szCs w:val="21"/>
          <w:highlight w:val="none"/>
        </w:rPr>
        <w:t>说明：提供自 2020年1月1日以来的类似业绩证明材料</w:t>
      </w:r>
      <w:r>
        <w:rPr>
          <w:rFonts w:hint="eastAsia" w:ascii="仿宋_GB2312" w:hAnsi="宋体" w:eastAsia="仿宋_GB2312" w:cs="Arial"/>
          <w:color w:val="auto"/>
          <w:szCs w:val="21"/>
          <w:highlight w:val="none"/>
          <w:lang w:eastAsia="zh-CN"/>
        </w:rPr>
        <w:t>，</w:t>
      </w:r>
      <w:r>
        <w:rPr>
          <w:rFonts w:hint="eastAsia" w:ascii="仿宋_GB2312" w:hAnsi="宋体" w:eastAsia="仿宋_GB2312" w:cs="Arial"/>
          <w:color w:val="auto"/>
          <w:szCs w:val="21"/>
          <w:highlight w:val="none"/>
        </w:rPr>
        <w:t>需提供合同复印件。</w:t>
      </w:r>
      <w:r>
        <w:rPr>
          <w:rFonts w:ascii="仿宋_GB2312" w:hAnsi="宋体" w:eastAsia="仿宋_GB2312" w:cs="Arial"/>
          <w:color w:val="auto"/>
          <w:szCs w:val="21"/>
          <w:highlight w:val="none"/>
        </w:rPr>
        <w:t xml:space="preserve"> </w:t>
      </w:r>
    </w:p>
    <w:p>
      <w:pPr>
        <w:adjustRightInd w:val="0"/>
        <w:spacing w:before="468" w:beforeLines="150" w:line="360" w:lineRule="auto"/>
        <w:ind w:firstLine="3570" w:firstLineChars="1700"/>
        <w:jc w:val="left"/>
        <w:rPr>
          <w:rFonts w:ascii="宋体" w:hAnsi="宋体"/>
          <w:color w:val="auto"/>
          <w:szCs w:val="21"/>
          <w:highlight w:val="non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pStyle w:val="32"/>
        <w:spacing w:before="468" w:beforeLines="150" w:line="360" w:lineRule="auto"/>
        <w:ind w:firstLine="3570" w:firstLineChars="1700"/>
        <w:rPr>
          <w:bCs/>
          <w:color w:val="auto"/>
          <w:highlight w:val="none"/>
        </w:rPr>
      </w:pPr>
      <w:r>
        <w:rPr>
          <w:rFonts w:hint="eastAsia"/>
          <w:color w:val="auto"/>
          <w:highlight w:val="none"/>
        </w:rPr>
        <w:t>法定代表人或委托代理人</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签名</w:t>
      </w:r>
      <w:r>
        <w:rPr>
          <w:rFonts w:hint="eastAsia"/>
          <w:color w:val="auto"/>
          <w:highlight w:val="none"/>
        </w:rPr>
        <w:t>）</w:t>
      </w:r>
      <w:r>
        <w:rPr>
          <w:rFonts w:hint="eastAsia"/>
          <w:bCs/>
          <w:color w:val="auto"/>
          <w:highlight w:val="none"/>
        </w:rPr>
        <w:t xml:space="preserve">：        </w:t>
      </w:r>
    </w:p>
    <w:p>
      <w:pPr>
        <w:pStyle w:val="32"/>
        <w:spacing w:before="468" w:beforeLines="150" w:line="360" w:lineRule="auto"/>
        <w:ind w:firstLine="4830" w:firstLineChars="2300"/>
        <w:rPr>
          <w:rFonts w:ascii="宋体" w:hAnsi="宋体"/>
          <w:b/>
          <w:bCs/>
          <w:color w:val="auto"/>
          <w:highlight w:val="none"/>
        </w:rPr>
      </w:pPr>
      <w:r>
        <w:rPr>
          <w:rFonts w:hint="eastAsia" w:asciiTheme="majorEastAsia" w:hAnsiTheme="majorEastAsia" w:eastAsiaTheme="majorEastAsia"/>
          <w:bCs/>
          <w:color w:val="auto"/>
          <w:highlight w:val="none"/>
        </w:rPr>
        <w:t>日期:20</w:t>
      </w:r>
      <w:r>
        <w:rPr>
          <w:rFonts w:hint="eastAsia" w:ascii="仿宋_GB2312" w:eastAsia="仿宋_GB2312"/>
          <w:bCs/>
          <w:color w:val="auto"/>
          <w:highlight w:val="none"/>
        </w:rPr>
        <w:t xml:space="preserve">  </w:t>
      </w:r>
      <w:r>
        <w:rPr>
          <w:rFonts w:hint="eastAsia" w:asciiTheme="minorEastAsia" w:hAnsiTheme="minorEastAsia" w:eastAsiaTheme="minorEastAsia"/>
          <w:bCs/>
          <w:color w:val="auto"/>
          <w:highlight w:val="none"/>
        </w:rPr>
        <w:t xml:space="preserve"> 年  月  日  </w:t>
      </w:r>
      <w:r>
        <w:rPr>
          <w:rFonts w:hint="eastAsia" w:ascii="仿宋_GB2312" w:eastAsia="仿宋_GB2312"/>
          <w:bCs/>
          <w:color w:val="auto"/>
          <w:highlight w:val="none"/>
        </w:rPr>
        <w:t xml:space="preserve"> </w:t>
      </w:r>
    </w:p>
    <w:p>
      <w:pPr>
        <w:tabs>
          <w:tab w:val="left" w:pos="7815"/>
        </w:tabs>
        <w:adjustRightInd w:val="0"/>
        <w:spacing w:line="400" w:lineRule="exact"/>
        <w:jc w:val="left"/>
        <w:rPr>
          <w:rFonts w:ascii="宋体" w:hAnsi="宋体"/>
          <w:b/>
          <w:bCs/>
          <w:color w:val="auto"/>
          <w:szCs w:val="21"/>
          <w:highlight w:val="none"/>
        </w:rPr>
      </w:pPr>
      <w:r>
        <w:rPr>
          <w:rFonts w:ascii="宋体" w:hAnsi="宋体"/>
          <w:b/>
          <w:bCs/>
          <w:color w:val="auto"/>
          <w:szCs w:val="21"/>
          <w:highlight w:val="none"/>
        </w:rPr>
        <w:tab/>
      </w:r>
    </w:p>
    <w:p>
      <w:pPr>
        <w:adjustRightInd w:val="0"/>
        <w:spacing w:line="400" w:lineRule="exact"/>
        <w:jc w:val="center"/>
        <w:rPr>
          <w:rFonts w:ascii="黑体" w:hAnsi="宋体" w:eastAsia="黑体"/>
          <w:bCs/>
          <w:color w:val="auto"/>
          <w:sz w:val="36"/>
          <w:szCs w:val="36"/>
          <w:highlight w:val="none"/>
        </w:rPr>
      </w:pPr>
    </w:p>
    <w:p>
      <w:pPr>
        <w:adjustRightInd w:val="0"/>
        <w:spacing w:line="400" w:lineRule="exact"/>
        <w:jc w:val="center"/>
        <w:rPr>
          <w:rFonts w:hint="eastAsia" w:ascii="黑体" w:hAnsi="宋体" w:eastAsia="黑体"/>
          <w:bCs/>
          <w:color w:val="auto"/>
          <w:sz w:val="36"/>
          <w:szCs w:val="36"/>
          <w:highlight w:val="none"/>
          <w:lang w:val="en-US" w:eastAsia="zh-CN"/>
        </w:rPr>
      </w:pPr>
    </w:p>
    <w:p>
      <w:pPr>
        <w:adjustRightInd w:val="0"/>
        <w:spacing w:line="400" w:lineRule="exact"/>
        <w:jc w:val="center"/>
        <w:rPr>
          <w:rFonts w:ascii="黑体" w:hAnsi="宋体" w:eastAsia="黑体"/>
          <w:bCs/>
          <w:color w:val="auto"/>
          <w:sz w:val="36"/>
          <w:szCs w:val="36"/>
          <w:highlight w:val="none"/>
        </w:rPr>
      </w:pPr>
      <w:r>
        <w:rPr>
          <w:rFonts w:hint="eastAsia" w:ascii="黑体" w:hAnsi="宋体" w:eastAsia="黑体"/>
          <w:bCs/>
          <w:color w:val="auto"/>
          <w:sz w:val="36"/>
          <w:szCs w:val="36"/>
          <w:highlight w:val="none"/>
          <w:lang w:val="en-US" w:eastAsia="zh-CN"/>
        </w:rPr>
        <w:t>九</w:t>
      </w:r>
      <w:r>
        <w:rPr>
          <w:rFonts w:hint="eastAsia" w:ascii="黑体" w:hAnsi="宋体" w:eastAsia="黑体"/>
          <w:bCs/>
          <w:color w:val="auto"/>
          <w:sz w:val="36"/>
          <w:szCs w:val="36"/>
          <w:highlight w:val="none"/>
        </w:rPr>
        <w:t>、技术文件</w:t>
      </w:r>
    </w:p>
    <w:p>
      <w:pPr>
        <w:adjustRightInd w:val="0"/>
        <w:spacing w:line="400" w:lineRule="exact"/>
        <w:jc w:val="left"/>
        <w:rPr>
          <w:rFonts w:ascii="宋体" w:hAnsi="宋体"/>
          <w:bCs/>
          <w:color w:val="auto"/>
          <w:sz w:val="24"/>
          <w:highlight w:val="none"/>
        </w:rPr>
      </w:pPr>
    </w:p>
    <w:p>
      <w:pPr>
        <w:spacing w:line="360" w:lineRule="auto"/>
        <w:ind w:firstLine="420" w:firstLineChars="200"/>
        <w:rPr>
          <w:color w:val="auto"/>
          <w:szCs w:val="21"/>
          <w:highlight w:val="none"/>
        </w:rPr>
      </w:pPr>
      <w:r>
        <w:rPr>
          <w:rFonts w:hint="eastAsia"/>
          <w:color w:val="auto"/>
          <w:szCs w:val="21"/>
          <w:highlight w:val="none"/>
        </w:rPr>
        <w:t>格式自定。应当包括（但不限于）谈判须知第</w:t>
      </w:r>
      <w:r>
        <w:rPr>
          <w:rFonts w:hint="eastAsia" w:ascii="宋体" w:hAnsi="宋体"/>
          <w:color w:val="auto"/>
          <w:szCs w:val="21"/>
          <w:highlight w:val="none"/>
        </w:rPr>
        <w:t>3.2.2</w:t>
      </w:r>
      <w:r>
        <w:rPr>
          <w:rFonts w:hint="eastAsia"/>
          <w:color w:val="auto"/>
          <w:szCs w:val="21"/>
          <w:highlight w:val="none"/>
        </w:rPr>
        <w:t>条规定的内容。</w:t>
      </w: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4"/>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adjustRightInd w:val="0"/>
        <w:spacing w:line="400" w:lineRule="exact"/>
        <w:jc w:val="left"/>
        <w:rPr>
          <w:rFonts w:ascii="宋体" w:hAnsi="宋体"/>
          <w:bCs/>
          <w:color w:val="auto"/>
          <w:sz w:val="28"/>
          <w:szCs w:val="28"/>
          <w:highlight w:val="none"/>
        </w:rPr>
      </w:pPr>
    </w:p>
    <w:p>
      <w:pPr>
        <w:pStyle w:val="4"/>
        <w:spacing w:before="0" w:after="468" w:afterLines="150" w:line="240" w:lineRule="auto"/>
        <w:jc w:val="center"/>
        <w:rPr>
          <w:rFonts w:ascii="黑体" w:hAnsi="宋体"/>
          <w:b w:val="0"/>
          <w:bCs/>
          <w:color w:val="auto"/>
          <w:kern w:val="0"/>
          <w:sz w:val="36"/>
          <w:szCs w:val="36"/>
          <w:highlight w:val="none"/>
        </w:rPr>
      </w:pPr>
      <w:r>
        <w:rPr>
          <w:rFonts w:hint="eastAsia" w:ascii="黑体" w:hAnsi="宋体"/>
          <w:b w:val="0"/>
          <w:bCs/>
          <w:color w:val="auto"/>
          <w:kern w:val="0"/>
          <w:sz w:val="36"/>
          <w:szCs w:val="36"/>
          <w:highlight w:val="none"/>
        </w:rPr>
        <w:t>十、技术条款偏离表</w:t>
      </w:r>
    </w:p>
    <w:p>
      <w:pPr>
        <w:widowControl/>
        <w:jc w:val="left"/>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供应商名称：                                           采购项目编号：</w:t>
      </w:r>
      <w:r>
        <w:rPr>
          <w:rFonts w:hint="eastAsia" w:ascii="宋体" w:hAnsi="宋体" w:cs="宋体" w:eastAsiaTheme="minorEastAsia"/>
          <w:color w:val="auto"/>
          <w:kern w:val="0"/>
          <w:sz w:val="24"/>
          <w:highlight w:val="none"/>
          <w:lang w:val="en-US" w:eastAsia="zh-CN"/>
        </w:rPr>
        <w:t xml:space="preserve">           </w:t>
      </w:r>
    </w:p>
    <w:tbl>
      <w:tblPr>
        <w:tblStyle w:val="25"/>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74"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文件条目号</w:t>
            </w:r>
          </w:p>
        </w:tc>
        <w:tc>
          <w:tcPr>
            <w:tcW w:w="1865" w:type="dxa"/>
            <w:vAlign w:val="center"/>
          </w:tcPr>
          <w:p>
            <w:pPr>
              <w:adjustRightInd w:val="0"/>
              <w:snapToGrid w:val="0"/>
              <w:ind w:right="23"/>
              <w:jc w:val="center"/>
              <w:rPr>
                <w:rFonts w:ascii="宋体" w:hAnsi="宋体"/>
                <w:b/>
                <w:color w:val="auto"/>
                <w:szCs w:val="21"/>
                <w:highlight w:val="none"/>
              </w:rPr>
            </w:pPr>
            <w:r>
              <w:rPr>
                <w:rFonts w:hint="eastAsia" w:ascii="宋体" w:hAnsi="宋体"/>
                <w:b/>
                <w:color w:val="auto"/>
                <w:szCs w:val="21"/>
                <w:highlight w:val="none"/>
              </w:rPr>
              <w:t>采购规格及</w:t>
            </w:r>
          </w:p>
          <w:p>
            <w:pPr>
              <w:adjustRightInd w:val="0"/>
              <w:snapToGrid w:val="0"/>
              <w:ind w:right="23"/>
              <w:jc w:val="center"/>
              <w:rPr>
                <w:rFonts w:ascii="宋体" w:hAnsi="宋体"/>
                <w:b/>
                <w:bCs/>
                <w:color w:val="auto"/>
                <w:szCs w:val="21"/>
                <w:highlight w:val="none"/>
              </w:rPr>
            </w:pPr>
            <w:r>
              <w:rPr>
                <w:rFonts w:hint="eastAsia" w:ascii="宋体" w:hAnsi="宋体"/>
                <w:b/>
                <w:color w:val="auto"/>
                <w:szCs w:val="21"/>
                <w:highlight w:val="none"/>
              </w:rPr>
              <w:t>技术需求</w:t>
            </w:r>
          </w:p>
        </w:tc>
        <w:tc>
          <w:tcPr>
            <w:tcW w:w="2542" w:type="dxa"/>
            <w:vAlign w:val="center"/>
          </w:tcPr>
          <w:p>
            <w:pPr>
              <w:adjustRightInd w:val="0"/>
              <w:snapToGrid w:val="0"/>
              <w:ind w:right="23"/>
              <w:jc w:val="center"/>
              <w:rPr>
                <w:rFonts w:ascii="宋体" w:hAnsi="宋体"/>
                <w:b/>
                <w:color w:val="auto"/>
                <w:szCs w:val="21"/>
                <w:highlight w:val="none"/>
              </w:rPr>
            </w:pPr>
            <w:r>
              <w:rPr>
                <w:rFonts w:hint="eastAsia" w:ascii="宋体" w:hAnsi="宋体"/>
                <w:b/>
                <w:color w:val="auto"/>
                <w:szCs w:val="21"/>
                <w:highlight w:val="none"/>
              </w:rPr>
              <w:t>投标文件规格及</w:t>
            </w:r>
          </w:p>
          <w:p>
            <w:pPr>
              <w:adjustRightInd w:val="0"/>
              <w:snapToGrid w:val="0"/>
              <w:ind w:right="23"/>
              <w:jc w:val="center"/>
              <w:rPr>
                <w:rFonts w:ascii="宋体" w:hAnsi="宋体"/>
                <w:b/>
                <w:bCs/>
                <w:color w:val="auto"/>
                <w:szCs w:val="21"/>
                <w:highlight w:val="none"/>
              </w:rPr>
            </w:pPr>
            <w:r>
              <w:rPr>
                <w:rFonts w:hint="eastAsia" w:ascii="宋体" w:hAnsi="宋体"/>
                <w:b/>
                <w:color w:val="auto"/>
                <w:szCs w:val="21"/>
                <w:highlight w:val="none"/>
              </w:rPr>
              <w:t>技术参数</w:t>
            </w:r>
          </w:p>
        </w:tc>
        <w:tc>
          <w:tcPr>
            <w:tcW w:w="841"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w:t>
            </w:r>
          </w:p>
        </w:tc>
        <w:tc>
          <w:tcPr>
            <w:tcW w:w="1684" w:type="dxa"/>
            <w:vAlign w:val="center"/>
          </w:tcPr>
          <w:p>
            <w:pPr>
              <w:adjustRightInd w:val="0"/>
              <w:snapToGrid w:val="0"/>
              <w:ind w:right="23"/>
              <w:jc w:val="center"/>
              <w:rPr>
                <w:rFonts w:ascii="宋体" w:hAnsi="宋体"/>
                <w:b/>
                <w:bCs/>
                <w:color w:val="auto"/>
                <w:szCs w:val="21"/>
                <w:highlight w:val="none"/>
              </w:rPr>
            </w:pPr>
            <w:r>
              <w:rPr>
                <w:rFonts w:hint="eastAsia" w:ascii="宋体" w:hAnsi="宋体"/>
                <w:b/>
                <w:bCs/>
                <w:color w:val="auto"/>
                <w:szCs w:val="21"/>
                <w:highlight w:val="none"/>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auto"/>
                <w:sz w:val="24"/>
                <w:highlight w:val="none"/>
              </w:rPr>
            </w:pPr>
          </w:p>
        </w:tc>
        <w:tc>
          <w:tcPr>
            <w:tcW w:w="1474" w:type="dxa"/>
          </w:tcPr>
          <w:p>
            <w:pPr>
              <w:adjustRightInd w:val="0"/>
              <w:snapToGrid w:val="0"/>
              <w:spacing w:line="360" w:lineRule="auto"/>
              <w:ind w:right="24"/>
              <w:rPr>
                <w:rFonts w:ascii="宋体" w:hAnsi="宋体"/>
                <w:bCs/>
                <w:color w:val="auto"/>
                <w:sz w:val="24"/>
                <w:highlight w:val="none"/>
              </w:rPr>
            </w:pPr>
          </w:p>
        </w:tc>
        <w:tc>
          <w:tcPr>
            <w:tcW w:w="1865" w:type="dxa"/>
          </w:tcPr>
          <w:p>
            <w:pPr>
              <w:adjustRightInd w:val="0"/>
              <w:snapToGrid w:val="0"/>
              <w:spacing w:line="360" w:lineRule="auto"/>
              <w:ind w:right="24"/>
              <w:rPr>
                <w:rFonts w:ascii="宋体" w:hAnsi="宋体"/>
                <w:bCs/>
                <w:color w:val="auto"/>
                <w:sz w:val="24"/>
                <w:highlight w:val="none"/>
              </w:rPr>
            </w:pPr>
          </w:p>
        </w:tc>
        <w:tc>
          <w:tcPr>
            <w:tcW w:w="2542" w:type="dxa"/>
          </w:tcPr>
          <w:p>
            <w:pPr>
              <w:adjustRightInd w:val="0"/>
              <w:snapToGrid w:val="0"/>
              <w:spacing w:line="360" w:lineRule="auto"/>
              <w:ind w:right="24"/>
              <w:rPr>
                <w:rFonts w:ascii="宋体" w:hAnsi="宋体"/>
                <w:bCs/>
                <w:color w:val="auto"/>
                <w:sz w:val="24"/>
                <w:highlight w:val="none"/>
              </w:rPr>
            </w:pPr>
          </w:p>
        </w:tc>
        <w:tc>
          <w:tcPr>
            <w:tcW w:w="841" w:type="dxa"/>
          </w:tcPr>
          <w:p>
            <w:pPr>
              <w:adjustRightInd w:val="0"/>
              <w:snapToGrid w:val="0"/>
              <w:spacing w:line="360" w:lineRule="auto"/>
              <w:ind w:right="24"/>
              <w:rPr>
                <w:rFonts w:ascii="宋体" w:hAnsi="宋体"/>
                <w:bCs/>
                <w:color w:val="auto"/>
                <w:sz w:val="24"/>
                <w:highlight w:val="none"/>
              </w:rPr>
            </w:pPr>
          </w:p>
        </w:tc>
        <w:tc>
          <w:tcPr>
            <w:tcW w:w="1684" w:type="dxa"/>
          </w:tcPr>
          <w:p>
            <w:pPr>
              <w:adjustRightInd w:val="0"/>
              <w:snapToGrid w:val="0"/>
              <w:spacing w:line="360" w:lineRule="auto"/>
              <w:ind w:right="24"/>
              <w:rPr>
                <w:rFonts w:ascii="宋体" w:hAnsi="宋体"/>
                <w:bCs/>
                <w:color w:val="auto"/>
                <w:sz w:val="24"/>
                <w:highlight w:val="none"/>
              </w:rPr>
            </w:pPr>
          </w:p>
        </w:tc>
      </w:tr>
    </w:tbl>
    <w:p>
      <w:pPr>
        <w:spacing w:before="156" w:beforeLines="50" w:line="400" w:lineRule="exact"/>
        <w:ind w:left="105" w:leftChars="50"/>
        <w:rPr>
          <w:rFonts w:ascii="仿宋_GB2312" w:hAnsi="宋体" w:eastAsia="仿宋_GB2312"/>
          <w:color w:val="auto"/>
          <w:szCs w:val="21"/>
          <w:highlight w:val="none"/>
        </w:rPr>
      </w:pPr>
      <w:r>
        <w:rPr>
          <w:rFonts w:hint="eastAsia" w:ascii="仿宋_GB2312" w:hAnsi="宋体" w:eastAsia="仿宋_GB2312"/>
          <w:color w:val="auto"/>
          <w:szCs w:val="21"/>
          <w:highlight w:val="none"/>
        </w:rPr>
        <w:t>说明：</w:t>
      </w:r>
      <w:r>
        <w:rPr>
          <w:rFonts w:hint="eastAsia" w:ascii="仿宋_GB2312" w:hAnsi="宋体" w:eastAsia="仿宋_GB2312"/>
          <w:color w:val="auto"/>
          <w:szCs w:val="21"/>
          <w:highlight w:val="none"/>
          <w:lang w:val="en-US" w:eastAsia="zh-CN"/>
        </w:rPr>
        <w:t>1.对技术条款中所有要求，除本表所列出偏离外，均视为供应商响应其余全部技术条款要求；如供应商响应谈判文件所有技术条款要求的，必须提交空白表，否则，其响应文件无效。</w:t>
      </w:r>
      <w:r>
        <w:rPr>
          <w:rFonts w:ascii="仿宋_GB2312" w:hAnsi="宋体" w:eastAsia="仿宋_GB2312"/>
          <w:color w:val="auto"/>
          <w:szCs w:val="21"/>
          <w:highlight w:val="none"/>
        </w:rPr>
        <w:t xml:space="preserve"> </w:t>
      </w:r>
    </w:p>
    <w:p>
      <w:pPr>
        <w:spacing w:before="156" w:beforeLines="50" w:line="400" w:lineRule="exact"/>
        <w:ind w:left="105" w:leftChars="50" w:firstLine="630" w:firstLineChars="300"/>
        <w:rPr>
          <w:rFonts w:hint="eastAsia" w:ascii="仿宋_GB2312" w:hAnsi="宋体" w:eastAsia="仿宋_GB2312"/>
          <w:color w:val="auto"/>
          <w:szCs w:val="21"/>
          <w:highlight w:val="none"/>
        </w:rPr>
      </w:pPr>
      <w:r>
        <w:rPr>
          <w:rFonts w:hint="eastAsia" w:ascii="仿宋_GB2312" w:hAnsi="宋体" w:eastAsia="仿宋_GB2312"/>
          <w:color w:val="auto"/>
          <w:szCs w:val="21"/>
          <w:highlight w:val="none"/>
          <w:lang w:val="en-US" w:eastAsia="zh-CN"/>
        </w:rPr>
        <w:t>2</w:t>
      </w:r>
      <w:r>
        <w:rPr>
          <w:rFonts w:hint="eastAsia" w:ascii="仿宋_GB2312" w:hAnsi="宋体" w:eastAsia="仿宋_GB2312"/>
          <w:color w:val="auto"/>
          <w:szCs w:val="21"/>
          <w:highlight w:val="none"/>
        </w:rPr>
        <w:t>.</w:t>
      </w:r>
      <w:r>
        <w:rPr>
          <w:rFonts w:hint="eastAsia" w:ascii="仿宋_GB2312" w:hAnsi="宋体" w:eastAsia="仿宋_GB2312"/>
          <w:color w:val="auto"/>
          <w:szCs w:val="21"/>
          <w:highlight w:val="none"/>
          <w:lang w:val="en-US" w:eastAsia="zh-CN"/>
        </w:rPr>
        <w:t>响应</w:t>
      </w:r>
      <w:r>
        <w:rPr>
          <w:rFonts w:hint="eastAsia" w:ascii="仿宋_GB2312" w:hAnsi="宋体" w:eastAsia="仿宋_GB2312"/>
          <w:color w:val="auto"/>
          <w:szCs w:val="21"/>
          <w:highlight w:val="none"/>
        </w:rPr>
        <w:t>文件技术参数指标响应内容必须按照投标产品实际参数指标填写，与相关证明材料一致，不得直接将采购文件的技术参数指标要求完全复制作为</w:t>
      </w:r>
      <w:r>
        <w:rPr>
          <w:rFonts w:hint="eastAsia" w:ascii="仿宋_GB2312" w:hAnsi="宋体" w:eastAsia="仿宋_GB2312"/>
          <w:color w:val="auto"/>
          <w:szCs w:val="21"/>
          <w:highlight w:val="none"/>
          <w:lang w:val="en-US" w:eastAsia="zh-CN"/>
        </w:rPr>
        <w:t>响应</w:t>
      </w:r>
      <w:r>
        <w:rPr>
          <w:rFonts w:hint="eastAsia" w:ascii="仿宋_GB2312" w:hAnsi="宋体" w:eastAsia="仿宋_GB2312"/>
          <w:color w:val="auto"/>
          <w:szCs w:val="21"/>
          <w:highlight w:val="none"/>
        </w:rPr>
        <w:t>文件响应内容。</w:t>
      </w:r>
    </w:p>
    <w:p>
      <w:pPr>
        <w:spacing w:before="156" w:beforeLines="50" w:line="400" w:lineRule="exact"/>
        <w:ind w:left="105" w:leftChars="50" w:firstLine="630" w:firstLineChars="300"/>
        <w:rPr>
          <w:rFonts w:hint="eastAsia" w:ascii="仿宋_GB2312" w:hAnsi="宋体" w:eastAsia="仿宋_GB2312"/>
          <w:color w:val="auto"/>
          <w:szCs w:val="21"/>
          <w:highlight w:val="none"/>
        </w:rPr>
      </w:pPr>
      <w:r>
        <w:rPr>
          <w:rFonts w:hint="eastAsia" w:ascii="仿宋_GB2312" w:hAnsi="宋体" w:eastAsia="仿宋_GB2312"/>
          <w:color w:val="auto"/>
          <w:szCs w:val="21"/>
          <w:highlight w:val="none"/>
          <w:lang w:val="en-US" w:eastAsia="zh-CN"/>
        </w:rPr>
        <w:t>3</w:t>
      </w:r>
      <w:r>
        <w:rPr>
          <w:rFonts w:hint="eastAsia" w:ascii="仿宋_GB2312" w:hAnsi="宋体" w:eastAsia="仿宋_GB2312"/>
          <w:color w:val="auto"/>
          <w:szCs w:val="21"/>
          <w:highlight w:val="none"/>
        </w:rPr>
        <w:t>.填写所有指标响应参数；必须在偏离及其影响栏进行明确说明偏离情况并标明</w:t>
      </w:r>
      <w:r>
        <w:rPr>
          <w:rFonts w:hint="eastAsia" w:ascii="仿宋_GB2312" w:hAnsi="宋体" w:eastAsia="仿宋_GB2312"/>
          <w:color w:val="auto"/>
          <w:szCs w:val="21"/>
          <w:highlight w:val="none"/>
          <w:lang w:val="en-US" w:eastAsia="zh-CN"/>
        </w:rPr>
        <w:t>供应商响应</w:t>
      </w:r>
      <w:r>
        <w:rPr>
          <w:rFonts w:hint="eastAsia" w:ascii="仿宋_GB2312" w:hAnsi="宋体" w:eastAsia="仿宋_GB2312"/>
          <w:color w:val="auto"/>
          <w:szCs w:val="21"/>
          <w:highlight w:val="none"/>
        </w:rPr>
        <w:t>文件中所提供相关产品证明材料具体偏离内容的页码，且偏离情况与实际相符。</w:t>
      </w:r>
    </w:p>
    <w:p>
      <w:pPr>
        <w:spacing w:line="400" w:lineRule="exact"/>
        <w:ind w:left="540" w:leftChars="57" w:hanging="420" w:hangingChars="200"/>
        <w:rPr>
          <w:rFonts w:ascii="仿宋_GB2312" w:hAnsi="宋体" w:eastAsia="仿宋_GB2312"/>
          <w:color w:val="auto"/>
          <w:szCs w:val="21"/>
          <w:highlight w:val="none"/>
        </w:rPr>
      </w:pPr>
    </w:p>
    <w:p>
      <w:pPr>
        <w:adjustRightInd w:val="0"/>
        <w:spacing w:line="400" w:lineRule="exact"/>
        <w:jc w:val="left"/>
        <w:rPr>
          <w:rFonts w:ascii="仿宋_GB2312" w:hAnsi="宋体" w:eastAsia="仿宋_GB2312"/>
          <w:bCs/>
          <w:color w:val="auto"/>
          <w:szCs w:val="21"/>
          <w:highlight w:val="none"/>
        </w:rPr>
      </w:pPr>
    </w:p>
    <w:p>
      <w:pPr>
        <w:adjustRightInd w:val="0"/>
        <w:spacing w:after="156" w:afterLines="50" w:line="400" w:lineRule="exact"/>
        <w:ind w:firstLine="3832" w:firstLineChars="1825"/>
        <w:jc w:val="left"/>
        <w:rPr>
          <w:rFonts w:ascii="宋体" w:hAnsi="宋体"/>
          <w:bCs/>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（单位公章）：</w:t>
      </w:r>
    </w:p>
    <w:p>
      <w:pPr>
        <w:adjustRightInd w:val="0"/>
        <w:spacing w:before="312" w:beforeLines="100" w:line="360" w:lineRule="auto"/>
        <w:ind w:firstLine="3832" w:firstLineChars="182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签名</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312" w:beforeLines="100" w:line="360" w:lineRule="auto"/>
        <w:ind w:firstLine="3202" w:firstLineChars="1525"/>
        <w:jc w:val="left"/>
        <w:rPr>
          <w:rFonts w:ascii="仿宋_GB2312" w:hAnsi="宋体" w:eastAsia="仿宋_GB2312"/>
          <w:bCs/>
          <w:iCs/>
          <w:color w:val="auto"/>
          <w:szCs w:val="21"/>
          <w:highlight w:val="none"/>
        </w:rPr>
      </w:pPr>
      <w:r>
        <w:rPr>
          <w:rFonts w:hint="eastAsia" w:ascii="宋体" w:hAnsi="宋体"/>
          <w:bCs/>
          <w:color w:val="auto"/>
          <w:szCs w:val="21"/>
          <w:highlight w:val="none"/>
        </w:rPr>
        <w:t xml:space="preserve">                  日期:</w:t>
      </w:r>
      <w:bookmarkStart w:id="92" w:name="_Toc217446088"/>
      <w:r>
        <w:rPr>
          <w:rFonts w:hint="eastAsia" w:ascii="宋体" w:hAnsi="宋体"/>
          <w:bCs/>
          <w:color w:val="auto"/>
          <w:szCs w:val="21"/>
          <w:highlight w:val="none"/>
        </w:rPr>
        <w:t>20   年  月  日</w:t>
      </w:r>
    </w:p>
    <w:bookmarkEnd w:id="92"/>
    <w:p>
      <w:pPr>
        <w:pStyle w:val="32"/>
        <w:spacing w:line="400" w:lineRule="exact"/>
        <w:jc w:val="center"/>
        <w:rPr>
          <w:rFonts w:ascii="黑体" w:hAnsi="宋体" w:eastAsia="黑体"/>
          <w:color w:val="auto"/>
          <w:sz w:val="36"/>
          <w:szCs w:val="36"/>
          <w:highlight w:val="none"/>
        </w:rPr>
      </w:pPr>
    </w:p>
    <w:p>
      <w:pPr>
        <w:pStyle w:val="32"/>
        <w:spacing w:line="400" w:lineRule="exact"/>
        <w:jc w:val="center"/>
        <w:rPr>
          <w:rFonts w:hint="eastAsia" w:ascii="黑体" w:hAnsi="宋体" w:eastAsia="黑体"/>
          <w:color w:val="auto"/>
          <w:sz w:val="36"/>
          <w:szCs w:val="36"/>
          <w:highlight w:val="none"/>
        </w:rPr>
      </w:pPr>
    </w:p>
    <w:p>
      <w:pPr>
        <w:rPr>
          <w:rFonts w:hint="eastAsia" w:ascii="黑体" w:hAnsi="宋体" w:eastAsia="黑体"/>
          <w:color w:val="auto"/>
          <w:sz w:val="36"/>
          <w:szCs w:val="36"/>
          <w:highlight w:val="none"/>
          <w:lang w:eastAsia="zh-CN"/>
        </w:rPr>
      </w:pPr>
      <w:r>
        <w:rPr>
          <w:rFonts w:hint="eastAsia" w:ascii="黑体" w:hAnsi="宋体" w:eastAsia="黑体"/>
          <w:color w:val="auto"/>
          <w:sz w:val="36"/>
          <w:szCs w:val="36"/>
          <w:highlight w:val="none"/>
          <w:lang w:eastAsia="zh-CN"/>
        </w:rPr>
        <w:br w:type="page"/>
      </w:r>
    </w:p>
    <w:p>
      <w:pPr>
        <w:pStyle w:val="32"/>
        <w:spacing w:line="400" w:lineRule="exact"/>
        <w:jc w:val="center"/>
        <w:rPr>
          <w:rFonts w:ascii="黑体" w:hAnsi="宋体" w:eastAsia="黑体"/>
          <w:color w:val="auto"/>
          <w:sz w:val="36"/>
          <w:szCs w:val="36"/>
          <w:highlight w:val="none"/>
        </w:rPr>
      </w:pPr>
      <w:r>
        <w:rPr>
          <w:rFonts w:hint="eastAsia" w:ascii="黑体" w:hAnsi="宋体" w:eastAsia="黑体"/>
          <w:color w:val="auto"/>
          <w:sz w:val="36"/>
          <w:szCs w:val="36"/>
          <w:highlight w:val="none"/>
          <w:lang w:eastAsia="zh-CN"/>
        </w:rPr>
        <w:t>十</w:t>
      </w:r>
      <w:r>
        <w:rPr>
          <w:rFonts w:hint="eastAsia" w:ascii="黑体" w:hAnsi="宋体" w:eastAsia="黑体"/>
          <w:color w:val="auto"/>
          <w:sz w:val="36"/>
          <w:szCs w:val="36"/>
          <w:highlight w:val="none"/>
          <w:lang w:val="en-US" w:eastAsia="zh-CN"/>
        </w:rPr>
        <w:t>一</w:t>
      </w:r>
      <w:r>
        <w:rPr>
          <w:rFonts w:hint="eastAsia" w:ascii="黑体" w:hAnsi="宋体" w:eastAsia="黑体"/>
          <w:color w:val="auto"/>
          <w:sz w:val="36"/>
          <w:szCs w:val="36"/>
          <w:highlight w:val="none"/>
          <w:lang w:eastAsia="zh-CN"/>
        </w:rPr>
        <w:t>、</w:t>
      </w:r>
      <w:r>
        <w:rPr>
          <w:rFonts w:hint="eastAsia" w:ascii="黑体" w:hAnsi="宋体" w:eastAsia="黑体"/>
          <w:color w:val="auto"/>
          <w:sz w:val="36"/>
          <w:szCs w:val="36"/>
          <w:highlight w:val="none"/>
        </w:rPr>
        <w:t>供应商需要补充说明的事项</w:t>
      </w:r>
    </w:p>
    <w:p>
      <w:pPr>
        <w:pStyle w:val="32"/>
        <w:spacing w:line="400" w:lineRule="exact"/>
        <w:rPr>
          <w:color w:val="auto"/>
          <w:highlight w:val="none"/>
        </w:rPr>
      </w:pPr>
    </w:p>
    <w:p>
      <w:pPr>
        <w:pStyle w:val="32"/>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1.相关专利情况说明；</w:t>
      </w:r>
    </w:p>
    <w:p>
      <w:pPr>
        <w:pStyle w:val="32"/>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2.专有技术说明；</w:t>
      </w:r>
    </w:p>
    <w:p>
      <w:pPr>
        <w:pStyle w:val="32"/>
        <w:spacing w:line="400" w:lineRule="exact"/>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 xml:space="preserve">       3.其他认为有必要的说明。</w:t>
      </w:r>
    </w:p>
    <w:p>
      <w:pPr>
        <w:pStyle w:val="32"/>
        <w:spacing w:line="400" w:lineRule="exact"/>
        <w:rPr>
          <w:rFonts w:asciiTheme="majorEastAsia" w:hAnsiTheme="majorEastAsia" w:eastAsiaTheme="majorEastAsia"/>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32"/>
        <w:spacing w:line="400" w:lineRule="exact"/>
        <w:rPr>
          <w:color w:val="auto"/>
          <w:highlight w:val="none"/>
        </w:rPr>
      </w:pPr>
    </w:p>
    <w:p>
      <w:pPr>
        <w:pStyle w:val="5"/>
        <w:spacing w:before="156" w:beforeLines="50" w:after="156" w:afterLines="50"/>
        <w:jc w:val="center"/>
        <w:rPr>
          <w:rFonts w:ascii="黑体" w:hAnsi="宋体" w:eastAsia="黑体"/>
          <w:color w:val="auto"/>
          <w:sz w:val="36"/>
          <w:szCs w:val="36"/>
          <w:highlight w:val="none"/>
        </w:rPr>
      </w:pPr>
      <w:r>
        <w:rPr>
          <w:rFonts w:hint="eastAsia" w:ascii="方正小标宋简体" w:eastAsia="方正小标宋简体"/>
          <w:color w:val="auto"/>
          <w:sz w:val="52"/>
          <w:szCs w:val="52"/>
          <w:highlight w:val="none"/>
          <w:lang w:val="en-US" w:eastAsia="zh-CN"/>
        </w:rPr>
        <w:t xml:space="preserve">  </w:t>
      </w:r>
      <w:r>
        <w:rPr>
          <w:rFonts w:hint="eastAsia" w:ascii="方正小标宋简体" w:eastAsia="方正小标宋简体"/>
          <w:color w:val="auto"/>
          <w:sz w:val="52"/>
          <w:szCs w:val="52"/>
          <w:highlight w:val="none"/>
        </w:rPr>
        <w:t>第二部分 资格证明文件</w:t>
      </w:r>
    </w:p>
    <w:p>
      <w:pPr>
        <w:adjustRightInd w:val="0"/>
        <w:snapToGrid w:val="0"/>
        <w:spacing w:after="156" w:afterLines="50"/>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一、供应商基本情况表</w:t>
      </w:r>
    </w:p>
    <w:tbl>
      <w:tblPr>
        <w:tblStyle w:val="24"/>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543"/>
        <w:gridCol w:w="962"/>
        <w:gridCol w:w="850"/>
        <w:gridCol w:w="590"/>
        <w:gridCol w:w="294"/>
        <w:gridCol w:w="1083"/>
        <w:gridCol w:w="1329"/>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800" w:type="dxa"/>
            <w:gridSpan w:val="3"/>
            <w:vAlign w:val="center"/>
          </w:tcPr>
          <w:p>
            <w:pPr>
              <w:topLinePunct/>
              <w:jc w:val="center"/>
              <w:rPr>
                <w:rFonts w:ascii="宋体" w:hAnsi="宋体"/>
                <w:color w:val="auto"/>
                <w:szCs w:val="21"/>
                <w:highlight w:val="none"/>
              </w:rPr>
            </w:pPr>
            <w:r>
              <w:rPr>
                <w:rFonts w:hint="eastAsia" w:ascii="宋体" w:hAnsi="宋体"/>
                <w:color w:val="auto"/>
                <w:szCs w:val="21"/>
                <w:highlight w:val="none"/>
              </w:rPr>
              <w:t>供应商</w:t>
            </w:r>
            <w:r>
              <w:rPr>
                <w:rFonts w:ascii="宋体" w:hAnsi="宋体"/>
                <w:color w:val="auto"/>
                <w:szCs w:val="21"/>
                <w:highlight w:val="none"/>
              </w:rPr>
              <w:t>名称</w:t>
            </w:r>
          </w:p>
        </w:tc>
        <w:tc>
          <w:tcPr>
            <w:tcW w:w="3779" w:type="dxa"/>
            <w:gridSpan w:val="5"/>
            <w:vAlign w:val="center"/>
          </w:tcPr>
          <w:p>
            <w:pPr>
              <w:topLinePun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ascii="宋体" w:hAnsi="宋体"/>
                <w:color w:val="auto"/>
                <w:szCs w:val="21"/>
                <w:highlight w:val="none"/>
              </w:rPr>
              <w:t>法定代表人</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800" w:type="dxa"/>
            <w:gridSpan w:val="3"/>
            <w:vAlign w:val="center"/>
          </w:tcPr>
          <w:p>
            <w:pPr>
              <w:topLinePunct/>
              <w:jc w:val="center"/>
              <w:rPr>
                <w:rFonts w:ascii="宋体" w:hAnsi="宋体"/>
                <w:color w:val="auto"/>
                <w:sz w:val="18"/>
                <w:szCs w:val="18"/>
                <w:highlight w:val="none"/>
              </w:rPr>
            </w:pPr>
            <w:r>
              <w:rPr>
                <w:rFonts w:hint="eastAsia" w:ascii="宋体" w:hAnsi="宋体"/>
                <w:color w:val="auto"/>
                <w:sz w:val="18"/>
                <w:szCs w:val="18"/>
                <w:highlight w:val="none"/>
              </w:rPr>
              <w:t>统一社会信用代码</w:t>
            </w:r>
          </w:p>
        </w:tc>
        <w:tc>
          <w:tcPr>
            <w:tcW w:w="3779" w:type="dxa"/>
            <w:gridSpan w:val="5"/>
            <w:vAlign w:val="center"/>
          </w:tcPr>
          <w:p>
            <w:pPr>
              <w:topLinePunct/>
              <w:spacing w:line="440" w:lineRule="exa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ascii="宋体" w:hAnsi="宋体"/>
                <w:color w:val="auto"/>
                <w:szCs w:val="21"/>
                <w:highlight w:val="none"/>
              </w:rPr>
              <w:t>邮政编码</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color w:val="auto"/>
                <w:szCs w:val="21"/>
                <w:highlight w:val="none"/>
              </w:rPr>
            </w:pPr>
            <w:r>
              <w:rPr>
                <w:rFonts w:hint="eastAsia" w:ascii="宋体" w:hAnsi="宋体"/>
                <w:color w:val="auto"/>
                <w:szCs w:val="21"/>
                <w:highlight w:val="none"/>
              </w:rPr>
              <w:t>授权代表</w:t>
            </w:r>
          </w:p>
        </w:tc>
        <w:tc>
          <w:tcPr>
            <w:tcW w:w="3779" w:type="dxa"/>
            <w:gridSpan w:val="5"/>
            <w:vAlign w:val="center"/>
          </w:tcPr>
          <w:p>
            <w:pPr>
              <w:topLinePun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hint="eastAsia" w:ascii="宋体" w:hAnsi="宋体"/>
                <w:color w:val="auto"/>
                <w:szCs w:val="21"/>
                <w:highlight w:val="none"/>
              </w:rPr>
              <w:t>企业类型</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00" w:type="dxa"/>
            <w:gridSpan w:val="3"/>
            <w:vAlign w:val="center"/>
          </w:tcPr>
          <w:p>
            <w:pPr>
              <w:topLinePunct/>
              <w:jc w:val="center"/>
              <w:rPr>
                <w:rFonts w:ascii="宋体" w:hAnsi="宋体"/>
                <w:color w:val="auto"/>
                <w:szCs w:val="21"/>
                <w:highlight w:val="none"/>
              </w:rPr>
            </w:pPr>
            <w:r>
              <w:rPr>
                <w:rFonts w:hint="eastAsia" w:ascii="宋体" w:hAnsi="宋体"/>
                <w:color w:val="auto"/>
                <w:szCs w:val="21"/>
                <w:highlight w:val="none"/>
              </w:rPr>
              <w:t>上年营业收入</w:t>
            </w:r>
          </w:p>
        </w:tc>
        <w:tc>
          <w:tcPr>
            <w:tcW w:w="3779" w:type="dxa"/>
            <w:gridSpan w:val="5"/>
            <w:vAlign w:val="center"/>
          </w:tcPr>
          <w:p>
            <w:pPr>
              <w:topLinePunct/>
              <w:jc w:val="center"/>
              <w:rPr>
                <w:rFonts w:ascii="宋体" w:hAnsi="宋体"/>
                <w:color w:val="auto"/>
                <w:szCs w:val="21"/>
                <w:highlight w:val="none"/>
              </w:rPr>
            </w:pPr>
          </w:p>
        </w:tc>
        <w:tc>
          <w:tcPr>
            <w:tcW w:w="1329" w:type="dxa"/>
            <w:vAlign w:val="center"/>
          </w:tcPr>
          <w:p>
            <w:pPr>
              <w:topLinePunct/>
              <w:jc w:val="center"/>
              <w:rPr>
                <w:rFonts w:ascii="宋体" w:hAnsi="宋体"/>
                <w:color w:val="auto"/>
                <w:szCs w:val="21"/>
                <w:highlight w:val="none"/>
              </w:rPr>
            </w:pPr>
            <w:r>
              <w:rPr>
                <w:rFonts w:hint="eastAsia" w:ascii="宋体" w:hAnsi="宋体"/>
                <w:color w:val="auto"/>
                <w:szCs w:val="21"/>
                <w:highlight w:val="none"/>
              </w:rPr>
              <w:t>员工总人数</w:t>
            </w:r>
          </w:p>
        </w:tc>
        <w:tc>
          <w:tcPr>
            <w:tcW w:w="2092" w:type="dxa"/>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营业执照</w:t>
            </w: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注册号码</w:t>
            </w:r>
          </w:p>
        </w:tc>
        <w:tc>
          <w:tcPr>
            <w:tcW w:w="1440" w:type="dxa"/>
            <w:gridSpan w:val="2"/>
            <w:vAlign w:val="center"/>
          </w:tcPr>
          <w:p>
            <w:pPr>
              <w:topLinePunct/>
              <w:spacing w:line="440" w:lineRule="exact"/>
              <w:jc w:val="center"/>
              <w:rPr>
                <w:rFonts w:ascii="宋体" w:hAnsi="宋体"/>
                <w:color w:val="auto"/>
                <w:szCs w:val="21"/>
                <w:highlight w:val="none"/>
              </w:rPr>
            </w:pPr>
          </w:p>
        </w:tc>
        <w:tc>
          <w:tcPr>
            <w:tcW w:w="1377" w:type="dxa"/>
            <w:gridSpan w:val="2"/>
            <w:vAlign w:val="center"/>
          </w:tcPr>
          <w:p>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注册地址</w:t>
            </w:r>
          </w:p>
        </w:tc>
        <w:tc>
          <w:tcPr>
            <w:tcW w:w="3421" w:type="dxa"/>
            <w:gridSpan w:val="2"/>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color w:val="auto"/>
                <w:szCs w:val="21"/>
                <w:highlight w:val="none"/>
              </w:rPr>
            </w:pP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1440" w:type="dxa"/>
            <w:gridSpan w:val="2"/>
            <w:vAlign w:val="center"/>
          </w:tcPr>
          <w:p>
            <w:pPr>
              <w:topLinePunct/>
              <w:spacing w:line="440" w:lineRule="exact"/>
              <w:jc w:val="center"/>
              <w:rPr>
                <w:rFonts w:ascii="宋体" w:hAnsi="宋体"/>
                <w:color w:val="auto"/>
                <w:szCs w:val="21"/>
                <w:highlight w:val="none"/>
              </w:rPr>
            </w:pPr>
          </w:p>
        </w:tc>
        <w:tc>
          <w:tcPr>
            <w:tcW w:w="1377" w:type="dxa"/>
            <w:gridSpan w:val="2"/>
            <w:vAlign w:val="center"/>
          </w:tcPr>
          <w:p>
            <w:pPr>
              <w:topLinePunct/>
              <w:spacing w:line="440" w:lineRule="exact"/>
              <w:ind w:firstLine="105" w:firstLineChars="50"/>
              <w:jc w:val="center"/>
              <w:rPr>
                <w:rFonts w:ascii="宋体" w:hAnsi="宋体"/>
                <w:color w:val="auto"/>
                <w:szCs w:val="21"/>
                <w:highlight w:val="none"/>
              </w:rPr>
            </w:pPr>
            <w:r>
              <w:rPr>
                <w:rFonts w:hint="eastAsia" w:ascii="宋体" w:hAnsi="宋体"/>
                <w:color w:val="auto"/>
                <w:szCs w:val="21"/>
                <w:highlight w:val="none"/>
              </w:rPr>
              <w:t>发证日期</w:t>
            </w:r>
          </w:p>
        </w:tc>
        <w:tc>
          <w:tcPr>
            <w:tcW w:w="3421" w:type="dxa"/>
            <w:gridSpan w:val="2"/>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color w:val="auto"/>
                <w:szCs w:val="21"/>
                <w:highlight w:val="none"/>
              </w:rPr>
            </w:pP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营业范围（主营）</w:t>
            </w:r>
          </w:p>
        </w:tc>
        <w:tc>
          <w:tcPr>
            <w:tcW w:w="6238" w:type="dxa"/>
            <w:gridSpan w:val="6"/>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spacing w:line="440" w:lineRule="exact"/>
              <w:jc w:val="center"/>
              <w:rPr>
                <w:rFonts w:ascii="宋体" w:hAnsi="宋体"/>
                <w:color w:val="auto"/>
                <w:szCs w:val="21"/>
                <w:highlight w:val="none"/>
              </w:rPr>
            </w:pPr>
          </w:p>
        </w:tc>
        <w:tc>
          <w:tcPr>
            <w:tcW w:w="2044" w:type="dxa"/>
            <w:gridSpan w:val="3"/>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营业范围（兼营）</w:t>
            </w:r>
          </w:p>
        </w:tc>
        <w:tc>
          <w:tcPr>
            <w:tcW w:w="6238" w:type="dxa"/>
            <w:gridSpan w:val="6"/>
            <w:vAlign w:val="center"/>
          </w:tcPr>
          <w:p>
            <w:pPr>
              <w:topLinePunct/>
              <w:spacing w:line="440" w:lineRule="exact"/>
              <w:ind w:firstLine="105" w:firstLineChars="50"/>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基本账户开户行及帐号</w:t>
            </w:r>
          </w:p>
        </w:tc>
        <w:tc>
          <w:tcPr>
            <w:tcW w:w="6238" w:type="dxa"/>
            <w:gridSpan w:val="6"/>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762" w:type="dxa"/>
            <w:gridSpan w:val="4"/>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资产总额（万元）</w:t>
            </w:r>
          </w:p>
        </w:tc>
        <w:tc>
          <w:tcPr>
            <w:tcW w:w="6238" w:type="dxa"/>
            <w:gridSpan w:val="6"/>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612" w:type="dxa"/>
            <w:gridSpan w:val="5"/>
            <w:vAlign w:val="center"/>
          </w:tcPr>
          <w:p>
            <w:pPr>
              <w:topLinePunct/>
              <w:spacing w:line="440" w:lineRule="exact"/>
              <w:jc w:val="center"/>
              <w:rPr>
                <w:rFonts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884" w:type="dxa"/>
            <w:gridSpan w:val="2"/>
            <w:vAlign w:val="center"/>
          </w:tcPr>
          <w:p>
            <w:pPr>
              <w:topLinePunct/>
              <w:spacing w:line="440" w:lineRule="exact"/>
              <w:jc w:val="center"/>
              <w:rPr>
                <w:rFonts w:ascii="宋体" w:hAnsi="宋体"/>
                <w:color w:val="auto"/>
                <w:szCs w:val="21"/>
                <w:highlight w:val="none"/>
              </w:rPr>
            </w:pPr>
            <w:r>
              <w:rPr>
                <w:rFonts w:ascii="宋体" w:hAnsi="宋体"/>
                <w:color w:val="auto"/>
                <w:szCs w:val="21"/>
                <w:highlight w:val="none"/>
              </w:rPr>
              <w:t>等级</w:t>
            </w:r>
          </w:p>
        </w:tc>
        <w:tc>
          <w:tcPr>
            <w:tcW w:w="1083" w:type="dxa"/>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发证机关</w:t>
            </w:r>
          </w:p>
        </w:tc>
        <w:tc>
          <w:tcPr>
            <w:tcW w:w="3421" w:type="dxa"/>
            <w:gridSpan w:val="2"/>
            <w:vAlign w:val="center"/>
          </w:tcPr>
          <w:p>
            <w:pPr>
              <w:topLinePunct/>
              <w:spacing w:line="440" w:lineRule="exact"/>
              <w:jc w:val="center"/>
              <w:rPr>
                <w:rFonts w:ascii="宋体" w:hAnsi="宋体"/>
                <w:color w:val="auto"/>
                <w:szCs w:val="21"/>
                <w:highlight w:val="none"/>
              </w:rPr>
            </w:pPr>
            <w:r>
              <w:rPr>
                <w:rFonts w:hint="eastAsia" w:ascii="宋体" w:hAnsi="宋体"/>
                <w:color w:val="auto"/>
                <w:szCs w:val="21"/>
                <w:highlight w:val="none"/>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612" w:type="dxa"/>
            <w:gridSpan w:val="5"/>
            <w:vAlign w:val="center"/>
          </w:tcPr>
          <w:p>
            <w:pPr>
              <w:topLinePunct/>
              <w:spacing w:line="440" w:lineRule="exact"/>
              <w:jc w:val="center"/>
              <w:rPr>
                <w:rFonts w:ascii="宋体" w:hAnsi="宋体"/>
                <w:color w:val="auto"/>
                <w:szCs w:val="21"/>
                <w:highlight w:val="none"/>
              </w:rPr>
            </w:pPr>
          </w:p>
        </w:tc>
        <w:tc>
          <w:tcPr>
            <w:tcW w:w="884" w:type="dxa"/>
            <w:gridSpan w:val="2"/>
            <w:vAlign w:val="center"/>
          </w:tcPr>
          <w:p>
            <w:pPr>
              <w:topLinePunct/>
              <w:spacing w:line="440" w:lineRule="exact"/>
              <w:jc w:val="center"/>
              <w:rPr>
                <w:rFonts w:ascii="宋体" w:hAnsi="宋体"/>
                <w:color w:val="auto"/>
                <w:szCs w:val="21"/>
                <w:highlight w:val="none"/>
              </w:rPr>
            </w:pPr>
          </w:p>
        </w:tc>
        <w:tc>
          <w:tcPr>
            <w:tcW w:w="1083" w:type="dxa"/>
            <w:vAlign w:val="center"/>
          </w:tcPr>
          <w:p>
            <w:pPr>
              <w:topLinePunct/>
              <w:spacing w:line="440" w:lineRule="exact"/>
              <w:jc w:val="center"/>
              <w:rPr>
                <w:rFonts w:ascii="宋体" w:hAnsi="宋体"/>
                <w:color w:val="auto"/>
                <w:szCs w:val="21"/>
                <w:highlight w:val="none"/>
              </w:rPr>
            </w:pPr>
          </w:p>
        </w:tc>
        <w:tc>
          <w:tcPr>
            <w:tcW w:w="3421" w:type="dxa"/>
            <w:gridSpan w:val="2"/>
            <w:vAlign w:val="center"/>
          </w:tcPr>
          <w:p>
            <w:pPr>
              <w:topLinePunct/>
              <w:spacing w:line="44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257" w:type="dxa"/>
            <w:gridSpan w:val="2"/>
            <w:vAlign w:val="center"/>
          </w:tcPr>
          <w:p>
            <w:pPr>
              <w:topLinePunct/>
              <w:spacing w:line="440" w:lineRule="exact"/>
              <w:jc w:val="center"/>
              <w:rPr>
                <w:rFonts w:ascii="宋体" w:hAnsi="宋体"/>
                <w:color w:val="auto"/>
                <w:szCs w:val="21"/>
                <w:highlight w:val="none"/>
              </w:rPr>
            </w:pPr>
            <w:r>
              <w:rPr>
                <w:rFonts w:ascii="宋体" w:hAnsi="宋体"/>
                <w:color w:val="auto"/>
                <w:szCs w:val="21"/>
                <w:highlight w:val="none"/>
              </w:rPr>
              <w:t>备注</w:t>
            </w:r>
          </w:p>
        </w:tc>
        <w:tc>
          <w:tcPr>
            <w:tcW w:w="7743" w:type="dxa"/>
            <w:gridSpan w:val="8"/>
            <w:vAlign w:val="center"/>
          </w:tcPr>
          <w:p>
            <w:pPr>
              <w:topLinePunct/>
              <w:spacing w:line="440" w:lineRule="exact"/>
              <w:rPr>
                <w:rFonts w:ascii="仿宋_GB2312" w:hAnsi="宋体" w:eastAsia="仿宋_GB2312"/>
                <w:color w:val="auto"/>
                <w:szCs w:val="21"/>
                <w:highlight w:val="none"/>
              </w:rPr>
            </w:pPr>
          </w:p>
        </w:tc>
      </w:tr>
    </w:tbl>
    <w:p>
      <w:pPr>
        <w:adjustRightInd w:val="0"/>
        <w:snapToGrid w:val="0"/>
        <w:spacing w:before="156" w:beforeLines="50"/>
        <w:ind w:left="630" w:hanging="630" w:hangingChars="300"/>
        <w:rPr>
          <w:rFonts w:ascii="黑体" w:hAnsi="华文中宋" w:eastAsia="黑体"/>
          <w:bCs/>
          <w:color w:val="auto"/>
          <w:szCs w:val="21"/>
          <w:highlight w:val="none"/>
        </w:rPr>
      </w:pPr>
      <w:r>
        <w:rPr>
          <w:rFonts w:hint="eastAsia" w:ascii="仿宋_GB2312" w:hAnsi="宋体" w:eastAsia="仿宋_GB2312"/>
          <w:color w:val="auto"/>
          <w:szCs w:val="21"/>
          <w:highlight w:val="none"/>
        </w:rPr>
        <w:t>说明：资质指特定条件要求提供的资质证书。</w:t>
      </w:r>
    </w:p>
    <w:p>
      <w:pPr>
        <w:adjustRightInd w:val="0"/>
        <w:spacing w:line="400" w:lineRule="exact"/>
        <w:ind w:firstLine="4042" w:firstLineChars="1925"/>
        <w:jc w:val="left"/>
        <w:rPr>
          <w:rFonts w:ascii="宋体" w:hAnsi="宋体"/>
          <w:color w:val="auto"/>
          <w:szCs w:val="21"/>
          <w:highlight w:val="none"/>
        </w:rPr>
      </w:pPr>
      <w:r>
        <w:rPr>
          <w:rFonts w:hint="eastAsia" w:ascii="宋体" w:hAnsi="宋体"/>
          <w:bCs/>
          <w:color w:val="auto"/>
          <w:szCs w:val="21"/>
          <w:highlight w:val="none"/>
        </w:rPr>
        <w:t>供应商名称：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（盖单位章）</w:t>
      </w:r>
    </w:p>
    <w:p>
      <w:pPr>
        <w:adjustRightInd w:val="0"/>
        <w:spacing w:before="156" w:beforeLines="50" w:line="400" w:lineRule="exact"/>
        <w:ind w:firstLine="4042" w:firstLineChars="1925"/>
        <w:jc w:val="left"/>
        <w:rPr>
          <w:rFonts w:ascii="宋体" w:hAnsi="宋体"/>
          <w:bCs/>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签名</w:t>
      </w:r>
      <w:r>
        <w:rPr>
          <w:rFonts w:hint="eastAsia" w:ascii="宋体" w:hAnsi="宋体"/>
          <w:color w:val="auto"/>
          <w:szCs w:val="21"/>
          <w:highlight w:val="none"/>
        </w:rPr>
        <w:t>）</w:t>
      </w:r>
      <w:r>
        <w:rPr>
          <w:rFonts w:hint="eastAsia" w:ascii="宋体" w:hAnsi="宋体"/>
          <w:bCs/>
          <w:color w:val="auto"/>
          <w:szCs w:val="21"/>
          <w:highlight w:val="none"/>
        </w:rPr>
        <w:t xml:space="preserve">       </w:t>
      </w:r>
    </w:p>
    <w:p>
      <w:pPr>
        <w:adjustRightInd w:val="0"/>
        <w:spacing w:before="156" w:beforeLines="50" w:line="400" w:lineRule="exact"/>
        <w:ind w:firstLine="367" w:firstLineChars="175"/>
        <w:jc w:val="left"/>
        <w:rPr>
          <w:rFonts w:ascii="宋体" w:hAnsi="宋体"/>
          <w:bCs/>
          <w:color w:val="auto"/>
          <w:szCs w:val="21"/>
          <w:highlight w:val="none"/>
        </w:rPr>
      </w:pPr>
      <w:r>
        <w:rPr>
          <w:rFonts w:hint="eastAsia" w:ascii="宋体" w:hAnsi="宋体"/>
          <w:bCs/>
          <w:color w:val="auto"/>
          <w:szCs w:val="21"/>
          <w:highlight w:val="none"/>
        </w:rPr>
        <w:t xml:space="preserve">                                                  日期:    年  月  日</w:t>
      </w:r>
    </w:p>
    <w:p>
      <w:pPr>
        <w:adjustRightInd w:val="0"/>
        <w:snapToGrid w:val="0"/>
        <w:spacing w:line="360" w:lineRule="auto"/>
        <w:ind w:right="420" w:firstLine="210" w:firstLineChars="100"/>
        <w:rPr>
          <w:rFonts w:ascii="仿宋_GB2312" w:hAnsi="宋体" w:eastAsia="仿宋_GB2312"/>
          <w:color w:val="auto"/>
          <w:szCs w:val="21"/>
          <w:highlight w:val="none"/>
        </w:rPr>
      </w:pPr>
    </w:p>
    <w:p>
      <w:pPr>
        <w:adjustRightInd w:val="0"/>
        <w:snapToGrid w:val="0"/>
        <w:spacing w:line="360" w:lineRule="auto"/>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二、法定代表人身份证明</w:t>
      </w:r>
    </w:p>
    <w:p>
      <w:pPr>
        <w:snapToGrid w:val="0"/>
        <w:spacing w:line="480" w:lineRule="auto"/>
        <w:rPr>
          <w:rFonts w:ascii="宋体" w:hAnsi="宋体"/>
          <w:color w:val="auto"/>
          <w:szCs w:val="21"/>
          <w:highlight w:val="none"/>
        </w:rPr>
      </w:pPr>
    </w:p>
    <w:p>
      <w:pPr>
        <w:snapToGrid w:val="0"/>
        <w:spacing w:line="480" w:lineRule="auto"/>
        <w:rPr>
          <w:rFonts w:ascii="宋体" w:hAnsi="宋体"/>
          <w:color w:val="auto"/>
          <w:szCs w:val="21"/>
          <w:highlight w:val="none"/>
        </w:rPr>
      </w:pP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供应商</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统一社会信用代码：</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职务：</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（供应商名称）的法定代表人。</w:t>
      </w:r>
    </w:p>
    <w:p>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before="156" w:beforeLines="50" w:line="360" w:lineRule="auto"/>
        <w:jc w:val="left"/>
        <w:rPr>
          <w:rFonts w:ascii="宋体" w:hAnsi="宋体"/>
          <w:color w:val="auto"/>
          <w:szCs w:val="21"/>
          <w:highlight w:val="none"/>
        </w:rPr>
      </w:pPr>
    </w:p>
    <w:p>
      <w:pPr>
        <w:autoSpaceDE w:val="0"/>
        <w:autoSpaceDN w:val="0"/>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olor w:val="auto"/>
          <w:szCs w:val="21"/>
          <w:highlight w:val="none"/>
        </w:rPr>
        <w:t>附：法定代表人身份证复印件</w:t>
      </w:r>
    </w:p>
    <w:p>
      <w:pPr>
        <w:snapToGrid w:val="0"/>
        <w:spacing w:line="480" w:lineRule="auto"/>
        <w:rPr>
          <w:rFonts w:ascii="宋体" w:hAnsi="宋体"/>
          <w:color w:val="auto"/>
          <w:szCs w:val="21"/>
          <w:highlight w:val="none"/>
        </w:rPr>
      </w:pPr>
    </w:p>
    <w:tbl>
      <w:tblPr>
        <w:tblStyle w:val="25"/>
        <w:tblpPr w:leftFromText="180" w:rightFromText="180" w:vertAnchor="text" w:horzAnchor="page" w:tblpX="2038" w:tblpY="145"/>
        <w:tblW w:w="7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3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3810" w:type="dxa"/>
            <w:vAlign w:val="center"/>
          </w:tcPr>
          <w:p>
            <w:pPr>
              <w:autoSpaceDE w:val="0"/>
              <w:autoSpaceDN w:val="0"/>
              <w:adjustRightInd w:val="0"/>
              <w:snapToGrid w:val="0"/>
              <w:spacing w:before="156" w:beforeLines="50" w:line="360" w:lineRule="auto"/>
              <w:jc w:val="center"/>
              <w:rPr>
                <w:rFonts w:ascii="宋体" w:hAnsi="宋体" w:cs="宋体"/>
                <w:color w:val="auto"/>
                <w:kern w:val="0"/>
                <w:szCs w:val="21"/>
                <w:highlight w:val="none"/>
              </w:rPr>
            </w:pPr>
            <w:r>
              <w:rPr>
                <w:rFonts w:hint="eastAsia" w:ascii="宋体" w:hAnsi="宋体"/>
                <w:color w:val="auto"/>
                <w:szCs w:val="21"/>
                <w:highlight w:val="none"/>
              </w:rPr>
              <w:t>法定代表人身份证复印件（正面）</w:t>
            </w:r>
          </w:p>
        </w:tc>
        <w:tc>
          <w:tcPr>
            <w:tcW w:w="3811" w:type="dxa"/>
            <w:vAlign w:val="center"/>
          </w:tcPr>
          <w:p>
            <w:pPr>
              <w:autoSpaceDE w:val="0"/>
              <w:autoSpaceDN w:val="0"/>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法定代表人身份证复印件（反面）</w:t>
            </w:r>
          </w:p>
        </w:tc>
      </w:tr>
    </w:tbl>
    <w:p>
      <w:pPr>
        <w:snapToGrid w:val="0"/>
        <w:spacing w:line="480" w:lineRule="auto"/>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snapToGrid w:val="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rPr>
          <w:rFonts w:ascii="宋体" w:hAnsi="宋体"/>
          <w:color w:val="auto"/>
          <w:szCs w:val="21"/>
          <w:highlight w:val="none"/>
        </w:rPr>
      </w:pPr>
    </w:p>
    <w:p>
      <w:pPr>
        <w:adjustRightInd w:val="0"/>
        <w:snapToGrid w:val="0"/>
        <w:spacing w:line="360" w:lineRule="auto"/>
        <w:ind w:right="420" w:firstLine="210" w:firstLineChars="100"/>
        <w:rPr>
          <w:rFonts w:ascii="宋体" w:hAnsi="宋体"/>
          <w:color w:val="auto"/>
          <w:szCs w:val="21"/>
          <w:highlight w:val="none"/>
        </w:rPr>
      </w:pPr>
    </w:p>
    <w:p>
      <w:pPr>
        <w:adjustRightInd w:val="0"/>
        <w:snapToGrid w:val="0"/>
        <w:spacing w:line="360" w:lineRule="auto"/>
        <w:ind w:right="420" w:firstLine="3255" w:firstLineChars="1550"/>
        <w:rPr>
          <w:rFonts w:ascii="宋体" w:hAnsi="宋体"/>
          <w:color w:val="auto"/>
          <w:szCs w:val="21"/>
          <w:highlight w:val="none"/>
        </w:rPr>
      </w:pPr>
    </w:p>
    <w:p>
      <w:pPr>
        <w:adjustRightInd w:val="0"/>
        <w:snapToGrid w:val="0"/>
        <w:spacing w:line="360" w:lineRule="auto"/>
        <w:ind w:right="420" w:firstLine="3255" w:firstLineChars="1550"/>
        <w:rPr>
          <w:rFonts w:ascii="宋体" w:hAnsi="宋体"/>
          <w:color w:val="auto"/>
          <w:szCs w:val="21"/>
          <w:highlight w:val="none"/>
        </w:rPr>
      </w:pPr>
    </w:p>
    <w:p>
      <w:pPr>
        <w:adjustRightInd w:val="0"/>
        <w:snapToGrid w:val="0"/>
        <w:spacing w:line="360" w:lineRule="auto"/>
        <w:ind w:right="420" w:firstLine="3255" w:firstLineChars="1550"/>
        <w:rPr>
          <w:rFonts w:ascii="宋体" w:hAnsi="宋体"/>
          <w:color w:val="auto"/>
          <w:szCs w:val="21"/>
          <w:highlight w:val="none"/>
        </w:rPr>
      </w:pPr>
    </w:p>
    <w:p>
      <w:pPr>
        <w:adjustRightInd w:val="0"/>
        <w:snapToGrid w:val="0"/>
        <w:spacing w:line="360" w:lineRule="auto"/>
        <w:ind w:right="420" w:firstLine="4095" w:firstLineChars="1950"/>
        <w:rPr>
          <w:rFonts w:ascii="宋体" w:hAnsi="宋体"/>
          <w:color w:val="auto"/>
          <w:szCs w:val="21"/>
          <w:highlight w:val="none"/>
        </w:rPr>
      </w:pPr>
      <w:r>
        <w:rPr>
          <w:rFonts w:hint="eastAsia" w:ascii="宋体" w:hAnsi="宋体"/>
          <w:color w:val="auto"/>
          <w:szCs w:val="21"/>
          <w:highlight w:val="none"/>
        </w:rPr>
        <w:t>供应商：</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pPr>
        <w:adjustRightInd w:val="0"/>
        <w:snapToGrid w:val="0"/>
        <w:spacing w:line="360" w:lineRule="auto"/>
        <w:ind w:right="420" w:firstLine="4830" w:firstLineChars="2300"/>
        <w:rPr>
          <w:rFonts w:ascii="宋体" w:hAnsi="宋体"/>
          <w:color w:val="auto"/>
          <w:szCs w:val="21"/>
          <w:highlight w:val="none"/>
        </w:rPr>
      </w:pPr>
    </w:p>
    <w:p>
      <w:pPr>
        <w:adjustRightInd w:val="0"/>
        <w:snapToGrid w:val="0"/>
        <w:spacing w:line="360" w:lineRule="auto"/>
        <w:ind w:right="420" w:firstLine="4777" w:firstLineChars="2275"/>
        <w:rPr>
          <w:rFonts w:ascii="宋体" w:hAnsi="宋体"/>
          <w:color w:val="auto"/>
          <w:szCs w:val="21"/>
          <w:highlight w:val="none"/>
        </w:rPr>
      </w:pPr>
      <w:r>
        <w:rPr>
          <w:rFonts w:hint="eastAsia" w:ascii="宋体" w:hAnsi="宋体"/>
          <w:color w:val="auto"/>
          <w:szCs w:val="21"/>
          <w:highlight w:val="none"/>
        </w:rPr>
        <w:t>20   年   月   日</w:t>
      </w:r>
    </w:p>
    <w:p>
      <w:pPr>
        <w:spacing w:line="400" w:lineRule="exact"/>
        <w:outlineLvl w:val="1"/>
        <w:rPr>
          <w:rFonts w:ascii="仿宋_GB2312" w:hAnsi="宋体" w:eastAsia="仿宋_GB2312"/>
          <w:b/>
          <w:color w:val="auto"/>
          <w:sz w:val="28"/>
          <w:szCs w:val="28"/>
          <w:highlight w:val="none"/>
        </w:rPr>
      </w:pPr>
    </w:p>
    <w:p>
      <w:pPr>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三、授权委托书</w:t>
      </w:r>
    </w:p>
    <w:p>
      <w:pPr>
        <w:spacing w:line="400" w:lineRule="exact"/>
        <w:ind w:firstLine="560" w:firstLineChars="200"/>
        <w:rPr>
          <w:rFonts w:ascii="仿宋_GB2312" w:hAnsi="宋体" w:eastAsia="仿宋_GB2312"/>
          <w:color w:val="auto"/>
          <w:sz w:val="28"/>
          <w:szCs w:val="28"/>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zh-CN"/>
        </w:rPr>
        <w:t>本人</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（姓名）系</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（供应商名称）的法定代表人，现委托</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（被委托人姓名）为我方代理人。代理人根据授权，以我方的名义签署、澄清确认、递交、撤回、修改</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单一来源采购响应文件、签订合同和全权处理有关事宜，</w:t>
      </w:r>
      <w:r>
        <w:rPr>
          <w:rFonts w:hint="eastAsia" w:ascii="宋体" w:hAnsi="宋体" w:cs="宋体"/>
          <w:color w:val="auto"/>
          <w:kern w:val="0"/>
          <w:szCs w:val="21"/>
          <w:highlight w:val="none"/>
        </w:rPr>
        <w:t>其法律后果由我方承担。</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lang w:val="zh-CN"/>
        </w:rPr>
        <w:t>委托期限</w:t>
      </w:r>
      <w:r>
        <w:rPr>
          <w:rFonts w:hint="eastAsia" w:ascii="宋体" w:hAnsi="宋体"/>
          <w:color w:val="auto"/>
          <w:szCs w:val="21"/>
          <w:highlight w:val="none"/>
        </w:rPr>
        <w:t xml:space="preserve">：    </w:t>
      </w:r>
      <w:r>
        <w:rPr>
          <w:rFonts w:hint="eastAsia" w:ascii="宋体" w:hAnsi="宋体"/>
          <w:color w:val="auto"/>
          <w:szCs w:val="21"/>
          <w:highlight w:val="none"/>
          <w:lang w:val="zh-CN"/>
        </w:rPr>
        <w:t>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日至</w:t>
      </w:r>
      <w:r>
        <w:rPr>
          <w:rFonts w:hint="eastAsia" w:ascii="宋体" w:hAnsi="宋体"/>
          <w:color w:val="auto"/>
          <w:szCs w:val="21"/>
          <w:highlight w:val="none"/>
        </w:rPr>
        <w:t xml:space="preserve">     </w:t>
      </w:r>
      <w:r>
        <w:rPr>
          <w:rFonts w:hint="eastAsia" w:ascii="宋体" w:hAnsi="宋体"/>
          <w:color w:val="auto"/>
          <w:szCs w:val="21"/>
          <w:highlight w:val="none"/>
          <w:lang w:val="zh-CN"/>
        </w:rPr>
        <w:t>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p>
    <w:p>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pPr>
        <w:spacing w:line="480" w:lineRule="auto"/>
        <w:ind w:firstLine="422" w:firstLineChars="200"/>
        <w:rPr>
          <w:rFonts w:ascii="宋体" w:hAnsi="宋体"/>
          <w:b/>
          <w:bCs/>
          <w:color w:val="auto"/>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lang w:val="zh-CN"/>
        </w:rPr>
        <w:t>附：法定代表人身份证复印件</w:t>
      </w:r>
      <w:r>
        <w:rPr>
          <w:rFonts w:hint="eastAsia" w:ascii="宋体" w:hAnsi="宋体"/>
          <w:color w:val="auto"/>
          <w:szCs w:val="21"/>
          <w:highlight w:val="none"/>
        </w:rPr>
        <w:t>、</w:t>
      </w:r>
      <w:r>
        <w:rPr>
          <w:rFonts w:hint="eastAsia" w:ascii="宋体" w:hAnsi="宋体"/>
          <w:color w:val="auto"/>
          <w:szCs w:val="21"/>
          <w:highlight w:val="none"/>
          <w:lang w:val="zh-CN"/>
        </w:rPr>
        <w:t>委托代理人身份证复印件</w:t>
      </w:r>
    </w:p>
    <w:tbl>
      <w:tblPr>
        <w:tblStyle w:val="24"/>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650"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u w:val="single"/>
              </w:rPr>
            </w:pPr>
            <w:r>
              <w:rPr>
                <w:rFonts w:hint="eastAsia" w:ascii="宋体" w:hAnsi="宋体"/>
                <w:color w:val="auto"/>
                <w:szCs w:val="21"/>
                <w:highlight w:val="none"/>
                <w:lang w:val="zh-CN"/>
              </w:rPr>
              <w:t>授权代表身份证复印件</w:t>
            </w:r>
          </w:p>
        </w:tc>
      </w:tr>
    </w:tbl>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2835" w:firstLineChars="1350"/>
        <w:rPr>
          <w:rFonts w:ascii="宋体" w:hAnsi="宋体"/>
          <w:color w:val="auto"/>
          <w:szCs w:val="21"/>
          <w:highlight w:val="none"/>
        </w:rPr>
      </w:pPr>
      <w:r>
        <w:rPr>
          <w:rFonts w:hint="eastAsia" w:ascii="宋体" w:hAnsi="宋体"/>
          <w:color w:val="auto"/>
          <w:szCs w:val="21"/>
          <w:highlight w:val="none"/>
        </w:rPr>
        <w:t>供  应  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（盖单位公章）        </w:t>
      </w:r>
    </w:p>
    <w:p>
      <w:pPr>
        <w:ind w:firstLine="2835" w:firstLineChars="1350"/>
        <w:rPr>
          <w:rFonts w:ascii="宋体" w:hAnsi="宋体"/>
          <w:color w:val="auto"/>
          <w:szCs w:val="21"/>
          <w:highlight w:val="none"/>
        </w:rPr>
      </w:pPr>
    </w:p>
    <w:p>
      <w:pPr>
        <w:ind w:firstLine="2835" w:firstLineChars="1350"/>
        <w:rPr>
          <w:rFonts w:ascii="宋体" w:hAnsi="宋体"/>
          <w:color w:val="auto"/>
          <w:szCs w:val="21"/>
          <w:highlight w:val="none"/>
        </w:rPr>
      </w:pPr>
      <w:r>
        <w:rPr>
          <w:rFonts w:hint="eastAsia" w:ascii="宋体" w:hAnsi="宋体"/>
          <w:color w:val="auto"/>
          <w:szCs w:val="21"/>
          <w:highlight w:val="none"/>
        </w:rPr>
        <w:t xml:space="preserve">法定代表人: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签名</w:t>
      </w:r>
      <w:r>
        <w:rPr>
          <w:rFonts w:hint="eastAsia" w:ascii="宋体" w:hAnsi="宋体"/>
          <w:color w:val="auto"/>
          <w:szCs w:val="21"/>
          <w:highlight w:val="none"/>
        </w:rPr>
        <w:t>）</w:t>
      </w:r>
    </w:p>
    <w:p>
      <w:pPr>
        <w:rPr>
          <w:rFonts w:ascii="宋体" w:hAnsi="宋体"/>
          <w:color w:val="auto"/>
          <w:szCs w:val="21"/>
          <w:highlight w:val="none"/>
        </w:rPr>
      </w:pPr>
    </w:p>
    <w:p>
      <w:pP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pPr>
        <w:rPr>
          <w:rFonts w:ascii="宋体" w:hAnsi="宋体"/>
          <w:color w:val="auto"/>
          <w:szCs w:val="21"/>
          <w:highlight w:val="none"/>
        </w:rPr>
      </w:pPr>
    </w:p>
    <w:p>
      <w:pPr>
        <w:ind w:firstLine="2835" w:firstLineChars="1350"/>
        <w:rPr>
          <w:rFonts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签名</w:t>
      </w:r>
      <w:r>
        <w:rPr>
          <w:rFonts w:hint="eastAsia" w:ascii="宋体" w:hAnsi="宋体"/>
          <w:color w:val="auto"/>
          <w:szCs w:val="21"/>
          <w:highlight w:val="none"/>
        </w:rPr>
        <w:t xml:space="preserve">）     </w:t>
      </w:r>
    </w:p>
    <w:p>
      <w:pPr>
        <w:jc w:val="left"/>
        <w:rPr>
          <w:rFonts w:ascii="宋体" w:hAnsi="宋体"/>
          <w:color w:val="auto"/>
          <w:szCs w:val="21"/>
          <w:highlight w:val="none"/>
        </w:rPr>
      </w:pPr>
    </w:p>
    <w:p>
      <w:pPr>
        <w:ind w:firstLine="2835" w:firstLineChars="1350"/>
        <w:jc w:val="left"/>
        <w:rPr>
          <w:rFonts w:ascii="宋体" w:hAnsi="宋体"/>
          <w:color w:val="auto"/>
          <w:szCs w:val="21"/>
          <w:highlight w:val="none"/>
          <w:u w:val="single"/>
        </w:rPr>
      </w:pPr>
      <w:r>
        <w:rPr>
          <w:rFonts w:hint="eastAsia" w:ascii="宋体" w:hAnsi="宋体"/>
          <w:color w:val="auto"/>
          <w:szCs w:val="21"/>
          <w:highlight w:val="none"/>
        </w:rPr>
        <w:t>身 份 证 号：</w:t>
      </w:r>
      <w:r>
        <w:rPr>
          <w:rFonts w:hint="eastAsia" w:ascii="宋体" w:hAnsi="宋体"/>
          <w:color w:val="auto"/>
          <w:szCs w:val="21"/>
          <w:highlight w:val="none"/>
          <w:u w:val="single"/>
        </w:rPr>
        <w:t xml:space="preserve">                               </w:t>
      </w:r>
    </w:p>
    <w:p>
      <w:pPr>
        <w:ind w:firstLine="420" w:firstLineChars="200"/>
        <w:rPr>
          <w:rFonts w:ascii="宋体" w:hAnsi="宋体"/>
          <w:color w:val="auto"/>
          <w:szCs w:val="21"/>
          <w:highlight w:val="none"/>
        </w:rPr>
      </w:pPr>
    </w:p>
    <w:p>
      <w:pPr>
        <w:ind w:firstLine="5145" w:firstLineChars="2450"/>
        <w:rPr>
          <w:rFonts w:ascii="仿宋_GB2312" w:eastAsia="仿宋_GB2312"/>
          <w:color w:val="auto"/>
          <w:szCs w:val="21"/>
          <w:highlight w:val="none"/>
          <w:lang w:val="zh-CN"/>
        </w:rPr>
      </w:pPr>
      <w:r>
        <w:rPr>
          <w:rFonts w:hint="eastAsia" w:ascii="宋体" w:hAnsi="宋体"/>
          <w:color w:val="auto"/>
          <w:szCs w:val="21"/>
          <w:highlight w:val="none"/>
        </w:rPr>
        <w:t xml:space="preserve">  20   年   月   日</w:t>
      </w:r>
    </w:p>
    <w:p>
      <w:pPr>
        <w:ind w:firstLine="420" w:firstLineChars="200"/>
        <w:rPr>
          <w:rFonts w:ascii="仿宋_GB2312" w:eastAsia="仿宋_GB2312"/>
          <w:color w:val="auto"/>
          <w:szCs w:val="21"/>
          <w:highlight w:val="none"/>
          <w:lang w:val="zh-CN"/>
        </w:rPr>
      </w:pPr>
    </w:p>
    <w:p>
      <w:pPr>
        <w:rPr>
          <w:rFonts w:ascii="仿宋_GB2312" w:hAnsi="楷体" w:eastAsia="仿宋_GB2312"/>
          <w:color w:val="auto"/>
          <w:szCs w:val="21"/>
          <w:highlight w:val="none"/>
          <w:lang w:val="zh-CN"/>
        </w:rPr>
      </w:pPr>
      <w:r>
        <w:rPr>
          <w:rFonts w:hint="eastAsia" w:ascii="仿宋_GB2312" w:hAnsi="楷体" w:eastAsia="仿宋_GB2312"/>
          <w:color w:val="auto"/>
          <w:szCs w:val="21"/>
          <w:highlight w:val="none"/>
          <w:lang w:val="zh-CN"/>
        </w:rPr>
        <w:t>说明：本授权委托书有效期自谈判之日起不得少于</w:t>
      </w:r>
      <w:r>
        <w:rPr>
          <w:rFonts w:hint="eastAsia" w:ascii="仿宋_GB2312" w:hAnsi="楷体" w:eastAsia="仿宋_GB2312"/>
          <w:color w:val="auto"/>
          <w:szCs w:val="21"/>
          <w:highlight w:val="none"/>
        </w:rPr>
        <w:t>90</w:t>
      </w:r>
      <w:r>
        <w:rPr>
          <w:rFonts w:hint="eastAsia" w:ascii="仿宋_GB2312" w:hAnsi="楷体" w:eastAsia="仿宋_GB2312"/>
          <w:color w:val="auto"/>
          <w:szCs w:val="21"/>
          <w:highlight w:val="none"/>
          <w:lang w:val="zh-CN"/>
        </w:rPr>
        <w:t>天，仅限委托代理人参加谈判时提供。</w:t>
      </w:r>
    </w:p>
    <w:p>
      <w:pPr>
        <w:jc w:val="center"/>
        <w:rPr>
          <w:rFonts w:ascii="黑体" w:hAnsi="宋体" w:eastAsia="黑体"/>
          <w:color w:val="auto"/>
          <w:sz w:val="36"/>
          <w:szCs w:val="36"/>
          <w:highlight w:val="none"/>
        </w:rPr>
      </w:pPr>
    </w:p>
    <w:p>
      <w:pPr>
        <w:jc w:val="center"/>
        <w:rPr>
          <w:rFonts w:ascii="黑体" w:hAnsi="宋体" w:eastAsia="黑体"/>
          <w:color w:val="auto"/>
          <w:sz w:val="36"/>
          <w:szCs w:val="36"/>
          <w:highlight w:val="none"/>
        </w:rPr>
      </w:pPr>
      <w:r>
        <w:rPr>
          <w:rFonts w:hint="eastAsia" w:ascii="黑体" w:hAnsi="宋体" w:eastAsia="黑体"/>
          <w:color w:val="auto"/>
          <w:sz w:val="36"/>
          <w:szCs w:val="36"/>
          <w:highlight w:val="none"/>
        </w:rPr>
        <w:t>四、企业法人营业执照</w:t>
      </w:r>
    </w:p>
    <w:p>
      <w:pPr>
        <w:adjustRightInd w:val="0"/>
        <w:snapToGrid w:val="0"/>
        <w:spacing w:line="360" w:lineRule="auto"/>
        <w:ind w:firstLine="420" w:firstLineChars="200"/>
        <w:rPr>
          <w:rFonts w:ascii="宋体" w:hAnsi="宋体"/>
          <w:color w:val="auto"/>
          <w:szCs w:val="21"/>
          <w:highlight w:val="none"/>
        </w:rPr>
      </w:pPr>
    </w:p>
    <w:p>
      <w:pPr>
        <w:adjustRightInd w:val="0"/>
        <w:snapToGrid w:val="0"/>
        <w:spacing w:line="360" w:lineRule="auto"/>
        <w:ind w:firstLine="420" w:firstLineChars="200"/>
        <w:rPr>
          <w:rFonts w:ascii="宋体" w:hAnsi="宋体"/>
          <w:color w:val="auto"/>
          <w:szCs w:val="21"/>
          <w:highlight w:val="none"/>
        </w:rPr>
      </w:pPr>
    </w:p>
    <w:p>
      <w:pPr>
        <w:pStyle w:val="15"/>
        <w:adjustRightInd w:val="0"/>
        <w:snapToGrid w:val="0"/>
        <w:spacing w:line="360" w:lineRule="auto"/>
        <w:ind w:firstLine="10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1.企业提供带有社会统一信用代码的营业执照；</w:t>
      </w:r>
    </w:p>
    <w:p>
      <w:pPr>
        <w:pStyle w:val="15"/>
        <w:adjustRightInd w:val="0"/>
        <w:snapToGrid w:val="0"/>
        <w:spacing w:line="360" w:lineRule="auto"/>
        <w:ind w:firstLine="105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2.事业单位或其他组织提供带有社会统一信用代码的相关证书复印件；</w:t>
      </w:r>
    </w:p>
    <w:p>
      <w:pPr>
        <w:pStyle w:val="15"/>
        <w:adjustRightInd w:val="0"/>
        <w:snapToGrid w:val="0"/>
        <w:spacing w:line="360" w:lineRule="auto"/>
        <w:ind w:firstLine="1050" w:firstLineChars="5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3.个人提供身份证复印件；</w:t>
      </w:r>
    </w:p>
    <w:p>
      <w:pPr>
        <w:pStyle w:val="15"/>
        <w:adjustRightInd w:val="0"/>
        <w:snapToGrid w:val="0"/>
        <w:spacing w:line="360" w:lineRule="auto"/>
        <w:ind w:firstLine="1050" w:firstLineChars="5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4.均为副本复印件，可直接装订、加盖供应商单位公章。</w:t>
      </w: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b/>
          <w:color w:val="auto"/>
          <w:sz w:val="36"/>
          <w:szCs w:val="36"/>
          <w:highlight w:val="none"/>
        </w:rPr>
      </w:pPr>
    </w:p>
    <w:p>
      <w:pPr>
        <w:pStyle w:val="15"/>
        <w:adjustRightInd w:val="0"/>
        <w:snapToGrid w:val="0"/>
        <w:spacing w:line="360" w:lineRule="auto"/>
        <w:jc w:val="center"/>
        <w:rPr>
          <w:rFonts w:ascii="黑体" w:hAnsi="宋体" w:eastAsia="黑体"/>
          <w:color w:val="auto"/>
          <w:sz w:val="36"/>
          <w:szCs w:val="36"/>
          <w:highlight w:val="none"/>
        </w:rPr>
      </w:pPr>
      <w:r>
        <w:rPr>
          <w:rFonts w:hint="eastAsia" w:ascii="黑体" w:eastAsia="黑体"/>
          <w:color w:val="auto"/>
          <w:sz w:val="36"/>
          <w:szCs w:val="36"/>
          <w:highlight w:val="none"/>
        </w:rPr>
        <w:t>五、财务状况及完税、缴纳社会保障资金证明材料</w:t>
      </w:r>
    </w:p>
    <w:p>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zh-CN"/>
        </w:rPr>
        <w:t>财务状况报告：2021年度或2022年度经审计的供应商财务会计报告或者近三个月内基本户开户行出具的银行资信证明；</w:t>
      </w:r>
      <w:r>
        <w:rPr>
          <w:rFonts w:hint="eastAsia" w:ascii="宋体" w:hAnsi="宋体" w:cs="宋体"/>
          <w:color w:val="auto"/>
          <w:kern w:val="0"/>
          <w:szCs w:val="21"/>
          <w:highlight w:val="none"/>
        </w:rPr>
        <w:t>财务会计报告</w:t>
      </w:r>
      <w:r>
        <w:rPr>
          <w:rFonts w:hint="eastAsia" w:hAnsi="宋体"/>
          <w:color w:val="auto"/>
          <w:highlight w:val="none"/>
        </w:rPr>
        <w:t>包括 “四表一注”即《资产负债表》《利润表》《现金流量表》《所有者权益变动表》及其附注复印件</w:t>
      </w:r>
      <w:r>
        <w:rPr>
          <w:rFonts w:hint="eastAsia" w:hAnsi="宋体"/>
          <w:color w:val="auto"/>
          <w:highlight w:val="none"/>
          <w:lang w:eastAsia="zh-CN"/>
        </w:rPr>
        <w:t>；</w:t>
      </w:r>
    </w:p>
    <w:p>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2.税收缴纳证明：提供供应商自投标前1年以来已缴纳任意时段完税凭证或税务机关开具的完税证明（任意税种）；依法免税的应提供相关文件证明；</w:t>
      </w:r>
    </w:p>
    <w:p>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社会保障资金缴纳证明：提供供应商自投标前1年以来已缴存的任意时段的社会保障资金缴存单据或社保机构开具的社会保险参保缴费情况证明；依法不需要缴纳社会保障资金的供应商应提供相关文件证明；</w:t>
      </w:r>
    </w:p>
    <w:p>
      <w:pPr>
        <w:pStyle w:val="15"/>
        <w:adjustRightInd w:val="0"/>
        <w:snapToGrid w:val="0"/>
        <w:spacing w:line="360" w:lineRule="auto"/>
        <w:ind w:firstLine="422" w:firstLineChars="200"/>
        <w:rPr>
          <w:rFonts w:hAnsi="宋体"/>
          <w:color w:val="auto"/>
          <w:highlight w:val="none"/>
        </w:rPr>
      </w:pPr>
      <w:r>
        <w:rPr>
          <w:rFonts w:hint="eastAsia" w:hAnsi="宋体"/>
          <w:b/>
          <w:bCs/>
          <w:color w:val="auto"/>
          <w:highlight w:val="none"/>
          <w:lang w:val="en-US" w:eastAsia="zh-CN"/>
        </w:rPr>
        <w:t>注</w:t>
      </w:r>
      <w:r>
        <w:rPr>
          <w:rFonts w:hint="eastAsia" w:hAnsi="宋体"/>
          <w:color w:val="auto"/>
          <w:highlight w:val="none"/>
          <w:lang w:val="en-US" w:eastAsia="zh-CN"/>
        </w:rPr>
        <w:t>：（1）</w:t>
      </w:r>
      <w:r>
        <w:rPr>
          <w:rFonts w:hint="eastAsia" w:hAnsi="宋体"/>
          <w:color w:val="auto"/>
          <w:highlight w:val="none"/>
        </w:rPr>
        <w:t>供应商成立不到1年的，提供银行开具的资信证明。</w:t>
      </w:r>
    </w:p>
    <w:p>
      <w:pPr>
        <w:pStyle w:val="15"/>
        <w:adjustRightInd w:val="0"/>
        <w:snapToGrid w:val="0"/>
        <w:spacing w:line="360" w:lineRule="auto"/>
        <w:ind w:firstLine="840" w:firstLineChars="400"/>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公益类事业单位无需提供。</w:t>
      </w:r>
    </w:p>
    <w:p>
      <w:pPr>
        <w:pStyle w:val="15"/>
        <w:adjustRightInd w:val="0"/>
        <w:snapToGrid w:val="0"/>
        <w:spacing w:line="360" w:lineRule="auto"/>
        <w:ind w:firstLine="840" w:firstLineChars="400"/>
        <w:rPr>
          <w:rFonts w:hAnsi="宋体"/>
          <w:color w:val="auto"/>
          <w:sz w:val="24"/>
          <w:szCs w:val="24"/>
          <w:highlight w:val="none"/>
        </w:rPr>
      </w:pPr>
      <w:r>
        <w:rPr>
          <w:rFonts w:hint="eastAsia" w:hAnsi="宋体"/>
          <w:color w:val="auto"/>
          <w:highlight w:val="none"/>
          <w:lang w:val="en-US" w:eastAsia="zh-CN"/>
        </w:rPr>
        <w:t>（3）</w:t>
      </w:r>
      <w:r>
        <w:rPr>
          <w:rFonts w:hint="eastAsia" w:hAnsi="宋体"/>
          <w:color w:val="auto"/>
          <w:highlight w:val="none"/>
        </w:rPr>
        <w:t>原件或复印件可直接装订，复印件加盖供应商单位公章。</w:t>
      </w:r>
    </w:p>
    <w:p>
      <w:pPr>
        <w:rPr>
          <w:rFonts w:ascii="仿宋_GB2312" w:hAnsi="宋体" w:eastAsia="仿宋_GB2312"/>
          <w:color w:val="auto"/>
          <w:sz w:val="28"/>
          <w:szCs w:val="28"/>
          <w:highlight w:val="none"/>
        </w:rPr>
      </w:pPr>
    </w:p>
    <w:p>
      <w:pPr>
        <w:widowControl/>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w:t>
      </w: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ascii="仿宋_GB2312" w:hAnsi="宋体" w:eastAsia="仿宋_GB2312"/>
          <w:color w:val="auto"/>
          <w:sz w:val="28"/>
          <w:szCs w:val="28"/>
          <w:highlight w:val="none"/>
        </w:rPr>
      </w:pPr>
    </w:p>
    <w:p>
      <w:pP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br w:type="page"/>
      </w:r>
    </w:p>
    <w:p>
      <w:pPr>
        <w:spacing w:after="120" w:afterLines="50" w:line="360" w:lineRule="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附件</w:t>
      </w:r>
      <w:r>
        <w:rPr>
          <w:rFonts w:hint="eastAsia" w:ascii="宋体" w:hAnsi="宋体" w:eastAsia="宋体" w:cs="宋体"/>
          <w:bCs/>
          <w:color w:val="auto"/>
          <w:sz w:val="28"/>
          <w:szCs w:val="28"/>
          <w:highlight w:val="none"/>
          <w:lang w:val="en-US" w:eastAsia="zh-CN"/>
        </w:rPr>
        <w:t>1</w:t>
      </w:r>
    </w:p>
    <w:p>
      <w:pPr>
        <w:spacing w:after="240" w:afterLines="100" w:line="360" w:lineRule="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28"/>
          <w:highlight w:val="none"/>
        </w:rPr>
        <w:t xml:space="preserve">             </w:t>
      </w:r>
      <w:r>
        <w:rPr>
          <w:rFonts w:hint="eastAsia" w:ascii="宋体" w:hAnsi="宋体" w:eastAsia="宋体" w:cs="宋体"/>
          <w:bCs/>
          <w:color w:val="auto"/>
          <w:sz w:val="36"/>
          <w:szCs w:val="36"/>
          <w:highlight w:val="none"/>
        </w:rPr>
        <w:t xml:space="preserve"> 提供</w:t>
      </w:r>
      <w:r>
        <w:rPr>
          <w:rFonts w:hint="eastAsia" w:ascii="宋体" w:hAnsi="宋体" w:eastAsia="宋体" w:cs="宋体"/>
          <w:bCs/>
          <w:color w:val="auto"/>
          <w:sz w:val="36"/>
          <w:szCs w:val="36"/>
          <w:highlight w:val="none"/>
          <w:lang w:eastAsia="zh-CN"/>
        </w:rPr>
        <w:t>供应商</w:t>
      </w:r>
      <w:r>
        <w:rPr>
          <w:rFonts w:hint="eastAsia" w:ascii="宋体" w:hAnsi="宋体" w:eastAsia="宋体" w:cs="宋体"/>
          <w:bCs/>
          <w:color w:val="auto"/>
          <w:sz w:val="36"/>
          <w:szCs w:val="36"/>
          <w:highlight w:val="none"/>
        </w:rPr>
        <w:t>基本存款账户开户证明</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说明：</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（1）</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在国家取消基本存款账户开户行政许可之前成立的，提供基本存款账户开户许可证复印件；</w:t>
      </w:r>
    </w:p>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     （2）</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在国家取消基本存款账户开户行政许可之后成立的，提供基本存款账户开户</w:t>
      </w:r>
      <w:r>
        <w:rPr>
          <w:rFonts w:hint="eastAsia" w:ascii="宋体" w:hAnsi="宋体" w:cs="宋体"/>
          <w:bCs/>
          <w:color w:val="auto"/>
          <w:szCs w:val="21"/>
          <w:highlight w:val="none"/>
          <w:lang w:val="en-US" w:eastAsia="zh-CN"/>
        </w:rPr>
        <w:t>行出具的</w:t>
      </w:r>
      <w:r>
        <w:rPr>
          <w:rFonts w:hint="eastAsia" w:ascii="宋体" w:hAnsi="宋体" w:eastAsia="宋体" w:cs="宋体"/>
          <w:bCs/>
          <w:color w:val="auto"/>
          <w:szCs w:val="21"/>
          <w:highlight w:val="none"/>
        </w:rPr>
        <w:t>基本存款账户信息。</w:t>
      </w:r>
    </w:p>
    <w:p>
      <w:pPr>
        <w:spacing w:line="360" w:lineRule="auto"/>
        <w:rPr>
          <w:rFonts w:hint="eastAsia" w:ascii="宋体" w:hAnsi="宋体" w:eastAsia="宋体" w:cs="宋体"/>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spacing w:line="360" w:lineRule="auto"/>
        <w:rPr>
          <w:rFonts w:hint="eastAsia" w:ascii="宋体" w:hAnsi="宋体" w:eastAsia="宋体" w:cs="宋体"/>
          <w:b/>
          <w:bCs/>
          <w:color w:val="auto"/>
          <w:szCs w:val="21"/>
          <w:highlight w:val="none"/>
        </w:rPr>
      </w:pPr>
    </w:p>
    <w:p>
      <w:pPr>
        <w:rPr>
          <w:rFonts w:ascii="仿宋_GB2312" w:hAnsi="宋体" w:eastAsia="仿宋_GB2312"/>
          <w:color w:val="auto"/>
          <w:sz w:val="28"/>
          <w:szCs w:val="28"/>
          <w:highlight w:val="none"/>
        </w:rPr>
      </w:pPr>
      <w:r>
        <w:rPr>
          <w:rFonts w:ascii="仿宋_GB2312" w:hAnsi="宋体" w:eastAsia="仿宋_GB2312"/>
          <w:color w:val="auto"/>
          <w:sz w:val="28"/>
          <w:szCs w:val="28"/>
          <w:highlight w:val="none"/>
        </w:rPr>
        <w:br w:type="page"/>
      </w:r>
    </w:p>
    <w:p>
      <w:pPr>
        <w:pStyle w:val="5"/>
        <w:ind w:firstLine="0"/>
        <w:jc w:val="center"/>
        <w:rPr>
          <w:rFonts w:hint="eastAsia" w:ascii="黑体" w:hAnsi="宋体" w:eastAsia="黑体" w:cs="Times New Roman"/>
          <w:color w:val="auto"/>
          <w:sz w:val="36"/>
          <w:szCs w:val="36"/>
          <w:highlight w:val="none"/>
        </w:rPr>
      </w:pPr>
      <w:r>
        <w:rPr>
          <w:rFonts w:hint="eastAsia" w:ascii="黑体" w:hAnsi="宋体" w:eastAsia="黑体" w:cs="Times New Roman"/>
          <w:color w:val="auto"/>
          <w:sz w:val="36"/>
          <w:szCs w:val="36"/>
          <w:highlight w:val="none"/>
        </w:rPr>
        <w:t>六</w:t>
      </w:r>
      <w:r>
        <w:rPr>
          <w:rFonts w:hint="eastAsia" w:ascii="黑体" w:hAnsi="宋体" w:eastAsia="黑体" w:cs="Times New Roman"/>
          <w:color w:val="auto"/>
          <w:sz w:val="36"/>
          <w:szCs w:val="36"/>
          <w:highlight w:val="none"/>
          <w:lang w:eastAsia="zh-CN"/>
        </w:rPr>
        <w:t>、</w:t>
      </w:r>
      <w:r>
        <w:rPr>
          <w:rFonts w:hint="eastAsia" w:ascii="黑体" w:hAnsi="宋体" w:eastAsia="黑体" w:cs="Times New Roman"/>
          <w:color w:val="auto"/>
          <w:sz w:val="36"/>
          <w:szCs w:val="36"/>
          <w:highlight w:val="none"/>
        </w:rPr>
        <w:t>提供供应商具备履行合同所必需的设备和专业技术能力的证明材料；</w:t>
      </w:r>
    </w:p>
    <w:p>
      <w:pPr>
        <w:rPr>
          <w:rFonts w:hint="eastAsia" w:ascii="黑体" w:hAnsi="宋体" w:eastAsia="黑体"/>
          <w:color w:val="auto"/>
          <w:sz w:val="36"/>
          <w:szCs w:val="36"/>
          <w:highlight w:val="none"/>
          <w:lang w:val="en-US" w:eastAsia="zh-CN"/>
        </w:rPr>
      </w:pPr>
    </w:p>
    <w:p>
      <w:pPr>
        <w:rPr>
          <w:rFonts w:hint="eastAsia" w:ascii="黑体" w:hAnsi="宋体" w:eastAsia="黑体"/>
          <w:color w:val="auto"/>
          <w:sz w:val="24"/>
          <w:szCs w:val="24"/>
          <w:highlight w:val="none"/>
          <w:lang w:val="en-US" w:eastAsia="zh-CN"/>
        </w:rPr>
      </w:pPr>
    </w:p>
    <w:p>
      <w:pPr>
        <w:rPr>
          <w:rFonts w:hint="default" w:ascii="黑体" w:hAnsi="宋体" w:eastAsia="黑体"/>
          <w:color w:val="auto"/>
          <w:sz w:val="24"/>
          <w:szCs w:val="24"/>
          <w:highlight w:val="none"/>
          <w:lang w:val="en-US" w:eastAsia="zh-CN"/>
        </w:rPr>
      </w:pPr>
      <w:r>
        <w:rPr>
          <w:rFonts w:hint="eastAsia" w:ascii="黑体" w:hAnsi="宋体" w:eastAsia="黑体"/>
          <w:color w:val="auto"/>
          <w:sz w:val="24"/>
          <w:szCs w:val="24"/>
          <w:highlight w:val="none"/>
          <w:lang w:val="en-US" w:eastAsia="zh-CN"/>
        </w:rPr>
        <w:t>格式自拟。</w:t>
      </w:r>
    </w:p>
    <w:p>
      <w:pPr>
        <w:rPr>
          <w:rFonts w:hint="eastAsia" w:ascii="黑体" w:hAnsi="宋体" w:eastAsia="黑体"/>
          <w:color w:val="auto"/>
          <w:sz w:val="36"/>
          <w:szCs w:val="36"/>
          <w:highlight w:val="none"/>
          <w:lang w:val="en-US" w:eastAsia="zh-CN"/>
        </w:rPr>
      </w:pPr>
    </w:p>
    <w:p>
      <w:pPr>
        <w:rPr>
          <w:rFonts w:hint="eastAsia" w:ascii="黑体" w:hAnsi="宋体" w:eastAsia="黑体"/>
          <w:color w:val="auto"/>
          <w:sz w:val="36"/>
          <w:szCs w:val="36"/>
          <w:highlight w:val="none"/>
          <w:lang w:val="en-US" w:eastAsia="zh-CN"/>
        </w:rPr>
      </w:pPr>
    </w:p>
    <w:p>
      <w:pPr>
        <w:rPr>
          <w:rFonts w:hint="eastAsia" w:ascii="黑体" w:hAnsi="宋体" w:eastAsia="黑体"/>
          <w:color w:val="auto"/>
          <w:sz w:val="36"/>
          <w:szCs w:val="36"/>
          <w:highlight w:val="none"/>
          <w:lang w:val="en-US" w:eastAsia="zh-CN"/>
        </w:rPr>
      </w:pPr>
      <w:r>
        <w:rPr>
          <w:rFonts w:hint="eastAsia" w:ascii="黑体" w:hAnsi="宋体" w:eastAsia="黑体"/>
          <w:color w:val="auto"/>
          <w:sz w:val="36"/>
          <w:szCs w:val="36"/>
          <w:highlight w:val="none"/>
          <w:lang w:val="en-US" w:eastAsia="zh-CN"/>
        </w:rPr>
        <w:br w:type="page"/>
      </w:r>
    </w:p>
    <w:p>
      <w:pPr>
        <w:pStyle w:val="5"/>
        <w:ind w:firstLine="0"/>
        <w:jc w:val="center"/>
        <w:rPr>
          <w:rFonts w:ascii="黑体" w:hAnsi="宋体" w:eastAsia="黑体"/>
          <w:color w:val="auto"/>
          <w:sz w:val="36"/>
          <w:szCs w:val="36"/>
          <w:highlight w:val="none"/>
        </w:rPr>
      </w:pPr>
      <w:r>
        <w:rPr>
          <w:rFonts w:hint="eastAsia" w:ascii="黑体" w:hAnsi="宋体" w:eastAsia="黑体"/>
          <w:color w:val="auto"/>
          <w:sz w:val="36"/>
          <w:szCs w:val="36"/>
          <w:highlight w:val="none"/>
          <w:lang w:val="en-US" w:eastAsia="zh-CN"/>
        </w:rPr>
        <w:t>七</w:t>
      </w:r>
      <w:r>
        <w:rPr>
          <w:rFonts w:hint="eastAsia" w:ascii="黑体" w:hAnsi="宋体" w:eastAsia="黑体"/>
          <w:color w:val="auto"/>
          <w:sz w:val="36"/>
          <w:szCs w:val="36"/>
          <w:highlight w:val="none"/>
        </w:rPr>
        <w:t>、单一来源采购响应声明书</w:t>
      </w:r>
    </w:p>
    <w:p>
      <w:pPr>
        <w:pStyle w:val="5"/>
        <w:ind w:firstLine="0"/>
        <w:jc w:val="center"/>
        <w:rPr>
          <w:rFonts w:ascii="仿宋_GB2312" w:eastAsia="仿宋_GB2312"/>
          <w:b/>
          <w:color w:val="auto"/>
          <w:sz w:val="36"/>
          <w:szCs w:val="36"/>
          <w:highlight w:val="none"/>
        </w:rPr>
      </w:pPr>
    </w:p>
    <w:p>
      <w:pPr>
        <w:pStyle w:val="5"/>
        <w:spacing w:after="156" w:afterLines="50" w:line="360" w:lineRule="auto"/>
        <w:ind w:firstLine="0"/>
        <w:rPr>
          <w:rFonts w:ascii="宋体" w:hAnsi="宋体"/>
          <w:b/>
          <w:color w:val="auto"/>
          <w:sz w:val="24"/>
          <w:szCs w:val="24"/>
          <w:highlight w:val="none"/>
        </w:rPr>
      </w:pPr>
      <w:r>
        <w:rPr>
          <w:rFonts w:hint="eastAsia" w:ascii="宋体" w:hAnsi="宋体"/>
          <w:b/>
          <w:color w:val="auto"/>
          <w:sz w:val="24"/>
          <w:szCs w:val="24"/>
          <w:highlight w:val="none"/>
          <w:lang w:eastAsia="zh-CN"/>
        </w:rPr>
        <w:t>华智建造价咨询有限公司</w:t>
      </w:r>
      <w:r>
        <w:rPr>
          <w:rFonts w:hint="eastAsia" w:ascii="宋体" w:hAnsi="宋体"/>
          <w:b/>
          <w:color w:val="auto"/>
          <w:sz w:val="24"/>
          <w:szCs w:val="24"/>
          <w:highlight w:val="none"/>
        </w:rPr>
        <w:t>：</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我方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（供应商名称），就参加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采购项目（</w:t>
      </w:r>
      <w:r>
        <w:rPr>
          <w:rFonts w:hint="eastAsia" w:ascii="宋体" w:hAnsi="宋体"/>
          <w:color w:val="auto"/>
          <w:sz w:val="24"/>
          <w:szCs w:val="24"/>
          <w:highlight w:val="none"/>
          <w:lang w:val="en-US" w:eastAsia="zh-CN"/>
        </w:rPr>
        <w:t>包号</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）（采购项目编号：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）投标事宜，在此郑重声明：</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1. 我方所提交的响应文件全部真实有效；</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2. 我方近3年来无因安全事故、质量事故、投标违规等不良记录被政府有关部门处罚或仍在处罚期限内的情形存在；</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3. 我方近3年来无违规违法经营受到责令停产(或停止经营)、吊销生产许可证（或经营许可证）、3万元以上数额罚款等行政处罚的情形存在；</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4. 我方无企业财产被查封、冻结或处于破产状态或严重亏损状态等情形存在；</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5. 我方承诺在采购活动中，保证不向采购人、采购代理机构、采购小组成员行贿；</w:t>
      </w:r>
    </w:p>
    <w:p>
      <w:pPr>
        <w:pStyle w:val="5"/>
        <w:spacing w:line="360" w:lineRule="auto"/>
        <w:ind w:firstLine="573"/>
        <w:rPr>
          <w:color w:val="auto"/>
          <w:sz w:val="24"/>
          <w:highlight w:val="none"/>
        </w:rPr>
      </w:pPr>
      <w:r>
        <w:rPr>
          <w:rFonts w:hint="eastAsia" w:ascii="宋体" w:hAnsi="宋体"/>
          <w:color w:val="auto"/>
          <w:sz w:val="24"/>
          <w:szCs w:val="24"/>
          <w:highlight w:val="none"/>
        </w:rPr>
        <w:t>6. 我方</w:t>
      </w:r>
      <w:r>
        <w:rPr>
          <w:rFonts w:hint="eastAsia"/>
          <w:color w:val="auto"/>
          <w:sz w:val="24"/>
          <w:highlight w:val="none"/>
        </w:rPr>
        <w:t>参加政府采购活动近3年内，在经营活动中没有重大违法记录；</w:t>
      </w:r>
    </w:p>
    <w:p>
      <w:pPr>
        <w:pStyle w:val="5"/>
        <w:spacing w:line="360" w:lineRule="auto"/>
        <w:ind w:firstLine="573"/>
        <w:rPr>
          <w:rFonts w:ascii="宋体" w:hAnsi="宋体"/>
          <w:color w:val="auto"/>
          <w:sz w:val="24"/>
          <w:szCs w:val="24"/>
          <w:highlight w:val="none"/>
        </w:rPr>
      </w:pPr>
      <w:r>
        <w:rPr>
          <w:rFonts w:hint="eastAsia" w:asciiTheme="majorEastAsia" w:hAnsiTheme="majorEastAsia" w:eastAsiaTheme="majorEastAsia"/>
          <w:color w:val="auto"/>
          <w:sz w:val="24"/>
          <w:highlight w:val="none"/>
        </w:rPr>
        <w:t xml:space="preserve">7. </w:t>
      </w:r>
      <w:r>
        <w:rPr>
          <w:rFonts w:hint="eastAsia"/>
          <w:color w:val="auto"/>
          <w:sz w:val="24"/>
          <w:highlight w:val="none"/>
        </w:rPr>
        <w:t>我方在谈判时未列入政府采购严重违法</w:t>
      </w:r>
      <w:r>
        <w:rPr>
          <w:rFonts w:hint="eastAsia" w:ascii="宋体" w:hAnsi="宋体" w:cs="Arial"/>
          <w:color w:val="auto"/>
          <w:sz w:val="24"/>
          <w:highlight w:val="none"/>
          <w:shd w:val="clear" w:color="auto" w:fill="FFFFFF"/>
        </w:rPr>
        <w:t>失信行为记录</w:t>
      </w:r>
      <w:r>
        <w:rPr>
          <w:rFonts w:hint="eastAsia"/>
          <w:color w:val="auto"/>
          <w:sz w:val="24"/>
          <w:highlight w:val="none"/>
        </w:rPr>
        <w:t>名单。</w:t>
      </w:r>
    </w:p>
    <w:p>
      <w:pPr>
        <w:pStyle w:val="5"/>
        <w:spacing w:line="360" w:lineRule="auto"/>
        <w:ind w:firstLine="573"/>
        <w:rPr>
          <w:rFonts w:ascii="宋体" w:hAnsi="宋体"/>
          <w:color w:val="auto"/>
          <w:sz w:val="24"/>
          <w:szCs w:val="24"/>
          <w:highlight w:val="none"/>
        </w:rPr>
      </w:pPr>
      <w:r>
        <w:rPr>
          <w:rFonts w:hint="eastAsia" w:ascii="宋体" w:hAnsi="宋体"/>
          <w:color w:val="auto"/>
          <w:sz w:val="24"/>
          <w:szCs w:val="24"/>
          <w:highlight w:val="none"/>
        </w:rPr>
        <w:t>以上声明若有违反，一经查实，我方愿意接受政府有关部门的相应处罚，并愿意承担由此带来的法律后果。</w:t>
      </w:r>
    </w:p>
    <w:p>
      <w:pPr>
        <w:pStyle w:val="5"/>
        <w:spacing w:line="360" w:lineRule="auto"/>
        <w:ind w:firstLine="570"/>
        <w:rPr>
          <w:rFonts w:ascii="宋体" w:hAnsi="宋体"/>
          <w:color w:val="auto"/>
          <w:sz w:val="24"/>
          <w:szCs w:val="24"/>
          <w:highlight w:val="none"/>
        </w:rPr>
      </w:pPr>
    </w:p>
    <w:p>
      <w:pPr>
        <w:pStyle w:val="5"/>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特此声明！</w:t>
      </w:r>
    </w:p>
    <w:p>
      <w:pPr>
        <w:pStyle w:val="5"/>
        <w:spacing w:line="360" w:lineRule="auto"/>
        <w:ind w:firstLine="570"/>
        <w:rPr>
          <w:rFonts w:ascii="宋体" w:hAnsi="宋体"/>
          <w:color w:val="auto"/>
          <w:sz w:val="24"/>
          <w:szCs w:val="24"/>
          <w:highlight w:val="none"/>
        </w:rPr>
      </w:pPr>
    </w:p>
    <w:p>
      <w:pPr>
        <w:pStyle w:val="5"/>
        <w:spacing w:line="360" w:lineRule="auto"/>
        <w:ind w:firstLine="2008" w:firstLineChars="837"/>
        <w:rPr>
          <w:rFonts w:ascii="宋体" w:hAnsi="宋体"/>
          <w:color w:val="auto"/>
          <w:sz w:val="24"/>
          <w:szCs w:val="24"/>
          <w:highlight w:val="none"/>
        </w:rPr>
      </w:pPr>
      <w:r>
        <w:rPr>
          <w:rFonts w:hint="eastAsia" w:ascii="宋体" w:hAnsi="宋体"/>
          <w:color w:val="auto"/>
          <w:sz w:val="24"/>
          <w:szCs w:val="24"/>
          <w:highlight w:val="none"/>
        </w:rPr>
        <w:t>声  明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(供应商名称、盖单位公章)</w:t>
      </w:r>
    </w:p>
    <w:p>
      <w:pPr>
        <w:pStyle w:val="5"/>
        <w:spacing w:before="156" w:beforeLines="50" w:line="360" w:lineRule="auto"/>
        <w:ind w:firstLine="2008" w:firstLineChars="837"/>
        <w:rPr>
          <w:rFonts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签名</w:t>
      </w:r>
      <w:r>
        <w:rPr>
          <w:rFonts w:hint="eastAsia" w:ascii="宋体" w:hAnsi="宋体"/>
          <w:color w:val="auto"/>
          <w:sz w:val="24"/>
          <w:szCs w:val="24"/>
          <w:highlight w:val="none"/>
        </w:rPr>
        <w:t>）</w:t>
      </w:r>
    </w:p>
    <w:p>
      <w:pPr>
        <w:pStyle w:val="5"/>
        <w:spacing w:before="312" w:beforeLines="100" w:line="360" w:lineRule="auto"/>
        <w:ind w:firstLine="3568" w:firstLineChars="1487"/>
        <w:rPr>
          <w:color w:val="auto"/>
          <w:sz w:val="24"/>
          <w:szCs w:val="24"/>
          <w:highlight w:val="none"/>
        </w:rPr>
      </w:pPr>
      <w:r>
        <w:rPr>
          <w:rFonts w:hint="eastAsia"/>
          <w:color w:val="auto"/>
          <w:sz w:val="24"/>
          <w:szCs w:val="24"/>
          <w:highlight w:val="none"/>
        </w:rPr>
        <w:t>日      期：     20   年  月  日</w:t>
      </w:r>
    </w:p>
    <w:p>
      <w:pPr>
        <w:spacing w:line="360" w:lineRule="auto"/>
        <w:ind w:firstLine="420" w:firstLineChars="200"/>
        <w:rPr>
          <w:rFonts w:ascii="仿宋_GB2312" w:hAnsi="宋体" w:eastAsia="仿宋_GB2312"/>
          <w:color w:val="auto"/>
          <w:szCs w:val="21"/>
          <w:highlight w:val="none"/>
        </w:rPr>
      </w:pPr>
    </w:p>
    <w:p>
      <w:pPr>
        <w:spacing w:line="360" w:lineRule="auto"/>
        <w:ind w:firstLine="420" w:firstLineChars="200"/>
        <w:rPr>
          <w:rFonts w:ascii="仿宋_GB2312" w:eastAsia="仿宋_GB2312"/>
          <w:color w:val="auto"/>
          <w:highlight w:val="none"/>
        </w:rPr>
      </w:pPr>
    </w:p>
    <w:p>
      <w:pPr>
        <w:spacing w:line="360" w:lineRule="auto"/>
        <w:ind w:firstLine="420" w:firstLineChars="200"/>
        <w:rPr>
          <w:rFonts w:ascii="仿宋_GB2312" w:eastAsia="仿宋_GB2312"/>
          <w:color w:val="auto"/>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r>
        <w:rPr>
          <w:rFonts w:hint="eastAsia" w:ascii="黑体" w:hAnsi="宋体" w:eastAsia="黑体"/>
          <w:color w:val="auto"/>
          <w:sz w:val="36"/>
          <w:szCs w:val="36"/>
          <w:highlight w:val="none"/>
          <w:lang w:val="en-US" w:eastAsia="zh-CN"/>
        </w:rPr>
        <w:t>八</w:t>
      </w:r>
      <w:r>
        <w:rPr>
          <w:rFonts w:hint="eastAsia" w:ascii="黑体" w:hAnsi="宋体" w:eastAsia="黑体"/>
          <w:color w:val="auto"/>
          <w:sz w:val="36"/>
          <w:szCs w:val="36"/>
          <w:highlight w:val="none"/>
        </w:rPr>
        <w:t>、供应商信用证明</w:t>
      </w:r>
    </w:p>
    <w:p>
      <w:pPr>
        <w:tabs>
          <w:tab w:val="left" w:pos="3600"/>
        </w:tabs>
        <w:adjustRightInd w:val="0"/>
        <w:snapToGrid w:val="0"/>
        <w:jc w:val="left"/>
        <w:rPr>
          <w:rFonts w:asciiTheme="minorEastAsia" w:hAnsiTheme="minorEastAsia" w:eastAsiaTheme="minorEastAsia"/>
          <w:color w:val="auto"/>
          <w:szCs w:val="21"/>
          <w:highlight w:val="none"/>
        </w:rPr>
      </w:pPr>
    </w:p>
    <w:p>
      <w:pPr>
        <w:tabs>
          <w:tab w:val="left" w:pos="3600"/>
        </w:tabs>
        <w:adjustRightInd w:val="0"/>
        <w:snapToGrid w:val="0"/>
        <w:jc w:val="left"/>
        <w:rPr>
          <w:rFonts w:asciiTheme="minorEastAsia" w:hAnsiTheme="minorEastAsia" w:eastAsiaTheme="minorEastAsia"/>
          <w:color w:val="auto"/>
          <w:szCs w:val="21"/>
          <w:highlight w:val="none"/>
        </w:rPr>
      </w:pPr>
    </w:p>
    <w:p>
      <w:pPr>
        <w:tabs>
          <w:tab w:val="left" w:pos="3600"/>
        </w:tabs>
        <w:adjustRightInd w:val="0"/>
        <w:snapToGrid w:val="0"/>
        <w:jc w:val="left"/>
        <w:rPr>
          <w:rFonts w:asciiTheme="minorEastAsia" w:hAnsiTheme="minorEastAsia" w:eastAsiaTheme="minorEastAsia"/>
          <w:color w:val="auto"/>
          <w:szCs w:val="21"/>
          <w:highlight w:val="none"/>
        </w:rPr>
      </w:pPr>
    </w:p>
    <w:p>
      <w:pPr>
        <w:tabs>
          <w:tab w:val="left" w:pos="3600"/>
        </w:tabs>
        <w:adjustRightInd w:val="0"/>
        <w:snapToGrid w:val="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1.“信用中国”网站，无列入失信被执行人、重大说收违法案件当事人名单截屏资料；</w:t>
      </w:r>
    </w:p>
    <w:p>
      <w:pPr>
        <w:tabs>
          <w:tab w:val="left" w:pos="3600"/>
        </w:tabs>
        <w:adjustRightInd w:val="0"/>
        <w:snapToGrid w:val="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2.“中国政府采购网”无列入严重违法失信行为记录名单截屏资料；</w:t>
      </w:r>
    </w:p>
    <w:p>
      <w:pPr>
        <w:tabs>
          <w:tab w:val="left" w:pos="3600"/>
        </w:tabs>
        <w:adjustRightInd w:val="0"/>
        <w:snapToGrid w:val="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3. </w:t>
      </w:r>
      <w:r>
        <w:rPr>
          <w:rFonts w:hint="eastAsia" w:ascii="宋体" w:hAnsi="宋体"/>
          <w:color w:val="auto"/>
          <w:szCs w:val="21"/>
          <w:highlight w:val="none"/>
        </w:rPr>
        <w:t>供应商自行查询，提供加盖公章的复印件信用截图</w:t>
      </w:r>
      <w:r>
        <w:rPr>
          <w:rFonts w:hint="eastAsia" w:asciiTheme="minorEastAsia" w:hAnsiTheme="minorEastAsia" w:eastAsiaTheme="minorEastAsia"/>
          <w:color w:val="auto"/>
          <w:szCs w:val="21"/>
          <w:highlight w:val="none"/>
        </w:rPr>
        <w:t>。</w:t>
      </w: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tabs>
          <w:tab w:val="left" w:pos="3600"/>
        </w:tabs>
        <w:adjustRightInd w:val="0"/>
        <w:snapToGrid w:val="0"/>
        <w:jc w:val="center"/>
        <w:rPr>
          <w:rFonts w:ascii="黑体" w:hAnsi="宋体" w:eastAsia="黑体"/>
          <w:color w:val="auto"/>
          <w:sz w:val="36"/>
          <w:szCs w:val="36"/>
          <w:highlight w:val="none"/>
        </w:rPr>
      </w:pPr>
    </w:p>
    <w:p>
      <w:pPr>
        <w:rPr>
          <w:rFonts w:hint="eastAsia" w:ascii="黑体" w:hAnsi="宋体" w:eastAsia="黑体"/>
          <w:color w:val="auto"/>
          <w:sz w:val="36"/>
          <w:szCs w:val="36"/>
          <w:highlight w:val="none"/>
          <w:lang w:val="en-US" w:eastAsia="zh-CN"/>
        </w:rPr>
      </w:pPr>
      <w:r>
        <w:rPr>
          <w:rFonts w:hint="eastAsia" w:ascii="黑体" w:hAnsi="宋体" w:eastAsia="黑体"/>
          <w:color w:val="auto"/>
          <w:sz w:val="36"/>
          <w:szCs w:val="36"/>
          <w:highlight w:val="none"/>
          <w:lang w:val="en-US" w:eastAsia="zh-CN"/>
        </w:rPr>
        <w:br w:type="page"/>
      </w:r>
    </w:p>
    <w:p>
      <w:pPr>
        <w:pStyle w:val="15"/>
        <w:adjustRightInd w:val="0"/>
        <w:snapToGrid w:val="0"/>
        <w:spacing w:line="360" w:lineRule="auto"/>
        <w:jc w:val="center"/>
        <w:rPr>
          <w:rFonts w:hint="default" w:ascii="黑体" w:hAnsi="宋体" w:eastAsia="黑体" w:cs="Times New Roman"/>
          <w:color w:val="auto"/>
          <w:sz w:val="36"/>
          <w:szCs w:val="36"/>
          <w:highlight w:val="none"/>
          <w:lang w:val="en-US" w:eastAsia="zh-CN"/>
        </w:rPr>
      </w:pPr>
      <w:r>
        <w:rPr>
          <w:rFonts w:hint="eastAsia" w:ascii="黑体" w:hAnsi="宋体" w:eastAsia="黑体"/>
          <w:color w:val="auto"/>
          <w:sz w:val="36"/>
          <w:szCs w:val="36"/>
          <w:highlight w:val="none"/>
          <w:lang w:val="en-US" w:eastAsia="zh-CN"/>
        </w:rPr>
        <w:t>九</w:t>
      </w:r>
      <w:r>
        <w:rPr>
          <w:rFonts w:hint="eastAsia" w:ascii="黑体" w:hAnsi="宋体" w:eastAsia="黑体"/>
          <w:color w:val="auto"/>
          <w:sz w:val="36"/>
          <w:szCs w:val="36"/>
          <w:highlight w:val="none"/>
        </w:rPr>
        <w:t>、</w:t>
      </w:r>
      <w:r>
        <w:rPr>
          <w:rFonts w:hint="eastAsia" w:ascii="黑体" w:hAnsi="宋体" w:eastAsia="黑体" w:cs="Times New Roman"/>
          <w:color w:val="auto"/>
          <w:sz w:val="36"/>
          <w:szCs w:val="36"/>
          <w:highlight w:val="none"/>
          <w:lang w:val="en-US" w:eastAsia="zh-CN"/>
        </w:rPr>
        <w:t>其它</w:t>
      </w:r>
    </w:p>
    <w:p>
      <w:pPr>
        <w:pStyle w:val="15"/>
        <w:adjustRightInd w:val="0"/>
        <w:snapToGrid w:val="0"/>
        <w:spacing w:line="360" w:lineRule="auto"/>
        <w:jc w:val="center"/>
        <w:rPr>
          <w:rFonts w:hint="default" w:ascii="黑体" w:hAnsi="宋体" w:eastAsia="黑体" w:cs="Times New Roman"/>
          <w:color w:val="auto"/>
          <w:sz w:val="28"/>
          <w:szCs w:val="28"/>
          <w:highlight w:val="none"/>
          <w:lang w:val="en-US" w:eastAsia="zh-CN"/>
        </w:rPr>
      </w:pPr>
      <w:r>
        <w:rPr>
          <w:rFonts w:hint="eastAsia" w:ascii="黑体" w:hAnsi="宋体" w:eastAsia="黑体" w:cs="Times New Roman"/>
          <w:color w:val="auto"/>
          <w:sz w:val="28"/>
          <w:szCs w:val="28"/>
          <w:highlight w:val="none"/>
          <w:lang w:val="en-US" w:eastAsia="zh-CN"/>
        </w:rPr>
        <w:t>根据资格要求需要补充的资料</w:t>
      </w:r>
    </w:p>
    <w:bookmarkEnd w:id="93"/>
    <w:sectPr>
      <w:pgSz w:w="11907" w:h="16840"/>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im Sun">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font>
  <w:font w:name="Arial Narrow">
    <w:panose1 w:val="020B0606020202030204"/>
    <w:charset w:val="00"/>
    <w:family w:val="auto"/>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exact"/>
      <w:ind w:right="357"/>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pPr>
      <w:pStyle w:val="18"/>
      <w:pBdr>
        <w:bottom w:val="single" w:color="auto" w:sz="6" w:space="1"/>
      </w:pBdr>
      <w:ind w:right="360"/>
      <w:rPr>
        <w:kern w:val="0"/>
        <w:szCs w:val="21"/>
      </w:rPr>
    </w:pPr>
  </w:p>
  <w:p>
    <w:pPr>
      <w:pStyle w:val="18"/>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w:t>
    </w:r>
  </w:p>
  <w:p>
    <w:pPr>
      <w:pStyle w:val="18"/>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240" w:lineRule="exact"/>
      <w:ind w:right="35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kern w:val="0"/>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72B82"/>
    <w:multiLevelType w:val="singleLevel"/>
    <w:tmpl w:val="87372B82"/>
    <w:lvl w:ilvl="0" w:tentative="0">
      <w:start w:val="2"/>
      <w:numFmt w:val="decimal"/>
      <w:lvlText w:val="%1."/>
      <w:lvlJc w:val="left"/>
      <w:pPr>
        <w:tabs>
          <w:tab w:val="left" w:pos="312"/>
        </w:tabs>
      </w:pPr>
    </w:lvl>
  </w:abstractNum>
  <w:abstractNum w:abstractNumId="1">
    <w:nsid w:val="A8FC245C"/>
    <w:multiLevelType w:val="singleLevel"/>
    <w:tmpl w:val="A8FC245C"/>
    <w:lvl w:ilvl="0" w:tentative="0">
      <w:start w:val="1"/>
      <w:numFmt w:val="decimalEnclosedCircleChinese"/>
      <w:suff w:val="nothing"/>
      <w:lvlText w:val="%1　"/>
      <w:lvlJc w:val="left"/>
      <w:pPr>
        <w:ind w:left="0" w:firstLine="400"/>
      </w:pPr>
      <w:rPr>
        <w:rFonts w:hint="eastAsia"/>
      </w:rPr>
    </w:lvl>
  </w:abstractNum>
  <w:abstractNum w:abstractNumId="2">
    <w:nsid w:val="C4B60069"/>
    <w:multiLevelType w:val="singleLevel"/>
    <w:tmpl w:val="C4B60069"/>
    <w:lvl w:ilvl="0" w:tentative="0">
      <w:start w:val="1"/>
      <w:numFmt w:val="decimalEnclosedCircleChinese"/>
      <w:suff w:val="nothing"/>
      <w:lvlText w:val="%1　"/>
      <w:lvlJc w:val="left"/>
      <w:pPr>
        <w:ind w:left="0" w:firstLine="400"/>
      </w:pPr>
      <w:rPr>
        <w:rFonts w:hint="eastAsia"/>
      </w:rPr>
    </w:lvl>
  </w:abstractNum>
  <w:abstractNum w:abstractNumId="3">
    <w:nsid w:val="CEDB9810"/>
    <w:multiLevelType w:val="singleLevel"/>
    <w:tmpl w:val="CEDB9810"/>
    <w:lvl w:ilvl="0" w:tentative="0">
      <w:start w:val="1"/>
      <w:numFmt w:val="decimal"/>
      <w:suff w:val="nothing"/>
      <w:lvlText w:val="%1、"/>
      <w:lvlJc w:val="left"/>
    </w:lvl>
  </w:abstractNum>
  <w:abstractNum w:abstractNumId="4">
    <w:nsid w:val="E08CC4C3"/>
    <w:multiLevelType w:val="singleLevel"/>
    <w:tmpl w:val="E08CC4C3"/>
    <w:lvl w:ilvl="0" w:tentative="0">
      <w:start w:val="1"/>
      <w:numFmt w:val="decimalEnclosedCircleChinese"/>
      <w:suff w:val="nothing"/>
      <w:lvlText w:val="%1　"/>
      <w:lvlJc w:val="left"/>
      <w:pPr>
        <w:ind w:left="0" w:firstLine="400"/>
      </w:pPr>
      <w:rPr>
        <w:rFonts w:hint="eastAsia"/>
      </w:rPr>
    </w:lvl>
  </w:abstractNum>
  <w:abstractNum w:abstractNumId="5">
    <w:nsid w:val="009323A3"/>
    <w:multiLevelType w:val="singleLevel"/>
    <w:tmpl w:val="009323A3"/>
    <w:lvl w:ilvl="0" w:tentative="0">
      <w:start w:val="1"/>
      <w:numFmt w:val="decimalEnclosedCircleChinese"/>
      <w:suff w:val="nothing"/>
      <w:lvlText w:val="%1　"/>
      <w:lvlJc w:val="left"/>
      <w:pPr>
        <w:ind w:left="0" w:firstLine="400"/>
      </w:pPr>
      <w:rPr>
        <w:rFonts w:hint="eastAsia"/>
      </w:rPr>
    </w:lvl>
  </w:abstractNum>
  <w:abstractNum w:abstractNumId="6">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7">
    <w:nsid w:val="358642AB"/>
    <w:multiLevelType w:val="singleLevel"/>
    <w:tmpl w:val="358642AB"/>
    <w:lvl w:ilvl="0" w:tentative="0">
      <w:start w:val="1"/>
      <w:numFmt w:val="decimalEnclosedCircleChinese"/>
      <w:suff w:val="nothing"/>
      <w:lvlText w:val="%1　"/>
      <w:lvlJc w:val="left"/>
      <w:pPr>
        <w:ind w:left="0" w:firstLine="400"/>
      </w:pPr>
      <w:rPr>
        <w:rFonts w:hint="eastAsia"/>
      </w:rPr>
    </w:lvl>
  </w:abstractNum>
  <w:abstractNum w:abstractNumId="8">
    <w:nsid w:val="55241721"/>
    <w:multiLevelType w:val="singleLevel"/>
    <w:tmpl w:val="55241721"/>
    <w:lvl w:ilvl="0" w:tentative="0">
      <w:start w:val="1"/>
      <w:numFmt w:val="decimalEnclosedCircleChinese"/>
      <w:suff w:val="nothing"/>
      <w:lvlText w:val="%1　"/>
      <w:lvlJc w:val="left"/>
      <w:pPr>
        <w:ind w:left="0" w:firstLine="400"/>
      </w:pPr>
      <w:rPr>
        <w:rFonts w:hint="eastAsia"/>
      </w:rPr>
    </w:lvl>
  </w:abstractNum>
  <w:abstractNum w:abstractNumId="9">
    <w:nsid w:val="5740DFA6"/>
    <w:multiLevelType w:val="singleLevel"/>
    <w:tmpl w:val="5740DFA6"/>
    <w:lvl w:ilvl="0" w:tentative="0">
      <w:start w:val="1"/>
      <w:numFmt w:val="decimalEnclosedCircleChinese"/>
      <w:suff w:val="nothing"/>
      <w:lvlText w:val="%1　"/>
      <w:lvlJc w:val="left"/>
      <w:pPr>
        <w:ind w:left="0" w:firstLine="400"/>
      </w:pPr>
      <w:rPr>
        <w:rFonts w:hint="eastAsia"/>
      </w:rPr>
    </w:lvl>
  </w:abstractNum>
  <w:abstractNum w:abstractNumId="10">
    <w:nsid w:val="6481495E"/>
    <w:multiLevelType w:val="singleLevel"/>
    <w:tmpl w:val="6481495E"/>
    <w:lvl w:ilvl="0" w:tentative="0">
      <w:start w:val="1"/>
      <w:numFmt w:val="decimalEnclosedCircleChinese"/>
      <w:suff w:val="nothing"/>
      <w:lvlText w:val="%1　"/>
      <w:lvlJc w:val="left"/>
      <w:pPr>
        <w:ind w:left="0" w:firstLine="400"/>
      </w:pPr>
      <w:rPr>
        <w:rFonts w:hint="eastAsia"/>
      </w:rPr>
    </w:lvl>
  </w:abstractNum>
  <w:abstractNum w:abstractNumId="11">
    <w:nsid w:val="712CCB1D"/>
    <w:multiLevelType w:val="singleLevel"/>
    <w:tmpl w:val="712CCB1D"/>
    <w:lvl w:ilvl="0" w:tentative="0">
      <w:start w:val="1"/>
      <w:numFmt w:val="decimalEnclosedCircleChinese"/>
      <w:suff w:val="nothing"/>
      <w:lvlText w:val="%1　"/>
      <w:lvlJc w:val="left"/>
      <w:pPr>
        <w:ind w:left="0" w:firstLine="400"/>
      </w:pPr>
      <w:rPr>
        <w:rFonts w:hint="eastAsia"/>
      </w:rPr>
    </w:lvl>
  </w:abstractNum>
  <w:abstractNum w:abstractNumId="12">
    <w:nsid w:val="7C8B55A1"/>
    <w:multiLevelType w:val="singleLevel"/>
    <w:tmpl w:val="7C8B55A1"/>
    <w:lvl w:ilvl="0" w:tentative="0">
      <w:start w:val="1"/>
      <w:numFmt w:val="decimalEnclosedCircleChinese"/>
      <w:suff w:val="nothing"/>
      <w:lvlText w:val="%1　"/>
      <w:lvlJc w:val="left"/>
      <w:pPr>
        <w:ind w:left="0" w:firstLine="400"/>
      </w:pPr>
      <w:rPr>
        <w:rFonts w:hint="eastAsia"/>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9"/>
  </w:num>
  <w:num w:numId="6">
    <w:abstractNumId w:val="8"/>
  </w:num>
  <w:num w:numId="7">
    <w:abstractNumId w:val="12"/>
  </w:num>
  <w:num w:numId="8">
    <w:abstractNumId w:val="5"/>
  </w:num>
  <w:num w:numId="9">
    <w:abstractNumId w:val="11"/>
  </w:num>
  <w:num w:numId="10">
    <w:abstractNumId w:val="2"/>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lYzE2MGRkZTg5M2E0ZWFlZjY3ZjYzOGM1Yzk5Y2EifQ=="/>
  </w:docVars>
  <w:rsids>
    <w:rsidRoot w:val="00E07E8D"/>
    <w:rsid w:val="000006BC"/>
    <w:rsid w:val="000022B9"/>
    <w:rsid w:val="00002731"/>
    <w:rsid w:val="0000276D"/>
    <w:rsid w:val="00002821"/>
    <w:rsid w:val="00002860"/>
    <w:rsid w:val="00002F7A"/>
    <w:rsid w:val="00003C7F"/>
    <w:rsid w:val="00003D7F"/>
    <w:rsid w:val="000041F5"/>
    <w:rsid w:val="00005385"/>
    <w:rsid w:val="00005492"/>
    <w:rsid w:val="00007D47"/>
    <w:rsid w:val="00010F17"/>
    <w:rsid w:val="000112F4"/>
    <w:rsid w:val="0001236F"/>
    <w:rsid w:val="00013744"/>
    <w:rsid w:val="0001448D"/>
    <w:rsid w:val="0001623F"/>
    <w:rsid w:val="00016B35"/>
    <w:rsid w:val="00016C29"/>
    <w:rsid w:val="000175F2"/>
    <w:rsid w:val="00017849"/>
    <w:rsid w:val="00017F51"/>
    <w:rsid w:val="000200BB"/>
    <w:rsid w:val="00022627"/>
    <w:rsid w:val="0002333B"/>
    <w:rsid w:val="0002418E"/>
    <w:rsid w:val="000247F9"/>
    <w:rsid w:val="00025A0E"/>
    <w:rsid w:val="00025C41"/>
    <w:rsid w:val="000261A3"/>
    <w:rsid w:val="00026B21"/>
    <w:rsid w:val="0003048D"/>
    <w:rsid w:val="000309FB"/>
    <w:rsid w:val="0003181B"/>
    <w:rsid w:val="00031D37"/>
    <w:rsid w:val="00031D3B"/>
    <w:rsid w:val="00032FB2"/>
    <w:rsid w:val="000342F8"/>
    <w:rsid w:val="000349A2"/>
    <w:rsid w:val="00035FC8"/>
    <w:rsid w:val="00036BD5"/>
    <w:rsid w:val="00036C69"/>
    <w:rsid w:val="00037195"/>
    <w:rsid w:val="00040272"/>
    <w:rsid w:val="0004048D"/>
    <w:rsid w:val="0004115D"/>
    <w:rsid w:val="000420AB"/>
    <w:rsid w:val="000433B9"/>
    <w:rsid w:val="000443F3"/>
    <w:rsid w:val="00044D85"/>
    <w:rsid w:val="0004577D"/>
    <w:rsid w:val="00046582"/>
    <w:rsid w:val="000465F6"/>
    <w:rsid w:val="000501D5"/>
    <w:rsid w:val="00050BC1"/>
    <w:rsid w:val="00051EB8"/>
    <w:rsid w:val="00051F08"/>
    <w:rsid w:val="00051F6F"/>
    <w:rsid w:val="00052F51"/>
    <w:rsid w:val="00052FFD"/>
    <w:rsid w:val="00053172"/>
    <w:rsid w:val="00053B3D"/>
    <w:rsid w:val="000544AB"/>
    <w:rsid w:val="00054888"/>
    <w:rsid w:val="000558FB"/>
    <w:rsid w:val="000561CD"/>
    <w:rsid w:val="00056FC5"/>
    <w:rsid w:val="000577E6"/>
    <w:rsid w:val="000578D3"/>
    <w:rsid w:val="00060B4C"/>
    <w:rsid w:val="0006207C"/>
    <w:rsid w:val="000626E1"/>
    <w:rsid w:val="0006332A"/>
    <w:rsid w:val="00063CD5"/>
    <w:rsid w:val="00065C33"/>
    <w:rsid w:val="0006604A"/>
    <w:rsid w:val="000668A3"/>
    <w:rsid w:val="0006703E"/>
    <w:rsid w:val="00070033"/>
    <w:rsid w:val="00070763"/>
    <w:rsid w:val="00070D7C"/>
    <w:rsid w:val="0007142D"/>
    <w:rsid w:val="000715A5"/>
    <w:rsid w:val="00071701"/>
    <w:rsid w:val="0007190E"/>
    <w:rsid w:val="00072537"/>
    <w:rsid w:val="00072590"/>
    <w:rsid w:val="000727D1"/>
    <w:rsid w:val="00072FDD"/>
    <w:rsid w:val="000731E2"/>
    <w:rsid w:val="000733C7"/>
    <w:rsid w:val="00073A54"/>
    <w:rsid w:val="00075104"/>
    <w:rsid w:val="00075E0B"/>
    <w:rsid w:val="00076569"/>
    <w:rsid w:val="00077254"/>
    <w:rsid w:val="0007760B"/>
    <w:rsid w:val="00077933"/>
    <w:rsid w:val="000779F1"/>
    <w:rsid w:val="00077D09"/>
    <w:rsid w:val="00080440"/>
    <w:rsid w:val="0008086F"/>
    <w:rsid w:val="00081035"/>
    <w:rsid w:val="000825C8"/>
    <w:rsid w:val="0008287C"/>
    <w:rsid w:val="000837F0"/>
    <w:rsid w:val="00085EA0"/>
    <w:rsid w:val="00086728"/>
    <w:rsid w:val="000868AC"/>
    <w:rsid w:val="00086AD8"/>
    <w:rsid w:val="00087280"/>
    <w:rsid w:val="00087B42"/>
    <w:rsid w:val="00087F31"/>
    <w:rsid w:val="0009005B"/>
    <w:rsid w:val="000905D5"/>
    <w:rsid w:val="00090CA3"/>
    <w:rsid w:val="00091119"/>
    <w:rsid w:val="00091F68"/>
    <w:rsid w:val="00092075"/>
    <w:rsid w:val="00093E47"/>
    <w:rsid w:val="000945C6"/>
    <w:rsid w:val="0009485F"/>
    <w:rsid w:val="00094B9D"/>
    <w:rsid w:val="00095192"/>
    <w:rsid w:val="00095796"/>
    <w:rsid w:val="00095EC0"/>
    <w:rsid w:val="00096778"/>
    <w:rsid w:val="00096C98"/>
    <w:rsid w:val="00096E8E"/>
    <w:rsid w:val="00096FBE"/>
    <w:rsid w:val="0009711C"/>
    <w:rsid w:val="00097288"/>
    <w:rsid w:val="00097367"/>
    <w:rsid w:val="00097B28"/>
    <w:rsid w:val="000A01F0"/>
    <w:rsid w:val="000A098B"/>
    <w:rsid w:val="000A3022"/>
    <w:rsid w:val="000A3CF2"/>
    <w:rsid w:val="000A3D69"/>
    <w:rsid w:val="000A3E8A"/>
    <w:rsid w:val="000A403F"/>
    <w:rsid w:val="000A45DB"/>
    <w:rsid w:val="000A646C"/>
    <w:rsid w:val="000A6CAA"/>
    <w:rsid w:val="000B0B6E"/>
    <w:rsid w:val="000B0E51"/>
    <w:rsid w:val="000B12AF"/>
    <w:rsid w:val="000B2517"/>
    <w:rsid w:val="000B27F3"/>
    <w:rsid w:val="000B3430"/>
    <w:rsid w:val="000B3E77"/>
    <w:rsid w:val="000B5F7E"/>
    <w:rsid w:val="000C0130"/>
    <w:rsid w:val="000C03C2"/>
    <w:rsid w:val="000C18DA"/>
    <w:rsid w:val="000C1A60"/>
    <w:rsid w:val="000C31D9"/>
    <w:rsid w:val="000C45B5"/>
    <w:rsid w:val="000C463A"/>
    <w:rsid w:val="000C5B36"/>
    <w:rsid w:val="000C5FEF"/>
    <w:rsid w:val="000C6149"/>
    <w:rsid w:val="000C6174"/>
    <w:rsid w:val="000C6BD2"/>
    <w:rsid w:val="000C6D58"/>
    <w:rsid w:val="000D06C7"/>
    <w:rsid w:val="000D09C2"/>
    <w:rsid w:val="000D0A4B"/>
    <w:rsid w:val="000D0AC8"/>
    <w:rsid w:val="000D0E73"/>
    <w:rsid w:val="000D11D7"/>
    <w:rsid w:val="000D14D4"/>
    <w:rsid w:val="000D211D"/>
    <w:rsid w:val="000D216A"/>
    <w:rsid w:val="000D2F26"/>
    <w:rsid w:val="000D38E9"/>
    <w:rsid w:val="000D3EB8"/>
    <w:rsid w:val="000D4862"/>
    <w:rsid w:val="000D48DB"/>
    <w:rsid w:val="000D49E9"/>
    <w:rsid w:val="000D4C2D"/>
    <w:rsid w:val="000D4E6D"/>
    <w:rsid w:val="000D5FC0"/>
    <w:rsid w:val="000D614C"/>
    <w:rsid w:val="000D769C"/>
    <w:rsid w:val="000D7A6E"/>
    <w:rsid w:val="000D7EFB"/>
    <w:rsid w:val="000E000E"/>
    <w:rsid w:val="000E2690"/>
    <w:rsid w:val="000E391E"/>
    <w:rsid w:val="000E45DD"/>
    <w:rsid w:val="000E4FFE"/>
    <w:rsid w:val="000E62FD"/>
    <w:rsid w:val="000E65DB"/>
    <w:rsid w:val="000E66A1"/>
    <w:rsid w:val="000E7856"/>
    <w:rsid w:val="000E793B"/>
    <w:rsid w:val="000E7DDB"/>
    <w:rsid w:val="000F00AD"/>
    <w:rsid w:val="000F099F"/>
    <w:rsid w:val="000F1020"/>
    <w:rsid w:val="000F13C1"/>
    <w:rsid w:val="000F1761"/>
    <w:rsid w:val="000F193D"/>
    <w:rsid w:val="000F1B02"/>
    <w:rsid w:val="000F1FD4"/>
    <w:rsid w:val="000F2C30"/>
    <w:rsid w:val="000F2E35"/>
    <w:rsid w:val="000F2FCF"/>
    <w:rsid w:val="000F3AFE"/>
    <w:rsid w:val="000F3E34"/>
    <w:rsid w:val="000F43DA"/>
    <w:rsid w:val="000F5C58"/>
    <w:rsid w:val="000F6F99"/>
    <w:rsid w:val="000F7174"/>
    <w:rsid w:val="000F733B"/>
    <w:rsid w:val="000F7EF6"/>
    <w:rsid w:val="0010099C"/>
    <w:rsid w:val="00100FA4"/>
    <w:rsid w:val="00101A1D"/>
    <w:rsid w:val="00101DBA"/>
    <w:rsid w:val="00101F4A"/>
    <w:rsid w:val="001024D2"/>
    <w:rsid w:val="00102BC2"/>
    <w:rsid w:val="0010303F"/>
    <w:rsid w:val="00103681"/>
    <w:rsid w:val="00104D09"/>
    <w:rsid w:val="00104DCA"/>
    <w:rsid w:val="001059AB"/>
    <w:rsid w:val="001062FE"/>
    <w:rsid w:val="00107250"/>
    <w:rsid w:val="001101E6"/>
    <w:rsid w:val="001102CC"/>
    <w:rsid w:val="001106FF"/>
    <w:rsid w:val="001108D9"/>
    <w:rsid w:val="00110D6A"/>
    <w:rsid w:val="001111A8"/>
    <w:rsid w:val="0011134C"/>
    <w:rsid w:val="00111706"/>
    <w:rsid w:val="0011178F"/>
    <w:rsid w:val="00112CEE"/>
    <w:rsid w:val="001132D2"/>
    <w:rsid w:val="00113423"/>
    <w:rsid w:val="00113F51"/>
    <w:rsid w:val="0011531B"/>
    <w:rsid w:val="00115838"/>
    <w:rsid w:val="00115AE4"/>
    <w:rsid w:val="00116653"/>
    <w:rsid w:val="00116CE8"/>
    <w:rsid w:val="00116FE0"/>
    <w:rsid w:val="001174C6"/>
    <w:rsid w:val="00120252"/>
    <w:rsid w:val="00120A54"/>
    <w:rsid w:val="00120BA6"/>
    <w:rsid w:val="001215FD"/>
    <w:rsid w:val="001220CA"/>
    <w:rsid w:val="00122507"/>
    <w:rsid w:val="0012286F"/>
    <w:rsid w:val="00122CA1"/>
    <w:rsid w:val="00123532"/>
    <w:rsid w:val="00123B12"/>
    <w:rsid w:val="00125695"/>
    <w:rsid w:val="00125C2F"/>
    <w:rsid w:val="00126512"/>
    <w:rsid w:val="00126766"/>
    <w:rsid w:val="001267D4"/>
    <w:rsid w:val="001278F8"/>
    <w:rsid w:val="0013012F"/>
    <w:rsid w:val="00130CFE"/>
    <w:rsid w:val="00131051"/>
    <w:rsid w:val="001317B6"/>
    <w:rsid w:val="00133065"/>
    <w:rsid w:val="00134D4F"/>
    <w:rsid w:val="00135B77"/>
    <w:rsid w:val="00135D48"/>
    <w:rsid w:val="001361C5"/>
    <w:rsid w:val="001376FA"/>
    <w:rsid w:val="00137E4B"/>
    <w:rsid w:val="00140600"/>
    <w:rsid w:val="00140D50"/>
    <w:rsid w:val="001414A7"/>
    <w:rsid w:val="001419B6"/>
    <w:rsid w:val="00141B50"/>
    <w:rsid w:val="00142AFD"/>
    <w:rsid w:val="00142FBD"/>
    <w:rsid w:val="0014361E"/>
    <w:rsid w:val="001437ED"/>
    <w:rsid w:val="00144026"/>
    <w:rsid w:val="001441BB"/>
    <w:rsid w:val="0014435D"/>
    <w:rsid w:val="001449BE"/>
    <w:rsid w:val="00145086"/>
    <w:rsid w:val="0014575D"/>
    <w:rsid w:val="0015079F"/>
    <w:rsid w:val="00150FD4"/>
    <w:rsid w:val="00151A8A"/>
    <w:rsid w:val="001520A4"/>
    <w:rsid w:val="001521FF"/>
    <w:rsid w:val="001542EC"/>
    <w:rsid w:val="001545AE"/>
    <w:rsid w:val="0015590F"/>
    <w:rsid w:val="00157456"/>
    <w:rsid w:val="0015776D"/>
    <w:rsid w:val="00160013"/>
    <w:rsid w:val="0016023F"/>
    <w:rsid w:val="00161D4D"/>
    <w:rsid w:val="00161EB5"/>
    <w:rsid w:val="00163B7B"/>
    <w:rsid w:val="00164149"/>
    <w:rsid w:val="00164A92"/>
    <w:rsid w:val="00164A9E"/>
    <w:rsid w:val="00164C1D"/>
    <w:rsid w:val="00165249"/>
    <w:rsid w:val="0016572F"/>
    <w:rsid w:val="00166679"/>
    <w:rsid w:val="00167008"/>
    <w:rsid w:val="0017046B"/>
    <w:rsid w:val="001706FD"/>
    <w:rsid w:val="001707E5"/>
    <w:rsid w:val="00171298"/>
    <w:rsid w:val="001725EA"/>
    <w:rsid w:val="00172A93"/>
    <w:rsid w:val="001730A8"/>
    <w:rsid w:val="0017384A"/>
    <w:rsid w:val="00174B09"/>
    <w:rsid w:val="00174F76"/>
    <w:rsid w:val="0017522E"/>
    <w:rsid w:val="00175AA6"/>
    <w:rsid w:val="0017664E"/>
    <w:rsid w:val="00176668"/>
    <w:rsid w:val="00176D84"/>
    <w:rsid w:val="00181D03"/>
    <w:rsid w:val="001831B0"/>
    <w:rsid w:val="001835B1"/>
    <w:rsid w:val="00184D2C"/>
    <w:rsid w:val="00184DB2"/>
    <w:rsid w:val="0018523A"/>
    <w:rsid w:val="00185C4C"/>
    <w:rsid w:val="00187096"/>
    <w:rsid w:val="0018716C"/>
    <w:rsid w:val="00187616"/>
    <w:rsid w:val="001901DB"/>
    <w:rsid w:val="001905BD"/>
    <w:rsid w:val="00190FA0"/>
    <w:rsid w:val="0019113C"/>
    <w:rsid w:val="001919B3"/>
    <w:rsid w:val="001926DC"/>
    <w:rsid w:val="00192D0E"/>
    <w:rsid w:val="00193330"/>
    <w:rsid w:val="001941A7"/>
    <w:rsid w:val="001947A6"/>
    <w:rsid w:val="001954E4"/>
    <w:rsid w:val="00195551"/>
    <w:rsid w:val="0019722F"/>
    <w:rsid w:val="0019724F"/>
    <w:rsid w:val="00197CA6"/>
    <w:rsid w:val="001A25B5"/>
    <w:rsid w:val="001A2859"/>
    <w:rsid w:val="001A31E7"/>
    <w:rsid w:val="001A369D"/>
    <w:rsid w:val="001A4830"/>
    <w:rsid w:val="001A48D6"/>
    <w:rsid w:val="001A48F5"/>
    <w:rsid w:val="001A4F43"/>
    <w:rsid w:val="001A58FC"/>
    <w:rsid w:val="001A7948"/>
    <w:rsid w:val="001B0F19"/>
    <w:rsid w:val="001B1BCC"/>
    <w:rsid w:val="001B25D5"/>
    <w:rsid w:val="001B4452"/>
    <w:rsid w:val="001B4995"/>
    <w:rsid w:val="001B614E"/>
    <w:rsid w:val="001B62A7"/>
    <w:rsid w:val="001B6719"/>
    <w:rsid w:val="001B692C"/>
    <w:rsid w:val="001C057A"/>
    <w:rsid w:val="001C0FDC"/>
    <w:rsid w:val="001C1B0E"/>
    <w:rsid w:val="001C287C"/>
    <w:rsid w:val="001C2B9C"/>
    <w:rsid w:val="001C3466"/>
    <w:rsid w:val="001C3B9F"/>
    <w:rsid w:val="001C3E5E"/>
    <w:rsid w:val="001C3E8D"/>
    <w:rsid w:val="001C4011"/>
    <w:rsid w:val="001C455E"/>
    <w:rsid w:val="001C5087"/>
    <w:rsid w:val="001C52AA"/>
    <w:rsid w:val="001C5B1E"/>
    <w:rsid w:val="001C6628"/>
    <w:rsid w:val="001C6A94"/>
    <w:rsid w:val="001C7670"/>
    <w:rsid w:val="001C771D"/>
    <w:rsid w:val="001C7A24"/>
    <w:rsid w:val="001D1538"/>
    <w:rsid w:val="001D19F9"/>
    <w:rsid w:val="001D2784"/>
    <w:rsid w:val="001D2809"/>
    <w:rsid w:val="001D4463"/>
    <w:rsid w:val="001D4A63"/>
    <w:rsid w:val="001D56D9"/>
    <w:rsid w:val="001D5987"/>
    <w:rsid w:val="001D59C7"/>
    <w:rsid w:val="001D6CB4"/>
    <w:rsid w:val="001D7177"/>
    <w:rsid w:val="001D73CF"/>
    <w:rsid w:val="001D7DBF"/>
    <w:rsid w:val="001E0136"/>
    <w:rsid w:val="001E1519"/>
    <w:rsid w:val="001E304C"/>
    <w:rsid w:val="001E3C15"/>
    <w:rsid w:val="001E40E5"/>
    <w:rsid w:val="001E582D"/>
    <w:rsid w:val="001E6720"/>
    <w:rsid w:val="001E7BF3"/>
    <w:rsid w:val="001F090D"/>
    <w:rsid w:val="001F0B5F"/>
    <w:rsid w:val="001F13F9"/>
    <w:rsid w:val="001F277B"/>
    <w:rsid w:val="001F3490"/>
    <w:rsid w:val="001F4047"/>
    <w:rsid w:val="001F4764"/>
    <w:rsid w:val="001F48FA"/>
    <w:rsid w:val="001F4A1A"/>
    <w:rsid w:val="001F4EE5"/>
    <w:rsid w:val="001F58EA"/>
    <w:rsid w:val="001F5CC9"/>
    <w:rsid w:val="001F652E"/>
    <w:rsid w:val="001F6596"/>
    <w:rsid w:val="001F65A6"/>
    <w:rsid w:val="001F660A"/>
    <w:rsid w:val="001F6C15"/>
    <w:rsid w:val="001F6FCF"/>
    <w:rsid w:val="001F7B87"/>
    <w:rsid w:val="001F7CCB"/>
    <w:rsid w:val="001F7D2E"/>
    <w:rsid w:val="002008E8"/>
    <w:rsid w:val="00200F81"/>
    <w:rsid w:val="00201BA6"/>
    <w:rsid w:val="00201BAC"/>
    <w:rsid w:val="0020209C"/>
    <w:rsid w:val="00202480"/>
    <w:rsid w:val="00204B1B"/>
    <w:rsid w:val="00205916"/>
    <w:rsid w:val="002059A6"/>
    <w:rsid w:val="0020651D"/>
    <w:rsid w:val="00206A25"/>
    <w:rsid w:val="00206F15"/>
    <w:rsid w:val="002073EA"/>
    <w:rsid w:val="00210DD3"/>
    <w:rsid w:val="00210FD7"/>
    <w:rsid w:val="002120F1"/>
    <w:rsid w:val="0021293B"/>
    <w:rsid w:val="00212C1A"/>
    <w:rsid w:val="002154A7"/>
    <w:rsid w:val="0021575B"/>
    <w:rsid w:val="00216748"/>
    <w:rsid w:val="00216C0A"/>
    <w:rsid w:val="00217D62"/>
    <w:rsid w:val="00220101"/>
    <w:rsid w:val="002203C9"/>
    <w:rsid w:val="0022061B"/>
    <w:rsid w:val="002207BF"/>
    <w:rsid w:val="00220D20"/>
    <w:rsid w:val="0022111A"/>
    <w:rsid w:val="0022140C"/>
    <w:rsid w:val="0022226A"/>
    <w:rsid w:val="00222B4F"/>
    <w:rsid w:val="00226424"/>
    <w:rsid w:val="00226F79"/>
    <w:rsid w:val="002272F8"/>
    <w:rsid w:val="00227D9A"/>
    <w:rsid w:val="00227DDD"/>
    <w:rsid w:val="00227F28"/>
    <w:rsid w:val="0023127E"/>
    <w:rsid w:val="00232C4F"/>
    <w:rsid w:val="00233069"/>
    <w:rsid w:val="00234111"/>
    <w:rsid w:val="00235063"/>
    <w:rsid w:val="00235304"/>
    <w:rsid w:val="00235B94"/>
    <w:rsid w:val="0023737B"/>
    <w:rsid w:val="00237472"/>
    <w:rsid w:val="002400C2"/>
    <w:rsid w:val="002404A5"/>
    <w:rsid w:val="00240926"/>
    <w:rsid w:val="0024282E"/>
    <w:rsid w:val="002429E4"/>
    <w:rsid w:val="002439C7"/>
    <w:rsid w:val="00244286"/>
    <w:rsid w:val="0024631A"/>
    <w:rsid w:val="00246A70"/>
    <w:rsid w:val="00250BB4"/>
    <w:rsid w:val="00251AFC"/>
    <w:rsid w:val="002530B8"/>
    <w:rsid w:val="0025374C"/>
    <w:rsid w:val="00253C49"/>
    <w:rsid w:val="00253E67"/>
    <w:rsid w:val="00255656"/>
    <w:rsid w:val="00256A01"/>
    <w:rsid w:val="002609B6"/>
    <w:rsid w:val="00262842"/>
    <w:rsid w:val="00263316"/>
    <w:rsid w:val="00263B9C"/>
    <w:rsid w:val="002645AE"/>
    <w:rsid w:val="002646D5"/>
    <w:rsid w:val="00264E3D"/>
    <w:rsid w:val="002652BE"/>
    <w:rsid w:val="00265869"/>
    <w:rsid w:val="00267067"/>
    <w:rsid w:val="00267276"/>
    <w:rsid w:val="00267B37"/>
    <w:rsid w:val="002702A3"/>
    <w:rsid w:val="00270756"/>
    <w:rsid w:val="002717F2"/>
    <w:rsid w:val="00272580"/>
    <w:rsid w:val="002731DD"/>
    <w:rsid w:val="002738FA"/>
    <w:rsid w:val="00273FF9"/>
    <w:rsid w:val="00274168"/>
    <w:rsid w:val="00274E96"/>
    <w:rsid w:val="00275AFF"/>
    <w:rsid w:val="00275BB1"/>
    <w:rsid w:val="00275BCA"/>
    <w:rsid w:val="002801F8"/>
    <w:rsid w:val="00280B19"/>
    <w:rsid w:val="00281381"/>
    <w:rsid w:val="002828E0"/>
    <w:rsid w:val="00282C18"/>
    <w:rsid w:val="00282F26"/>
    <w:rsid w:val="00283591"/>
    <w:rsid w:val="00285F0F"/>
    <w:rsid w:val="00287A5A"/>
    <w:rsid w:val="002906F3"/>
    <w:rsid w:val="00291B7A"/>
    <w:rsid w:val="00292458"/>
    <w:rsid w:val="00292C11"/>
    <w:rsid w:val="00293B34"/>
    <w:rsid w:val="002945D4"/>
    <w:rsid w:val="002960C1"/>
    <w:rsid w:val="0029650A"/>
    <w:rsid w:val="002967BB"/>
    <w:rsid w:val="00296A2C"/>
    <w:rsid w:val="00296B0A"/>
    <w:rsid w:val="00296B2A"/>
    <w:rsid w:val="00297550"/>
    <w:rsid w:val="002976A4"/>
    <w:rsid w:val="002A1572"/>
    <w:rsid w:val="002A1832"/>
    <w:rsid w:val="002A19D6"/>
    <w:rsid w:val="002A1D82"/>
    <w:rsid w:val="002A1F29"/>
    <w:rsid w:val="002A2A69"/>
    <w:rsid w:val="002A31EA"/>
    <w:rsid w:val="002A3C56"/>
    <w:rsid w:val="002A3DE9"/>
    <w:rsid w:val="002A4996"/>
    <w:rsid w:val="002A58F0"/>
    <w:rsid w:val="002A59F9"/>
    <w:rsid w:val="002A663E"/>
    <w:rsid w:val="002A6D8D"/>
    <w:rsid w:val="002A7101"/>
    <w:rsid w:val="002A7504"/>
    <w:rsid w:val="002A7F13"/>
    <w:rsid w:val="002B08CC"/>
    <w:rsid w:val="002B0DC2"/>
    <w:rsid w:val="002B1570"/>
    <w:rsid w:val="002B1DBD"/>
    <w:rsid w:val="002B1EF5"/>
    <w:rsid w:val="002B20B5"/>
    <w:rsid w:val="002B29C5"/>
    <w:rsid w:val="002B32B4"/>
    <w:rsid w:val="002B4586"/>
    <w:rsid w:val="002B550E"/>
    <w:rsid w:val="002B6066"/>
    <w:rsid w:val="002B6304"/>
    <w:rsid w:val="002B6F0B"/>
    <w:rsid w:val="002B70C1"/>
    <w:rsid w:val="002B78CB"/>
    <w:rsid w:val="002B7BA4"/>
    <w:rsid w:val="002C018B"/>
    <w:rsid w:val="002C01A8"/>
    <w:rsid w:val="002C0625"/>
    <w:rsid w:val="002C0C3F"/>
    <w:rsid w:val="002C0C96"/>
    <w:rsid w:val="002C0FA9"/>
    <w:rsid w:val="002C0FBD"/>
    <w:rsid w:val="002C10AB"/>
    <w:rsid w:val="002C1BCD"/>
    <w:rsid w:val="002C20E5"/>
    <w:rsid w:val="002C3770"/>
    <w:rsid w:val="002C379F"/>
    <w:rsid w:val="002C40AF"/>
    <w:rsid w:val="002C6C5B"/>
    <w:rsid w:val="002C6CBA"/>
    <w:rsid w:val="002C75C8"/>
    <w:rsid w:val="002C7C3E"/>
    <w:rsid w:val="002D0231"/>
    <w:rsid w:val="002D15A8"/>
    <w:rsid w:val="002D2172"/>
    <w:rsid w:val="002D2922"/>
    <w:rsid w:val="002D3D09"/>
    <w:rsid w:val="002D4710"/>
    <w:rsid w:val="002D4DE3"/>
    <w:rsid w:val="002D5000"/>
    <w:rsid w:val="002D73CF"/>
    <w:rsid w:val="002E0128"/>
    <w:rsid w:val="002E141C"/>
    <w:rsid w:val="002E1898"/>
    <w:rsid w:val="002E23C3"/>
    <w:rsid w:val="002E2AC3"/>
    <w:rsid w:val="002E2E02"/>
    <w:rsid w:val="002E3114"/>
    <w:rsid w:val="002E3BB0"/>
    <w:rsid w:val="002E40AE"/>
    <w:rsid w:val="002E541B"/>
    <w:rsid w:val="002E58D3"/>
    <w:rsid w:val="002E6576"/>
    <w:rsid w:val="002E6CF4"/>
    <w:rsid w:val="002E74E9"/>
    <w:rsid w:val="002F031C"/>
    <w:rsid w:val="002F0B29"/>
    <w:rsid w:val="002F0BC7"/>
    <w:rsid w:val="002F19E0"/>
    <w:rsid w:val="002F2E9D"/>
    <w:rsid w:val="002F2F95"/>
    <w:rsid w:val="002F34F1"/>
    <w:rsid w:val="002F38AF"/>
    <w:rsid w:val="002F390C"/>
    <w:rsid w:val="002F43A2"/>
    <w:rsid w:val="002F4D02"/>
    <w:rsid w:val="002F4EAA"/>
    <w:rsid w:val="002F5FA2"/>
    <w:rsid w:val="002F5FC9"/>
    <w:rsid w:val="002F68B7"/>
    <w:rsid w:val="002F767A"/>
    <w:rsid w:val="002F773B"/>
    <w:rsid w:val="002F7B6E"/>
    <w:rsid w:val="00300B25"/>
    <w:rsid w:val="00300C60"/>
    <w:rsid w:val="00300E08"/>
    <w:rsid w:val="0030216B"/>
    <w:rsid w:val="003028C1"/>
    <w:rsid w:val="00302E62"/>
    <w:rsid w:val="00302EB7"/>
    <w:rsid w:val="00303EE9"/>
    <w:rsid w:val="00304344"/>
    <w:rsid w:val="0030451A"/>
    <w:rsid w:val="00304E15"/>
    <w:rsid w:val="003074F1"/>
    <w:rsid w:val="00311258"/>
    <w:rsid w:val="003113EC"/>
    <w:rsid w:val="00312335"/>
    <w:rsid w:val="00312F5E"/>
    <w:rsid w:val="00312FBC"/>
    <w:rsid w:val="0031309D"/>
    <w:rsid w:val="003131A7"/>
    <w:rsid w:val="0031388A"/>
    <w:rsid w:val="00314725"/>
    <w:rsid w:val="00314B35"/>
    <w:rsid w:val="003153E0"/>
    <w:rsid w:val="0031584E"/>
    <w:rsid w:val="00316001"/>
    <w:rsid w:val="00316476"/>
    <w:rsid w:val="00316BFC"/>
    <w:rsid w:val="00316E1C"/>
    <w:rsid w:val="0031707A"/>
    <w:rsid w:val="00317E54"/>
    <w:rsid w:val="003207E9"/>
    <w:rsid w:val="0032193A"/>
    <w:rsid w:val="00321F4F"/>
    <w:rsid w:val="003224B5"/>
    <w:rsid w:val="0032275F"/>
    <w:rsid w:val="003230A5"/>
    <w:rsid w:val="00323B8D"/>
    <w:rsid w:val="0032421B"/>
    <w:rsid w:val="00324A59"/>
    <w:rsid w:val="00325D24"/>
    <w:rsid w:val="00326253"/>
    <w:rsid w:val="003262C8"/>
    <w:rsid w:val="003262E0"/>
    <w:rsid w:val="00326524"/>
    <w:rsid w:val="003270AB"/>
    <w:rsid w:val="003275B8"/>
    <w:rsid w:val="00327B51"/>
    <w:rsid w:val="0033018B"/>
    <w:rsid w:val="00330458"/>
    <w:rsid w:val="00331884"/>
    <w:rsid w:val="0033375D"/>
    <w:rsid w:val="003348CA"/>
    <w:rsid w:val="00334D89"/>
    <w:rsid w:val="00335DDF"/>
    <w:rsid w:val="00335F4C"/>
    <w:rsid w:val="0033653A"/>
    <w:rsid w:val="00336E42"/>
    <w:rsid w:val="0034048B"/>
    <w:rsid w:val="0034089E"/>
    <w:rsid w:val="0034165E"/>
    <w:rsid w:val="003417B2"/>
    <w:rsid w:val="003422DB"/>
    <w:rsid w:val="00342E87"/>
    <w:rsid w:val="003444FB"/>
    <w:rsid w:val="0034553C"/>
    <w:rsid w:val="00345692"/>
    <w:rsid w:val="00345C60"/>
    <w:rsid w:val="003471A3"/>
    <w:rsid w:val="0035081B"/>
    <w:rsid w:val="003509B7"/>
    <w:rsid w:val="00352DFE"/>
    <w:rsid w:val="00353434"/>
    <w:rsid w:val="00353620"/>
    <w:rsid w:val="0035409D"/>
    <w:rsid w:val="00355956"/>
    <w:rsid w:val="00356291"/>
    <w:rsid w:val="00356B8F"/>
    <w:rsid w:val="00356F5F"/>
    <w:rsid w:val="003612D8"/>
    <w:rsid w:val="00361DFA"/>
    <w:rsid w:val="00363E11"/>
    <w:rsid w:val="003649AA"/>
    <w:rsid w:val="00364A60"/>
    <w:rsid w:val="00364E6E"/>
    <w:rsid w:val="00364F98"/>
    <w:rsid w:val="0036558B"/>
    <w:rsid w:val="00366B35"/>
    <w:rsid w:val="003707E1"/>
    <w:rsid w:val="00370B8D"/>
    <w:rsid w:val="00370BD8"/>
    <w:rsid w:val="00371C0E"/>
    <w:rsid w:val="00372ED8"/>
    <w:rsid w:val="003730E3"/>
    <w:rsid w:val="00374578"/>
    <w:rsid w:val="003750BB"/>
    <w:rsid w:val="003758F9"/>
    <w:rsid w:val="00375A53"/>
    <w:rsid w:val="00376AA0"/>
    <w:rsid w:val="00376B21"/>
    <w:rsid w:val="00376C82"/>
    <w:rsid w:val="003779AA"/>
    <w:rsid w:val="00380116"/>
    <w:rsid w:val="003801E0"/>
    <w:rsid w:val="00381776"/>
    <w:rsid w:val="00381C6B"/>
    <w:rsid w:val="00382085"/>
    <w:rsid w:val="003828F3"/>
    <w:rsid w:val="003829D2"/>
    <w:rsid w:val="00382FBF"/>
    <w:rsid w:val="0038386B"/>
    <w:rsid w:val="00383BAA"/>
    <w:rsid w:val="00385552"/>
    <w:rsid w:val="00385662"/>
    <w:rsid w:val="00386494"/>
    <w:rsid w:val="003865C4"/>
    <w:rsid w:val="00386B30"/>
    <w:rsid w:val="00386BFE"/>
    <w:rsid w:val="00390284"/>
    <w:rsid w:val="003926BC"/>
    <w:rsid w:val="00392E91"/>
    <w:rsid w:val="003931D3"/>
    <w:rsid w:val="0039357D"/>
    <w:rsid w:val="003935F3"/>
    <w:rsid w:val="0039382D"/>
    <w:rsid w:val="003939EC"/>
    <w:rsid w:val="0039540F"/>
    <w:rsid w:val="00396215"/>
    <w:rsid w:val="0039628D"/>
    <w:rsid w:val="003962D6"/>
    <w:rsid w:val="00396635"/>
    <w:rsid w:val="00397274"/>
    <w:rsid w:val="00397DC1"/>
    <w:rsid w:val="003A0323"/>
    <w:rsid w:val="003A0D6F"/>
    <w:rsid w:val="003A3F94"/>
    <w:rsid w:val="003A42CD"/>
    <w:rsid w:val="003A4618"/>
    <w:rsid w:val="003A4A8E"/>
    <w:rsid w:val="003A4B47"/>
    <w:rsid w:val="003A4E23"/>
    <w:rsid w:val="003A5A10"/>
    <w:rsid w:val="003A691D"/>
    <w:rsid w:val="003A77FD"/>
    <w:rsid w:val="003B04AE"/>
    <w:rsid w:val="003B0B4A"/>
    <w:rsid w:val="003B0C80"/>
    <w:rsid w:val="003B18A1"/>
    <w:rsid w:val="003B2374"/>
    <w:rsid w:val="003B2545"/>
    <w:rsid w:val="003B2BB8"/>
    <w:rsid w:val="003B2E3C"/>
    <w:rsid w:val="003B2E7F"/>
    <w:rsid w:val="003B3098"/>
    <w:rsid w:val="003B4F3B"/>
    <w:rsid w:val="003B5FDB"/>
    <w:rsid w:val="003B657B"/>
    <w:rsid w:val="003C0220"/>
    <w:rsid w:val="003C035C"/>
    <w:rsid w:val="003C0FD7"/>
    <w:rsid w:val="003C2609"/>
    <w:rsid w:val="003C35EF"/>
    <w:rsid w:val="003C3645"/>
    <w:rsid w:val="003C3870"/>
    <w:rsid w:val="003C4905"/>
    <w:rsid w:val="003C5994"/>
    <w:rsid w:val="003C5BCD"/>
    <w:rsid w:val="003C5BE2"/>
    <w:rsid w:val="003C639F"/>
    <w:rsid w:val="003C6E3A"/>
    <w:rsid w:val="003C6FCC"/>
    <w:rsid w:val="003C7534"/>
    <w:rsid w:val="003C7D45"/>
    <w:rsid w:val="003D1966"/>
    <w:rsid w:val="003D1A2A"/>
    <w:rsid w:val="003D1CF7"/>
    <w:rsid w:val="003D1D92"/>
    <w:rsid w:val="003D204F"/>
    <w:rsid w:val="003D2439"/>
    <w:rsid w:val="003D2FB1"/>
    <w:rsid w:val="003D3692"/>
    <w:rsid w:val="003D5B5A"/>
    <w:rsid w:val="003D65F9"/>
    <w:rsid w:val="003D6C1A"/>
    <w:rsid w:val="003D71F7"/>
    <w:rsid w:val="003E088B"/>
    <w:rsid w:val="003E1127"/>
    <w:rsid w:val="003E2C08"/>
    <w:rsid w:val="003E3662"/>
    <w:rsid w:val="003E3A5C"/>
    <w:rsid w:val="003E4D9A"/>
    <w:rsid w:val="003E60E7"/>
    <w:rsid w:val="003E6352"/>
    <w:rsid w:val="003E6DCA"/>
    <w:rsid w:val="003E725C"/>
    <w:rsid w:val="003E751B"/>
    <w:rsid w:val="003E7F03"/>
    <w:rsid w:val="003F0162"/>
    <w:rsid w:val="003F0DDD"/>
    <w:rsid w:val="003F0EF5"/>
    <w:rsid w:val="003F0F03"/>
    <w:rsid w:val="003F1830"/>
    <w:rsid w:val="003F1A7B"/>
    <w:rsid w:val="003F1E6B"/>
    <w:rsid w:val="003F1E78"/>
    <w:rsid w:val="003F2D6B"/>
    <w:rsid w:val="003F2DD7"/>
    <w:rsid w:val="003F3495"/>
    <w:rsid w:val="003F3EF7"/>
    <w:rsid w:val="003F4413"/>
    <w:rsid w:val="003F486A"/>
    <w:rsid w:val="003F4C5B"/>
    <w:rsid w:val="003F583B"/>
    <w:rsid w:val="003F5B25"/>
    <w:rsid w:val="003F6893"/>
    <w:rsid w:val="003F7083"/>
    <w:rsid w:val="003F7509"/>
    <w:rsid w:val="003F7E0C"/>
    <w:rsid w:val="004002F8"/>
    <w:rsid w:val="0040176E"/>
    <w:rsid w:val="00401948"/>
    <w:rsid w:val="00402433"/>
    <w:rsid w:val="00402A41"/>
    <w:rsid w:val="00402E2E"/>
    <w:rsid w:val="004035CF"/>
    <w:rsid w:val="00403F22"/>
    <w:rsid w:val="00403FF7"/>
    <w:rsid w:val="00405703"/>
    <w:rsid w:val="0040583E"/>
    <w:rsid w:val="00405A48"/>
    <w:rsid w:val="00412276"/>
    <w:rsid w:val="00412BF2"/>
    <w:rsid w:val="00413CCA"/>
    <w:rsid w:val="004152DE"/>
    <w:rsid w:val="00417A7A"/>
    <w:rsid w:val="00421927"/>
    <w:rsid w:val="00421C89"/>
    <w:rsid w:val="0042350E"/>
    <w:rsid w:val="00423D70"/>
    <w:rsid w:val="00424D63"/>
    <w:rsid w:val="00425BD4"/>
    <w:rsid w:val="00426A31"/>
    <w:rsid w:val="004276D8"/>
    <w:rsid w:val="00430E97"/>
    <w:rsid w:val="0043135E"/>
    <w:rsid w:val="00431461"/>
    <w:rsid w:val="004327F7"/>
    <w:rsid w:val="00432C83"/>
    <w:rsid w:val="004339C6"/>
    <w:rsid w:val="004341CF"/>
    <w:rsid w:val="004356FE"/>
    <w:rsid w:val="004360B8"/>
    <w:rsid w:val="00436FAC"/>
    <w:rsid w:val="00437FF0"/>
    <w:rsid w:val="004401D2"/>
    <w:rsid w:val="0044131B"/>
    <w:rsid w:val="004415F7"/>
    <w:rsid w:val="00442C97"/>
    <w:rsid w:val="00443714"/>
    <w:rsid w:val="00444619"/>
    <w:rsid w:val="004447BE"/>
    <w:rsid w:val="00444FC2"/>
    <w:rsid w:val="00445D1D"/>
    <w:rsid w:val="00445D24"/>
    <w:rsid w:val="004466CE"/>
    <w:rsid w:val="00447289"/>
    <w:rsid w:val="004476EC"/>
    <w:rsid w:val="0045042F"/>
    <w:rsid w:val="00451FA0"/>
    <w:rsid w:val="00452246"/>
    <w:rsid w:val="00453B16"/>
    <w:rsid w:val="00454785"/>
    <w:rsid w:val="00454ACA"/>
    <w:rsid w:val="00454CBF"/>
    <w:rsid w:val="00456115"/>
    <w:rsid w:val="0045662D"/>
    <w:rsid w:val="0045772A"/>
    <w:rsid w:val="00460AA0"/>
    <w:rsid w:val="00460C45"/>
    <w:rsid w:val="00460CA0"/>
    <w:rsid w:val="0046109C"/>
    <w:rsid w:val="00461945"/>
    <w:rsid w:val="00461FEB"/>
    <w:rsid w:val="00463A0B"/>
    <w:rsid w:val="00464643"/>
    <w:rsid w:val="00465044"/>
    <w:rsid w:val="00465286"/>
    <w:rsid w:val="004656C7"/>
    <w:rsid w:val="00465D98"/>
    <w:rsid w:val="00466CEE"/>
    <w:rsid w:val="004672CC"/>
    <w:rsid w:val="00467947"/>
    <w:rsid w:val="00473494"/>
    <w:rsid w:val="00474115"/>
    <w:rsid w:val="0047515B"/>
    <w:rsid w:val="004761BC"/>
    <w:rsid w:val="004767C6"/>
    <w:rsid w:val="00476D82"/>
    <w:rsid w:val="00476E19"/>
    <w:rsid w:val="00477019"/>
    <w:rsid w:val="00480287"/>
    <w:rsid w:val="00481496"/>
    <w:rsid w:val="00482C88"/>
    <w:rsid w:val="004830E6"/>
    <w:rsid w:val="00484134"/>
    <w:rsid w:val="004844E5"/>
    <w:rsid w:val="00485048"/>
    <w:rsid w:val="004859A4"/>
    <w:rsid w:val="0048608C"/>
    <w:rsid w:val="00486603"/>
    <w:rsid w:val="00486680"/>
    <w:rsid w:val="00486B0C"/>
    <w:rsid w:val="00486B0F"/>
    <w:rsid w:val="00486BF3"/>
    <w:rsid w:val="004902E5"/>
    <w:rsid w:val="004908BA"/>
    <w:rsid w:val="0049298C"/>
    <w:rsid w:val="00492BF7"/>
    <w:rsid w:val="0049313A"/>
    <w:rsid w:val="004940F8"/>
    <w:rsid w:val="004950C6"/>
    <w:rsid w:val="00495B46"/>
    <w:rsid w:val="00495F73"/>
    <w:rsid w:val="004967ED"/>
    <w:rsid w:val="00497878"/>
    <w:rsid w:val="004A0F19"/>
    <w:rsid w:val="004A35C9"/>
    <w:rsid w:val="004A494E"/>
    <w:rsid w:val="004A4D6D"/>
    <w:rsid w:val="004A4EE9"/>
    <w:rsid w:val="004A5ACB"/>
    <w:rsid w:val="004A5B3D"/>
    <w:rsid w:val="004A5EBC"/>
    <w:rsid w:val="004A6033"/>
    <w:rsid w:val="004A6626"/>
    <w:rsid w:val="004A6E98"/>
    <w:rsid w:val="004A70C2"/>
    <w:rsid w:val="004A7867"/>
    <w:rsid w:val="004A7FAA"/>
    <w:rsid w:val="004B0201"/>
    <w:rsid w:val="004B0900"/>
    <w:rsid w:val="004B1BB8"/>
    <w:rsid w:val="004B230F"/>
    <w:rsid w:val="004B2D26"/>
    <w:rsid w:val="004B4595"/>
    <w:rsid w:val="004B52CF"/>
    <w:rsid w:val="004B54FD"/>
    <w:rsid w:val="004B5ED1"/>
    <w:rsid w:val="004B65CF"/>
    <w:rsid w:val="004B6613"/>
    <w:rsid w:val="004B6A71"/>
    <w:rsid w:val="004B789B"/>
    <w:rsid w:val="004C065A"/>
    <w:rsid w:val="004C0E2B"/>
    <w:rsid w:val="004C1CB1"/>
    <w:rsid w:val="004C2C94"/>
    <w:rsid w:val="004C3404"/>
    <w:rsid w:val="004C45A1"/>
    <w:rsid w:val="004C4992"/>
    <w:rsid w:val="004C512E"/>
    <w:rsid w:val="004C5B27"/>
    <w:rsid w:val="004C5B43"/>
    <w:rsid w:val="004C5C1D"/>
    <w:rsid w:val="004C6ACC"/>
    <w:rsid w:val="004C6FA6"/>
    <w:rsid w:val="004C79AE"/>
    <w:rsid w:val="004C7B72"/>
    <w:rsid w:val="004C7C30"/>
    <w:rsid w:val="004C7D1F"/>
    <w:rsid w:val="004C7D29"/>
    <w:rsid w:val="004C7E85"/>
    <w:rsid w:val="004D0344"/>
    <w:rsid w:val="004D047A"/>
    <w:rsid w:val="004D15F8"/>
    <w:rsid w:val="004D20A2"/>
    <w:rsid w:val="004D235F"/>
    <w:rsid w:val="004D24D5"/>
    <w:rsid w:val="004D2A38"/>
    <w:rsid w:val="004D2E9B"/>
    <w:rsid w:val="004D344D"/>
    <w:rsid w:val="004D3E54"/>
    <w:rsid w:val="004D4A1D"/>
    <w:rsid w:val="004D500E"/>
    <w:rsid w:val="004D58EA"/>
    <w:rsid w:val="004D7200"/>
    <w:rsid w:val="004D743C"/>
    <w:rsid w:val="004D77C4"/>
    <w:rsid w:val="004E04BF"/>
    <w:rsid w:val="004E08ED"/>
    <w:rsid w:val="004E095B"/>
    <w:rsid w:val="004E0A06"/>
    <w:rsid w:val="004E0FC9"/>
    <w:rsid w:val="004E1B5C"/>
    <w:rsid w:val="004E1C8D"/>
    <w:rsid w:val="004E2ADC"/>
    <w:rsid w:val="004E31A6"/>
    <w:rsid w:val="004E33C6"/>
    <w:rsid w:val="004E34F0"/>
    <w:rsid w:val="004E4AB3"/>
    <w:rsid w:val="004E5AF9"/>
    <w:rsid w:val="004E5F7E"/>
    <w:rsid w:val="004E6AFB"/>
    <w:rsid w:val="004E725A"/>
    <w:rsid w:val="004F03A0"/>
    <w:rsid w:val="004F1362"/>
    <w:rsid w:val="004F2252"/>
    <w:rsid w:val="004F2F0D"/>
    <w:rsid w:val="004F2F26"/>
    <w:rsid w:val="004F3576"/>
    <w:rsid w:val="004F3AF2"/>
    <w:rsid w:val="004F3F73"/>
    <w:rsid w:val="004F42C7"/>
    <w:rsid w:val="004F462C"/>
    <w:rsid w:val="004F4F72"/>
    <w:rsid w:val="004F625E"/>
    <w:rsid w:val="004F6EF7"/>
    <w:rsid w:val="004F7720"/>
    <w:rsid w:val="00500607"/>
    <w:rsid w:val="00501225"/>
    <w:rsid w:val="005027CB"/>
    <w:rsid w:val="00502AD6"/>
    <w:rsid w:val="00503387"/>
    <w:rsid w:val="00503C30"/>
    <w:rsid w:val="00504045"/>
    <w:rsid w:val="00504BBD"/>
    <w:rsid w:val="00504DFC"/>
    <w:rsid w:val="00505502"/>
    <w:rsid w:val="00505AC2"/>
    <w:rsid w:val="00505D90"/>
    <w:rsid w:val="00506483"/>
    <w:rsid w:val="00506B5E"/>
    <w:rsid w:val="00506CC5"/>
    <w:rsid w:val="00506F69"/>
    <w:rsid w:val="00506FAD"/>
    <w:rsid w:val="00510E12"/>
    <w:rsid w:val="00511B29"/>
    <w:rsid w:val="00511CCC"/>
    <w:rsid w:val="00513068"/>
    <w:rsid w:val="005133C7"/>
    <w:rsid w:val="00513B63"/>
    <w:rsid w:val="00514198"/>
    <w:rsid w:val="0051494F"/>
    <w:rsid w:val="00514CF6"/>
    <w:rsid w:val="005160AF"/>
    <w:rsid w:val="005166A2"/>
    <w:rsid w:val="00516764"/>
    <w:rsid w:val="0051690C"/>
    <w:rsid w:val="00520163"/>
    <w:rsid w:val="005222C9"/>
    <w:rsid w:val="00522563"/>
    <w:rsid w:val="00523070"/>
    <w:rsid w:val="00523A4C"/>
    <w:rsid w:val="00523DF3"/>
    <w:rsid w:val="005249DA"/>
    <w:rsid w:val="005252CB"/>
    <w:rsid w:val="0052531E"/>
    <w:rsid w:val="0052590A"/>
    <w:rsid w:val="005259D4"/>
    <w:rsid w:val="005261D5"/>
    <w:rsid w:val="00527506"/>
    <w:rsid w:val="00530755"/>
    <w:rsid w:val="00531858"/>
    <w:rsid w:val="00532487"/>
    <w:rsid w:val="00532700"/>
    <w:rsid w:val="00534357"/>
    <w:rsid w:val="0053484C"/>
    <w:rsid w:val="005355D0"/>
    <w:rsid w:val="0053657E"/>
    <w:rsid w:val="00537088"/>
    <w:rsid w:val="00537D17"/>
    <w:rsid w:val="00537E8D"/>
    <w:rsid w:val="0054046A"/>
    <w:rsid w:val="00542489"/>
    <w:rsid w:val="00543500"/>
    <w:rsid w:val="00545664"/>
    <w:rsid w:val="00545A3F"/>
    <w:rsid w:val="0055161E"/>
    <w:rsid w:val="005524D6"/>
    <w:rsid w:val="00552CCD"/>
    <w:rsid w:val="00552CDD"/>
    <w:rsid w:val="00553211"/>
    <w:rsid w:val="00553DD3"/>
    <w:rsid w:val="005549A8"/>
    <w:rsid w:val="00554F15"/>
    <w:rsid w:val="00556385"/>
    <w:rsid w:val="00556780"/>
    <w:rsid w:val="00556AB5"/>
    <w:rsid w:val="0055731B"/>
    <w:rsid w:val="00557611"/>
    <w:rsid w:val="0056136E"/>
    <w:rsid w:val="00561D4D"/>
    <w:rsid w:val="00562397"/>
    <w:rsid w:val="005626F1"/>
    <w:rsid w:val="00562CB9"/>
    <w:rsid w:val="00562F7C"/>
    <w:rsid w:val="00563E2B"/>
    <w:rsid w:val="00564555"/>
    <w:rsid w:val="00564717"/>
    <w:rsid w:val="00565F05"/>
    <w:rsid w:val="00567305"/>
    <w:rsid w:val="0057163E"/>
    <w:rsid w:val="0057172E"/>
    <w:rsid w:val="00572314"/>
    <w:rsid w:val="005729A0"/>
    <w:rsid w:val="00572E16"/>
    <w:rsid w:val="005731F8"/>
    <w:rsid w:val="00573B6F"/>
    <w:rsid w:val="005759A5"/>
    <w:rsid w:val="00575AA4"/>
    <w:rsid w:val="00576F56"/>
    <w:rsid w:val="005775F7"/>
    <w:rsid w:val="0058038E"/>
    <w:rsid w:val="005813B3"/>
    <w:rsid w:val="00581D82"/>
    <w:rsid w:val="0058211A"/>
    <w:rsid w:val="005821C2"/>
    <w:rsid w:val="00582F46"/>
    <w:rsid w:val="00583009"/>
    <w:rsid w:val="005831A5"/>
    <w:rsid w:val="0058343E"/>
    <w:rsid w:val="00583E0F"/>
    <w:rsid w:val="00584B03"/>
    <w:rsid w:val="005850CE"/>
    <w:rsid w:val="0058635D"/>
    <w:rsid w:val="005866A7"/>
    <w:rsid w:val="0058709A"/>
    <w:rsid w:val="005871FE"/>
    <w:rsid w:val="005875D4"/>
    <w:rsid w:val="00587756"/>
    <w:rsid w:val="005907B1"/>
    <w:rsid w:val="00591217"/>
    <w:rsid w:val="00592DD8"/>
    <w:rsid w:val="005930E2"/>
    <w:rsid w:val="005945D8"/>
    <w:rsid w:val="005947C5"/>
    <w:rsid w:val="00594CED"/>
    <w:rsid w:val="00595144"/>
    <w:rsid w:val="00595B3F"/>
    <w:rsid w:val="00595E39"/>
    <w:rsid w:val="005978C9"/>
    <w:rsid w:val="00597D47"/>
    <w:rsid w:val="005A08BC"/>
    <w:rsid w:val="005A099C"/>
    <w:rsid w:val="005A0CE5"/>
    <w:rsid w:val="005A21D8"/>
    <w:rsid w:val="005A24BE"/>
    <w:rsid w:val="005A2FDC"/>
    <w:rsid w:val="005A62F1"/>
    <w:rsid w:val="005A6F64"/>
    <w:rsid w:val="005B003D"/>
    <w:rsid w:val="005B045F"/>
    <w:rsid w:val="005B1573"/>
    <w:rsid w:val="005B316F"/>
    <w:rsid w:val="005B3C5C"/>
    <w:rsid w:val="005B45A1"/>
    <w:rsid w:val="005B4B95"/>
    <w:rsid w:val="005B5A57"/>
    <w:rsid w:val="005B5DE0"/>
    <w:rsid w:val="005B5DE4"/>
    <w:rsid w:val="005B5F16"/>
    <w:rsid w:val="005B62ED"/>
    <w:rsid w:val="005B674B"/>
    <w:rsid w:val="005B761C"/>
    <w:rsid w:val="005B7AC8"/>
    <w:rsid w:val="005B7CCB"/>
    <w:rsid w:val="005C0128"/>
    <w:rsid w:val="005C03A5"/>
    <w:rsid w:val="005C0441"/>
    <w:rsid w:val="005C0DDA"/>
    <w:rsid w:val="005C1371"/>
    <w:rsid w:val="005C3682"/>
    <w:rsid w:val="005C3D15"/>
    <w:rsid w:val="005C4906"/>
    <w:rsid w:val="005C5884"/>
    <w:rsid w:val="005C60A3"/>
    <w:rsid w:val="005C659C"/>
    <w:rsid w:val="005C75F8"/>
    <w:rsid w:val="005C7F33"/>
    <w:rsid w:val="005D16B8"/>
    <w:rsid w:val="005D2CC5"/>
    <w:rsid w:val="005D326E"/>
    <w:rsid w:val="005D382F"/>
    <w:rsid w:val="005D46A6"/>
    <w:rsid w:val="005D4A70"/>
    <w:rsid w:val="005D4E46"/>
    <w:rsid w:val="005D53A0"/>
    <w:rsid w:val="005D57E4"/>
    <w:rsid w:val="005D5C4C"/>
    <w:rsid w:val="005D5C80"/>
    <w:rsid w:val="005D5D7C"/>
    <w:rsid w:val="005D5EC0"/>
    <w:rsid w:val="005D6704"/>
    <w:rsid w:val="005D6D4B"/>
    <w:rsid w:val="005D711D"/>
    <w:rsid w:val="005D723A"/>
    <w:rsid w:val="005D74EA"/>
    <w:rsid w:val="005D761E"/>
    <w:rsid w:val="005D798E"/>
    <w:rsid w:val="005E0A69"/>
    <w:rsid w:val="005E1963"/>
    <w:rsid w:val="005E1BCD"/>
    <w:rsid w:val="005E1D01"/>
    <w:rsid w:val="005E23EE"/>
    <w:rsid w:val="005E269D"/>
    <w:rsid w:val="005E2F5F"/>
    <w:rsid w:val="005E4B51"/>
    <w:rsid w:val="005E558D"/>
    <w:rsid w:val="005E5ADD"/>
    <w:rsid w:val="005E6435"/>
    <w:rsid w:val="005E6F02"/>
    <w:rsid w:val="005E7720"/>
    <w:rsid w:val="005E7D19"/>
    <w:rsid w:val="005E7DDB"/>
    <w:rsid w:val="005F028C"/>
    <w:rsid w:val="005F0384"/>
    <w:rsid w:val="005F0C06"/>
    <w:rsid w:val="005F0CCC"/>
    <w:rsid w:val="005F1ABF"/>
    <w:rsid w:val="005F1D52"/>
    <w:rsid w:val="005F334F"/>
    <w:rsid w:val="005F3CD3"/>
    <w:rsid w:val="005F44B8"/>
    <w:rsid w:val="005F450B"/>
    <w:rsid w:val="005F4892"/>
    <w:rsid w:val="005F4C11"/>
    <w:rsid w:val="005F6533"/>
    <w:rsid w:val="005F714C"/>
    <w:rsid w:val="005F76CC"/>
    <w:rsid w:val="0060064A"/>
    <w:rsid w:val="00604B51"/>
    <w:rsid w:val="00606ED2"/>
    <w:rsid w:val="006079F5"/>
    <w:rsid w:val="006100DB"/>
    <w:rsid w:val="0061100F"/>
    <w:rsid w:val="00611740"/>
    <w:rsid w:val="006117FD"/>
    <w:rsid w:val="0061196E"/>
    <w:rsid w:val="006124EC"/>
    <w:rsid w:val="00612E62"/>
    <w:rsid w:val="00613A68"/>
    <w:rsid w:val="00614F32"/>
    <w:rsid w:val="0061530B"/>
    <w:rsid w:val="00615FE0"/>
    <w:rsid w:val="00617260"/>
    <w:rsid w:val="0061799D"/>
    <w:rsid w:val="006235E1"/>
    <w:rsid w:val="006235E6"/>
    <w:rsid w:val="006244E4"/>
    <w:rsid w:val="006277D4"/>
    <w:rsid w:val="00631769"/>
    <w:rsid w:val="00632414"/>
    <w:rsid w:val="00632AE3"/>
    <w:rsid w:val="00634632"/>
    <w:rsid w:val="00635EB8"/>
    <w:rsid w:val="00635F55"/>
    <w:rsid w:val="00636488"/>
    <w:rsid w:val="00636903"/>
    <w:rsid w:val="00636E62"/>
    <w:rsid w:val="00636EDF"/>
    <w:rsid w:val="006400D4"/>
    <w:rsid w:val="006402E5"/>
    <w:rsid w:val="0064080D"/>
    <w:rsid w:val="0064089D"/>
    <w:rsid w:val="00640BE0"/>
    <w:rsid w:val="00641130"/>
    <w:rsid w:val="006418F0"/>
    <w:rsid w:val="00642453"/>
    <w:rsid w:val="00642AF6"/>
    <w:rsid w:val="0064404E"/>
    <w:rsid w:val="0064652E"/>
    <w:rsid w:val="00647DB3"/>
    <w:rsid w:val="006529A2"/>
    <w:rsid w:val="00652C42"/>
    <w:rsid w:val="0065332E"/>
    <w:rsid w:val="00654919"/>
    <w:rsid w:val="00654B37"/>
    <w:rsid w:val="00654DDD"/>
    <w:rsid w:val="00654E8A"/>
    <w:rsid w:val="00655A92"/>
    <w:rsid w:val="00655AEF"/>
    <w:rsid w:val="00655E11"/>
    <w:rsid w:val="006561AB"/>
    <w:rsid w:val="006563FB"/>
    <w:rsid w:val="00657EE7"/>
    <w:rsid w:val="0066067B"/>
    <w:rsid w:val="0066109A"/>
    <w:rsid w:val="006614D8"/>
    <w:rsid w:val="00662A44"/>
    <w:rsid w:val="00664DC3"/>
    <w:rsid w:val="00665028"/>
    <w:rsid w:val="006657E1"/>
    <w:rsid w:val="00666595"/>
    <w:rsid w:val="006667A9"/>
    <w:rsid w:val="00667133"/>
    <w:rsid w:val="0066762F"/>
    <w:rsid w:val="00667DB9"/>
    <w:rsid w:val="0067011A"/>
    <w:rsid w:val="006702AC"/>
    <w:rsid w:val="00670550"/>
    <w:rsid w:val="006705C0"/>
    <w:rsid w:val="00670913"/>
    <w:rsid w:val="00672AAC"/>
    <w:rsid w:val="00672BD0"/>
    <w:rsid w:val="00673537"/>
    <w:rsid w:val="006739B5"/>
    <w:rsid w:val="006746D4"/>
    <w:rsid w:val="00674A78"/>
    <w:rsid w:val="00674BD3"/>
    <w:rsid w:val="006754F4"/>
    <w:rsid w:val="0067639E"/>
    <w:rsid w:val="00676904"/>
    <w:rsid w:val="00676956"/>
    <w:rsid w:val="00677F0B"/>
    <w:rsid w:val="00680551"/>
    <w:rsid w:val="0068230E"/>
    <w:rsid w:val="0068258A"/>
    <w:rsid w:val="006839B4"/>
    <w:rsid w:val="00685309"/>
    <w:rsid w:val="00685BF6"/>
    <w:rsid w:val="00685C6C"/>
    <w:rsid w:val="00686431"/>
    <w:rsid w:val="00687E92"/>
    <w:rsid w:val="00690DCE"/>
    <w:rsid w:val="00691A43"/>
    <w:rsid w:val="00692226"/>
    <w:rsid w:val="00694264"/>
    <w:rsid w:val="00695991"/>
    <w:rsid w:val="0069604D"/>
    <w:rsid w:val="00696EE9"/>
    <w:rsid w:val="00697165"/>
    <w:rsid w:val="006A0F19"/>
    <w:rsid w:val="006A1A83"/>
    <w:rsid w:val="006A1E98"/>
    <w:rsid w:val="006A33C3"/>
    <w:rsid w:val="006A38A6"/>
    <w:rsid w:val="006A3EEA"/>
    <w:rsid w:val="006A5636"/>
    <w:rsid w:val="006A606A"/>
    <w:rsid w:val="006A6903"/>
    <w:rsid w:val="006A6A3B"/>
    <w:rsid w:val="006A6DB5"/>
    <w:rsid w:val="006A77DF"/>
    <w:rsid w:val="006A7C2F"/>
    <w:rsid w:val="006B10C6"/>
    <w:rsid w:val="006B1D66"/>
    <w:rsid w:val="006B1DCC"/>
    <w:rsid w:val="006B2616"/>
    <w:rsid w:val="006B2A5C"/>
    <w:rsid w:val="006B2B73"/>
    <w:rsid w:val="006B4B26"/>
    <w:rsid w:val="006B7DE6"/>
    <w:rsid w:val="006C2DBC"/>
    <w:rsid w:val="006C3B45"/>
    <w:rsid w:val="006C425B"/>
    <w:rsid w:val="006C4724"/>
    <w:rsid w:val="006C4928"/>
    <w:rsid w:val="006C78EF"/>
    <w:rsid w:val="006D06A2"/>
    <w:rsid w:val="006D0A52"/>
    <w:rsid w:val="006D1964"/>
    <w:rsid w:val="006D208A"/>
    <w:rsid w:val="006D2A37"/>
    <w:rsid w:val="006D38D3"/>
    <w:rsid w:val="006D39C1"/>
    <w:rsid w:val="006D41EC"/>
    <w:rsid w:val="006D420C"/>
    <w:rsid w:val="006D4578"/>
    <w:rsid w:val="006D69D5"/>
    <w:rsid w:val="006D6B94"/>
    <w:rsid w:val="006D7314"/>
    <w:rsid w:val="006E267D"/>
    <w:rsid w:val="006E26B8"/>
    <w:rsid w:val="006E31CB"/>
    <w:rsid w:val="006E3DE4"/>
    <w:rsid w:val="006E4300"/>
    <w:rsid w:val="006E583F"/>
    <w:rsid w:val="006E5F7D"/>
    <w:rsid w:val="006E668C"/>
    <w:rsid w:val="006E6B65"/>
    <w:rsid w:val="006E6C70"/>
    <w:rsid w:val="006E6F2E"/>
    <w:rsid w:val="006E7399"/>
    <w:rsid w:val="006E7421"/>
    <w:rsid w:val="006E7BE6"/>
    <w:rsid w:val="006F04B9"/>
    <w:rsid w:val="006F054C"/>
    <w:rsid w:val="006F09EF"/>
    <w:rsid w:val="006F11FE"/>
    <w:rsid w:val="006F2C37"/>
    <w:rsid w:val="006F406F"/>
    <w:rsid w:val="006F5F47"/>
    <w:rsid w:val="006F7624"/>
    <w:rsid w:val="006F7D99"/>
    <w:rsid w:val="007009DC"/>
    <w:rsid w:val="00701000"/>
    <w:rsid w:val="007015E1"/>
    <w:rsid w:val="00701DAC"/>
    <w:rsid w:val="00701F39"/>
    <w:rsid w:val="00701FD4"/>
    <w:rsid w:val="0070370C"/>
    <w:rsid w:val="007039D0"/>
    <w:rsid w:val="00703C05"/>
    <w:rsid w:val="00703EBB"/>
    <w:rsid w:val="00704055"/>
    <w:rsid w:val="007040A2"/>
    <w:rsid w:val="007055A1"/>
    <w:rsid w:val="00705F0A"/>
    <w:rsid w:val="007072E5"/>
    <w:rsid w:val="00710044"/>
    <w:rsid w:val="00710626"/>
    <w:rsid w:val="0071222F"/>
    <w:rsid w:val="00712A6D"/>
    <w:rsid w:val="00713174"/>
    <w:rsid w:val="00713714"/>
    <w:rsid w:val="00713BF0"/>
    <w:rsid w:val="00713D10"/>
    <w:rsid w:val="00714F19"/>
    <w:rsid w:val="00714FB3"/>
    <w:rsid w:val="00715B0C"/>
    <w:rsid w:val="00716185"/>
    <w:rsid w:val="00716334"/>
    <w:rsid w:val="007172A8"/>
    <w:rsid w:val="007207E9"/>
    <w:rsid w:val="00720F17"/>
    <w:rsid w:val="007216E2"/>
    <w:rsid w:val="00721D94"/>
    <w:rsid w:val="0072219B"/>
    <w:rsid w:val="007221F4"/>
    <w:rsid w:val="007225CB"/>
    <w:rsid w:val="00722C87"/>
    <w:rsid w:val="00722F54"/>
    <w:rsid w:val="00723E01"/>
    <w:rsid w:val="00725566"/>
    <w:rsid w:val="007262AF"/>
    <w:rsid w:val="007263D1"/>
    <w:rsid w:val="007265B3"/>
    <w:rsid w:val="00726CCB"/>
    <w:rsid w:val="00727202"/>
    <w:rsid w:val="00727D76"/>
    <w:rsid w:val="007302DC"/>
    <w:rsid w:val="00730535"/>
    <w:rsid w:val="007319E3"/>
    <w:rsid w:val="00733853"/>
    <w:rsid w:val="00733E0D"/>
    <w:rsid w:val="00734104"/>
    <w:rsid w:val="00734D75"/>
    <w:rsid w:val="007352AE"/>
    <w:rsid w:val="007358C4"/>
    <w:rsid w:val="00735D24"/>
    <w:rsid w:val="007364DF"/>
    <w:rsid w:val="007371FE"/>
    <w:rsid w:val="00740965"/>
    <w:rsid w:val="0074104D"/>
    <w:rsid w:val="00741F54"/>
    <w:rsid w:val="00742495"/>
    <w:rsid w:val="00742645"/>
    <w:rsid w:val="00742D37"/>
    <w:rsid w:val="00744033"/>
    <w:rsid w:val="0074536A"/>
    <w:rsid w:val="00745C8B"/>
    <w:rsid w:val="00745D04"/>
    <w:rsid w:val="007461C0"/>
    <w:rsid w:val="007463EE"/>
    <w:rsid w:val="007468B2"/>
    <w:rsid w:val="00746FBA"/>
    <w:rsid w:val="007473AE"/>
    <w:rsid w:val="00747E6E"/>
    <w:rsid w:val="00747F44"/>
    <w:rsid w:val="0075291E"/>
    <w:rsid w:val="00752B74"/>
    <w:rsid w:val="00752CFE"/>
    <w:rsid w:val="00753164"/>
    <w:rsid w:val="00753273"/>
    <w:rsid w:val="00753EED"/>
    <w:rsid w:val="0075457B"/>
    <w:rsid w:val="00755994"/>
    <w:rsid w:val="00755C3E"/>
    <w:rsid w:val="007565F0"/>
    <w:rsid w:val="00757560"/>
    <w:rsid w:val="0075763E"/>
    <w:rsid w:val="00757E5E"/>
    <w:rsid w:val="00757F19"/>
    <w:rsid w:val="00760165"/>
    <w:rsid w:val="007605A6"/>
    <w:rsid w:val="007625E6"/>
    <w:rsid w:val="00762772"/>
    <w:rsid w:val="007633D5"/>
    <w:rsid w:val="00763CC1"/>
    <w:rsid w:val="007646F5"/>
    <w:rsid w:val="00765275"/>
    <w:rsid w:val="00765277"/>
    <w:rsid w:val="007653C0"/>
    <w:rsid w:val="007661DF"/>
    <w:rsid w:val="00766281"/>
    <w:rsid w:val="007665DE"/>
    <w:rsid w:val="007674FB"/>
    <w:rsid w:val="00767E90"/>
    <w:rsid w:val="0077002D"/>
    <w:rsid w:val="00770716"/>
    <w:rsid w:val="0077095E"/>
    <w:rsid w:val="0077102C"/>
    <w:rsid w:val="007712AC"/>
    <w:rsid w:val="00771A25"/>
    <w:rsid w:val="00771D5D"/>
    <w:rsid w:val="00772EED"/>
    <w:rsid w:val="00773F25"/>
    <w:rsid w:val="00774D4A"/>
    <w:rsid w:val="00775216"/>
    <w:rsid w:val="007753F2"/>
    <w:rsid w:val="00775432"/>
    <w:rsid w:val="007767FF"/>
    <w:rsid w:val="00776B11"/>
    <w:rsid w:val="00777719"/>
    <w:rsid w:val="007777C9"/>
    <w:rsid w:val="00777908"/>
    <w:rsid w:val="00777B68"/>
    <w:rsid w:val="0078027B"/>
    <w:rsid w:val="00782A72"/>
    <w:rsid w:val="00786419"/>
    <w:rsid w:val="007876DC"/>
    <w:rsid w:val="00787E49"/>
    <w:rsid w:val="00790EE1"/>
    <w:rsid w:val="00790F10"/>
    <w:rsid w:val="007925C4"/>
    <w:rsid w:val="00792C5C"/>
    <w:rsid w:val="00792F06"/>
    <w:rsid w:val="007938D9"/>
    <w:rsid w:val="00794A70"/>
    <w:rsid w:val="007950E9"/>
    <w:rsid w:val="007956A3"/>
    <w:rsid w:val="00795702"/>
    <w:rsid w:val="00795C67"/>
    <w:rsid w:val="0079643D"/>
    <w:rsid w:val="00797BF8"/>
    <w:rsid w:val="007A08DD"/>
    <w:rsid w:val="007A15D2"/>
    <w:rsid w:val="007A2AD2"/>
    <w:rsid w:val="007A2CD6"/>
    <w:rsid w:val="007A42E2"/>
    <w:rsid w:val="007A4636"/>
    <w:rsid w:val="007A485E"/>
    <w:rsid w:val="007A511E"/>
    <w:rsid w:val="007A5B53"/>
    <w:rsid w:val="007A5EEA"/>
    <w:rsid w:val="007A67C1"/>
    <w:rsid w:val="007A6E1A"/>
    <w:rsid w:val="007B01F0"/>
    <w:rsid w:val="007B0972"/>
    <w:rsid w:val="007B0D42"/>
    <w:rsid w:val="007B0FD5"/>
    <w:rsid w:val="007B1DFF"/>
    <w:rsid w:val="007B3D7B"/>
    <w:rsid w:val="007B5609"/>
    <w:rsid w:val="007B5F76"/>
    <w:rsid w:val="007B6BAD"/>
    <w:rsid w:val="007B6C20"/>
    <w:rsid w:val="007B751C"/>
    <w:rsid w:val="007C19EE"/>
    <w:rsid w:val="007C1F5A"/>
    <w:rsid w:val="007C2C72"/>
    <w:rsid w:val="007C3344"/>
    <w:rsid w:val="007C3EA7"/>
    <w:rsid w:val="007C4BCC"/>
    <w:rsid w:val="007C52CB"/>
    <w:rsid w:val="007C5595"/>
    <w:rsid w:val="007C5A4D"/>
    <w:rsid w:val="007C69DB"/>
    <w:rsid w:val="007C7217"/>
    <w:rsid w:val="007C755D"/>
    <w:rsid w:val="007D022D"/>
    <w:rsid w:val="007D0F57"/>
    <w:rsid w:val="007D159D"/>
    <w:rsid w:val="007D177D"/>
    <w:rsid w:val="007D242F"/>
    <w:rsid w:val="007D2E3C"/>
    <w:rsid w:val="007D3F9C"/>
    <w:rsid w:val="007D421D"/>
    <w:rsid w:val="007D45BB"/>
    <w:rsid w:val="007D5264"/>
    <w:rsid w:val="007D58EA"/>
    <w:rsid w:val="007D5B46"/>
    <w:rsid w:val="007D6A2B"/>
    <w:rsid w:val="007D7492"/>
    <w:rsid w:val="007D7907"/>
    <w:rsid w:val="007D7ADD"/>
    <w:rsid w:val="007E072F"/>
    <w:rsid w:val="007E0D0F"/>
    <w:rsid w:val="007E10F5"/>
    <w:rsid w:val="007E1ED5"/>
    <w:rsid w:val="007E251A"/>
    <w:rsid w:val="007E2598"/>
    <w:rsid w:val="007E36EF"/>
    <w:rsid w:val="007E447F"/>
    <w:rsid w:val="007E4A8D"/>
    <w:rsid w:val="007E5288"/>
    <w:rsid w:val="007E562F"/>
    <w:rsid w:val="007E64B3"/>
    <w:rsid w:val="007E704E"/>
    <w:rsid w:val="007E7156"/>
    <w:rsid w:val="007E74F1"/>
    <w:rsid w:val="007E7FB3"/>
    <w:rsid w:val="007F0021"/>
    <w:rsid w:val="007F07C5"/>
    <w:rsid w:val="007F1872"/>
    <w:rsid w:val="007F1885"/>
    <w:rsid w:val="007F32F2"/>
    <w:rsid w:val="007F477D"/>
    <w:rsid w:val="007F4ABA"/>
    <w:rsid w:val="007F4AD2"/>
    <w:rsid w:val="007F4B95"/>
    <w:rsid w:val="007F4C82"/>
    <w:rsid w:val="007F4EF8"/>
    <w:rsid w:val="007F69AB"/>
    <w:rsid w:val="007F6A94"/>
    <w:rsid w:val="008017D1"/>
    <w:rsid w:val="00801DA2"/>
    <w:rsid w:val="00801EB4"/>
    <w:rsid w:val="00802630"/>
    <w:rsid w:val="00802B13"/>
    <w:rsid w:val="00804615"/>
    <w:rsid w:val="00804D3F"/>
    <w:rsid w:val="00805BD7"/>
    <w:rsid w:val="00805C68"/>
    <w:rsid w:val="008061E0"/>
    <w:rsid w:val="00806351"/>
    <w:rsid w:val="008068C1"/>
    <w:rsid w:val="00807931"/>
    <w:rsid w:val="00807DD1"/>
    <w:rsid w:val="008111B2"/>
    <w:rsid w:val="00813D11"/>
    <w:rsid w:val="00814AE4"/>
    <w:rsid w:val="00814DFA"/>
    <w:rsid w:val="00815032"/>
    <w:rsid w:val="00816619"/>
    <w:rsid w:val="00817778"/>
    <w:rsid w:val="00820351"/>
    <w:rsid w:val="008208CE"/>
    <w:rsid w:val="00820A9A"/>
    <w:rsid w:val="00820CD0"/>
    <w:rsid w:val="00822504"/>
    <w:rsid w:val="00822706"/>
    <w:rsid w:val="00823AEA"/>
    <w:rsid w:val="00825597"/>
    <w:rsid w:val="00827C7B"/>
    <w:rsid w:val="00830293"/>
    <w:rsid w:val="00830513"/>
    <w:rsid w:val="00832ACA"/>
    <w:rsid w:val="00832EC9"/>
    <w:rsid w:val="008335AE"/>
    <w:rsid w:val="00833DFC"/>
    <w:rsid w:val="00834950"/>
    <w:rsid w:val="00835A17"/>
    <w:rsid w:val="00835BEE"/>
    <w:rsid w:val="008369AE"/>
    <w:rsid w:val="00836C0A"/>
    <w:rsid w:val="00837AF4"/>
    <w:rsid w:val="0084015C"/>
    <w:rsid w:val="00840898"/>
    <w:rsid w:val="00840C76"/>
    <w:rsid w:val="008425D4"/>
    <w:rsid w:val="00843F16"/>
    <w:rsid w:val="00843F41"/>
    <w:rsid w:val="00844158"/>
    <w:rsid w:val="0084488E"/>
    <w:rsid w:val="00845523"/>
    <w:rsid w:val="00845FA1"/>
    <w:rsid w:val="0084682F"/>
    <w:rsid w:val="00847C9D"/>
    <w:rsid w:val="00850A88"/>
    <w:rsid w:val="00850E8A"/>
    <w:rsid w:val="0085127D"/>
    <w:rsid w:val="00851AFC"/>
    <w:rsid w:val="00851D87"/>
    <w:rsid w:val="00851F04"/>
    <w:rsid w:val="00851F71"/>
    <w:rsid w:val="00852826"/>
    <w:rsid w:val="00852A7F"/>
    <w:rsid w:val="008531DE"/>
    <w:rsid w:val="008533D0"/>
    <w:rsid w:val="00853E5C"/>
    <w:rsid w:val="00853F31"/>
    <w:rsid w:val="00855072"/>
    <w:rsid w:val="00856601"/>
    <w:rsid w:val="008570C3"/>
    <w:rsid w:val="00857B87"/>
    <w:rsid w:val="00857F62"/>
    <w:rsid w:val="008604E9"/>
    <w:rsid w:val="008605E4"/>
    <w:rsid w:val="0086169E"/>
    <w:rsid w:val="0086233F"/>
    <w:rsid w:val="008636D1"/>
    <w:rsid w:val="008637D6"/>
    <w:rsid w:val="00863C68"/>
    <w:rsid w:val="008657B0"/>
    <w:rsid w:val="0086623A"/>
    <w:rsid w:val="008672E9"/>
    <w:rsid w:val="008677B9"/>
    <w:rsid w:val="00867E38"/>
    <w:rsid w:val="00870112"/>
    <w:rsid w:val="0087044E"/>
    <w:rsid w:val="00870A48"/>
    <w:rsid w:val="00871AE1"/>
    <w:rsid w:val="00872F3E"/>
    <w:rsid w:val="0087369A"/>
    <w:rsid w:val="00873A1C"/>
    <w:rsid w:val="00873EC8"/>
    <w:rsid w:val="00874E97"/>
    <w:rsid w:val="00875B35"/>
    <w:rsid w:val="00876F92"/>
    <w:rsid w:val="0087780E"/>
    <w:rsid w:val="00877AA3"/>
    <w:rsid w:val="00877E9A"/>
    <w:rsid w:val="00881EE9"/>
    <w:rsid w:val="008826F3"/>
    <w:rsid w:val="00882738"/>
    <w:rsid w:val="00884B50"/>
    <w:rsid w:val="008851BE"/>
    <w:rsid w:val="0088577B"/>
    <w:rsid w:val="00886FFD"/>
    <w:rsid w:val="008871D3"/>
    <w:rsid w:val="008874D7"/>
    <w:rsid w:val="008904C7"/>
    <w:rsid w:val="0089080F"/>
    <w:rsid w:val="00890BAB"/>
    <w:rsid w:val="008931A5"/>
    <w:rsid w:val="00894129"/>
    <w:rsid w:val="0089624A"/>
    <w:rsid w:val="008A055A"/>
    <w:rsid w:val="008A06AB"/>
    <w:rsid w:val="008A177A"/>
    <w:rsid w:val="008A2694"/>
    <w:rsid w:val="008A2846"/>
    <w:rsid w:val="008A2EE9"/>
    <w:rsid w:val="008A3181"/>
    <w:rsid w:val="008A44BC"/>
    <w:rsid w:val="008A4789"/>
    <w:rsid w:val="008A5303"/>
    <w:rsid w:val="008A5461"/>
    <w:rsid w:val="008A56BD"/>
    <w:rsid w:val="008A6067"/>
    <w:rsid w:val="008A688B"/>
    <w:rsid w:val="008A7353"/>
    <w:rsid w:val="008A7A19"/>
    <w:rsid w:val="008B018A"/>
    <w:rsid w:val="008B0720"/>
    <w:rsid w:val="008B18ED"/>
    <w:rsid w:val="008B20DA"/>
    <w:rsid w:val="008B27DF"/>
    <w:rsid w:val="008B28C2"/>
    <w:rsid w:val="008B2AA0"/>
    <w:rsid w:val="008B2C04"/>
    <w:rsid w:val="008B2D66"/>
    <w:rsid w:val="008B2E3D"/>
    <w:rsid w:val="008B33BD"/>
    <w:rsid w:val="008B4A90"/>
    <w:rsid w:val="008B5456"/>
    <w:rsid w:val="008B565B"/>
    <w:rsid w:val="008B57E6"/>
    <w:rsid w:val="008B59E2"/>
    <w:rsid w:val="008B6223"/>
    <w:rsid w:val="008B6AF4"/>
    <w:rsid w:val="008B6B1C"/>
    <w:rsid w:val="008B6EF1"/>
    <w:rsid w:val="008B716C"/>
    <w:rsid w:val="008C01B4"/>
    <w:rsid w:val="008C0437"/>
    <w:rsid w:val="008C0B03"/>
    <w:rsid w:val="008C0BE2"/>
    <w:rsid w:val="008C19E0"/>
    <w:rsid w:val="008C25B8"/>
    <w:rsid w:val="008C32E1"/>
    <w:rsid w:val="008C3ED1"/>
    <w:rsid w:val="008C54B2"/>
    <w:rsid w:val="008C54E6"/>
    <w:rsid w:val="008C648E"/>
    <w:rsid w:val="008C6563"/>
    <w:rsid w:val="008C6AD8"/>
    <w:rsid w:val="008C75E4"/>
    <w:rsid w:val="008C7883"/>
    <w:rsid w:val="008D037C"/>
    <w:rsid w:val="008D09E8"/>
    <w:rsid w:val="008D0FD6"/>
    <w:rsid w:val="008D13A1"/>
    <w:rsid w:val="008D197B"/>
    <w:rsid w:val="008D1BBF"/>
    <w:rsid w:val="008D1D21"/>
    <w:rsid w:val="008D1E6E"/>
    <w:rsid w:val="008D2569"/>
    <w:rsid w:val="008D25FE"/>
    <w:rsid w:val="008D2C6D"/>
    <w:rsid w:val="008D2E4E"/>
    <w:rsid w:val="008D302A"/>
    <w:rsid w:val="008D3CFF"/>
    <w:rsid w:val="008D3D40"/>
    <w:rsid w:val="008D53A3"/>
    <w:rsid w:val="008D74B9"/>
    <w:rsid w:val="008E16E8"/>
    <w:rsid w:val="008E1AF9"/>
    <w:rsid w:val="008E2370"/>
    <w:rsid w:val="008E28FA"/>
    <w:rsid w:val="008E2B7A"/>
    <w:rsid w:val="008E31DD"/>
    <w:rsid w:val="008E3C0C"/>
    <w:rsid w:val="008E3DED"/>
    <w:rsid w:val="008E44EF"/>
    <w:rsid w:val="008E4A27"/>
    <w:rsid w:val="008E4AFB"/>
    <w:rsid w:val="008E534E"/>
    <w:rsid w:val="008E554A"/>
    <w:rsid w:val="008E5AE1"/>
    <w:rsid w:val="008E63B8"/>
    <w:rsid w:val="008E735A"/>
    <w:rsid w:val="008F07C4"/>
    <w:rsid w:val="008F16ED"/>
    <w:rsid w:val="008F2528"/>
    <w:rsid w:val="008F31EC"/>
    <w:rsid w:val="008F35A1"/>
    <w:rsid w:val="008F367C"/>
    <w:rsid w:val="008F3CE7"/>
    <w:rsid w:val="008F3ED0"/>
    <w:rsid w:val="008F7DFF"/>
    <w:rsid w:val="00900141"/>
    <w:rsid w:val="009002FE"/>
    <w:rsid w:val="00900E5C"/>
    <w:rsid w:val="009018FC"/>
    <w:rsid w:val="00901DD2"/>
    <w:rsid w:val="009023C8"/>
    <w:rsid w:val="00903BF3"/>
    <w:rsid w:val="00904622"/>
    <w:rsid w:val="00904C64"/>
    <w:rsid w:val="00905279"/>
    <w:rsid w:val="00905827"/>
    <w:rsid w:val="00905C24"/>
    <w:rsid w:val="00906775"/>
    <w:rsid w:val="00906BB6"/>
    <w:rsid w:val="0091161A"/>
    <w:rsid w:val="00912224"/>
    <w:rsid w:val="009130FC"/>
    <w:rsid w:val="0091489D"/>
    <w:rsid w:val="00914934"/>
    <w:rsid w:val="00914EC6"/>
    <w:rsid w:val="00916049"/>
    <w:rsid w:val="00916737"/>
    <w:rsid w:val="0091690E"/>
    <w:rsid w:val="00917329"/>
    <w:rsid w:val="00920F08"/>
    <w:rsid w:val="00922BF0"/>
    <w:rsid w:val="00922C83"/>
    <w:rsid w:val="009230F0"/>
    <w:rsid w:val="00923820"/>
    <w:rsid w:val="00925EDB"/>
    <w:rsid w:val="00926094"/>
    <w:rsid w:val="00927330"/>
    <w:rsid w:val="009273ED"/>
    <w:rsid w:val="009277B4"/>
    <w:rsid w:val="009279FF"/>
    <w:rsid w:val="00927DCC"/>
    <w:rsid w:val="00930806"/>
    <w:rsid w:val="00930B52"/>
    <w:rsid w:val="009313CF"/>
    <w:rsid w:val="0093353F"/>
    <w:rsid w:val="009335E9"/>
    <w:rsid w:val="00933F9D"/>
    <w:rsid w:val="00934749"/>
    <w:rsid w:val="009348EC"/>
    <w:rsid w:val="00934A08"/>
    <w:rsid w:val="00935061"/>
    <w:rsid w:val="0093514D"/>
    <w:rsid w:val="0093559E"/>
    <w:rsid w:val="00936508"/>
    <w:rsid w:val="009366F4"/>
    <w:rsid w:val="009368D5"/>
    <w:rsid w:val="00936B94"/>
    <w:rsid w:val="00937C70"/>
    <w:rsid w:val="00940E1E"/>
    <w:rsid w:val="00941E4A"/>
    <w:rsid w:val="00941F07"/>
    <w:rsid w:val="00942570"/>
    <w:rsid w:val="00942E5F"/>
    <w:rsid w:val="0094386F"/>
    <w:rsid w:val="00943AB4"/>
    <w:rsid w:val="0094454F"/>
    <w:rsid w:val="00944AFD"/>
    <w:rsid w:val="009465A9"/>
    <w:rsid w:val="009500A4"/>
    <w:rsid w:val="00950999"/>
    <w:rsid w:val="00950AE8"/>
    <w:rsid w:val="00950D53"/>
    <w:rsid w:val="00951DF8"/>
    <w:rsid w:val="00952535"/>
    <w:rsid w:val="00952624"/>
    <w:rsid w:val="00956847"/>
    <w:rsid w:val="00956984"/>
    <w:rsid w:val="00960777"/>
    <w:rsid w:val="009607EF"/>
    <w:rsid w:val="00965588"/>
    <w:rsid w:val="00965BC4"/>
    <w:rsid w:val="00965DFB"/>
    <w:rsid w:val="00966B9A"/>
    <w:rsid w:val="00967429"/>
    <w:rsid w:val="00970118"/>
    <w:rsid w:val="0097021A"/>
    <w:rsid w:val="009712BA"/>
    <w:rsid w:val="009712C3"/>
    <w:rsid w:val="009716C8"/>
    <w:rsid w:val="00971D67"/>
    <w:rsid w:val="0097314A"/>
    <w:rsid w:val="00973425"/>
    <w:rsid w:val="009750DE"/>
    <w:rsid w:val="009763E1"/>
    <w:rsid w:val="00976DF0"/>
    <w:rsid w:val="009773E9"/>
    <w:rsid w:val="009804D0"/>
    <w:rsid w:val="00980914"/>
    <w:rsid w:val="00980F62"/>
    <w:rsid w:val="0098132F"/>
    <w:rsid w:val="00981E3B"/>
    <w:rsid w:val="00984FFE"/>
    <w:rsid w:val="0098662E"/>
    <w:rsid w:val="009871CE"/>
    <w:rsid w:val="00987804"/>
    <w:rsid w:val="00987B6C"/>
    <w:rsid w:val="009900EC"/>
    <w:rsid w:val="00990333"/>
    <w:rsid w:val="00991A10"/>
    <w:rsid w:val="00991EC6"/>
    <w:rsid w:val="009925BD"/>
    <w:rsid w:val="0099288C"/>
    <w:rsid w:val="00992C9C"/>
    <w:rsid w:val="00993336"/>
    <w:rsid w:val="0099383C"/>
    <w:rsid w:val="00993887"/>
    <w:rsid w:val="009952FE"/>
    <w:rsid w:val="009956D0"/>
    <w:rsid w:val="00996508"/>
    <w:rsid w:val="00996D38"/>
    <w:rsid w:val="009970AD"/>
    <w:rsid w:val="00997755"/>
    <w:rsid w:val="00997895"/>
    <w:rsid w:val="009A06A2"/>
    <w:rsid w:val="009A0EC3"/>
    <w:rsid w:val="009A2F5B"/>
    <w:rsid w:val="009A3B2D"/>
    <w:rsid w:val="009A3D81"/>
    <w:rsid w:val="009A3E31"/>
    <w:rsid w:val="009A51D7"/>
    <w:rsid w:val="009A7039"/>
    <w:rsid w:val="009A7393"/>
    <w:rsid w:val="009A77F5"/>
    <w:rsid w:val="009B02B3"/>
    <w:rsid w:val="009B0820"/>
    <w:rsid w:val="009B0E3E"/>
    <w:rsid w:val="009B2667"/>
    <w:rsid w:val="009B2FDB"/>
    <w:rsid w:val="009B3598"/>
    <w:rsid w:val="009B36BE"/>
    <w:rsid w:val="009B3D13"/>
    <w:rsid w:val="009B4BC4"/>
    <w:rsid w:val="009B6154"/>
    <w:rsid w:val="009B6F36"/>
    <w:rsid w:val="009B772F"/>
    <w:rsid w:val="009B7E67"/>
    <w:rsid w:val="009B7EF4"/>
    <w:rsid w:val="009C059E"/>
    <w:rsid w:val="009C0B80"/>
    <w:rsid w:val="009C12B2"/>
    <w:rsid w:val="009C23EB"/>
    <w:rsid w:val="009C263F"/>
    <w:rsid w:val="009C27DC"/>
    <w:rsid w:val="009C3521"/>
    <w:rsid w:val="009C36A9"/>
    <w:rsid w:val="009C4383"/>
    <w:rsid w:val="009C4538"/>
    <w:rsid w:val="009C550B"/>
    <w:rsid w:val="009C5CE3"/>
    <w:rsid w:val="009C70D7"/>
    <w:rsid w:val="009C7916"/>
    <w:rsid w:val="009C7B11"/>
    <w:rsid w:val="009C7CD7"/>
    <w:rsid w:val="009C7E6B"/>
    <w:rsid w:val="009D08D9"/>
    <w:rsid w:val="009D1800"/>
    <w:rsid w:val="009D2683"/>
    <w:rsid w:val="009D26C7"/>
    <w:rsid w:val="009D3985"/>
    <w:rsid w:val="009D42A7"/>
    <w:rsid w:val="009D49A1"/>
    <w:rsid w:val="009D550E"/>
    <w:rsid w:val="009D5510"/>
    <w:rsid w:val="009D5C9D"/>
    <w:rsid w:val="009D66CB"/>
    <w:rsid w:val="009D67E3"/>
    <w:rsid w:val="009D7BA9"/>
    <w:rsid w:val="009D7D02"/>
    <w:rsid w:val="009E0B38"/>
    <w:rsid w:val="009E1141"/>
    <w:rsid w:val="009E1794"/>
    <w:rsid w:val="009E17EC"/>
    <w:rsid w:val="009E2344"/>
    <w:rsid w:val="009E273E"/>
    <w:rsid w:val="009E3661"/>
    <w:rsid w:val="009E40DF"/>
    <w:rsid w:val="009E42A6"/>
    <w:rsid w:val="009E4ACB"/>
    <w:rsid w:val="009E5778"/>
    <w:rsid w:val="009E5F43"/>
    <w:rsid w:val="009E6118"/>
    <w:rsid w:val="009E6AAD"/>
    <w:rsid w:val="009E6AC2"/>
    <w:rsid w:val="009E7030"/>
    <w:rsid w:val="009E70A8"/>
    <w:rsid w:val="009E7424"/>
    <w:rsid w:val="009E78A6"/>
    <w:rsid w:val="009F18BB"/>
    <w:rsid w:val="009F3266"/>
    <w:rsid w:val="009F3F5F"/>
    <w:rsid w:val="009F5BA7"/>
    <w:rsid w:val="009F659E"/>
    <w:rsid w:val="009F6AF4"/>
    <w:rsid w:val="009F74A9"/>
    <w:rsid w:val="00A003A8"/>
    <w:rsid w:val="00A00528"/>
    <w:rsid w:val="00A00BB9"/>
    <w:rsid w:val="00A01FCE"/>
    <w:rsid w:val="00A02006"/>
    <w:rsid w:val="00A041FF"/>
    <w:rsid w:val="00A0473F"/>
    <w:rsid w:val="00A04A2A"/>
    <w:rsid w:val="00A06603"/>
    <w:rsid w:val="00A06BE2"/>
    <w:rsid w:val="00A06EB2"/>
    <w:rsid w:val="00A07387"/>
    <w:rsid w:val="00A0757F"/>
    <w:rsid w:val="00A10840"/>
    <w:rsid w:val="00A11F66"/>
    <w:rsid w:val="00A12258"/>
    <w:rsid w:val="00A1315B"/>
    <w:rsid w:val="00A13AE1"/>
    <w:rsid w:val="00A13BE9"/>
    <w:rsid w:val="00A13D62"/>
    <w:rsid w:val="00A1452A"/>
    <w:rsid w:val="00A14B97"/>
    <w:rsid w:val="00A14BC4"/>
    <w:rsid w:val="00A15522"/>
    <w:rsid w:val="00A15A1C"/>
    <w:rsid w:val="00A15E98"/>
    <w:rsid w:val="00A161A3"/>
    <w:rsid w:val="00A17DF9"/>
    <w:rsid w:val="00A2007C"/>
    <w:rsid w:val="00A202DE"/>
    <w:rsid w:val="00A20BB1"/>
    <w:rsid w:val="00A21549"/>
    <w:rsid w:val="00A225FC"/>
    <w:rsid w:val="00A235AE"/>
    <w:rsid w:val="00A24376"/>
    <w:rsid w:val="00A244CC"/>
    <w:rsid w:val="00A24AEE"/>
    <w:rsid w:val="00A2531A"/>
    <w:rsid w:val="00A25EF6"/>
    <w:rsid w:val="00A301FC"/>
    <w:rsid w:val="00A30D49"/>
    <w:rsid w:val="00A315CA"/>
    <w:rsid w:val="00A3325E"/>
    <w:rsid w:val="00A33AD5"/>
    <w:rsid w:val="00A33AF6"/>
    <w:rsid w:val="00A345C6"/>
    <w:rsid w:val="00A346DA"/>
    <w:rsid w:val="00A353C8"/>
    <w:rsid w:val="00A37148"/>
    <w:rsid w:val="00A37E7A"/>
    <w:rsid w:val="00A401D5"/>
    <w:rsid w:val="00A41347"/>
    <w:rsid w:val="00A42024"/>
    <w:rsid w:val="00A42A83"/>
    <w:rsid w:val="00A4335C"/>
    <w:rsid w:val="00A440C1"/>
    <w:rsid w:val="00A4417E"/>
    <w:rsid w:val="00A446C9"/>
    <w:rsid w:val="00A46C36"/>
    <w:rsid w:val="00A47178"/>
    <w:rsid w:val="00A472B7"/>
    <w:rsid w:val="00A47A8C"/>
    <w:rsid w:val="00A505BC"/>
    <w:rsid w:val="00A5068F"/>
    <w:rsid w:val="00A50B3E"/>
    <w:rsid w:val="00A51DF4"/>
    <w:rsid w:val="00A52D99"/>
    <w:rsid w:val="00A52E92"/>
    <w:rsid w:val="00A53297"/>
    <w:rsid w:val="00A537E5"/>
    <w:rsid w:val="00A5417C"/>
    <w:rsid w:val="00A54517"/>
    <w:rsid w:val="00A546E8"/>
    <w:rsid w:val="00A54BB5"/>
    <w:rsid w:val="00A55BF6"/>
    <w:rsid w:val="00A55FD2"/>
    <w:rsid w:val="00A563D2"/>
    <w:rsid w:val="00A570DB"/>
    <w:rsid w:val="00A60180"/>
    <w:rsid w:val="00A60289"/>
    <w:rsid w:val="00A6045A"/>
    <w:rsid w:val="00A60A3C"/>
    <w:rsid w:val="00A60A67"/>
    <w:rsid w:val="00A6202B"/>
    <w:rsid w:val="00A6213A"/>
    <w:rsid w:val="00A62464"/>
    <w:rsid w:val="00A6333A"/>
    <w:rsid w:val="00A63BDA"/>
    <w:rsid w:val="00A63EC7"/>
    <w:rsid w:val="00A6495A"/>
    <w:rsid w:val="00A64CE3"/>
    <w:rsid w:val="00A664E1"/>
    <w:rsid w:val="00A66515"/>
    <w:rsid w:val="00A665C7"/>
    <w:rsid w:val="00A666A6"/>
    <w:rsid w:val="00A67064"/>
    <w:rsid w:val="00A70EA6"/>
    <w:rsid w:val="00A70F4A"/>
    <w:rsid w:val="00A71F60"/>
    <w:rsid w:val="00A726F4"/>
    <w:rsid w:val="00A728BF"/>
    <w:rsid w:val="00A72D59"/>
    <w:rsid w:val="00A73B52"/>
    <w:rsid w:val="00A749B3"/>
    <w:rsid w:val="00A74FA4"/>
    <w:rsid w:val="00A76082"/>
    <w:rsid w:val="00A761FB"/>
    <w:rsid w:val="00A76BD6"/>
    <w:rsid w:val="00A770D6"/>
    <w:rsid w:val="00A7726D"/>
    <w:rsid w:val="00A77326"/>
    <w:rsid w:val="00A8059E"/>
    <w:rsid w:val="00A8101A"/>
    <w:rsid w:val="00A820B9"/>
    <w:rsid w:val="00A8286A"/>
    <w:rsid w:val="00A82B11"/>
    <w:rsid w:val="00A82FCA"/>
    <w:rsid w:val="00A8437B"/>
    <w:rsid w:val="00A84684"/>
    <w:rsid w:val="00A85539"/>
    <w:rsid w:val="00A8598D"/>
    <w:rsid w:val="00A86306"/>
    <w:rsid w:val="00A86DF9"/>
    <w:rsid w:val="00A874CC"/>
    <w:rsid w:val="00A90883"/>
    <w:rsid w:val="00A90C02"/>
    <w:rsid w:val="00A90D8B"/>
    <w:rsid w:val="00A90D96"/>
    <w:rsid w:val="00A90F88"/>
    <w:rsid w:val="00A91865"/>
    <w:rsid w:val="00A922DA"/>
    <w:rsid w:val="00A92AA2"/>
    <w:rsid w:val="00A92E18"/>
    <w:rsid w:val="00A933D0"/>
    <w:rsid w:val="00A93FD9"/>
    <w:rsid w:val="00A94245"/>
    <w:rsid w:val="00A944A1"/>
    <w:rsid w:val="00A94ECD"/>
    <w:rsid w:val="00A95176"/>
    <w:rsid w:val="00A9595F"/>
    <w:rsid w:val="00A95D08"/>
    <w:rsid w:val="00A96491"/>
    <w:rsid w:val="00A96AB2"/>
    <w:rsid w:val="00A96FC7"/>
    <w:rsid w:val="00A9740F"/>
    <w:rsid w:val="00A97AE6"/>
    <w:rsid w:val="00AA0EE4"/>
    <w:rsid w:val="00AA3B24"/>
    <w:rsid w:val="00AA4561"/>
    <w:rsid w:val="00AA5542"/>
    <w:rsid w:val="00AA5BDB"/>
    <w:rsid w:val="00AB05A7"/>
    <w:rsid w:val="00AB2CC7"/>
    <w:rsid w:val="00AB391A"/>
    <w:rsid w:val="00AB3AE1"/>
    <w:rsid w:val="00AB4153"/>
    <w:rsid w:val="00AB4221"/>
    <w:rsid w:val="00AB4330"/>
    <w:rsid w:val="00AB49C0"/>
    <w:rsid w:val="00AB4C1B"/>
    <w:rsid w:val="00AB5119"/>
    <w:rsid w:val="00AB5350"/>
    <w:rsid w:val="00AB53E8"/>
    <w:rsid w:val="00AB5659"/>
    <w:rsid w:val="00AB60A5"/>
    <w:rsid w:val="00AB6205"/>
    <w:rsid w:val="00AB639A"/>
    <w:rsid w:val="00AB7B5D"/>
    <w:rsid w:val="00AB7F62"/>
    <w:rsid w:val="00AC10D1"/>
    <w:rsid w:val="00AC146C"/>
    <w:rsid w:val="00AC17A8"/>
    <w:rsid w:val="00AC2A57"/>
    <w:rsid w:val="00AC4209"/>
    <w:rsid w:val="00AC48CB"/>
    <w:rsid w:val="00AC5ED7"/>
    <w:rsid w:val="00AC67D7"/>
    <w:rsid w:val="00AC6DA2"/>
    <w:rsid w:val="00AC7111"/>
    <w:rsid w:val="00AD0E04"/>
    <w:rsid w:val="00AD10E6"/>
    <w:rsid w:val="00AD1FA2"/>
    <w:rsid w:val="00AD2195"/>
    <w:rsid w:val="00AD2A71"/>
    <w:rsid w:val="00AD2AD5"/>
    <w:rsid w:val="00AD2B87"/>
    <w:rsid w:val="00AD4375"/>
    <w:rsid w:val="00AD5577"/>
    <w:rsid w:val="00AD5F45"/>
    <w:rsid w:val="00AD6758"/>
    <w:rsid w:val="00AD7028"/>
    <w:rsid w:val="00AD71AD"/>
    <w:rsid w:val="00AD7396"/>
    <w:rsid w:val="00AD744A"/>
    <w:rsid w:val="00AE028F"/>
    <w:rsid w:val="00AE2490"/>
    <w:rsid w:val="00AE28B0"/>
    <w:rsid w:val="00AE3E1D"/>
    <w:rsid w:val="00AE45C0"/>
    <w:rsid w:val="00AE4881"/>
    <w:rsid w:val="00AE4C75"/>
    <w:rsid w:val="00AE58C7"/>
    <w:rsid w:val="00AE5C15"/>
    <w:rsid w:val="00AE6092"/>
    <w:rsid w:val="00AE6D97"/>
    <w:rsid w:val="00AE74AD"/>
    <w:rsid w:val="00AF00E7"/>
    <w:rsid w:val="00AF0D7D"/>
    <w:rsid w:val="00AF0F95"/>
    <w:rsid w:val="00AF253D"/>
    <w:rsid w:val="00AF3838"/>
    <w:rsid w:val="00AF454C"/>
    <w:rsid w:val="00AF5E9A"/>
    <w:rsid w:val="00AF60EA"/>
    <w:rsid w:val="00AF6C89"/>
    <w:rsid w:val="00AF77CE"/>
    <w:rsid w:val="00AF7C0D"/>
    <w:rsid w:val="00B00B73"/>
    <w:rsid w:val="00B00EBA"/>
    <w:rsid w:val="00B015A8"/>
    <w:rsid w:val="00B01AE4"/>
    <w:rsid w:val="00B034EA"/>
    <w:rsid w:val="00B035B9"/>
    <w:rsid w:val="00B04174"/>
    <w:rsid w:val="00B04A39"/>
    <w:rsid w:val="00B04DD2"/>
    <w:rsid w:val="00B057EE"/>
    <w:rsid w:val="00B05C07"/>
    <w:rsid w:val="00B06654"/>
    <w:rsid w:val="00B075D7"/>
    <w:rsid w:val="00B07890"/>
    <w:rsid w:val="00B10E4A"/>
    <w:rsid w:val="00B118F5"/>
    <w:rsid w:val="00B127C7"/>
    <w:rsid w:val="00B12C59"/>
    <w:rsid w:val="00B13131"/>
    <w:rsid w:val="00B131DE"/>
    <w:rsid w:val="00B143D1"/>
    <w:rsid w:val="00B1662B"/>
    <w:rsid w:val="00B176C5"/>
    <w:rsid w:val="00B20D57"/>
    <w:rsid w:val="00B216D2"/>
    <w:rsid w:val="00B21D49"/>
    <w:rsid w:val="00B22C6D"/>
    <w:rsid w:val="00B232A6"/>
    <w:rsid w:val="00B2407E"/>
    <w:rsid w:val="00B24623"/>
    <w:rsid w:val="00B24B3A"/>
    <w:rsid w:val="00B250E2"/>
    <w:rsid w:val="00B25BCA"/>
    <w:rsid w:val="00B25F76"/>
    <w:rsid w:val="00B265E3"/>
    <w:rsid w:val="00B2707F"/>
    <w:rsid w:val="00B27AC2"/>
    <w:rsid w:val="00B300FB"/>
    <w:rsid w:val="00B30468"/>
    <w:rsid w:val="00B30D2F"/>
    <w:rsid w:val="00B31034"/>
    <w:rsid w:val="00B33B67"/>
    <w:rsid w:val="00B33E72"/>
    <w:rsid w:val="00B34578"/>
    <w:rsid w:val="00B3492B"/>
    <w:rsid w:val="00B349D3"/>
    <w:rsid w:val="00B34E62"/>
    <w:rsid w:val="00B359EB"/>
    <w:rsid w:val="00B361E3"/>
    <w:rsid w:val="00B368DE"/>
    <w:rsid w:val="00B37408"/>
    <w:rsid w:val="00B37E1B"/>
    <w:rsid w:val="00B40783"/>
    <w:rsid w:val="00B407B3"/>
    <w:rsid w:val="00B40DEC"/>
    <w:rsid w:val="00B412E2"/>
    <w:rsid w:val="00B4130C"/>
    <w:rsid w:val="00B4161F"/>
    <w:rsid w:val="00B42363"/>
    <w:rsid w:val="00B43151"/>
    <w:rsid w:val="00B431B8"/>
    <w:rsid w:val="00B4385E"/>
    <w:rsid w:val="00B440DD"/>
    <w:rsid w:val="00B440E1"/>
    <w:rsid w:val="00B454F1"/>
    <w:rsid w:val="00B4570A"/>
    <w:rsid w:val="00B45836"/>
    <w:rsid w:val="00B45DDA"/>
    <w:rsid w:val="00B47BD1"/>
    <w:rsid w:val="00B5022D"/>
    <w:rsid w:val="00B50752"/>
    <w:rsid w:val="00B52791"/>
    <w:rsid w:val="00B541C5"/>
    <w:rsid w:val="00B5490D"/>
    <w:rsid w:val="00B54FBC"/>
    <w:rsid w:val="00B552C2"/>
    <w:rsid w:val="00B5635C"/>
    <w:rsid w:val="00B56DCE"/>
    <w:rsid w:val="00B5706D"/>
    <w:rsid w:val="00B623E5"/>
    <w:rsid w:val="00B62605"/>
    <w:rsid w:val="00B6357F"/>
    <w:rsid w:val="00B63614"/>
    <w:rsid w:val="00B63767"/>
    <w:rsid w:val="00B63AB7"/>
    <w:rsid w:val="00B64248"/>
    <w:rsid w:val="00B642AB"/>
    <w:rsid w:val="00B648D1"/>
    <w:rsid w:val="00B64D24"/>
    <w:rsid w:val="00B66519"/>
    <w:rsid w:val="00B66555"/>
    <w:rsid w:val="00B6680B"/>
    <w:rsid w:val="00B67DE2"/>
    <w:rsid w:val="00B702AB"/>
    <w:rsid w:val="00B71849"/>
    <w:rsid w:val="00B71AF4"/>
    <w:rsid w:val="00B71C54"/>
    <w:rsid w:val="00B7259B"/>
    <w:rsid w:val="00B72897"/>
    <w:rsid w:val="00B72E63"/>
    <w:rsid w:val="00B73AB0"/>
    <w:rsid w:val="00B73F60"/>
    <w:rsid w:val="00B744C2"/>
    <w:rsid w:val="00B74ED3"/>
    <w:rsid w:val="00B76408"/>
    <w:rsid w:val="00B76CD5"/>
    <w:rsid w:val="00B816E0"/>
    <w:rsid w:val="00B81D52"/>
    <w:rsid w:val="00B8296A"/>
    <w:rsid w:val="00B8388C"/>
    <w:rsid w:val="00B83901"/>
    <w:rsid w:val="00B851EB"/>
    <w:rsid w:val="00B856EF"/>
    <w:rsid w:val="00B85ADF"/>
    <w:rsid w:val="00B863A6"/>
    <w:rsid w:val="00B87244"/>
    <w:rsid w:val="00B90C53"/>
    <w:rsid w:val="00B90EA7"/>
    <w:rsid w:val="00B92363"/>
    <w:rsid w:val="00B96B82"/>
    <w:rsid w:val="00B96FA5"/>
    <w:rsid w:val="00B971D9"/>
    <w:rsid w:val="00BA139D"/>
    <w:rsid w:val="00BA1808"/>
    <w:rsid w:val="00BA1B74"/>
    <w:rsid w:val="00BA2134"/>
    <w:rsid w:val="00BA221A"/>
    <w:rsid w:val="00BA38C7"/>
    <w:rsid w:val="00BA5269"/>
    <w:rsid w:val="00BA52B1"/>
    <w:rsid w:val="00BA5485"/>
    <w:rsid w:val="00BA6565"/>
    <w:rsid w:val="00BA6BE8"/>
    <w:rsid w:val="00BA6F4F"/>
    <w:rsid w:val="00BB0DD3"/>
    <w:rsid w:val="00BB2F57"/>
    <w:rsid w:val="00BB3561"/>
    <w:rsid w:val="00BB38A8"/>
    <w:rsid w:val="00BB3A11"/>
    <w:rsid w:val="00BB3A72"/>
    <w:rsid w:val="00BB3D8C"/>
    <w:rsid w:val="00BB578A"/>
    <w:rsid w:val="00BB6030"/>
    <w:rsid w:val="00BB7C6C"/>
    <w:rsid w:val="00BB7D9E"/>
    <w:rsid w:val="00BC3413"/>
    <w:rsid w:val="00BC3D5F"/>
    <w:rsid w:val="00BC5C66"/>
    <w:rsid w:val="00BC628A"/>
    <w:rsid w:val="00BC6DE2"/>
    <w:rsid w:val="00BD0584"/>
    <w:rsid w:val="00BD07F5"/>
    <w:rsid w:val="00BD11B8"/>
    <w:rsid w:val="00BD13BD"/>
    <w:rsid w:val="00BD15B9"/>
    <w:rsid w:val="00BD47CD"/>
    <w:rsid w:val="00BD4858"/>
    <w:rsid w:val="00BD6A85"/>
    <w:rsid w:val="00BD7186"/>
    <w:rsid w:val="00BE044C"/>
    <w:rsid w:val="00BE2642"/>
    <w:rsid w:val="00BE2C19"/>
    <w:rsid w:val="00BE3077"/>
    <w:rsid w:val="00BE3BFA"/>
    <w:rsid w:val="00BE43A5"/>
    <w:rsid w:val="00BE43A8"/>
    <w:rsid w:val="00BE48F0"/>
    <w:rsid w:val="00BE5767"/>
    <w:rsid w:val="00BE5795"/>
    <w:rsid w:val="00BE74FA"/>
    <w:rsid w:val="00BE7B77"/>
    <w:rsid w:val="00BE7FAD"/>
    <w:rsid w:val="00BF0B35"/>
    <w:rsid w:val="00BF145A"/>
    <w:rsid w:val="00BF188D"/>
    <w:rsid w:val="00BF27A6"/>
    <w:rsid w:val="00BF2E07"/>
    <w:rsid w:val="00BF301D"/>
    <w:rsid w:val="00BF3179"/>
    <w:rsid w:val="00BF444A"/>
    <w:rsid w:val="00BF49AF"/>
    <w:rsid w:val="00BF49F2"/>
    <w:rsid w:val="00BF5D7A"/>
    <w:rsid w:val="00BF616F"/>
    <w:rsid w:val="00BF6E7E"/>
    <w:rsid w:val="00BF7D31"/>
    <w:rsid w:val="00C00495"/>
    <w:rsid w:val="00C00752"/>
    <w:rsid w:val="00C010BB"/>
    <w:rsid w:val="00C01D39"/>
    <w:rsid w:val="00C01ECE"/>
    <w:rsid w:val="00C028C8"/>
    <w:rsid w:val="00C0392C"/>
    <w:rsid w:val="00C03C74"/>
    <w:rsid w:val="00C03CD7"/>
    <w:rsid w:val="00C04460"/>
    <w:rsid w:val="00C0521B"/>
    <w:rsid w:val="00C06FEB"/>
    <w:rsid w:val="00C0745D"/>
    <w:rsid w:val="00C07C39"/>
    <w:rsid w:val="00C1050B"/>
    <w:rsid w:val="00C1164E"/>
    <w:rsid w:val="00C11F2B"/>
    <w:rsid w:val="00C125E7"/>
    <w:rsid w:val="00C148E3"/>
    <w:rsid w:val="00C15122"/>
    <w:rsid w:val="00C15308"/>
    <w:rsid w:val="00C158A1"/>
    <w:rsid w:val="00C17130"/>
    <w:rsid w:val="00C175C5"/>
    <w:rsid w:val="00C17764"/>
    <w:rsid w:val="00C17886"/>
    <w:rsid w:val="00C2082D"/>
    <w:rsid w:val="00C2150B"/>
    <w:rsid w:val="00C22A28"/>
    <w:rsid w:val="00C22AE1"/>
    <w:rsid w:val="00C23DE7"/>
    <w:rsid w:val="00C25346"/>
    <w:rsid w:val="00C25824"/>
    <w:rsid w:val="00C258AB"/>
    <w:rsid w:val="00C25F35"/>
    <w:rsid w:val="00C26D69"/>
    <w:rsid w:val="00C31366"/>
    <w:rsid w:val="00C31BAD"/>
    <w:rsid w:val="00C3219F"/>
    <w:rsid w:val="00C326B2"/>
    <w:rsid w:val="00C32AE5"/>
    <w:rsid w:val="00C34252"/>
    <w:rsid w:val="00C34C64"/>
    <w:rsid w:val="00C34C9E"/>
    <w:rsid w:val="00C353E7"/>
    <w:rsid w:val="00C35640"/>
    <w:rsid w:val="00C36E8F"/>
    <w:rsid w:val="00C376E9"/>
    <w:rsid w:val="00C3784A"/>
    <w:rsid w:val="00C37E05"/>
    <w:rsid w:val="00C413B6"/>
    <w:rsid w:val="00C41416"/>
    <w:rsid w:val="00C4226E"/>
    <w:rsid w:val="00C42418"/>
    <w:rsid w:val="00C43854"/>
    <w:rsid w:val="00C43E04"/>
    <w:rsid w:val="00C43FE6"/>
    <w:rsid w:val="00C444EC"/>
    <w:rsid w:val="00C447BB"/>
    <w:rsid w:val="00C44B0C"/>
    <w:rsid w:val="00C44E15"/>
    <w:rsid w:val="00C45347"/>
    <w:rsid w:val="00C461B4"/>
    <w:rsid w:val="00C46C86"/>
    <w:rsid w:val="00C46DC4"/>
    <w:rsid w:val="00C4719F"/>
    <w:rsid w:val="00C47DB3"/>
    <w:rsid w:val="00C51BFC"/>
    <w:rsid w:val="00C5268A"/>
    <w:rsid w:val="00C54F31"/>
    <w:rsid w:val="00C56482"/>
    <w:rsid w:val="00C57048"/>
    <w:rsid w:val="00C570C5"/>
    <w:rsid w:val="00C6209A"/>
    <w:rsid w:val="00C621E3"/>
    <w:rsid w:val="00C63BB4"/>
    <w:rsid w:val="00C65852"/>
    <w:rsid w:val="00C662FE"/>
    <w:rsid w:val="00C672FC"/>
    <w:rsid w:val="00C67FDF"/>
    <w:rsid w:val="00C70D06"/>
    <w:rsid w:val="00C71ACB"/>
    <w:rsid w:val="00C72F01"/>
    <w:rsid w:val="00C732C2"/>
    <w:rsid w:val="00C73CB9"/>
    <w:rsid w:val="00C74D73"/>
    <w:rsid w:val="00C75552"/>
    <w:rsid w:val="00C757C9"/>
    <w:rsid w:val="00C75901"/>
    <w:rsid w:val="00C75B23"/>
    <w:rsid w:val="00C76256"/>
    <w:rsid w:val="00C76FF7"/>
    <w:rsid w:val="00C7745B"/>
    <w:rsid w:val="00C77A17"/>
    <w:rsid w:val="00C77C94"/>
    <w:rsid w:val="00C77ED9"/>
    <w:rsid w:val="00C8010A"/>
    <w:rsid w:val="00C8010B"/>
    <w:rsid w:val="00C8024A"/>
    <w:rsid w:val="00C803D8"/>
    <w:rsid w:val="00C81B82"/>
    <w:rsid w:val="00C828B9"/>
    <w:rsid w:val="00C830FC"/>
    <w:rsid w:val="00C84320"/>
    <w:rsid w:val="00C84375"/>
    <w:rsid w:val="00C855D1"/>
    <w:rsid w:val="00C862D3"/>
    <w:rsid w:val="00C86756"/>
    <w:rsid w:val="00C86E69"/>
    <w:rsid w:val="00C87813"/>
    <w:rsid w:val="00C9124E"/>
    <w:rsid w:val="00C918B1"/>
    <w:rsid w:val="00C94116"/>
    <w:rsid w:val="00C9522E"/>
    <w:rsid w:val="00C9672B"/>
    <w:rsid w:val="00CA01DD"/>
    <w:rsid w:val="00CA0639"/>
    <w:rsid w:val="00CA0C18"/>
    <w:rsid w:val="00CA1EB7"/>
    <w:rsid w:val="00CA30BE"/>
    <w:rsid w:val="00CA37B6"/>
    <w:rsid w:val="00CA3867"/>
    <w:rsid w:val="00CA4ECC"/>
    <w:rsid w:val="00CA547B"/>
    <w:rsid w:val="00CA609B"/>
    <w:rsid w:val="00CA72CE"/>
    <w:rsid w:val="00CA7B3F"/>
    <w:rsid w:val="00CA7B66"/>
    <w:rsid w:val="00CA7F3F"/>
    <w:rsid w:val="00CB04E6"/>
    <w:rsid w:val="00CB197D"/>
    <w:rsid w:val="00CB23D1"/>
    <w:rsid w:val="00CB29AB"/>
    <w:rsid w:val="00CB2AE8"/>
    <w:rsid w:val="00CB2E7C"/>
    <w:rsid w:val="00CB2F71"/>
    <w:rsid w:val="00CB30A0"/>
    <w:rsid w:val="00CB3D4D"/>
    <w:rsid w:val="00CB407A"/>
    <w:rsid w:val="00CB49B3"/>
    <w:rsid w:val="00CB4DDC"/>
    <w:rsid w:val="00CB5612"/>
    <w:rsid w:val="00CB622E"/>
    <w:rsid w:val="00CB64F3"/>
    <w:rsid w:val="00CB6509"/>
    <w:rsid w:val="00CB7148"/>
    <w:rsid w:val="00CB74D2"/>
    <w:rsid w:val="00CB7C53"/>
    <w:rsid w:val="00CC0405"/>
    <w:rsid w:val="00CC06EC"/>
    <w:rsid w:val="00CC0916"/>
    <w:rsid w:val="00CC0A69"/>
    <w:rsid w:val="00CC0BE3"/>
    <w:rsid w:val="00CC146D"/>
    <w:rsid w:val="00CC16BC"/>
    <w:rsid w:val="00CC2256"/>
    <w:rsid w:val="00CC245F"/>
    <w:rsid w:val="00CC32BB"/>
    <w:rsid w:val="00CC3C62"/>
    <w:rsid w:val="00CC3DC2"/>
    <w:rsid w:val="00CC5605"/>
    <w:rsid w:val="00CC5C5F"/>
    <w:rsid w:val="00CC60EF"/>
    <w:rsid w:val="00CC66A6"/>
    <w:rsid w:val="00CC7593"/>
    <w:rsid w:val="00CD04BC"/>
    <w:rsid w:val="00CD0BE8"/>
    <w:rsid w:val="00CD1C2B"/>
    <w:rsid w:val="00CD2855"/>
    <w:rsid w:val="00CD3027"/>
    <w:rsid w:val="00CD40B7"/>
    <w:rsid w:val="00CD43B2"/>
    <w:rsid w:val="00CD6891"/>
    <w:rsid w:val="00CD7F84"/>
    <w:rsid w:val="00CE0097"/>
    <w:rsid w:val="00CE08AF"/>
    <w:rsid w:val="00CE09FF"/>
    <w:rsid w:val="00CE1532"/>
    <w:rsid w:val="00CE29B1"/>
    <w:rsid w:val="00CE2BA1"/>
    <w:rsid w:val="00CE4FBD"/>
    <w:rsid w:val="00CE5545"/>
    <w:rsid w:val="00CE5C3B"/>
    <w:rsid w:val="00CE7260"/>
    <w:rsid w:val="00CE7C1C"/>
    <w:rsid w:val="00CE7E6E"/>
    <w:rsid w:val="00CF0086"/>
    <w:rsid w:val="00CF0178"/>
    <w:rsid w:val="00CF12BA"/>
    <w:rsid w:val="00CF174B"/>
    <w:rsid w:val="00CF1896"/>
    <w:rsid w:val="00CF207F"/>
    <w:rsid w:val="00CF37F0"/>
    <w:rsid w:val="00CF5025"/>
    <w:rsid w:val="00CF5528"/>
    <w:rsid w:val="00CF68DD"/>
    <w:rsid w:val="00CF7176"/>
    <w:rsid w:val="00CF7449"/>
    <w:rsid w:val="00CF798C"/>
    <w:rsid w:val="00CF7D4E"/>
    <w:rsid w:val="00D01233"/>
    <w:rsid w:val="00D0153C"/>
    <w:rsid w:val="00D0195A"/>
    <w:rsid w:val="00D023BB"/>
    <w:rsid w:val="00D02A7B"/>
    <w:rsid w:val="00D02C17"/>
    <w:rsid w:val="00D02C7C"/>
    <w:rsid w:val="00D04011"/>
    <w:rsid w:val="00D052D3"/>
    <w:rsid w:val="00D0689D"/>
    <w:rsid w:val="00D06F69"/>
    <w:rsid w:val="00D06F8C"/>
    <w:rsid w:val="00D0796F"/>
    <w:rsid w:val="00D12131"/>
    <w:rsid w:val="00D124F1"/>
    <w:rsid w:val="00D125F0"/>
    <w:rsid w:val="00D12695"/>
    <w:rsid w:val="00D126DA"/>
    <w:rsid w:val="00D126DB"/>
    <w:rsid w:val="00D130B9"/>
    <w:rsid w:val="00D1488A"/>
    <w:rsid w:val="00D14DF7"/>
    <w:rsid w:val="00D151BB"/>
    <w:rsid w:val="00D151EA"/>
    <w:rsid w:val="00D157C9"/>
    <w:rsid w:val="00D15FBC"/>
    <w:rsid w:val="00D172D1"/>
    <w:rsid w:val="00D2034E"/>
    <w:rsid w:val="00D22DEB"/>
    <w:rsid w:val="00D23BEB"/>
    <w:rsid w:val="00D24183"/>
    <w:rsid w:val="00D24F63"/>
    <w:rsid w:val="00D25074"/>
    <w:rsid w:val="00D2667E"/>
    <w:rsid w:val="00D304E2"/>
    <w:rsid w:val="00D30A39"/>
    <w:rsid w:val="00D32B30"/>
    <w:rsid w:val="00D32B5A"/>
    <w:rsid w:val="00D345F9"/>
    <w:rsid w:val="00D34D6F"/>
    <w:rsid w:val="00D34F00"/>
    <w:rsid w:val="00D3542C"/>
    <w:rsid w:val="00D35441"/>
    <w:rsid w:val="00D35A23"/>
    <w:rsid w:val="00D35B06"/>
    <w:rsid w:val="00D36BB1"/>
    <w:rsid w:val="00D3743F"/>
    <w:rsid w:val="00D37778"/>
    <w:rsid w:val="00D37BB1"/>
    <w:rsid w:val="00D406EA"/>
    <w:rsid w:val="00D41F7A"/>
    <w:rsid w:val="00D4300D"/>
    <w:rsid w:val="00D43454"/>
    <w:rsid w:val="00D43D15"/>
    <w:rsid w:val="00D441F0"/>
    <w:rsid w:val="00D4490A"/>
    <w:rsid w:val="00D455F9"/>
    <w:rsid w:val="00D473DC"/>
    <w:rsid w:val="00D5007E"/>
    <w:rsid w:val="00D51FBA"/>
    <w:rsid w:val="00D52496"/>
    <w:rsid w:val="00D526E3"/>
    <w:rsid w:val="00D534A7"/>
    <w:rsid w:val="00D53565"/>
    <w:rsid w:val="00D537CE"/>
    <w:rsid w:val="00D53B1F"/>
    <w:rsid w:val="00D53BE4"/>
    <w:rsid w:val="00D542B7"/>
    <w:rsid w:val="00D544F0"/>
    <w:rsid w:val="00D54F45"/>
    <w:rsid w:val="00D55178"/>
    <w:rsid w:val="00D553DC"/>
    <w:rsid w:val="00D554C8"/>
    <w:rsid w:val="00D55D68"/>
    <w:rsid w:val="00D56448"/>
    <w:rsid w:val="00D56497"/>
    <w:rsid w:val="00D56861"/>
    <w:rsid w:val="00D5761C"/>
    <w:rsid w:val="00D57F7C"/>
    <w:rsid w:val="00D60973"/>
    <w:rsid w:val="00D61B47"/>
    <w:rsid w:val="00D61CB1"/>
    <w:rsid w:val="00D61D71"/>
    <w:rsid w:val="00D61D96"/>
    <w:rsid w:val="00D62FF7"/>
    <w:rsid w:val="00D636E5"/>
    <w:rsid w:val="00D638D2"/>
    <w:rsid w:val="00D658BB"/>
    <w:rsid w:val="00D65D00"/>
    <w:rsid w:val="00D65F79"/>
    <w:rsid w:val="00D66CA4"/>
    <w:rsid w:val="00D715A4"/>
    <w:rsid w:val="00D71CC0"/>
    <w:rsid w:val="00D71F0E"/>
    <w:rsid w:val="00D7758E"/>
    <w:rsid w:val="00D808DB"/>
    <w:rsid w:val="00D80C2B"/>
    <w:rsid w:val="00D81384"/>
    <w:rsid w:val="00D814BF"/>
    <w:rsid w:val="00D81B45"/>
    <w:rsid w:val="00D82034"/>
    <w:rsid w:val="00D8250B"/>
    <w:rsid w:val="00D8282B"/>
    <w:rsid w:val="00D82F4C"/>
    <w:rsid w:val="00D83002"/>
    <w:rsid w:val="00D835EC"/>
    <w:rsid w:val="00D84442"/>
    <w:rsid w:val="00D845C9"/>
    <w:rsid w:val="00D84BF3"/>
    <w:rsid w:val="00D8621A"/>
    <w:rsid w:val="00D862E1"/>
    <w:rsid w:val="00D873AB"/>
    <w:rsid w:val="00D876A4"/>
    <w:rsid w:val="00D87A83"/>
    <w:rsid w:val="00D902FC"/>
    <w:rsid w:val="00D9041A"/>
    <w:rsid w:val="00D908BD"/>
    <w:rsid w:val="00D90997"/>
    <w:rsid w:val="00D914AE"/>
    <w:rsid w:val="00D91933"/>
    <w:rsid w:val="00D93CCF"/>
    <w:rsid w:val="00D93F23"/>
    <w:rsid w:val="00D93F5C"/>
    <w:rsid w:val="00D94937"/>
    <w:rsid w:val="00D955E3"/>
    <w:rsid w:val="00D959D7"/>
    <w:rsid w:val="00D95A4C"/>
    <w:rsid w:val="00D964DC"/>
    <w:rsid w:val="00D96946"/>
    <w:rsid w:val="00D9736C"/>
    <w:rsid w:val="00D97979"/>
    <w:rsid w:val="00D97F14"/>
    <w:rsid w:val="00DA0CAE"/>
    <w:rsid w:val="00DA10B2"/>
    <w:rsid w:val="00DA1723"/>
    <w:rsid w:val="00DA3532"/>
    <w:rsid w:val="00DA39EE"/>
    <w:rsid w:val="00DA44C3"/>
    <w:rsid w:val="00DA4B3A"/>
    <w:rsid w:val="00DA50AB"/>
    <w:rsid w:val="00DA5206"/>
    <w:rsid w:val="00DA521A"/>
    <w:rsid w:val="00DA605D"/>
    <w:rsid w:val="00DA711A"/>
    <w:rsid w:val="00DA747E"/>
    <w:rsid w:val="00DA7826"/>
    <w:rsid w:val="00DA7FD4"/>
    <w:rsid w:val="00DB034A"/>
    <w:rsid w:val="00DB05C4"/>
    <w:rsid w:val="00DB06D1"/>
    <w:rsid w:val="00DB0B29"/>
    <w:rsid w:val="00DB0B9F"/>
    <w:rsid w:val="00DB0EB5"/>
    <w:rsid w:val="00DB1480"/>
    <w:rsid w:val="00DB155F"/>
    <w:rsid w:val="00DB1708"/>
    <w:rsid w:val="00DB2512"/>
    <w:rsid w:val="00DB29A1"/>
    <w:rsid w:val="00DB2E19"/>
    <w:rsid w:val="00DB2F15"/>
    <w:rsid w:val="00DB328C"/>
    <w:rsid w:val="00DB3AD2"/>
    <w:rsid w:val="00DB3C70"/>
    <w:rsid w:val="00DB3CBA"/>
    <w:rsid w:val="00DB3E4B"/>
    <w:rsid w:val="00DB42F7"/>
    <w:rsid w:val="00DB56F7"/>
    <w:rsid w:val="00DB6662"/>
    <w:rsid w:val="00DB743F"/>
    <w:rsid w:val="00DC0240"/>
    <w:rsid w:val="00DC1C8F"/>
    <w:rsid w:val="00DC229B"/>
    <w:rsid w:val="00DC28AF"/>
    <w:rsid w:val="00DC3304"/>
    <w:rsid w:val="00DC3555"/>
    <w:rsid w:val="00DC3999"/>
    <w:rsid w:val="00DC4974"/>
    <w:rsid w:val="00DC5C2C"/>
    <w:rsid w:val="00DD1135"/>
    <w:rsid w:val="00DD1A45"/>
    <w:rsid w:val="00DD28FD"/>
    <w:rsid w:val="00DD2B74"/>
    <w:rsid w:val="00DD418B"/>
    <w:rsid w:val="00DD4F63"/>
    <w:rsid w:val="00DD54EF"/>
    <w:rsid w:val="00DD6BC7"/>
    <w:rsid w:val="00DD72BB"/>
    <w:rsid w:val="00DD75D5"/>
    <w:rsid w:val="00DD7897"/>
    <w:rsid w:val="00DD7CF5"/>
    <w:rsid w:val="00DE0681"/>
    <w:rsid w:val="00DE0ADC"/>
    <w:rsid w:val="00DE1B06"/>
    <w:rsid w:val="00DE1EC2"/>
    <w:rsid w:val="00DE393D"/>
    <w:rsid w:val="00DE46ED"/>
    <w:rsid w:val="00DE4A2C"/>
    <w:rsid w:val="00DE5567"/>
    <w:rsid w:val="00DE5FCB"/>
    <w:rsid w:val="00DE63FE"/>
    <w:rsid w:val="00DE6A41"/>
    <w:rsid w:val="00DE6CB3"/>
    <w:rsid w:val="00DF067A"/>
    <w:rsid w:val="00DF0897"/>
    <w:rsid w:val="00DF0E8D"/>
    <w:rsid w:val="00DF13B1"/>
    <w:rsid w:val="00DF14A6"/>
    <w:rsid w:val="00DF1ACB"/>
    <w:rsid w:val="00DF3979"/>
    <w:rsid w:val="00DF4096"/>
    <w:rsid w:val="00DF42FE"/>
    <w:rsid w:val="00DF4821"/>
    <w:rsid w:val="00DF4BC3"/>
    <w:rsid w:val="00DF4D3E"/>
    <w:rsid w:val="00DF6A8B"/>
    <w:rsid w:val="00DF7883"/>
    <w:rsid w:val="00E00989"/>
    <w:rsid w:val="00E00A43"/>
    <w:rsid w:val="00E00FE9"/>
    <w:rsid w:val="00E01275"/>
    <w:rsid w:val="00E015C9"/>
    <w:rsid w:val="00E02D60"/>
    <w:rsid w:val="00E02FC8"/>
    <w:rsid w:val="00E037B1"/>
    <w:rsid w:val="00E03C7B"/>
    <w:rsid w:val="00E03D1A"/>
    <w:rsid w:val="00E048FC"/>
    <w:rsid w:val="00E04AF3"/>
    <w:rsid w:val="00E0583B"/>
    <w:rsid w:val="00E060EF"/>
    <w:rsid w:val="00E066BA"/>
    <w:rsid w:val="00E0679B"/>
    <w:rsid w:val="00E070F1"/>
    <w:rsid w:val="00E0745B"/>
    <w:rsid w:val="00E07652"/>
    <w:rsid w:val="00E07E8D"/>
    <w:rsid w:val="00E1057B"/>
    <w:rsid w:val="00E10A6E"/>
    <w:rsid w:val="00E1106F"/>
    <w:rsid w:val="00E11139"/>
    <w:rsid w:val="00E120FA"/>
    <w:rsid w:val="00E13182"/>
    <w:rsid w:val="00E13CBE"/>
    <w:rsid w:val="00E153D3"/>
    <w:rsid w:val="00E15405"/>
    <w:rsid w:val="00E15463"/>
    <w:rsid w:val="00E157F9"/>
    <w:rsid w:val="00E16004"/>
    <w:rsid w:val="00E16BD2"/>
    <w:rsid w:val="00E175D8"/>
    <w:rsid w:val="00E20C63"/>
    <w:rsid w:val="00E20D7C"/>
    <w:rsid w:val="00E214B9"/>
    <w:rsid w:val="00E21501"/>
    <w:rsid w:val="00E22B16"/>
    <w:rsid w:val="00E22C7B"/>
    <w:rsid w:val="00E22DB7"/>
    <w:rsid w:val="00E23CEB"/>
    <w:rsid w:val="00E24730"/>
    <w:rsid w:val="00E24A71"/>
    <w:rsid w:val="00E24CB9"/>
    <w:rsid w:val="00E25A02"/>
    <w:rsid w:val="00E265DA"/>
    <w:rsid w:val="00E267D9"/>
    <w:rsid w:val="00E26E72"/>
    <w:rsid w:val="00E26FA7"/>
    <w:rsid w:val="00E27FA9"/>
    <w:rsid w:val="00E30D1E"/>
    <w:rsid w:val="00E3193C"/>
    <w:rsid w:val="00E320B6"/>
    <w:rsid w:val="00E32389"/>
    <w:rsid w:val="00E33755"/>
    <w:rsid w:val="00E3394F"/>
    <w:rsid w:val="00E33B77"/>
    <w:rsid w:val="00E34D0F"/>
    <w:rsid w:val="00E354E7"/>
    <w:rsid w:val="00E35963"/>
    <w:rsid w:val="00E35E1F"/>
    <w:rsid w:val="00E36CE6"/>
    <w:rsid w:val="00E36DEB"/>
    <w:rsid w:val="00E3708A"/>
    <w:rsid w:val="00E3789E"/>
    <w:rsid w:val="00E4052D"/>
    <w:rsid w:val="00E406B3"/>
    <w:rsid w:val="00E4119B"/>
    <w:rsid w:val="00E4184A"/>
    <w:rsid w:val="00E425C4"/>
    <w:rsid w:val="00E4276C"/>
    <w:rsid w:val="00E428BE"/>
    <w:rsid w:val="00E4395B"/>
    <w:rsid w:val="00E43A35"/>
    <w:rsid w:val="00E460B3"/>
    <w:rsid w:val="00E46147"/>
    <w:rsid w:val="00E46B04"/>
    <w:rsid w:val="00E4749B"/>
    <w:rsid w:val="00E506B6"/>
    <w:rsid w:val="00E50BB9"/>
    <w:rsid w:val="00E51997"/>
    <w:rsid w:val="00E51A39"/>
    <w:rsid w:val="00E51A5B"/>
    <w:rsid w:val="00E52673"/>
    <w:rsid w:val="00E526B9"/>
    <w:rsid w:val="00E5435D"/>
    <w:rsid w:val="00E5468F"/>
    <w:rsid w:val="00E54D47"/>
    <w:rsid w:val="00E56087"/>
    <w:rsid w:val="00E56175"/>
    <w:rsid w:val="00E565CF"/>
    <w:rsid w:val="00E56742"/>
    <w:rsid w:val="00E56BBA"/>
    <w:rsid w:val="00E571DF"/>
    <w:rsid w:val="00E603C0"/>
    <w:rsid w:val="00E603F0"/>
    <w:rsid w:val="00E60EE0"/>
    <w:rsid w:val="00E60F0D"/>
    <w:rsid w:val="00E6115F"/>
    <w:rsid w:val="00E618E0"/>
    <w:rsid w:val="00E620CD"/>
    <w:rsid w:val="00E622E7"/>
    <w:rsid w:val="00E6425E"/>
    <w:rsid w:val="00E64B88"/>
    <w:rsid w:val="00E65654"/>
    <w:rsid w:val="00E65B79"/>
    <w:rsid w:val="00E66016"/>
    <w:rsid w:val="00E66F01"/>
    <w:rsid w:val="00E67672"/>
    <w:rsid w:val="00E700AB"/>
    <w:rsid w:val="00E705B1"/>
    <w:rsid w:val="00E70C4C"/>
    <w:rsid w:val="00E71283"/>
    <w:rsid w:val="00E71569"/>
    <w:rsid w:val="00E726CA"/>
    <w:rsid w:val="00E72C97"/>
    <w:rsid w:val="00E73532"/>
    <w:rsid w:val="00E73C5E"/>
    <w:rsid w:val="00E774FB"/>
    <w:rsid w:val="00E7788A"/>
    <w:rsid w:val="00E800E1"/>
    <w:rsid w:val="00E80424"/>
    <w:rsid w:val="00E81EDC"/>
    <w:rsid w:val="00E82DF1"/>
    <w:rsid w:val="00E83157"/>
    <w:rsid w:val="00E83930"/>
    <w:rsid w:val="00E842AF"/>
    <w:rsid w:val="00E8514D"/>
    <w:rsid w:val="00E85389"/>
    <w:rsid w:val="00E85D41"/>
    <w:rsid w:val="00E8604F"/>
    <w:rsid w:val="00E86558"/>
    <w:rsid w:val="00E87095"/>
    <w:rsid w:val="00E87826"/>
    <w:rsid w:val="00E87A01"/>
    <w:rsid w:val="00E90911"/>
    <w:rsid w:val="00E90E26"/>
    <w:rsid w:val="00E916D4"/>
    <w:rsid w:val="00E91983"/>
    <w:rsid w:val="00E939D7"/>
    <w:rsid w:val="00E94742"/>
    <w:rsid w:val="00E9481C"/>
    <w:rsid w:val="00E954E4"/>
    <w:rsid w:val="00E957CB"/>
    <w:rsid w:val="00E97E64"/>
    <w:rsid w:val="00EA081D"/>
    <w:rsid w:val="00EA0C14"/>
    <w:rsid w:val="00EA3C8A"/>
    <w:rsid w:val="00EA41C8"/>
    <w:rsid w:val="00EA463B"/>
    <w:rsid w:val="00EA4996"/>
    <w:rsid w:val="00EA510D"/>
    <w:rsid w:val="00EA60D8"/>
    <w:rsid w:val="00EA76BF"/>
    <w:rsid w:val="00EB0E1E"/>
    <w:rsid w:val="00EB0F45"/>
    <w:rsid w:val="00EB1304"/>
    <w:rsid w:val="00EB2B58"/>
    <w:rsid w:val="00EB33EA"/>
    <w:rsid w:val="00EB397F"/>
    <w:rsid w:val="00EB4AAA"/>
    <w:rsid w:val="00EB4D93"/>
    <w:rsid w:val="00EB4E08"/>
    <w:rsid w:val="00EB5862"/>
    <w:rsid w:val="00EB5BD7"/>
    <w:rsid w:val="00EB7D70"/>
    <w:rsid w:val="00EB7D79"/>
    <w:rsid w:val="00EC0054"/>
    <w:rsid w:val="00EC00BA"/>
    <w:rsid w:val="00EC0968"/>
    <w:rsid w:val="00EC1160"/>
    <w:rsid w:val="00EC1189"/>
    <w:rsid w:val="00EC16B6"/>
    <w:rsid w:val="00EC1FA6"/>
    <w:rsid w:val="00EC23A0"/>
    <w:rsid w:val="00EC247B"/>
    <w:rsid w:val="00EC29B9"/>
    <w:rsid w:val="00EC3951"/>
    <w:rsid w:val="00EC4F8D"/>
    <w:rsid w:val="00EC77A9"/>
    <w:rsid w:val="00EC7B23"/>
    <w:rsid w:val="00EC7C93"/>
    <w:rsid w:val="00ED1D37"/>
    <w:rsid w:val="00ED2953"/>
    <w:rsid w:val="00ED307C"/>
    <w:rsid w:val="00ED3B76"/>
    <w:rsid w:val="00ED3F65"/>
    <w:rsid w:val="00ED43E4"/>
    <w:rsid w:val="00ED5268"/>
    <w:rsid w:val="00ED560C"/>
    <w:rsid w:val="00ED6622"/>
    <w:rsid w:val="00ED6C76"/>
    <w:rsid w:val="00ED6E30"/>
    <w:rsid w:val="00ED794E"/>
    <w:rsid w:val="00EE1B92"/>
    <w:rsid w:val="00EE39DD"/>
    <w:rsid w:val="00EE3EAD"/>
    <w:rsid w:val="00EE5EEB"/>
    <w:rsid w:val="00EE5F32"/>
    <w:rsid w:val="00EE6144"/>
    <w:rsid w:val="00EE7140"/>
    <w:rsid w:val="00EF01F6"/>
    <w:rsid w:val="00EF03A0"/>
    <w:rsid w:val="00EF0BE0"/>
    <w:rsid w:val="00EF1880"/>
    <w:rsid w:val="00EF3376"/>
    <w:rsid w:val="00EF3DFC"/>
    <w:rsid w:val="00EF5134"/>
    <w:rsid w:val="00EF5356"/>
    <w:rsid w:val="00EF579B"/>
    <w:rsid w:val="00EF58C2"/>
    <w:rsid w:val="00EF64A7"/>
    <w:rsid w:val="00EF689C"/>
    <w:rsid w:val="00F0104A"/>
    <w:rsid w:val="00F01065"/>
    <w:rsid w:val="00F01492"/>
    <w:rsid w:val="00F02F4F"/>
    <w:rsid w:val="00F0413B"/>
    <w:rsid w:val="00F04413"/>
    <w:rsid w:val="00F05A83"/>
    <w:rsid w:val="00F06353"/>
    <w:rsid w:val="00F06849"/>
    <w:rsid w:val="00F06857"/>
    <w:rsid w:val="00F06E30"/>
    <w:rsid w:val="00F109D6"/>
    <w:rsid w:val="00F10E93"/>
    <w:rsid w:val="00F11022"/>
    <w:rsid w:val="00F110E9"/>
    <w:rsid w:val="00F11130"/>
    <w:rsid w:val="00F112E9"/>
    <w:rsid w:val="00F1191B"/>
    <w:rsid w:val="00F1213D"/>
    <w:rsid w:val="00F13AFC"/>
    <w:rsid w:val="00F14060"/>
    <w:rsid w:val="00F14338"/>
    <w:rsid w:val="00F14E13"/>
    <w:rsid w:val="00F15194"/>
    <w:rsid w:val="00F1542E"/>
    <w:rsid w:val="00F17871"/>
    <w:rsid w:val="00F17EF8"/>
    <w:rsid w:val="00F202F0"/>
    <w:rsid w:val="00F22401"/>
    <w:rsid w:val="00F22F80"/>
    <w:rsid w:val="00F23656"/>
    <w:rsid w:val="00F2372A"/>
    <w:rsid w:val="00F23A88"/>
    <w:rsid w:val="00F24B11"/>
    <w:rsid w:val="00F26293"/>
    <w:rsid w:val="00F273DA"/>
    <w:rsid w:val="00F273DF"/>
    <w:rsid w:val="00F31AFF"/>
    <w:rsid w:val="00F31DB6"/>
    <w:rsid w:val="00F322D3"/>
    <w:rsid w:val="00F325B4"/>
    <w:rsid w:val="00F32646"/>
    <w:rsid w:val="00F32B38"/>
    <w:rsid w:val="00F33094"/>
    <w:rsid w:val="00F35386"/>
    <w:rsid w:val="00F354EC"/>
    <w:rsid w:val="00F35CFC"/>
    <w:rsid w:val="00F37CA0"/>
    <w:rsid w:val="00F4003D"/>
    <w:rsid w:val="00F413B5"/>
    <w:rsid w:val="00F4175F"/>
    <w:rsid w:val="00F41A91"/>
    <w:rsid w:val="00F421AC"/>
    <w:rsid w:val="00F43512"/>
    <w:rsid w:val="00F43F08"/>
    <w:rsid w:val="00F44195"/>
    <w:rsid w:val="00F46B9A"/>
    <w:rsid w:val="00F47AF8"/>
    <w:rsid w:val="00F47E01"/>
    <w:rsid w:val="00F5113C"/>
    <w:rsid w:val="00F512D6"/>
    <w:rsid w:val="00F51BFF"/>
    <w:rsid w:val="00F51CAA"/>
    <w:rsid w:val="00F520EA"/>
    <w:rsid w:val="00F53DAA"/>
    <w:rsid w:val="00F53DCD"/>
    <w:rsid w:val="00F54E62"/>
    <w:rsid w:val="00F554FF"/>
    <w:rsid w:val="00F55694"/>
    <w:rsid w:val="00F56854"/>
    <w:rsid w:val="00F56D18"/>
    <w:rsid w:val="00F56F50"/>
    <w:rsid w:val="00F60252"/>
    <w:rsid w:val="00F60C57"/>
    <w:rsid w:val="00F61742"/>
    <w:rsid w:val="00F61CD9"/>
    <w:rsid w:val="00F63324"/>
    <w:rsid w:val="00F657AE"/>
    <w:rsid w:val="00F65B68"/>
    <w:rsid w:val="00F66E7B"/>
    <w:rsid w:val="00F67CB0"/>
    <w:rsid w:val="00F7045A"/>
    <w:rsid w:val="00F70496"/>
    <w:rsid w:val="00F705F0"/>
    <w:rsid w:val="00F711B4"/>
    <w:rsid w:val="00F711B5"/>
    <w:rsid w:val="00F714EC"/>
    <w:rsid w:val="00F71F2A"/>
    <w:rsid w:val="00F72D08"/>
    <w:rsid w:val="00F732DE"/>
    <w:rsid w:val="00F740A8"/>
    <w:rsid w:val="00F7424E"/>
    <w:rsid w:val="00F7494D"/>
    <w:rsid w:val="00F74FC2"/>
    <w:rsid w:val="00F75837"/>
    <w:rsid w:val="00F75C55"/>
    <w:rsid w:val="00F76669"/>
    <w:rsid w:val="00F7720A"/>
    <w:rsid w:val="00F77A49"/>
    <w:rsid w:val="00F77AD5"/>
    <w:rsid w:val="00F80507"/>
    <w:rsid w:val="00F80EF1"/>
    <w:rsid w:val="00F81031"/>
    <w:rsid w:val="00F815A6"/>
    <w:rsid w:val="00F819A5"/>
    <w:rsid w:val="00F8208D"/>
    <w:rsid w:val="00F82ADD"/>
    <w:rsid w:val="00F836C8"/>
    <w:rsid w:val="00F84F4D"/>
    <w:rsid w:val="00F85055"/>
    <w:rsid w:val="00F851E4"/>
    <w:rsid w:val="00F86971"/>
    <w:rsid w:val="00F8736C"/>
    <w:rsid w:val="00F877E7"/>
    <w:rsid w:val="00F87A9A"/>
    <w:rsid w:val="00F87AB7"/>
    <w:rsid w:val="00F90288"/>
    <w:rsid w:val="00F90F94"/>
    <w:rsid w:val="00F935A6"/>
    <w:rsid w:val="00F94243"/>
    <w:rsid w:val="00F942BD"/>
    <w:rsid w:val="00F9654B"/>
    <w:rsid w:val="00F9752A"/>
    <w:rsid w:val="00F97684"/>
    <w:rsid w:val="00F97BFE"/>
    <w:rsid w:val="00FA054E"/>
    <w:rsid w:val="00FA2716"/>
    <w:rsid w:val="00FA27B9"/>
    <w:rsid w:val="00FA28B0"/>
    <w:rsid w:val="00FA2B69"/>
    <w:rsid w:val="00FA311D"/>
    <w:rsid w:val="00FA444E"/>
    <w:rsid w:val="00FA5A1F"/>
    <w:rsid w:val="00FA665E"/>
    <w:rsid w:val="00FA689D"/>
    <w:rsid w:val="00FA72BC"/>
    <w:rsid w:val="00FB1B76"/>
    <w:rsid w:val="00FB1C45"/>
    <w:rsid w:val="00FB1EF0"/>
    <w:rsid w:val="00FB2099"/>
    <w:rsid w:val="00FB3146"/>
    <w:rsid w:val="00FB3722"/>
    <w:rsid w:val="00FB3899"/>
    <w:rsid w:val="00FB39A5"/>
    <w:rsid w:val="00FB3B23"/>
    <w:rsid w:val="00FB5FF8"/>
    <w:rsid w:val="00FB6D77"/>
    <w:rsid w:val="00FB711E"/>
    <w:rsid w:val="00FB7308"/>
    <w:rsid w:val="00FB775E"/>
    <w:rsid w:val="00FC135E"/>
    <w:rsid w:val="00FC1982"/>
    <w:rsid w:val="00FC28EA"/>
    <w:rsid w:val="00FC298B"/>
    <w:rsid w:val="00FC2CB4"/>
    <w:rsid w:val="00FC3104"/>
    <w:rsid w:val="00FC3DAF"/>
    <w:rsid w:val="00FC44F3"/>
    <w:rsid w:val="00FC4F8C"/>
    <w:rsid w:val="00FC5A4F"/>
    <w:rsid w:val="00FC6BAD"/>
    <w:rsid w:val="00FC7137"/>
    <w:rsid w:val="00FD004B"/>
    <w:rsid w:val="00FD037C"/>
    <w:rsid w:val="00FD0C36"/>
    <w:rsid w:val="00FD19F5"/>
    <w:rsid w:val="00FD237A"/>
    <w:rsid w:val="00FD2580"/>
    <w:rsid w:val="00FD2771"/>
    <w:rsid w:val="00FD3516"/>
    <w:rsid w:val="00FD4160"/>
    <w:rsid w:val="00FD5554"/>
    <w:rsid w:val="00FD5557"/>
    <w:rsid w:val="00FD59BD"/>
    <w:rsid w:val="00FD6174"/>
    <w:rsid w:val="00FD6624"/>
    <w:rsid w:val="00FD6CF6"/>
    <w:rsid w:val="00FD6E14"/>
    <w:rsid w:val="00FD7035"/>
    <w:rsid w:val="00FD7835"/>
    <w:rsid w:val="00FE1201"/>
    <w:rsid w:val="00FE4559"/>
    <w:rsid w:val="00FE476F"/>
    <w:rsid w:val="00FE4A89"/>
    <w:rsid w:val="00FE6515"/>
    <w:rsid w:val="00FE7867"/>
    <w:rsid w:val="00FF053C"/>
    <w:rsid w:val="00FF0549"/>
    <w:rsid w:val="00FF0815"/>
    <w:rsid w:val="00FF0E06"/>
    <w:rsid w:val="00FF0FBE"/>
    <w:rsid w:val="00FF12AB"/>
    <w:rsid w:val="00FF2B53"/>
    <w:rsid w:val="00FF357F"/>
    <w:rsid w:val="00FF4202"/>
    <w:rsid w:val="00FF54B9"/>
    <w:rsid w:val="00FF5792"/>
    <w:rsid w:val="00FF654D"/>
    <w:rsid w:val="00FF6A22"/>
    <w:rsid w:val="01163B8D"/>
    <w:rsid w:val="012A4192"/>
    <w:rsid w:val="022F56F4"/>
    <w:rsid w:val="02444F37"/>
    <w:rsid w:val="02674448"/>
    <w:rsid w:val="02B83389"/>
    <w:rsid w:val="02DD1940"/>
    <w:rsid w:val="038928AB"/>
    <w:rsid w:val="04374AF7"/>
    <w:rsid w:val="064B2778"/>
    <w:rsid w:val="08C74248"/>
    <w:rsid w:val="09031E59"/>
    <w:rsid w:val="09080200"/>
    <w:rsid w:val="0926237D"/>
    <w:rsid w:val="0938545D"/>
    <w:rsid w:val="09A20568"/>
    <w:rsid w:val="09BA4D96"/>
    <w:rsid w:val="0A774CBA"/>
    <w:rsid w:val="0AC55C00"/>
    <w:rsid w:val="0B2B4BF9"/>
    <w:rsid w:val="0B534676"/>
    <w:rsid w:val="0B7146FC"/>
    <w:rsid w:val="0B880BA4"/>
    <w:rsid w:val="0C332804"/>
    <w:rsid w:val="0C341DD6"/>
    <w:rsid w:val="0C853D98"/>
    <w:rsid w:val="0D1A1710"/>
    <w:rsid w:val="0D6945E7"/>
    <w:rsid w:val="0DC94AEA"/>
    <w:rsid w:val="0E4D0598"/>
    <w:rsid w:val="0F091E10"/>
    <w:rsid w:val="0FCB68F0"/>
    <w:rsid w:val="0FDA5923"/>
    <w:rsid w:val="10EA5A3E"/>
    <w:rsid w:val="11A97F78"/>
    <w:rsid w:val="12D7233A"/>
    <w:rsid w:val="13C60D2F"/>
    <w:rsid w:val="14924D6A"/>
    <w:rsid w:val="14B83C03"/>
    <w:rsid w:val="15DD5116"/>
    <w:rsid w:val="15E37687"/>
    <w:rsid w:val="15EB1B68"/>
    <w:rsid w:val="1645299C"/>
    <w:rsid w:val="16EE34AD"/>
    <w:rsid w:val="175005C5"/>
    <w:rsid w:val="17673F41"/>
    <w:rsid w:val="193652E0"/>
    <w:rsid w:val="19512824"/>
    <w:rsid w:val="1A016DE3"/>
    <w:rsid w:val="1A197364"/>
    <w:rsid w:val="1A552783"/>
    <w:rsid w:val="1B3A03C9"/>
    <w:rsid w:val="1BA84FF4"/>
    <w:rsid w:val="1E9A0588"/>
    <w:rsid w:val="1EC65655"/>
    <w:rsid w:val="20C34CDF"/>
    <w:rsid w:val="21A91AF9"/>
    <w:rsid w:val="222C5C00"/>
    <w:rsid w:val="22AA4A28"/>
    <w:rsid w:val="22E11987"/>
    <w:rsid w:val="23105D3E"/>
    <w:rsid w:val="2324124A"/>
    <w:rsid w:val="23AC36B9"/>
    <w:rsid w:val="24943759"/>
    <w:rsid w:val="24B410D9"/>
    <w:rsid w:val="25366A7A"/>
    <w:rsid w:val="25750E19"/>
    <w:rsid w:val="25C428AA"/>
    <w:rsid w:val="25D51712"/>
    <w:rsid w:val="269735DF"/>
    <w:rsid w:val="269E30FB"/>
    <w:rsid w:val="26CC7D6C"/>
    <w:rsid w:val="274A02E2"/>
    <w:rsid w:val="2769074B"/>
    <w:rsid w:val="2930026E"/>
    <w:rsid w:val="29B738D4"/>
    <w:rsid w:val="2B913B74"/>
    <w:rsid w:val="2BCF1FA9"/>
    <w:rsid w:val="2BF844E9"/>
    <w:rsid w:val="2C0A3652"/>
    <w:rsid w:val="2D0600D0"/>
    <w:rsid w:val="2D6E3085"/>
    <w:rsid w:val="2DEE7415"/>
    <w:rsid w:val="2E22468F"/>
    <w:rsid w:val="2E2C7B08"/>
    <w:rsid w:val="2E693FEF"/>
    <w:rsid w:val="2E9711FD"/>
    <w:rsid w:val="2FC236DF"/>
    <w:rsid w:val="2FD24B9E"/>
    <w:rsid w:val="311B1CCD"/>
    <w:rsid w:val="31CA76B7"/>
    <w:rsid w:val="324033E8"/>
    <w:rsid w:val="32C76312"/>
    <w:rsid w:val="32E77A49"/>
    <w:rsid w:val="339B25B9"/>
    <w:rsid w:val="34067F31"/>
    <w:rsid w:val="366307E3"/>
    <w:rsid w:val="36854E1B"/>
    <w:rsid w:val="395C0326"/>
    <w:rsid w:val="395F7BD9"/>
    <w:rsid w:val="39692A06"/>
    <w:rsid w:val="3A4A00B7"/>
    <w:rsid w:val="3A6C0223"/>
    <w:rsid w:val="3AE942A5"/>
    <w:rsid w:val="3B3F4A55"/>
    <w:rsid w:val="3B892174"/>
    <w:rsid w:val="3B963D1A"/>
    <w:rsid w:val="3D671F31"/>
    <w:rsid w:val="3DFA62A6"/>
    <w:rsid w:val="3E681504"/>
    <w:rsid w:val="3F176EB8"/>
    <w:rsid w:val="3F9F7D2B"/>
    <w:rsid w:val="3FCC23AD"/>
    <w:rsid w:val="408B105B"/>
    <w:rsid w:val="410D0898"/>
    <w:rsid w:val="424F6B0E"/>
    <w:rsid w:val="43C36BFD"/>
    <w:rsid w:val="441B1DD7"/>
    <w:rsid w:val="447137A5"/>
    <w:rsid w:val="449C43E0"/>
    <w:rsid w:val="44C4421D"/>
    <w:rsid w:val="45822395"/>
    <w:rsid w:val="45CB1733"/>
    <w:rsid w:val="45F6298A"/>
    <w:rsid w:val="46770756"/>
    <w:rsid w:val="46AA5BE8"/>
    <w:rsid w:val="47286642"/>
    <w:rsid w:val="472D42FC"/>
    <w:rsid w:val="48631D90"/>
    <w:rsid w:val="4A5A75FA"/>
    <w:rsid w:val="4A895CED"/>
    <w:rsid w:val="4AF3760A"/>
    <w:rsid w:val="4B267170"/>
    <w:rsid w:val="4B9A5CD8"/>
    <w:rsid w:val="4BD57E3C"/>
    <w:rsid w:val="4C234B46"/>
    <w:rsid w:val="4DEA7D44"/>
    <w:rsid w:val="4E07182F"/>
    <w:rsid w:val="4E163603"/>
    <w:rsid w:val="4E1A0BAB"/>
    <w:rsid w:val="4E281900"/>
    <w:rsid w:val="4E350A9A"/>
    <w:rsid w:val="4F111E0D"/>
    <w:rsid w:val="4F925447"/>
    <w:rsid w:val="4FA7451F"/>
    <w:rsid w:val="4FCC45A4"/>
    <w:rsid w:val="5046529C"/>
    <w:rsid w:val="521E65EC"/>
    <w:rsid w:val="535C57B1"/>
    <w:rsid w:val="545C714A"/>
    <w:rsid w:val="552E3885"/>
    <w:rsid w:val="555145AF"/>
    <w:rsid w:val="55C51111"/>
    <w:rsid w:val="566118F6"/>
    <w:rsid w:val="57514B45"/>
    <w:rsid w:val="583F5C4C"/>
    <w:rsid w:val="589A456B"/>
    <w:rsid w:val="58C32D2C"/>
    <w:rsid w:val="595962B3"/>
    <w:rsid w:val="595B548E"/>
    <w:rsid w:val="5A03633A"/>
    <w:rsid w:val="5A30539B"/>
    <w:rsid w:val="5A3279C6"/>
    <w:rsid w:val="5AFC014E"/>
    <w:rsid w:val="5B2D34AF"/>
    <w:rsid w:val="5B2F2972"/>
    <w:rsid w:val="5BE12C6E"/>
    <w:rsid w:val="5C9E5B8B"/>
    <w:rsid w:val="5D431D5C"/>
    <w:rsid w:val="5DD611D9"/>
    <w:rsid w:val="61B85523"/>
    <w:rsid w:val="61FC4A02"/>
    <w:rsid w:val="6244043B"/>
    <w:rsid w:val="633C3AC5"/>
    <w:rsid w:val="63916C90"/>
    <w:rsid w:val="64566B57"/>
    <w:rsid w:val="648001FD"/>
    <w:rsid w:val="654E62AD"/>
    <w:rsid w:val="655C6A57"/>
    <w:rsid w:val="65AD1A2E"/>
    <w:rsid w:val="664663E8"/>
    <w:rsid w:val="66997C80"/>
    <w:rsid w:val="66EF3148"/>
    <w:rsid w:val="683C162A"/>
    <w:rsid w:val="68C814AA"/>
    <w:rsid w:val="6A124E2B"/>
    <w:rsid w:val="6AEA667D"/>
    <w:rsid w:val="6B67752D"/>
    <w:rsid w:val="6CD62A08"/>
    <w:rsid w:val="6E140733"/>
    <w:rsid w:val="6E791BAE"/>
    <w:rsid w:val="6F7E1252"/>
    <w:rsid w:val="6FF55164"/>
    <w:rsid w:val="70CE1193"/>
    <w:rsid w:val="70DC0649"/>
    <w:rsid w:val="71480C4F"/>
    <w:rsid w:val="71D22BB7"/>
    <w:rsid w:val="726903C7"/>
    <w:rsid w:val="747672ED"/>
    <w:rsid w:val="752B576A"/>
    <w:rsid w:val="758B76EB"/>
    <w:rsid w:val="75AE5E08"/>
    <w:rsid w:val="76C0624E"/>
    <w:rsid w:val="779416A9"/>
    <w:rsid w:val="77F84AD8"/>
    <w:rsid w:val="780B4EE4"/>
    <w:rsid w:val="785105E4"/>
    <w:rsid w:val="78A9199B"/>
    <w:rsid w:val="791E1FE6"/>
    <w:rsid w:val="79962AE2"/>
    <w:rsid w:val="79B04ED0"/>
    <w:rsid w:val="7A6C06BC"/>
    <w:rsid w:val="7AED2427"/>
    <w:rsid w:val="7BF81E5F"/>
    <w:rsid w:val="7D7A5942"/>
    <w:rsid w:val="7E1917EA"/>
    <w:rsid w:val="7E1D55BA"/>
    <w:rsid w:val="7F232C40"/>
    <w:rsid w:val="7FBA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5"/>
    <w:link w:val="49"/>
    <w:qFormat/>
    <w:uiPriority w:val="0"/>
    <w:pPr>
      <w:keepNext/>
      <w:keepLines/>
      <w:spacing w:before="260" w:after="260" w:line="500" w:lineRule="exact"/>
      <w:outlineLvl w:val="1"/>
    </w:pPr>
    <w:rPr>
      <w:rFonts w:ascii="Arial" w:hAnsi="Arial" w:eastAsia="黑体"/>
      <w:b/>
      <w:sz w:val="28"/>
      <w:szCs w:val="20"/>
    </w:rPr>
  </w:style>
  <w:style w:type="paragraph" w:styleId="6">
    <w:name w:val="heading 3"/>
    <w:basedOn w:val="1"/>
    <w:next w:val="5"/>
    <w:qFormat/>
    <w:uiPriority w:val="0"/>
    <w:pPr>
      <w:keepNext/>
      <w:keepLines/>
      <w:spacing w:before="260" w:after="260" w:line="412" w:lineRule="auto"/>
      <w:outlineLvl w:val="2"/>
    </w:pPr>
    <w:rPr>
      <w:b/>
      <w:sz w:val="32"/>
      <w:szCs w:val="20"/>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5"/>
    <w:qFormat/>
    <w:uiPriority w:val="0"/>
    <w:pPr>
      <w:keepNext/>
      <w:keepLines/>
      <w:numPr>
        <w:ilvl w:val="4"/>
        <w:numId w:val="1"/>
      </w:numPr>
      <w:spacing w:before="280" w:after="290" w:line="372" w:lineRule="auto"/>
      <w:outlineLvl w:val="4"/>
    </w:pPr>
    <w:rPr>
      <w:b/>
      <w:sz w:val="28"/>
    </w:rPr>
  </w:style>
  <w:style w:type="paragraph" w:styleId="9">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5"/>
    <w:qFormat/>
    <w:uiPriority w:val="0"/>
    <w:pPr>
      <w:keepNext/>
      <w:keepLines/>
      <w:numPr>
        <w:ilvl w:val="6"/>
        <w:numId w:val="1"/>
      </w:numPr>
      <w:spacing w:before="240" w:after="64" w:line="316" w:lineRule="auto"/>
      <w:outlineLvl w:val="6"/>
    </w:pPr>
    <w:rPr>
      <w:b/>
      <w:sz w:val="24"/>
    </w:rPr>
  </w:style>
  <w:style w:type="paragraph" w:styleId="11">
    <w:name w:val="heading 8"/>
    <w:basedOn w:val="1"/>
    <w:next w:val="5"/>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5"/>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5">
    <w:name w:val="Normal Indent"/>
    <w:basedOn w:val="1"/>
    <w:link w:val="46"/>
    <w:qFormat/>
    <w:uiPriority w:val="0"/>
    <w:pPr>
      <w:ind w:firstLine="420"/>
    </w:pPr>
    <w:rPr>
      <w:szCs w:val="20"/>
    </w:rPr>
  </w:style>
  <w:style w:type="paragraph" w:styleId="13">
    <w:name w:val="Body Text"/>
    <w:basedOn w:val="1"/>
    <w:qFormat/>
    <w:uiPriority w:val="99"/>
    <w:pPr>
      <w:spacing w:after="120"/>
    </w:pPr>
  </w:style>
  <w:style w:type="paragraph" w:styleId="14">
    <w:name w:val="Body Text Indent"/>
    <w:basedOn w:val="1"/>
    <w:qFormat/>
    <w:uiPriority w:val="0"/>
    <w:pPr>
      <w:ind w:firstLine="630"/>
    </w:pPr>
    <w:rPr>
      <w:sz w:val="32"/>
      <w:szCs w:val="20"/>
    </w:rPr>
  </w:style>
  <w:style w:type="paragraph" w:styleId="15">
    <w:name w:val="Plain Text"/>
    <w:basedOn w:val="1"/>
    <w:link w:val="38"/>
    <w:qFormat/>
    <w:uiPriority w:val="0"/>
    <w:rPr>
      <w:rFonts w:ascii="宋体" w:hAnsi="Courier New" w:cs="Courier New"/>
      <w:szCs w:val="21"/>
    </w:rPr>
  </w:style>
  <w:style w:type="paragraph" w:styleId="16">
    <w:name w:val="Date"/>
    <w:basedOn w:val="1"/>
    <w:next w:val="1"/>
    <w:qFormat/>
    <w:uiPriority w:val="0"/>
    <w:pPr>
      <w:ind w:left="100" w:leftChars="2500"/>
    </w:pPr>
  </w:style>
  <w:style w:type="paragraph" w:styleId="17">
    <w:name w:val="Body Text Indent 2"/>
    <w:basedOn w:val="1"/>
    <w:qFormat/>
    <w:uiPriority w:val="0"/>
    <w:pPr>
      <w:ind w:firstLine="630"/>
    </w:pPr>
    <w:rPr>
      <w:sz w:val="32"/>
      <w:szCs w:val="20"/>
    </w:rPr>
  </w:style>
  <w:style w:type="paragraph" w:styleId="18">
    <w:name w:val="footer"/>
    <w:basedOn w:val="1"/>
    <w:link w:val="40"/>
    <w:qFormat/>
    <w:uiPriority w:val="0"/>
    <w:pPr>
      <w:tabs>
        <w:tab w:val="center" w:pos="4153"/>
        <w:tab w:val="right" w:pos="8306"/>
      </w:tabs>
      <w:snapToGrid w:val="0"/>
      <w:jc w:val="left"/>
    </w:pPr>
    <w:rPr>
      <w:sz w:val="18"/>
      <w:szCs w:val="20"/>
    </w:rPr>
  </w:style>
  <w:style w:type="paragraph" w:styleId="19">
    <w:name w:val="header"/>
    <w:basedOn w:val="1"/>
    <w:link w:val="39"/>
    <w:qFormat/>
    <w:uiPriority w:val="0"/>
    <w:pPr>
      <w:pBdr>
        <w:bottom w:val="single" w:color="auto" w:sz="6" w:space="1"/>
      </w:pBdr>
      <w:tabs>
        <w:tab w:val="center" w:pos="4153"/>
        <w:tab w:val="right" w:pos="8306"/>
      </w:tabs>
      <w:snapToGrid w:val="0"/>
      <w:jc w:val="center"/>
    </w:pPr>
    <w:rPr>
      <w:sz w:val="18"/>
      <w:szCs w:val="20"/>
    </w:rPr>
  </w:style>
  <w:style w:type="paragraph" w:styleId="20">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qFormat/>
    <w:uiPriority w:val="0"/>
    <w:pPr>
      <w:spacing w:before="240" w:after="60"/>
      <w:jc w:val="center"/>
      <w:outlineLvl w:val="0"/>
    </w:pPr>
    <w:rPr>
      <w:rFonts w:ascii="等线 Light" w:hAnsi="等线 Light" w:eastAsia="黑体"/>
      <w:b/>
      <w:bCs/>
      <w:sz w:val="44"/>
      <w:szCs w:val="32"/>
    </w:rPr>
  </w:style>
  <w:style w:type="paragraph" w:styleId="23">
    <w:name w:val="Body Text First Indent 2"/>
    <w:basedOn w:val="14"/>
    <w:qFormat/>
    <w:uiPriority w:val="0"/>
    <w:pPr>
      <w:tabs>
        <w:tab w:val="left" w:pos="0"/>
      </w:tabs>
      <w:adjustRightInd w:val="0"/>
      <w:spacing w:line="520" w:lineRule="exact"/>
      <w:ind w:firstLine="210"/>
      <w:textAlignment w:val="baseline"/>
    </w:pPr>
    <w:rPr>
      <w:rFonts w:ascii="黑体" w:hAnsi="Arial" w:eastAsia="黑体"/>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0"/>
    <w:rPr>
      <w:color w:val="136EC2"/>
      <w:u w:val="single"/>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32">
    <w:name w:val="Char1"/>
    <w:basedOn w:val="1"/>
    <w:qFormat/>
    <w:uiPriority w:val="0"/>
    <w:rPr>
      <w:szCs w:val="21"/>
    </w:rPr>
  </w:style>
  <w:style w:type="paragraph" w:customStyle="1" w:styleId="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表格"/>
    <w:basedOn w:val="1"/>
    <w:qFormat/>
    <w:uiPriority w:val="0"/>
    <w:pPr>
      <w:spacing w:line="400" w:lineRule="exact"/>
    </w:pPr>
    <w:rPr>
      <w:sz w:val="24"/>
    </w:rPr>
  </w:style>
  <w:style w:type="paragraph" w:customStyle="1" w:styleId="36">
    <w:name w:val="默认段落字体 Para Char Char Char Char Char Char Char"/>
    <w:basedOn w:val="1"/>
    <w:qFormat/>
    <w:uiPriority w:val="0"/>
    <w:rPr>
      <w:rFonts w:ascii="Tahoma" w:hAnsi="Tahoma"/>
      <w:sz w:val="24"/>
      <w:szCs w:val="20"/>
    </w:rPr>
  </w:style>
  <w:style w:type="paragraph" w:customStyle="1" w:styleId="37">
    <w:name w:val="Char Char Char Char"/>
    <w:basedOn w:val="1"/>
    <w:qFormat/>
    <w:uiPriority w:val="0"/>
    <w:rPr>
      <w:rFonts w:ascii="Tahoma" w:hAnsi="Tahoma"/>
      <w:sz w:val="24"/>
      <w:szCs w:val="20"/>
    </w:rPr>
  </w:style>
  <w:style w:type="character" w:customStyle="1" w:styleId="38">
    <w:name w:val="纯文本 字符"/>
    <w:link w:val="15"/>
    <w:qFormat/>
    <w:locked/>
    <w:uiPriority w:val="0"/>
    <w:rPr>
      <w:rFonts w:ascii="宋体" w:hAnsi="Courier New" w:eastAsia="宋体" w:cs="Courier New"/>
      <w:kern w:val="2"/>
      <w:sz w:val="21"/>
      <w:szCs w:val="21"/>
      <w:lang w:val="en-US" w:eastAsia="zh-CN" w:bidi="ar-SA"/>
    </w:rPr>
  </w:style>
  <w:style w:type="character" w:customStyle="1" w:styleId="39">
    <w:name w:val="页眉 字符"/>
    <w:link w:val="19"/>
    <w:qFormat/>
    <w:uiPriority w:val="0"/>
    <w:rPr>
      <w:rFonts w:eastAsia="宋体"/>
      <w:kern w:val="2"/>
      <w:sz w:val="18"/>
      <w:lang w:val="en-US" w:eastAsia="zh-CN" w:bidi="ar-SA"/>
    </w:rPr>
  </w:style>
  <w:style w:type="character" w:customStyle="1" w:styleId="40">
    <w:name w:val="页脚 字符"/>
    <w:link w:val="18"/>
    <w:qFormat/>
    <w:uiPriority w:val="0"/>
    <w:rPr>
      <w:rFonts w:eastAsia="宋体"/>
      <w:kern w:val="2"/>
      <w:sz w:val="18"/>
      <w:lang w:val="en-US" w:eastAsia="zh-CN" w:bidi="ar-SA"/>
    </w:rPr>
  </w:style>
  <w:style w:type="character" w:customStyle="1" w:styleId="41">
    <w:name w:val="p0 Char"/>
    <w:link w:val="42"/>
    <w:qFormat/>
    <w:uiPriority w:val="0"/>
    <w:rPr>
      <w:rFonts w:eastAsia="宋体"/>
      <w:sz w:val="21"/>
      <w:szCs w:val="21"/>
      <w:lang w:val="en-US" w:eastAsia="zh-CN" w:bidi="ar-SA"/>
    </w:rPr>
  </w:style>
  <w:style w:type="paragraph" w:customStyle="1" w:styleId="42">
    <w:name w:val="p0"/>
    <w:basedOn w:val="1"/>
    <w:link w:val="41"/>
    <w:qFormat/>
    <w:uiPriority w:val="0"/>
    <w:pPr>
      <w:widowControl/>
    </w:pPr>
    <w:rPr>
      <w:kern w:val="0"/>
      <w:szCs w:val="21"/>
    </w:rPr>
  </w:style>
  <w:style w:type="character" w:customStyle="1" w:styleId="43">
    <w:name w:val="普通文字1 Char"/>
    <w:basedOn w:val="26"/>
    <w:qFormat/>
    <w:uiPriority w:val="0"/>
    <w:rPr>
      <w:rFonts w:ascii="宋体" w:hAnsi="Courier New" w:eastAsia="宋体"/>
      <w:kern w:val="2"/>
      <w:sz w:val="21"/>
      <w:lang w:val="en-US" w:eastAsia="zh-CN" w:bidi="ar-SA"/>
    </w:rPr>
  </w:style>
  <w:style w:type="character" w:customStyle="1" w:styleId="44">
    <w:name w:val="bds_nopic2"/>
    <w:basedOn w:val="26"/>
    <w:qFormat/>
    <w:uiPriority w:val="0"/>
    <w:rPr>
      <w:rFonts w:ascii="Times New Roman" w:hAnsi="Times New Roman" w:eastAsia="宋体"/>
    </w:rPr>
  </w:style>
  <w:style w:type="character" w:customStyle="1" w:styleId="45">
    <w:name w:val="style61"/>
    <w:qFormat/>
    <w:uiPriority w:val="0"/>
    <w:rPr>
      <w:color w:val="FF0000"/>
    </w:rPr>
  </w:style>
  <w:style w:type="character" w:customStyle="1" w:styleId="46">
    <w:name w:val="正文缩进 字符"/>
    <w:basedOn w:val="26"/>
    <w:link w:val="5"/>
    <w:qFormat/>
    <w:uiPriority w:val="0"/>
    <w:rPr>
      <w:rFonts w:eastAsia="宋体"/>
      <w:kern w:val="2"/>
      <w:sz w:val="21"/>
      <w:lang w:val="en-US" w:eastAsia="zh-CN" w:bidi="ar-SA"/>
    </w:rPr>
  </w:style>
  <w:style w:type="paragraph" w:customStyle="1" w:styleId="47">
    <w:name w:val="Default"/>
    <w:unhideWhenUsed/>
    <w:qFormat/>
    <w:uiPriority w:val="0"/>
    <w:pPr>
      <w:widowControl w:val="0"/>
      <w:autoSpaceDE w:val="0"/>
      <w:autoSpaceDN w:val="0"/>
    </w:pPr>
    <w:rPr>
      <w:rFonts w:hint="eastAsia" w:ascii="Calibri" w:hAnsi="Calibri" w:eastAsia="宋体" w:cs="Times New Roman"/>
      <w:color w:val="000000"/>
      <w:sz w:val="24"/>
      <w:lang w:val="en-US" w:eastAsia="zh-CN" w:bidi="ar-SA"/>
    </w:rPr>
  </w:style>
  <w:style w:type="paragraph" w:styleId="48">
    <w:name w:val="List Paragraph"/>
    <w:basedOn w:val="1"/>
    <w:qFormat/>
    <w:uiPriority w:val="99"/>
    <w:pPr>
      <w:ind w:firstLine="420" w:firstLineChars="200"/>
    </w:pPr>
  </w:style>
  <w:style w:type="character" w:customStyle="1" w:styleId="49">
    <w:name w:val="标题 2 字符"/>
    <w:basedOn w:val="26"/>
    <w:link w:val="4"/>
    <w:qFormat/>
    <w:uiPriority w:val="0"/>
    <w:rPr>
      <w:rFonts w:ascii="Arial" w:hAnsi="Arial" w:eastAsia="黑体"/>
      <w:b/>
      <w:kern w:val="2"/>
      <w:sz w:val="28"/>
    </w:rPr>
  </w:style>
  <w:style w:type="paragraph" w:customStyle="1" w:styleId="50">
    <w:name w:val=".."/>
    <w:basedOn w:val="1"/>
    <w:next w:val="1"/>
    <w:qFormat/>
    <w:uiPriority w:val="0"/>
    <w:pPr>
      <w:autoSpaceDE w:val="0"/>
      <w:autoSpaceDN w:val="0"/>
      <w:adjustRightInd w:val="0"/>
      <w:jc w:val="left"/>
    </w:pPr>
    <w:rPr>
      <w:rFonts w:ascii="Sim Sun" w:eastAsia="Sim Sun"/>
      <w:kern w:val="0"/>
      <w:sz w:val="24"/>
    </w:rPr>
  </w:style>
  <w:style w:type="character" w:customStyle="1" w:styleId="51">
    <w:name w:val="font11"/>
    <w:basedOn w:val="26"/>
    <w:qFormat/>
    <w:uiPriority w:val="0"/>
    <w:rPr>
      <w:rFonts w:hint="eastAsia" w:ascii="宋体" w:hAnsi="宋体" w:eastAsia="宋体" w:cs="宋体"/>
      <w:color w:val="000000"/>
      <w:sz w:val="18"/>
      <w:szCs w:val="18"/>
      <w:u w:val="none"/>
    </w:rPr>
  </w:style>
  <w:style w:type="character" w:customStyle="1" w:styleId="52">
    <w:name w:val="font01"/>
    <w:basedOn w:val="26"/>
    <w:qFormat/>
    <w:uiPriority w:val="0"/>
    <w:rPr>
      <w:rFonts w:hint="default" w:ascii="Calibri" w:hAnsi="Calibri" w:cs="Calibri"/>
      <w:color w:val="000000"/>
      <w:sz w:val="18"/>
      <w:szCs w:val="18"/>
      <w:u w:val="none"/>
    </w:rPr>
  </w:style>
  <w:style w:type="paragraph" w:customStyle="1" w:styleId="53">
    <w:name w:val="Normal"/>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54">
    <w:name w:val="正文 A"/>
    <w:basedOn w:val="1"/>
    <w:qFormat/>
    <w:uiPriority w:val="99"/>
    <w:rPr>
      <w:rFonts w:hAnsi="Arial Unicode MS" w:eastAsia="Times New Roman"/>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AFD360-EE75-884B-90E9-A01405D345F8}">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66</Pages>
  <Words>32943</Words>
  <Characters>35225</Characters>
  <Lines>259</Lines>
  <Paragraphs>73</Paragraphs>
  <TotalTime>13</TotalTime>
  <ScaleCrop>false</ScaleCrop>
  <LinksUpToDate>false</LinksUpToDate>
  <CharactersWithSpaces>37643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2019-07-12T04:31:00Z</dcterms:created>
  <dc:creator>GZB</dc:creator>
  <cp:lastModifiedBy>张民</cp:lastModifiedBy>
  <cp:lastPrinted>2023-04-26T03:29:00Z</cp:lastPrinted>
  <dcterms:modified xsi:type="dcterms:W3CDTF">2023-07-17T01:32:13Z</dcterms:modified>
  <dc:title>招标编号：xxx政采招[20xxx] xxx号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74706A3A3E72464B82F572CFC4327A20_13</vt:lpwstr>
  </property>
</Properties>
</file>