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360" w:lineRule="auto"/>
        <w:outlineLvl w:val="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一般资格要求：</w:t>
      </w:r>
    </w:p>
    <w:p>
      <w:pPr>
        <w:numPr>
          <w:ilvl w:val="0"/>
          <w:numId w:val="0"/>
        </w:numPr>
        <w:spacing w:line="360" w:lineRule="auto"/>
        <w:outlineLvl w:val="0"/>
        <w:rPr>
          <w:rFonts w:hint="eastAsia" w:ascii="仿宋" w:hAnsi="仿宋" w:eastAsia="仿宋" w:cs="仿宋"/>
          <w:b/>
          <w:bCs/>
          <w:sz w:val="24"/>
          <w:szCs w:val="24"/>
        </w:rPr>
      </w:pPr>
      <w:bookmarkStart w:id="104" w:name="_GoBack"/>
      <w:bookmarkEnd w:id="104"/>
      <w:r>
        <w:rPr>
          <w:rFonts w:hint="eastAsia" w:ascii="仿宋" w:hAnsi="仿宋" w:eastAsia="仿宋" w:cs="仿宋"/>
          <w:b/>
          <w:bCs/>
          <w:sz w:val="24"/>
          <w:szCs w:val="24"/>
        </w:rPr>
        <w:t>符合《中华人民共和国政府采购法》第二十二条的规定：</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1、具有独立承担民事责任的能力（企业法人应提供统一社会信用代码的营业执照；事业法人应提供事业单位法人证、组织机构代码证等证明文件；其他组织应提供合法证明文件；自然人提供身份证明文件）；</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2、具有良好的商业信誉和健全的财务会计制度（提供2022年度财务审计报告或银行资信证明或财政部门认可的政府采购专业担保机构出具的投标担保函）；</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3、具有履行合同所必需的设备和专业技术能力的书面声明（格式详见附件）；</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4、具有依法缴纳税收和社会保障资金的良好记录（提供开标前12个月内任一月份的社保和缴纳税收的证明，依法不需要缴纳社会保障资金、免税或无须缴纳税款的供应商，应提供相关证明文件)；</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5、参加政府采购活动前 3 年内在经营活动中没有重大违法记录的书面声明（格式详见附件）；</w:t>
      </w:r>
    </w:p>
    <w:p>
      <w:pPr>
        <w:spacing w:line="360" w:lineRule="auto"/>
        <w:rPr>
          <w:rFonts w:hint="eastAsia" w:ascii="仿宋" w:hAnsi="仿宋" w:eastAsia="仿宋" w:cs="仿宋"/>
          <w:sz w:val="24"/>
          <w:szCs w:val="24"/>
        </w:rPr>
      </w:pPr>
      <w:r>
        <w:rPr>
          <w:rFonts w:hint="eastAsia" w:ascii="仿宋" w:hAnsi="仿宋" w:eastAsia="仿宋" w:cs="仿宋"/>
          <w:sz w:val="24"/>
          <w:szCs w:val="24"/>
        </w:rPr>
        <w:br w:type="page"/>
      </w:r>
    </w:p>
    <w:p>
      <w:pPr>
        <w:pStyle w:val="3"/>
        <w:spacing w:line="360" w:lineRule="auto"/>
        <w:rPr>
          <w:rFonts w:hint="eastAsia" w:ascii="仿宋" w:hAnsi="仿宋" w:eastAsia="仿宋" w:cs="仿宋"/>
          <w:b w:val="0"/>
          <w:bCs w:val="0"/>
          <w:sz w:val="24"/>
          <w:szCs w:val="24"/>
        </w:rPr>
      </w:pPr>
      <w:bookmarkStart w:id="0" w:name="_Toc29663"/>
      <w:bookmarkStart w:id="1" w:name="_Toc22663"/>
      <w:bookmarkStart w:id="2" w:name="_Toc20811"/>
      <w:bookmarkStart w:id="3" w:name="_Toc29069"/>
      <w:bookmarkStart w:id="4" w:name="_Toc26874"/>
      <w:bookmarkStart w:id="5" w:name="_Toc30349"/>
      <w:bookmarkStart w:id="6" w:name="_Toc8122"/>
      <w:bookmarkStart w:id="7" w:name="_Toc24112"/>
      <w:bookmarkStart w:id="8" w:name="_Toc23104"/>
      <w:bookmarkStart w:id="9" w:name="_Toc15408"/>
      <w:bookmarkStart w:id="10" w:name="_Toc19699"/>
      <w:bookmarkStart w:id="11" w:name="_Toc3688"/>
      <w:bookmarkStart w:id="12" w:name="_Toc1787"/>
      <w:bookmarkStart w:id="13" w:name="_Toc25665"/>
      <w:bookmarkStart w:id="14" w:name="_Toc15418"/>
      <w:bookmarkStart w:id="15" w:name="_Toc29738"/>
      <w:bookmarkStart w:id="16" w:name="_Toc16235"/>
      <w:bookmarkStart w:id="17" w:name="_Toc8108"/>
      <w:bookmarkStart w:id="18" w:name="_Toc21692"/>
      <w:r>
        <w:rPr>
          <w:rFonts w:hint="eastAsia" w:ascii="仿宋" w:hAnsi="仿宋" w:eastAsia="仿宋" w:cs="仿宋"/>
          <w:sz w:val="24"/>
          <w:szCs w:val="24"/>
        </w:rPr>
        <w:t>1具有独立承担民事责任的能力</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spacing w:line="360" w:lineRule="auto"/>
        <w:rPr>
          <w:rFonts w:hint="eastAsia" w:ascii="仿宋" w:hAnsi="仿宋" w:eastAsia="仿宋" w:cs="仿宋"/>
          <w:sz w:val="24"/>
          <w:szCs w:val="24"/>
        </w:rPr>
      </w:pPr>
      <w:bookmarkStart w:id="19" w:name="_Toc6597"/>
      <w:bookmarkStart w:id="20" w:name="_Toc14498"/>
      <w:r>
        <w:rPr>
          <w:rFonts w:hint="eastAsia" w:ascii="仿宋" w:hAnsi="仿宋" w:eastAsia="仿宋" w:cs="仿宋"/>
          <w:sz w:val="24"/>
          <w:szCs w:val="24"/>
        </w:rPr>
        <w:t>说明：</w:t>
      </w:r>
      <w:bookmarkEnd w:id="19"/>
    </w:p>
    <w:p>
      <w:pPr>
        <w:spacing w:line="360" w:lineRule="auto"/>
        <w:rPr>
          <w:rFonts w:hint="eastAsia" w:ascii="仿宋" w:hAnsi="仿宋" w:eastAsia="仿宋" w:cs="仿宋"/>
          <w:sz w:val="24"/>
          <w:szCs w:val="24"/>
        </w:rPr>
      </w:pPr>
      <w:r>
        <w:rPr>
          <w:rFonts w:hint="eastAsia" w:ascii="仿宋" w:hAnsi="仿宋" w:eastAsia="仿宋" w:cs="仿宋"/>
          <w:sz w:val="24"/>
          <w:szCs w:val="24"/>
        </w:rPr>
        <w:t>如供应商是企业（包括合伙企业），应提供在工商部门注册的有效“企业法人营业执照”或“营业执照”；</w:t>
      </w:r>
      <w:bookmarkEnd w:id="20"/>
    </w:p>
    <w:p>
      <w:pPr>
        <w:spacing w:line="360" w:lineRule="auto"/>
        <w:rPr>
          <w:rFonts w:hint="eastAsia" w:ascii="仿宋" w:hAnsi="仿宋" w:eastAsia="仿宋" w:cs="仿宋"/>
          <w:sz w:val="24"/>
          <w:szCs w:val="24"/>
        </w:rPr>
      </w:pPr>
      <w:bookmarkStart w:id="21" w:name="_Toc7642"/>
      <w:r>
        <w:rPr>
          <w:rFonts w:hint="eastAsia" w:ascii="仿宋" w:hAnsi="仿宋" w:eastAsia="仿宋" w:cs="仿宋"/>
          <w:sz w:val="24"/>
          <w:szCs w:val="24"/>
        </w:rPr>
        <w:t>如供应商是事业单位，应提供有效的“事业单位法人证书”；</w:t>
      </w:r>
      <w:bookmarkEnd w:id="21"/>
    </w:p>
    <w:p>
      <w:pPr>
        <w:spacing w:line="360" w:lineRule="auto"/>
        <w:rPr>
          <w:rFonts w:hint="eastAsia" w:ascii="仿宋" w:hAnsi="仿宋" w:eastAsia="仿宋" w:cs="仿宋"/>
          <w:sz w:val="24"/>
          <w:szCs w:val="24"/>
        </w:rPr>
      </w:pPr>
      <w:bookmarkStart w:id="22" w:name="_Toc26806"/>
      <w:r>
        <w:rPr>
          <w:rFonts w:hint="eastAsia" w:ascii="仿宋" w:hAnsi="仿宋" w:eastAsia="仿宋" w:cs="仿宋"/>
          <w:sz w:val="24"/>
          <w:szCs w:val="24"/>
        </w:rPr>
        <w:t>如供应商是为企业专业服务机构的，应提供执业许可证等证明文件；</w:t>
      </w:r>
      <w:bookmarkEnd w:id="22"/>
    </w:p>
    <w:p>
      <w:pPr>
        <w:spacing w:line="360" w:lineRule="auto"/>
        <w:rPr>
          <w:rFonts w:hint="eastAsia" w:ascii="仿宋" w:hAnsi="仿宋" w:eastAsia="仿宋" w:cs="仿宋"/>
          <w:sz w:val="24"/>
          <w:szCs w:val="24"/>
        </w:rPr>
      </w:pPr>
      <w:bookmarkStart w:id="23" w:name="_Toc6346"/>
      <w:r>
        <w:rPr>
          <w:rFonts w:hint="eastAsia" w:ascii="仿宋" w:hAnsi="仿宋" w:eastAsia="仿宋" w:cs="仿宋"/>
          <w:sz w:val="24"/>
          <w:szCs w:val="24"/>
        </w:rPr>
        <w:t>如供应商是个体工商户，应提供有效的“个体工商户营业执照”；</w:t>
      </w:r>
      <w:bookmarkEnd w:id="23"/>
    </w:p>
    <w:p>
      <w:pPr>
        <w:spacing w:line="360" w:lineRule="auto"/>
        <w:rPr>
          <w:rFonts w:hint="eastAsia" w:ascii="仿宋" w:hAnsi="仿宋" w:eastAsia="仿宋" w:cs="仿宋"/>
          <w:sz w:val="24"/>
          <w:szCs w:val="24"/>
        </w:rPr>
      </w:pPr>
      <w:bookmarkStart w:id="24" w:name="_Toc5636"/>
      <w:r>
        <w:rPr>
          <w:rFonts w:hint="eastAsia" w:ascii="仿宋" w:hAnsi="仿宋" w:eastAsia="仿宋" w:cs="仿宋"/>
          <w:sz w:val="24"/>
          <w:szCs w:val="24"/>
        </w:rPr>
        <w:t>如供应商为自然人，应提供有效的自然人身份证明。</w:t>
      </w:r>
      <w:bookmarkEnd w:id="24"/>
    </w:p>
    <w:p>
      <w:pPr>
        <w:spacing w:line="360" w:lineRule="auto"/>
        <w:rPr>
          <w:rFonts w:hint="eastAsia" w:ascii="仿宋" w:hAnsi="仿宋" w:eastAsia="仿宋" w:cs="仿宋"/>
          <w:sz w:val="24"/>
          <w:szCs w:val="24"/>
        </w:rPr>
      </w:pPr>
    </w:p>
    <w:p>
      <w:pPr>
        <w:pStyle w:val="3"/>
        <w:spacing w:line="360" w:lineRule="auto"/>
        <w:rPr>
          <w:rFonts w:hint="eastAsia" w:ascii="仿宋" w:hAnsi="仿宋" w:eastAsia="仿宋" w:cs="仿宋"/>
          <w:b w:val="0"/>
          <w:bCs w:val="0"/>
          <w:sz w:val="24"/>
          <w:szCs w:val="24"/>
        </w:rPr>
      </w:pPr>
      <w:r>
        <w:rPr>
          <w:rFonts w:hint="eastAsia" w:ascii="仿宋" w:hAnsi="仿宋" w:eastAsia="仿宋" w:cs="仿宋"/>
          <w:b w:val="0"/>
          <w:bCs w:val="0"/>
          <w:sz w:val="24"/>
          <w:szCs w:val="24"/>
        </w:rPr>
        <w:br w:type="page"/>
      </w:r>
      <w:bookmarkStart w:id="25" w:name="_Toc29137"/>
      <w:bookmarkStart w:id="26" w:name="_Toc3484"/>
      <w:bookmarkStart w:id="27" w:name="_Toc9609"/>
      <w:bookmarkStart w:id="28" w:name="_Toc8854"/>
      <w:bookmarkStart w:id="29" w:name="_Toc6014"/>
      <w:bookmarkStart w:id="30" w:name="_Toc19652"/>
      <w:bookmarkStart w:id="31" w:name="_Toc26152"/>
      <w:bookmarkStart w:id="32" w:name="_Toc15711"/>
      <w:bookmarkStart w:id="33" w:name="_Toc13419"/>
      <w:bookmarkStart w:id="34" w:name="_Toc8093"/>
      <w:bookmarkStart w:id="35" w:name="_Toc30440"/>
      <w:bookmarkStart w:id="36" w:name="_Toc22256"/>
      <w:bookmarkStart w:id="37" w:name="_Toc24245"/>
      <w:bookmarkStart w:id="38" w:name="_Toc24716"/>
      <w:bookmarkStart w:id="39" w:name="_Toc30767"/>
      <w:bookmarkStart w:id="40" w:name="_Toc16714"/>
      <w:bookmarkStart w:id="41" w:name="_Toc12910"/>
      <w:bookmarkStart w:id="42" w:name="_Toc15454"/>
      <w:bookmarkStart w:id="43" w:name="_Toc30632"/>
      <w:r>
        <w:rPr>
          <w:rFonts w:hint="eastAsia" w:ascii="仿宋" w:hAnsi="仿宋" w:eastAsia="仿宋" w:cs="仿宋"/>
          <w:sz w:val="24"/>
          <w:szCs w:val="24"/>
        </w:rPr>
        <w:t>2</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Pr>
          <w:rFonts w:hint="eastAsia" w:ascii="仿宋" w:hAnsi="仿宋" w:eastAsia="仿宋" w:cs="仿宋"/>
          <w:sz w:val="24"/>
          <w:szCs w:val="24"/>
        </w:rPr>
        <w:t>具有良好的商业信誉和健全的财务会计制度（提供2022年度财务审计报告或银行资信证明或财政部门认可的政府采购专业担保机构出具的投标担保函）</w:t>
      </w:r>
    </w:p>
    <w:p>
      <w:pPr>
        <w:spacing w:line="360" w:lineRule="auto"/>
        <w:rPr>
          <w:rFonts w:hint="eastAsia" w:ascii="仿宋" w:hAnsi="仿宋" w:eastAsia="仿宋" w:cs="仿宋"/>
          <w:sz w:val="24"/>
          <w:szCs w:val="24"/>
        </w:rPr>
      </w:pPr>
      <w:bookmarkStart w:id="44" w:name="_Toc437"/>
      <w:r>
        <w:rPr>
          <w:rFonts w:hint="eastAsia" w:ascii="仿宋" w:hAnsi="仿宋" w:eastAsia="仿宋" w:cs="仿宋"/>
          <w:sz w:val="24"/>
          <w:szCs w:val="24"/>
        </w:rPr>
        <w:t>说明：</w:t>
      </w:r>
      <w:bookmarkEnd w:id="44"/>
    </w:p>
    <w:p>
      <w:pPr>
        <w:spacing w:line="360" w:lineRule="auto"/>
        <w:rPr>
          <w:rFonts w:hint="eastAsia" w:ascii="仿宋" w:hAnsi="仿宋" w:eastAsia="仿宋" w:cs="仿宋"/>
          <w:sz w:val="24"/>
          <w:szCs w:val="24"/>
        </w:rPr>
      </w:pPr>
      <w:bookmarkStart w:id="45" w:name="_Toc26065"/>
      <w:r>
        <w:rPr>
          <w:rFonts w:hint="eastAsia" w:ascii="仿宋" w:hAnsi="仿宋" w:eastAsia="仿宋" w:cs="仿宋"/>
          <w:sz w:val="24"/>
          <w:szCs w:val="24"/>
        </w:rPr>
        <w:t>1、应提供</w:t>
      </w:r>
      <w:r>
        <w:rPr>
          <w:rFonts w:hint="eastAsia" w:ascii="仿宋" w:hAnsi="仿宋" w:eastAsia="仿宋" w:cs="仿宋"/>
          <w:sz w:val="24"/>
          <w:szCs w:val="24"/>
          <w:lang w:val="en-US" w:eastAsia="zh-CN"/>
        </w:rPr>
        <w:t>2022</w:t>
      </w:r>
      <w:r>
        <w:rPr>
          <w:rFonts w:hint="eastAsia" w:ascii="仿宋" w:hAnsi="仿宋" w:eastAsia="仿宋" w:cs="仿宋"/>
          <w:sz w:val="24"/>
          <w:szCs w:val="24"/>
        </w:rPr>
        <w:t>年度经审计的财务报告或银行出具的资信证明。</w:t>
      </w:r>
      <w:bookmarkEnd w:id="45"/>
    </w:p>
    <w:p>
      <w:pPr>
        <w:spacing w:line="360" w:lineRule="auto"/>
        <w:rPr>
          <w:rFonts w:hint="eastAsia" w:ascii="仿宋" w:hAnsi="仿宋" w:eastAsia="仿宋" w:cs="仿宋"/>
          <w:sz w:val="24"/>
          <w:szCs w:val="24"/>
        </w:rPr>
      </w:pPr>
      <w:bookmarkStart w:id="46" w:name="_Toc17703"/>
      <w:r>
        <w:rPr>
          <w:rFonts w:hint="eastAsia" w:ascii="仿宋" w:hAnsi="仿宋" w:eastAsia="仿宋" w:cs="仿宋"/>
          <w:sz w:val="24"/>
          <w:szCs w:val="24"/>
        </w:rPr>
        <w:t>2、供应商提供了财政部门认可的政府采购专业担保机构出具的投标担保函，则不需要提供上述财务状况报告。</w:t>
      </w:r>
    </w:p>
    <w:p>
      <w:pPr>
        <w:spacing w:line="360" w:lineRule="auto"/>
        <w:outlineLvl w:val="2"/>
        <w:rPr>
          <w:rFonts w:hint="eastAsia" w:ascii="仿宋" w:hAnsi="仿宋" w:eastAsia="仿宋" w:cs="仿宋"/>
          <w:sz w:val="24"/>
          <w:szCs w:val="24"/>
        </w:rPr>
      </w:pPr>
      <w:r>
        <w:rPr>
          <w:rFonts w:hint="eastAsia" w:ascii="仿宋" w:hAnsi="仿宋" w:eastAsia="仿宋" w:cs="仿宋"/>
          <w:sz w:val="24"/>
          <w:szCs w:val="24"/>
        </w:rPr>
        <w:br w:type="page"/>
      </w:r>
      <w:bookmarkStart w:id="47" w:name="_Toc14750"/>
      <w:bookmarkStart w:id="48" w:name="_Toc1772"/>
      <w:bookmarkStart w:id="49" w:name="_Toc32647"/>
      <w:bookmarkStart w:id="50" w:name="_Toc1539"/>
      <w:bookmarkStart w:id="51" w:name="_Toc24060"/>
      <w:bookmarkStart w:id="52" w:name="_Toc30266"/>
      <w:bookmarkStart w:id="53" w:name="_Toc19084"/>
      <w:bookmarkStart w:id="54" w:name="_Toc27004"/>
      <w:bookmarkStart w:id="55" w:name="_Toc13979"/>
      <w:bookmarkStart w:id="56" w:name="_Toc30888"/>
      <w:bookmarkStart w:id="57" w:name="_Toc14134"/>
      <w:bookmarkStart w:id="58" w:name="_Toc17741"/>
      <w:bookmarkStart w:id="59" w:name="_Toc13847"/>
      <w:bookmarkStart w:id="60" w:name="_Toc15758"/>
      <w:bookmarkStart w:id="61" w:name="_Toc1240"/>
      <w:bookmarkStart w:id="62" w:name="_Toc9058"/>
      <w:bookmarkStart w:id="63" w:name="_Toc19651"/>
      <w:bookmarkStart w:id="64" w:name="_Toc9650"/>
      <w:r>
        <w:rPr>
          <w:rFonts w:hint="eastAsia" w:ascii="仿宋" w:hAnsi="仿宋" w:eastAsia="仿宋" w:cs="仿宋"/>
          <w:b/>
          <w:bCs/>
          <w:sz w:val="24"/>
          <w:szCs w:val="24"/>
        </w:rPr>
        <w:t>3</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hint="eastAsia" w:ascii="仿宋" w:hAnsi="仿宋" w:eastAsia="仿宋" w:cs="仿宋"/>
          <w:b/>
          <w:bCs/>
          <w:sz w:val="24"/>
          <w:szCs w:val="24"/>
        </w:rPr>
        <w:t>具有履行合同所必需的设备和专业技术能力的书面声明（格式详见附件）</w:t>
      </w:r>
    </w:p>
    <w:p>
      <w:pPr>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lang w:val="en-US" w:eastAsia="zh-CN"/>
        </w:rPr>
        <w:t>西安建筑科技大学</w:t>
      </w:r>
      <w:r>
        <w:rPr>
          <w:rFonts w:hint="eastAsia" w:ascii="仿宋" w:hAnsi="仿宋" w:eastAsia="仿宋" w:cs="仿宋"/>
          <w:spacing w:val="4"/>
          <w:sz w:val="24"/>
          <w:szCs w:val="24"/>
          <w:u w:val="single"/>
        </w:rPr>
        <w:t>：</w:t>
      </w:r>
    </w:p>
    <w:p>
      <w:pPr>
        <w:spacing w:before="312" w:beforeLines="100" w:after="156" w:afterLines="50" w:line="360" w:lineRule="auto"/>
        <w:ind w:firstLine="744" w:firstLineChars="300"/>
        <w:jc w:val="both"/>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（供应商名称）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），本公司郑重承诺，具有履行本合同所必需的设备和专业技术能力。</w:t>
      </w:r>
    </w:p>
    <w:tbl>
      <w:tblPr>
        <w:tblStyle w:val="6"/>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7"/>
        <w:gridCol w:w="2384"/>
        <w:gridCol w:w="2007"/>
        <w:gridCol w:w="753"/>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trPr>
        <w:tc>
          <w:tcPr>
            <w:tcW w:w="8040" w:type="dxa"/>
            <w:gridSpan w:val="5"/>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履行合同所必需的设备清单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trPr>
        <w:tc>
          <w:tcPr>
            <w:tcW w:w="627" w:type="dxa"/>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2384" w:type="dxa"/>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设备或材料名称</w:t>
            </w:r>
          </w:p>
        </w:tc>
        <w:tc>
          <w:tcPr>
            <w:tcW w:w="2007" w:type="dxa"/>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品牌及型号</w:t>
            </w:r>
          </w:p>
        </w:tc>
        <w:tc>
          <w:tcPr>
            <w:tcW w:w="753" w:type="dxa"/>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数量</w:t>
            </w:r>
          </w:p>
        </w:tc>
        <w:tc>
          <w:tcPr>
            <w:tcW w:w="2269" w:type="dxa"/>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备注（自购/租赁）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627" w:type="dxa"/>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2384" w:type="dxa"/>
            <w:noWrap w:val="0"/>
            <w:vAlign w:val="center"/>
          </w:tcPr>
          <w:p>
            <w:pPr>
              <w:spacing w:line="360" w:lineRule="auto"/>
              <w:jc w:val="center"/>
              <w:rPr>
                <w:rFonts w:hint="eastAsia" w:ascii="仿宋" w:hAnsi="仿宋" w:eastAsia="仿宋" w:cs="仿宋"/>
                <w:sz w:val="24"/>
                <w:szCs w:val="24"/>
              </w:rPr>
            </w:pPr>
          </w:p>
        </w:tc>
        <w:tc>
          <w:tcPr>
            <w:tcW w:w="2007" w:type="dxa"/>
            <w:noWrap w:val="0"/>
            <w:vAlign w:val="center"/>
          </w:tcPr>
          <w:p>
            <w:pPr>
              <w:spacing w:line="360" w:lineRule="auto"/>
              <w:jc w:val="center"/>
              <w:rPr>
                <w:rFonts w:hint="eastAsia" w:ascii="仿宋" w:hAnsi="仿宋" w:eastAsia="仿宋" w:cs="仿宋"/>
                <w:sz w:val="24"/>
                <w:szCs w:val="24"/>
              </w:rPr>
            </w:pPr>
          </w:p>
        </w:tc>
        <w:tc>
          <w:tcPr>
            <w:tcW w:w="753" w:type="dxa"/>
            <w:noWrap w:val="0"/>
            <w:vAlign w:val="center"/>
          </w:tcPr>
          <w:p>
            <w:pPr>
              <w:spacing w:line="360" w:lineRule="auto"/>
              <w:jc w:val="center"/>
              <w:rPr>
                <w:rFonts w:hint="eastAsia" w:ascii="仿宋" w:hAnsi="仿宋" w:eastAsia="仿宋" w:cs="仿宋"/>
                <w:sz w:val="24"/>
                <w:szCs w:val="24"/>
              </w:rPr>
            </w:pPr>
          </w:p>
        </w:tc>
        <w:tc>
          <w:tcPr>
            <w:tcW w:w="2269" w:type="dxa"/>
            <w:noWrap w:val="0"/>
            <w:vAlign w:val="center"/>
          </w:tcPr>
          <w:p>
            <w:pPr>
              <w:spacing w:line="360" w:lineRule="auto"/>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27" w:type="dxa"/>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2384" w:type="dxa"/>
            <w:noWrap w:val="0"/>
            <w:vAlign w:val="center"/>
          </w:tcPr>
          <w:p>
            <w:pPr>
              <w:spacing w:line="360" w:lineRule="auto"/>
              <w:jc w:val="center"/>
              <w:rPr>
                <w:rFonts w:hint="eastAsia" w:ascii="仿宋" w:hAnsi="仿宋" w:eastAsia="仿宋" w:cs="仿宋"/>
                <w:sz w:val="24"/>
                <w:szCs w:val="24"/>
              </w:rPr>
            </w:pPr>
          </w:p>
        </w:tc>
        <w:tc>
          <w:tcPr>
            <w:tcW w:w="2007" w:type="dxa"/>
            <w:noWrap w:val="0"/>
            <w:vAlign w:val="center"/>
          </w:tcPr>
          <w:p>
            <w:pPr>
              <w:spacing w:line="360" w:lineRule="auto"/>
              <w:jc w:val="center"/>
              <w:rPr>
                <w:rFonts w:hint="eastAsia" w:ascii="仿宋" w:hAnsi="仿宋" w:eastAsia="仿宋" w:cs="仿宋"/>
                <w:sz w:val="24"/>
                <w:szCs w:val="24"/>
              </w:rPr>
            </w:pPr>
          </w:p>
        </w:tc>
        <w:tc>
          <w:tcPr>
            <w:tcW w:w="753" w:type="dxa"/>
            <w:noWrap w:val="0"/>
            <w:vAlign w:val="center"/>
          </w:tcPr>
          <w:p>
            <w:pPr>
              <w:spacing w:line="360" w:lineRule="auto"/>
              <w:jc w:val="center"/>
              <w:rPr>
                <w:rFonts w:hint="eastAsia" w:ascii="仿宋" w:hAnsi="仿宋" w:eastAsia="仿宋" w:cs="仿宋"/>
                <w:sz w:val="24"/>
                <w:szCs w:val="24"/>
              </w:rPr>
            </w:pPr>
          </w:p>
        </w:tc>
        <w:tc>
          <w:tcPr>
            <w:tcW w:w="2269" w:type="dxa"/>
            <w:noWrap w:val="0"/>
            <w:vAlign w:val="center"/>
          </w:tcPr>
          <w:p>
            <w:pPr>
              <w:spacing w:line="360" w:lineRule="auto"/>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trPr>
        <w:tc>
          <w:tcPr>
            <w:tcW w:w="627" w:type="dxa"/>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2384" w:type="dxa"/>
            <w:noWrap w:val="0"/>
            <w:vAlign w:val="center"/>
          </w:tcPr>
          <w:p>
            <w:pPr>
              <w:spacing w:line="360" w:lineRule="auto"/>
              <w:jc w:val="center"/>
              <w:rPr>
                <w:rFonts w:hint="eastAsia" w:ascii="仿宋" w:hAnsi="仿宋" w:eastAsia="仿宋" w:cs="仿宋"/>
                <w:sz w:val="24"/>
                <w:szCs w:val="24"/>
              </w:rPr>
            </w:pPr>
          </w:p>
        </w:tc>
        <w:tc>
          <w:tcPr>
            <w:tcW w:w="2007" w:type="dxa"/>
            <w:noWrap w:val="0"/>
            <w:vAlign w:val="center"/>
          </w:tcPr>
          <w:p>
            <w:pPr>
              <w:spacing w:line="360" w:lineRule="auto"/>
              <w:jc w:val="center"/>
              <w:rPr>
                <w:rFonts w:hint="eastAsia" w:ascii="仿宋" w:hAnsi="仿宋" w:eastAsia="仿宋" w:cs="仿宋"/>
                <w:sz w:val="24"/>
                <w:szCs w:val="24"/>
              </w:rPr>
            </w:pPr>
          </w:p>
        </w:tc>
        <w:tc>
          <w:tcPr>
            <w:tcW w:w="753" w:type="dxa"/>
            <w:noWrap w:val="0"/>
            <w:vAlign w:val="center"/>
          </w:tcPr>
          <w:p>
            <w:pPr>
              <w:spacing w:line="360" w:lineRule="auto"/>
              <w:jc w:val="center"/>
              <w:rPr>
                <w:rFonts w:hint="eastAsia" w:ascii="仿宋" w:hAnsi="仿宋" w:eastAsia="仿宋" w:cs="仿宋"/>
                <w:sz w:val="24"/>
                <w:szCs w:val="24"/>
              </w:rPr>
            </w:pPr>
          </w:p>
        </w:tc>
        <w:tc>
          <w:tcPr>
            <w:tcW w:w="2269" w:type="dxa"/>
            <w:noWrap w:val="0"/>
            <w:vAlign w:val="center"/>
          </w:tcPr>
          <w:p>
            <w:pPr>
              <w:spacing w:line="360" w:lineRule="auto"/>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7" w:type="dxa"/>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w:t>
            </w:r>
          </w:p>
        </w:tc>
        <w:tc>
          <w:tcPr>
            <w:tcW w:w="2384" w:type="dxa"/>
            <w:noWrap w:val="0"/>
            <w:vAlign w:val="center"/>
          </w:tcPr>
          <w:p>
            <w:pPr>
              <w:spacing w:line="360" w:lineRule="auto"/>
              <w:jc w:val="center"/>
              <w:rPr>
                <w:rFonts w:hint="eastAsia" w:ascii="仿宋" w:hAnsi="仿宋" w:eastAsia="仿宋" w:cs="仿宋"/>
                <w:sz w:val="24"/>
                <w:szCs w:val="24"/>
              </w:rPr>
            </w:pPr>
          </w:p>
        </w:tc>
        <w:tc>
          <w:tcPr>
            <w:tcW w:w="2007" w:type="dxa"/>
            <w:noWrap w:val="0"/>
            <w:vAlign w:val="center"/>
          </w:tcPr>
          <w:p>
            <w:pPr>
              <w:spacing w:line="360" w:lineRule="auto"/>
              <w:jc w:val="center"/>
              <w:rPr>
                <w:rFonts w:hint="eastAsia" w:ascii="仿宋" w:hAnsi="仿宋" w:eastAsia="仿宋" w:cs="仿宋"/>
                <w:sz w:val="24"/>
                <w:szCs w:val="24"/>
              </w:rPr>
            </w:pPr>
          </w:p>
        </w:tc>
        <w:tc>
          <w:tcPr>
            <w:tcW w:w="753" w:type="dxa"/>
            <w:noWrap w:val="0"/>
            <w:vAlign w:val="center"/>
          </w:tcPr>
          <w:p>
            <w:pPr>
              <w:spacing w:line="360" w:lineRule="auto"/>
              <w:jc w:val="center"/>
              <w:rPr>
                <w:rFonts w:hint="eastAsia" w:ascii="仿宋" w:hAnsi="仿宋" w:eastAsia="仿宋" w:cs="仿宋"/>
                <w:sz w:val="24"/>
                <w:szCs w:val="24"/>
              </w:rPr>
            </w:pPr>
          </w:p>
        </w:tc>
        <w:tc>
          <w:tcPr>
            <w:tcW w:w="2269" w:type="dxa"/>
            <w:noWrap w:val="0"/>
            <w:vAlign w:val="center"/>
          </w:tcPr>
          <w:p>
            <w:pPr>
              <w:spacing w:line="360" w:lineRule="auto"/>
              <w:jc w:val="center"/>
              <w:rPr>
                <w:rFonts w:hint="eastAsia" w:ascii="仿宋" w:hAnsi="仿宋" w:eastAsia="仿宋" w:cs="仿宋"/>
                <w:sz w:val="24"/>
                <w:szCs w:val="24"/>
              </w:rPr>
            </w:pPr>
          </w:p>
        </w:tc>
      </w:tr>
    </w:tbl>
    <w:p>
      <w:pPr>
        <w:spacing w:before="312" w:beforeLines="100" w:after="156" w:afterLines="50" w:line="360" w:lineRule="auto"/>
        <w:ind w:firstLine="170"/>
        <w:rPr>
          <w:rFonts w:hint="eastAsia" w:ascii="仿宋" w:hAnsi="仿宋" w:eastAsia="仿宋" w:cs="仿宋"/>
          <w:spacing w:val="4"/>
          <w:sz w:val="24"/>
          <w:szCs w:val="24"/>
        </w:rPr>
      </w:pPr>
    </w:p>
    <w:p>
      <w:pPr>
        <w:pStyle w:val="2"/>
        <w:spacing w:line="360" w:lineRule="auto"/>
        <w:rPr>
          <w:rFonts w:hint="eastAsia" w:ascii="仿宋" w:hAnsi="仿宋" w:eastAsia="仿宋" w:cs="仿宋"/>
          <w:b w:val="0"/>
          <w:bCs w:val="0"/>
          <w:spacing w:val="4"/>
          <w:sz w:val="24"/>
          <w:szCs w:val="24"/>
        </w:rPr>
      </w:pPr>
    </w:p>
    <w:p>
      <w:pPr>
        <w:spacing w:line="360" w:lineRule="auto"/>
        <w:rPr>
          <w:rFonts w:hint="eastAsia" w:ascii="仿宋" w:hAnsi="仿宋" w:eastAsia="仿宋" w:cs="仿宋"/>
          <w:sz w:val="24"/>
          <w:szCs w:val="24"/>
        </w:rPr>
      </w:pPr>
    </w:p>
    <w:p>
      <w:pPr>
        <w:spacing w:line="360" w:lineRule="auto"/>
        <w:ind w:right="-161" w:firstLine="2650" w:firstLineChars="1100"/>
        <w:rPr>
          <w:rFonts w:hint="eastAsia" w:ascii="仿宋" w:hAnsi="仿宋" w:eastAsia="仿宋" w:cs="仿宋"/>
          <w:b/>
          <w:bCs/>
          <w:sz w:val="24"/>
          <w:szCs w:val="24"/>
          <w:u w:val="single"/>
        </w:rPr>
      </w:pPr>
      <w:r>
        <w:rPr>
          <w:rFonts w:hint="eastAsia" w:ascii="仿宋" w:hAnsi="仿宋" w:eastAsia="仿宋" w:cs="仿宋"/>
          <w:b/>
          <w:bCs/>
          <w:sz w:val="24"/>
          <w:szCs w:val="24"/>
        </w:rPr>
        <w:t>供应商：</w:t>
      </w:r>
      <w:r>
        <w:rPr>
          <w:rFonts w:hint="eastAsia" w:ascii="仿宋" w:hAnsi="仿宋" w:eastAsia="仿宋" w:cs="仿宋"/>
          <w:b/>
          <w:bCs/>
          <w:sz w:val="24"/>
          <w:szCs w:val="24"/>
          <w:u w:val="single"/>
        </w:rPr>
        <w:t xml:space="preserve">            （公章）                 </w:t>
      </w:r>
    </w:p>
    <w:p>
      <w:pPr>
        <w:spacing w:line="360" w:lineRule="auto"/>
        <w:ind w:right="-161" w:firstLine="2650" w:firstLineChars="1100"/>
        <w:rPr>
          <w:rFonts w:hint="eastAsia" w:ascii="仿宋" w:hAnsi="仿宋" w:eastAsia="仿宋" w:cs="仿宋"/>
          <w:b/>
          <w:bCs/>
          <w:sz w:val="24"/>
          <w:szCs w:val="24"/>
        </w:rPr>
      </w:pPr>
      <w:r>
        <w:rPr>
          <w:rFonts w:hint="eastAsia" w:ascii="仿宋" w:hAnsi="仿宋" w:eastAsia="仿宋" w:cs="仿宋"/>
          <w:b/>
          <w:bCs/>
          <w:sz w:val="24"/>
          <w:szCs w:val="24"/>
        </w:rPr>
        <w:t>法定代表人或被授权代表（签字或盖章）：</w:t>
      </w:r>
      <w:r>
        <w:rPr>
          <w:rFonts w:hint="eastAsia" w:ascii="仿宋" w:hAnsi="仿宋" w:eastAsia="仿宋" w:cs="仿宋"/>
          <w:b/>
          <w:bCs/>
          <w:sz w:val="24"/>
          <w:szCs w:val="24"/>
          <w:u w:val="single"/>
        </w:rPr>
        <w:t xml:space="preserve">       </w:t>
      </w:r>
    </w:p>
    <w:p>
      <w:pPr>
        <w:spacing w:line="360" w:lineRule="auto"/>
        <w:ind w:firstLine="2650" w:firstLineChars="1100"/>
        <w:rPr>
          <w:rFonts w:hint="eastAsia" w:ascii="仿宋" w:hAnsi="仿宋" w:eastAsia="仿宋" w:cs="仿宋"/>
          <w:b/>
          <w:bCs/>
          <w:sz w:val="24"/>
          <w:szCs w:val="24"/>
          <w:u w:val="single"/>
        </w:rPr>
      </w:pPr>
      <w:r>
        <w:rPr>
          <w:rFonts w:hint="eastAsia" w:ascii="仿宋" w:hAnsi="仿宋" w:eastAsia="仿宋" w:cs="仿宋"/>
          <w:b/>
          <w:bCs/>
          <w:sz w:val="24"/>
          <w:szCs w:val="24"/>
        </w:rPr>
        <w:t>日期：</w:t>
      </w:r>
      <w:r>
        <w:rPr>
          <w:rFonts w:hint="eastAsia" w:ascii="仿宋" w:hAnsi="仿宋" w:eastAsia="仿宋" w:cs="仿宋"/>
          <w:b/>
          <w:bCs/>
          <w:sz w:val="24"/>
          <w:szCs w:val="24"/>
          <w:u w:val="single"/>
        </w:rPr>
        <w:t xml:space="preserve">                                       </w:t>
      </w:r>
    </w:p>
    <w:p>
      <w:pPr>
        <w:spacing w:line="360" w:lineRule="auto"/>
        <w:rPr>
          <w:rFonts w:hint="eastAsia" w:ascii="仿宋" w:hAnsi="仿宋" w:eastAsia="仿宋" w:cs="仿宋"/>
          <w:sz w:val="24"/>
          <w:szCs w:val="24"/>
        </w:rPr>
      </w:pPr>
    </w:p>
    <w:p>
      <w:pPr>
        <w:pStyle w:val="3"/>
        <w:spacing w:line="360" w:lineRule="auto"/>
        <w:rPr>
          <w:rFonts w:hint="eastAsia" w:ascii="仿宋" w:hAnsi="仿宋" w:eastAsia="仿宋" w:cs="仿宋"/>
          <w:b w:val="0"/>
          <w:bCs w:val="0"/>
          <w:sz w:val="24"/>
          <w:szCs w:val="24"/>
        </w:rPr>
      </w:pPr>
      <w:r>
        <w:rPr>
          <w:rFonts w:hint="eastAsia" w:ascii="仿宋" w:hAnsi="仿宋" w:eastAsia="仿宋" w:cs="仿宋"/>
          <w:b w:val="0"/>
          <w:bCs w:val="0"/>
          <w:sz w:val="24"/>
          <w:szCs w:val="24"/>
        </w:rPr>
        <w:br w:type="page"/>
      </w:r>
      <w:bookmarkStart w:id="65" w:name="_Toc11793"/>
      <w:bookmarkStart w:id="66" w:name="_Toc25523"/>
      <w:bookmarkStart w:id="67" w:name="_Toc8938"/>
      <w:bookmarkStart w:id="68" w:name="_Toc4754"/>
      <w:bookmarkStart w:id="69" w:name="_Toc15437"/>
      <w:bookmarkStart w:id="70" w:name="_Toc26604"/>
      <w:bookmarkStart w:id="71" w:name="_Toc28521"/>
      <w:bookmarkStart w:id="72" w:name="_Toc30443"/>
      <w:bookmarkStart w:id="73" w:name="_Toc10553"/>
      <w:bookmarkStart w:id="74" w:name="_Toc16500"/>
      <w:bookmarkStart w:id="75" w:name="_Toc26439"/>
      <w:bookmarkStart w:id="76" w:name="_Toc19535"/>
      <w:bookmarkStart w:id="77" w:name="_Toc15539"/>
      <w:bookmarkStart w:id="78" w:name="_Toc3286"/>
      <w:bookmarkStart w:id="79" w:name="_Toc3547"/>
      <w:bookmarkStart w:id="80" w:name="_Toc2336"/>
      <w:bookmarkStart w:id="81" w:name="_Toc21320"/>
      <w:bookmarkStart w:id="82" w:name="_Toc6131"/>
      <w:bookmarkStart w:id="83" w:name="_Toc22288"/>
      <w:r>
        <w:rPr>
          <w:rFonts w:hint="eastAsia" w:ascii="仿宋" w:hAnsi="仿宋" w:eastAsia="仿宋" w:cs="仿宋"/>
          <w:sz w:val="24"/>
          <w:szCs w:val="24"/>
        </w:rPr>
        <w:t>4</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Pr>
          <w:rFonts w:hint="eastAsia" w:ascii="仿宋" w:hAnsi="仿宋" w:eastAsia="仿宋" w:cs="仿宋"/>
          <w:sz w:val="24"/>
          <w:szCs w:val="24"/>
        </w:rPr>
        <w:t>具有依法缴纳税收和社会保障资金的良好记录（提供开标前12个月内任一月份的社保和缴纳税收的证明，依法不需要缴纳社会保障资金、免税或无须缴纳税款的供应商，应提供相关证明文件)</w:t>
      </w:r>
    </w:p>
    <w:p>
      <w:pPr>
        <w:spacing w:line="360" w:lineRule="auto"/>
        <w:ind w:firstLine="480" w:firstLineChars="200"/>
        <w:jc w:val="center"/>
        <w:rPr>
          <w:rFonts w:hint="eastAsia" w:ascii="仿宋" w:hAnsi="仿宋" w:eastAsia="仿宋" w:cs="仿宋"/>
          <w:sz w:val="24"/>
          <w:szCs w:val="24"/>
        </w:rPr>
      </w:pPr>
      <w:bookmarkStart w:id="84" w:name="_Toc32479"/>
      <w:bookmarkStart w:id="85" w:name="_Toc26621"/>
      <w:bookmarkStart w:id="86" w:name="_Toc11196"/>
      <w:bookmarkStart w:id="87" w:name="_Toc19417"/>
      <w:bookmarkStart w:id="88" w:name="_Toc19428"/>
      <w:bookmarkStart w:id="89" w:name="_Toc27241"/>
      <w:bookmarkStart w:id="90" w:name="_Toc29619"/>
      <w:bookmarkStart w:id="91" w:name="_Toc20018"/>
      <w:bookmarkStart w:id="92" w:name="_Toc28150"/>
      <w:bookmarkStart w:id="93" w:name="_Toc5734"/>
      <w:r>
        <w:rPr>
          <w:rFonts w:hint="eastAsia" w:ascii="仿宋" w:hAnsi="仿宋" w:eastAsia="仿宋" w:cs="仿宋"/>
          <w:sz w:val="24"/>
          <w:szCs w:val="24"/>
        </w:rPr>
        <w:t>提供社会保障资金缴纳记录证明文件</w:t>
      </w: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r>
        <w:rPr>
          <w:rFonts w:hint="eastAsia" w:ascii="仿宋" w:hAnsi="仿宋" w:eastAsia="仿宋" w:cs="仿宋"/>
          <w:sz w:val="24"/>
          <w:szCs w:val="24"/>
        </w:rPr>
        <w:t>说明：</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1、供应商须依法缴纳社会保障资金，须提供磋商截止时间前12个月内任意1个月的社会保障资金缴纳记录复印件并加盖供应商单位公章，新开户的供应商提供社保开户证明，自行编写无效。</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2、国家、地方工商管理部门或者其他相关管理部门对社会保障资金缴纳（如免缴）有特别政策的，须提供相关政策文件复印件以及供应商满足相关政策文件的证明文件</w:t>
      </w:r>
      <w:bookmarkStart w:id="94" w:name="_Toc109542406"/>
      <w:bookmarkStart w:id="95" w:name="_Toc109543226"/>
      <w:r>
        <w:rPr>
          <w:rFonts w:hint="eastAsia" w:ascii="仿宋" w:hAnsi="仿宋" w:eastAsia="仿宋" w:cs="仿宋"/>
          <w:sz w:val="24"/>
          <w:szCs w:val="24"/>
        </w:rPr>
        <w:t>。</w:t>
      </w:r>
      <w:bookmarkEnd w:id="94"/>
      <w:bookmarkEnd w:id="95"/>
    </w:p>
    <w:p>
      <w:pPr>
        <w:spacing w:line="360" w:lineRule="auto"/>
        <w:rPr>
          <w:rFonts w:hint="eastAsia" w:ascii="仿宋" w:hAnsi="仿宋" w:eastAsia="仿宋" w:cs="仿宋"/>
          <w:sz w:val="24"/>
          <w:szCs w:val="24"/>
        </w:rPr>
      </w:pPr>
    </w:p>
    <w:p>
      <w:pPr>
        <w:spacing w:line="360" w:lineRule="auto"/>
        <w:ind w:firstLine="480" w:firstLineChars="200"/>
        <w:jc w:val="center"/>
        <w:rPr>
          <w:rFonts w:hint="eastAsia" w:ascii="仿宋" w:hAnsi="仿宋" w:eastAsia="仿宋" w:cs="仿宋"/>
          <w:sz w:val="24"/>
          <w:szCs w:val="24"/>
        </w:rPr>
      </w:pPr>
      <w:r>
        <w:rPr>
          <w:rFonts w:hint="eastAsia" w:ascii="仿宋" w:hAnsi="仿宋" w:eastAsia="仿宋" w:cs="仿宋"/>
          <w:sz w:val="24"/>
          <w:szCs w:val="24"/>
        </w:rPr>
        <w:br w:type="page"/>
      </w:r>
      <w:r>
        <w:rPr>
          <w:rFonts w:hint="eastAsia" w:ascii="仿宋" w:hAnsi="仿宋" w:eastAsia="仿宋" w:cs="仿宋"/>
          <w:sz w:val="24"/>
          <w:szCs w:val="24"/>
        </w:rPr>
        <w:t>依法缴纳税收记录证明文件</w:t>
      </w:r>
    </w:p>
    <w:p>
      <w:pPr>
        <w:spacing w:line="360" w:lineRule="auto"/>
        <w:ind w:firstLine="480" w:firstLineChars="200"/>
        <w:jc w:val="center"/>
        <w:rPr>
          <w:rFonts w:hint="eastAsia" w:ascii="仿宋" w:hAnsi="仿宋" w:eastAsia="仿宋" w:cs="仿宋"/>
          <w:sz w:val="24"/>
          <w:szCs w:val="24"/>
        </w:rPr>
      </w:pPr>
    </w:p>
    <w:p>
      <w:pPr>
        <w:spacing w:line="360" w:lineRule="auto"/>
        <w:rPr>
          <w:rFonts w:hint="eastAsia" w:ascii="仿宋" w:hAnsi="仿宋" w:eastAsia="仿宋" w:cs="仿宋"/>
          <w:sz w:val="24"/>
          <w:szCs w:val="24"/>
        </w:rPr>
      </w:pPr>
      <w:r>
        <w:rPr>
          <w:rFonts w:hint="eastAsia" w:ascii="仿宋" w:hAnsi="仿宋" w:eastAsia="仿宋" w:cs="仿宋"/>
          <w:sz w:val="24"/>
          <w:szCs w:val="24"/>
        </w:rPr>
        <w:t>说明：</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1、供应商须提供磋商截止时间前12个月内任意1个月的依法缴纳税收记录</w:t>
      </w:r>
      <w:r>
        <w:rPr>
          <w:rFonts w:hint="eastAsia" w:ascii="仿宋" w:hAnsi="仿宋" w:eastAsia="仿宋" w:cs="仿宋"/>
          <w:sz w:val="24"/>
          <w:szCs w:val="24"/>
          <w:lang w:eastAsia="zh-CN"/>
        </w:rPr>
        <w:t>（依法免税或无须缴纳税款的供应商，应提供相关证明文件</w:t>
      </w:r>
      <w:r>
        <w:rPr>
          <w:rFonts w:hint="eastAsia" w:ascii="仿宋" w:hAnsi="仿宋" w:eastAsia="仿宋" w:cs="仿宋"/>
          <w:sz w:val="24"/>
          <w:szCs w:val="24"/>
        </w:rPr>
        <w:t>)。</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2、国家、地方工商管理部门或者其他相关管理部门对企业纳税有特别规定的，须提供相关政策性文件复印件和供应商满足政策文件规定的证明文件。</w:t>
      </w: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p>
    <w:p>
      <w:pPr>
        <w:spacing w:line="360" w:lineRule="auto"/>
        <w:outlineLvl w:val="2"/>
        <w:rPr>
          <w:rFonts w:hint="eastAsia" w:ascii="仿宋" w:hAnsi="仿宋" w:eastAsia="仿宋" w:cs="仿宋"/>
          <w:sz w:val="24"/>
          <w:szCs w:val="24"/>
        </w:rPr>
      </w:pPr>
      <w:r>
        <w:rPr>
          <w:rFonts w:hint="eastAsia" w:ascii="仿宋" w:hAnsi="仿宋" w:eastAsia="仿宋" w:cs="仿宋"/>
          <w:sz w:val="24"/>
          <w:szCs w:val="24"/>
        </w:rPr>
        <w:br w:type="page"/>
      </w:r>
      <w:bookmarkStart w:id="96" w:name="_Toc17830"/>
      <w:bookmarkStart w:id="97" w:name="_Toc15357"/>
      <w:bookmarkStart w:id="98" w:name="_Toc6465"/>
      <w:bookmarkStart w:id="99" w:name="_Toc21787"/>
      <w:bookmarkStart w:id="100" w:name="_Toc10918"/>
      <w:bookmarkStart w:id="101" w:name="_Toc20698"/>
      <w:bookmarkStart w:id="102" w:name="_Toc32637"/>
      <w:bookmarkStart w:id="103" w:name="_Toc12590"/>
      <w:r>
        <w:rPr>
          <w:rFonts w:hint="eastAsia" w:ascii="仿宋" w:hAnsi="仿宋" w:eastAsia="仿宋" w:cs="仿宋"/>
          <w:b/>
          <w:bCs/>
          <w:sz w:val="24"/>
          <w:szCs w:val="24"/>
        </w:rPr>
        <w:t>5参加政府采购活动前三年内，在经营活动中没有重大违法记录</w:t>
      </w:r>
      <w:bookmarkEnd w:id="84"/>
      <w:bookmarkEnd w:id="85"/>
      <w:bookmarkEnd w:id="86"/>
      <w:bookmarkEnd w:id="87"/>
      <w:bookmarkEnd w:id="88"/>
      <w:bookmarkEnd w:id="89"/>
      <w:bookmarkEnd w:id="90"/>
      <w:bookmarkEnd w:id="91"/>
      <w:bookmarkEnd w:id="92"/>
      <w:bookmarkEnd w:id="93"/>
      <w:bookmarkEnd w:id="96"/>
      <w:bookmarkEnd w:id="97"/>
      <w:bookmarkEnd w:id="98"/>
      <w:bookmarkEnd w:id="99"/>
      <w:bookmarkEnd w:id="100"/>
      <w:bookmarkEnd w:id="101"/>
      <w:bookmarkEnd w:id="102"/>
      <w:bookmarkEnd w:id="103"/>
    </w:p>
    <w:p>
      <w:pPr>
        <w:pStyle w:val="5"/>
        <w:wordWrap w:val="0"/>
        <w:spacing w:before="0" w:beforeAutospacing="0" w:after="0" w:afterAutospacing="0" w:line="360" w:lineRule="auto"/>
        <w:rPr>
          <w:rFonts w:hint="eastAsia" w:ascii="仿宋" w:hAnsi="仿宋" w:eastAsia="仿宋" w:cs="仿宋"/>
          <w:sz w:val="24"/>
          <w:szCs w:val="24"/>
          <w:u w:val="single"/>
          <w:shd w:val="clear" w:color="auto" w:fill="FFFFFF"/>
        </w:rPr>
      </w:pPr>
      <w:r>
        <w:rPr>
          <w:rFonts w:hint="eastAsia" w:ascii="仿宋" w:hAnsi="仿宋" w:eastAsia="仿宋" w:cs="仿宋"/>
          <w:spacing w:val="4"/>
          <w:sz w:val="24"/>
          <w:szCs w:val="24"/>
          <w:u w:val="single"/>
          <w:lang w:val="en-US" w:eastAsia="zh-CN"/>
        </w:rPr>
        <w:t>西安建筑科技大学</w:t>
      </w:r>
      <w:r>
        <w:rPr>
          <w:rFonts w:hint="eastAsia" w:ascii="仿宋" w:hAnsi="仿宋" w:eastAsia="仿宋" w:cs="仿宋"/>
          <w:sz w:val="24"/>
          <w:szCs w:val="24"/>
          <w:u w:val="single"/>
          <w:shd w:val="clear" w:color="auto" w:fill="FFFFFF"/>
        </w:rPr>
        <w:t>：</w:t>
      </w:r>
    </w:p>
    <w:p>
      <w:pPr>
        <w:pStyle w:val="5"/>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我方作为项目名称</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（项目编号：</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）的投标供应商，在此郑重声明： </w:t>
      </w:r>
    </w:p>
    <w:p>
      <w:pPr>
        <w:pStyle w:val="5"/>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1、在参加本次政府采购活动前3年内的经营活动中</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pPr>
        <w:pStyle w:val="5"/>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2、我方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（填“未被列入”或“被列入”）失信被执行人名单。</w:t>
      </w:r>
    </w:p>
    <w:p>
      <w:pPr>
        <w:pStyle w:val="5"/>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3、我方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（填“未被列入”或“被列入”）重大税收违法案件当事人名单。 </w:t>
      </w:r>
    </w:p>
    <w:p>
      <w:pPr>
        <w:pStyle w:val="5"/>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4、我方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（填“未被列入”或“被列入”）政府采购严重违法失信行为记录名单。 </w:t>
      </w:r>
    </w:p>
    <w:p>
      <w:pPr>
        <w:pStyle w:val="5"/>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 xml:space="preserve">如有不实，我方将无条件地退出本项目的采购活动，并遵照《政府采购法》有关“提供虚假材料的规定”接受处罚。 </w:t>
      </w:r>
    </w:p>
    <w:p>
      <w:pPr>
        <w:pStyle w:val="5"/>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 xml:space="preserve">特此声明。 </w:t>
      </w:r>
    </w:p>
    <w:p>
      <w:pPr>
        <w:pStyle w:val="5"/>
        <w:wordWrap w:val="0"/>
        <w:spacing w:before="0" w:beforeAutospacing="0" w:after="0" w:afterAutospacing="0" w:line="360" w:lineRule="auto"/>
        <w:jc w:val="both"/>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 </w:t>
      </w:r>
    </w:p>
    <w:p>
      <w:pPr>
        <w:pStyle w:val="5"/>
        <w:wordWrap w:val="0"/>
        <w:spacing w:before="0" w:beforeAutospacing="0" w:after="0" w:afterAutospacing="0" w:line="360" w:lineRule="auto"/>
        <w:jc w:val="both"/>
        <w:rPr>
          <w:rFonts w:hint="eastAsia" w:ascii="仿宋" w:hAnsi="仿宋" w:eastAsia="仿宋" w:cs="仿宋"/>
          <w:sz w:val="24"/>
          <w:szCs w:val="24"/>
          <w:shd w:val="clear" w:color="auto" w:fill="FFFFFF"/>
        </w:rPr>
      </w:pPr>
    </w:p>
    <w:p>
      <w:pPr>
        <w:pStyle w:val="5"/>
        <w:wordWrap w:val="0"/>
        <w:spacing w:before="0" w:beforeAutospacing="0" w:after="0" w:afterAutospacing="0" w:line="360" w:lineRule="auto"/>
        <w:jc w:val="both"/>
        <w:rPr>
          <w:rFonts w:hint="eastAsia" w:ascii="仿宋" w:hAnsi="仿宋" w:eastAsia="仿宋" w:cs="仿宋"/>
          <w:sz w:val="24"/>
          <w:szCs w:val="24"/>
          <w:shd w:val="clear" w:color="auto" w:fill="FFFFFF"/>
        </w:rPr>
      </w:pPr>
    </w:p>
    <w:p>
      <w:pPr>
        <w:spacing w:line="360" w:lineRule="auto"/>
        <w:ind w:right="-161" w:firstLine="2650" w:firstLineChars="1100"/>
        <w:rPr>
          <w:rFonts w:hint="eastAsia" w:ascii="仿宋" w:hAnsi="仿宋" w:eastAsia="仿宋" w:cs="仿宋"/>
          <w:b/>
          <w:bCs/>
          <w:sz w:val="24"/>
          <w:szCs w:val="24"/>
          <w:u w:val="single"/>
        </w:rPr>
      </w:pPr>
      <w:r>
        <w:rPr>
          <w:rFonts w:hint="eastAsia" w:ascii="仿宋" w:hAnsi="仿宋" w:eastAsia="仿宋" w:cs="仿宋"/>
          <w:b/>
          <w:bCs/>
          <w:sz w:val="24"/>
          <w:szCs w:val="24"/>
        </w:rPr>
        <w:t>供应商：</w:t>
      </w:r>
      <w:r>
        <w:rPr>
          <w:rFonts w:hint="eastAsia" w:ascii="仿宋" w:hAnsi="仿宋" w:eastAsia="仿宋" w:cs="仿宋"/>
          <w:b/>
          <w:bCs/>
          <w:sz w:val="24"/>
          <w:szCs w:val="24"/>
          <w:u w:val="single"/>
        </w:rPr>
        <w:t xml:space="preserve">            （公章）                 </w:t>
      </w:r>
    </w:p>
    <w:p>
      <w:pPr>
        <w:spacing w:line="360" w:lineRule="auto"/>
        <w:ind w:right="-161" w:firstLine="2650" w:firstLineChars="1100"/>
        <w:rPr>
          <w:rFonts w:hint="eastAsia" w:ascii="仿宋" w:hAnsi="仿宋" w:eastAsia="仿宋" w:cs="仿宋"/>
          <w:b/>
          <w:bCs/>
          <w:sz w:val="24"/>
          <w:szCs w:val="24"/>
        </w:rPr>
      </w:pPr>
      <w:r>
        <w:rPr>
          <w:rFonts w:hint="eastAsia" w:ascii="仿宋" w:hAnsi="仿宋" w:eastAsia="仿宋" w:cs="仿宋"/>
          <w:b/>
          <w:bCs/>
          <w:sz w:val="24"/>
          <w:szCs w:val="24"/>
        </w:rPr>
        <w:t>法定代表人或被授权代表（签字或盖章）：</w:t>
      </w:r>
      <w:r>
        <w:rPr>
          <w:rFonts w:hint="eastAsia" w:ascii="仿宋" w:hAnsi="仿宋" w:eastAsia="仿宋" w:cs="仿宋"/>
          <w:b/>
          <w:bCs/>
          <w:sz w:val="24"/>
          <w:szCs w:val="24"/>
          <w:u w:val="single"/>
        </w:rPr>
        <w:t xml:space="preserve">       </w:t>
      </w:r>
    </w:p>
    <w:p>
      <w:pPr>
        <w:spacing w:line="360" w:lineRule="auto"/>
        <w:ind w:firstLine="2650" w:firstLineChars="1100"/>
        <w:rPr>
          <w:rFonts w:hint="eastAsia" w:ascii="仿宋" w:hAnsi="仿宋" w:eastAsia="仿宋" w:cs="仿宋"/>
          <w:b/>
          <w:bCs/>
          <w:sz w:val="24"/>
          <w:szCs w:val="24"/>
        </w:rPr>
      </w:pPr>
      <w:r>
        <w:rPr>
          <w:rFonts w:hint="eastAsia" w:ascii="仿宋" w:hAnsi="仿宋" w:eastAsia="仿宋" w:cs="仿宋"/>
          <w:b/>
          <w:bCs/>
          <w:sz w:val="24"/>
          <w:szCs w:val="24"/>
        </w:rPr>
        <w:t>日期：</w:t>
      </w:r>
      <w:r>
        <w:rPr>
          <w:rFonts w:hint="eastAsia" w:ascii="仿宋" w:hAnsi="仿宋" w:eastAsia="仿宋" w:cs="仿宋"/>
          <w:b/>
          <w:bCs/>
          <w:sz w:val="24"/>
          <w:szCs w:val="24"/>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1NzVmNmVkN2I3ZmQ2OTRlNmFjNGJhZTI1NzQ0MWUifQ=="/>
  </w:docVars>
  <w:rsids>
    <w:rsidRoot w:val="01BD13F1"/>
    <w:rsid w:val="01BD13F1"/>
    <w:rsid w:val="17F92A0B"/>
    <w:rsid w:val="202270E2"/>
    <w:rsid w:val="40D4278F"/>
    <w:rsid w:val="692534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qFormat/>
    <w:uiPriority w:val="0"/>
    <w:pPr>
      <w:keepNext/>
      <w:keepLines/>
      <w:widowControl w:val="0"/>
      <w:spacing w:before="260" w:after="260" w:line="415" w:lineRule="auto"/>
      <w:ind w:left="0" w:right="0"/>
      <w:jc w:val="both"/>
      <w:outlineLvl w:val="2"/>
    </w:pPr>
    <w:rPr>
      <w:rFonts w:ascii="Times New Roman" w:hAnsi="Times New Roman" w:eastAsia="宋体" w:cs="Times New Roman"/>
      <w:b/>
      <w:bCs/>
      <w:kern w:val="2"/>
      <w:sz w:val="3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val="0"/>
      <w:spacing w:after="0"/>
      <w:jc w:val="both"/>
    </w:pPr>
    <w:rPr>
      <w:rFonts w:ascii="Times New Roman" w:hAnsi="Times New Roman" w:eastAsia="宋体" w:cs="Times New Roman"/>
      <w:b/>
      <w:bCs/>
      <w:kern w:val="2"/>
      <w:sz w:val="28"/>
      <w:lang w:val="en-US" w:eastAsia="zh-CN" w:bidi="ar-SA"/>
    </w:rPr>
  </w:style>
  <w:style w:type="paragraph" w:styleId="4">
    <w:name w:val="header"/>
    <w:basedOn w:val="1"/>
    <w:next w:val="1"/>
    <w:qFormat/>
    <w:uiPriority w:val="0"/>
    <w:pPr>
      <w:widowControl w:val="0"/>
      <w:pBdr>
        <w:bottom w:val="single" w:color="auto" w:sz="6" w:space="1"/>
      </w:pBdr>
      <w:tabs>
        <w:tab w:val="center" w:pos="4140"/>
        <w:tab w:val="right" w:pos="8300"/>
      </w:tabs>
      <w:adjustRightInd w:val="0"/>
      <w:spacing w:after="0" w:line="240" w:lineRule="atLeast"/>
      <w:jc w:val="center"/>
    </w:pPr>
    <w:rPr>
      <w:rFonts w:ascii="Times New Roman" w:hAnsi="Times New Roman" w:eastAsia="宋体" w:cs="Times New Roman"/>
      <w:kern w:val="0"/>
      <w:sz w:val="18"/>
      <w:lang w:val="en-US" w:eastAsia="zh-CN" w:bidi="ar-SA"/>
    </w:rPr>
  </w:style>
  <w:style w:type="paragraph" w:styleId="5">
    <w:name w:val="Normal (Web)"/>
    <w:basedOn w:val="1"/>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customStyle="1" w:styleId="8">
    <w:name w:val="title11"/>
    <w:basedOn w:val="1"/>
    <w:qFormat/>
    <w:uiPriority w:val="0"/>
    <w:pPr>
      <w:spacing w:before="150"/>
      <w:jc w:val="left"/>
    </w:pPr>
    <w:rPr>
      <w:rFonts w:ascii="Times New Roman" w:hAnsi="Times New Roman" w:cs="Times New Roman"/>
      <w:b/>
      <w:kern w:val="0"/>
      <w:sz w:val="22"/>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1668</Words>
  <Characters>1681</Characters>
  <Lines>0</Lines>
  <Paragraphs>0</Paragraphs>
  <TotalTime>0</TotalTime>
  <ScaleCrop>false</ScaleCrop>
  <LinksUpToDate>false</LinksUpToDate>
  <CharactersWithSpaces>2019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2023-05-03T11:17:00Z</dcterms:created>
  <dc:creator>陕西中技招标有限公司</dc:creator>
  <cp:lastModifiedBy>陕西中技招标有限公司</cp:lastModifiedBy>
  <dcterms:modified xsi:type="dcterms:W3CDTF">2023-06-08T08:47:23Z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827D0DB6D5AA47FFBED29D2CFDF8192A_11</vt:lpwstr>
  </property>
</Properties>
</file>