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437"/>
          <w:tab w:val="center" w:pos="4916"/>
        </w:tabs>
        <w:kinsoku/>
        <w:wordWrap/>
        <w:overflowPunct/>
        <w:topLinePunct w:val="0"/>
        <w:autoSpaceDE/>
        <w:autoSpaceDN/>
        <w:bidi w:val="0"/>
        <w:adjustRightInd/>
        <w:snapToGrid/>
        <w:spacing w:after="157" w:afterLines="50" w:line="500" w:lineRule="exact"/>
        <w:jc w:val="center"/>
        <w:textAlignment w:val="auto"/>
        <w:outlineLvl w:val="0"/>
        <w:rPr>
          <w:rFonts w:hint="eastAsia" w:ascii="宋体" w:hAnsi="宋体" w:eastAsia="宋体" w:cs="宋体"/>
          <w:b/>
          <w:bCs/>
          <w:sz w:val="32"/>
          <w:szCs w:val="32"/>
        </w:rPr>
      </w:pPr>
      <w:r>
        <w:rPr>
          <w:rFonts w:hint="eastAsia" w:ascii="宋体" w:hAnsi="宋体" w:eastAsia="宋体" w:cs="宋体"/>
          <w:b/>
          <w:bCs/>
          <w:sz w:val="32"/>
          <w:szCs w:val="32"/>
        </w:rPr>
        <w:t>招标项目技术、服务、商务及其他要求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（注：带“</w:t>
      </w:r>
      <w:r>
        <w:rPr>
          <w:rFonts w:hint="eastAsia" w:ascii="微软雅黑" w:hAnsi="微软雅黑" w:eastAsia="微软雅黑" w:cs="微软雅黑"/>
          <w:snapToGrid w:val="0"/>
          <w:sz w:val="24"/>
          <w:lang w:val="en-US" w:eastAsia="zh-CN" w:bidi="ar-SA"/>
        </w:rPr>
        <w:t>★</w:t>
      </w:r>
      <w:r>
        <w:rPr>
          <w:rFonts w:hint="eastAsia" w:ascii="宋体" w:hAnsi="宋体" w:eastAsia="宋体" w:cs="宋体"/>
          <w:snapToGrid w:val="0"/>
          <w:sz w:val="24"/>
          <w:lang w:val="en-US" w:eastAsia="zh-CN" w:bidi="ar-SA"/>
        </w:rPr>
        <w:t>”的参数需求为实质性要求，供应商必须响应并满足的参数需求，采购人、采购代理机构应当根据项目实际需求合理设定，并明确具体要求。带“</w:t>
      </w:r>
      <w:r>
        <w:rPr>
          <w:rFonts w:hint="eastAsia" w:ascii="微软雅黑" w:hAnsi="微软雅黑" w:eastAsia="微软雅黑" w:cs="微软雅黑"/>
          <w:snapToGrid w:val="0"/>
          <w:sz w:val="24"/>
          <w:lang w:val="en-US" w:eastAsia="zh-CN" w:bidi="ar-SA"/>
        </w:rPr>
        <w:t>▲</w:t>
      </w:r>
      <w:r>
        <w:rPr>
          <w:rFonts w:hint="eastAsia" w:ascii="宋体" w:hAnsi="宋体" w:eastAsia="宋体" w:cs="宋体"/>
          <w:snapToGrid w:val="0"/>
          <w:sz w:val="24"/>
          <w:lang w:val="en-US" w:eastAsia="zh-CN" w:bidi="ar-SA"/>
        </w:rPr>
        <w:t>”号条款为允许负偏离的参数需求，若未响应或者不满足，将在综合评审中予以扣分处理。）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textAlignment w:val="auto"/>
        <w:outlineLvl w:val="2"/>
        <w:rPr>
          <w:rFonts w:hint="eastAsia" w:ascii="宋体" w:hAnsi="宋体" w:eastAsia="宋体" w:cs="宋体"/>
          <w:b/>
          <w:bCs/>
          <w:sz w:val="28"/>
          <w:szCs w:val="21"/>
          <w:lang w:val="en-US" w:eastAsia="zh-CN"/>
        </w:rPr>
      </w:pPr>
      <w:r>
        <w:rPr>
          <w:rFonts w:hint="eastAsia" w:ascii="宋体" w:hAnsi="宋体" w:eastAsia="宋体" w:cs="宋体"/>
          <w:b/>
          <w:bCs/>
          <w:sz w:val="28"/>
          <w:szCs w:val="21"/>
          <w:lang w:val="en-US" w:eastAsia="zh-CN"/>
        </w:rPr>
        <w:t>3.1采购项目概况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外文数据库是高校图书馆文献信息资源的重要组成部分，是广大师生了解国际学术前言、热点及最新成果的重要途径，同时也是推动高校科研和教学与提升的数据参考体系的信息库。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根据教学、科研需要，本项目拟采购所需数据库的访问权限服务，服务期限1年，数据库包括：采购包1（Elsevier ScienceDirect、Web of Science平台、InCites平台、Springer电子期刊、IEL数据库、Ei 数据库、AMS数据库共7个外文数据库），采购包2（SciFinder、Wiley电子期刊数据库、Nature电子期刊、Scince Online、ACS 期刊数据库、RSC数据库、AGU数据库、APS数据库共8个外文数据库），采购包3（AFDS外文文献集成发现系统共1个外文数据库）。采购预算1043万元，其中采购包1预算613.2万元，采购包2预算399.8万元，采购包3预算30万元。</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textAlignment w:val="auto"/>
        <w:outlineLvl w:val="2"/>
        <w:rPr>
          <w:rFonts w:hint="eastAsia" w:ascii="宋体" w:hAnsi="宋体" w:eastAsia="宋体" w:cs="宋体"/>
          <w:b/>
          <w:bCs/>
          <w:sz w:val="28"/>
          <w:szCs w:val="21"/>
          <w:lang w:val="en-US" w:eastAsia="zh-CN"/>
        </w:rPr>
      </w:pPr>
      <w:r>
        <w:rPr>
          <w:rFonts w:hint="eastAsia" w:ascii="宋体" w:hAnsi="宋体" w:eastAsia="宋体" w:cs="宋体"/>
          <w:b/>
          <w:bCs/>
          <w:sz w:val="28"/>
          <w:szCs w:val="21"/>
          <w:lang w:val="en-US" w:eastAsia="zh-CN"/>
        </w:rPr>
        <w:t>3.2服务内容及服务要求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3.2.1服务内容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采购包预算金额（元）：6132000.00</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采购包最高限价（元）：6132000.00</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供应商报价不允许超过标的金额</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（招单价的）供应商报价不允许超过标的单价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2225"/>
        <w:gridCol w:w="763"/>
        <w:gridCol w:w="1387"/>
        <w:gridCol w:w="650"/>
        <w:gridCol w:w="744"/>
        <w:gridCol w:w="713"/>
        <w:gridCol w:w="743"/>
        <w:gridCol w:w="700"/>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序号</w:t>
            </w:r>
          </w:p>
        </w:tc>
        <w:tc>
          <w:tcPr>
            <w:tcW w:w="222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pacing w:val="18"/>
                <w:sz w:val="21"/>
                <w:szCs w:val="21"/>
              </w:rPr>
              <w:t>标的名称</w:t>
            </w:r>
          </w:p>
        </w:tc>
        <w:tc>
          <w:tcPr>
            <w:tcW w:w="76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数量</w:t>
            </w:r>
          </w:p>
        </w:tc>
        <w:tc>
          <w:tcPr>
            <w:tcW w:w="138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标的金额（元）</w:t>
            </w:r>
          </w:p>
        </w:tc>
        <w:tc>
          <w:tcPr>
            <w:tcW w:w="65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计量单位</w:t>
            </w:r>
          </w:p>
        </w:tc>
        <w:tc>
          <w:tcPr>
            <w:tcW w:w="744"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所属行业</w:t>
            </w:r>
          </w:p>
        </w:tc>
        <w:tc>
          <w:tcPr>
            <w:tcW w:w="71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是否核心产品</w:t>
            </w:r>
          </w:p>
        </w:tc>
        <w:tc>
          <w:tcPr>
            <w:tcW w:w="74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是否允许进口产品</w:t>
            </w:r>
          </w:p>
        </w:tc>
        <w:tc>
          <w:tcPr>
            <w:tcW w:w="70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是否属于节能产品</w:t>
            </w:r>
          </w:p>
        </w:tc>
        <w:tc>
          <w:tcPr>
            <w:tcW w:w="81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是否属于环境标志产品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1</w:t>
            </w:r>
          </w:p>
        </w:tc>
        <w:tc>
          <w:tcPr>
            <w:tcW w:w="222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Elsevier</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ScienceDirect</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Web of Science平台Springer电子期刊</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IEL数据库</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Ei 数据库</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AMS数据库</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1年使用权限服务</w:t>
            </w:r>
          </w:p>
        </w:tc>
        <w:tc>
          <w:tcPr>
            <w:tcW w:w="76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1.00</w:t>
            </w:r>
          </w:p>
        </w:tc>
        <w:tc>
          <w:tcPr>
            <w:tcW w:w="1387"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6132000.00</w:t>
            </w:r>
          </w:p>
        </w:tc>
        <w:tc>
          <w:tcPr>
            <w:tcW w:w="65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项</w:t>
            </w:r>
          </w:p>
        </w:tc>
        <w:tc>
          <w:tcPr>
            <w:tcW w:w="744"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其他未列明行业</w:t>
            </w:r>
          </w:p>
        </w:tc>
        <w:tc>
          <w:tcPr>
            <w:tcW w:w="71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c>
          <w:tcPr>
            <w:tcW w:w="74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w:t>
            </w:r>
          </w:p>
        </w:tc>
        <w:tc>
          <w:tcPr>
            <w:tcW w:w="70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c>
          <w:tcPr>
            <w:tcW w:w="81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0"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采购包预算金额（元）：3998000.00</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采购包最高限价（元）：3998000.00</w:t>
      </w:r>
    </w:p>
    <w:p>
      <w:pPr>
        <w:keepNext w:val="0"/>
        <w:keepLines w:val="0"/>
        <w:pageBreakBefore w:val="0"/>
        <w:widowControl w:val="0"/>
        <w:kinsoku/>
        <w:wordWrap/>
        <w:overflowPunct/>
        <w:topLinePunct w:val="0"/>
        <w:autoSpaceDE/>
        <w:autoSpaceDN/>
        <w:bidi w:val="0"/>
        <w:adjustRightInd/>
        <w:snapToGrid/>
        <w:spacing w:line="500" w:lineRule="exact"/>
        <w:ind w:lef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供应商报价不允许超过标的金额</w:t>
      </w:r>
    </w:p>
    <w:p>
      <w:pPr>
        <w:keepNext w:val="0"/>
        <w:keepLines w:val="0"/>
        <w:pageBreakBefore w:val="0"/>
        <w:widowControl w:val="0"/>
        <w:kinsoku/>
        <w:wordWrap/>
        <w:overflowPunct/>
        <w:topLinePunct w:val="0"/>
        <w:autoSpaceDE/>
        <w:autoSpaceDN/>
        <w:bidi w:val="0"/>
        <w:adjustRightInd/>
        <w:snapToGrid/>
        <w:spacing w:line="500" w:lineRule="exact"/>
        <w:ind w:lef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（招单价的）供应商报价不允许超过标的单价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275"/>
        <w:gridCol w:w="738"/>
        <w:gridCol w:w="1512"/>
        <w:gridCol w:w="675"/>
        <w:gridCol w:w="713"/>
        <w:gridCol w:w="662"/>
        <w:gridCol w:w="675"/>
        <w:gridCol w:w="63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序号</w:t>
            </w:r>
          </w:p>
        </w:tc>
        <w:tc>
          <w:tcPr>
            <w:tcW w:w="22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pacing w:val="18"/>
                <w:sz w:val="21"/>
                <w:szCs w:val="21"/>
              </w:rPr>
              <w:t>标的名称</w:t>
            </w:r>
          </w:p>
        </w:tc>
        <w:tc>
          <w:tcPr>
            <w:tcW w:w="73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数量</w:t>
            </w:r>
          </w:p>
        </w:tc>
        <w:tc>
          <w:tcPr>
            <w:tcW w:w="151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标的金额（元）</w:t>
            </w:r>
          </w:p>
        </w:tc>
        <w:tc>
          <w:tcPr>
            <w:tcW w:w="6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计量单位</w:t>
            </w:r>
          </w:p>
        </w:tc>
        <w:tc>
          <w:tcPr>
            <w:tcW w:w="71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所属行业</w:t>
            </w:r>
          </w:p>
        </w:tc>
        <w:tc>
          <w:tcPr>
            <w:tcW w:w="66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是否核心产品</w:t>
            </w:r>
          </w:p>
        </w:tc>
        <w:tc>
          <w:tcPr>
            <w:tcW w:w="6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是否允许进口产品</w:t>
            </w:r>
          </w:p>
        </w:tc>
        <w:tc>
          <w:tcPr>
            <w:tcW w:w="63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是否属于节能产品</w:t>
            </w:r>
          </w:p>
        </w:tc>
        <w:tc>
          <w:tcPr>
            <w:tcW w:w="71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是否属于环境标志产品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1</w:t>
            </w:r>
          </w:p>
        </w:tc>
        <w:tc>
          <w:tcPr>
            <w:tcW w:w="22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SciFinder</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Wiley电子期刊数据</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Nature电子期刊</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Scince Online</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ACS期刊数据库</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RSC数据库</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AGU数据库</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highlight w:val="none"/>
                <w:vertAlign w:val="baseline"/>
                <w:lang w:val="en-US" w:eastAsia="zh-CN" w:bidi="ar-SA"/>
              </w:rPr>
            </w:pPr>
            <w:r>
              <w:rPr>
                <w:rFonts w:hint="eastAsia" w:ascii="宋体" w:hAnsi="宋体" w:eastAsia="宋体" w:cs="宋体"/>
                <w:snapToGrid w:val="0"/>
                <w:sz w:val="21"/>
                <w:szCs w:val="16"/>
                <w:highlight w:val="none"/>
                <w:vertAlign w:val="baseline"/>
                <w:lang w:val="en-US" w:eastAsia="zh-CN" w:bidi="ar-SA"/>
              </w:rPr>
              <w:t>APS数据库</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1年使用权限服务</w:t>
            </w:r>
          </w:p>
        </w:tc>
        <w:tc>
          <w:tcPr>
            <w:tcW w:w="73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1.00</w:t>
            </w:r>
          </w:p>
        </w:tc>
        <w:tc>
          <w:tcPr>
            <w:tcW w:w="151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3998000.00</w:t>
            </w:r>
          </w:p>
        </w:tc>
        <w:tc>
          <w:tcPr>
            <w:tcW w:w="6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项</w:t>
            </w:r>
          </w:p>
        </w:tc>
        <w:tc>
          <w:tcPr>
            <w:tcW w:w="71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其他未列明行业</w:t>
            </w:r>
          </w:p>
        </w:tc>
        <w:tc>
          <w:tcPr>
            <w:tcW w:w="66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c>
          <w:tcPr>
            <w:tcW w:w="6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w:t>
            </w:r>
          </w:p>
        </w:tc>
        <w:tc>
          <w:tcPr>
            <w:tcW w:w="63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c>
          <w:tcPr>
            <w:tcW w:w="71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ind w:left="0"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采购包预算金额（元）：300000.00</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采购包最高限价（元）：300000.00</w:t>
      </w:r>
    </w:p>
    <w:p>
      <w:pPr>
        <w:keepNext w:val="0"/>
        <w:keepLines w:val="0"/>
        <w:pageBreakBefore w:val="0"/>
        <w:widowControl w:val="0"/>
        <w:kinsoku/>
        <w:wordWrap/>
        <w:overflowPunct/>
        <w:topLinePunct w:val="0"/>
        <w:autoSpaceDE/>
        <w:autoSpaceDN/>
        <w:bidi w:val="0"/>
        <w:adjustRightInd/>
        <w:snapToGrid/>
        <w:spacing w:line="500" w:lineRule="exact"/>
        <w:ind w:lef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供应商报价不允许超过标的金额</w:t>
      </w:r>
    </w:p>
    <w:p>
      <w:pPr>
        <w:keepNext w:val="0"/>
        <w:keepLines w:val="0"/>
        <w:pageBreakBefore w:val="0"/>
        <w:widowControl w:val="0"/>
        <w:kinsoku/>
        <w:wordWrap/>
        <w:overflowPunct/>
        <w:topLinePunct w:val="0"/>
        <w:autoSpaceDE/>
        <w:autoSpaceDN/>
        <w:bidi w:val="0"/>
        <w:adjustRightInd/>
        <w:snapToGrid/>
        <w:spacing w:line="500" w:lineRule="exact"/>
        <w:ind w:lef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（招单价的）供应商报价不允许超过标的单价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275"/>
        <w:gridCol w:w="738"/>
        <w:gridCol w:w="1512"/>
        <w:gridCol w:w="675"/>
        <w:gridCol w:w="713"/>
        <w:gridCol w:w="662"/>
        <w:gridCol w:w="675"/>
        <w:gridCol w:w="63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序号</w:t>
            </w:r>
          </w:p>
        </w:tc>
        <w:tc>
          <w:tcPr>
            <w:tcW w:w="22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pacing w:val="18"/>
                <w:sz w:val="21"/>
                <w:szCs w:val="21"/>
              </w:rPr>
              <w:t>标的名称</w:t>
            </w:r>
          </w:p>
        </w:tc>
        <w:tc>
          <w:tcPr>
            <w:tcW w:w="73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数量</w:t>
            </w:r>
          </w:p>
        </w:tc>
        <w:tc>
          <w:tcPr>
            <w:tcW w:w="151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标的金额（元）</w:t>
            </w:r>
          </w:p>
        </w:tc>
        <w:tc>
          <w:tcPr>
            <w:tcW w:w="6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计量单位</w:t>
            </w:r>
          </w:p>
        </w:tc>
        <w:tc>
          <w:tcPr>
            <w:tcW w:w="71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所属行业</w:t>
            </w:r>
          </w:p>
        </w:tc>
        <w:tc>
          <w:tcPr>
            <w:tcW w:w="66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是否核心产品</w:t>
            </w:r>
          </w:p>
        </w:tc>
        <w:tc>
          <w:tcPr>
            <w:tcW w:w="6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是否允许进口产品</w:t>
            </w:r>
          </w:p>
        </w:tc>
        <w:tc>
          <w:tcPr>
            <w:tcW w:w="63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是否属于节能产品</w:t>
            </w:r>
          </w:p>
        </w:tc>
        <w:tc>
          <w:tcPr>
            <w:tcW w:w="71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是否属于环境标志产品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1</w:t>
            </w:r>
          </w:p>
        </w:tc>
        <w:tc>
          <w:tcPr>
            <w:tcW w:w="22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AFDS外文文献集成</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发现系统</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1年使用权限服务</w:t>
            </w:r>
          </w:p>
        </w:tc>
        <w:tc>
          <w:tcPr>
            <w:tcW w:w="73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1.00</w:t>
            </w:r>
          </w:p>
        </w:tc>
        <w:tc>
          <w:tcPr>
            <w:tcW w:w="151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300000.00</w:t>
            </w:r>
          </w:p>
        </w:tc>
        <w:tc>
          <w:tcPr>
            <w:tcW w:w="6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项</w:t>
            </w:r>
          </w:p>
        </w:tc>
        <w:tc>
          <w:tcPr>
            <w:tcW w:w="71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其他未列明行业</w:t>
            </w:r>
          </w:p>
        </w:tc>
        <w:tc>
          <w:tcPr>
            <w:tcW w:w="66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c>
          <w:tcPr>
            <w:tcW w:w="675"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c>
          <w:tcPr>
            <w:tcW w:w="63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c>
          <w:tcPr>
            <w:tcW w:w="718"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napToGrid w:val="0"/>
                <w:sz w:val="21"/>
                <w:szCs w:val="16"/>
                <w:vertAlign w:val="baseline"/>
                <w:lang w:val="en-US" w:eastAsia="zh-CN" w:bidi="ar-SA"/>
              </w:rPr>
            </w:pPr>
            <w:r>
              <w:rPr>
                <w:rFonts w:hint="eastAsia" w:ascii="宋体" w:hAnsi="宋体" w:eastAsia="宋体" w:cs="宋体"/>
                <w:snapToGrid w:val="0"/>
                <w:sz w:val="21"/>
                <w:szCs w:val="16"/>
                <w:vertAlign w:val="baseline"/>
                <w:lang w:val="en-US" w:eastAsia="zh-CN" w:bidi="ar-SA"/>
              </w:rPr>
              <w:t>否</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3.2.2服务要求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供应商报价不允许超过标的金额</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（招单价的）供应商报价不允许超过标的单价</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标的名称：</w:t>
      </w:r>
      <w:r>
        <w:rPr>
          <w:rFonts w:hint="eastAsia" w:ascii="宋体" w:hAnsi="宋体" w:eastAsia="宋体" w:cs="宋体"/>
          <w:lang w:val="en-US" w:eastAsia="zh-CN"/>
        </w:rPr>
        <w:t>西北大学外文数据库建设项目1包</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882"/>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9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参数性质</w:t>
            </w:r>
          </w:p>
        </w:tc>
        <w:tc>
          <w:tcPr>
            <w:tcW w:w="93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序号</w:t>
            </w:r>
          </w:p>
        </w:tc>
        <w:tc>
          <w:tcPr>
            <w:tcW w:w="7066"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技术参数和性能指标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eastAsia="宋体" w:cs="宋体"/>
                <w:snapToGrid w:val="0"/>
                <w:sz w:val="24"/>
                <w:vertAlign w:val="baseline"/>
                <w:lang w:val="en-US" w:eastAsia="zh-CN" w:bidi="ar-SA"/>
              </w:rPr>
            </w:pPr>
          </w:p>
        </w:tc>
        <w:tc>
          <w:tcPr>
            <w:tcW w:w="93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default"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1</w:t>
            </w:r>
          </w:p>
        </w:tc>
        <w:tc>
          <w:tcPr>
            <w:tcW w:w="7066"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eastAsia="宋体" w:cs="宋体"/>
                <w:snapToGrid w:val="0"/>
                <w:sz w:val="24"/>
                <w:vertAlign w:val="baseline"/>
                <w:lang w:val="en-US" w:eastAsia="zh-CN" w:bidi="ar-SA"/>
              </w:rPr>
              <w:t>1.</w:t>
            </w:r>
            <w:r>
              <w:rPr>
                <w:rFonts w:hint="eastAsia" w:ascii="宋体" w:hAnsi="宋体" w:cs="宋体"/>
                <w:szCs w:val="21"/>
              </w:rPr>
              <w:t>提供合同期内网络使用权。提供在线阅读服务。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2.支持学校网络中心提供的校园网IP全年无间断访问，支持校园网外VPN访问。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3.如出现使用故障，7*24小时内响应，保证24小时内解决问题。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4.提供合同商定的数据库更新服务，指定专人负责日常咨询。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5.提供在线查阅符合counter标准的使用统计报告。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6.根据学校IP地址变化随时更新。</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textAlignment w:val="auto"/>
              <w:rPr>
                <w:rFonts w:hint="default" w:ascii="宋体" w:hAnsi="宋体" w:eastAsia="宋体" w:cs="宋体"/>
                <w:snapToGrid w:val="0"/>
                <w:sz w:val="24"/>
                <w:vertAlign w:val="baseline"/>
                <w:lang w:val="en-US" w:eastAsia="zh-CN" w:bidi="ar-SA"/>
              </w:rPr>
            </w:pPr>
            <w:r>
              <w:rPr>
                <w:rFonts w:hint="eastAsia" w:ascii="宋体" w:hAnsi="宋体" w:cs="宋体"/>
                <w:szCs w:val="21"/>
              </w:rPr>
              <w:t>7.安排专门培训人员，按照采购人要求，主动或协助提供个性化、多层次的宣传推广与培训活动。</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供应商报价不允许超过标的金额</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（招单价的）供应商报价不允许超过标的单价</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标的名称：</w:t>
      </w:r>
      <w:r>
        <w:rPr>
          <w:rFonts w:hint="eastAsia" w:ascii="宋体" w:hAnsi="宋体" w:eastAsia="宋体" w:cs="宋体"/>
          <w:lang w:val="en-US" w:eastAsia="zh-CN"/>
        </w:rPr>
        <w:t>西北大学外文数据库建设项目2包</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882"/>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90"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参数性质</w:t>
            </w:r>
          </w:p>
        </w:tc>
        <w:tc>
          <w:tcPr>
            <w:tcW w:w="93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序号</w:t>
            </w:r>
          </w:p>
        </w:tc>
        <w:tc>
          <w:tcPr>
            <w:tcW w:w="7066"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技术参数和性能指标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8" w:hRule="atLeast"/>
        </w:trPr>
        <w:tc>
          <w:tcPr>
            <w:tcW w:w="1290" w:type="dxa"/>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eastAsia="宋体" w:cs="宋体"/>
                <w:snapToGrid w:val="0"/>
                <w:sz w:val="24"/>
                <w:vertAlign w:val="baseline"/>
                <w:lang w:val="en-US" w:eastAsia="zh-CN" w:bidi="ar-SA"/>
              </w:rPr>
            </w:pPr>
          </w:p>
        </w:tc>
        <w:tc>
          <w:tcPr>
            <w:tcW w:w="932"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default"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1</w:t>
            </w:r>
          </w:p>
        </w:tc>
        <w:tc>
          <w:tcPr>
            <w:tcW w:w="7066"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eastAsia="宋体" w:cs="宋体"/>
                <w:snapToGrid w:val="0"/>
                <w:sz w:val="24"/>
                <w:vertAlign w:val="baseline"/>
                <w:lang w:val="en-US" w:eastAsia="zh-CN" w:bidi="ar-SA"/>
              </w:rPr>
              <w:t>1.</w:t>
            </w:r>
            <w:r>
              <w:rPr>
                <w:rFonts w:hint="eastAsia" w:ascii="宋体" w:hAnsi="宋体" w:cs="宋体"/>
                <w:szCs w:val="21"/>
              </w:rPr>
              <w:t>提供合同期内网络使用权。提供在线阅读服务。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2.支持学校网络中心提供的校园网IP全年无间断访问，支持校园网外VPN访问。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3.如出现使用故障，7*24小时内响应，保证24小时内解决问题。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4.提供合同商定的数据库更新服务，指定专人负责日常咨询。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5.提供在线查阅符合counter标准的使用统计报告。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6.根据学校IP地址变化随时更新。</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textAlignment w:val="auto"/>
              <w:rPr>
                <w:rFonts w:hint="eastAsia" w:ascii="宋体" w:hAnsi="宋体" w:eastAsia="宋体" w:cs="宋体"/>
                <w:snapToGrid w:val="0"/>
                <w:sz w:val="24"/>
                <w:vertAlign w:val="baseline"/>
                <w:lang w:val="en-US" w:eastAsia="zh-CN" w:bidi="ar-SA"/>
              </w:rPr>
            </w:pPr>
            <w:r>
              <w:rPr>
                <w:rFonts w:hint="eastAsia" w:ascii="宋体" w:hAnsi="宋体" w:cs="宋体"/>
                <w:szCs w:val="21"/>
              </w:rPr>
              <w:t>7.安排专门培训人员，按照采购人要求，主动或协助提供个性化、多层次的宣传推广与培训活动。</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供应商报价不允许超过标的金额</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（招单价的）供应商报价不允许超过标的单价</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标的名称：</w:t>
      </w:r>
      <w:r>
        <w:rPr>
          <w:rFonts w:hint="eastAsia" w:ascii="宋体" w:hAnsi="宋体" w:eastAsia="宋体" w:cs="宋体"/>
          <w:lang w:val="en-US" w:eastAsia="zh-CN"/>
        </w:rPr>
        <w:t>西北大学外文数据库建设项目3包</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704"/>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89"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参数性质</w:t>
            </w:r>
          </w:p>
        </w:tc>
        <w:tc>
          <w:tcPr>
            <w:tcW w:w="73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序号</w:t>
            </w:r>
          </w:p>
        </w:tc>
        <w:tc>
          <w:tcPr>
            <w:tcW w:w="7066"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技术参数和性能指标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89" w:type="dxa"/>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eastAsia="宋体" w:cs="宋体"/>
                <w:snapToGrid w:val="0"/>
                <w:sz w:val="24"/>
                <w:vertAlign w:val="baseline"/>
                <w:lang w:val="en-US" w:eastAsia="zh-CN" w:bidi="ar-SA"/>
              </w:rPr>
            </w:pPr>
          </w:p>
        </w:tc>
        <w:tc>
          <w:tcPr>
            <w:tcW w:w="733" w:type="dxa"/>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center"/>
              <w:textAlignment w:val="auto"/>
              <w:rPr>
                <w:rFonts w:hint="default" w:ascii="宋体" w:hAnsi="宋体" w:eastAsia="宋体" w:cs="宋体"/>
                <w:snapToGrid w:val="0"/>
                <w:sz w:val="24"/>
                <w:vertAlign w:val="baseline"/>
                <w:lang w:val="en-US" w:eastAsia="zh-CN" w:bidi="ar-SA"/>
              </w:rPr>
            </w:pPr>
            <w:r>
              <w:rPr>
                <w:rFonts w:hint="eastAsia" w:ascii="宋体" w:hAnsi="宋体" w:eastAsia="宋体" w:cs="宋体"/>
                <w:snapToGrid w:val="0"/>
                <w:sz w:val="24"/>
                <w:vertAlign w:val="baseline"/>
                <w:lang w:val="en-US" w:eastAsia="zh-CN" w:bidi="ar-SA"/>
              </w:rPr>
              <w:t>1</w:t>
            </w:r>
          </w:p>
        </w:tc>
        <w:tc>
          <w:tcPr>
            <w:tcW w:w="7066"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eastAsia="宋体" w:cs="宋体"/>
                <w:snapToGrid w:val="0"/>
                <w:sz w:val="24"/>
                <w:vertAlign w:val="baseline"/>
                <w:lang w:val="en-US" w:eastAsia="zh-CN" w:bidi="ar-SA"/>
              </w:rPr>
              <w:t>1.</w:t>
            </w:r>
            <w:r>
              <w:rPr>
                <w:rFonts w:hint="eastAsia" w:ascii="宋体" w:hAnsi="宋体" w:cs="宋体"/>
                <w:szCs w:val="21"/>
              </w:rPr>
              <w:t>提供合同期内网络使用权。提供在线阅读服务。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2.支持学校网络中心提供的校园网IP全年无间断访问，支持校园网外VPN访问。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3.如出现使用故障，7*24小时内响应，保证24小时内解决问题。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4.提供合同商定的数据库更新服务，指定专人负责日常咨询。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5.提供在线查阅符合counter标准的使用统计报告。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Cs w:val="21"/>
              </w:rPr>
            </w:pPr>
            <w:r>
              <w:rPr>
                <w:rFonts w:hint="eastAsia" w:ascii="宋体" w:hAnsi="宋体" w:cs="宋体"/>
                <w:szCs w:val="21"/>
              </w:rPr>
              <w:t>6.根据学校IP地址变化随时更新。</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500" w:lineRule="exact"/>
              <w:textAlignment w:val="auto"/>
              <w:rPr>
                <w:rFonts w:hint="eastAsia" w:ascii="宋体" w:hAnsi="宋体" w:eastAsia="宋体" w:cs="宋体"/>
                <w:snapToGrid w:val="0"/>
                <w:sz w:val="24"/>
                <w:vertAlign w:val="baseline"/>
                <w:lang w:val="en-US" w:eastAsia="zh-CN" w:bidi="ar-SA"/>
              </w:rPr>
            </w:pPr>
            <w:r>
              <w:rPr>
                <w:rFonts w:hint="eastAsia" w:ascii="宋体" w:hAnsi="宋体" w:cs="宋体"/>
                <w:szCs w:val="21"/>
              </w:rPr>
              <w:t>7.安排专门培训人员，按照采购人要求，主动或协助提供个性化、多层次的宣传推广与培训活动。</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3.2.3人员配置要求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配置信息化相关专业的服务人员。</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配置信息化相关专业的服务人员。</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配置信息化相关专业的服务人员。</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3.2.4设施设备配置要求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采购包1：无</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采购包2：无</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outlineLvl w:val="2"/>
        <w:rPr>
          <w:rFonts w:hint="default"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采购包3：无</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3.2.5其他要求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采购包1：无</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采购包2：无</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采购包3：无</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00" w:lineRule="exact"/>
        <w:textAlignment w:val="auto"/>
        <w:outlineLvl w:val="2"/>
        <w:rPr>
          <w:rFonts w:hint="eastAsia" w:ascii="宋体" w:hAnsi="宋体" w:eastAsia="宋体" w:cs="宋体"/>
          <w:b/>
          <w:bCs/>
          <w:sz w:val="28"/>
          <w:szCs w:val="21"/>
          <w:lang w:val="en-US" w:eastAsia="zh-CN"/>
        </w:rPr>
      </w:pPr>
      <w:r>
        <w:rPr>
          <w:rFonts w:hint="eastAsia" w:ascii="宋体" w:hAnsi="宋体" w:eastAsia="宋体" w:cs="宋体"/>
          <w:b/>
          <w:bCs/>
          <w:sz w:val="28"/>
          <w:szCs w:val="21"/>
          <w:lang w:val="en-US" w:eastAsia="zh-CN"/>
        </w:rPr>
        <w:t>3.3商务要求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3.3.1服务期限</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自合同签订之日起365日</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自合同签订之日起365日</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自合同签订之日起365日</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3.3.2服务地点</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采购人指定地点</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采购人指定地点</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采购人指定地点</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3.3.3考核（验收）标准和方法</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（一）质量标准</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乙方保证提供的服务质量应符合中华人民共和国相关标准及相应的技术规范、本次采购相关文件中的全部相关要求及乙方相关服务标准及相应的技术规范中之较高者。</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（二）验收组织</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 xml:space="preserve"> 甲方负责按规定组织验收工作并出具验收书，涉及向学校师生提供的公共服务项目，验收时须邀请服务对象参与并出具意见。</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（一）质量标准</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乙方保证提供的服务质量应符合中华人民共和国相关标准及相应的技术规范、本次采购相关文件中的全部相关要求及乙方相关服务标准及相应的技术规范中之较高者。</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（二）验收组织</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甲方负责按规定组织验收工作并出具验收书，涉及向学校师生提供的公共服务项目，验收时须邀请服务对象参与并出具意见。</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（一）质量标准</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乙方保证提供的服务质量应符合中华人民共和国相关标准及相应的技术规范、本次采购相关文件中的全部相关要求及乙方相关服务标准及相应的技术规范中之较高者。</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（二）验收组织</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甲方负责按规定组织验收工作并出具验收书，涉及向学校师生提供的公共服务项目，验收时须邀请服务对象参与并出具意见。</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3.3.4支付方式</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分期付款</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分期付款</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lang w:val="en-US" w:eastAsia="zh-CN"/>
        </w:rPr>
      </w:pPr>
      <w:r>
        <w:rPr>
          <w:rFonts w:hint="eastAsia" w:ascii="宋体" w:hAnsi="宋体" w:eastAsia="宋体" w:cs="宋体"/>
          <w:snapToGrid w:val="0"/>
          <w:sz w:val="24"/>
          <w:lang w:val="en-US" w:eastAsia="zh-CN" w:bidi="ar-SA"/>
        </w:rPr>
        <w:t>分期付款</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3.3.5.支付约定</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pPr>
      <w:r>
        <w:rPr>
          <w:rFonts w:hint="eastAsia" w:ascii="宋体" w:hAnsi="宋体" w:eastAsia="宋体" w:cs="宋体"/>
          <w:snapToGrid w:val="0"/>
          <w:sz w:val="24"/>
          <w:lang w:val="en-US" w:eastAsia="zh-CN" w:bidi="ar-SA"/>
        </w:rPr>
        <w:t>采购包1：付款条件说明：合同生效后，乙方为甲方开通使用权限，甲方使用3个月后经甲乙双方共同验收，验收合格后，一次性付清全部服务费用</w:t>
      </w:r>
      <w: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采购包2：付款条件说明：合同生效后，乙方为甲方开通使用权限，甲方使用3个月后经甲乙双方共同验收，验收合格后，一次性付清全部服务费用</w:t>
      </w:r>
      <w: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采购包3：付款条件说明：合同生效后，乙方为甲方开通使用权限，甲方使用3个月后经甲乙双方共同验收，验收合格后，一次性付清全部服务费用</w:t>
      </w:r>
      <w: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3.3.6违约责任与解决争议的方法</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采购包1：</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按合同执行。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采购包2：</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按合同执行。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采购包3：</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ind w:firstLine="480" w:firstLineChars="200"/>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按合同执行。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500" w:lineRule="exact"/>
        <w:textAlignment w:val="auto"/>
        <w:outlineLvl w:val="2"/>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3.4其他要求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snapToGrid w:val="0"/>
          <w:sz w:val="24"/>
          <w:lang w:val="en-US" w:eastAsia="zh-CN" w:bidi="ar-SA"/>
        </w:rPr>
      </w:pPr>
      <w:r>
        <w:rPr>
          <w:rFonts w:hint="eastAsia" w:ascii="宋体" w:hAnsi="宋体" w:eastAsia="宋体" w:cs="宋体"/>
          <w:snapToGrid w:val="0"/>
          <w:sz w:val="24"/>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NTkyNDJjNWFiYWRmMjRlNGYzNzgwOGFjNTE0OGUifQ=="/>
  </w:docVars>
  <w:rsids>
    <w:rsidRoot w:val="36D924F6"/>
    <w:rsid w:val="36D924F6"/>
    <w:rsid w:val="3FF9428E"/>
    <w:rsid w:val="5481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sz w:val="24"/>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heme="minorBidi"/>
      <w:b/>
      <w:bCs/>
      <w:snapToGrid w:val="0"/>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next w:val="1"/>
    <w:qFormat/>
    <w:uiPriority w:val="0"/>
    <w:pPr>
      <w:widowControl w:val="0"/>
      <w:spacing w:after="120" w:afterLines="0" w:afterAutospacing="0"/>
      <w:jc w:val="both"/>
    </w:pPr>
    <w:rPr>
      <w:rFonts w:asciiTheme="minorHAnsi" w:hAnsiTheme="minorHAnsi" w:eastAsiaTheme="minorEastAsia" w:cstheme="minorBidi"/>
      <w:snapToGrid w:val="0"/>
      <w:sz w:val="24"/>
      <w:lang w:val="en-US" w:eastAsia="zh-CN" w:bidi="ar-SA"/>
    </w:rPr>
  </w:style>
  <w:style w:type="paragraph" w:styleId="4">
    <w:name w:val="toc 1"/>
    <w:basedOn w:val="1"/>
    <w:next w:val="1"/>
    <w:uiPriority w:val="0"/>
    <w:pPr>
      <w:spacing w:line="360" w:lineRule="auto"/>
    </w:pPr>
    <w:rPr>
      <w:rFonts w:ascii="Calibri" w:hAnsi="Calibri" w:eastAsia="宋体" w:cs="Times New Roman"/>
      <w:kern w:val="2"/>
      <w:sz w:val="28"/>
      <w:szCs w:val="24"/>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2023-07-17T06:29:00Z</dcterms:created>
  <dc:creator>新昱</dc:creator>
  <cp:lastModifiedBy>新昱</cp:lastModifiedBy>
  <dcterms:modified xsi:type="dcterms:W3CDTF">2023-07-17T06:30:25Z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234BB8EC743C49A4BCEEEA95FFC61610_11</vt:lpwstr>
  </property>
</Properties>
</file>