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投标综合单价报价为包含人工费、主辅材费、机械费、管理费、利润、风险费、措施费、垃圾清运费、税金等及与施工相关的一切费用在内的人民币报价，附报价单：</w:t>
      </w:r>
    </w:p>
    <w:p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u w:val="single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u w:val="single"/>
        </w:rPr>
        <w:t>第三包：临潼校区教学D楼翻新改造工程：</w:t>
      </w:r>
    </w:p>
    <w:tbl>
      <w:tblPr>
        <w:tblStyle w:val="5"/>
        <w:tblW w:w="8647" w:type="dxa"/>
        <w:tblInd w:w="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3384"/>
        <w:gridCol w:w="1010"/>
        <w:gridCol w:w="535"/>
        <w:gridCol w:w="1166"/>
        <w:gridCol w:w="904"/>
        <w:gridCol w:w="1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64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临潼校区教学D楼翻新改造工程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分项工程名称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综合单价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一至五层教室内1米高墙裙粉刷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20" w:firstLineChars="5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2520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一至三层走廊、过道、大厅、连接段公共部分顶面墙面粉刷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5158.56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一至五层男女卫生间原有天棚吊顶拆除（含面层、龙骨、吊杆、吸顶灯、排气扇拆除等）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20" w:firstLineChars="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547.2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一至五层男女卫生间顶面方形300*300铝扣板吊顶制安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20" w:firstLineChars="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547.2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一至三层男女卫生间原有蹲位隔断拆除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108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一至三层男女卫生间蹲位隔断制安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108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一至五层盥洗区2000mm*600mm洗漱镜制安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29.4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一至五层男女卫生间圆球吸顶灯制安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一至五层男女卫生间嵌入式300*300排气扇制安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零星修补洗漱台周边脱落大理石台面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0.26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一至五层教室内不锈钢窗纱1000mm*1400mm制安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135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33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一至五层东西南北楼梯玻璃幕墙保洁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360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m2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临潼校区教学D楼翻新改造工程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（1）、招标工程量为暂定量，最终按照实际施工量据实结算。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2）、投标报价内含人工费、主辅材费、机械费、管理费、利润、风险费、场内场外二次倒运费、场地清理及地面恢复费、垃圾清运费、运输费、装卸费、试验费、资料费、成品保护费、检测费、施工配合费、调试费、措施费、相关税金等及与施工相关的一切费用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3）、该工程中所用材料必须符合国家、行业标准，且均须采用国内知名品牌，投标单位在投标文件须注明品牌并随附相关产品检测报告。所有原材料进场前须由中标方提供样品，校方及监理方考察认质，认定样品质量后封存，大批量材料进场时比对查验，上述常规因素投标单位组价时须一并考虑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（4）、与施工相关的建筑垃圾清理及校外弃运费用（含渣土外运相关手续办理）、投标组价中一并考虑，均包含在相关分项综合单价中，不再另行计费。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（5）、本工程施工时间为学生暑假离校后的有限时间，需无条件保证所翻新改造教学楼8月底开学前如期使用，工期每无故拖延一天，按照合同价的1%按天累计从工程款项中一次性扣除。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（6）、工程施工结算阶段，承包人应据实申报决算资料及组价，经审计后审减率超出10%（含10%）时，发生的全部审计成果费由承包人承担。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（7）、本工程所发生的水电费按工程审定造价的5‰（其中电费为3‰，水费为2‰）从工程款项中一次性扣除。</w:t>
      </w:r>
    </w:p>
    <w:p>
      <w:pPr>
        <w:pStyle w:val="4"/>
        <w:rPr>
          <w:rFonts w:hint="eastAsia" w:ascii="宋体" w:hAnsi="宋体" w:cs="宋体"/>
          <w:color w:val="000000"/>
          <w:kern w:val="44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TFhZDMxOWI3MmExNTFhMDUwOWE5MTk0NTc4YTYifQ=="/>
  </w:docVars>
  <w:rsids>
    <w:rsidRoot w:val="00000000"/>
    <w:rsid w:val="06FF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2023-07-17T15:06:17Z</dcterms:created>
  <dc:creator>小菲菲</dc:creator>
  <cp:lastModifiedBy>Tend.</cp:lastModifiedBy>
  <dcterms:modified xsi:type="dcterms:W3CDTF">2023-07-17T15:07:21Z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9B46F5C030004307A71F866D921A0DB3_12</vt:lpwstr>
  </property>
</Properties>
</file>