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一、采购需求及技术要求：</w:t>
      </w:r>
    </w:p>
    <w:p>
      <w:pPr>
        <w:pStyle w:val="2"/>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1.采购需求</w:t>
      </w:r>
    </w:p>
    <w:p>
      <w:pPr>
        <w:pStyle w:val="2"/>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lang w:val="en-US" w:eastAsia="zh-CN"/>
        </w:rPr>
        <w:t>1</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外语类教材6本</w:t>
      </w:r>
    </w:p>
    <w:tbl>
      <w:tblPr>
        <w:tblStyle w:val="5"/>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1930"/>
        <w:gridCol w:w="1451"/>
        <w:gridCol w:w="1116"/>
        <w:gridCol w:w="844"/>
        <w:gridCol w:w="773"/>
        <w:gridCol w:w="731"/>
        <w:gridCol w:w="78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教材名称</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书号</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主 编</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出版社</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使用年级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使用专业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预定数量</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《新视野大学英语（第四版）读写教程（思政智慧版）》学生用书（1）</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978-7-5213-1698-8</w:t>
            </w:r>
          </w:p>
        </w:tc>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郑树棠</w:t>
            </w:r>
          </w:p>
        </w:tc>
        <w:tc>
          <w:tcPr>
            <w:tcW w:w="8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外语教学与研究出版社</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《新视野大学英语（第四版）读写教程（思政智慧版）》学生用书（2）</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978-7-5213-1697-1</w:t>
            </w:r>
          </w:p>
        </w:tc>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《新视野大学英语（第四版）读写教程（思政智慧版）》学生用书（3）</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978-7-5213-1696-4</w:t>
            </w:r>
          </w:p>
        </w:tc>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《新文化日本语（1）》</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9787900769633</w:t>
            </w:r>
          </w:p>
        </w:tc>
        <w:tc>
          <w:tcPr>
            <w:tcW w:w="11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（日）文化外国语专门学校</w:t>
            </w:r>
          </w:p>
        </w:tc>
        <w:tc>
          <w:tcPr>
            <w:tcW w:w="8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天津外语电子音像出版社</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2023级新生（不含艺教、特教）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《新文化日本语（2）》</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9787900769558</w:t>
            </w:r>
          </w:p>
        </w:tc>
        <w:tc>
          <w:tcPr>
            <w:tcW w:w="11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2023级新生（不含艺教、特教）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jc w:val="center"/>
        </w:trPr>
        <w:tc>
          <w:tcPr>
            <w:tcW w:w="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《轻松听日语（1册）》</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9787900769497</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（日）文化外国语专门学校日本语科</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天津外语电子音像出版社</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2023级新生（不含艺教、特教）</w:t>
            </w:r>
          </w:p>
        </w:tc>
      </w:tr>
    </w:tbl>
    <w:p>
      <w:pPr>
        <w:rPr>
          <w:rFonts w:hint="eastAsia" w:ascii="宋体" w:hAnsi="宋体" w:eastAsia="宋体" w:cs="宋体"/>
          <w:color w:val="auto"/>
          <w:sz w:val="24"/>
          <w:szCs w:val="24"/>
        </w:rPr>
      </w:pPr>
    </w:p>
    <w:p>
      <w:pPr>
        <w:pStyle w:val="2"/>
        <w:rPr>
          <w:rFonts w:hint="eastAsia" w:ascii="宋体" w:hAnsi="宋体" w:eastAsia="宋体" w:cs="宋体"/>
          <w:b/>
          <w:bCs/>
          <w:color w:val="auto"/>
          <w:sz w:val="24"/>
          <w:szCs w:val="32"/>
        </w:rPr>
      </w:pPr>
      <w:r>
        <w:rPr>
          <w:rFonts w:hint="eastAsia" w:ascii="宋体" w:hAnsi="宋体" w:eastAsia="宋体" w:cs="宋体"/>
          <w:b/>
          <w:bCs/>
          <w:color w:val="auto"/>
          <w:sz w:val="24"/>
          <w:szCs w:val="32"/>
          <w:lang w:eastAsia="zh-CN"/>
        </w:rPr>
        <w:br w:type="page"/>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lang w:val="en-US" w:eastAsia="zh-CN"/>
        </w:rPr>
        <w:t>2</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综合类教材16本。</w:t>
      </w:r>
    </w:p>
    <w:tbl>
      <w:tblPr>
        <w:tblStyle w:val="5"/>
        <w:tblW w:w="9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0"/>
        <w:gridCol w:w="1926"/>
        <w:gridCol w:w="1216"/>
        <w:gridCol w:w="1254"/>
        <w:gridCol w:w="941"/>
        <w:gridCol w:w="911"/>
        <w:gridCol w:w="780"/>
        <w:gridCol w:w="715"/>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教材名称</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书号</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 编</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出版社</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使用年级</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使用专业</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预定数量</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2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《大学生职业生涯规划与就业创业指导》</w:t>
            </w:r>
          </w:p>
        </w:tc>
        <w:tc>
          <w:tcPr>
            <w:tcW w:w="121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978-7-04-047382-7</w:t>
            </w:r>
          </w:p>
        </w:tc>
        <w:tc>
          <w:tcPr>
            <w:tcW w:w="125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韩晓剑、刘荣</w:t>
            </w:r>
          </w:p>
        </w:tc>
        <w:tc>
          <w:tcPr>
            <w:tcW w:w="941"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1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2020级</w:t>
            </w:r>
          </w:p>
        </w:tc>
        <w:tc>
          <w:tcPr>
            <w:tcW w:w="78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1563</w:t>
            </w:r>
          </w:p>
        </w:tc>
        <w:tc>
          <w:tcPr>
            <w:tcW w:w="1203" w:type="dxa"/>
            <w:tcBorders>
              <w:top w:val="nil"/>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2020级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926"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《大学生安全教育》</w:t>
            </w:r>
          </w:p>
        </w:tc>
        <w:tc>
          <w:tcPr>
            <w:tcW w:w="1216" w:type="dxa"/>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978-7-5613-7128-2</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李四军</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陕西师范大学出版总社</w:t>
            </w: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《大学生国防教育新编教程》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978-7-5613-7159-6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李四军</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陕西师范大学出版总社</w:t>
            </w: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所有专业 </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92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《时事报告》（秋季版）</w:t>
            </w:r>
          </w:p>
        </w:tc>
        <w:tc>
          <w:tcPr>
            <w:tcW w:w="1216"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1674-6783</w:t>
            </w:r>
          </w:p>
        </w:tc>
        <w:tc>
          <w:tcPr>
            <w:tcW w:w="125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中宣部《时事报告》杂志社</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9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2022级</w:t>
            </w:r>
          </w:p>
        </w:tc>
        <w:tc>
          <w:tcPr>
            <w:tcW w:w="7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3180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2023级新生、2022级（不含特教100）2023年9月发放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926"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《时事报告》（春季版）</w:t>
            </w:r>
          </w:p>
        </w:tc>
        <w:tc>
          <w:tcPr>
            <w:tcW w:w="1216"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1674-6783</w:t>
            </w:r>
          </w:p>
        </w:tc>
        <w:tc>
          <w:tcPr>
            <w:tcW w:w="1254"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中宣部《时事报告》杂志社</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4"/>
                <w:szCs w:val="24"/>
                <w:u w:val="none"/>
              </w:rPr>
            </w:pP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2021级</w:t>
            </w:r>
          </w:p>
        </w:tc>
        <w:tc>
          <w:tcPr>
            <w:tcW w:w="780" w:type="dxa"/>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3181</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 、2021级（不含特教）2024年3月发放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《大学生心理健康（第2版）》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9787307132597</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auto"/>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武汉大学出版社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jc w:val="center"/>
        </w:trPr>
        <w:tc>
          <w:tcPr>
            <w:tcW w:w="55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《素描基础》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9787102058498</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赵健  张元稼</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人民美术出版社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1435</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2023级新生1640（不含特教、书法、史论、艺教）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《色彩基础》</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9787102058474</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赵健  王风华</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人民美术出版社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1435</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2023级新生1640（不含特教、书法、史论、艺教）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《中国美术史》（马工程教材）</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978-7-04-051818-4</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尹吉男</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1525</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2023级新生1640（不含特教、艺教音乐专业）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《外国美术简史》</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978-7-5153-2416-6</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中央美术学院美术史系外国美术史教研室</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中国青年出版社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《中国当代艺术史1978-2018》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9787571812621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鲁虹</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河北美术出版社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《艺术学概论》（马工程教材）</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978-7-04-051290-8</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彭吉象、王一川</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jc w:val="center"/>
        </w:trPr>
        <w:tc>
          <w:tcPr>
            <w:tcW w:w="55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《大学语文》（第三版）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978-7-04-042579-6</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陈洪</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《大学语文》拓展读本（第三版）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978-7-04-042646-5</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陈洪、李瑞山</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《新时代高校劳动教育通论》</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978-7-04-055341-3</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孙家学、耿艳丽、邵珠平</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11"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atLeast"/>
          <w:jc w:val="center"/>
        </w:trPr>
        <w:tc>
          <w:tcPr>
            <w:tcW w:w="550"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9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《大学体育教程》</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978-7-5612-5903-0</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杜宇峰</w:t>
            </w:r>
          </w:p>
        </w:tc>
        <w:tc>
          <w:tcPr>
            <w:tcW w:w="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西北工业大学出版社</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80" w:type="dxa"/>
            <w:tcBorders>
              <w:top w:val="single" w:color="000000" w:sz="4" w:space="0"/>
              <w:left w:val="nil"/>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7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1590</w:t>
            </w:r>
          </w:p>
        </w:tc>
        <w:tc>
          <w:tcPr>
            <w:tcW w:w="1203"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2023级新生（不含特教50）</w:t>
            </w:r>
          </w:p>
        </w:tc>
      </w:tr>
    </w:tbl>
    <w:p>
      <w:pPr>
        <w:pStyle w:val="2"/>
        <w:shd w:val="clear" w:color="auto" w:fill="auto"/>
        <w:rPr>
          <w:rFonts w:hint="eastAsia" w:ascii="宋体" w:hAnsi="宋体" w:eastAsia="宋体" w:cs="宋体"/>
          <w:b/>
          <w:bCs/>
          <w:color w:val="auto"/>
          <w:sz w:val="24"/>
          <w:szCs w:val="32"/>
        </w:rPr>
      </w:pPr>
      <w:bookmarkStart w:id="0" w:name="_GoBack"/>
      <w:bookmarkEnd w:id="0"/>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lang w:val="en-US" w:eastAsia="zh-CN"/>
        </w:rPr>
        <w:t>3</w:t>
      </w:r>
      <w:r>
        <w:rPr>
          <w:rFonts w:hint="eastAsia" w:ascii="宋体" w:hAnsi="宋体" w:eastAsia="宋体" w:cs="宋体"/>
          <w:b/>
          <w:bCs/>
          <w:color w:val="auto"/>
          <w:sz w:val="24"/>
          <w:szCs w:val="32"/>
          <w:lang w:eastAsia="zh-CN"/>
        </w:rPr>
        <w:t>）</w:t>
      </w:r>
      <w:r>
        <w:rPr>
          <w:rFonts w:hint="eastAsia" w:ascii="宋体" w:hAnsi="宋体" w:eastAsia="宋体" w:cs="宋体"/>
          <w:b/>
          <w:bCs/>
          <w:color w:val="auto"/>
          <w:sz w:val="24"/>
          <w:szCs w:val="32"/>
        </w:rPr>
        <w:t>两课类教材</w:t>
      </w:r>
      <w:r>
        <w:rPr>
          <w:rFonts w:hint="eastAsia" w:ascii="宋体" w:hAnsi="宋体" w:eastAsia="宋体" w:cs="宋体"/>
          <w:b/>
          <w:bCs/>
          <w:color w:val="auto"/>
          <w:sz w:val="24"/>
          <w:szCs w:val="32"/>
          <w:lang w:val="en-US" w:eastAsia="zh-CN"/>
        </w:rPr>
        <w:t>4</w:t>
      </w:r>
      <w:r>
        <w:rPr>
          <w:rFonts w:hint="eastAsia" w:ascii="宋体" w:hAnsi="宋体" w:eastAsia="宋体" w:cs="宋体"/>
          <w:b/>
          <w:bCs/>
          <w:color w:val="auto"/>
          <w:sz w:val="24"/>
          <w:szCs w:val="32"/>
        </w:rPr>
        <w:t>本。</w:t>
      </w:r>
    </w:p>
    <w:tbl>
      <w:tblPr>
        <w:tblStyle w:val="5"/>
        <w:tblW w:w="9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770"/>
        <w:gridCol w:w="1360"/>
        <w:gridCol w:w="1249"/>
        <w:gridCol w:w="937"/>
        <w:gridCol w:w="907"/>
        <w:gridCol w:w="777"/>
        <w:gridCol w:w="712"/>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教材名称</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书号</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主 编</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出版社</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使用年级</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使用专业</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预定数量</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547"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7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《思想道德与法治(2023年版)》</w:t>
            </w:r>
          </w:p>
        </w:tc>
        <w:tc>
          <w:tcPr>
            <w:tcW w:w="136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978-7-04-056621-5</w:t>
            </w:r>
          </w:p>
        </w:tc>
        <w:tc>
          <w:tcPr>
            <w:tcW w:w="1249"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《思想道德与法治(2023年版)》编写组</w:t>
            </w:r>
          </w:p>
        </w:tc>
        <w:tc>
          <w:tcPr>
            <w:tcW w:w="937"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高等教育出版社</w:t>
            </w:r>
          </w:p>
        </w:tc>
        <w:tc>
          <w:tcPr>
            <w:tcW w:w="907" w:type="dxa"/>
            <w:tcBorders>
              <w:top w:val="nil"/>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p>
        </w:tc>
        <w:tc>
          <w:tcPr>
            <w:tcW w:w="777" w:type="dxa"/>
            <w:tcBorders>
              <w:top w:val="nil"/>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2" w:type="dxa"/>
            <w:tcBorders>
              <w:top w:val="nil"/>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1640</w:t>
            </w:r>
          </w:p>
        </w:tc>
        <w:tc>
          <w:tcPr>
            <w:tcW w:w="1198"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7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《中国近现代史纲要(2023年版)》</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978-7-04-056623-9</w:t>
            </w:r>
          </w:p>
        </w:tc>
        <w:tc>
          <w:tcPr>
            <w:tcW w:w="1249"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《中国近现代史纲要(2023年版)》编写组</w:t>
            </w:r>
          </w:p>
        </w:tc>
        <w:tc>
          <w:tcPr>
            <w:tcW w:w="937" w:type="dxa"/>
            <w:vMerge w:val="continue"/>
            <w:tcBorders>
              <w:top w:val="nil"/>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907" w:type="dxa"/>
            <w:tcBorders>
              <w:top w:val="nil"/>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2022级</w:t>
            </w:r>
          </w:p>
        </w:tc>
        <w:tc>
          <w:tcPr>
            <w:tcW w:w="777" w:type="dxa"/>
            <w:tcBorders>
              <w:top w:val="nil"/>
              <w:left w:val="nil"/>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7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3180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不含特教100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7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《马克思主义基本原理(2023年版)》</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978-7-04-056620-8</w:t>
            </w:r>
          </w:p>
        </w:tc>
        <w:tc>
          <w:tcPr>
            <w:tcW w:w="1249"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《马克思主义基本原理(2023年版)》编写组</w:t>
            </w:r>
          </w:p>
        </w:tc>
        <w:tc>
          <w:tcPr>
            <w:tcW w:w="937" w:type="dxa"/>
            <w:vMerge w:val="continue"/>
            <w:tcBorders>
              <w:top w:val="nil"/>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907" w:type="dxa"/>
            <w:tcBorders>
              <w:top w:val="nil"/>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2022级</w:t>
            </w:r>
          </w:p>
        </w:tc>
        <w:tc>
          <w:tcPr>
            <w:tcW w:w="777" w:type="dxa"/>
            <w:tcBorders>
              <w:top w:val="nil"/>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3280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2023级新生、2022级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9" w:hRule="atLeast"/>
          <w:jc w:val="center"/>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70"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《毛泽东思想和中国特色社会主义理论体系概论(2023年版)》</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978-7-04-056622-2</w:t>
            </w:r>
          </w:p>
        </w:tc>
        <w:tc>
          <w:tcPr>
            <w:tcW w:w="1249"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《毛泽东思想和中国特色社会主义理论体系概论(2023年版)》编写组</w:t>
            </w:r>
          </w:p>
        </w:tc>
        <w:tc>
          <w:tcPr>
            <w:tcW w:w="937" w:type="dxa"/>
            <w:vMerge w:val="continue"/>
            <w:tcBorders>
              <w:top w:val="nil"/>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eastAsia="宋体" w:cs="宋体"/>
                <w:i w:val="0"/>
                <w:iCs w:val="0"/>
                <w:color w:val="auto"/>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2021级</w:t>
            </w: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所有专业</w:t>
            </w:r>
          </w:p>
        </w:tc>
        <w:tc>
          <w:tcPr>
            <w:tcW w:w="71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3281</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2023级新生、2022级</w:t>
            </w:r>
          </w:p>
        </w:tc>
      </w:tr>
    </w:tbl>
    <w:p>
      <w:pPr>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2.采购技术要求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采购人实行“零”库存，成交教材供应商提供教材供应服务时应承担由于课程设置变化和学生数量变化造成的采购数量下降的风险。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采购人根据教材征订情况、教材出版情况、教材种类、市场供求关系、供应商到货率等在一定幅度内浮动，浮动比例原则上不超过10%。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教材符合中华人民共和国出版行业标准《印刷产品质量评价和分等导则》（CY/T 2-1999）的规定。符合教材出版单位供应渠道管理的要求。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质量保证要求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）供应时限。供应商为</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代购所需教材（以甲方提交乙方的清单为准），并在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规定的时间内将教材交付</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使用。对于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补订的急需教材，供应商必须在</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要求的时间内送到。如开课前个别教材确实不能按时交付，需免费为师生提供教材章节复印件，不耽误正常教学。供应商如不能按时交书，</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有权取消所订教材，并向供应商索赔总码洋的10%；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）回告时限。供应商接到</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的购书清单后，应在三日内答复</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无法订购的教材名称，并说明原因，以便</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及时更换版本。对于急需教材，必须在三日内给予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准确无误的回告，如果不能及时准确的答复和回告，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将以此作为评判供应商到货率的依据之一；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）教材质量。供应商提供给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的教材，必须是正式出版社出版的正规、正版教材，不得夹杂非法、盗版出版物，否则，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有权拒付当季所有教材款项，并要求供应商支付本合同总价款双倍金额作为违约金。供应商供给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的教材如出现缺页、倒装等质量问题，应保证在第一时间内无条件调换；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）供应商工作人员须具有良好的工作态度，较高的业务素质，并具有丰富的教材配送及售后服务工作经验。教材的编校、装帧、印刷和装订质量等必须符合行业的相关规范。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应商应具有良好的教材配送服务系统，与国内大多数出版商有经常的业务往来联系，有自己的教材储存仓库。采购人采购教材完毕后，供应商必须进行图书查重，如果因供应商原因导致采购单位采购人员重复订购教材，一律退回，由此造成的损失，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要求时间按时供应教材，运输工具由供应商解决，免费运送，摆放到指定位置。教材名称、出版单位、编著者、订数等不符合要求的，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有权拒收，供应商应按甲方要求第一时间予以调换；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在协议期内计算的教材到位率，供应商如果在规定的时间内提供给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的教材到位率低于100%，</w:t>
      </w:r>
      <w:r>
        <w:rPr>
          <w:rFonts w:hint="eastAsia" w:ascii="宋体" w:hAnsi="宋体" w:eastAsia="宋体" w:cs="宋体"/>
          <w:b w:val="0"/>
          <w:bCs w:val="0"/>
          <w:color w:val="auto"/>
          <w:sz w:val="24"/>
          <w:szCs w:val="24"/>
        </w:rPr>
        <w:t>供应商向</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赔偿总码洋的10%。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教材零库存管理。供应商负责配合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征订教材造成的教材调整，负责对所订教材进行调剂、退换，承担所有费用，并接受学校教材为零库存的管理模式。对因招生数量变动、学生专业调整、教师订错（订重）等原因造成的剩余教材，供应商应无条件100%免费包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）成交供应商作为采购单位供应商，在合同期内按约定履行合同的相关规定。所供教材以采购人报订订单为准，供应单位在教材供应过程中出现重大失误的，采购单位有权终止其供应工作；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）供应商及时向学校提供教材最新改版及变动等信息；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）对于不能履行合同承诺的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可以随时取消供应资格，有权拒付书款</w:t>
      </w:r>
      <w:r>
        <w:rPr>
          <w:rFonts w:hint="eastAsia" w:ascii="宋体" w:hAnsi="宋体" w:eastAsia="宋体" w:cs="宋体"/>
          <w:color w:val="auto"/>
          <w:sz w:val="24"/>
          <w:szCs w:val="24"/>
          <w:lang w:eastAsia="zh-CN"/>
        </w:rPr>
        <w:t>。</w:t>
      </w:r>
    </w:p>
    <w:p>
      <w:pPr>
        <w:rPr>
          <w:rFonts w:hint="eastAsia"/>
        </w:rPr>
      </w:pPr>
      <w:r>
        <w:rPr>
          <w:rFonts w:hint="eastAsia" w:ascii="宋体" w:hAnsi="宋体" w:eastAsia="宋体" w:cs="宋体"/>
          <w:b/>
          <w:bCs/>
          <w:color w:val="auto"/>
          <w:sz w:val="24"/>
          <w:szCs w:val="24"/>
          <w:lang w:val="en-US" w:eastAsia="zh-CN"/>
        </w:rPr>
        <w:t>注：以上内容均需提供承诺或证明材料并加盖供应商公章，否则按无效响应处理。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WExYzZhN2MyNGJiNTVhNDFjN2I1MzgyYTEyNWYifQ=="/>
  </w:docVars>
  <w:rsids>
    <w:rsidRoot w:val="2FCC0004"/>
    <w:rsid w:val="0C9E7A33"/>
    <w:rsid w:val="2BB30485"/>
    <w:rsid w:val="2FCC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semiHidden/>
    <w:unhideWhenUsed/>
    <w:qFormat/>
    <w:uiPriority w:val="0"/>
    <w:pPr>
      <w:keepNext/>
      <w:keepLines/>
      <w:spacing w:before="240" w:after="120" w:line="240" w:lineRule="atLeast"/>
      <w:outlineLvl w:val="3"/>
    </w:pPr>
    <w:rPr>
      <w:rFonts w:ascii="宋体" w:hAnsi="宋体" w:eastAsia="华文宋体"/>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2023-07-17T11:39:00Z</dcterms:created>
  <dc:creator>好好的</dc:creator>
  <cp:lastModifiedBy>好好的</cp:lastModifiedBy>
  <dcterms:modified xsi:type="dcterms:W3CDTF">2023-07-17T11:44:32Z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078759714A094AB48954AE6A748911FA_11</vt:lpwstr>
  </property>
</Properties>
</file>