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rPr>
          <w:rFonts w:hint="eastAsia"/>
        </w:rPr>
      </w:pPr>
      <w:bookmarkStart w:id="0" w:name="_Toc31442"/>
      <w:r>
        <w:rPr>
          <w:rFonts w:hint="eastAsia"/>
        </w:rPr>
        <w:t>磋商报价表</w:t>
      </w:r>
      <w:bookmarkEnd w:id="0"/>
    </w:p>
    <w:p>
      <w:pPr>
        <w:spacing w:line="420" w:lineRule="exact"/>
        <w:jc w:val="center"/>
        <w:rPr>
          <w:rFonts w:ascii="宋体" w:hAnsi="宋体"/>
          <w:color w:val="auto"/>
          <w:highlight w:val="none"/>
        </w:rPr>
      </w:pPr>
    </w:p>
    <w:tbl>
      <w:tblPr>
        <w:tblStyle w:val="8"/>
        <w:tblW w:w="83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9"/>
        <w:gridCol w:w="63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639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陕西学前师范学院办学条件综合提升项目--长安校区屋面防水工程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项目编号</w:t>
            </w:r>
          </w:p>
        </w:tc>
        <w:tc>
          <w:tcPr>
            <w:tcW w:w="639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ZDZC2023071403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面积</w:t>
            </w:r>
          </w:p>
        </w:tc>
        <w:tc>
          <w:tcPr>
            <w:tcW w:w="639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val="en-US" w:eastAsia="zh-CN"/>
              </w:rPr>
              <w:t>暂定总面积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  <w:lang w:eastAsia="zh-CN"/>
              </w:rPr>
              <w:t>10135.2㎡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综合单价</w:t>
            </w:r>
          </w:p>
        </w:tc>
        <w:tc>
          <w:tcPr>
            <w:tcW w:w="639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元/㎡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总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报价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（人民币）</w:t>
            </w:r>
          </w:p>
        </w:tc>
        <w:tc>
          <w:tcPr>
            <w:tcW w:w="639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  <w:t>小写金额：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  <w:t>大写金额：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项目经理</w:t>
            </w:r>
          </w:p>
        </w:tc>
        <w:tc>
          <w:tcPr>
            <w:tcW w:w="639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工期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日历天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639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textAlignment w:val="auto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质量</w:t>
            </w:r>
          </w:p>
        </w:tc>
        <w:tc>
          <w:tcPr>
            <w:tcW w:w="639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textAlignment w:val="auto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质保期</w:t>
            </w:r>
          </w:p>
        </w:tc>
        <w:tc>
          <w:tcPr>
            <w:tcW w:w="639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textAlignment w:val="auto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</w:tbl>
    <w:p>
      <w:pPr>
        <w:spacing w:line="360" w:lineRule="exact"/>
        <w:rPr>
          <w:rFonts w:hint="eastAsia" w:ascii="宋体" w:hAnsi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cs="宋体"/>
          <w:color w:val="auto"/>
          <w:sz w:val="22"/>
          <w:szCs w:val="22"/>
          <w:highlight w:val="none"/>
        </w:rPr>
        <w:t>备注：</w:t>
      </w:r>
    </w:p>
    <w:p>
      <w:pPr>
        <w:spacing w:line="360" w:lineRule="exact"/>
        <w:ind w:firstLine="638" w:firstLineChars="290"/>
        <w:rPr>
          <w:rFonts w:ascii="宋体" w:hAnsi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cs="宋体"/>
          <w:color w:val="auto"/>
          <w:sz w:val="22"/>
          <w:szCs w:val="22"/>
          <w:highlight w:val="none"/>
        </w:rPr>
        <w:t>1.本表格可不在</w:t>
      </w:r>
      <w:r>
        <w:rPr>
          <w:rFonts w:hint="eastAsia" w:ascii="宋体" w:hAnsi="宋体" w:cs="宋体"/>
          <w:color w:val="auto"/>
          <w:sz w:val="22"/>
          <w:szCs w:val="22"/>
          <w:highlight w:val="none"/>
          <w:lang w:eastAsia="zh-CN"/>
        </w:rPr>
        <w:t>响应文件</w:t>
      </w:r>
      <w:r>
        <w:rPr>
          <w:rFonts w:hint="eastAsia" w:ascii="宋体" w:hAnsi="宋体" w:cs="宋体"/>
          <w:color w:val="auto"/>
          <w:sz w:val="22"/>
          <w:szCs w:val="22"/>
          <w:highlight w:val="none"/>
        </w:rPr>
        <w:t>中装订，在开标现场按此表格格式填报二次报价；</w:t>
      </w:r>
    </w:p>
    <w:p>
      <w:pPr>
        <w:spacing w:line="360" w:lineRule="exact"/>
        <w:ind w:firstLine="638" w:firstLineChars="290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2.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供应商按照要求提交二次报价，二次报价为最终报价；</w:t>
      </w:r>
    </w:p>
    <w:p>
      <w:pPr>
        <w:spacing w:line="360" w:lineRule="exact"/>
        <w:ind w:firstLine="638" w:firstLineChars="290"/>
        <w:rPr>
          <w:rFonts w:hint="eastAsia" w:ascii="宋体" w:hAnsi="宋体" w:eastAsia="宋体" w:cs="宋体"/>
          <w:b w:val="0"/>
          <w:color w:val="auto"/>
          <w:sz w:val="22"/>
          <w:szCs w:val="22"/>
          <w:highlight w:val="none"/>
          <w:lang w:eastAsia="zh-CN" w:bidi="ar"/>
        </w:rPr>
      </w:pPr>
      <w:r>
        <w:rPr>
          <w:rFonts w:hint="eastAsia" w:ascii="宋体" w:hAnsi="宋体" w:eastAsia="宋体" w:cs="宋体"/>
          <w:b w:val="0"/>
          <w:color w:val="auto"/>
          <w:sz w:val="22"/>
          <w:szCs w:val="22"/>
          <w:highlight w:val="none"/>
          <w:lang w:eastAsia="zh-CN" w:bidi="ar"/>
        </w:rPr>
        <w:t>3</w:t>
      </w:r>
      <w:r>
        <w:rPr>
          <w:rFonts w:hint="eastAsia" w:ascii="宋体" w:hAnsi="宋体" w:eastAsia="宋体" w:cs="宋体"/>
          <w:b w:val="0"/>
          <w:color w:val="auto"/>
          <w:sz w:val="22"/>
          <w:szCs w:val="22"/>
          <w:highlight w:val="none"/>
          <w:lang w:bidi="ar"/>
        </w:rPr>
        <w:t>.表内报价内容以元为单位</w:t>
      </w:r>
      <w:r>
        <w:rPr>
          <w:rFonts w:hint="eastAsia" w:ascii="宋体" w:hAnsi="宋体" w:eastAsia="宋体" w:cs="宋体"/>
          <w:b w:val="0"/>
          <w:color w:val="auto"/>
          <w:sz w:val="22"/>
          <w:szCs w:val="22"/>
          <w:highlight w:val="none"/>
          <w:lang w:eastAsia="zh-CN" w:bidi="ar"/>
        </w:rPr>
        <w:t>，</w:t>
      </w:r>
      <w:r>
        <w:rPr>
          <w:rFonts w:hint="eastAsia" w:ascii="宋体" w:hAnsi="宋体" w:eastAsia="宋体" w:cs="宋体"/>
          <w:b w:val="0"/>
          <w:color w:val="auto"/>
          <w:sz w:val="22"/>
          <w:szCs w:val="22"/>
          <w:highlight w:val="none"/>
          <w:lang w:val="en-US" w:eastAsia="zh-CN" w:bidi="ar"/>
        </w:rPr>
        <w:t>精确到小数点后2位，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bidi="ar"/>
        </w:rPr>
        <w:t>第三位“四舍五入”</w:t>
      </w:r>
      <w:r>
        <w:rPr>
          <w:rFonts w:hint="eastAsia" w:ascii="宋体" w:hAnsi="宋体" w:eastAsia="宋体" w:cs="宋体"/>
          <w:b w:val="0"/>
          <w:color w:val="auto"/>
          <w:sz w:val="22"/>
          <w:szCs w:val="22"/>
          <w:highlight w:val="none"/>
          <w:lang w:val="en-US" w:eastAsia="zh-CN" w:bidi="ar"/>
        </w:rPr>
        <w:t>；</w:t>
      </w:r>
    </w:p>
    <w:p>
      <w:pPr>
        <w:spacing w:line="360" w:lineRule="exact"/>
        <w:ind w:firstLine="638" w:firstLineChars="290"/>
        <w:rPr>
          <w:rFonts w:hint="eastAsia" w:ascii="宋体" w:hAnsi="宋体" w:eastAsia="宋体" w:cs="宋体"/>
          <w:b w:val="0"/>
          <w:color w:val="auto"/>
          <w:sz w:val="22"/>
          <w:szCs w:val="22"/>
          <w:highlight w:val="none"/>
          <w:lang w:bidi="ar"/>
        </w:rPr>
      </w:pPr>
      <w:r>
        <w:rPr>
          <w:rFonts w:hint="eastAsia" w:ascii="宋体" w:hAnsi="宋体" w:eastAsia="宋体" w:cs="宋体"/>
          <w:b w:val="0"/>
          <w:color w:val="auto"/>
          <w:sz w:val="22"/>
          <w:szCs w:val="22"/>
          <w:highlight w:val="none"/>
          <w:lang w:eastAsia="zh-CN" w:bidi="ar"/>
        </w:rPr>
        <w:t>4</w:t>
      </w:r>
      <w:r>
        <w:rPr>
          <w:rFonts w:hint="eastAsia" w:ascii="宋体" w:hAnsi="宋体" w:eastAsia="宋体" w:cs="宋体"/>
          <w:b w:val="0"/>
          <w:color w:val="auto"/>
          <w:sz w:val="22"/>
          <w:szCs w:val="22"/>
          <w:highlight w:val="none"/>
          <w:lang w:bidi="ar"/>
        </w:rPr>
        <w:t>.</w:t>
      </w:r>
      <w:r>
        <w:rPr>
          <w:rFonts w:hint="eastAsia" w:ascii="宋体" w:hAnsi="宋体" w:eastAsia="宋体" w:cs="宋体"/>
          <w:b w:val="0"/>
          <w:color w:val="auto"/>
          <w:sz w:val="22"/>
          <w:szCs w:val="22"/>
          <w:highlight w:val="none"/>
          <w:lang w:val="en-US" w:eastAsia="zh-CN" w:bidi="ar"/>
        </w:rPr>
        <w:t>响应</w:t>
      </w:r>
      <w:r>
        <w:rPr>
          <w:rFonts w:hint="eastAsia" w:ascii="宋体" w:hAnsi="宋体" w:eastAsia="宋体" w:cs="宋体"/>
          <w:b w:val="0"/>
          <w:color w:val="auto"/>
          <w:sz w:val="22"/>
          <w:szCs w:val="22"/>
          <w:highlight w:val="none"/>
          <w:lang w:bidi="ar"/>
        </w:rPr>
        <w:t>总报价是指完成内容所需的全部费用，包括直接费、管理费、风险、利润、措施项目费、其它项目费、规费、税金及市场价格风险在内等一切费用。</w:t>
      </w:r>
    </w:p>
    <w:p>
      <w:pPr>
        <w:spacing w:line="480" w:lineRule="auto"/>
        <w:ind w:right="-161" w:firstLine="2640" w:firstLineChars="1100"/>
        <w:rPr>
          <w:rFonts w:ascii="宋体" w:hAnsi="宋体" w:cs="宋体"/>
          <w:color w:val="auto"/>
          <w:sz w:val="24"/>
          <w:highlight w:val="none"/>
        </w:rPr>
      </w:pPr>
    </w:p>
    <w:p>
      <w:pPr>
        <w:spacing w:line="500" w:lineRule="exact"/>
        <w:ind w:left="0" w:leftChars="0" w:right="-159" w:firstLine="638" w:firstLineChars="266"/>
        <w:jc w:val="both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供应商名称：（公章）</w:t>
      </w:r>
    </w:p>
    <w:p>
      <w:pPr>
        <w:spacing w:line="500" w:lineRule="exact"/>
        <w:ind w:left="0" w:leftChars="0" w:right="-159" w:firstLine="638" w:firstLineChars="266"/>
        <w:jc w:val="both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法定代表人或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委托代理人</w:t>
      </w:r>
      <w:r>
        <w:rPr>
          <w:rFonts w:hint="eastAsia" w:ascii="宋体" w:hAnsi="宋体" w:cs="宋体"/>
          <w:color w:val="auto"/>
          <w:sz w:val="24"/>
          <w:highlight w:val="none"/>
        </w:rPr>
        <w:t>：（盖章或签字）</w:t>
      </w:r>
    </w:p>
    <w:p>
      <w:pPr>
        <w:spacing w:line="500" w:lineRule="exact"/>
        <w:ind w:left="0" w:leftChars="0" w:firstLine="638" w:firstLineChars="266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 xml:space="preserve">日      期： 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  <w:highlight w:val="none"/>
        </w:rPr>
        <w:t>年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  <w:highlight w:val="none"/>
        </w:rPr>
        <w:t xml:space="preserve"> 月 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  <w:highlight w:val="none"/>
        </w:rPr>
        <w:t>日</w:t>
      </w:r>
    </w:p>
    <w:p>
      <w:pPr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br w:type="page"/>
      </w:r>
    </w:p>
    <w:p>
      <w:pPr>
        <w:pStyle w:val="7"/>
        <w:rPr>
          <w:rFonts w:hint="eastAsia" w:hAnsi="宋体" w:cs="宋体"/>
          <w:b/>
          <w:bCs/>
          <w:color w:val="auto"/>
          <w:sz w:val="24"/>
          <w:szCs w:val="24"/>
          <w:highlight w:val="none"/>
        </w:rPr>
      </w:pPr>
    </w:p>
    <w:p>
      <w:pPr>
        <w:pStyle w:val="7"/>
        <w:jc w:val="center"/>
        <w:rPr>
          <w:rFonts w:hint="default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hAnsi="宋体" w:cs="宋体"/>
          <w:b/>
          <w:color w:val="auto"/>
          <w:sz w:val="28"/>
          <w:szCs w:val="28"/>
          <w:highlight w:val="none"/>
          <w:lang w:val="en-US" w:eastAsia="zh-CN"/>
        </w:rPr>
        <w:t>已标价工程量清单</w:t>
      </w:r>
    </w:p>
    <w:p>
      <w:pPr>
        <w:kinsoku w:val="0"/>
        <w:spacing w:line="500" w:lineRule="exact"/>
        <w:rPr>
          <w:rFonts w:hint="eastAsia" w:ascii="宋体" w:hAnsi="宋体"/>
          <w:color w:val="auto"/>
          <w:sz w:val="24"/>
          <w:highlight w:val="none"/>
        </w:rPr>
      </w:pPr>
    </w:p>
    <w:p>
      <w:pPr>
        <w:kinsoku w:val="0"/>
        <w:spacing w:line="500" w:lineRule="exact"/>
        <w:rPr>
          <w:rFonts w:hint="eastAsia" w:ascii="宋体" w:hAnsi="宋体"/>
          <w:color w:val="auto"/>
          <w:sz w:val="24"/>
          <w:highlight w:val="none"/>
        </w:rPr>
      </w:pPr>
      <w:bookmarkStart w:id="1" w:name="_GoBack"/>
      <w:bookmarkEnd w:id="1"/>
    </w:p>
    <w:p>
      <w:pPr>
        <w:kinsoku w:val="0"/>
        <w:spacing w:line="500" w:lineRule="exact"/>
        <w:jc w:val="center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注：供应商可根据项目情况自行编制。</w:t>
      </w:r>
    </w:p>
    <w:p>
      <w:pPr>
        <w:pStyle w:val="7"/>
        <w:rPr>
          <w:rFonts w:hint="eastAsia" w:hAnsi="宋体"/>
          <w:color w:val="auto"/>
          <w:sz w:val="24"/>
          <w:szCs w:val="24"/>
          <w:highlight w:val="none"/>
        </w:rPr>
      </w:pPr>
    </w:p>
    <w:p>
      <w:pPr>
        <w:rPr>
          <w:color w:val="auto"/>
          <w:highlight w:val="none"/>
        </w:rPr>
      </w:pPr>
    </w:p>
    <w:p>
      <w:pPr>
        <w:pStyle w:val="2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7D28D16"/>
    <w:multiLevelType w:val="multilevel"/>
    <w:tmpl w:val="77D28D16"/>
    <w:lvl w:ilvl="0" w:tentative="0">
      <w:start w:val="1"/>
      <w:numFmt w:val="chineseCounting"/>
      <w:lvlText w:val="%1、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1" w:tentative="0">
      <w:start w:val="1"/>
      <w:numFmt w:val="decimal"/>
      <w:isLgl/>
      <w:lvlText w:val="%1.%2 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2" w:tentative="0">
      <w:start w:val="1"/>
      <w:numFmt w:val="decimal"/>
      <w:isLgl/>
      <w:lvlText w:val="%1.%2.%3 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3" w:tentative="0">
      <w:start w:val="1"/>
      <w:numFmt w:val="decimal"/>
      <w:isLgl/>
      <w:lvlText w:val="%1.%2.%3.%4 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4" w:tentative="0">
      <w:start w:val="1"/>
      <w:numFmt w:val="decimal"/>
      <w:pStyle w:val="6"/>
      <w:isLgl/>
      <w:lvlText w:val="%1.%2.%3.%4.%5 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5" w:tentative="0">
      <w:start w:val="1"/>
      <w:numFmt w:val="decimal"/>
      <w:isLgl/>
      <w:lvlText w:val="【%6】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6" w:tentative="0">
      <w:start w:val="1"/>
      <w:numFmt w:val="decimal"/>
      <w:isLgl/>
      <w:lvlText w:val="%7、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7" w:tentative="0">
      <w:start w:val="1"/>
      <w:numFmt w:val="decimalEnclosedCircleChinese"/>
      <w:lvlText w:val="%8 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8" w:tentative="0">
      <w:start w:val="1"/>
      <w:numFmt w:val="decimal"/>
      <w:isLgl/>
      <w:lvlText w:val="（%9）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GU2ZWUyYjg2YzBjNTBkYzdkZmRlY2Y3NjY3OTEifQ=="/>
  </w:docVars>
  <w:rsids>
    <w:rsidRoot w:val="00000000"/>
    <w:rsid w:val="01897463"/>
    <w:rsid w:val="0420114C"/>
    <w:rsid w:val="13B923FA"/>
    <w:rsid w:val="262E3811"/>
    <w:rsid w:val="387631A5"/>
    <w:rsid w:val="3A540249"/>
    <w:rsid w:val="5351285A"/>
    <w:rsid w:val="6316021A"/>
    <w:rsid w:val="660E3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602" w:firstLineChars="200"/>
      <w:jc w:val="left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numPr>
        <w:ilvl w:val="0"/>
        <w:numId w:val="0"/>
      </w:numPr>
      <w:spacing w:before="120" w:after="120" w:line="240" w:lineRule="auto"/>
      <w:ind w:left="0" w:firstLine="0"/>
      <w:jc w:val="center"/>
      <w:outlineLvl w:val="1"/>
    </w:pPr>
    <w:rPr>
      <w:rFonts w:ascii="黑体" w:hAnsi="黑体"/>
      <w:b/>
      <w:color w:val="000000"/>
      <w:sz w:val="28"/>
      <w:szCs w:val="20"/>
    </w:rPr>
  </w:style>
  <w:style w:type="paragraph" w:styleId="4">
    <w:name w:val="heading 3"/>
    <w:basedOn w:val="5"/>
    <w:next w:val="1"/>
    <w:link w:val="10"/>
    <w:semiHidden/>
    <w:unhideWhenUsed/>
    <w:qFormat/>
    <w:uiPriority w:val="0"/>
    <w:pPr>
      <w:spacing w:line="360" w:lineRule="auto"/>
      <w:jc w:val="left"/>
      <w:outlineLvl w:val="2"/>
    </w:pPr>
    <w:rPr>
      <w:rFonts w:ascii="方正小标宋_GBK" w:hAnsi="方正小标宋_GBK" w:eastAsia="宋体" w:cstheme="majorBidi"/>
      <w:bCs/>
      <w:kern w:val="28"/>
      <w:sz w:val="24"/>
      <w:szCs w:val="36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60" w:beforeAutospacing="0" w:after="60" w:afterAutospacing="0" w:line="240" w:lineRule="auto"/>
      <w:ind w:left="0" w:firstLine="0"/>
      <w:jc w:val="center"/>
      <w:outlineLvl w:val="4"/>
    </w:pPr>
    <w:rPr>
      <w:rFonts w:ascii="宋体" w:hAnsi="宋体" w:eastAsia="宋体" w:cs="Times New Roman"/>
      <w:b/>
      <w:sz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ind w:right="0" w:rightChars="0"/>
      <w:jc w:val="left"/>
    </w:pPr>
  </w:style>
  <w:style w:type="paragraph" w:styleId="5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7">
    <w:name w:val="Plain Text"/>
    <w:basedOn w:val="1"/>
    <w:qFormat/>
    <w:uiPriority w:val="0"/>
    <w:rPr>
      <w:rFonts w:ascii="宋体" w:hAnsi="Courier New" w:cs="黑体"/>
      <w:kern w:val="0"/>
      <w:szCs w:val="21"/>
    </w:rPr>
  </w:style>
  <w:style w:type="character" w:customStyle="1" w:styleId="10">
    <w:name w:val="标题 3 字符"/>
    <w:basedOn w:val="9"/>
    <w:link w:val="4"/>
    <w:qFormat/>
    <w:uiPriority w:val="9"/>
    <w:rPr>
      <w:rFonts w:ascii="方正小标宋_GBK" w:hAnsi="方正小标宋_GBK" w:eastAsia="宋体" w:cstheme="majorBidi"/>
      <w:b/>
      <w:bCs/>
      <w:kern w:val="28"/>
      <w:sz w:val="24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314</Words>
  <Characters>338</Characters>
  <Lines>0</Lines>
  <Paragraphs>0</Paragraphs>
  <TotalTime>0</TotalTime>
  <ScaleCrop>false</ScaleCrop>
  <LinksUpToDate>false</LinksUpToDate>
  <CharactersWithSpaces>368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2023-06-06T00:25:00Z</dcterms:created>
  <dc:creator>Windows10</dc:creator>
  <cp:lastModifiedBy>天方水阁</cp:lastModifiedBy>
  <dcterms:modified xsi:type="dcterms:W3CDTF">2023-07-21T13:00:50Z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56B87E5B8F01460CB428F32D0ED9E881_12</vt:lpwstr>
  </property>
</Properties>
</file>