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after="312" w:afterLines="100" w:line="420" w:lineRule="exact"/>
        <w:jc w:val="center"/>
        <w:textAlignment w:val="auto"/>
        <w:outlineLvl w:val="9"/>
        <w:rPr>
          <w:rFonts w:hint="eastAsia" w:ascii="宋体" w:hAnsi="宋体" w:eastAsia="宋体" w:cs="宋体"/>
          <w:b/>
          <w:bCs/>
          <w:sz w:val="32"/>
          <w:szCs w:val="32"/>
        </w:rPr>
      </w:pPr>
      <w:r>
        <w:rPr>
          <w:rFonts w:hint="eastAsia" w:ascii="宋体" w:hAnsi="宋体" w:eastAsia="宋体" w:cs="宋体"/>
          <w:b/>
          <w:bCs/>
          <w:sz w:val="32"/>
          <w:szCs w:val="30"/>
        </w:rPr>
        <w:t>合同主要条</w:t>
      </w:r>
      <w:bookmarkStart w:id="0" w:name="_Toc54110244"/>
      <w:bookmarkStart w:id="1" w:name="_Toc54582731"/>
      <w:bookmarkStart w:id="2" w:name="_Toc49849184"/>
      <w:bookmarkStart w:id="3" w:name="_Toc49754060"/>
      <w:bookmarkStart w:id="4" w:name="_Toc281864108"/>
      <w:r>
        <w:rPr>
          <w:rFonts w:hint="eastAsia" w:ascii="宋体" w:hAnsi="宋体" w:eastAsia="宋体" w:cs="宋体"/>
          <w:b/>
          <w:bCs/>
          <w:sz w:val="32"/>
          <w:szCs w:val="30"/>
        </w:rPr>
        <w:t>款</w:t>
      </w:r>
    </w:p>
    <w:bookmarkEnd w:id="0"/>
    <w:bookmarkEnd w:id="1"/>
    <w:bookmarkEnd w:id="2"/>
    <w:bookmarkEnd w:id="3"/>
    <w:bookmarkEnd w:id="4"/>
    <w:p>
      <w:pPr>
        <w:keepNext w:val="0"/>
        <w:keepLines w:val="0"/>
        <w:pageBreakBefore w:val="0"/>
        <w:widowControl w:val="0"/>
        <w:tabs>
          <w:tab w:val="left" w:pos="735"/>
        </w:tabs>
        <w:kinsoku/>
        <w:wordWrap/>
        <w:autoSpaceDE w:val="0"/>
        <w:autoSpaceDN w:val="0"/>
        <w:bidi w:val="0"/>
        <w:adjustRightInd w:val="0"/>
        <w:snapToGrid w:val="0"/>
        <w:spacing w:line="460" w:lineRule="exact"/>
        <w:ind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sz w:val="24"/>
          <w:szCs w:val="24"/>
          <w:lang w:val="zh-CN"/>
        </w:rPr>
        <w:t>（此合同主要条款，除商务条款外，其余部分只作为参考，最终签订的合同以采购人确定的合同内容为准。）</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甲方：陕西省体育彩票管理中心 </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（中标人）</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rPr>
        <w:t>陕西省体育彩票管理中心彩票销售传统终端机采购项目在陕西省财政厅的监督管理下，由陕西省体育彩票管理中心（以下简称甲方）委托陕西瑞通工程造价咨询有限公司组织公开招标，确定</w:t>
      </w:r>
      <w:r>
        <w:rPr>
          <w:rFonts w:hint="eastAsia" w:ascii="宋体" w:hAnsi="宋体" w:eastAsia="宋体" w:cs="宋体"/>
          <w:sz w:val="24"/>
          <w:szCs w:val="24"/>
          <w:u w:val="single"/>
        </w:rPr>
        <w:t xml:space="preserve">               </w:t>
      </w:r>
      <w:r>
        <w:rPr>
          <w:rFonts w:hint="eastAsia" w:ascii="宋体" w:hAnsi="宋体" w:eastAsia="宋体" w:cs="宋体"/>
          <w:sz w:val="24"/>
          <w:szCs w:val="24"/>
        </w:rPr>
        <w:t>公司（以下简称乙方）为该项目</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包</w:t>
      </w:r>
      <w:r>
        <w:rPr>
          <w:rFonts w:hint="eastAsia" w:ascii="宋体" w:hAnsi="宋体" w:eastAsia="宋体" w:cs="宋体"/>
          <w:sz w:val="24"/>
          <w:szCs w:val="24"/>
        </w:rPr>
        <w:t>中标人。依据《中华人民共和国民法典》经甲、乙双方共同协商，按下述条款和条件签署本合同。</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sz w:val="24"/>
          <w:szCs w:val="24"/>
        </w:rPr>
      </w:pPr>
      <w:r>
        <w:rPr>
          <w:rFonts w:hint="eastAsia" w:ascii="宋体" w:hAnsi="宋体" w:eastAsia="宋体" w:cs="宋体"/>
          <w:b/>
          <w:sz w:val="24"/>
          <w:szCs w:val="24"/>
        </w:rPr>
        <w:t>1.合同内容</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1.1供货清单</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3"/>
        <w:gridCol w:w="1258"/>
        <w:gridCol w:w="635"/>
        <w:gridCol w:w="582"/>
        <w:gridCol w:w="909"/>
        <w:gridCol w:w="1134"/>
        <w:gridCol w:w="1134"/>
        <w:gridCol w:w="1134"/>
        <w:gridCol w:w="1093"/>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93"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序号</w:t>
            </w:r>
          </w:p>
        </w:tc>
        <w:tc>
          <w:tcPr>
            <w:tcW w:w="1258"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品目</w:t>
            </w:r>
          </w:p>
        </w:tc>
        <w:tc>
          <w:tcPr>
            <w:tcW w:w="63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数量</w:t>
            </w:r>
          </w:p>
        </w:tc>
        <w:tc>
          <w:tcPr>
            <w:tcW w:w="5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单位</w:t>
            </w:r>
          </w:p>
        </w:tc>
        <w:tc>
          <w:tcPr>
            <w:tcW w:w="909"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品牌</w:t>
            </w:r>
          </w:p>
        </w:tc>
        <w:tc>
          <w:tcPr>
            <w:tcW w:w="113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规格</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型号</w:t>
            </w:r>
          </w:p>
        </w:tc>
        <w:tc>
          <w:tcPr>
            <w:tcW w:w="113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制造商</w:t>
            </w:r>
          </w:p>
        </w:tc>
        <w:tc>
          <w:tcPr>
            <w:tcW w:w="113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原产地</w:t>
            </w:r>
          </w:p>
        </w:tc>
        <w:tc>
          <w:tcPr>
            <w:tcW w:w="1093"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单价（元）</w:t>
            </w:r>
          </w:p>
        </w:tc>
        <w:tc>
          <w:tcPr>
            <w:tcW w:w="105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3"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258"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635"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582"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909"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134"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134"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134"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093"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056"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3"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258"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635"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582"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909"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134"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134"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134"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093"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056"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3"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258"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635"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582"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909"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134"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134"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134"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093"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056"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3"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258"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635"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582"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909"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134"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134"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134"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093"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c>
          <w:tcPr>
            <w:tcW w:w="1056" w:type="dxa"/>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51" w:type="dxa"/>
            <w:gridSpan w:val="2"/>
            <w:shd w:val="clear" w:color="auto" w:fill="auto"/>
            <w:noWrap w:val="0"/>
            <w:vAlign w:val="center"/>
          </w:tcPr>
          <w:p>
            <w:pPr>
              <w:keepNext w:val="0"/>
              <w:keepLines w:val="0"/>
              <w:pageBreakBefore w:val="0"/>
              <w:widowControl w:val="0"/>
              <w:kinsoku/>
              <w:wordWrap/>
              <w:bidi w:val="0"/>
              <w:snapToGrid w:val="0"/>
              <w:spacing w:line="460" w:lineRule="exact"/>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总价大写（元）</w:t>
            </w:r>
          </w:p>
        </w:tc>
        <w:tc>
          <w:tcPr>
            <w:tcW w:w="3260" w:type="dxa"/>
            <w:gridSpan w:val="4"/>
            <w:shd w:val="clear" w:color="auto" w:fill="auto"/>
            <w:noWrap w:val="0"/>
            <w:vAlign w:val="center"/>
          </w:tcPr>
          <w:p>
            <w:pPr>
              <w:keepNext w:val="0"/>
              <w:keepLines w:val="0"/>
              <w:pageBreakBefore w:val="0"/>
              <w:widowControl w:val="0"/>
              <w:kinsoku/>
              <w:wordWrap/>
              <w:bidi w:val="0"/>
              <w:snapToGrid w:val="0"/>
              <w:spacing w:line="460" w:lineRule="exact"/>
              <w:ind w:firstLine="480" w:firstLineChars="200"/>
              <w:jc w:val="center"/>
              <w:textAlignment w:val="auto"/>
              <w:rPr>
                <w:rFonts w:hint="eastAsia" w:ascii="宋体" w:hAnsi="宋体" w:eastAsia="宋体" w:cs="宋体"/>
                <w:snapToGrid w:val="0"/>
                <w:kern w:val="2"/>
                <w:sz w:val="24"/>
                <w:szCs w:val="24"/>
                <w:lang w:val="en-US" w:eastAsia="zh-CN" w:bidi="ar-SA"/>
              </w:rPr>
            </w:pPr>
          </w:p>
        </w:tc>
        <w:tc>
          <w:tcPr>
            <w:tcW w:w="2268" w:type="dxa"/>
            <w:gridSpan w:val="2"/>
            <w:shd w:val="clear" w:color="auto" w:fill="auto"/>
            <w:noWrap w:val="0"/>
            <w:vAlign w:val="center"/>
          </w:tcPr>
          <w:p>
            <w:pPr>
              <w:keepNext w:val="0"/>
              <w:keepLines w:val="0"/>
              <w:pageBreakBefore w:val="0"/>
              <w:widowControl w:val="0"/>
              <w:kinsoku/>
              <w:wordWrap/>
              <w:bidi w:val="0"/>
              <w:snapToGrid w:val="0"/>
              <w:spacing w:line="460" w:lineRule="exact"/>
              <w:jc w:val="center"/>
              <w:textAlignment w:val="auto"/>
              <w:rPr>
                <w:rFonts w:hint="eastAsia" w:ascii="宋体" w:hAnsi="宋体" w:eastAsia="宋体" w:cs="宋体"/>
                <w:snapToGrid w:val="0"/>
                <w:kern w:val="2"/>
                <w:sz w:val="24"/>
                <w:szCs w:val="24"/>
                <w:lang w:val="en-US" w:eastAsia="zh-CN" w:bidi="ar-SA"/>
              </w:rPr>
            </w:pPr>
            <w:r>
              <w:rPr>
                <w:rFonts w:hint="eastAsia" w:ascii="宋体" w:hAnsi="宋体" w:eastAsia="宋体" w:cs="宋体"/>
                <w:snapToGrid w:val="0"/>
                <w:kern w:val="2"/>
                <w:sz w:val="24"/>
                <w:szCs w:val="24"/>
                <w:lang w:val="en-US" w:eastAsia="zh-CN" w:bidi="ar-SA"/>
              </w:rPr>
              <w:t>总价小写（元）</w:t>
            </w:r>
          </w:p>
        </w:tc>
        <w:tc>
          <w:tcPr>
            <w:tcW w:w="2149" w:type="dxa"/>
            <w:gridSpan w:val="2"/>
            <w:shd w:val="clear" w:color="auto" w:fill="auto"/>
            <w:noWrap w:val="0"/>
            <w:vAlign w:val="center"/>
          </w:tcPr>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napToGrid w:val="0"/>
                <w:kern w:val="2"/>
                <w:sz w:val="24"/>
                <w:szCs w:val="24"/>
                <w:lang w:val="en-US" w:eastAsia="zh-CN" w:bidi="ar-SA"/>
              </w:rPr>
            </w:pPr>
          </w:p>
        </w:tc>
      </w:tr>
    </w:tbl>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 合同文件</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下列文件是构成本合同不可分割的部分：</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1.2.1 甲方招标文件；</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1.2.2 乙方投标文件；</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1.2.3 中标通知书；</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1.2.4 合同书附件；</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1.2.5 其他(根据实际情况需要增加的内容)。</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2.随机资料和配套附属设备要求</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乙方随货向甲方交付设备随机资料（合格证、保修卡、操作手册、使用指南、维修手册、安装调试说明书、服务手册等）及相关配套附属设备（附件、工具等）。进口设备还须提供链条完整的报关单据。</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sz w:val="24"/>
          <w:szCs w:val="24"/>
        </w:rPr>
      </w:pPr>
      <w:r>
        <w:rPr>
          <w:rFonts w:hint="eastAsia" w:ascii="宋体" w:hAnsi="宋体" w:eastAsia="宋体" w:cs="宋体"/>
          <w:b/>
          <w:bCs/>
          <w:sz w:val="24"/>
          <w:szCs w:val="24"/>
        </w:rPr>
        <w:t>3.产品功能要求</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产品功能符合国家质量检测标准，并满足甲方技术要求。</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4.配套设备要求及长期供应优惠条件</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若甲方系统需要改造或扩容，所需的设备乙方以不高于合同约定的单价提供。在保修期外，对于系统内出现故障的硬件和软件，乙方承诺及时修复或更换，且只收取工作的成本费。</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5.备品备件（含易损件）要求及长期供应优惠条件</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乙方严格按照招投标文件执行并确保满足甲方需要，具体要求详见招投标文件和本合同附件：供货清单。乙方同时承诺：乙方向甲方提供的备品备件（含易损件）不高于市场同类产品的价格。</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6.合同价格</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合同总价：人民币（大写）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6.1合同总价为甲方指定地点交货价，包含运输、安装、调试、培训、质保、税金、关税（进口产品）等费用。</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6.2合同为总价合同，不受市场价格变化的影响。</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sz w:val="24"/>
          <w:szCs w:val="24"/>
        </w:rPr>
      </w:pPr>
      <w:r>
        <w:rPr>
          <w:rFonts w:hint="eastAsia" w:ascii="宋体" w:hAnsi="宋体" w:eastAsia="宋体" w:cs="宋体"/>
          <w:b/>
          <w:sz w:val="24"/>
          <w:szCs w:val="24"/>
        </w:rPr>
        <w:t>7.甲乙双方的权利和义务</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7.1甲方的权利和义务</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7.1.1负责合同签订后项目实施的工作（如与乙方的具体联系和衔接，现场安装调试时配备人员进行监管控制）；</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7.1.2负责提供设备和项目安装调试所必须的场地和环境；</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7.1.3负责组织成立验收小组对设备和项目进行验收并签署验收报告；</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7.1.4 按合同规定享有乙方提供的设备服务。</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7.2乙方的权利和义务</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7.2.1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7.2.2保证甲方在合同设备（有配套软件的还包括软件产品）使用期间不受第三方提出侵犯其专利权、商标权和工业设计权等的起诉。</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7.2.3严格遵守商务谈判中所承诺的一切规定和条款。</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7.2.4参与甲方共同进行设备和项目的验收。</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8.技术培训</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lang w:val="en-US" w:eastAsia="zh-CN" w:bidi="ar-SA"/>
        </w:rPr>
      </w:pPr>
      <w:r>
        <w:rPr>
          <w:rFonts w:hint="eastAsia" w:ascii="宋体" w:hAnsi="宋体" w:eastAsia="宋体" w:cs="宋体"/>
          <w:sz w:val="24"/>
          <w:szCs w:val="24"/>
          <w:shd w:val="clear" w:color="auto" w:fill="FFFFFF"/>
          <w:lang w:val="en-US" w:eastAsia="zh-CN" w:bidi="ar-SA"/>
        </w:rPr>
        <w:t>乙方向甲方提供</w:t>
      </w:r>
      <w:r>
        <w:rPr>
          <w:rFonts w:hint="eastAsia" w:ascii="宋体" w:hAnsi="宋体" w:eastAsia="宋体" w:cs="宋体"/>
          <w:sz w:val="24"/>
          <w:szCs w:val="24"/>
          <w:u w:val="single"/>
          <w:shd w:val="clear" w:color="auto" w:fill="FFFFFF"/>
          <w:lang w:val="en-US" w:eastAsia="zh-CN" w:bidi="ar-SA"/>
        </w:rPr>
        <w:t xml:space="preserve">    </w:t>
      </w:r>
      <w:r>
        <w:rPr>
          <w:rFonts w:hint="eastAsia" w:ascii="宋体" w:hAnsi="宋体" w:eastAsia="宋体" w:cs="宋体"/>
          <w:sz w:val="24"/>
          <w:szCs w:val="24"/>
          <w:shd w:val="clear" w:color="auto" w:fill="FFFFFF"/>
          <w:lang w:val="en-US" w:eastAsia="zh-CN" w:bidi="ar-SA"/>
        </w:rPr>
        <w:t>天的设备使用人员现场例行免费培训，培训内容包括设备的使用、一般的维修、维护及保养等；食宿自理（各自负责）；其他由甲乙双方协定。</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bCs/>
          <w:sz w:val="24"/>
          <w:szCs w:val="24"/>
          <w:shd w:val="clear" w:color="auto" w:fill="FFFFFF"/>
        </w:rPr>
      </w:pPr>
      <w:r>
        <w:rPr>
          <w:rFonts w:hint="eastAsia" w:ascii="宋体" w:hAnsi="宋体" w:eastAsia="宋体" w:cs="宋体"/>
          <w:b/>
          <w:bCs/>
          <w:sz w:val="24"/>
          <w:szCs w:val="24"/>
          <w:shd w:val="clear" w:color="auto" w:fill="FFFFFF"/>
        </w:rPr>
        <w:t>9.技术支持</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u w:val="single"/>
          <w:shd w:val="clear" w:color="auto" w:fill="FFFFFF"/>
          <w:lang w:val="en-US" w:eastAsia="zh-CN" w:bidi="ar-SA"/>
        </w:rPr>
      </w:pPr>
      <w:r>
        <w:rPr>
          <w:rFonts w:hint="eastAsia" w:ascii="宋体" w:hAnsi="宋体" w:eastAsia="宋体" w:cs="宋体"/>
          <w:sz w:val="24"/>
          <w:szCs w:val="24"/>
          <w:shd w:val="clear" w:color="auto" w:fill="FFFFFF"/>
          <w:lang w:val="en-US" w:eastAsia="zh-CN" w:bidi="ar-SA"/>
        </w:rPr>
        <w:t>甲方在设备使用过程中发生技术质量问题，乙方应提供及时有效的技术支持。乙方技术支持联系人：</w:t>
      </w:r>
      <w:r>
        <w:rPr>
          <w:rFonts w:hint="eastAsia" w:ascii="宋体" w:hAnsi="宋体" w:eastAsia="宋体" w:cs="宋体"/>
          <w:sz w:val="24"/>
          <w:szCs w:val="24"/>
          <w:u w:val="single"/>
          <w:shd w:val="clear" w:color="auto" w:fill="FFFFFF"/>
          <w:lang w:val="en-US" w:eastAsia="zh-CN" w:bidi="ar-SA"/>
        </w:rPr>
        <w:t xml:space="preserve">            </w:t>
      </w:r>
      <w:r>
        <w:rPr>
          <w:rFonts w:hint="eastAsia" w:ascii="宋体" w:hAnsi="宋体" w:eastAsia="宋体" w:cs="宋体"/>
          <w:sz w:val="24"/>
          <w:szCs w:val="24"/>
          <w:shd w:val="clear" w:color="auto" w:fill="FFFFFF"/>
          <w:lang w:val="en-US" w:eastAsia="zh-CN" w:bidi="ar-SA"/>
        </w:rPr>
        <w:t xml:space="preserve"> 联系电话：</w:t>
      </w:r>
      <w:r>
        <w:rPr>
          <w:rFonts w:hint="eastAsia" w:ascii="宋体" w:hAnsi="宋体" w:eastAsia="宋体" w:cs="宋体"/>
          <w:sz w:val="24"/>
          <w:szCs w:val="24"/>
          <w:u w:val="single"/>
          <w:shd w:val="clear" w:color="auto" w:fill="FFFFFF"/>
          <w:lang w:val="en-US" w:eastAsia="zh-CN" w:bidi="ar-SA"/>
        </w:rPr>
        <w:t xml:space="preserve">          </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sz w:val="24"/>
          <w:szCs w:val="24"/>
        </w:rPr>
        <w:t>10</w:t>
      </w:r>
      <w:r>
        <w:rPr>
          <w:rFonts w:hint="eastAsia" w:ascii="宋体" w:hAnsi="宋体" w:eastAsia="宋体" w:cs="宋体"/>
          <w:b/>
          <w:bCs/>
          <w:sz w:val="24"/>
          <w:szCs w:val="24"/>
        </w:rPr>
        <w:t>.交货</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10.1 交货地点：</w:t>
      </w:r>
      <w:r>
        <w:rPr>
          <w:rFonts w:hint="eastAsia" w:ascii="宋体" w:hAnsi="宋体" w:eastAsia="宋体" w:cs="宋体"/>
          <w:kern w:val="2"/>
          <w:sz w:val="24"/>
          <w:szCs w:val="24"/>
          <w:u w:val="single"/>
          <w:lang w:val="en-US" w:eastAsia="zh-CN" w:bidi="ar-SA"/>
        </w:rPr>
        <w:t>甲方指定地点。</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10.2 交货日期：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10.3乙方负责将完整配套的原封设备（含开机必要消耗品）送到甲方指定的地点，由甲乙双方共同开箱初验，并由乙方按合同规范要求完成安装测试。交货时，乙方随货向甲方交付设备必需的合格证、保修卡、相关资料（如操作手册、使用指南、维修手册、系统使用说明书、服务手册等）及配备的附件、工具等。</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sz w:val="24"/>
          <w:szCs w:val="24"/>
        </w:rPr>
      </w:pPr>
      <w:r>
        <w:rPr>
          <w:rFonts w:hint="eastAsia" w:ascii="宋体" w:hAnsi="宋体" w:eastAsia="宋体" w:cs="宋体"/>
          <w:b/>
          <w:sz w:val="24"/>
          <w:szCs w:val="24"/>
        </w:rPr>
        <w:t>11.验收及验收标准</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11.1设备验收：每批次设备到达甲方指定地点后甲方统一初验是否符合合同要求。</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11.2 项目验收：乙方负责设备安装和调试，完工后，甲方测试是否合格并满足技术要求。</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11.3  验收依据：合同文本、合同附件、招标文件、投标文件、答疑、变更澄清（如有）。国家级行业相应的规范、标准。</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12.合同价款结算</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12.1 履约保证金  </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12.1.1 合同签订前，乙方向甲方递交履约保证金，为合同总价的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12.1.2 履约保证金用于补偿甲方因乙方不能完成其合同义务而蒙受的损失。</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12.1.3 履约保证金由一家在国内注册且信誉好的银行出具的银行保函或银行汇票、支票或银行转帐。</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12.1.4 如合同延期，乙方有义务继续提供履约担保。由于买方原因导致延期的，继续提供履约担保所需的费用由买方承担；由于乙方原因导致延期的，继续提供履约担保所需费用由乙方承担。</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12.2 合同价款支付</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12.2.1 合同签订后</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个工作日内，甲方向乙方支付合同总金额的</w:t>
      </w:r>
      <w:r>
        <w:rPr>
          <w:rFonts w:hint="eastAsia" w:ascii="宋体" w:hAnsi="宋体" w:eastAsia="宋体" w:cs="宋体"/>
          <w:sz w:val="24"/>
          <w:szCs w:val="24"/>
          <w:u w:val="single"/>
        </w:rPr>
        <w:t xml:space="preserve">   </w:t>
      </w:r>
      <w:r>
        <w:rPr>
          <w:rFonts w:hint="eastAsia" w:ascii="宋体" w:hAnsi="宋体" w:eastAsia="宋体" w:cs="宋体"/>
          <w:sz w:val="24"/>
          <w:szCs w:val="24"/>
        </w:rPr>
        <w:t>%作为预付款。</w:t>
      </w:r>
    </w:p>
    <w:p>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12.2.2 全部产品到货经验收合格后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个工作日内，甲方向乙方支付合同总金额的</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keepNext w:val="0"/>
        <w:keepLines w:val="0"/>
        <w:pageBreakBefore w:val="0"/>
        <w:widowControl w:val="0"/>
        <w:tabs>
          <w:tab w:val="left" w:pos="1701"/>
        </w:tabs>
        <w:kinsoku/>
        <w:wordWrap/>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12.2.3 全部产品安装、调试完毕经验收合格后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个工作日内，甲方向乙方支付合同总金额的</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keepNext w:val="0"/>
        <w:keepLines w:val="0"/>
        <w:pageBreakBefore w:val="0"/>
        <w:widowControl w:val="0"/>
        <w:tabs>
          <w:tab w:val="left" w:pos="1701"/>
        </w:tabs>
        <w:kinsoku/>
        <w:wordWrap/>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12.2.3 甲方支付前由乙方提出支付申请，经甲方审核付款内容达到合同约定且无质量和服务问题后予以支付。支付前，乙方按照合同的要求开具相应金额的</w:t>
      </w:r>
      <w:r>
        <w:rPr>
          <w:rFonts w:hint="eastAsia" w:ascii="宋体" w:hAnsi="宋体" w:eastAsia="宋体" w:cs="宋体"/>
          <w:sz w:val="24"/>
          <w:szCs w:val="24"/>
          <w:u w:val="single"/>
        </w:rPr>
        <w:t xml:space="preserve">     </w:t>
      </w:r>
      <w:r>
        <w:rPr>
          <w:rFonts w:hint="eastAsia" w:ascii="宋体" w:hAnsi="宋体" w:eastAsia="宋体" w:cs="宋体"/>
          <w:sz w:val="24"/>
          <w:szCs w:val="24"/>
        </w:rPr>
        <w:t>发票。</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sz w:val="24"/>
          <w:szCs w:val="24"/>
        </w:rPr>
      </w:pPr>
      <w:r>
        <w:rPr>
          <w:rFonts w:hint="eastAsia" w:ascii="宋体" w:hAnsi="宋体" w:eastAsia="宋体" w:cs="宋体"/>
          <w:b/>
          <w:sz w:val="24"/>
          <w:szCs w:val="24"/>
        </w:rPr>
        <w:t>13.违约责任</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13.1本合同若与甲方的上级管理机关的政策性行为或其他规定发生冲突，甲方有权与乙方协商调整合同内容或终止合同执行。</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13.2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向甲方支付违约金并赔偿甲方因此而遭受的一切损失。</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13.3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向甲方支付违约金并赔偿甲方因此而遭受的一切损失。</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13.4 除发生不可抗力事件（不可抗力事件仅指自然灾害、战争）外，如乙方逾期交货或安装调试逾期，则每逾期一天，乙方按合同总价的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向甲方支付违约金，逾期30天，甲方有权解除合同并追究乙方违约责任，乙方应返还甲方已支付的全部款项，并按合同总价款的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向甲方支付违约金并赔偿甲方因此而遭受的一切损失。</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13.5 保修期内，如乙方未按本合同约定提供保修服务，由甲方有权追究乙方违约责任，乙方应按合同总价款的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向甲方支付违约金并赔偿甲方因此而遭受的一切损失。</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13.6 如乙方出现除上述13.2-13.5条以外的其他违约行为或违反保证与承诺义务，应按合同总价款的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向甲方支付违约金并赔偿甲方因此而遭受的一切损失。</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13.7 甲方无正当理由拒收设备，应按合同总价款的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向乙方支付违约金以作为对乙方的赔偿。</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13.8 如甲方无正当理由延迟付款，则每延迟一天，甲方按应付而未付款项的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向乙方支付逾期的违约金，但逾期付款违约金最多不超过甲方应付而未付金额的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，本合同继续履行。</w:t>
      </w:r>
    </w:p>
    <w:p>
      <w:pPr>
        <w:keepNext w:val="0"/>
        <w:keepLines w:val="0"/>
        <w:pageBreakBefore w:val="0"/>
        <w:widowControl w:val="0"/>
        <w:kinsoku/>
        <w:wordWrap/>
        <w:bidi w:val="0"/>
        <w:spacing w:line="46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13.9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sz w:val="24"/>
          <w:szCs w:val="24"/>
        </w:rPr>
      </w:pPr>
      <w:r>
        <w:rPr>
          <w:rFonts w:hint="eastAsia" w:ascii="宋体" w:hAnsi="宋体" w:eastAsia="宋体" w:cs="宋体"/>
          <w:b/>
          <w:bCs/>
          <w:sz w:val="24"/>
          <w:szCs w:val="24"/>
        </w:rPr>
        <w:t>14.包装和标记</w:t>
      </w:r>
    </w:p>
    <w:p>
      <w:pPr>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14.1乙方交付的所有合同货物应具有适于长途运输多次搬运和装卸的坚固包装，并且乙方应根据合同货物的不同特性和要求采取防潮、防雨、防锈、防震、防腐等保护措施，以确保合同货物安全无损地送达交货地点。</w:t>
      </w:r>
    </w:p>
    <w:p>
      <w:pPr>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14.2 下列资料包装在合同货物的包装箱中：</w:t>
      </w:r>
    </w:p>
    <w:p>
      <w:pPr>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14.2.1 装箱单</w:t>
      </w:r>
    </w:p>
    <w:p>
      <w:pPr>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14.2.2 合同货物数量和货物制造商出具的质量合格证书、保修证书。</w:t>
      </w:r>
    </w:p>
    <w:p>
      <w:pPr>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rPr>
        <w:t>14.2.3 随机备品备件、配件、工具、图纸、使用说明书及其它必要的技术资料（中文）。</w:t>
      </w:r>
    </w:p>
    <w:p>
      <w:pPr>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14.3 乙方对合同货物包装不善、标记不明、防护措施不当或在合同货物装箱前保管不良，致使合同货物遭到损坏或丢失，乙方应负责免费修理或更换，并承担由此给甲方造成的一切损失。</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sz w:val="24"/>
          <w:szCs w:val="24"/>
        </w:rPr>
      </w:pPr>
      <w:r>
        <w:rPr>
          <w:rFonts w:hint="eastAsia" w:ascii="宋体" w:hAnsi="宋体" w:eastAsia="宋体" w:cs="宋体"/>
          <w:b/>
          <w:sz w:val="24"/>
          <w:szCs w:val="24"/>
        </w:rPr>
        <w:t>15.质量保证</w:t>
      </w:r>
    </w:p>
    <w:p>
      <w:pPr>
        <w:keepNext w:val="0"/>
        <w:keepLines w:val="0"/>
        <w:pageBreakBefore w:val="0"/>
        <w:widowControl w:val="0"/>
        <w:kinsoku/>
        <w:wordWrap/>
        <w:overflowPunct/>
        <w:topLinePunct w:val="0"/>
        <w:autoSpaceDE/>
        <w:autoSpaceDN/>
        <w:bidi w:val="0"/>
        <w:adjustRightInd w:val="0"/>
        <w:snapToGrid/>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15.1 本项目所供设备质保期为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shd w:val="clear" w:color="auto" w:fill="FFFFFF"/>
        </w:rPr>
        <w:t>（自甲方验收合格之日起算）</w:t>
      </w:r>
    </w:p>
    <w:p>
      <w:pPr>
        <w:keepNext w:val="0"/>
        <w:keepLines w:val="0"/>
        <w:pageBreakBefore w:val="0"/>
        <w:widowControl w:val="0"/>
        <w:kinsoku/>
        <w:wordWrap/>
        <w:overflowPunct/>
        <w:topLinePunct w:val="0"/>
        <w:autoSpaceDE/>
        <w:autoSpaceDN/>
        <w:bidi w:val="0"/>
        <w:adjustRightInd w:val="0"/>
        <w:snapToGrid/>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15.2 货物必须是原厂生产的未曾使用过的全新的合格产品，所用材料必须保证质量可靠、原材料进货渠道正规，符合国家质量性能检测标准及该产品的出厂标准。</w:t>
      </w:r>
    </w:p>
    <w:p>
      <w:pPr>
        <w:keepNext w:val="0"/>
        <w:keepLines w:val="0"/>
        <w:pageBreakBefore w:val="0"/>
        <w:widowControl w:val="0"/>
        <w:tabs>
          <w:tab w:val="left" w:pos="810"/>
        </w:tabs>
        <w:kinsoku/>
        <w:wordWrap/>
        <w:overflowPunct/>
        <w:topLinePunct w:val="0"/>
        <w:autoSpaceDE/>
        <w:autoSpaceDN/>
        <w:bidi w:val="0"/>
        <w:adjustRightInd w:val="0"/>
        <w:snapToGrid/>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15.3 货物所涉及的技术、外形专利等均应符合中华人民共和国有关法律及行业标准，凡因以上问题与第三方发生的任何纠纷均与甲方无关。</w:t>
      </w:r>
    </w:p>
    <w:p>
      <w:pPr>
        <w:keepNext w:val="0"/>
        <w:keepLines w:val="0"/>
        <w:pageBreakBefore w:val="0"/>
        <w:widowControl w:val="0"/>
        <w:tabs>
          <w:tab w:val="left" w:pos="810"/>
        </w:tabs>
        <w:kinsoku/>
        <w:wordWrap/>
        <w:overflowPunct/>
        <w:topLinePunct w:val="0"/>
        <w:autoSpaceDE/>
        <w:autoSpaceDN/>
        <w:bidi w:val="0"/>
        <w:adjustRightInd w:val="0"/>
        <w:snapToGrid/>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15.4 货物参数指标必须与其标示的技术指标项符合，甲方有权在货物的有效质保期内依据技术指标对该货物进行技术校验，其主要的技术参数达不到标准时，甲方将按本合同第13条相关条款执行。</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16.售后服务要求</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16.1乙方在接到中标通知书后与我中心商议交货时间（原则上供货时间不得超过</w:t>
      </w:r>
      <w:r>
        <w:rPr>
          <w:rFonts w:hint="eastAsia" w:ascii="宋体" w:hAnsi="宋体" w:eastAsia="宋体" w:cs="宋体"/>
          <w:sz w:val="24"/>
          <w:szCs w:val="24"/>
          <w:lang w:val="en-US" w:eastAsia="zh-CN"/>
        </w:rPr>
        <w:t>90日历天</w:t>
      </w:r>
      <w:r>
        <w:rPr>
          <w:rFonts w:hint="eastAsia" w:ascii="宋体" w:hAnsi="宋体" w:eastAsia="宋体" w:cs="宋体"/>
          <w:sz w:val="24"/>
          <w:szCs w:val="24"/>
        </w:rPr>
        <w:t>），时间确定后须将包含备机、备件在内的所有产品发送至我省指定收货地点。如果未能按时提供全部产品，每逾期一天须向采购人交纳总成交额5‰的违约金，逾期七个自然日采购人有权利解除供应合同。</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16.2乙方免费提供不少于招标产品数量5%（计算出的备用机数量非整数时，数量在取整基础上加1）的终端机作为备机。备机使用权归甲方。</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16.3乙方免费提供不少于招标产品数量5%（计算出的备用机数量非整数时，数量在取整基础上加1）的终端机整机作为厂家在乙方设立的维修机构的备件，供甲方维修服务使用。</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16.4整机免保期外或免保条款外，维修只收取所更换部件成本费。对免保期外收费的更换部件，厂商必须明确更换部件的免费保修期。</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16.5乙方在产品验收合格交付甲方6年内，需持续提供零配件供应和相关售后服务。</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16.6全部产品到货后，向甲方提供所供每台产品的主机序列号并应指定专人配合甲方在5个工作日内完成不低于产品数量5%的抽检和验收。</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16.7甲方有权拒收全部货物并终止合同的情景：（1）所提供的产品功能、性能等参数与投标产品的功能、性能等参数不符；（2）因产品硬件原因导致的抽检不合格率≥3%；（3）本地维护站备件（以整机形式提供）数量未达到合同约定的5%数量。</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16.7乙方在陕西售后服务站专业技术人员须不少于1人，且必须配备不少于约定数量的足够备件，保证故障产品的随到随修。</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16.8乙方在须建立标准的售后服务体系例如400或800客服热线外，同时向网点提供日常操作和保养手册。</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16.9乙方须提供7天*24小时提供免费电话技术支持，或根据我省要求时间提供现场服务。</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16.10产品出现故障时，应在接到通知后1个小时内给予答复，并指定专人对采购人的维护工作提供技术支持。</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16.11乙方应保证设备具有良好的散热能力，防尘性能，能够在陕西省境内的环境下（温度、湿度、灰尘度、电压、抗干扰等）稳定工作和具备良好的耐受性能。在设备运行时自身内部温度如高于50℃，则乙方应采取措施降低设备工作温度，由工作环境问题造成的设备无法正常运行，相关设备维护、维修产生的费用由乙方承担。</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16.12保修期内，如果个别部件非人为月均故障率高于3%，则认定为部件质量问题，乙方承担相关全部责任，并尽快解决该部件质量问题。首先应提供不低于该部件5%的整机用于周转，其次免费提供解决问题需要的所有部件，并负责到产品现场解决故障。因部件质量问题解决所产生的一切费用和采购方损失由乙方承担。</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16.13产品投入运行期间，不得以任何理由（包括维保合同超期、配件费用未结等原因）拖延故障件的合理返修周期、不得以任何理由造成备机备件短缺、不得以任何理由在保修期内不提供服务。因乙方原因造成产品未及时维修的，由此产生的一切损失（包括网点的经济损失）由乙方承担。</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16.14产品投入运行期间，乙方驻陕售后服务站在收到体彩管理站返修的故障件后，必须在10个工作日之内返还到管理站，不得以任何理由拖延，以满足维修工作需求。</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16.15如果产品在运行中出现大面积故障（大于5%的故障率时），乙方应在接到报告后24小时内带足备机和备件到达现场进行故障排除，并在72小时内全面解决故障。同时乙方应具提供完善的应急预案，未按规定时间排除故障的，乙方应赔偿一切经济损失（包括省中心及销售网点）。</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16.16乙方对产品使用及维护的技术培训应在验收合格后5个工作日内进行。</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16.17乙方应确保产品在使用过程中的维修服务。如遇配件价格调整，须得到我方认可后实施，否则将执行原维修价格。</w:t>
      </w:r>
    </w:p>
    <w:p>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16.18在产品服务期内，乙方须对甲方每年至少2次20人的国内业务员培训或巡检服务提供免费技术支持。</w:t>
      </w:r>
    </w:p>
    <w:p>
      <w:pPr>
        <w:keepNext w:val="0"/>
        <w:keepLines w:val="0"/>
        <w:pageBreakBefore w:val="0"/>
        <w:widowControl w:val="0"/>
        <w:kinsoku/>
        <w:wordWrap/>
        <w:autoSpaceDE/>
        <w:autoSpaceDN/>
        <w:bidi w:val="0"/>
        <w:spacing w:line="460" w:lineRule="exact"/>
        <w:ind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16.19 款项结清前，对所供产品进行一次全面检测、保养和维护。</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sz w:val="24"/>
          <w:szCs w:val="24"/>
        </w:rPr>
      </w:pPr>
      <w:r>
        <w:rPr>
          <w:rFonts w:hint="eastAsia" w:ascii="宋体" w:hAnsi="宋体" w:eastAsia="宋体" w:cs="宋体"/>
          <w:b/>
          <w:sz w:val="24"/>
          <w:szCs w:val="24"/>
        </w:rPr>
        <w:t>17.保密条款</w:t>
      </w:r>
    </w:p>
    <w:p>
      <w:pPr>
        <w:keepNext w:val="0"/>
        <w:keepLines w:val="0"/>
        <w:pageBreakBefore w:val="0"/>
        <w:widowControl w:val="0"/>
        <w:kinsoku/>
        <w:wordWrap/>
        <w:autoSpaceDE/>
        <w:autoSpaceDN/>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sz w:val="24"/>
          <w:szCs w:val="24"/>
        </w:rPr>
      </w:pPr>
      <w:r>
        <w:rPr>
          <w:rFonts w:hint="eastAsia" w:ascii="宋体" w:hAnsi="宋体" w:eastAsia="宋体" w:cs="宋体"/>
          <w:b/>
          <w:sz w:val="24"/>
          <w:szCs w:val="24"/>
        </w:rPr>
        <w:t>18.合同争议解决的方式</w:t>
      </w:r>
    </w:p>
    <w:p>
      <w:pPr>
        <w:keepNext w:val="0"/>
        <w:keepLines w:val="0"/>
        <w:pageBreakBefore w:val="0"/>
        <w:widowControl w:val="0"/>
        <w:kinsoku/>
        <w:wordWrap/>
        <w:autoSpaceDE/>
        <w:autoSpaceDN/>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本合同在履行过程中发生的争议，由甲、乙双方当事人协商解决，协商不成的，提交项目所在地仲裁委员会仲裁。</w:t>
      </w:r>
    </w:p>
    <w:p>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宋体" w:hAnsi="宋体" w:eastAsia="宋体" w:cs="宋体"/>
          <w:b/>
          <w:sz w:val="24"/>
          <w:szCs w:val="24"/>
        </w:rPr>
      </w:pPr>
      <w:r>
        <w:rPr>
          <w:rFonts w:hint="eastAsia" w:ascii="宋体" w:hAnsi="宋体" w:eastAsia="宋体" w:cs="宋体"/>
          <w:b/>
          <w:sz w:val="24"/>
          <w:szCs w:val="24"/>
        </w:rPr>
        <w:t>19.其他事项</w:t>
      </w:r>
    </w:p>
    <w:p>
      <w:pPr>
        <w:keepNext w:val="0"/>
        <w:keepLines w:val="0"/>
        <w:pageBreakBefore w:val="0"/>
        <w:widowControl w:val="0"/>
        <w:tabs>
          <w:tab w:val="left" w:pos="810"/>
        </w:tabs>
        <w:kinsoku/>
        <w:wordWrap/>
        <w:autoSpaceDE/>
        <w:autoSpaceDN/>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19.1 陕西省财政厅在合同的履行期间以及履行期后，可以随时检查项目的执行情况，对采购标准、采购内容进行调查核实，并对发现的问题进行处理。</w:t>
      </w:r>
    </w:p>
    <w:p>
      <w:pPr>
        <w:keepNext w:val="0"/>
        <w:keepLines w:val="0"/>
        <w:pageBreakBefore w:val="0"/>
        <w:widowControl w:val="0"/>
        <w:tabs>
          <w:tab w:val="left" w:pos="1701"/>
        </w:tabs>
        <w:kinsoku/>
        <w:wordWrap/>
        <w:overflowPunct w:val="0"/>
        <w:topLinePunct/>
        <w:autoSpaceDE/>
        <w:autoSpaceDN/>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19.2乙方应根据公开招标文件要求向采购代理机构交纳代理服务费并取得甲方的签章后，合同才正式生效。</w:t>
      </w:r>
    </w:p>
    <w:p>
      <w:pPr>
        <w:keepNext w:val="0"/>
        <w:keepLines w:val="0"/>
        <w:pageBreakBefore w:val="0"/>
        <w:widowControl w:val="0"/>
        <w:tabs>
          <w:tab w:val="left" w:pos="810"/>
        </w:tabs>
        <w:kinsoku/>
        <w:wordWrap/>
        <w:autoSpaceDE/>
        <w:autoSpaceDN/>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19.3 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份，甲方</w:t>
      </w:r>
      <w:r>
        <w:rPr>
          <w:rFonts w:hint="eastAsia" w:ascii="宋体" w:hAnsi="宋体" w:eastAsia="宋体" w:cs="宋体"/>
          <w:sz w:val="24"/>
          <w:szCs w:val="24"/>
          <w:u w:val="single"/>
        </w:rPr>
        <w:t xml:space="preserve">   </w:t>
      </w:r>
      <w:r>
        <w:rPr>
          <w:rFonts w:hint="eastAsia" w:ascii="宋体" w:hAnsi="宋体" w:eastAsia="宋体" w:cs="宋体"/>
          <w:sz w:val="24"/>
          <w:szCs w:val="24"/>
        </w:rPr>
        <w:t>份，乙方</w:t>
      </w:r>
      <w:r>
        <w:rPr>
          <w:rFonts w:hint="eastAsia" w:ascii="宋体" w:hAnsi="宋体" w:eastAsia="宋体" w:cs="宋体"/>
          <w:sz w:val="24"/>
          <w:szCs w:val="24"/>
          <w:u w:val="single"/>
        </w:rPr>
        <w:t xml:space="preserve">   </w:t>
      </w:r>
      <w:r>
        <w:rPr>
          <w:rFonts w:hint="eastAsia" w:ascii="宋体" w:hAnsi="宋体" w:eastAsia="宋体" w:cs="宋体"/>
          <w:sz w:val="24"/>
          <w:szCs w:val="24"/>
        </w:rPr>
        <w:t>份，采购代理机构</w:t>
      </w:r>
      <w:r>
        <w:rPr>
          <w:rFonts w:hint="eastAsia" w:ascii="宋体" w:hAnsi="宋体" w:eastAsia="宋体" w:cs="宋体"/>
          <w:sz w:val="24"/>
          <w:szCs w:val="24"/>
          <w:u w:val="single"/>
        </w:rPr>
        <w:t xml:space="preserve"> 壹 </w:t>
      </w:r>
      <w:r>
        <w:rPr>
          <w:rFonts w:hint="eastAsia" w:ascii="宋体" w:hAnsi="宋体" w:eastAsia="宋体" w:cs="宋体"/>
          <w:sz w:val="24"/>
          <w:szCs w:val="24"/>
        </w:rPr>
        <w:t>份。</w:t>
      </w:r>
    </w:p>
    <w:p>
      <w:pPr>
        <w:keepNext w:val="0"/>
        <w:keepLines w:val="0"/>
        <w:pageBreakBefore w:val="0"/>
        <w:widowControl w:val="0"/>
        <w:tabs>
          <w:tab w:val="left" w:pos="810"/>
        </w:tabs>
        <w:kinsoku/>
        <w:wordWrap/>
        <w:autoSpaceDE/>
        <w:autoSpaceDN/>
        <w:bidi w:val="0"/>
        <w:spacing w:line="46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19.4 本合同未尽事项，补充合同内容。</w:t>
      </w:r>
    </w:p>
    <w:p>
      <w:pPr>
        <w:keepNext w:val="0"/>
        <w:keepLines w:val="0"/>
        <w:pageBreakBefore w:val="0"/>
        <w:widowControl w:val="0"/>
        <w:kinsoku/>
        <w:wordWrap/>
        <w:overflowPunct w:val="0"/>
        <w:topLinePunct w:val="0"/>
        <w:autoSpaceDE/>
        <w:autoSpaceDN/>
        <w:bidi w:val="0"/>
        <w:adjustRightInd w:val="0"/>
        <w:snapToGrid w:val="0"/>
        <w:spacing w:line="460" w:lineRule="exact"/>
        <w:ind w:firstLine="480" w:firstLineChars="200"/>
        <w:jc w:val="both"/>
        <w:textAlignment w:val="auto"/>
        <w:outlineLvl w:val="9"/>
        <w:rPr>
          <w:rFonts w:hint="eastAsia" w:ascii="宋体" w:hAnsi="宋体" w:eastAsia="宋体" w:cs="宋体"/>
          <w:b w:val="0"/>
          <w:bCs w:val="0"/>
          <w:sz w:val="24"/>
          <w:szCs w:val="24"/>
          <w:lang w:val="en-US" w:eastAsia="zh-CN" w:bidi="ar-SA"/>
        </w:rPr>
      </w:pPr>
      <w:r>
        <w:rPr>
          <w:rFonts w:hint="eastAsia" w:ascii="宋体" w:hAnsi="宋体" w:eastAsia="宋体" w:cs="宋体"/>
          <w:b w:val="0"/>
          <w:bCs w:val="0"/>
          <w:sz w:val="24"/>
          <w:szCs w:val="24"/>
          <w:lang w:val="en-US" w:eastAsia="zh-CN" w:bidi="ar-SA"/>
        </w:rPr>
        <w:t>（以下无正文）</w:t>
      </w:r>
    </w:p>
    <w:p>
      <w:pPr>
        <w:pStyle w:val="8"/>
        <w:keepNext w:val="0"/>
        <w:keepLines w:val="0"/>
        <w:pageBreakBefore w:val="0"/>
        <w:widowControl w:val="0"/>
        <w:kinsoku/>
        <w:wordWrap/>
        <w:autoSpaceDE/>
        <w:autoSpaceDN/>
        <w:bidi w:val="0"/>
        <w:spacing w:after="0" w:line="460" w:lineRule="exact"/>
        <w:ind w:left="480"/>
        <w:textAlignment w:val="auto"/>
        <w:rPr>
          <w:rFonts w:ascii="宋体" w:hAnsi="宋体" w:cs="宋体"/>
          <w:sz w:val="24"/>
          <w:szCs w:val="24"/>
        </w:rPr>
      </w:pPr>
      <w:r>
        <w:rPr>
          <w:rFonts w:hint="eastAsia" w:ascii="宋体" w:hAnsi="宋体" w:eastAsia="宋体" w:cs="宋体"/>
          <w:sz w:val="24"/>
          <w:szCs w:val="24"/>
        </w:rPr>
        <w:br w:type="page"/>
      </w:r>
    </w:p>
    <w:tbl>
      <w:tblPr>
        <w:tblStyle w:val="9"/>
        <w:tblpPr w:leftFromText="180" w:rightFromText="180" w:vertAnchor="text" w:horzAnchor="page" w:tblpXSpec="center" w:tblpY="305"/>
        <w:tblW w:w="4830" w:type="pct"/>
        <w:jc w:val="center"/>
        <w:tblLayout w:type="autofit"/>
        <w:tblCellMar>
          <w:top w:w="0" w:type="dxa"/>
          <w:left w:w="108" w:type="dxa"/>
          <w:bottom w:w="0" w:type="dxa"/>
          <w:right w:w="108" w:type="dxa"/>
        </w:tblCellMar>
      </w:tblPr>
      <w:tblGrid>
        <w:gridCol w:w="4758"/>
        <w:gridCol w:w="4761"/>
      </w:tblGrid>
      <w:tr>
        <w:tblPrEx>
          <w:tblCellMar>
            <w:top w:w="0" w:type="dxa"/>
            <w:left w:w="108" w:type="dxa"/>
            <w:bottom w:w="0" w:type="dxa"/>
            <w:right w:w="108" w:type="dxa"/>
          </w:tblCellMar>
        </w:tblPrEx>
        <w:trPr>
          <w:trHeight w:val="437" w:hRule="atLeast"/>
          <w:jc w:val="center"/>
        </w:trPr>
        <w:tc>
          <w:tcPr>
            <w:tcW w:w="2499" w:type="pct"/>
            <w:vAlign w:val="center"/>
          </w:tcPr>
          <w:p>
            <w:pPr>
              <w:overflowPunct w:val="0"/>
              <w:adjustRightInd w:val="0"/>
              <w:snapToGrid w:val="0"/>
              <w:rPr>
                <w:rFonts w:ascii="宋体" w:hAnsi="宋体" w:cs="宋体"/>
                <w:w w:val="95"/>
                <w:sz w:val="24"/>
                <w:szCs w:val="36"/>
              </w:rPr>
            </w:pPr>
            <w:r>
              <w:rPr>
                <w:rFonts w:hint="eastAsia" w:ascii="宋体" w:hAnsi="宋体" w:cs="宋体"/>
                <w:w w:val="95"/>
                <w:sz w:val="24"/>
                <w:szCs w:val="36"/>
              </w:rPr>
              <w:t>甲方:</w:t>
            </w:r>
            <w:r>
              <w:rPr>
                <w:rFonts w:hint="eastAsia" w:ascii="宋体" w:hAnsi="宋体" w:cs="宋体"/>
                <w:sz w:val="24"/>
                <w:szCs w:val="36"/>
              </w:rPr>
              <w:t xml:space="preserve">                  （盖章）</w:t>
            </w:r>
          </w:p>
        </w:tc>
        <w:tc>
          <w:tcPr>
            <w:tcW w:w="2500" w:type="pct"/>
            <w:vAlign w:val="center"/>
          </w:tcPr>
          <w:p>
            <w:pPr>
              <w:overflowPunct w:val="0"/>
              <w:adjustRightInd w:val="0"/>
              <w:snapToGrid w:val="0"/>
              <w:rPr>
                <w:rFonts w:ascii="宋体" w:hAnsi="宋体" w:cs="宋体"/>
                <w:w w:val="95"/>
                <w:sz w:val="24"/>
                <w:szCs w:val="36"/>
              </w:rPr>
            </w:pPr>
            <w:r>
              <w:rPr>
                <w:rFonts w:hint="eastAsia" w:ascii="宋体" w:hAnsi="宋体" w:cs="宋体"/>
                <w:w w:val="95"/>
                <w:sz w:val="24"/>
                <w:szCs w:val="36"/>
              </w:rPr>
              <w:t xml:space="preserve">乙方:                    </w:t>
            </w:r>
            <w:r>
              <w:rPr>
                <w:rFonts w:hint="eastAsia" w:ascii="宋体" w:hAnsi="宋体" w:cs="宋体"/>
                <w:sz w:val="24"/>
                <w:szCs w:val="36"/>
              </w:rPr>
              <w:t>（盖章）</w:t>
            </w:r>
          </w:p>
        </w:tc>
      </w:tr>
      <w:tr>
        <w:tblPrEx>
          <w:tblCellMar>
            <w:top w:w="0" w:type="dxa"/>
            <w:left w:w="108" w:type="dxa"/>
            <w:bottom w:w="0" w:type="dxa"/>
            <w:right w:w="108" w:type="dxa"/>
          </w:tblCellMar>
        </w:tblPrEx>
        <w:trPr>
          <w:trHeight w:val="437" w:hRule="atLeast"/>
          <w:jc w:val="center"/>
        </w:trPr>
        <w:tc>
          <w:tcPr>
            <w:tcW w:w="2499"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 xml:space="preserve">地址： </w:t>
            </w:r>
          </w:p>
        </w:tc>
        <w:tc>
          <w:tcPr>
            <w:tcW w:w="2500"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地址：</w:t>
            </w:r>
          </w:p>
        </w:tc>
      </w:tr>
      <w:tr>
        <w:tblPrEx>
          <w:tblCellMar>
            <w:top w:w="0" w:type="dxa"/>
            <w:left w:w="108" w:type="dxa"/>
            <w:bottom w:w="0" w:type="dxa"/>
            <w:right w:w="108" w:type="dxa"/>
          </w:tblCellMar>
        </w:tblPrEx>
        <w:trPr>
          <w:trHeight w:val="437" w:hRule="atLeast"/>
          <w:jc w:val="center"/>
        </w:trPr>
        <w:tc>
          <w:tcPr>
            <w:tcW w:w="2499"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邮编：</w:t>
            </w:r>
          </w:p>
        </w:tc>
        <w:tc>
          <w:tcPr>
            <w:tcW w:w="2500"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邮编：</w:t>
            </w:r>
          </w:p>
        </w:tc>
      </w:tr>
      <w:tr>
        <w:tblPrEx>
          <w:tblCellMar>
            <w:top w:w="0" w:type="dxa"/>
            <w:left w:w="108" w:type="dxa"/>
            <w:bottom w:w="0" w:type="dxa"/>
            <w:right w:w="108" w:type="dxa"/>
          </w:tblCellMar>
        </w:tblPrEx>
        <w:trPr>
          <w:trHeight w:val="1095" w:hRule="atLeast"/>
          <w:jc w:val="center"/>
        </w:trPr>
        <w:tc>
          <w:tcPr>
            <w:tcW w:w="2499" w:type="pct"/>
          </w:tcPr>
          <w:p>
            <w:pPr>
              <w:overflowPunct w:val="0"/>
              <w:adjustRightInd w:val="0"/>
              <w:snapToGrid w:val="0"/>
              <w:spacing w:before="156" w:beforeLines="50"/>
              <w:rPr>
                <w:rFonts w:ascii="宋体" w:hAnsi="宋体" w:cs="宋体"/>
                <w:sz w:val="24"/>
                <w:szCs w:val="36"/>
              </w:rPr>
            </w:pPr>
            <w:r>
              <w:rPr>
                <w:rFonts w:hint="eastAsia" w:ascii="宋体" w:hAnsi="宋体" w:cs="宋体"/>
                <w:sz w:val="24"/>
                <w:szCs w:val="36"/>
              </w:rPr>
              <w:t>法定代表人（签字或盖章）：</w:t>
            </w:r>
          </w:p>
          <w:p>
            <w:pPr>
              <w:overflowPunct w:val="0"/>
              <w:adjustRightInd w:val="0"/>
              <w:snapToGrid w:val="0"/>
              <w:rPr>
                <w:rFonts w:ascii="宋体" w:hAnsi="宋体" w:cs="宋体"/>
                <w:sz w:val="24"/>
                <w:szCs w:val="36"/>
              </w:rPr>
            </w:pPr>
          </w:p>
        </w:tc>
        <w:tc>
          <w:tcPr>
            <w:tcW w:w="2500" w:type="pct"/>
          </w:tcPr>
          <w:p>
            <w:pPr>
              <w:overflowPunct w:val="0"/>
              <w:adjustRightInd w:val="0"/>
              <w:snapToGrid w:val="0"/>
              <w:spacing w:before="156" w:beforeLines="50"/>
              <w:rPr>
                <w:rFonts w:ascii="宋体" w:hAnsi="宋体" w:cs="宋体"/>
                <w:sz w:val="24"/>
                <w:szCs w:val="36"/>
              </w:rPr>
            </w:pPr>
            <w:r>
              <w:rPr>
                <w:rFonts w:hint="eastAsia" w:ascii="宋体" w:hAnsi="宋体" w:cs="宋体"/>
                <w:sz w:val="24"/>
                <w:szCs w:val="36"/>
              </w:rPr>
              <w:t>法定代表人（签字或盖章）：</w:t>
            </w:r>
          </w:p>
        </w:tc>
      </w:tr>
      <w:tr>
        <w:tblPrEx>
          <w:tblCellMar>
            <w:top w:w="0" w:type="dxa"/>
            <w:left w:w="108" w:type="dxa"/>
            <w:bottom w:w="0" w:type="dxa"/>
            <w:right w:w="108" w:type="dxa"/>
          </w:tblCellMar>
        </w:tblPrEx>
        <w:trPr>
          <w:trHeight w:val="657" w:hRule="atLeast"/>
          <w:jc w:val="center"/>
        </w:trPr>
        <w:tc>
          <w:tcPr>
            <w:tcW w:w="2499" w:type="pct"/>
          </w:tcPr>
          <w:p>
            <w:pPr>
              <w:overflowPunct w:val="0"/>
              <w:adjustRightInd w:val="0"/>
              <w:snapToGrid w:val="0"/>
              <w:spacing w:before="156" w:beforeLines="50"/>
              <w:rPr>
                <w:rFonts w:ascii="宋体" w:hAnsi="宋体" w:cs="宋体"/>
                <w:sz w:val="24"/>
                <w:szCs w:val="36"/>
              </w:rPr>
            </w:pPr>
            <w:r>
              <w:rPr>
                <w:rFonts w:hint="eastAsia" w:ascii="宋体" w:hAnsi="宋体" w:cs="宋体"/>
                <w:sz w:val="24"/>
                <w:szCs w:val="36"/>
              </w:rPr>
              <w:t>被授权代表：（签字）</w:t>
            </w:r>
          </w:p>
        </w:tc>
        <w:tc>
          <w:tcPr>
            <w:tcW w:w="2500" w:type="pct"/>
          </w:tcPr>
          <w:p>
            <w:pPr>
              <w:overflowPunct w:val="0"/>
              <w:adjustRightInd w:val="0"/>
              <w:snapToGrid w:val="0"/>
              <w:spacing w:before="156" w:beforeLines="50"/>
              <w:rPr>
                <w:rFonts w:ascii="宋体" w:hAnsi="宋体" w:cs="宋体"/>
                <w:sz w:val="24"/>
                <w:szCs w:val="36"/>
              </w:rPr>
            </w:pPr>
            <w:r>
              <w:rPr>
                <w:rFonts w:hint="eastAsia" w:ascii="宋体" w:hAnsi="宋体" w:cs="宋体"/>
                <w:sz w:val="24"/>
                <w:szCs w:val="36"/>
              </w:rPr>
              <w:t>被授权代表：（签字）</w:t>
            </w:r>
          </w:p>
        </w:tc>
      </w:tr>
      <w:tr>
        <w:tblPrEx>
          <w:tblCellMar>
            <w:top w:w="0" w:type="dxa"/>
            <w:left w:w="108" w:type="dxa"/>
            <w:bottom w:w="0" w:type="dxa"/>
            <w:right w:w="108" w:type="dxa"/>
          </w:tblCellMar>
        </w:tblPrEx>
        <w:trPr>
          <w:trHeight w:val="437" w:hRule="atLeast"/>
          <w:jc w:val="center"/>
        </w:trPr>
        <w:tc>
          <w:tcPr>
            <w:tcW w:w="2499"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电话：</w:t>
            </w:r>
          </w:p>
        </w:tc>
        <w:tc>
          <w:tcPr>
            <w:tcW w:w="2500"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电话：</w:t>
            </w:r>
          </w:p>
        </w:tc>
      </w:tr>
      <w:tr>
        <w:tblPrEx>
          <w:tblCellMar>
            <w:top w:w="0" w:type="dxa"/>
            <w:left w:w="108" w:type="dxa"/>
            <w:bottom w:w="0" w:type="dxa"/>
            <w:right w:w="108" w:type="dxa"/>
          </w:tblCellMar>
        </w:tblPrEx>
        <w:trPr>
          <w:trHeight w:val="437" w:hRule="atLeast"/>
          <w:jc w:val="center"/>
        </w:trPr>
        <w:tc>
          <w:tcPr>
            <w:tcW w:w="2499"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传真：</w:t>
            </w:r>
          </w:p>
        </w:tc>
        <w:tc>
          <w:tcPr>
            <w:tcW w:w="2500"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传真：</w:t>
            </w:r>
          </w:p>
        </w:tc>
      </w:tr>
      <w:tr>
        <w:tblPrEx>
          <w:tblCellMar>
            <w:top w:w="0" w:type="dxa"/>
            <w:left w:w="108" w:type="dxa"/>
            <w:bottom w:w="0" w:type="dxa"/>
            <w:right w:w="108" w:type="dxa"/>
          </w:tblCellMar>
        </w:tblPrEx>
        <w:trPr>
          <w:trHeight w:val="437" w:hRule="atLeast"/>
          <w:jc w:val="center"/>
        </w:trPr>
        <w:tc>
          <w:tcPr>
            <w:tcW w:w="2499"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开户银行：</w:t>
            </w:r>
          </w:p>
        </w:tc>
        <w:tc>
          <w:tcPr>
            <w:tcW w:w="2500"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开户银行：</w:t>
            </w:r>
          </w:p>
        </w:tc>
      </w:tr>
      <w:tr>
        <w:tblPrEx>
          <w:tblCellMar>
            <w:top w:w="0" w:type="dxa"/>
            <w:left w:w="108" w:type="dxa"/>
            <w:bottom w:w="0" w:type="dxa"/>
            <w:right w:w="108" w:type="dxa"/>
          </w:tblCellMar>
        </w:tblPrEx>
        <w:trPr>
          <w:trHeight w:val="437" w:hRule="atLeast"/>
          <w:jc w:val="center"/>
        </w:trPr>
        <w:tc>
          <w:tcPr>
            <w:tcW w:w="2499"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账号:</w:t>
            </w:r>
          </w:p>
        </w:tc>
        <w:tc>
          <w:tcPr>
            <w:tcW w:w="2500"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账号:</w:t>
            </w:r>
          </w:p>
        </w:tc>
      </w:tr>
      <w:tr>
        <w:tblPrEx>
          <w:tblCellMar>
            <w:top w:w="0" w:type="dxa"/>
            <w:left w:w="108" w:type="dxa"/>
            <w:bottom w:w="0" w:type="dxa"/>
            <w:right w:w="108" w:type="dxa"/>
          </w:tblCellMar>
        </w:tblPrEx>
        <w:trPr>
          <w:trHeight w:val="437" w:hRule="atLeast"/>
          <w:jc w:val="center"/>
        </w:trPr>
        <w:tc>
          <w:tcPr>
            <w:tcW w:w="2499"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日期：       年   月   日</w:t>
            </w:r>
          </w:p>
        </w:tc>
        <w:tc>
          <w:tcPr>
            <w:tcW w:w="2500" w:type="pct"/>
            <w:vAlign w:val="center"/>
          </w:tcPr>
          <w:p>
            <w:pPr>
              <w:overflowPunct w:val="0"/>
              <w:adjustRightInd w:val="0"/>
              <w:snapToGrid w:val="0"/>
              <w:rPr>
                <w:rFonts w:ascii="宋体" w:hAnsi="宋体" w:cs="宋体"/>
                <w:sz w:val="24"/>
                <w:szCs w:val="36"/>
              </w:rPr>
            </w:pPr>
            <w:r>
              <w:rPr>
                <w:rFonts w:hint="eastAsia" w:ascii="宋体" w:hAnsi="宋体" w:cs="宋体"/>
                <w:sz w:val="24"/>
                <w:szCs w:val="36"/>
              </w:rPr>
              <w:t>日期：      年   月   日</w:t>
            </w:r>
          </w:p>
        </w:tc>
      </w:tr>
    </w:tbl>
    <w:p>
      <w:pPr>
        <w:overflowPunct w:val="0"/>
        <w:adjustRightInd w:val="0"/>
        <w:snapToGrid w:val="0"/>
        <w:rPr>
          <w:rFonts w:ascii="宋体" w:hAnsi="宋体" w:cs="宋体"/>
          <w:szCs w:val="24"/>
        </w:rPr>
      </w:pPr>
    </w:p>
    <w:p>
      <w:pPr>
        <w:overflowPunct w:val="0"/>
        <w:adjustRightInd w:val="0"/>
        <w:snapToGrid w:val="0"/>
        <w:rPr>
          <w:rFonts w:ascii="宋体" w:hAnsi="宋体" w:cs="宋体"/>
          <w:szCs w:val="24"/>
          <w:lang w:val="zh-CN"/>
        </w:rPr>
      </w:pPr>
    </w:p>
    <w:p>
      <w:pPr>
        <w:pStyle w:val="3"/>
        <w:overflowPunct w:val="0"/>
        <w:adjustRightInd w:val="0"/>
        <w:snapToGrid w:val="0"/>
        <w:rPr>
          <w:rFonts w:ascii="宋体" w:hAnsi="宋体" w:cs="宋体"/>
          <w:szCs w:val="24"/>
          <w:lang w:val="zh-CN"/>
        </w:rPr>
      </w:pPr>
    </w:p>
    <w:p>
      <w:pPr>
        <w:rPr>
          <w:rFonts w:ascii="宋体" w:hAnsi="宋体" w:cs="宋体"/>
          <w:szCs w:val="24"/>
          <w:lang w:val="zh-CN"/>
        </w:rPr>
      </w:pPr>
    </w:p>
    <w:p>
      <w:pPr>
        <w:overflowPunct w:val="0"/>
        <w:adjustRightInd w:val="0"/>
        <w:snapToGrid w:val="0"/>
        <w:rPr>
          <w:rFonts w:ascii="宋体" w:hAnsi="宋体" w:cs="宋体"/>
          <w:szCs w:val="24"/>
          <w:lang w:val="zh-CN"/>
        </w:rPr>
      </w:pPr>
    </w:p>
    <w:p>
      <w:pPr>
        <w:pStyle w:val="3"/>
        <w:overflowPunct w:val="0"/>
        <w:adjustRightInd w:val="0"/>
        <w:snapToGrid w:val="0"/>
        <w:spacing w:line="360" w:lineRule="auto"/>
        <w:rPr>
          <w:rFonts w:ascii="宋体" w:hAnsi="宋体" w:cs="宋体"/>
          <w:sz w:val="24"/>
          <w:szCs w:val="24"/>
          <w:lang w:val="zh-CN"/>
        </w:rPr>
      </w:pPr>
      <w:r>
        <w:rPr>
          <w:rFonts w:hint="eastAsia" w:ascii="宋体" w:hAnsi="宋体" w:cs="宋体"/>
          <w:sz w:val="24"/>
          <w:szCs w:val="24"/>
          <w:lang w:val="zh-CN"/>
        </w:rPr>
        <w:t>见证方：陕西瑞通工程造价咨询有限公司（盖章）</w:t>
      </w:r>
    </w:p>
    <w:p>
      <w:pPr>
        <w:overflowPunct w:val="0"/>
        <w:adjustRightInd w:val="0"/>
        <w:snapToGrid w:val="0"/>
        <w:spacing w:line="360" w:lineRule="auto"/>
        <w:rPr>
          <w:rFonts w:ascii="宋体" w:hAnsi="宋体" w:cs="宋体"/>
          <w:sz w:val="24"/>
          <w:szCs w:val="24"/>
          <w:lang w:val="zh-CN"/>
        </w:rPr>
      </w:pPr>
      <w:r>
        <w:rPr>
          <w:rFonts w:hint="eastAsia" w:ascii="宋体" w:hAnsi="宋体" w:cs="宋体"/>
          <w:sz w:val="24"/>
          <w:szCs w:val="24"/>
          <w:lang w:val="zh-CN"/>
        </w:rPr>
        <w:t>日  期：202</w:t>
      </w:r>
      <w:r>
        <w:rPr>
          <w:rFonts w:hint="eastAsia" w:ascii="宋体" w:hAnsi="宋体" w:cs="宋体"/>
          <w:sz w:val="24"/>
          <w:szCs w:val="24"/>
        </w:rPr>
        <w:t>3</w:t>
      </w:r>
      <w:r>
        <w:rPr>
          <w:rFonts w:hint="eastAsia" w:ascii="宋体" w:hAnsi="宋体" w:cs="宋体"/>
          <w:sz w:val="24"/>
          <w:szCs w:val="24"/>
          <w:lang w:val="zh-CN"/>
        </w:rPr>
        <w:t>年</w:t>
      </w:r>
      <w:r>
        <w:rPr>
          <w:rFonts w:hint="eastAsia" w:ascii="宋体" w:hAnsi="宋体" w:cs="宋体"/>
          <w:sz w:val="24"/>
          <w:szCs w:val="24"/>
          <w:u w:val="single"/>
          <w:lang w:val="zh-CN"/>
        </w:rPr>
        <w:t xml:space="preserve">   </w:t>
      </w:r>
      <w:r>
        <w:rPr>
          <w:rFonts w:hint="eastAsia" w:ascii="宋体" w:hAnsi="宋体" w:cs="宋体"/>
          <w:sz w:val="24"/>
          <w:szCs w:val="24"/>
          <w:lang w:val="zh-CN"/>
        </w:rPr>
        <w:t>月</w:t>
      </w:r>
      <w:r>
        <w:rPr>
          <w:rFonts w:hint="eastAsia" w:ascii="宋体" w:hAnsi="宋体" w:cs="宋体"/>
          <w:sz w:val="24"/>
          <w:szCs w:val="24"/>
          <w:u w:val="single"/>
          <w:lang w:val="zh-CN"/>
        </w:rPr>
        <w:t xml:space="preserve">   </w:t>
      </w:r>
      <w:r>
        <w:rPr>
          <w:rFonts w:hint="eastAsia" w:ascii="宋体" w:hAnsi="宋体" w:cs="宋体"/>
          <w:sz w:val="24"/>
          <w:szCs w:val="24"/>
          <w:lang w:val="zh-CN"/>
        </w:rPr>
        <w:t>日</w:t>
      </w:r>
    </w:p>
    <w:p>
      <w:bookmarkStart w:id="5" w:name="_GoBack"/>
      <w:bookmarkEnd w:id="5"/>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2DD45A5F"/>
    <w:rsid w:val="2DD45A5F"/>
    <w:rsid w:val="3FF9428E"/>
    <w:rsid w:val="54817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paragraph" w:styleId="2">
    <w:name w:val="heading 2"/>
    <w:next w:val="1"/>
    <w:qFormat/>
    <w:uiPriority w:val="0"/>
    <w:pPr>
      <w:keepNext/>
      <w:keepLines/>
      <w:widowControl w:val="0"/>
      <w:spacing w:before="10" w:after="10" w:line="440" w:lineRule="exact"/>
      <w:ind w:firstLine="800" w:firstLineChars="200"/>
      <w:jc w:val="both"/>
      <w:outlineLvl w:val="1"/>
    </w:pPr>
    <w:rPr>
      <w:rFonts w:ascii="Arial" w:hAnsi="Arial" w:eastAsia="宋体" w:cs="Times New Roman"/>
      <w:b/>
      <w:bCs/>
      <w:kern w:val="2"/>
      <w:sz w:val="24"/>
      <w:szCs w:val="32"/>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Body Text"/>
    <w:next w:val="1"/>
    <w:unhideWhenUsed/>
    <w:qFormat/>
    <w:uiPriority w:val="99"/>
    <w:pPr>
      <w:widowControl w:val="0"/>
      <w:spacing w:after="120"/>
      <w:jc w:val="both"/>
    </w:pPr>
    <w:rPr>
      <w:rFonts w:ascii="Times New Roman" w:hAnsi="Times New Roman" w:eastAsia="宋体" w:cs="Times New Roman"/>
      <w:lang w:val="en-US" w:eastAsia="zh-CN" w:bidi="ar-SA"/>
    </w:rPr>
  </w:style>
  <w:style w:type="paragraph" w:styleId="4">
    <w:name w:val="Body Text Indent"/>
    <w:next w:val="5"/>
    <w:qFormat/>
    <w:uiPriority w:val="99"/>
    <w:pPr>
      <w:widowControl w:val="0"/>
      <w:spacing w:after="120"/>
      <w:ind w:left="420" w:leftChars="200"/>
      <w:jc w:val="both"/>
    </w:pPr>
    <w:rPr>
      <w:rFonts w:ascii="Times New Roman" w:hAnsi="Times New Roman" w:eastAsia="宋体" w:cs="Times New Roman"/>
      <w:kern w:val="2"/>
      <w:sz w:val="21"/>
      <w:szCs w:val="24"/>
      <w:lang w:val="zh-CN" w:eastAsia="zh-CN" w:bidi="ar-SA"/>
    </w:rPr>
  </w:style>
  <w:style w:type="paragraph" w:customStyle="1" w:styleId="5">
    <w:name w:val="font5"/>
    <w:qFormat/>
    <w:uiPriority w:val="0"/>
    <w:pPr>
      <w:widowControl/>
      <w:spacing w:beforeAutospacing="1" w:afterAutospacing="1"/>
      <w:jc w:val="left"/>
    </w:pPr>
    <w:rPr>
      <w:rFonts w:hint="eastAsia" w:ascii="宋体" w:hAnsi="宋体" w:eastAsia="宋体" w:cs="Times New Roman"/>
      <w:sz w:val="24"/>
      <w:lang w:val="en-US" w:eastAsia="zh-CN" w:bidi="ar-SA"/>
    </w:rPr>
  </w:style>
  <w:style w:type="paragraph" w:styleId="6">
    <w:name w:val="toc 1"/>
    <w:basedOn w:val="1"/>
    <w:next w:val="1"/>
    <w:uiPriority w:val="0"/>
    <w:pPr>
      <w:spacing w:line="360" w:lineRule="auto"/>
    </w:pPr>
    <w:rPr>
      <w:rFonts w:ascii="Calibri" w:hAnsi="Calibri" w:eastAsia="宋体" w:cs="Times New Roman"/>
      <w:kern w:val="2"/>
      <w:sz w:val="28"/>
      <w:szCs w:val="24"/>
    </w:rPr>
  </w:style>
  <w:style w:type="paragraph" w:styleId="7">
    <w:name w:val="Body Text First Indent"/>
    <w:next w:val="1"/>
    <w:qFormat/>
    <w:uiPriority w:val="0"/>
    <w:pPr>
      <w:widowControl/>
      <w:spacing w:after="0" w:line="360" w:lineRule="auto"/>
      <w:ind w:firstLine="420"/>
      <w:jc w:val="left"/>
    </w:pPr>
    <w:rPr>
      <w:rFonts w:ascii="宋体" w:hAnsi="宋体" w:eastAsia="宋体" w:cs="Times New Roman"/>
      <w:kern w:val="2"/>
      <w:sz w:val="24"/>
      <w:lang w:val="en-US" w:eastAsia="zh-CN" w:bidi="ar-SA"/>
    </w:rPr>
  </w:style>
  <w:style w:type="paragraph" w:styleId="8">
    <w:name w:val="Body Text First Indent 2"/>
    <w:next w:val="7"/>
    <w:qFormat/>
    <w:uiPriority w:val="0"/>
    <w:pPr>
      <w:widowControl w:val="0"/>
      <w:adjustRightInd w:val="0"/>
      <w:snapToGrid w:val="0"/>
      <w:spacing w:after="120"/>
      <w:ind w:left="420" w:leftChars="200"/>
      <w:jc w:val="both"/>
    </w:pPr>
    <w:rPr>
      <w:rFonts w:ascii="Times New Roman" w:hAnsi="Times New Roman" w:eastAsia="宋体" w:cs="Times New Roman"/>
      <w:kern w:val="2"/>
      <w:sz w:val="21"/>
      <w:szCs w:val="21"/>
      <w:lang w:val="zh-CN"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2023-07-27T09:00:00Z</dcterms:created>
  <dc:creator>新昱</dc:creator>
  <cp:lastModifiedBy>新昱</cp:lastModifiedBy>
  <dcterms:modified xsi:type="dcterms:W3CDTF">2023-07-27T09:01:23Z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DF2A99C4E6BB43A9AFCC22403C9A469C_11</vt:lpwstr>
  </property>
</Properties>
</file>