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napToGrid/>
        <w:spacing w:before="100" w:line="560" w:lineRule="exact"/>
        <w:ind w:right="403"/>
        <w:jc w:val="center"/>
        <w:textAlignment w:val="auto"/>
        <w:outlineLvl w:val="0"/>
        <w:rPr>
          <w:rFonts w:hint="eastAsia" w:ascii="方正小标宋简体" w:hAnsi="方正小标宋简体" w:eastAsia="方正小标宋简体" w:cs="方正小标宋简体"/>
          <w:sz w:val="40"/>
          <w:szCs w:val="40"/>
          <w:lang w:val="en-US" w:eastAsia="zh-CN"/>
        </w:rPr>
      </w:pPr>
      <w:bookmarkStart w:id="0" w:name="_GoBack"/>
      <w:bookmarkEnd w:id="0"/>
      <w:r>
        <w:rPr>
          <w:rFonts w:hint="eastAsia" w:ascii="方正小标宋简体" w:hAnsi="方正小标宋简体" w:eastAsia="方正小标宋简体" w:cs="方正小标宋简体"/>
          <w:sz w:val="40"/>
          <w:szCs w:val="40"/>
          <w:lang w:val="en-US"/>
        </w:rPr>
        <w:t>高速公路拥堵预警服务与保畅功能开发</w:t>
      </w:r>
      <w:r>
        <w:rPr>
          <w:rFonts w:hint="eastAsia" w:ascii="方正小标宋简体" w:hAnsi="方正小标宋简体" w:eastAsia="方正小标宋简体" w:cs="方正小标宋简体"/>
          <w:sz w:val="40"/>
          <w:szCs w:val="40"/>
          <w:lang w:val="en-US" w:eastAsia="zh-CN"/>
        </w:rPr>
        <w:t>项目</w:t>
      </w:r>
    </w:p>
    <w:p>
      <w:pPr>
        <w:keepNext w:val="0"/>
        <w:keepLines w:val="0"/>
        <w:pageBreakBefore w:val="0"/>
        <w:widowControl w:val="0"/>
        <w:kinsoku/>
        <w:wordWrap/>
        <w:overflowPunct/>
        <w:topLinePunct w:val="0"/>
        <w:autoSpaceDE w:val="0"/>
        <w:autoSpaceDN w:val="0"/>
        <w:bidi w:val="0"/>
        <w:snapToGrid/>
        <w:spacing w:before="100" w:line="560" w:lineRule="exact"/>
        <w:ind w:right="403"/>
        <w:jc w:val="center"/>
        <w:textAlignment w:val="auto"/>
        <w:outlineLvl w:val="0"/>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rPr>
        <w:t>采购</w:t>
      </w:r>
      <w:r>
        <w:rPr>
          <w:rFonts w:hint="eastAsia" w:ascii="方正小标宋简体" w:hAnsi="方正小标宋简体" w:eastAsia="方正小标宋简体" w:cs="方正小标宋简体"/>
          <w:sz w:val="40"/>
          <w:szCs w:val="40"/>
          <w:lang w:val="en-US" w:eastAsia="zh-CN"/>
        </w:rPr>
        <w:t>计划</w:t>
      </w:r>
    </w:p>
    <w:p>
      <w:pPr>
        <w:pStyle w:val="2"/>
        <w:keepNext w:val="0"/>
        <w:keepLines w:val="0"/>
        <w:pageBreakBefore w:val="0"/>
        <w:widowControl w:val="0"/>
        <w:kinsoku/>
        <w:wordWrap/>
        <w:overflowPunct/>
        <w:topLinePunct w:val="0"/>
        <w:autoSpaceDE w:val="0"/>
        <w:autoSpaceDN w:val="0"/>
        <w:bidi w:val="0"/>
        <w:snapToGrid/>
        <w:spacing w:line="560" w:lineRule="exact"/>
        <w:textAlignment w:val="auto"/>
        <w:rPr>
          <w:lang w:val="en-US"/>
        </w:rPr>
      </w:pPr>
    </w:p>
    <w:p>
      <w:pPr>
        <w:pStyle w:val="2"/>
        <w:keepNext w:val="0"/>
        <w:keepLines w:val="0"/>
        <w:pageBreakBefore w:val="0"/>
        <w:widowControl w:val="0"/>
        <w:numPr>
          <w:ilvl w:val="0"/>
          <w:numId w:val="2"/>
        </w:numPr>
        <w:kinsoku/>
        <w:wordWrap/>
        <w:overflowPunct/>
        <w:topLinePunct w:val="0"/>
        <w:autoSpaceDE w:val="0"/>
        <w:autoSpaceDN w:val="0"/>
        <w:bidi w:val="0"/>
        <w:snapToGrid/>
        <w:spacing w:before="100" w:line="560" w:lineRule="exact"/>
        <w:ind w:right="404"/>
        <w:jc w:val="both"/>
        <w:textAlignment w:val="auto"/>
        <w:outlineLvl w:val="0"/>
        <w:rPr>
          <w:rFonts w:ascii="黑体" w:hAnsi="黑体" w:eastAsia="黑体" w:cs="黑体"/>
          <w:sz w:val="32"/>
          <w:szCs w:val="32"/>
          <w:lang w:val="en-US"/>
        </w:rPr>
      </w:pPr>
      <w:r>
        <w:rPr>
          <w:rFonts w:hint="eastAsia" w:ascii="黑体" w:hAnsi="黑体" w:eastAsia="黑体" w:cs="黑体"/>
          <w:sz w:val="32"/>
          <w:szCs w:val="32"/>
          <w:lang w:val="en-US"/>
        </w:rPr>
        <w:t>项目概况</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重点物资运输车辆通行证发放使用、疫情防控管理平台建设、拥堵收费站治理与保通保畅工作要求，按照交通运输部办公厅《关于组织开展全国高速公路易拥堵收费站专项治理工作的通知》（交办公路函〔2021〕1409号），以及省应对办《关于切实做好陕西省疫情防控管理平台相关工作的通知》（陕肺炎办发〔2022〕25号）、《关于切实做好重点物资运输车辆通行证发放使用的通知》（陕肺炎办发〔2022〕90号）任务分工及省厅安排部署，中心负责高速公路来陕风险车辆信息筛查共享，需要配合开发数据筛查推送系统；负责重点物资运输车辆电子通行证系统开发建设与维护管理；负责拥堵收费站运行监测与预警发布等工作。本项目是落实上述文件要求，完善疏堵保畅机制，增强通行服务能力，强化物流畅通与精准防控的重要保障。本项目</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元。</w:t>
      </w:r>
    </w:p>
    <w:p>
      <w:pPr>
        <w:pStyle w:val="2"/>
        <w:keepNext w:val="0"/>
        <w:keepLines w:val="0"/>
        <w:pageBreakBefore w:val="0"/>
        <w:widowControl w:val="0"/>
        <w:numPr>
          <w:ilvl w:val="0"/>
          <w:numId w:val="2"/>
        </w:numPr>
        <w:kinsoku/>
        <w:wordWrap/>
        <w:overflowPunct/>
        <w:topLinePunct w:val="0"/>
        <w:autoSpaceDE w:val="0"/>
        <w:autoSpaceDN w:val="0"/>
        <w:bidi w:val="0"/>
        <w:snapToGrid/>
        <w:spacing w:before="100" w:line="560" w:lineRule="exact"/>
        <w:ind w:right="404"/>
        <w:jc w:val="both"/>
        <w:textAlignment w:val="auto"/>
        <w:outlineLvl w:val="0"/>
        <w:rPr>
          <w:rFonts w:ascii="黑体" w:hAnsi="黑体" w:eastAsia="黑体" w:cs="黑体"/>
          <w:sz w:val="32"/>
          <w:szCs w:val="32"/>
          <w:lang w:val="en-US"/>
        </w:rPr>
      </w:pPr>
      <w:r>
        <w:rPr>
          <w:rFonts w:hint="eastAsia" w:ascii="黑体" w:hAnsi="黑体" w:eastAsia="黑体" w:cs="黑体"/>
          <w:sz w:val="32"/>
          <w:szCs w:val="32"/>
          <w:lang w:val="en-US"/>
        </w:rPr>
        <w:t>服务内容及技术要求</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高速公路风险地区车辆通行数据筛查推送系统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预算17万</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重点物资运输车辆电子通行证系统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预算16万</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3.高速公路收费站拥堵预警及统计服务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预算80万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功能要求</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0" w:firstLineChars="200"/>
        <w:textAlignment w:val="auto"/>
        <w:rPr>
          <w:rFonts w:hint="default"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高速公路风险地区车辆通行数据筛查推送系统主要包括在全省高速公路联网收费系统中提取筛查高速公路来陕风险车辆信息；并向</w:t>
      </w:r>
      <w:r>
        <w:rPr>
          <w:rFonts w:hint="eastAsia" w:ascii="仿宋_GB2312" w:hAnsi="仿宋_GB2312" w:eastAsia="仿宋_GB2312" w:cs="仿宋_GB2312"/>
          <w:b w:val="0"/>
          <w:bCs w:val="0"/>
          <w:sz w:val="32"/>
          <w:szCs w:val="32"/>
          <w:lang w:val="en-US" w:eastAsia="zh-CN"/>
        </w:rPr>
        <w:t>陕西</w:t>
      </w:r>
      <w:r>
        <w:rPr>
          <w:rFonts w:hint="eastAsia" w:ascii="仿宋_GB2312" w:hAnsi="仿宋_GB2312" w:eastAsia="仿宋_GB2312" w:cs="仿宋_GB2312"/>
          <w:b w:val="0"/>
          <w:bCs w:val="0"/>
          <w:sz w:val="32"/>
          <w:szCs w:val="32"/>
        </w:rPr>
        <w:t>省交通数据中心推送处理后的高速公路来陕、离陕车辆数据；同时根据权威风险地区库信息，实时更新筛查范围，实现风险车辆精准识别与信息筛查共享。数据处理与传输方式应符合</w:t>
      </w:r>
      <w:r>
        <w:rPr>
          <w:rFonts w:hint="eastAsia" w:ascii="仿宋_GB2312" w:hAnsi="仿宋_GB2312" w:eastAsia="仿宋_GB2312" w:cs="仿宋_GB2312"/>
          <w:b w:val="0"/>
          <w:bCs w:val="0"/>
          <w:sz w:val="32"/>
          <w:szCs w:val="32"/>
          <w:lang w:val="en-US" w:eastAsia="zh-CN"/>
        </w:rPr>
        <w:t>陕西省疫情防控管理平台</w:t>
      </w:r>
      <w:r>
        <w:rPr>
          <w:rFonts w:hint="eastAsia" w:ascii="仿宋_GB2312" w:hAnsi="仿宋_GB2312" w:eastAsia="仿宋_GB2312" w:cs="仿宋_GB2312"/>
          <w:b w:val="0"/>
          <w:bCs w:val="0"/>
          <w:sz w:val="32"/>
          <w:szCs w:val="32"/>
        </w:rPr>
        <w:t>《数据资源汇聚标准》</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技术要求。</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重点物资运输车辆电子通行证系统开发包括：</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通行证申请小程序开发：能够实现重点物资运输车辆通行证申请和查询。通行证申请可以支持上传企业信息、人车信息、行程信息，并选择审批部门；通行证查询支持通过车牌号查询通行证或审批不通过信息。</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PC端通行证审核管理系统（网页版）：能够实现不同管理部门根据公众申请进行审核；实现发证单位、起始地、物资类型等不同维度下通行证办理情况查询和分类统计；实现系统人员账号管理和权限配置；实现部省数据对接。</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（3）性能指标：通行证后台审核用户至少支持50人；平台运行正常率应高于95%；前端用户提交后数据传至审核端用时应小于5秒。</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60" w:left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3.高速公路收费站拥堵预警及统计服务：</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（1）建设目标</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陕西高速收费站拥堵监测预警平台建设参考交通运输部路网监测与应急处置中心《全国公路网运行监测管理与服务平台》以下简称“部级平台”建设方案，本项目定位以保障高速公路高效、安全、畅通为核心，致力于构建一套集多源交通大数据融合、收费站拥堵监测及预警、收费站拥堵评价分析于一体的高速路网收费站运行监测体系，加强高速公路收费站拥堵监测、拥堵预警、通行效率分析评价等工作，为收费站拥堵治理、提升路网通行效率供数据支持。</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60" w:left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1）实现与部级平台同步的全省高速公路收费站实时拥堵监测；</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60" w:left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2）实现全省高速公路收费站实时拥堵预警；</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60" w:left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3）为收费站的运行管理和拥堵状况预测提供准确、实时的决策支持。</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建设内容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本项目建设内容包括收费站拥堵监测预警系统建设、应用支撑平台建设、定制数据资源服务、数据接口开发。</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default" w:ascii="仿宋_GB2312" w:hAnsi="仿宋_GB2312" w:eastAsia="仿宋_GB2312" w:cs="仿宋_GB2312"/>
          <w:b w:val="0"/>
          <w:bCs w:val="0"/>
          <w:sz w:val="32"/>
          <w:szCs w:val="32"/>
          <w:highlight w:val="none"/>
          <w:lang w:val="en-US" w:eastAsia="zh-CN"/>
        </w:rPr>
        <w:t>收费站拥堵监测预警系统</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建设收费站拥堵监测预警系统，实现与部</w:t>
      </w:r>
      <w:r>
        <w:rPr>
          <w:rFonts w:hint="eastAsia" w:ascii="仿宋_GB2312" w:hAnsi="仿宋_GB2312" w:eastAsia="仿宋_GB2312" w:cs="仿宋_GB2312"/>
          <w:b w:val="0"/>
          <w:bCs w:val="0"/>
          <w:sz w:val="32"/>
          <w:szCs w:val="32"/>
          <w:highlight w:val="none"/>
          <w:lang w:val="en-US" w:eastAsia="zh-CN"/>
        </w:rPr>
        <w:t>级</w:t>
      </w:r>
      <w:r>
        <w:rPr>
          <w:rFonts w:hint="default" w:ascii="仿宋_GB2312" w:hAnsi="仿宋_GB2312" w:eastAsia="仿宋_GB2312" w:cs="仿宋_GB2312"/>
          <w:b w:val="0"/>
          <w:bCs w:val="0"/>
          <w:sz w:val="32"/>
          <w:szCs w:val="32"/>
          <w:highlight w:val="none"/>
          <w:lang w:val="en-US" w:eastAsia="zh-CN"/>
        </w:rPr>
        <w:t>平台标准一致的全省高速收费站拥堵状态监测，支持根据需求定制收费站拥堵预警、堵统计分析等功能，并将拥堵监测及预警信息在系统页面进行展示，用户可以在系统页面进行拥堵信息进行调阅、分析、数据下载等操作。具体功能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①收费站拥堵监测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收费站拥堵监测支持在系统页面对高速路网收费站的实时拥堵状态进行展示及报警提示，支持点击拥堵事件地图自动跳转至拥堵位置，并显示拥堵的开始时间、拥堵距离、平均速度等信息。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监测标准：与部级平台同步；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更新频率：5 分钟；</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监测范围：全省高速收费站</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②收费站拥堵预警</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定制高于部级平台的收费站拥堵监测标准实现拥堵预警功能，支持在系统页面对高速路网收费站的预警信息进行展示及报警提示，支持点击预警事件地图自动跳转至拥堵预警位置，并显示拥堵的开始时间、拥堵距离、平均速度等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监测标准：拥堵距离大于200米小于500米；</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更新频率：5 分钟；</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监测范围：全省高速收费站</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③收费站拥堵分析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定制收费站拥堵分析功能，对省内高速公路收费站拥堵进行综合分析及评价，实现对拥堵宏观指数、微观指标、拥堵态势等多维度的分析评价。并支持通过可视化效果在监测界面进行展示，实现拥堵收费站位置、拥堵时长、拥堵里程、拥堵趋势变化等数据的可视化。</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④</w:t>
      </w:r>
      <w:r>
        <w:rPr>
          <w:rFonts w:hint="default" w:ascii="仿宋_GB2312" w:hAnsi="仿宋_GB2312" w:eastAsia="仿宋_GB2312" w:cs="仿宋_GB2312"/>
          <w:b w:val="0"/>
          <w:bCs w:val="0"/>
          <w:sz w:val="32"/>
          <w:szCs w:val="32"/>
          <w:highlight w:val="none"/>
          <w:lang w:val="en-US" w:eastAsia="zh-CN"/>
        </w:rPr>
        <w:t>报告生成及导出</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定制报告生成及数据导出功能，支持统计收费站拥堵数据中的时长、里程、排名、原因等指标维度，并自动生成每次报告，支持报告导出。同时支持历史数据的查询及下载功能。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应用支持平台</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本项目建设需要充分考虑平台可扩展性，业务应用根据系统需要建设独立的业务库，其中有共享需求的数据将抽取至数据资源中心，并通过内部数据服务接口向应用系统提供数据支撑服务。外部系统接入数据则综合考虑现状、数据量、实时性要求、共享需求等因素分别进入数据资源中心。数据管控实现对整个数据资源中心的管理、运维等工作，数据服务主要为业务人员提供数据查询、分析、报表生成等数据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①数据资源中心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本项目应当根据新建应用产生的相关数据，完善数据资源规划，明确数据资源中心的建设内容，并建设相应的数据库，实现业务库向数据资源中心的迁移、转换。</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②主题数据仓库</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针对主题数据仓库中构建的数据模型和数据指标，提供主题数据服务，以满足上层应用系统的业务数据需求。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主题数据仓库通过不同维度和不同粒度的数据统计，形成规范的业务数据指标，数据使用方可以通过选择数据指标内容、数据粒度、数据维度等条件，获取主题数据服务。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运行监测预警域</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支撑运行监测预警系统相关业务功能的主题数据需求。并且能够支持与现有指挥调度应用系统的数据交互和业务联动。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分析评价域</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支撑路网运行评价分析系统相关业务功能的主题数据需求。并且能够针对经营分析应用需求提供业务数据支撑。</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③数据管控</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数据管控通过元数据管理、数据质量管理、数据审计管理，实现对数据的管控。</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元数据管理</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元数据管理应当遵循SOA系统架构，并基于现有数据资源建立元数据库，形成信息资源目录，向外部（ETL工具、上层应用系统等）提供元数据服务，支持与外部元数据的交换。</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数据质量管理</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提供指标数据采集和检查规则管理，实现数据质量检测。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数据审计管理</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提供数据审计管理功能，实现对数据治理过程、管理流程的管理。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④</w:t>
      </w:r>
      <w:r>
        <w:rPr>
          <w:rFonts w:hint="default" w:ascii="仿宋_GB2312" w:hAnsi="仿宋_GB2312" w:eastAsia="仿宋_GB2312" w:cs="仿宋_GB2312"/>
          <w:b w:val="0"/>
          <w:bCs w:val="0"/>
          <w:sz w:val="32"/>
          <w:szCs w:val="32"/>
          <w:highlight w:val="none"/>
          <w:lang w:val="en-US" w:eastAsia="zh-CN"/>
        </w:rPr>
        <w:t>数据服务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为业务人员提供辅助分析工具，帮助数据使用人员快速的查找、匹配、组合需要的数据，并能够提供一系列数据辅助分析工具与分析结果展示工具，尽可能的减少数据分析人员在查找数据、操作数据以及展示数据方面的复杂度，大大提高工作效率，在一定程度上促进各相关业务部门工作的开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数据综合服务门户</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数据综合服务门户是数据中心价值集中体现的窗口，它通过整合各业务系统的数据资源，以支持业务管理为首要目的，为业务人员提供一站式的数据综合服务门户，提供数据目录、数据查询、数据统计分析等多种功能，灵活解决业务管理中的各类问题，提高工作效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智能检索</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智能检索主要实现业务人员针对业务需要，对数据资源进行快速检索、定位，辅助数据分析报告的制定。具体包括关键词检索、支持复杂查询条件的高级检索、按关键词检索方式的一站式全文检索、要素检索、二次检索、批量检索、语义解析、检索提示等功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报表服务</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支持自助式报表和分析，提供业务用户直观的、完整的自助式报表和分析功能，也提高了业务用户的灵活性，可根据业务需求定制报表，不需要专业的开发人员编写代码。主要应用服务包括：查询服务、分析服务、报表服务、事件管理服务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数据发布管理</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实现对数据库中存储的各类专题数据、分析结果数据、其它需要基础数据，以及经过数据融合系统处理后的融合数据、交通状态数据等数据向应用系统的发布。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⑤</w:t>
      </w:r>
      <w:r>
        <w:rPr>
          <w:rFonts w:hint="default" w:ascii="仿宋_GB2312" w:hAnsi="仿宋_GB2312" w:eastAsia="仿宋_GB2312" w:cs="仿宋_GB2312"/>
          <w:b w:val="0"/>
          <w:bCs w:val="0"/>
          <w:sz w:val="32"/>
          <w:szCs w:val="32"/>
          <w:highlight w:val="none"/>
          <w:lang w:val="en-US" w:eastAsia="zh-CN"/>
        </w:rPr>
        <w:t>GIS服务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基于矢量格式存储的路段等地理信息，构建路网拓扑模型，利用现有矢量地图数据根据分析需要建立针对路网分析、能够适应海量数据处理的路网数据结构。建立路网拓扑模型的主要工作包括：检查自动构建的拓扑连通性情况，检查拓扑结构与实际路线的异同，检查完善拓扑模型基本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实现公路地理信息、拥堵监测及预警信息、车速监测信息、公路网环境监测信息、突发事件等信息的集中展示；能够基于GIS地图选取并展示监测对象相关信息（位置、类型、所属机构等）；可展示高速公路网收费站运行状态分析与评估相关图表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eastAsia="zh-CN"/>
        </w:rPr>
        <w:t>定制数据资源服务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定制数据资源服务主要为实现与部级平台同步的全省高速公路收费站实时拥堵监测，部级平台计算拥堵的数据资源包括：高速路全域监测相关信息资源、互联网众包数据资源、重载货运车辆数据资源。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资源服务通过定制“动态交通信息SaaS云服务”实现与部级平台一致的数据数据资源在云端汇聚融合，并计算生成包含陕西省高速收费站拥堵信息的动态交通信息数据，并通过数据接口进行数据的传输及调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default" w:ascii="仿宋_GB2312" w:hAnsi="仿宋_GB2312" w:eastAsia="仿宋_GB2312" w:cs="仿宋_GB2312"/>
          <w:b w:val="0"/>
          <w:bCs w:val="0"/>
          <w:sz w:val="32"/>
          <w:szCs w:val="32"/>
          <w:highlight w:val="none"/>
          <w:lang w:val="en-US" w:eastAsia="zh-CN"/>
        </w:rPr>
        <w:t>数据接口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本项目定制开发数据接口实时传输动态交通信息数据，并支持陕西高速收费站拥堵监测预警平台及其他应用系统调用，数据接口传输的字段包括：城市名称，日期，拥堵开始时间，拥堵发生时间，出入口标识，拥堵长度，管理中心名称，管理中心编号，高速名称，经纬度，收费站名称，速度。</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default" w:ascii="仿宋_GB2312" w:hAnsi="仿宋_GB2312" w:eastAsia="仿宋_GB2312" w:cs="仿宋_GB2312"/>
          <w:b/>
          <w:bCs/>
          <w:sz w:val="32"/>
          <w:szCs w:val="32"/>
          <w:highlight w:val="none"/>
          <w:lang w:val="en-US" w:eastAsia="zh-CN"/>
        </w:rPr>
        <w:t>平台建设要求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default" w:ascii="仿宋_GB2312" w:hAnsi="仿宋_GB2312" w:eastAsia="仿宋_GB2312" w:cs="仿宋_GB2312"/>
          <w:b w:val="0"/>
          <w:bCs w:val="0"/>
          <w:sz w:val="32"/>
          <w:szCs w:val="32"/>
          <w:highlight w:val="none"/>
          <w:lang w:val="en-US" w:eastAsia="zh-CN"/>
        </w:rPr>
        <w:t>监测预警要求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监测范围：全省高速公路收费站；</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更新频率：5分钟；</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监测标准：与交通部同步；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预警标准：拥堵距离大于200米小于500米</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w:t>
      </w:r>
      <w:r>
        <w:rPr>
          <w:rFonts w:hint="default" w:ascii="仿宋_GB2312" w:hAnsi="仿宋_GB2312" w:eastAsia="仿宋_GB2312" w:cs="仿宋_GB2312"/>
          <w:b w:val="0"/>
          <w:bCs w:val="0"/>
          <w:sz w:val="32"/>
          <w:szCs w:val="32"/>
          <w:highlight w:val="none"/>
          <w:lang w:val="en-US" w:eastAsia="zh-CN"/>
        </w:rPr>
        <w:t>性能要求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识别准确率：识别准确率应达到90%以上；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系统稳定性：系统正常运行率应达到99%以上；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数据接口稳定性：数据接口正常运行率应达到99%以上；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平均响应时间：≤3（秒）</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峰值响应时间：≤5（秒）</w:t>
      </w:r>
      <w:r>
        <w:rPr>
          <w:rFonts w:hint="eastAsia" w:ascii="仿宋_GB2312" w:hAnsi="仿宋_GB2312" w:eastAsia="仿宋_GB2312" w:cs="仿宋_GB2312"/>
          <w:b w:val="0"/>
          <w:bCs w:val="0"/>
          <w:sz w:val="32"/>
          <w:szCs w:val="32"/>
          <w:highlight w:val="none"/>
          <w:lang w:val="en-US" w:eastAsia="zh-CN"/>
        </w:rPr>
        <w:t>。</w:t>
      </w:r>
    </w:p>
    <w:p>
      <w:pPr>
        <w:pStyle w:val="2"/>
        <w:keepNext w:val="0"/>
        <w:keepLines w:val="0"/>
        <w:pageBreakBefore w:val="0"/>
        <w:widowControl w:val="0"/>
        <w:numPr>
          <w:ilvl w:val="0"/>
          <w:numId w:val="2"/>
        </w:numPr>
        <w:kinsoku/>
        <w:wordWrap/>
        <w:overflowPunct/>
        <w:topLinePunct w:val="0"/>
        <w:autoSpaceDE w:val="0"/>
        <w:autoSpaceDN w:val="0"/>
        <w:bidi w:val="0"/>
        <w:snapToGrid/>
        <w:spacing w:before="100" w:line="560" w:lineRule="exact"/>
        <w:ind w:right="404"/>
        <w:jc w:val="both"/>
        <w:textAlignment w:val="auto"/>
        <w:outlineLvl w:val="0"/>
        <w:rPr>
          <w:rFonts w:ascii="黑体" w:hAnsi="黑体" w:eastAsia="黑体" w:cs="黑体"/>
          <w:sz w:val="32"/>
          <w:szCs w:val="32"/>
          <w:lang w:val="en-US"/>
        </w:rPr>
      </w:pPr>
      <w:r>
        <w:rPr>
          <w:rFonts w:hint="eastAsia" w:ascii="黑体" w:hAnsi="黑体" w:eastAsia="黑体" w:cs="黑体"/>
          <w:sz w:val="32"/>
          <w:szCs w:val="32"/>
          <w:lang w:val="en-US" w:eastAsia="zh-CN"/>
        </w:rPr>
        <w:t>商务服务要求</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（一）交付要求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高速公路风险地区车辆通行数据筛查推送系统</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重点物资运输车辆电子通行证系统</w:t>
      </w:r>
      <w:r>
        <w:rPr>
          <w:rFonts w:hint="eastAsia" w:ascii="仿宋_GB2312" w:hAnsi="仿宋_GB2312" w:eastAsia="仿宋_GB2312" w:cs="仿宋_GB2312"/>
          <w:sz w:val="32"/>
          <w:szCs w:val="32"/>
          <w:lang w:val="en-US" w:eastAsia="zh-CN"/>
        </w:rPr>
        <w:t>供应商应于</w:t>
      </w:r>
      <w:r>
        <w:rPr>
          <w:rFonts w:hint="default" w:ascii="仿宋_GB2312" w:hAnsi="仿宋_GB2312" w:eastAsia="仿宋_GB2312" w:cs="仿宋_GB2312"/>
          <w:sz w:val="32"/>
          <w:szCs w:val="32"/>
          <w:lang w:val="en-US" w:eastAsia="zh-CN"/>
        </w:rPr>
        <w:t>合同签订后</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日内完成</w:t>
      </w:r>
      <w:r>
        <w:rPr>
          <w:rFonts w:hint="eastAsia" w:ascii="仿宋_GB2312" w:hAnsi="仿宋_GB2312" w:eastAsia="仿宋_GB2312" w:cs="仿宋_GB2312"/>
          <w:sz w:val="32"/>
          <w:szCs w:val="32"/>
          <w:lang w:val="en-US" w:eastAsia="zh-CN"/>
        </w:rPr>
        <w:t>系统所有功能开发；</w:t>
      </w:r>
      <w:r>
        <w:rPr>
          <w:rFonts w:hint="eastAsia" w:ascii="仿宋_GB2312" w:hAnsi="仿宋_GB2312" w:eastAsia="仿宋_GB2312" w:cs="仿宋_GB2312"/>
          <w:b w:val="0"/>
          <w:bCs w:val="0"/>
          <w:sz w:val="32"/>
          <w:szCs w:val="32"/>
          <w:lang w:val="en-US" w:eastAsia="zh-CN"/>
        </w:rPr>
        <w:t>高速公路收费站拥堵预警及统计服务供应商</w:t>
      </w:r>
      <w:r>
        <w:rPr>
          <w:rFonts w:hint="eastAsia" w:ascii="仿宋_GB2312" w:hAnsi="仿宋_GB2312" w:eastAsia="仿宋_GB2312" w:cs="仿宋_GB2312"/>
          <w:sz w:val="32"/>
          <w:szCs w:val="32"/>
          <w:lang w:val="en-US" w:eastAsia="zh-CN"/>
        </w:rPr>
        <w:t>应于</w:t>
      </w:r>
      <w:r>
        <w:rPr>
          <w:rFonts w:hint="default" w:ascii="仿宋_GB2312" w:hAnsi="仿宋_GB2312" w:eastAsia="仿宋_GB2312" w:cs="仿宋_GB2312"/>
          <w:sz w:val="32"/>
          <w:szCs w:val="32"/>
          <w:lang w:val="en-US" w:eastAsia="zh-CN"/>
        </w:rPr>
        <w:t>合同签订后</w:t>
      </w:r>
      <w:r>
        <w:rPr>
          <w:rFonts w:hint="eastAsia" w:ascii="仿宋_GB2312" w:hAnsi="仿宋_GB2312" w:eastAsia="仿宋_GB2312" w:cs="仿宋_GB2312"/>
          <w:sz w:val="32"/>
          <w:szCs w:val="32"/>
          <w:lang w:val="en-US" w:eastAsia="zh-CN"/>
        </w:rPr>
        <w:t>60</w:t>
      </w:r>
      <w:r>
        <w:rPr>
          <w:rFonts w:hint="default" w:ascii="仿宋_GB2312" w:hAnsi="仿宋_GB2312" w:eastAsia="仿宋_GB2312" w:cs="仿宋_GB2312"/>
          <w:sz w:val="32"/>
          <w:szCs w:val="32"/>
          <w:lang w:val="en-US" w:eastAsia="zh-CN"/>
        </w:rPr>
        <w:t>日内完成</w:t>
      </w:r>
      <w:r>
        <w:rPr>
          <w:rFonts w:hint="eastAsia" w:ascii="仿宋_GB2312" w:hAnsi="仿宋_GB2312" w:eastAsia="仿宋_GB2312" w:cs="仿宋_GB2312"/>
          <w:sz w:val="32"/>
          <w:szCs w:val="32"/>
          <w:lang w:val="en-US" w:eastAsia="zh-CN"/>
        </w:rPr>
        <w:t>系统所有功能开发。期内应</w:t>
      </w:r>
      <w:r>
        <w:rPr>
          <w:rFonts w:hint="default" w:ascii="仿宋_GB2312" w:hAnsi="仿宋_GB2312" w:eastAsia="仿宋_GB2312" w:cs="仿宋_GB2312"/>
          <w:sz w:val="32"/>
          <w:szCs w:val="32"/>
          <w:lang w:val="en-US" w:eastAsia="zh-CN"/>
        </w:rPr>
        <w:t>调试</w:t>
      </w:r>
      <w:r>
        <w:rPr>
          <w:rFonts w:hint="eastAsia" w:ascii="仿宋_GB2312" w:hAnsi="仿宋_GB2312" w:eastAsia="仿宋_GB2312" w:cs="仿宋_GB2312"/>
          <w:sz w:val="32"/>
          <w:szCs w:val="32"/>
          <w:lang w:val="en-US" w:eastAsia="zh-CN"/>
        </w:rPr>
        <w:t>部署</w:t>
      </w:r>
      <w:r>
        <w:rPr>
          <w:rFonts w:hint="default" w:ascii="仿宋_GB2312" w:hAnsi="仿宋_GB2312" w:eastAsia="仿宋_GB2312" w:cs="仿宋_GB2312"/>
          <w:sz w:val="32"/>
          <w:szCs w:val="32"/>
          <w:lang w:val="en-US" w:eastAsia="zh-CN"/>
        </w:rPr>
        <w:t>使具备使用条件，并向</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出具包含开通运行、功能测试与申请上线等内容的书面交付报告，双方确认签章并以此确定</w:t>
      </w:r>
      <w:r>
        <w:rPr>
          <w:rFonts w:hint="eastAsia" w:ascii="仿宋_GB2312" w:hAnsi="仿宋_GB2312" w:eastAsia="仿宋_GB2312" w:cs="仿宋_GB2312"/>
          <w:sz w:val="32"/>
          <w:szCs w:val="32"/>
          <w:lang w:val="en-US" w:eastAsia="zh-CN"/>
        </w:rPr>
        <w:t>试运行期开始</w:t>
      </w:r>
      <w:r>
        <w:rPr>
          <w:rFonts w:hint="default"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lang w:val="en-US" w:eastAsia="zh-CN"/>
        </w:rPr>
        <w:t>；</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（二）验收要求：</w:t>
      </w:r>
      <w:r>
        <w:rPr>
          <w:rFonts w:hint="eastAsia" w:ascii="仿宋_GB2312" w:hAnsi="仿宋_GB2312" w:eastAsia="仿宋_GB2312" w:cs="仿宋_GB2312"/>
          <w:sz w:val="32"/>
          <w:szCs w:val="32"/>
          <w:lang w:val="en-US" w:eastAsia="zh-CN"/>
        </w:rPr>
        <w:t>一个月试运行期满，服务商</w:t>
      </w:r>
      <w:r>
        <w:rPr>
          <w:rFonts w:hint="default" w:ascii="仿宋_GB2312" w:hAnsi="仿宋_GB2312" w:eastAsia="仿宋_GB2312" w:cs="仿宋_GB2312"/>
          <w:sz w:val="32"/>
          <w:szCs w:val="32"/>
          <w:lang w:val="en-US" w:eastAsia="zh-CN"/>
        </w:rPr>
        <w:t>应完成过程资料整理并形成服务总结，书面通知</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进行验收。</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在接到申请并核验资料齐全后15个工作日内，组织会议，</w:t>
      </w:r>
      <w:r>
        <w:rPr>
          <w:rFonts w:hint="eastAsia" w:ascii="仿宋_GB2312" w:hAnsi="仿宋_GB2312" w:eastAsia="仿宋_GB2312" w:cs="仿宋_GB2312"/>
          <w:sz w:val="32"/>
          <w:szCs w:val="32"/>
          <w:lang w:val="en-US" w:eastAsia="zh-CN"/>
        </w:rPr>
        <w:t>供应商</w:t>
      </w:r>
      <w:r>
        <w:rPr>
          <w:rFonts w:hint="default" w:ascii="仿宋_GB2312" w:hAnsi="仿宋_GB2312" w:eastAsia="仿宋_GB2312" w:cs="仿宋_GB2312"/>
          <w:sz w:val="32"/>
          <w:szCs w:val="32"/>
          <w:lang w:val="en-US" w:eastAsia="zh-CN"/>
        </w:rPr>
        <w:t>提供服务情况进行验收，并形成验收意见</w:t>
      </w:r>
      <w:r>
        <w:rPr>
          <w:rFonts w:hint="eastAsia" w:ascii="仿宋_GB2312" w:hAnsi="仿宋_GB2312" w:eastAsia="仿宋_GB2312" w:cs="仿宋_GB2312"/>
          <w:sz w:val="32"/>
          <w:szCs w:val="32"/>
          <w:lang w:val="en-US" w:eastAsia="zh-CN"/>
        </w:rPr>
        <w:t>，正式服务期起计</w:t>
      </w:r>
      <w:r>
        <w:rPr>
          <w:rFonts w:hint="default" w:ascii="仿宋_GB2312" w:hAnsi="仿宋_GB2312" w:eastAsia="仿宋_GB2312" w:cs="仿宋_GB2312"/>
          <w:sz w:val="32"/>
          <w:szCs w:val="32"/>
          <w:lang w:val="en-US" w:eastAsia="zh-CN"/>
        </w:rPr>
        <w:t>。</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（三）接入要求：</w:t>
      </w:r>
      <w:r>
        <w:rPr>
          <w:rFonts w:hint="eastAsia" w:ascii="仿宋_GB2312" w:hAnsi="仿宋_GB2312" w:eastAsia="仿宋_GB2312" w:cs="仿宋_GB2312"/>
          <w:sz w:val="32"/>
          <w:szCs w:val="32"/>
          <w:lang w:val="en-US" w:eastAsia="zh-CN"/>
        </w:rPr>
        <w:t>供应商应确保“重点物资运输车辆电子通行证系统</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接入交通部全国重点物资运输车辆电子通行证系统，实现全国联网、数据传部与实时在线，并支持各省办证系统数据互通，结果互查互认。</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（四）服务期限：</w:t>
      </w:r>
      <w:r>
        <w:rPr>
          <w:rFonts w:hint="eastAsia" w:ascii="仿宋_GB2312" w:hAnsi="仿宋_GB2312" w:eastAsia="仿宋_GB2312" w:cs="仿宋_GB2312"/>
          <w:sz w:val="32"/>
          <w:szCs w:val="32"/>
          <w:lang w:val="en-US" w:eastAsia="zh-CN"/>
        </w:rPr>
        <w:t>服务期为12个月。</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（五）违约责任：</w:t>
      </w:r>
      <w:r>
        <w:rPr>
          <w:rFonts w:hint="eastAsia" w:ascii="仿宋_GB2312" w:hAnsi="仿宋_GB2312" w:eastAsia="仿宋_GB2312" w:cs="仿宋_GB2312"/>
          <w:sz w:val="32"/>
          <w:szCs w:val="32"/>
          <w:lang w:val="en-US" w:eastAsia="zh-CN"/>
        </w:rPr>
        <w:t>服务商</w:t>
      </w:r>
      <w:r>
        <w:rPr>
          <w:rFonts w:hint="default" w:ascii="仿宋_GB2312" w:hAnsi="仿宋_GB2312" w:eastAsia="仿宋_GB2312" w:cs="仿宋_GB2312"/>
          <w:sz w:val="32"/>
          <w:szCs w:val="32"/>
          <w:lang w:val="en-US" w:eastAsia="zh-CN"/>
        </w:rPr>
        <w:t>如不能</w:t>
      </w:r>
      <w:r>
        <w:rPr>
          <w:rFonts w:hint="eastAsia" w:ascii="仿宋_GB2312" w:hAnsi="仿宋_GB2312" w:eastAsia="仿宋_GB2312" w:cs="仿宋_GB2312"/>
          <w:sz w:val="32"/>
          <w:szCs w:val="32"/>
          <w:lang w:val="en-US" w:eastAsia="zh-CN"/>
        </w:rPr>
        <w:t>按时依照合同约定时间、设计功能或技术标准，开发调试安装并完整交付的</w:t>
      </w:r>
      <w:r>
        <w:rPr>
          <w:rFonts w:hint="default" w:ascii="仿宋_GB2312" w:hAnsi="仿宋_GB2312" w:eastAsia="仿宋_GB2312" w:cs="仿宋_GB2312"/>
          <w:sz w:val="32"/>
          <w:szCs w:val="32"/>
          <w:lang w:val="en-US" w:eastAsia="zh-CN"/>
        </w:rPr>
        <w:t>，应向</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支付本合同总价款10%的违约金</w:t>
      </w:r>
      <w:r>
        <w:rPr>
          <w:rFonts w:hint="eastAsia" w:ascii="仿宋_GB2312" w:hAnsi="仿宋_GB2312" w:eastAsia="仿宋_GB2312" w:cs="仿宋_GB2312"/>
          <w:sz w:val="32"/>
          <w:szCs w:val="32"/>
          <w:lang w:val="en-US" w:eastAsia="zh-CN"/>
        </w:rPr>
        <w:t>；同时按照</w:t>
      </w:r>
      <w:r>
        <w:rPr>
          <w:rFonts w:hint="default" w:ascii="仿宋_GB2312" w:hAnsi="仿宋_GB2312" w:eastAsia="仿宋_GB2312" w:cs="仿宋_GB2312"/>
          <w:sz w:val="32"/>
          <w:szCs w:val="32"/>
          <w:lang w:val="en-US" w:eastAsia="zh-CN"/>
        </w:rPr>
        <w:t>逾期</w:t>
      </w:r>
      <w:r>
        <w:rPr>
          <w:rFonts w:hint="eastAsia" w:ascii="仿宋_GB2312" w:hAnsi="仿宋_GB2312" w:eastAsia="仿宋_GB2312" w:cs="仿宋_GB2312"/>
          <w:sz w:val="32"/>
          <w:szCs w:val="32"/>
          <w:lang w:val="en-US" w:eastAsia="zh-CN"/>
        </w:rPr>
        <w:t>时间</w:t>
      </w:r>
      <w:r>
        <w:rPr>
          <w:rFonts w:hint="default"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支付迟延履行的违约金，每日按逾期交货货款金额万分之一</w:t>
      </w:r>
      <w:r>
        <w:rPr>
          <w:rFonts w:hint="eastAsia" w:ascii="仿宋_GB2312" w:hAnsi="仿宋_GB2312" w:eastAsia="仿宋_GB2312" w:cs="仿宋_GB2312"/>
          <w:sz w:val="32"/>
          <w:szCs w:val="32"/>
          <w:lang w:val="en-US" w:eastAsia="zh-CN"/>
        </w:rPr>
        <w:t>累计</w:t>
      </w:r>
      <w:r>
        <w:rPr>
          <w:rFonts w:hint="default"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lang w:val="en-US" w:eastAsia="zh-CN"/>
        </w:rPr>
        <w:t>；服务商逾期一个月仍无法</w:t>
      </w:r>
      <w:r>
        <w:rPr>
          <w:rFonts w:hint="default" w:ascii="仿宋_GB2312" w:hAnsi="仿宋_GB2312" w:eastAsia="仿宋_GB2312" w:cs="仿宋_GB2312"/>
          <w:sz w:val="32"/>
          <w:szCs w:val="32"/>
          <w:lang w:val="en-US" w:eastAsia="zh-CN"/>
        </w:rPr>
        <w:t>按合同要求提供产品或提供虚假材料，</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质量不能满足技术要求的，</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有权终止合同，同时要求</w:t>
      </w:r>
      <w:r>
        <w:rPr>
          <w:rFonts w:hint="eastAsia" w:ascii="仿宋_GB2312" w:hAnsi="仿宋_GB2312" w:eastAsia="仿宋_GB2312" w:cs="仿宋_GB2312"/>
          <w:sz w:val="32"/>
          <w:szCs w:val="32"/>
          <w:lang w:val="en-US" w:eastAsia="zh-CN"/>
        </w:rPr>
        <w:t>服务商</w:t>
      </w:r>
      <w:r>
        <w:rPr>
          <w:rFonts w:hint="default" w:ascii="仿宋_GB2312" w:hAnsi="仿宋_GB2312" w:eastAsia="仿宋_GB2312" w:cs="仿宋_GB2312"/>
          <w:sz w:val="32"/>
          <w:szCs w:val="32"/>
          <w:lang w:val="en-US" w:eastAsia="zh-CN"/>
        </w:rPr>
        <w:t>承担相应的经济损失或承担本合同总价款10%的违约金</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2"/>
        </w:numPr>
        <w:kinsoku/>
        <w:wordWrap/>
        <w:overflowPunct/>
        <w:topLinePunct w:val="0"/>
        <w:autoSpaceDE w:val="0"/>
        <w:autoSpaceDN w:val="0"/>
        <w:bidi w:val="0"/>
        <w:snapToGrid/>
        <w:spacing w:before="100" w:line="560" w:lineRule="exact"/>
        <w:ind w:right="404"/>
        <w:jc w:val="both"/>
        <w:textAlignment w:val="auto"/>
        <w:outlineLvl w:val="0"/>
        <w:rPr>
          <w:rFonts w:ascii="黑体" w:hAnsi="黑体" w:eastAsia="黑体" w:cs="黑体"/>
          <w:sz w:val="32"/>
          <w:szCs w:val="32"/>
          <w:lang w:val="en-US"/>
        </w:rPr>
      </w:pPr>
      <w:r>
        <w:rPr>
          <w:rFonts w:hint="eastAsia" w:ascii="黑体" w:hAnsi="黑体" w:eastAsia="黑体" w:cs="黑体"/>
          <w:sz w:val="32"/>
          <w:szCs w:val="32"/>
          <w:lang w:val="en-US"/>
        </w:rPr>
        <w:t>招标方式与资质要求</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招标方式采用</w:t>
      </w:r>
      <w:r>
        <w:rPr>
          <w:rFonts w:hint="eastAsia" w:ascii="仿宋_GB2312" w:hAnsi="仿宋_GB2312" w:eastAsia="仿宋_GB2312" w:cs="仿宋_GB2312"/>
          <w:b/>
          <w:bCs/>
          <w:sz w:val="32"/>
          <w:szCs w:val="32"/>
          <w:lang w:val="en-US" w:eastAsia="zh-CN"/>
        </w:rPr>
        <w:t>竞争性磋商</w:t>
      </w:r>
      <w:r>
        <w:rPr>
          <w:rFonts w:hint="eastAsia" w:ascii="仿宋_GB2312" w:hAnsi="仿宋_GB2312" w:eastAsia="仿宋_GB2312" w:cs="仿宋_GB2312"/>
          <w:b/>
          <w:bCs/>
          <w:sz w:val="32"/>
          <w:szCs w:val="32"/>
          <w:lang w:val="en-US"/>
        </w:rPr>
        <w:t>方式</w:t>
      </w:r>
      <w:r>
        <w:rPr>
          <w:rFonts w:hint="eastAsia" w:ascii="仿宋_GB2312" w:hAnsi="仿宋_GB2312" w:eastAsia="仿宋_GB2312" w:cs="仿宋_GB2312"/>
          <w:b/>
          <w:bCs/>
          <w:sz w:val="32"/>
          <w:szCs w:val="32"/>
          <w:lang w:val="en-US" w:eastAsia="zh-CN"/>
        </w:rPr>
        <w:t>，分三个标段</w:t>
      </w:r>
      <w:r>
        <w:rPr>
          <w:rFonts w:hint="eastAsia" w:ascii="仿宋_GB2312" w:hAnsi="仿宋_GB2312" w:eastAsia="仿宋_GB2312" w:cs="仿宋_GB2312"/>
          <w:b/>
          <w:bCs/>
          <w:sz w:val="32"/>
          <w:szCs w:val="32"/>
          <w:lang w:val="en-US"/>
        </w:rPr>
        <w:t>进行</w:t>
      </w:r>
      <w:r>
        <w:rPr>
          <w:rFonts w:hint="eastAsia" w:ascii="仿宋_GB2312" w:hAnsi="仿宋_GB2312" w:eastAsia="仿宋_GB2312" w:cs="仿宋_GB2312"/>
          <w:b/>
          <w:bCs/>
          <w:sz w:val="32"/>
          <w:szCs w:val="32"/>
          <w:lang w:val="en-US" w:eastAsia="zh-CN"/>
        </w:rPr>
        <w:t>采购</w:t>
      </w:r>
      <w:r>
        <w:rPr>
          <w:rFonts w:hint="eastAsia" w:ascii="仿宋_GB2312" w:hAnsi="仿宋_GB2312" w:eastAsia="仿宋_GB2312" w:cs="仿宋_GB2312"/>
          <w:b/>
          <w:bCs/>
          <w:sz w:val="32"/>
          <w:szCs w:val="32"/>
          <w:lang w:val="en-US"/>
        </w:rPr>
        <w:t>。资质要求：具有独立承担民事责任能力的法人、其他组织或自然人。</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投标人需提供以下资质：营业执照等主体资格证明文件、财务状况报告、信用记录、税收和社保缴纳证明、控股管理关系、书面声明等。</w:t>
      </w:r>
    </w:p>
    <w:p>
      <w:pPr>
        <w:pStyle w:val="20"/>
        <w:keepNext w:val="0"/>
        <w:keepLines w:val="0"/>
        <w:pageBreakBefore w:val="0"/>
        <w:widowControl w:val="0"/>
        <w:kinsoku/>
        <w:wordWrap/>
        <w:overflowPunct/>
        <w:topLinePunct w:val="0"/>
        <w:autoSpaceDE w:val="0"/>
        <w:autoSpaceDN w:val="0"/>
        <w:bidi w:val="0"/>
        <w:snapToGrid/>
        <w:spacing w:line="560" w:lineRule="exact"/>
        <w:ind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除提供基本资质证明文件外，</w:t>
      </w:r>
      <w:r>
        <w:rPr>
          <w:rFonts w:hint="eastAsia" w:ascii="仿宋_GB2312" w:hAnsi="仿宋_GB2312" w:eastAsia="仿宋_GB2312" w:cs="仿宋_GB2312"/>
          <w:sz w:val="32"/>
          <w:szCs w:val="32"/>
          <w:lang w:val="en-US" w:eastAsia="zh-CN"/>
        </w:rPr>
        <w:t>三个</w:t>
      </w:r>
      <w:r>
        <w:rPr>
          <w:rFonts w:hint="eastAsia" w:ascii="仿宋_GB2312" w:hAnsi="仿宋_GB2312" w:eastAsia="仿宋_GB2312" w:cs="仿宋_GB2312"/>
          <w:sz w:val="32"/>
          <w:szCs w:val="32"/>
          <w:lang w:val="en-US"/>
        </w:rPr>
        <w:t>标段投标人还应提供2021年至今（以合同签署日期为准）不少于1个省级及以上公路交通业务平台维</w:t>
      </w:r>
      <w:r>
        <w:rPr>
          <w:rFonts w:hint="eastAsia" w:ascii="仿宋_GB2312" w:hAnsi="仿宋_GB2312" w:eastAsia="仿宋_GB2312" w:cs="仿宋_GB2312"/>
          <w:sz w:val="32"/>
          <w:szCs w:val="32"/>
          <w:lang w:val="en-US" w:eastAsia="zh-CN"/>
        </w:rPr>
        <w:t>开发</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sz w:val="32"/>
          <w:szCs w:val="32"/>
          <w:lang w:val="en-US"/>
        </w:rPr>
        <w:t>）服务项目业绩证明，提供合同复印件。复印件能清晰的表明合同双方名称、项目内容和签署日期。</w:t>
      </w:r>
    </w:p>
    <w:p>
      <w:pPr>
        <w:pStyle w:val="2"/>
        <w:keepNext w:val="0"/>
        <w:keepLines w:val="0"/>
        <w:pageBreakBefore w:val="0"/>
        <w:widowControl w:val="0"/>
        <w:numPr>
          <w:ilvl w:val="0"/>
          <w:numId w:val="2"/>
        </w:numPr>
        <w:kinsoku/>
        <w:wordWrap/>
        <w:overflowPunct/>
        <w:topLinePunct w:val="0"/>
        <w:autoSpaceDE w:val="0"/>
        <w:autoSpaceDN w:val="0"/>
        <w:bidi w:val="0"/>
        <w:snapToGrid/>
        <w:spacing w:before="100" w:line="560" w:lineRule="exact"/>
        <w:ind w:right="404"/>
        <w:jc w:val="both"/>
        <w:textAlignment w:val="auto"/>
        <w:outlineLvl w:val="0"/>
        <w:rPr>
          <w:rFonts w:ascii="黑体" w:hAnsi="黑体" w:eastAsia="黑体" w:cs="黑体"/>
          <w:sz w:val="32"/>
          <w:szCs w:val="32"/>
          <w:lang w:val="en-US"/>
        </w:rPr>
      </w:pPr>
      <w:r>
        <w:rPr>
          <w:rFonts w:hint="eastAsia" w:ascii="黑体" w:hAnsi="黑体" w:eastAsia="黑体" w:cs="黑体"/>
          <w:sz w:val="32"/>
          <w:szCs w:val="32"/>
          <w:lang w:val="en-US"/>
        </w:rPr>
        <w:t>付款方式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sz w:val="32"/>
          <w:szCs w:val="32"/>
        </w:rPr>
        <w:t>高速公路风险地区车辆通行数据筛查推送系统</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重点物资运输车辆电子通行证系统</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系统所有功能开发上线，一个月试运行期满并通过中心验收后的15个工作日内，支付该部分分项费用</w:t>
      </w:r>
      <w:r>
        <w:rPr>
          <w:rFonts w:hint="eastAsia" w:ascii="仿宋_GB2312" w:hAnsi="仿宋_GB2312" w:eastAsia="仿宋_GB2312" w:cs="仿宋_GB2312"/>
          <w:sz w:val="32"/>
          <w:szCs w:val="32"/>
          <w:lang w:val="en-US"/>
        </w:rPr>
        <w:t>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val="0"/>
          <w:sz w:val="32"/>
          <w:szCs w:val="32"/>
          <w:lang w:val="en-US" w:eastAsia="zh-CN"/>
        </w:rPr>
        <w:t>高速公路收费站拥堵预警及统计服务：</w:t>
      </w:r>
      <w:r>
        <w:rPr>
          <w:rFonts w:hint="eastAsia" w:ascii="仿宋_GB2312" w:hAnsi="仿宋_GB2312" w:eastAsia="仿宋_GB2312" w:cs="仿宋_GB2312"/>
          <w:sz w:val="32"/>
          <w:szCs w:val="32"/>
          <w:lang w:val="en-US" w:eastAsia="zh-CN"/>
        </w:rPr>
        <w:t>系统所有功能开发上线，一个月试运行期满并通过中心验收后的15个工作日内，支付该部分分项费用</w:t>
      </w:r>
      <w:r>
        <w:rPr>
          <w:rFonts w:hint="eastAsia" w:ascii="仿宋_GB2312" w:hAnsi="仿宋_GB2312" w:eastAsia="仿宋_GB2312" w:cs="仿宋_GB2312"/>
          <w:sz w:val="32"/>
          <w:szCs w:val="32"/>
          <w:lang w:val="en-US"/>
        </w:rPr>
        <w:t>的</w:t>
      </w:r>
      <w:r>
        <w:rPr>
          <w:rFonts w:hint="eastAsia" w:ascii="仿宋_GB2312" w:hAnsi="仿宋_GB2312" w:eastAsia="仿宋_GB2312" w:cs="仿宋_GB2312"/>
          <w:sz w:val="32"/>
          <w:szCs w:val="32"/>
          <w:lang w:val="en-US" w:eastAsia="zh-CN"/>
        </w:rPr>
        <w:t>90</w:t>
      </w:r>
      <w:r>
        <w:rPr>
          <w:rFonts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剩余10%作为系统运维服务费，服务期（试运行期结束后一年）满后支付。</w:t>
      </w:r>
    </w:p>
    <w:p>
      <w:pPr>
        <w:spacing w:line="560" w:lineRule="exact"/>
        <w:ind w:firstLine="640" w:firstLineChars="200"/>
        <w:jc w:val="center"/>
        <w:rPr>
          <w:rFonts w:ascii="仿宋_GB2312" w:hAnsi="仿宋_GB2312" w:eastAsia="仿宋_GB2312" w:cs="仿宋_GB2312"/>
          <w:sz w:val="32"/>
          <w:szCs w:val="32"/>
          <w:lang w:val="en-US"/>
        </w:rPr>
      </w:pPr>
    </w:p>
    <w:sectPr>
      <w:footerReference r:id="rId3" w:type="default"/>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D8EF"/>
    <w:multiLevelType w:val="multilevel"/>
    <w:tmpl w:val="3775D8EF"/>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7D533557"/>
    <w:multiLevelType w:val="multilevel"/>
    <w:tmpl w:val="7D533557"/>
    <w:lvl w:ilvl="0" w:tentative="0">
      <w:start w:val="1"/>
      <w:numFmt w:val="japaneseCounting"/>
      <w:lvlText w:val="%1、"/>
      <w:lvlJc w:val="left"/>
      <w:pPr>
        <w:ind w:left="1396" w:hanging="660"/>
      </w:pPr>
      <w:rPr>
        <w:rFonts w:hint="default"/>
      </w:rPr>
    </w:lvl>
    <w:lvl w:ilvl="1" w:tentative="0">
      <w:start w:val="1"/>
      <w:numFmt w:val="lowerLetter"/>
      <w:lvlText w:val="%2)"/>
      <w:lvlJc w:val="left"/>
      <w:pPr>
        <w:ind w:left="1576" w:hanging="420"/>
      </w:pPr>
    </w:lvl>
    <w:lvl w:ilvl="2" w:tentative="0">
      <w:start w:val="1"/>
      <w:numFmt w:val="lowerRoman"/>
      <w:lvlText w:val="%3."/>
      <w:lvlJc w:val="right"/>
      <w:pPr>
        <w:ind w:left="1996" w:hanging="420"/>
      </w:pPr>
    </w:lvl>
    <w:lvl w:ilvl="3" w:tentative="0">
      <w:start w:val="1"/>
      <w:numFmt w:val="decimal"/>
      <w:lvlText w:val="%4."/>
      <w:lvlJc w:val="left"/>
      <w:pPr>
        <w:ind w:left="2416" w:hanging="420"/>
      </w:pPr>
    </w:lvl>
    <w:lvl w:ilvl="4" w:tentative="0">
      <w:start w:val="1"/>
      <w:numFmt w:val="lowerLetter"/>
      <w:lvlText w:val="%5)"/>
      <w:lvlJc w:val="left"/>
      <w:pPr>
        <w:ind w:left="2836" w:hanging="420"/>
      </w:pPr>
    </w:lvl>
    <w:lvl w:ilvl="5" w:tentative="0">
      <w:start w:val="1"/>
      <w:numFmt w:val="lowerRoman"/>
      <w:lvlText w:val="%6."/>
      <w:lvlJc w:val="right"/>
      <w:pPr>
        <w:ind w:left="3256" w:hanging="420"/>
      </w:pPr>
    </w:lvl>
    <w:lvl w:ilvl="6" w:tentative="0">
      <w:start w:val="1"/>
      <w:numFmt w:val="decimal"/>
      <w:lvlText w:val="%7."/>
      <w:lvlJc w:val="left"/>
      <w:pPr>
        <w:ind w:left="3676" w:hanging="420"/>
      </w:pPr>
    </w:lvl>
    <w:lvl w:ilvl="7" w:tentative="0">
      <w:start w:val="1"/>
      <w:numFmt w:val="lowerLetter"/>
      <w:lvlText w:val="%8)"/>
      <w:lvlJc w:val="left"/>
      <w:pPr>
        <w:ind w:left="4096" w:hanging="420"/>
      </w:pPr>
    </w:lvl>
    <w:lvl w:ilvl="8" w:tentative="0">
      <w:start w:val="1"/>
      <w:numFmt w:val="lowerRoman"/>
      <w:lvlText w:val="%9."/>
      <w:lvlJc w:val="right"/>
      <w:pPr>
        <w:ind w:left="45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265FB"/>
    <w:rsid w:val="00022900"/>
    <w:rsid w:val="000364F2"/>
    <w:rsid w:val="00046C1B"/>
    <w:rsid w:val="000B49A1"/>
    <w:rsid w:val="000D3B0A"/>
    <w:rsid w:val="000E2295"/>
    <w:rsid w:val="00123F5A"/>
    <w:rsid w:val="00162CF7"/>
    <w:rsid w:val="001A3F84"/>
    <w:rsid w:val="001A7AB5"/>
    <w:rsid w:val="00250198"/>
    <w:rsid w:val="00266B00"/>
    <w:rsid w:val="00266D9F"/>
    <w:rsid w:val="002733EF"/>
    <w:rsid w:val="003D47AF"/>
    <w:rsid w:val="0041128F"/>
    <w:rsid w:val="00411D76"/>
    <w:rsid w:val="004A580E"/>
    <w:rsid w:val="005210C7"/>
    <w:rsid w:val="005520E6"/>
    <w:rsid w:val="005D7DD9"/>
    <w:rsid w:val="0062741D"/>
    <w:rsid w:val="006473E7"/>
    <w:rsid w:val="006E2E54"/>
    <w:rsid w:val="0080583C"/>
    <w:rsid w:val="008B2951"/>
    <w:rsid w:val="008E4EA3"/>
    <w:rsid w:val="009118AA"/>
    <w:rsid w:val="0093775B"/>
    <w:rsid w:val="00947D7B"/>
    <w:rsid w:val="009520B6"/>
    <w:rsid w:val="0095790A"/>
    <w:rsid w:val="009D4B88"/>
    <w:rsid w:val="00A158A4"/>
    <w:rsid w:val="00A21109"/>
    <w:rsid w:val="00A61937"/>
    <w:rsid w:val="00A80AD5"/>
    <w:rsid w:val="00B43CB3"/>
    <w:rsid w:val="00C020F2"/>
    <w:rsid w:val="00CC7EA1"/>
    <w:rsid w:val="00D6181D"/>
    <w:rsid w:val="00D763A4"/>
    <w:rsid w:val="00E06D2A"/>
    <w:rsid w:val="00F30ABC"/>
    <w:rsid w:val="00F8692C"/>
    <w:rsid w:val="04690061"/>
    <w:rsid w:val="04D3533C"/>
    <w:rsid w:val="052E6666"/>
    <w:rsid w:val="061868F7"/>
    <w:rsid w:val="0CAA52EE"/>
    <w:rsid w:val="10A265FB"/>
    <w:rsid w:val="11812353"/>
    <w:rsid w:val="169A3761"/>
    <w:rsid w:val="16F67DD0"/>
    <w:rsid w:val="182526F8"/>
    <w:rsid w:val="1842374C"/>
    <w:rsid w:val="1B2F7EE3"/>
    <w:rsid w:val="1BAC5276"/>
    <w:rsid w:val="1C117A0A"/>
    <w:rsid w:val="1D3D5AB4"/>
    <w:rsid w:val="1DEE4D25"/>
    <w:rsid w:val="1E4B5101"/>
    <w:rsid w:val="1F73436B"/>
    <w:rsid w:val="1FE105BE"/>
    <w:rsid w:val="22C34614"/>
    <w:rsid w:val="234C712C"/>
    <w:rsid w:val="24C6441A"/>
    <w:rsid w:val="2663655C"/>
    <w:rsid w:val="26F23C90"/>
    <w:rsid w:val="272B0CFF"/>
    <w:rsid w:val="278B5A53"/>
    <w:rsid w:val="292C3AAD"/>
    <w:rsid w:val="2A930A9D"/>
    <w:rsid w:val="2C8B2374"/>
    <w:rsid w:val="2D2D1B55"/>
    <w:rsid w:val="2D537B02"/>
    <w:rsid w:val="2FFA26CA"/>
    <w:rsid w:val="316943CB"/>
    <w:rsid w:val="31833576"/>
    <w:rsid w:val="31C212BD"/>
    <w:rsid w:val="32993FF7"/>
    <w:rsid w:val="33350C68"/>
    <w:rsid w:val="33C7216A"/>
    <w:rsid w:val="352B7D81"/>
    <w:rsid w:val="3680381B"/>
    <w:rsid w:val="37C00E3B"/>
    <w:rsid w:val="37C332DB"/>
    <w:rsid w:val="383320AD"/>
    <w:rsid w:val="39816765"/>
    <w:rsid w:val="39EE7A9E"/>
    <w:rsid w:val="3B3759D6"/>
    <w:rsid w:val="42181B5C"/>
    <w:rsid w:val="44DB7BCF"/>
    <w:rsid w:val="45706A00"/>
    <w:rsid w:val="4605594F"/>
    <w:rsid w:val="493172F6"/>
    <w:rsid w:val="498207F7"/>
    <w:rsid w:val="504E696A"/>
    <w:rsid w:val="50965464"/>
    <w:rsid w:val="526F0CB1"/>
    <w:rsid w:val="53B87967"/>
    <w:rsid w:val="547E3765"/>
    <w:rsid w:val="57206272"/>
    <w:rsid w:val="57D1734B"/>
    <w:rsid w:val="592B6568"/>
    <w:rsid w:val="5A2261EF"/>
    <w:rsid w:val="5AF93176"/>
    <w:rsid w:val="5E94179D"/>
    <w:rsid w:val="60862576"/>
    <w:rsid w:val="62956881"/>
    <w:rsid w:val="641D451E"/>
    <w:rsid w:val="657B402C"/>
    <w:rsid w:val="66F04F3D"/>
    <w:rsid w:val="68976726"/>
    <w:rsid w:val="68982471"/>
    <w:rsid w:val="6AE22D41"/>
    <w:rsid w:val="6D132EBE"/>
    <w:rsid w:val="6F056630"/>
    <w:rsid w:val="6FD636CB"/>
    <w:rsid w:val="70866DBB"/>
    <w:rsid w:val="7516659C"/>
    <w:rsid w:val="75DD32F0"/>
    <w:rsid w:val="76D2788D"/>
    <w:rsid w:val="773A76B2"/>
    <w:rsid w:val="79AC5605"/>
    <w:rsid w:val="7A63177F"/>
    <w:rsid w:val="7C2C174C"/>
    <w:rsid w:val="7D2D09E3"/>
    <w:rsid w:val="7FA5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qFormat/>
    <w:uiPriority w:val="1"/>
    <w:pPr>
      <w:numPr>
        <w:ilvl w:val="4"/>
        <w:numId w:val="1"/>
      </w:numPr>
      <w:outlineLvl w:val="4"/>
    </w:pPr>
    <w:rPr>
      <w:b/>
      <w:bCs/>
      <w:sz w:val="28"/>
      <w:szCs w:val="28"/>
    </w:rPr>
  </w:style>
  <w:style w:type="paragraph" w:styleId="8">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415"/>
    </w:pPr>
    <w:rPr>
      <w:sz w:val="28"/>
      <w:szCs w:val="28"/>
    </w:rPr>
  </w:style>
  <w:style w:type="paragraph" w:styleId="12">
    <w:name w:val="Normal Indent"/>
    <w:basedOn w:val="1"/>
    <w:qFormat/>
    <w:uiPriority w:val="0"/>
    <w:pPr>
      <w:widowControl w:val="0"/>
      <w:spacing w:after="0"/>
      <w:ind w:firstLine="420" w:firstLineChars="200"/>
      <w:jc w:val="both"/>
    </w:pPr>
    <w:rPr>
      <w:rFonts w:ascii="Times New Roman" w:hAnsi="Times New Roman" w:eastAsia="宋体" w:cs="Times New Roman"/>
      <w:kern w:val="2"/>
      <w:sz w:val="21"/>
      <w:lang w:val="en-US" w:eastAsia="zh-CN" w:bidi="ar-SA"/>
    </w:rPr>
  </w:style>
  <w:style w:type="paragraph" w:styleId="13">
    <w:name w:val="footer"/>
    <w:basedOn w:val="1"/>
    <w:link w:val="19"/>
    <w:qFormat/>
    <w:uiPriority w:val="0"/>
    <w:pPr>
      <w:tabs>
        <w:tab w:val="center" w:pos="4153"/>
        <w:tab w:val="right" w:pos="8306"/>
      </w:tabs>
      <w:snapToGrid w:val="0"/>
    </w:pPr>
    <w:rPr>
      <w:sz w:val="18"/>
      <w:szCs w:val="18"/>
    </w:rPr>
  </w:style>
  <w:style w:type="paragraph" w:styleId="1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font31"/>
    <w:qFormat/>
    <w:uiPriority w:val="0"/>
    <w:rPr>
      <w:rFonts w:hint="eastAsia" w:ascii="微软雅黑" w:hAnsi="微软雅黑" w:eastAsia="微软雅黑" w:cs="微软雅黑"/>
      <w:b/>
      <w:color w:val="000000"/>
      <w:sz w:val="18"/>
      <w:szCs w:val="18"/>
      <w:u w:val="none"/>
    </w:rPr>
  </w:style>
  <w:style w:type="character" w:customStyle="1" w:styleId="18">
    <w:name w:val="页眉 Char"/>
    <w:basedOn w:val="16"/>
    <w:link w:val="14"/>
    <w:qFormat/>
    <w:uiPriority w:val="0"/>
    <w:rPr>
      <w:rFonts w:ascii="仿宋" w:hAnsi="仿宋" w:eastAsia="仿宋" w:cs="仿宋"/>
      <w:sz w:val="18"/>
      <w:szCs w:val="18"/>
      <w:lang w:val="zh-CN" w:bidi="zh-CN"/>
    </w:rPr>
  </w:style>
  <w:style w:type="character" w:customStyle="1" w:styleId="19">
    <w:name w:val="页脚 Char"/>
    <w:basedOn w:val="16"/>
    <w:link w:val="13"/>
    <w:qFormat/>
    <w:uiPriority w:val="0"/>
    <w:rPr>
      <w:rFonts w:ascii="仿宋" w:hAnsi="仿宋" w:eastAsia="仿宋" w:cs="仿宋"/>
      <w:sz w:val="18"/>
      <w:szCs w:val="18"/>
      <w:lang w:val="zh-CN" w:bidi="zh-CN"/>
    </w:rPr>
  </w:style>
  <w:style w:type="paragraph" w:customStyle="1"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1828</Words>
  <Characters>1872</Characters>
  <Lines>14</Lines>
  <Paragraphs>3</Paragraphs>
  <TotalTime>17</TotalTime>
  <ScaleCrop>false</ScaleCrop>
  <LinksUpToDate>false</LinksUpToDate>
  <CharactersWithSpaces>1872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2022-02-21T01:57:00Z</dcterms:created>
  <dc:creator>古都男爵</dc:creator>
  <cp:lastModifiedBy>Hello猫</cp:lastModifiedBy>
  <cp:lastPrinted>2023-06-14T09:33:00Z</cp:lastPrinted>
  <dcterms:modified xsi:type="dcterms:W3CDTF">2023-07-24T09:04:34Z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564C66FBB43C465DBE04181A10F7BCEE_13</vt:lpwstr>
  </property>
</Properties>
</file>