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 w:val="left" w:pos="5145"/>
        </w:tabs>
        <w:spacing w:line="360" w:lineRule="auto"/>
        <w:ind w:firstLine="151" w:firstLineChars="50"/>
        <w:rPr>
          <w:rFonts w:hint="eastAsia" w:ascii="宋体" w:hAnsi="宋体" w:eastAsia="宋体" w:cs="宋体"/>
          <w:b/>
          <w:sz w:val="28"/>
          <w:szCs w:val="28"/>
          <w:highlight w:val="none"/>
          <w:lang w:eastAsia="zh-CN"/>
        </w:rPr>
      </w:pPr>
      <w:r>
        <w:rPr>
          <w:rFonts w:hint="eastAsia" w:ascii="宋体" w:hAnsi="宋体" w:cs="宋体"/>
          <w:b/>
          <w:sz w:val="30"/>
          <w:szCs w:val="30"/>
          <w:highlight w:val="none"/>
        </w:rPr>
        <w:t>项目编号:</w:t>
      </w:r>
      <w:r>
        <w:rPr>
          <w:rFonts w:hint="eastAsia" w:ascii="宋体" w:hAnsi="宋体" w:cs="宋体"/>
          <w:b/>
          <w:sz w:val="30"/>
          <w:szCs w:val="30"/>
          <w:highlight w:val="none"/>
          <w:lang w:eastAsia="zh-CN"/>
        </w:rPr>
        <w:t>ZYXCG-20230106</w:t>
      </w:r>
    </w:p>
    <w:p>
      <w:pPr>
        <w:tabs>
          <w:tab w:val="left" w:pos="4620"/>
          <w:tab w:val="left" w:pos="5145"/>
        </w:tabs>
        <w:spacing w:before="100" w:beforeAutospacing="1" w:after="100" w:afterAutospacing="1" w:line="360" w:lineRule="auto"/>
        <w:ind w:firstLine="10" w:firstLineChars="50"/>
        <w:outlineLvl w:val="0"/>
        <w:rPr>
          <w:rFonts w:ascii="宋体" w:hAnsi="宋体" w:cs="宋体"/>
          <w:b/>
          <w:sz w:val="2"/>
          <w:szCs w:val="30"/>
          <w:highlight w:val="none"/>
        </w:rPr>
      </w:pPr>
    </w:p>
    <w:p>
      <w:pPr>
        <w:pStyle w:val="2"/>
        <w:rPr>
          <w:highlight w:val="none"/>
        </w:rPr>
      </w:pPr>
    </w:p>
    <w:p>
      <w:pPr>
        <w:tabs>
          <w:tab w:val="left" w:pos="5145"/>
        </w:tabs>
        <w:spacing w:line="360" w:lineRule="auto"/>
        <w:jc w:val="center"/>
        <w:rPr>
          <w:rFonts w:ascii="宋体" w:hAnsi="宋体" w:cs="宋体"/>
          <w:b/>
          <w:bCs/>
          <w:sz w:val="44"/>
          <w:szCs w:val="44"/>
          <w:highlight w:val="none"/>
        </w:rPr>
      </w:pPr>
      <w:r>
        <w:rPr>
          <w:rFonts w:hint="eastAsia" w:ascii="宋体" w:hAnsi="宋体" w:cs="宋体"/>
          <w:b/>
          <w:sz w:val="44"/>
          <w:szCs w:val="52"/>
          <w:highlight w:val="none"/>
          <w:lang w:eastAsia="zh-CN"/>
        </w:rPr>
        <w:t>陕西省公路局新增普通省道危旧桥梁（隧）技术状况评定项目</w:t>
      </w:r>
    </w:p>
    <w:p>
      <w:pPr>
        <w:pStyle w:val="5"/>
        <w:rPr>
          <w:rFonts w:ascii="宋体" w:hAnsi="宋体" w:cs="宋体"/>
          <w:sz w:val="44"/>
          <w:szCs w:val="44"/>
          <w:highlight w:val="none"/>
        </w:rPr>
      </w:pPr>
    </w:p>
    <w:p>
      <w:pPr>
        <w:rPr>
          <w:rFonts w:ascii="宋体" w:hAnsi="宋体" w:cs="宋体"/>
          <w:highlight w:val="none"/>
        </w:rPr>
      </w:pPr>
    </w:p>
    <w:p>
      <w:pPr>
        <w:pStyle w:val="2"/>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pPr>
        <w:rPr>
          <w:rFonts w:ascii="宋体" w:hAnsi="宋体" w:cs="宋体"/>
          <w:highlight w:val="none"/>
        </w:rPr>
      </w:pPr>
    </w:p>
    <w:p>
      <w:pPr>
        <w:pStyle w:val="2"/>
        <w:tabs>
          <w:tab w:val="left" w:pos="6989"/>
        </w:tabs>
        <w:rPr>
          <w:rFonts w:hint="eastAsia" w:ascii="宋体" w:hAnsi="宋体" w:eastAsia="宋体" w:cs="宋体"/>
          <w:highlight w:val="none"/>
          <w:lang w:eastAsia="zh-CN"/>
        </w:rPr>
      </w:pPr>
      <w:r>
        <w:rPr>
          <w:rFonts w:hint="eastAsia" w:ascii="宋体" w:hAnsi="宋体" w:cs="宋体"/>
          <w:highlight w:val="none"/>
          <w:lang w:eastAsia="zh-CN"/>
        </w:rPr>
        <w:tab/>
      </w:r>
    </w:p>
    <w:p>
      <w:pPr>
        <w:rPr>
          <w:highlight w:val="none"/>
        </w:rPr>
      </w:pPr>
    </w:p>
    <w:p>
      <w:pPr>
        <w:pStyle w:val="5"/>
        <w:rPr>
          <w:rFonts w:ascii="宋体" w:hAnsi="宋体" w:cs="宋体"/>
          <w:highlight w:val="none"/>
        </w:rPr>
      </w:pPr>
    </w:p>
    <w:p>
      <w:pPr>
        <w:tabs>
          <w:tab w:val="left" w:pos="5145"/>
        </w:tabs>
        <w:spacing w:line="360" w:lineRule="auto"/>
        <w:jc w:val="center"/>
        <w:rPr>
          <w:rFonts w:ascii="宋体" w:hAnsi="宋体" w:cs="宋体"/>
          <w:b/>
          <w:bCs/>
          <w:sz w:val="64"/>
          <w:szCs w:val="56"/>
          <w:highlight w:val="none"/>
        </w:rPr>
      </w:pPr>
      <w:r>
        <w:rPr>
          <w:rFonts w:hint="eastAsia" w:ascii="宋体" w:hAnsi="宋体" w:cs="宋体"/>
          <w:b/>
          <w:bCs/>
          <w:sz w:val="64"/>
          <w:szCs w:val="56"/>
          <w:highlight w:val="none"/>
        </w:rPr>
        <w:t>竞争性磋商文件</w:t>
      </w:r>
    </w:p>
    <w:p>
      <w:pPr>
        <w:tabs>
          <w:tab w:val="left" w:pos="5145"/>
        </w:tabs>
        <w:spacing w:line="360" w:lineRule="auto"/>
        <w:jc w:val="center"/>
        <w:rPr>
          <w:rFonts w:ascii="宋体" w:hAnsi="宋体" w:cs="宋体"/>
          <w:sz w:val="24"/>
          <w:highlight w:val="none"/>
        </w:rPr>
      </w:pPr>
    </w:p>
    <w:p>
      <w:pPr>
        <w:pStyle w:val="5"/>
        <w:rPr>
          <w:rFonts w:ascii="宋体" w:hAnsi="宋体" w:cs="宋体"/>
          <w:highlight w:val="none"/>
        </w:rPr>
      </w:pPr>
    </w:p>
    <w:p>
      <w:pPr>
        <w:tabs>
          <w:tab w:val="left" w:pos="5145"/>
        </w:tabs>
        <w:spacing w:line="360" w:lineRule="auto"/>
        <w:jc w:val="center"/>
        <w:rPr>
          <w:rFonts w:ascii="宋体" w:hAnsi="宋体" w:cs="宋体"/>
          <w:b/>
          <w:sz w:val="28"/>
          <w:szCs w:val="28"/>
          <w:highlight w:val="none"/>
        </w:rPr>
      </w:pPr>
    </w:p>
    <w:p>
      <w:pPr>
        <w:tabs>
          <w:tab w:val="left" w:pos="5145"/>
        </w:tabs>
        <w:spacing w:line="360" w:lineRule="auto"/>
        <w:jc w:val="center"/>
        <w:rPr>
          <w:rFonts w:ascii="宋体" w:hAnsi="宋体" w:cs="宋体"/>
          <w:b/>
          <w:sz w:val="28"/>
          <w:szCs w:val="28"/>
          <w:highlight w:val="none"/>
        </w:rPr>
      </w:pPr>
    </w:p>
    <w:p>
      <w:pPr>
        <w:tabs>
          <w:tab w:val="left" w:pos="7272"/>
        </w:tabs>
        <w:snapToGrid w:val="0"/>
        <w:spacing w:line="360" w:lineRule="auto"/>
        <w:ind w:firstLine="1590" w:firstLineChars="495"/>
        <w:rPr>
          <w:rFonts w:hint="eastAsia" w:ascii="宋体" w:hAnsi="宋体" w:eastAsia="宋体" w:cs="宋体"/>
          <w:b/>
          <w:sz w:val="32"/>
          <w:highlight w:val="none"/>
          <w:lang w:eastAsia="zh-CN"/>
        </w:rPr>
      </w:pPr>
      <w:r>
        <w:rPr>
          <w:rFonts w:hint="eastAsia" w:ascii="宋体" w:hAnsi="宋体" w:cs="宋体"/>
          <w:b/>
          <w:sz w:val="32"/>
          <w:highlight w:val="none"/>
          <w:lang w:eastAsia="zh-CN"/>
        </w:rPr>
        <w:tab/>
      </w:r>
    </w:p>
    <w:p>
      <w:pPr>
        <w:pStyle w:val="5"/>
        <w:rPr>
          <w:rFonts w:ascii="宋体" w:hAnsi="宋体" w:cs="宋体"/>
          <w:highlight w:val="none"/>
        </w:rPr>
      </w:pPr>
    </w:p>
    <w:p>
      <w:pPr>
        <w:snapToGrid w:val="0"/>
        <w:spacing w:line="360" w:lineRule="auto"/>
        <w:ind w:firstLine="1590" w:firstLineChars="495"/>
        <w:rPr>
          <w:rFonts w:ascii="宋体" w:hAnsi="宋体" w:cs="宋体"/>
          <w:b/>
          <w:sz w:val="32"/>
          <w:highlight w:val="none"/>
        </w:rPr>
      </w:pPr>
    </w:p>
    <w:p>
      <w:pPr>
        <w:spacing w:line="800" w:lineRule="exact"/>
        <w:jc w:val="center"/>
        <w:rPr>
          <w:rFonts w:hint="eastAsia" w:ascii="宋体" w:hAnsi="宋体" w:cs="宋体"/>
          <w:b/>
          <w:bCs/>
          <w:sz w:val="40"/>
          <w:szCs w:val="40"/>
          <w:highlight w:val="none"/>
          <w:lang w:eastAsia="zh-CN"/>
        </w:rPr>
      </w:pPr>
      <w:r>
        <w:rPr>
          <w:rFonts w:hint="eastAsia" w:ascii="宋体" w:hAnsi="宋体" w:cs="宋体"/>
          <w:b/>
          <w:bCs/>
          <w:sz w:val="40"/>
          <w:szCs w:val="40"/>
          <w:highlight w:val="none"/>
          <w:lang w:eastAsia="zh-CN"/>
        </w:rPr>
        <w:t>陕西正宇信工程项目管理有限公司</w:t>
      </w:r>
    </w:p>
    <w:p>
      <w:pPr>
        <w:spacing w:line="800" w:lineRule="exact"/>
        <w:jc w:val="center"/>
        <w:rPr>
          <w:rFonts w:ascii="宋体" w:hAnsi="宋体" w:cs="宋体"/>
          <w:b/>
          <w:sz w:val="36"/>
          <w:szCs w:val="36"/>
          <w:highlight w:val="none"/>
        </w:rPr>
      </w:pPr>
      <w:r>
        <w:rPr>
          <w:rFonts w:hint="eastAsia" w:ascii="宋体" w:hAnsi="宋体" w:cs="宋体"/>
          <w:b/>
          <w:bCs/>
          <w:sz w:val="40"/>
          <w:szCs w:val="40"/>
          <w:highlight w:val="none"/>
        </w:rPr>
        <w:t>二〇二</w:t>
      </w:r>
      <w:r>
        <w:rPr>
          <w:rFonts w:hint="eastAsia" w:ascii="宋体" w:hAnsi="宋体" w:cs="宋体"/>
          <w:b/>
          <w:bCs/>
          <w:sz w:val="40"/>
          <w:szCs w:val="40"/>
          <w:highlight w:val="none"/>
          <w:lang w:val="en-US" w:eastAsia="zh-CN"/>
        </w:rPr>
        <w:t>三</w:t>
      </w:r>
      <w:r>
        <w:rPr>
          <w:rFonts w:hint="eastAsia" w:ascii="宋体" w:hAnsi="宋体" w:cs="宋体"/>
          <w:b/>
          <w:bCs/>
          <w:sz w:val="40"/>
          <w:szCs w:val="40"/>
          <w:highlight w:val="none"/>
        </w:rPr>
        <w:t>年</w:t>
      </w:r>
      <w:r>
        <w:rPr>
          <w:rFonts w:hint="eastAsia" w:ascii="宋体" w:hAnsi="宋体" w:cs="宋体"/>
          <w:b/>
          <w:bCs/>
          <w:sz w:val="40"/>
          <w:szCs w:val="40"/>
          <w:highlight w:val="none"/>
          <w:lang w:val="en-US" w:eastAsia="zh-CN"/>
        </w:rPr>
        <w:t>七</w:t>
      </w:r>
      <w:r>
        <w:rPr>
          <w:rFonts w:hint="eastAsia" w:ascii="宋体" w:hAnsi="宋体" w:cs="宋体"/>
          <w:b/>
          <w:bCs/>
          <w:sz w:val="40"/>
          <w:szCs w:val="40"/>
          <w:highlight w:val="none"/>
        </w:rPr>
        <w:t>月</w:t>
      </w:r>
      <w:bookmarkStart w:id="0" w:name="_Toc21955"/>
      <w:bookmarkStart w:id="1" w:name="_Toc495908398"/>
      <w:bookmarkStart w:id="2" w:name="_Toc519156735"/>
      <w:bookmarkStart w:id="3" w:name="_Toc268"/>
    </w:p>
    <w:p>
      <w:pPr>
        <w:jc w:val="center"/>
        <w:rPr>
          <w:rFonts w:hint="eastAsia" w:ascii="宋体" w:hAnsi="宋体" w:cs="宋体"/>
          <w:b/>
          <w:bCs/>
          <w:sz w:val="32"/>
          <w:szCs w:val="32"/>
          <w:highlight w:val="none"/>
        </w:rPr>
        <w:sectPr>
          <w:headerReference r:id="rId6" w:type="first"/>
          <w:headerReference r:id="rId5" w:type="default"/>
          <w:pgSz w:w="11906" w:h="16838"/>
          <w:pgMar w:top="1417" w:right="1417" w:bottom="1417" w:left="1417" w:header="850" w:footer="992" w:gutter="0"/>
          <w:pgNumType w:fmt="decimal" w:start="1"/>
          <w:cols w:space="0" w:num="1"/>
          <w:titlePg/>
          <w:rtlGutter w:val="0"/>
          <w:docGrid w:type="lines" w:linePitch="312" w:charSpace="0"/>
        </w:sectPr>
      </w:pPr>
    </w:p>
    <w:p>
      <w:pPr>
        <w:jc w:val="center"/>
        <w:rPr>
          <w:rFonts w:ascii="宋体" w:hAnsi="宋体" w:cs="宋体"/>
          <w:b/>
          <w:bCs/>
          <w:sz w:val="32"/>
          <w:szCs w:val="32"/>
          <w:highlight w:val="none"/>
        </w:rPr>
      </w:pPr>
      <w:r>
        <w:rPr>
          <w:rFonts w:hint="eastAsia" w:ascii="宋体" w:hAnsi="宋体" w:cs="宋体"/>
          <w:b/>
          <w:bCs/>
          <w:sz w:val="32"/>
          <w:szCs w:val="32"/>
          <w:highlight w:val="none"/>
        </w:rPr>
        <w:t>目录</w:t>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_Toc24116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第一部分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_Toc24116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_Toc9719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第二部分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_Toc9719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_Toc25812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一．名词解释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_Toc25812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_Toc10811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二．磋商供应商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_Toc18111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三．磋商文件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_Toc18111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_Toc4855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四．磋商要求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_Toc4855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_Toc20787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五．磋商响应文件封装、递交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_Toc20787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_Toc21830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六．磋商、澄清、成交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_Toc22120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七.确定成交人、成交通知与签约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_Toc3550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八．成交服务费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_Toc19992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九.质疑与投诉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_Toc19992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_Toc21510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十.其他事项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_Toc21510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第三部分 磋商要求及说明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_Toc16152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_Toc21826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第四部分  商务及合同主要条款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_Toc25300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第五部分  评审办法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_Toc25300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第六部分  竞争性磋商响应文件格式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_Toc14777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一、磋商函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_Toc14777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_Toc27570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二、法定代表人证明书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_Toc27570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_Toc16330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三、法人授权委托书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_Toc16330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_Toc30190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四、报价表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_Toc30190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_Toc10990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五、近</w:t>
      </w:r>
      <w:r>
        <w:rPr>
          <w:rFonts w:hint="eastAsia" w:ascii="宋体" w:hAnsi="宋体" w:eastAsia="宋体" w:cs="宋体"/>
          <w:bCs/>
          <w:sz w:val="24"/>
          <w:szCs w:val="24"/>
          <w:highlight w:val="none"/>
          <w:lang w:val="en-US" w:eastAsia="zh-CN"/>
        </w:rPr>
        <w:t>三</w:t>
      </w:r>
      <w:r>
        <w:rPr>
          <w:rFonts w:hint="eastAsia" w:ascii="宋体" w:hAnsi="宋体" w:eastAsia="宋体" w:cs="宋体"/>
          <w:bCs/>
          <w:sz w:val="24"/>
          <w:szCs w:val="24"/>
          <w:highlight w:val="none"/>
        </w:rPr>
        <w:t>年承接的类似项目情况表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_Toc10990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_Toc31129 </w:instrText>
      </w:r>
      <w:r>
        <w:rPr>
          <w:rFonts w:hint="eastAsia" w:ascii="宋体" w:hAnsi="宋体" w:eastAsia="宋体" w:cs="宋体"/>
          <w:sz w:val="24"/>
          <w:szCs w:val="24"/>
          <w:highlight w:val="none"/>
        </w:rPr>
        <w:fldChar w:fldCharType="separate"/>
      </w:r>
      <w:r>
        <w:rPr>
          <w:rFonts w:hint="eastAsia" w:ascii="宋体" w:hAnsi="宋体" w:eastAsia="宋体" w:cs="宋体"/>
          <w:bCs/>
          <w:kern w:val="2"/>
          <w:sz w:val="24"/>
          <w:szCs w:val="24"/>
          <w:highlight w:val="none"/>
        </w:rPr>
        <w:t>六、技术组织方案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_Toc31129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_Toc10437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七、技术和商务响应说明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_Toc23847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八、资格证明文件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_Toc23847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 </w:instrText>
      </w:r>
      <w:r>
        <w:rPr>
          <w:rFonts w:hint="eastAsia" w:ascii="宋体" w:hAnsi="宋体" w:eastAsia="宋体" w:cs="宋体"/>
          <w:sz w:val="24"/>
          <w:szCs w:val="24"/>
          <w:highlight w:val="none"/>
        </w:rPr>
        <w:fldChar w:fldCharType="separate"/>
      </w:r>
      <w:r>
        <w:rPr>
          <w:rFonts w:hint="eastAsia" w:ascii="宋体" w:hAnsi="宋体" w:eastAsia="宋体" w:cs="宋体"/>
          <w:bCs/>
          <w:kern w:val="2"/>
          <w:sz w:val="24"/>
          <w:szCs w:val="24"/>
          <w:highlight w:val="none"/>
        </w:rPr>
        <w:t>九、其他资料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9"/>
        <w:keepNext w:val="0"/>
        <w:keepLines w:val="0"/>
        <w:pageBreakBefore w:val="0"/>
        <w:widowControl w:val="0"/>
        <w:tabs>
          <w:tab w:val="right" w:leader="hyphen" w:pos="9016"/>
        </w:tabs>
        <w:kinsoku/>
        <w:wordWrap/>
        <w:overflowPunct/>
        <w:topLinePunct w:val="0"/>
        <w:autoSpaceDE/>
        <w:autoSpaceDN/>
        <w:bidi w:val="0"/>
        <w:adjustRightInd/>
        <w:snapToGrid/>
        <w:spacing w:line="360" w:lineRule="auto"/>
        <w:ind w:left="0" w:leftChars="0"/>
        <w:jc w:val="center"/>
        <w:textAlignment w:val="auto"/>
        <w:rPr>
          <w:rFonts w:ascii="宋体" w:hAnsi="宋体" w:cs="宋体"/>
          <w:sz w:val="24"/>
          <w:highlight w:val="none"/>
        </w:rPr>
        <w:sectPr>
          <w:headerReference r:id="rId8" w:type="first"/>
          <w:footerReference r:id="rId10" w:type="first"/>
          <w:headerReference r:id="rId7" w:type="default"/>
          <w:footerReference r:id="rId9" w:type="default"/>
          <w:pgSz w:w="11906" w:h="16838"/>
          <w:pgMar w:top="1417" w:right="1417" w:bottom="1417" w:left="1417" w:header="850" w:footer="992" w:gutter="0"/>
          <w:pgNumType w:fmt="decimal" w:start="1"/>
          <w:cols w:space="0" w:num="1"/>
          <w:titlePg/>
          <w:rtlGutter w:val="0"/>
          <w:docGrid w:type="lines" w:linePitch="312" w:charSpace="0"/>
        </w:sectPr>
      </w:pPr>
      <w:r>
        <w:rPr>
          <w:rFonts w:hint="eastAsia" w:ascii="宋体" w:hAnsi="宋体" w:eastAsia="宋体" w:cs="宋体"/>
          <w:sz w:val="24"/>
          <w:szCs w:val="24"/>
          <w:highlight w:val="none"/>
        </w:rPr>
        <w:fldChar w:fldCharType="end"/>
      </w:r>
    </w:p>
    <w:p>
      <w:pPr>
        <w:pStyle w:val="19"/>
        <w:tabs>
          <w:tab w:val="right" w:leader="hyphen" w:pos="9016"/>
        </w:tabs>
        <w:spacing w:line="360" w:lineRule="auto"/>
        <w:ind w:left="0" w:leftChars="0"/>
        <w:jc w:val="center"/>
        <w:outlineLvl w:val="0"/>
        <w:rPr>
          <w:rFonts w:ascii="宋体" w:hAnsi="宋体" w:cs="宋体"/>
          <w:b/>
          <w:bCs/>
          <w:sz w:val="32"/>
          <w:szCs w:val="32"/>
          <w:highlight w:val="none"/>
        </w:rPr>
      </w:pPr>
      <w:bookmarkStart w:id="4" w:name="_Toc3318"/>
      <w:bookmarkStart w:id="5" w:name="_Toc24116"/>
      <w:r>
        <w:rPr>
          <w:rFonts w:hint="eastAsia" w:ascii="宋体" w:hAnsi="宋体" w:cs="宋体"/>
          <w:b/>
          <w:bCs/>
          <w:sz w:val="32"/>
          <w:szCs w:val="32"/>
          <w:highlight w:val="none"/>
        </w:rPr>
        <w:t>第一部分  竞争性磋商公告</w:t>
      </w:r>
      <w:bookmarkEnd w:id="0"/>
      <w:bookmarkEnd w:id="1"/>
      <w:bookmarkEnd w:id="2"/>
      <w:bookmarkEnd w:id="3"/>
      <w:bookmarkEnd w:id="4"/>
      <w:bookmarkEnd w:id="5"/>
    </w:p>
    <w:p>
      <w:pPr>
        <w:pStyle w:val="20"/>
        <w:spacing w:beforeAutospacing="0" w:afterAutospacing="0" w:line="500" w:lineRule="exact"/>
        <w:rPr>
          <w:b/>
          <w:bCs/>
          <w:color w:val="333333"/>
          <w:highlight w:val="none"/>
          <w:shd w:val="clear" w:color="auto" w:fill="FFFFFF"/>
        </w:rPr>
      </w:pPr>
      <w:bookmarkStart w:id="6" w:name="_Toc28842"/>
      <w:bookmarkStart w:id="7" w:name="_Toc519156736"/>
      <w:bookmarkStart w:id="8" w:name="_Toc7581"/>
      <w:bookmarkStart w:id="9" w:name="_Toc495908399"/>
      <w:bookmarkStart w:id="10" w:name="_Toc8474"/>
      <w:bookmarkStart w:id="11" w:name="_Toc26933"/>
      <w:r>
        <w:rPr>
          <w:rFonts w:hint="eastAsia"/>
          <w:b/>
          <w:bCs/>
          <w:color w:val="333333"/>
          <w:highlight w:val="none"/>
          <w:shd w:val="clear" w:color="auto" w:fill="FFFFFF"/>
        </w:rPr>
        <w:t>项目概况</w:t>
      </w:r>
    </w:p>
    <w:p>
      <w:pPr>
        <w:pStyle w:val="20"/>
        <w:spacing w:beforeAutospacing="0" w:afterAutospacing="0" w:line="500" w:lineRule="exact"/>
        <w:ind w:firstLine="420"/>
        <w:rPr>
          <w:color w:val="333333"/>
          <w:highlight w:val="none"/>
          <w:shd w:val="clear" w:color="auto" w:fill="FFFFFF"/>
        </w:rPr>
      </w:pPr>
      <w:r>
        <w:rPr>
          <w:rFonts w:hint="eastAsia"/>
          <w:color w:val="333333"/>
          <w:highlight w:val="none"/>
          <w:shd w:val="clear" w:color="auto" w:fill="FFFFFF"/>
          <w:lang w:val="en-US" w:eastAsia="zh-CN"/>
        </w:rPr>
        <w:t>陕西省公路局新增普通省道危旧桥梁（隧) 技术状况评定项目</w:t>
      </w:r>
      <w:r>
        <w:rPr>
          <w:rFonts w:hint="eastAsia"/>
          <w:color w:val="333333"/>
          <w:highlight w:val="none"/>
          <w:shd w:val="clear" w:color="auto" w:fill="FFFFFF"/>
        </w:rPr>
        <w:t>潜在供应商应在</w:t>
      </w:r>
      <w:r>
        <w:rPr>
          <w:rFonts w:hint="eastAsia"/>
          <w:color w:val="333333"/>
          <w:highlight w:val="none"/>
          <w:shd w:val="clear" w:color="auto" w:fill="FFFFFF"/>
          <w:lang w:eastAsia="zh-CN"/>
        </w:rPr>
        <w:t>西安市航天基地飞天路北航科技园5号楼1单元2楼</w:t>
      </w:r>
      <w:r>
        <w:rPr>
          <w:rFonts w:hint="eastAsia"/>
          <w:color w:val="333333"/>
          <w:highlight w:val="none"/>
          <w:shd w:val="clear" w:color="auto" w:fill="FFFFFF"/>
        </w:rPr>
        <w:t>获取采购文件，并于202</w:t>
      </w:r>
      <w:r>
        <w:rPr>
          <w:rFonts w:hint="eastAsia"/>
          <w:color w:val="333333"/>
          <w:highlight w:val="none"/>
          <w:shd w:val="clear" w:color="auto" w:fill="FFFFFF"/>
          <w:lang w:val="en-US" w:eastAsia="zh-CN"/>
        </w:rPr>
        <w:t>3</w:t>
      </w:r>
      <w:r>
        <w:rPr>
          <w:rFonts w:hint="eastAsia"/>
          <w:color w:val="333333"/>
          <w:highlight w:val="none"/>
          <w:shd w:val="clear" w:color="auto" w:fill="FFFFFF"/>
        </w:rPr>
        <w:t>年</w:t>
      </w:r>
      <w:r>
        <w:rPr>
          <w:rFonts w:hint="eastAsia"/>
          <w:color w:val="333333"/>
          <w:highlight w:val="none"/>
          <w:shd w:val="clear" w:color="auto" w:fill="FFFFFF"/>
          <w:lang w:val="en-US" w:eastAsia="zh-CN"/>
        </w:rPr>
        <w:t>07</w:t>
      </w:r>
      <w:r>
        <w:rPr>
          <w:rFonts w:hint="eastAsia"/>
          <w:color w:val="333333"/>
          <w:highlight w:val="none"/>
          <w:shd w:val="clear" w:color="auto" w:fill="FFFFFF"/>
        </w:rPr>
        <w:t>月</w:t>
      </w:r>
      <w:r>
        <w:rPr>
          <w:rFonts w:hint="eastAsia"/>
          <w:color w:val="333333"/>
          <w:highlight w:val="none"/>
          <w:shd w:val="clear" w:color="auto" w:fill="FFFFFF"/>
          <w:lang w:val="en-US" w:eastAsia="zh-CN"/>
        </w:rPr>
        <w:t>19</w:t>
      </w:r>
      <w:r>
        <w:rPr>
          <w:rFonts w:hint="eastAsia"/>
          <w:color w:val="333333"/>
          <w:highlight w:val="none"/>
          <w:shd w:val="clear" w:color="auto" w:fill="FFFFFF"/>
        </w:rPr>
        <w:t>日</w:t>
      </w:r>
      <w:r>
        <w:rPr>
          <w:rFonts w:hint="eastAsia"/>
          <w:color w:val="333333"/>
          <w:highlight w:val="none"/>
          <w:shd w:val="clear" w:color="auto" w:fill="FFFFFF"/>
          <w:lang w:val="en-US" w:eastAsia="zh-CN"/>
        </w:rPr>
        <w:t>10时00分</w:t>
      </w:r>
      <w:r>
        <w:rPr>
          <w:rFonts w:hint="eastAsia"/>
          <w:color w:val="333333"/>
          <w:highlight w:val="none"/>
          <w:shd w:val="clear" w:color="auto" w:fill="FFFFFF"/>
        </w:rPr>
        <w:t>前递交响应文件。</w:t>
      </w:r>
    </w:p>
    <w:p>
      <w:pPr>
        <w:pStyle w:val="20"/>
        <w:spacing w:beforeAutospacing="0" w:afterAutospacing="0" w:line="500" w:lineRule="exact"/>
        <w:rPr>
          <w:b/>
          <w:bCs/>
          <w:color w:val="333333"/>
          <w:highlight w:val="none"/>
          <w:shd w:val="clear" w:color="auto" w:fill="FFFFFF"/>
        </w:rPr>
      </w:pPr>
      <w:r>
        <w:rPr>
          <w:rFonts w:hint="eastAsia"/>
          <w:b/>
          <w:bCs/>
          <w:color w:val="333333"/>
          <w:highlight w:val="none"/>
          <w:shd w:val="clear" w:color="auto" w:fill="FFFFFF"/>
        </w:rPr>
        <w:t>一、项目基本情况：</w:t>
      </w:r>
    </w:p>
    <w:p>
      <w:pPr>
        <w:pStyle w:val="20"/>
        <w:spacing w:beforeAutospacing="0" w:afterAutospacing="0" w:line="500" w:lineRule="exact"/>
        <w:ind w:firstLine="420"/>
        <w:rPr>
          <w:rFonts w:hint="eastAsia" w:eastAsia="宋体"/>
          <w:color w:val="333333"/>
          <w:highlight w:val="none"/>
          <w:shd w:val="clear" w:color="auto" w:fill="FFFFFF"/>
          <w:lang w:eastAsia="zh-CN"/>
        </w:rPr>
      </w:pPr>
      <w:r>
        <w:rPr>
          <w:rFonts w:hint="eastAsia"/>
          <w:color w:val="333333"/>
          <w:highlight w:val="none"/>
          <w:shd w:val="clear" w:color="auto" w:fill="FFFFFF"/>
        </w:rPr>
        <w:t>项目编号：</w:t>
      </w:r>
      <w:r>
        <w:rPr>
          <w:rFonts w:hint="eastAsia"/>
          <w:color w:val="333333"/>
          <w:highlight w:val="none"/>
          <w:shd w:val="clear" w:color="auto" w:fill="FFFFFF"/>
          <w:lang w:eastAsia="zh-CN"/>
        </w:rPr>
        <w:t>ZYXCG-20230106</w:t>
      </w:r>
    </w:p>
    <w:p>
      <w:pPr>
        <w:pStyle w:val="20"/>
        <w:spacing w:beforeAutospacing="0" w:afterAutospacing="0" w:line="500" w:lineRule="exact"/>
        <w:ind w:firstLine="420"/>
        <w:rPr>
          <w:color w:val="333333"/>
          <w:highlight w:val="none"/>
          <w:shd w:val="clear" w:color="auto" w:fill="FFFFFF"/>
        </w:rPr>
      </w:pPr>
      <w:r>
        <w:rPr>
          <w:rFonts w:hint="eastAsia"/>
          <w:color w:val="333333"/>
          <w:highlight w:val="none"/>
          <w:shd w:val="clear" w:color="auto" w:fill="FFFFFF"/>
        </w:rPr>
        <w:t>项目名称：</w:t>
      </w:r>
      <w:r>
        <w:rPr>
          <w:rFonts w:hint="eastAsia"/>
          <w:color w:val="333333"/>
          <w:highlight w:val="none"/>
          <w:shd w:val="clear" w:color="auto" w:fill="FFFFFF"/>
          <w:lang w:val="en-US" w:eastAsia="zh-CN"/>
        </w:rPr>
        <w:t>陕西省公路局新增普通省道危旧桥梁（隧) 技术状况评定项目</w:t>
      </w:r>
    </w:p>
    <w:p>
      <w:pPr>
        <w:pStyle w:val="20"/>
        <w:spacing w:beforeAutospacing="0" w:afterAutospacing="0" w:line="500" w:lineRule="exact"/>
        <w:ind w:firstLine="420"/>
        <w:rPr>
          <w:color w:val="333333"/>
          <w:highlight w:val="none"/>
          <w:shd w:val="clear" w:color="auto" w:fill="FFFFFF"/>
        </w:rPr>
      </w:pPr>
      <w:r>
        <w:rPr>
          <w:rFonts w:hint="eastAsia"/>
          <w:color w:val="333333"/>
          <w:highlight w:val="none"/>
          <w:shd w:val="clear" w:color="auto" w:fill="FFFFFF"/>
        </w:rPr>
        <w:t>预算金额：</w:t>
      </w:r>
      <w:r>
        <w:rPr>
          <w:rFonts w:hint="eastAsia"/>
          <w:color w:val="333333"/>
          <w:highlight w:val="none"/>
          <w:shd w:val="clear" w:color="auto" w:fill="FFFFFF"/>
          <w:lang w:val="en-US" w:eastAsia="zh-CN"/>
        </w:rPr>
        <w:t>156</w:t>
      </w:r>
      <w:r>
        <w:rPr>
          <w:rFonts w:hint="eastAsia"/>
          <w:color w:val="333333"/>
          <w:highlight w:val="none"/>
          <w:shd w:val="clear" w:color="auto" w:fill="FFFFFF"/>
        </w:rPr>
        <w:t>0000.00元</w:t>
      </w:r>
    </w:p>
    <w:p>
      <w:pPr>
        <w:pStyle w:val="20"/>
        <w:spacing w:beforeAutospacing="0" w:afterAutospacing="0" w:line="500" w:lineRule="exact"/>
        <w:ind w:firstLine="420"/>
        <w:rPr>
          <w:rFonts w:hint="eastAsia" w:eastAsia="宋体"/>
          <w:color w:val="333333"/>
          <w:highlight w:val="none"/>
          <w:shd w:val="clear" w:color="auto" w:fill="FFFFFF"/>
          <w:lang w:eastAsia="zh-CN"/>
        </w:rPr>
      </w:pPr>
      <w:r>
        <w:rPr>
          <w:rFonts w:hint="eastAsia"/>
          <w:color w:val="333333"/>
          <w:highlight w:val="none"/>
          <w:shd w:val="clear" w:color="auto" w:fill="FFFFFF"/>
        </w:rPr>
        <w:t>采购需求</w:t>
      </w:r>
      <w:r>
        <w:rPr>
          <w:rFonts w:hint="eastAsia"/>
          <w:color w:val="333333"/>
          <w:highlight w:val="none"/>
          <w:shd w:val="clear" w:color="auto" w:fill="FFFFFF"/>
          <w:lang w:eastAsia="zh-CN"/>
        </w:rPr>
        <w:t>，</w:t>
      </w:r>
    </w:p>
    <w:p>
      <w:pPr>
        <w:pStyle w:val="20"/>
        <w:keepNext w:val="0"/>
        <w:keepLines w:val="0"/>
        <w:pageBreakBefore w:val="0"/>
        <w:kinsoku/>
        <w:overflowPunct/>
        <w:topLinePunct w:val="0"/>
        <w:autoSpaceDE/>
        <w:autoSpaceDN/>
        <w:bidi w:val="0"/>
        <w:adjustRightInd/>
        <w:snapToGrid/>
        <w:spacing w:beforeAutospacing="0" w:afterAutospacing="0" w:line="540" w:lineRule="exact"/>
        <w:ind w:firstLine="420"/>
        <w:rPr>
          <w:rFonts w:hint="eastAsia"/>
          <w:color w:val="333333"/>
          <w:highlight w:val="none"/>
          <w:shd w:val="clear" w:color="auto" w:fill="FFFFFF"/>
          <w:lang w:val="en-US" w:eastAsia="zh-CN"/>
        </w:rPr>
      </w:pPr>
      <w:r>
        <w:rPr>
          <w:rFonts w:hint="eastAsia"/>
          <w:color w:val="333333"/>
          <w:highlight w:val="none"/>
          <w:shd w:val="clear" w:color="auto" w:fill="FFFFFF"/>
        </w:rPr>
        <w:t>合同包</w:t>
      </w:r>
      <w:r>
        <w:rPr>
          <w:rFonts w:hint="eastAsia"/>
          <w:color w:val="333333"/>
          <w:highlight w:val="none"/>
          <w:shd w:val="clear" w:color="auto" w:fill="FFFFFF"/>
          <w:lang w:val="en-US" w:eastAsia="zh-CN"/>
        </w:rPr>
        <w:t>1(JC-1西安、铜川、榆林、延安、渭南、韩城)：</w:t>
      </w:r>
    </w:p>
    <w:p>
      <w:pPr>
        <w:pStyle w:val="20"/>
        <w:keepNext w:val="0"/>
        <w:keepLines w:val="0"/>
        <w:pageBreakBefore w:val="0"/>
        <w:kinsoku/>
        <w:overflowPunct/>
        <w:topLinePunct w:val="0"/>
        <w:autoSpaceDE/>
        <w:autoSpaceDN/>
        <w:bidi w:val="0"/>
        <w:adjustRightInd/>
        <w:snapToGrid/>
        <w:spacing w:beforeAutospacing="0" w:afterAutospacing="0" w:line="540" w:lineRule="exact"/>
        <w:ind w:firstLine="420"/>
        <w:rPr>
          <w:rFonts w:hint="eastAsia"/>
          <w:color w:val="333333"/>
          <w:highlight w:val="none"/>
          <w:shd w:val="clear" w:color="auto" w:fill="FFFFFF"/>
        </w:rPr>
      </w:pPr>
      <w:r>
        <w:rPr>
          <w:rFonts w:hint="eastAsia"/>
          <w:color w:val="333333"/>
          <w:highlight w:val="none"/>
          <w:shd w:val="clear" w:color="auto" w:fill="FFFFFF"/>
        </w:rPr>
        <w:t>合同包预算金额：</w:t>
      </w:r>
      <w:r>
        <w:rPr>
          <w:rFonts w:hint="eastAsia"/>
          <w:color w:val="333333"/>
          <w:highlight w:val="none"/>
          <w:shd w:val="clear" w:color="auto" w:fill="FFFFFF"/>
          <w:lang w:val="en-US" w:eastAsia="zh-CN"/>
        </w:rPr>
        <w:t>820000.00</w:t>
      </w:r>
      <w:r>
        <w:rPr>
          <w:rFonts w:hint="eastAsia"/>
          <w:color w:val="333333"/>
          <w:highlight w:val="none"/>
          <w:shd w:val="clear" w:color="auto" w:fill="FFFFFF"/>
        </w:rPr>
        <w:t>元</w:t>
      </w:r>
    </w:p>
    <w:p>
      <w:pPr>
        <w:pStyle w:val="20"/>
        <w:keepNext w:val="0"/>
        <w:keepLines w:val="0"/>
        <w:pageBreakBefore w:val="0"/>
        <w:kinsoku/>
        <w:overflowPunct/>
        <w:topLinePunct w:val="0"/>
        <w:autoSpaceDE/>
        <w:autoSpaceDN/>
        <w:bidi w:val="0"/>
        <w:adjustRightInd/>
        <w:snapToGrid/>
        <w:spacing w:beforeAutospacing="0" w:afterAutospacing="0" w:line="540" w:lineRule="exact"/>
        <w:ind w:firstLine="420"/>
        <w:rPr>
          <w:rFonts w:hint="eastAsia"/>
          <w:color w:val="333333"/>
          <w:highlight w:val="none"/>
          <w:shd w:val="clear" w:color="auto" w:fill="FFFFFF"/>
        </w:rPr>
      </w:pPr>
      <w:r>
        <w:rPr>
          <w:rFonts w:hint="eastAsia"/>
          <w:color w:val="333333"/>
          <w:highlight w:val="none"/>
          <w:shd w:val="clear" w:color="auto" w:fill="FFFFFF"/>
        </w:rPr>
        <w:t>合同包最高限价：</w:t>
      </w:r>
      <w:r>
        <w:rPr>
          <w:rFonts w:hint="eastAsia"/>
          <w:color w:val="333333"/>
          <w:highlight w:val="none"/>
          <w:shd w:val="clear" w:color="auto" w:fill="FFFFFF"/>
          <w:lang w:val="en-US" w:eastAsia="zh-CN"/>
        </w:rPr>
        <w:t>820000.00</w:t>
      </w:r>
      <w:r>
        <w:rPr>
          <w:rFonts w:hint="eastAsia"/>
          <w:color w:val="333333"/>
          <w:highlight w:val="none"/>
          <w:shd w:val="clear" w:color="auto" w:fill="FFFFFF"/>
        </w:rPr>
        <w:t>元</w:t>
      </w:r>
    </w:p>
    <w:tbl>
      <w:tblPr>
        <w:tblStyle w:val="23"/>
        <w:tblW w:w="9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25"/>
        <w:gridCol w:w="1128"/>
        <w:gridCol w:w="1435"/>
        <w:gridCol w:w="1050"/>
        <w:gridCol w:w="3055"/>
        <w:gridCol w:w="1144"/>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jc w:val="center"/>
        </w:trPr>
        <w:tc>
          <w:tcPr>
            <w:tcW w:w="7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品目号</w:t>
            </w:r>
          </w:p>
        </w:tc>
        <w:tc>
          <w:tcPr>
            <w:tcW w:w="112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品目名称</w:t>
            </w:r>
          </w:p>
        </w:tc>
        <w:tc>
          <w:tcPr>
            <w:tcW w:w="14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采购标的</w:t>
            </w:r>
          </w:p>
        </w:tc>
        <w:tc>
          <w:tcPr>
            <w:tcW w:w="10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数量（单位）</w:t>
            </w:r>
          </w:p>
        </w:tc>
        <w:tc>
          <w:tcPr>
            <w:tcW w:w="30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技术规格、参数及要求</w:t>
            </w:r>
          </w:p>
        </w:tc>
        <w:tc>
          <w:tcPr>
            <w:tcW w:w="114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kern w:val="0"/>
                <w:sz w:val="21"/>
                <w:szCs w:val="21"/>
                <w:highlight w:val="none"/>
                <w:lang w:val="en-US" w:eastAsia="zh-CN" w:bidi="ar"/>
              </w:rPr>
            </w:pPr>
            <w:r>
              <w:rPr>
                <w:rFonts w:hint="eastAsia" w:ascii="宋体" w:hAnsi="宋体" w:eastAsia="宋体" w:cs="宋体"/>
                <w:b/>
                <w:bCs/>
                <w:i w:val="0"/>
                <w:iCs w:val="0"/>
                <w:caps w:val="0"/>
                <w:color w:val="333333"/>
                <w:spacing w:val="0"/>
                <w:kern w:val="0"/>
                <w:sz w:val="21"/>
                <w:szCs w:val="21"/>
                <w:highlight w:val="none"/>
                <w:lang w:val="en-US" w:eastAsia="zh-CN" w:bidi="ar"/>
              </w:rPr>
              <w:t>品目预算(元)</w:t>
            </w:r>
          </w:p>
        </w:tc>
        <w:tc>
          <w:tcPr>
            <w:tcW w:w="114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7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12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default" w:ascii="宋体" w:hAnsi="宋体" w:eastAsia="宋体" w:cs="宋体"/>
                <w:i w:val="0"/>
                <w:iCs w:val="0"/>
                <w:caps w:val="0"/>
                <w:color w:val="333333"/>
                <w:spacing w:val="0"/>
                <w:sz w:val="21"/>
                <w:szCs w:val="21"/>
                <w:highlight w:val="none"/>
                <w:lang w:val="en-US"/>
              </w:rPr>
            </w:pPr>
            <w:r>
              <w:rPr>
                <w:rFonts w:hint="eastAsia" w:ascii="宋体" w:hAnsi="宋体" w:cs="宋体"/>
                <w:i w:val="0"/>
                <w:iCs w:val="0"/>
                <w:caps w:val="0"/>
                <w:color w:val="333333"/>
                <w:spacing w:val="0"/>
                <w:kern w:val="0"/>
                <w:sz w:val="21"/>
                <w:szCs w:val="21"/>
                <w:highlight w:val="none"/>
                <w:lang w:val="en-US" w:eastAsia="zh-CN" w:bidi="ar"/>
              </w:rPr>
              <w:t>其他专业技术服务</w:t>
            </w:r>
          </w:p>
        </w:tc>
        <w:tc>
          <w:tcPr>
            <w:tcW w:w="14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sz w:val="21"/>
                <w:szCs w:val="21"/>
                <w:highlight w:val="none"/>
              </w:rPr>
            </w:pPr>
            <w:r>
              <w:rPr>
                <w:rFonts w:hint="eastAsia" w:cs="宋体"/>
                <w:i w:val="0"/>
                <w:iCs w:val="0"/>
                <w:caps w:val="0"/>
                <w:color w:val="333333"/>
                <w:spacing w:val="0"/>
                <w:sz w:val="21"/>
                <w:szCs w:val="21"/>
                <w:highlight w:val="none"/>
                <w:vertAlign w:val="baseline"/>
                <w:lang w:eastAsia="zh-CN"/>
              </w:rPr>
              <w:t>普通省道路面技术状况检测</w:t>
            </w:r>
          </w:p>
        </w:tc>
        <w:tc>
          <w:tcPr>
            <w:tcW w:w="10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1(项)</w:t>
            </w:r>
          </w:p>
        </w:tc>
        <w:tc>
          <w:tcPr>
            <w:tcW w:w="30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left"/>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vertAlign w:val="baseline"/>
              </w:rPr>
              <w:t>完成</w:t>
            </w:r>
            <w:r>
              <w:rPr>
                <w:rFonts w:hint="eastAsia" w:cs="宋体"/>
                <w:i w:val="0"/>
                <w:iCs w:val="0"/>
                <w:caps w:val="0"/>
                <w:color w:val="333333"/>
                <w:spacing w:val="0"/>
                <w:sz w:val="21"/>
                <w:szCs w:val="21"/>
                <w:highlight w:val="none"/>
                <w:vertAlign w:val="baseline"/>
                <w:lang w:val="en-US" w:eastAsia="zh-CN"/>
              </w:rPr>
              <w:t>西安</w:t>
            </w:r>
            <w:r>
              <w:rPr>
                <w:rFonts w:hint="eastAsia" w:cs="宋体"/>
                <w:i w:val="0"/>
                <w:iCs w:val="0"/>
                <w:caps w:val="0"/>
                <w:color w:val="333333"/>
                <w:spacing w:val="0"/>
                <w:sz w:val="21"/>
                <w:szCs w:val="21"/>
                <w:highlight w:val="none"/>
                <w:vertAlign w:val="baseline"/>
                <w:lang w:eastAsia="zh-CN"/>
              </w:rPr>
              <w:t>、</w:t>
            </w:r>
            <w:r>
              <w:rPr>
                <w:rFonts w:hint="eastAsia" w:cs="宋体"/>
                <w:i w:val="0"/>
                <w:iCs w:val="0"/>
                <w:caps w:val="0"/>
                <w:color w:val="333333"/>
                <w:spacing w:val="0"/>
                <w:sz w:val="21"/>
                <w:szCs w:val="21"/>
                <w:highlight w:val="none"/>
                <w:vertAlign w:val="baseline"/>
                <w:lang w:val="en-US" w:eastAsia="zh-CN"/>
              </w:rPr>
              <w:t>铜川、榆林、延安、渭南、韩城</w:t>
            </w:r>
            <w:r>
              <w:rPr>
                <w:rFonts w:hint="eastAsia" w:ascii="宋体" w:hAnsi="宋体" w:eastAsia="宋体" w:cs="宋体"/>
                <w:i w:val="0"/>
                <w:iCs w:val="0"/>
                <w:caps w:val="0"/>
                <w:color w:val="333333"/>
                <w:spacing w:val="0"/>
                <w:sz w:val="21"/>
                <w:szCs w:val="21"/>
                <w:highlight w:val="none"/>
                <w:vertAlign w:val="baseline"/>
              </w:rPr>
              <w:t>累计不少</w:t>
            </w:r>
            <w:r>
              <w:rPr>
                <w:rFonts w:hint="eastAsia" w:cs="宋体"/>
                <w:i w:val="0"/>
                <w:iCs w:val="0"/>
                <w:caps w:val="0"/>
                <w:color w:val="333333"/>
                <w:spacing w:val="0"/>
                <w:sz w:val="21"/>
                <w:szCs w:val="21"/>
                <w:highlight w:val="none"/>
                <w:vertAlign w:val="baseline"/>
                <w:lang w:val="en-US" w:eastAsia="zh-CN"/>
              </w:rPr>
              <w:t>284</w:t>
            </w:r>
            <w:r>
              <w:rPr>
                <w:rFonts w:hint="eastAsia" w:ascii="宋体" w:hAnsi="宋体" w:eastAsia="宋体" w:cs="宋体"/>
                <w:i w:val="0"/>
                <w:iCs w:val="0"/>
                <w:caps w:val="0"/>
                <w:color w:val="333333"/>
                <w:spacing w:val="0"/>
                <w:sz w:val="21"/>
                <w:szCs w:val="21"/>
                <w:highlight w:val="none"/>
                <w:vertAlign w:val="baseline"/>
              </w:rPr>
              <w:t>座/</w:t>
            </w:r>
            <w:r>
              <w:rPr>
                <w:rFonts w:hint="eastAsia" w:cs="宋体"/>
                <w:i w:val="0"/>
                <w:iCs w:val="0"/>
                <w:caps w:val="0"/>
                <w:color w:val="333333"/>
                <w:spacing w:val="0"/>
                <w:sz w:val="21"/>
                <w:szCs w:val="21"/>
                <w:highlight w:val="none"/>
                <w:vertAlign w:val="baseline"/>
                <w:lang w:val="en-US" w:eastAsia="zh-CN"/>
              </w:rPr>
              <w:t>12832</w:t>
            </w:r>
            <w:r>
              <w:rPr>
                <w:rFonts w:hint="eastAsia" w:ascii="宋体" w:hAnsi="宋体" w:eastAsia="宋体" w:cs="宋体"/>
                <w:i w:val="0"/>
                <w:iCs w:val="0"/>
                <w:caps w:val="0"/>
                <w:color w:val="333333"/>
                <w:spacing w:val="0"/>
                <w:sz w:val="21"/>
                <w:szCs w:val="21"/>
                <w:highlight w:val="none"/>
                <w:vertAlign w:val="baseline"/>
              </w:rPr>
              <w:t>延米新增省道桥梁（隧道）的技术状况定期检查评定，详见采购文件</w:t>
            </w:r>
          </w:p>
        </w:tc>
        <w:tc>
          <w:tcPr>
            <w:tcW w:w="114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default" w:ascii="宋体" w:hAnsi="宋体" w:eastAsia="宋体" w:cs="宋体"/>
                <w:i w:val="0"/>
                <w:iCs w:val="0"/>
                <w:caps w:val="0"/>
                <w:color w:val="333333"/>
                <w:spacing w:val="0"/>
                <w:kern w:val="0"/>
                <w:sz w:val="21"/>
                <w:szCs w:val="21"/>
                <w:highlight w:val="none"/>
                <w:vertAlign w:val="baseline"/>
                <w:lang w:val="en-US" w:eastAsia="zh-CN" w:bidi="ar-SA"/>
              </w:rPr>
            </w:pPr>
            <w:r>
              <w:rPr>
                <w:rFonts w:hint="eastAsia" w:ascii="宋体" w:hAnsi="宋体" w:eastAsia="宋体" w:cs="宋体"/>
                <w:i w:val="0"/>
                <w:iCs w:val="0"/>
                <w:caps w:val="0"/>
                <w:color w:val="333333"/>
                <w:spacing w:val="0"/>
                <w:kern w:val="0"/>
                <w:sz w:val="21"/>
                <w:szCs w:val="21"/>
                <w:highlight w:val="none"/>
                <w:vertAlign w:val="baseline"/>
                <w:lang w:val="en-US" w:eastAsia="zh-CN" w:bidi="ar-SA"/>
              </w:rPr>
              <w:t>8</w:t>
            </w:r>
            <w:r>
              <w:rPr>
                <w:rFonts w:hint="eastAsia" w:ascii="宋体" w:hAnsi="宋体" w:cs="宋体"/>
                <w:i w:val="0"/>
                <w:iCs w:val="0"/>
                <w:caps w:val="0"/>
                <w:color w:val="333333"/>
                <w:spacing w:val="0"/>
                <w:kern w:val="0"/>
                <w:sz w:val="21"/>
                <w:szCs w:val="21"/>
                <w:highlight w:val="none"/>
                <w:vertAlign w:val="baseline"/>
                <w:lang w:val="en-US" w:eastAsia="zh-CN" w:bidi="ar-SA"/>
              </w:rPr>
              <w:t>2</w:t>
            </w:r>
            <w:r>
              <w:rPr>
                <w:rFonts w:hint="eastAsia" w:ascii="宋体" w:hAnsi="宋体" w:eastAsia="宋体" w:cs="宋体"/>
                <w:i w:val="0"/>
                <w:iCs w:val="0"/>
                <w:caps w:val="0"/>
                <w:color w:val="333333"/>
                <w:spacing w:val="0"/>
                <w:kern w:val="0"/>
                <w:sz w:val="21"/>
                <w:szCs w:val="21"/>
                <w:highlight w:val="none"/>
                <w:vertAlign w:val="baseline"/>
                <w:lang w:val="en-US" w:eastAsia="zh-CN" w:bidi="ar-SA"/>
              </w:rPr>
              <w:t>0000.00</w:t>
            </w:r>
          </w:p>
        </w:tc>
        <w:tc>
          <w:tcPr>
            <w:tcW w:w="114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i w:val="0"/>
                <w:iCs w:val="0"/>
                <w:caps w:val="0"/>
                <w:color w:val="333333"/>
                <w:spacing w:val="0"/>
                <w:kern w:val="0"/>
                <w:sz w:val="21"/>
                <w:szCs w:val="21"/>
                <w:highlight w:val="none"/>
                <w:vertAlign w:val="baseline"/>
                <w:lang w:val="en-US" w:eastAsia="zh-CN" w:bidi="ar-SA"/>
              </w:rPr>
            </w:pPr>
            <w:r>
              <w:rPr>
                <w:rFonts w:hint="eastAsia" w:ascii="宋体" w:hAnsi="宋体" w:eastAsia="宋体" w:cs="宋体"/>
                <w:i w:val="0"/>
                <w:iCs w:val="0"/>
                <w:caps w:val="0"/>
                <w:color w:val="333333"/>
                <w:spacing w:val="0"/>
                <w:kern w:val="0"/>
                <w:sz w:val="21"/>
                <w:szCs w:val="21"/>
                <w:highlight w:val="none"/>
                <w:vertAlign w:val="baseline"/>
                <w:lang w:val="en-US" w:eastAsia="zh-CN" w:bidi="ar-SA"/>
              </w:rPr>
              <w:t>8</w:t>
            </w:r>
            <w:r>
              <w:rPr>
                <w:rFonts w:hint="eastAsia" w:ascii="宋体" w:hAnsi="宋体" w:cs="宋体"/>
                <w:i w:val="0"/>
                <w:iCs w:val="0"/>
                <w:caps w:val="0"/>
                <w:color w:val="333333"/>
                <w:spacing w:val="0"/>
                <w:kern w:val="0"/>
                <w:sz w:val="21"/>
                <w:szCs w:val="21"/>
                <w:highlight w:val="none"/>
                <w:vertAlign w:val="baseline"/>
                <w:lang w:val="en-US" w:eastAsia="zh-CN" w:bidi="ar-SA"/>
              </w:rPr>
              <w:t>2</w:t>
            </w:r>
            <w:r>
              <w:rPr>
                <w:rFonts w:hint="eastAsia" w:ascii="宋体" w:hAnsi="宋体" w:eastAsia="宋体" w:cs="宋体"/>
                <w:i w:val="0"/>
                <w:iCs w:val="0"/>
                <w:caps w:val="0"/>
                <w:color w:val="333333"/>
                <w:spacing w:val="0"/>
                <w:kern w:val="0"/>
                <w:sz w:val="21"/>
                <w:szCs w:val="21"/>
                <w:highlight w:val="none"/>
                <w:vertAlign w:val="baseline"/>
                <w:lang w:val="en-US" w:eastAsia="zh-CN" w:bidi="ar-SA"/>
              </w:rPr>
              <w:t>0000.00</w:t>
            </w:r>
          </w:p>
        </w:tc>
      </w:tr>
    </w:tbl>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highlight w:val="none"/>
          <w:shd w:val="clear" w:color="auto" w:fill="FFFFFF"/>
        </w:rPr>
      </w:pPr>
      <w:r>
        <w:rPr>
          <w:rFonts w:hint="eastAsia"/>
          <w:color w:val="333333"/>
          <w:highlight w:val="none"/>
          <w:shd w:val="clear" w:color="auto" w:fill="FFFFFF"/>
        </w:rPr>
        <w:t>本合同包不接受联合体投标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color w:val="333333"/>
          <w:sz w:val="24"/>
          <w:szCs w:val="24"/>
          <w:highlight w:val="none"/>
          <w:shd w:val="clear" w:color="auto" w:fill="FFFFFF"/>
          <w:lang w:eastAsia="zh-CN"/>
        </w:rPr>
      </w:pPr>
      <w:r>
        <w:rPr>
          <w:rFonts w:hint="eastAsia"/>
          <w:color w:val="333333"/>
          <w:sz w:val="24"/>
          <w:szCs w:val="24"/>
          <w:highlight w:val="none"/>
          <w:shd w:val="clear" w:color="auto" w:fill="FFFFFF"/>
        </w:rPr>
        <w:t>合同履行期限：</w:t>
      </w:r>
      <w:r>
        <w:rPr>
          <w:rFonts w:hint="eastAsia"/>
          <w:color w:val="333333"/>
          <w:sz w:val="24"/>
          <w:szCs w:val="24"/>
          <w:highlight w:val="none"/>
          <w:shd w:val="clear" w:color="auto" w:fill="FFFFFF"/>
          <w:lang w:val="en-US" w:eastAsia="zh-CN"/>
        </w:rPr>
        <w:t>合同签订后一年，从合同签订之日起2个月内（包含不利天气等因素）完成全部外业检测及报告编制工作并提交甲方，如有特殊情况，经甲方允许，时间可协商顺延。</w:t>
      </w:r>
    </w:p>
    <w:p>
      <w:pPr>
        <w:pStyle w:val="20"/>
        <w:keepNext w:val="0"/>
        <w:keepLines w:val="0"/>
        <w:pageBreakBefore w:val="0"/>
        <w:kinsoku/>
        <w:overflowPunct/>
        <w:topLinePunct w:val="0"/>
        <w:autoSpaceDE/>
        <w:autoSpaceDN/>
        <w:bidi w:val="0"/>
        <w:adjustRightInd/>
        <w:snapToGrid/>
        <w:spacing w:beforeAutospacing="0" w:afterAutospacing="0" w:line="540" w:lineRule="exact"/>
        <w:ind w:firstLine="420"/>
        <w:rPr>
          <w:rFonts w:hint="eastAsia"/>
          <w:color w:val="333333"/>
          <w:highlight w:val="none"/>
          <w:shd w:val="clear" w:color="auto" w:fill="FFFFFF"/>
          <w:lang w:eastAsia="zh-CN"/>
        </w:rPr>
      </w:pPr>
      <w:r>
        <w:rPr>
          <w:rFonts w:hint="eastAsia"/>
          <w:color w:val="333333"/>
          <w:highlight w:val="none"/>
          <w:shd w:val="clear" w:color="auto" w:fill="FFFFFF"/>
        </w:rPr>
        <w:t>合同包</w:t>
      </w:r>
      <w:r>
        <w:rPr>
          <w:rFonts w:hint="eastAsia"/>
          <w:color w:val="333333"/>
          <w:highlight w:val="none"/>
          <w:shd w:val="clear" w:color="auto" w:fill="FFFFFF"/>
          <w:lang w:val="en-US" w:eastAsia="zh-CN"/>
        </w:rPr>
        <w:t>2</w:t>
      </w:r>
      <w:r>
        <w:rPr>
          <w:rFonts w:hint="eastAsia"/>
          <w:color w:val="333333"/>
          <w:highlight w:val="none"/>
          <w:shd w:val="clear" w:color="auto" w:fill="FFFFFF"/>
        </w:rPr>
        <w:t>(</w:t>
      </w:r>
      <w:r>
        <w:rPr>
          <w:rFonts w:hint="eastAsia"/>
          <w:color w:val="333333"/>
          <w:highlight w:val="none"/>
          <w:shd w:val="clear" w:color="auto" w:fill="FFFFFF"/>
          <w:lang w:val="en-US" w:eastAsia="zh-CN"/>
        </w:rPr>
        <w:t>JC-2宝鸡、咸阳、汉中、安康、商洛</w:t>
      </w:r>
      <w:r>
        <w:rPr>
          <w:rFonts w:hint="eastAsia"/>
          <w:color w:val="333333"/>
          <w:highlight w:val="none"/>
          <w:shd w:val="clear" w:color="auto" w:fill="FFFFFF"/>
          <w:lang w:eastAsia="zh-CN"/>
        </w:rPr>
        <w:t>)：</w:t>
      </w:r>
    </w:p>
    <w:p>
      <w:pPr>
        <w:pStyle w:val="20"/>
        <w:keepNext w:val="0"/>
        <w:keepLines w:val="0"/>
        <w:pageBreakBefore w:val="0"/>
        <w:kinsoku/>
        <w:overflowPunct/>
        <w:topLinePunct w:val="0"/>
        <w:autoSpaceDE/>
        <w:autoSpaceDN/>
        <w:bidi w:val="0"/>
        <w:adjustRightInd/>
        <w:snapToGrid/>
        <w:spacing w:beforeAutospacing="0" w:afterAutospacing="0" w:line="540" w:lineRule="exact"/>
        <w:ind w:firstLine="420"/>
        <w:rPr>
          <w:rFonts w:hint="eastAsia"/>
          <w:color w:val="333333"/>
          <w:highlight w:val="none"/>
          <w:shd w:val="clear" w:color="auto" w:fill="FFFFFF"/>
        </w:rPr>
      </w:pPr>
      <w:r>
        <w:rPr>
          <w:rFonts w:hint="eastAsia"/>
          <w:color w:val="333333"/>
          <w:highlight w:val="none"/>
          <w:shd w:val="clear" w:color="auto" w:fill="FFFFFF"/>
        </w:rPr>
        <w:t>合同包预算金额：</w:t>
      </w:r>
      <w:r>
        <w:rPr>
          <w:rFonts w:hint="eastAsia"/>
          <w:color w:val="333333"/>
          <w:highlight w:val="none"/>
          <w:shd w:val="clear" w:color="auto" w:fill="FFFFFF"/>
          <w:lang w:val="en-US" w:eastAsia="zh-CN"/>
        </w:rPr>
        <w:t>740000.00</w:t>
      </w:r>
      <w:r>
        <w:rPr>
          <w:rFonts w:hint="eastAsia"/>
          <w:color w:val="333333"/>
          <w:highlight w:val="none"/>
          <w:shd w:val="clear" w:color="auto" w:fill="FFFFFF"/>
        </w:rPr>
        <w:t>元</w:t>
      </w:r>
    </w:p>
    <w:p>
      <w:pPr>
        <w:pStyle w:val="20"/>
        <w:keepNext w:val="0"/>
        <w:keepLines w:val="0"/>
        <w:pageBreakBefore w:val="0"/>
        <w:kinsoku/>
        <w:overflowPunct/>
        <w:topLinePunct w:val="0"/>
        <w:autoSpaceDE/>
        <w:autoSpaceDN/>
        <w:bidi w:val="0"/>
        <w:adjustRightInd/>
        <w:snapToGrid/>
        <w:spacing w:beforeAutospacing="0" w:afterAutospacing="0" w:line="540" w:lineRule="exact"/>
        <w:ind w:firstLine="420"/>
        <w:rPr>
          <w:rFonts w:hint="eastAsia"/>
          <w:color w:val="333333"/>
          <w:highlight w:val="none"/>
          <w:shd w:val="clear" w:color="auto" w:fill="FFFFFF"/>
        </w:rPr>
      </w:pPr>
      <w:r>
        <w:rPr>
          <w:rFonts w:hint="eastAsia"/>
          <w:color w:val="333333"/>
          <w:highlight w:val="none"/>
          <w:shd w:val="clear" w:color="auto" w:fill="FFFFFF"/>
        </w:rPr>
        <w:t>合同包最高限价：</w:t>
      </w:r>
      <w:r>
        <w:rPr>
          <w:rFonts w:hint="eastAsia"/>
          <w:color w:val="333333"/>
          <w:highlight w:val="none"/>
          <w:shd w:val="clear" w:color="auto" w:fill="FFFFFF"/>
          <w:lang w:val="en-US" w:eastAsia="zh-CN"/>
        </w:rPr>
        <w:t>740000.00</w:t>
      </w:r>
      <w:r>
        <w:rPr>
          <w:rFonts w:hint="eastAsia"/>
          <w:color w:val="333333"/>
          <w:highlight w:val="none"/>
          <w:shd w:val="clear" w:color="auto" w:fill="FFFFFF"/>
        </w:rPr>
        <w:t>元</w:t>
      </w:r>
    </w:p>
    <w:tbl>
      <w:tblPr>
        <w:tblStyle w:val="23"/>
        <w:tblW w:w="9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25"/>
        <w:gridCol w:w="1128"/>
        <w:gridCol w:w="1435"/>
        <w:gridCol w:w="1050"/>
        <w:gridCol w:w="2981"/>
        <w:gridCol w:w="1218"/>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jc w:val="center"/>
        </w:trPr>
        <w:tc>
          <w:tcPr>
            <w:tcW w:w="7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品目号</w:t>
            </w:r>
          </w:p>
        </w:tc>
        <w:tc>
          <w:tcPr>
            <w:tcW w:w="112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品目名称</w:t>
            </w:r>
          </w:p>
        </w:tc>
        <w:tc>
          <w:tcPr>
            <w:tcW w:w="14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采购标的</w:t>
            </w:r>
          </w:p>
        </w:tc>
        <w:tc>
          <w:tcPr>
            <w:tcW w:w="10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数量（单位）</w:t>
            </w:r>
          </w:p>
        </w:tc>
        <w:tc>
          <w:tcPr>
            <w:tcW w:w="29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技术规格、参数及要求</w:t>
            </w:r>
          </w:p>
        </w:tc>
        <w:tc>
          <w:tcPr>
            <w:tcW w:w="121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kern w:val="0"/>
                <w:sz w:val="21"/>
                <w:szCs w:val="21"/>
                <w:highlight w:val="none"/>
                <w:lang w:val="en-US" w:eastAsia="zh-CN" w:bidi="ar"/>
              </w:rPr>
            </w:pPr>
            <w:r>
              <w:rPr>
                <w:rFonts w:hint="eastAsia" w:ascii="宋体" w:hAnsi="宋体" w:eastAsia="宋体" w:cs="宋体"/>
                <w:b/>
                <w:bCs/>
                <w:i w:val="0"/>
                <w:iCs w:val="0"/>
                <w:caps w:val="0"/>
                <w:color w:val="333333"/>
                <w:spacing w:val="0"/>
                <w:kern w:val="0"/>
                <w:sz w:val="21"/>
                <w:szCs w:val="21"/>
                <w:highlight w:val="none"/>
                <w:lang w:val="en-US" w:eastAsia="zh-CN" w:bidi="ar"/>
              </w:rPr>
              <w:t>品目预算(元)</w:t>
            </w:r>
          </w:p>
        </w:tc>
        <w:tc>
          <w:tcPr>
            <w:tcW w:w="114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b/>
                <w:bCs/>
                <w:i w:val="0"/>
                <w:iCs w:val="0"/>
                <w:caps w:val="0"/>
                <w:color w:val="333333"/>
                <w:spacing w:val="0"/>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7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2-1</w:t>
            </w:r>
          </w:p>
        </w:tc>
        <w:tc>
          <w:tcPr>
            <w:tcW w:w="112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default" w:ascii="宋体" w:hAnsi="宋体" w:eastAsia="宋体" w:cs="宋体"/>
                <w:i w:val="0"/>
                <w:iCs w:val="0"/>
                <w:caps w:val="0"/>
                <w:color w:val="333333"/>
                <w:spacing w:val="0"/>
                <w:sz w:val="21"/>
                <w:szCs w:val="21"/>
                <w:highlight w:val="none"/>
                <w:lang w:val="en-US"/>
              </w:rPr>
            </w:pPr>
            <w:r>
              <w:rPr>
                <w:rFonts w:hint="eastAsia" w:ascii="宋体" w:hAnsi="宋体" w:cs="宋体"/>
                <w:i w:val="0"/>
                <w:iCs w:val="0"/>
                <w:caps w:val="0"/>
                <w:color w:val="333333"/>
                <w:spacing w:val="0"/>
                <w:kern w:val="0"/>
                <w:sz w:val="21"/>
                <w:szCs w:val="21"/>
                <w:highlight w:val="none"/>
                <w:lang w:val="en-US" w:eastAsia="zh-CN" w:bidi="ar"/>
              </w:rPr>
              <w:t>其他专业技术服务</w:t>
            </w:r>
          </w:p>
        </w:tc>
        <w:tc>
          <w:tcPr>
            <w:tcW w:w="14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sz w:val="21"/>
                <w:szCs w:val="21"/>
                <w:highlight w:val="none"/>
              </w:rPr>
            </w:pPr>
            <w:r>
              <w:rPr>
                <w:rFonts w:hint="eastAsia" w:cs="宋体"/>
                <w:i w:val="0"/>
                <w:iCs w:val="0"/>
                <w:caps w:val="0"/>
                <w:color w:val="333333"/>
                <w:spacing w:val="0"/>
                <w:sz w:val="21"/>
                <w:szCs w:val="21"/>
                <w:highlight w:val="none"/>
                <w:vertAlign w:val="baseline"/>
                <w:lang w:eastAsia="zh-CN"/>
              </w:rPr>
              <w:t>普通省道路面技术状况检测</w:t>
            </w:r>
          </w:p>
        </w:tc>
        <w:tc>
          <w:tcPr>
            <w:tcW w:w="10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1(项)</w:t>
            </w:r>
          </w:p>
        </w:tc>
        <w:tc>
          <w:tcPr>
            <w:tcW w:w="29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left"/>
              <w:textAlignment w:val="baseline"/>
              <w:rPr>
                <w:rFonts w:hint="eastAsia" w:ascii="Times New Roman" w:hAnsi="Times New Roman" w:eastAsia="宋体" w:cs="宋体"/>
                <w:i w:val="0"/>
                <w:iCs w:val="0"/>
                <w:caps w:val="0"/>
                <w:color w:val="333333"/>
                <w:spacing w:val="0"/>
                <w:kern w:val="2"/>
                <w:sz w:val="21"/>
                <w:szCs w:val="21"/>
                <w:highlight w:val="none"/>
                <w:vertAlign w:val="baseline"/>
                <w:lang w:val="en-US" w:eastAsia="zh-CN" w:bidi="ar-SA"/>
              </w:rPr>
            </w:pPr>
            <w:r>
              <w:rPr>
                <w:rFonts w:hint="eastAsia" w:ascii="Times New Roman" w:hAnsi="Times New Roman" w:eastAsia="宋体" w:cs="宋体"/>
                <w:i w:val="0"/>
                <w:iCs w:val="0"/>
                <w:caps w:val="0"/>
                <w:color w:val="333333"/>
                <w:spacing w:val="0"/>
                <w:kern w:val="2"/>
                <w:sz w:val="21"/>
                <w:szCs w:val="21"/>
                <w:highlight w:val="none"/>
                <w:vertAlign w:val="baseline"/>
                <w:lang w:val="en-US" w:eastAsia="zh-CN" w:bidi="ar-SA"/>
              </w:rPr>
              <w:t>完成</w:t>
            </w:r>
            <w:r>
              <w:rPr>
                <w:rFonts w:hint="eastAsia"/>
                <w:color w:val="333333"/>
                <w:sz w:val="21"/>
                <w:szCs w:val="21"/>
                <w:highlight w:val="none"/>
                <w:shd w:val="clear" w:color="auto" w:fill="FFFFFF"/>
                <w:lang w:val="en-US" w:eastAsia="zh-CN"/>
              </w:rPr>
              <w:t>宝鸡、咸阳、汉中、安康、商洛</w:t>
            </w:r>
            <w:r>
              <w:rPr>
                <w:rFonts w:hint="eastAsia" w:ascii="Times New Roman" w:hAnsi="Times New Roman" w:eastAsia="宋体" w:cs="宋体"/>
                <w:i w:val="0"/>
                <w:iCs w:val="0"/>
                <w:caps w:val="0"/>
                <w:color w:val="333333"/>
                <w:spacing w:val="0"/>
                <w:kern w:val="2"/>
                <w:sz w:val="21"/>
                <w:szCs w:val="21"/>
                <w:highlight w:val="none"/>
                <w:vertAlign w:val="baseline"/>
                <w:lang w:val="en-US" w:eastAsia="zh-CN" w:bidi="ar-SA"/>
              </w:rPr>
              <w:t>累计不少</w:t>
            </w:r>
            <w:r>
              <w:rPr>
                <w:rFonts w:hint="eastAsia" w:ascii="Times New Roman" w:hAnsi="Times New Roman" w:cs="宋体"/>
                <w:i w:val="0"/>
                <w:iCs w:val="0"/>
                <w:caps w:val="0"/>
                <w:color w:val="333333"/>
                <w:spacing w:val="0"/>
                <w:kern w:val="2"/>
                <w:sz w:val="21"/>
                <w:szCs w:val="21"/>
                <w:highlight w:val="none"/>
                <w:vertAlign w:val="baseline"/>
                <w:lang w:val="en-US" w:eastAsia="zh-CN" w:bidi="ar-SA"/>
              </w:rPr>
              <w:t>359</w:t>
            </w:r>
            <w:r>
              <w:rPr>
                <w:rFonts w:hint="eastAsia" w:ascii="Times New Roman" w:hAnsi="Times New Roman" w:eastAsia="宋体" w:cs="宋体"/>
                <w:i w:val="0"/>
                <w:iCs w:val="0"/>
                <w:caps w:val="0"/>
                <w:color w:val="333333"/>
                <w:spacing w:val="0"/>
                <w:kern w:val="2"/>
                <w:sz w:val="21"/>
                <w:szCs w:val="21"/>
                <w:highlight w:val="none"/>
                <w:vertAlign w:val="baseline"/>
                <w:lang w:val="en-US" w:eastAsia="zh-CN" w:bidi="ar-SA"/>
              </w:rPr>
              <w:t>座/</w:t>
            </w:r>
            <w:r>
              <w:rPr>
                <w:rFonts w:hint="eastAsia" w:ascii="Times New Roman" w:hAnsi="Times New Roman" w:cs="宋体"/>
                <w:i w:val="0"/>
                <w:iCs w:val="0"/>
                <w:caps w:val="0"/>
                <w:color w:val="333333"/>
                <w:spacing w:val="0"/>
                <w:kern w:val="2"/>
                <w:sz w:val="21"/>
                <w:szCs w:val="21"/>
                <w:highlight w:val="none"/>
                <w:vertAlign w:val="baseline"/>
                <w:lang w:val="en-US" w:eastAsia="zh-CN" w:bidi="ar-SA"/>
              </w:rPr>
              <w:t>11707</w:t>
            </w:r>
            <w:r>
              <w:rPr>
                <w:rFonts w:hint="eastAsia" w:ascii="Times New Roman" w:hAnsi="Times New Roman" w:eastAsia="宋体" w:cs="宋体"/>
                <w:i w:val="0"/>
                <w:iCs w:val="0"/>
                <w:caps w:val="0"/>
                <w:color w:val="333333"/>
                <w:spacing w:val="0"/>
                <w:kern w:val="2"/>
                <w:sz w:val="21"/>
                <w:szCs w:val="21"/>
                <w:highlight w:val="none"/>
                <w:vertAlign w:val="baseline"/>
                <w:lang w:val="en-US" w:eastAsia="zh-CN" w:bidi="ar-SA"/>
              </w:rPr>
              <w:t>延米新增省道桥梁（隧道）的技术状况定期检查评定，详见采购文件</w:t>
            </w:r>
          </w:p>
        </w:tc>
        <w:tc>
          <w:tcPr>
            <w:tcW w:w="121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Times New Roman" w:hAnsi="Times New Roman" w:eastAsia="宋体" w:cs="宋体"/>
                <w:i w:val="0"/>
                <w:iCs w:val="0"/>
                <w:caps w:val="0"/>
                <w:color w:val="333333"/>
                <w:spacing w:val="0"/>
                <w:kern w:val="2"/>
                <w:sz w:val="21"/>
                <w:szCs w:val="21"/>
                <w:highlight w:val="none"/>
                <w:vertAlign w:val="baseline"/>
                <w:lang w:val="en-US" w:eastAsia="zh-CN" w:bidi="ar-SA"/>
              </w:rPr>
            </w:pPr>
            <w:r>
              <w:rPr>
                <w:rFonts w:hint="eastAsia"/>
                <w:color w:val="333333"/>
                <w:sz w:val="21"/>
                <w:szCs w:val="21"/>
                <w:highlight w:val="none"/>
                <w:shd w:val="clear" w:color="auto" w:fill="FFFFFF"/>
                <w:lang w:val="en-US" w:eastAsia="zh-CN"/>
              </w:rPr>
              <w:t>740000.00</w:t>
            </w:r>
          </w:p>
        </w:tc>
        <w:tc>
          <w:tcPr>
            <w:tcW w:w="114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Times New Roman" w:hAnsi="Times New Roman" w:eastAsia="宋体" w:cs="宋体"/>
                <w:i w:val="0"/>
                <w:iCs w:val="0"/>
                <w:caps w:val="0"/>
                <w:color w:val="333333"/>
                <w:spacing w:val="0"/>
                <w:kern w:val="2"/>
                <w:sz w:val="21"/>
                <w:szCs w:val="21"/>
                <w:highlight w:val="none"/>
                <w:vertAlign w:val="baseline"/>
                <w:lang w:val="en-US" w:eastAsia="zh-CN" w:bidi="ar-SA"/>
              </w:rPr>
            </w:pPr>
            <w:r>
              <w:rPr>
                <w:rFonts w:hint="eastAsia"/>
                <w:color w:val="333333"/>
                <w:sz w:val="21"/>
                <w:szCs w:val="21"/>
                <w:highlight w:val="none"/>
                <w:shd w:val="clear" w:color="auto" w:fill="FFFFFF"/>
                <w:lang w:val="en-US" w:eastAsia="zh-CN"/>
              </w:rPr>
              <w:t>740000.00</w:t>
            </w:r>
          </w:p>
        </w:tc>
      </w:tr>
    </w:tbl>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highlight w:val="none"/>
          <w:shd w:val="clear" w:color="auto" w:fill="FFFFFF"/>
        </w:rPr>
      </w:pPr>
      <w:r>
        <w:rPr>
          <w:rFonts w:hint="eastAsia"/>
          <w:color w:val="333333"/>
          <w:highlight w:val="none"/>
          <w:shd w:val="clear" w:color="auto" w:fill="FFFFFF"/>
        </w:rPr>
        <w:t>本合同包不接受联合体投标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color w:val="333333"/>
          <w:sz w:val="24"/>
          <w:szCs w:val="24"/>
          <w:highlight w:val="none"/>
          <w:shd w:val="clear" w:color="auto" w:fill="FFFFFF"/>
          <w:lang w:eastAsia="zh-CN"/>
        </w:rPr>
      </w:pPr>
      <w:r>
        <w:rPr>
          <w:rFonts w:hint="eastAsia"/>
          <w:color w:val="333333"/>
          <w:sz w:val="24"/>
          <w:szCs w:val="24"/>
          <w:highlight w:val="none"/>
          <w:shd w:val="clear" w:color="auto" w:fill="FFFFFF"/>
        </w:rPr>
        <w:t>合同履行期限：</w:t>
      </w:r>
      <w:r>
        <w:rPr>
          <w:rFonts w:hint="eastAsia"/>
          <w:color w:val="333333"/>
          <w:sz w:val="24"/>
          <w:szCs w:val="24"/>
          <w:highlight w:val="none"/>
          <w:shd w:val="clear" w:color="auto" w:fill="FFFFFF"/>
          <w:lang w:val="en-US" w:eastAsia="zh-CN"/>
        </w:rPr>
        <w:t>合同签订后一年，从合同签订之日起2个月内（包含不利天气等因素）完成全部外业检测及报告编制工作并提交甲方，如有特殊情况，经甲方允许，时间可协商顺延。</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b/>
          <w:bCs/>
          <w:color w:val="333333"/>
          <w:highlight w:val="none"/>
          <w:shd w:val="clear" w:color="auto" w:fill="FFFFFF"/>
        </w:rPr>
      </w:pPr>
      <w:r>
        <w:rPr>
          <w:rFonts w:hint="eastAsia"/>
          <w:b/>
          <w:bCs/>
          <w:color w:val="333333"/>
          <w:highlight w:val="none"/>
          <w:shd w:val="clear" w:color="auto" w:fill="FFFFFF"/>
        </w:rPr>
        <w:t>二、 申请人的资格要求</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textAlignment w:val="auto"/>
        <w:rPr>
          <w:color w:val="333333"/>
          <w:highlight w:val="none"/>
          <w:shd w:val="clear" w:color="auto" w:fill="FFFFFF"/>
        </w:rPr>
      </w:pPr>
      <w:r>
        <w:rPr>
          <w:rFonts w:hint="eastAsia"/>
          <w:color w:val="333333"/>
          <w:highlight w:val="none"/>
          <w:shd w:val="clear" w:color="auto" w:fill="FFFFFF"/>
        </w:rPr>
        <w:t>1、满足《中华人民共和国政府采购法》第二十二条规定</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textAlignment w:val="auto"/>
        <w:rPr>
          <w:color w:val="333333"/>
          <w:highlight w:val="none"/>
          <w:shd w:val="clear" w:color="auto" w:fill="FFFFFF"/>
        </w:rPr>
      </w:pPr>
      <w:r>
        <w:rPr>
          <w:rFonts w:hint="eastAsia"/>
          <w:color w:val="333333"/>
          <w:highlight w:val="none"/>
          <w:shd w:val="clear" w:color="auto" w:fill="FFFFFF"/>
        </w:rPr>
        <w:t>2、落实政府采购政策需满足的资格要求：</w:t>
      </w:r>
    </w:p>
    <w:p>
      <w:pPr>
        <w:pStyle w:val="20"/>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textAlignment w:val="auto"/>
        <w:rPr>
          <w:color w:val="333333"/>
          <w:highlight w:val="none"/>
          <w:shd w:val="clear" w:color="auto" w:fill="FFFFFF"/>
        </w:rPr>
      </w:pPr>
      <w:r>
        <w:rPr>
          <w:rFonts w:hint="eastAsia"/>
          <w:color w:val="333333"/>
          <w:highlight w:val="none"/>
          <w:shd w:val="clear" w:color="auto" w:fill="FFFFFF"/>
        </w:rPr>
        <w:t>合同包</w:t>
      </w:r>
      <w:r>
        <w:rPr>
          <w:rFonts w:hint="eastAsia"/>
          <w:color w:val="333333"/>
          <w:highlight w:val="none"/>
          <w:shd w:val="clear" w:color="auto" w:fill="FFFFFF"/>
          <w:lang w:val="en-US" w:eastAsia="zh-CN"/>
        </w:rPr>
        <w:t>1</w:t>
      </w:r>
      <w:r>
        <w:rPr>
          <w:rFonts w:hint="eastAsia"/>
          <w:color w:val="333333"/>
          <w:highlight w:val="none"/>
          <w:shd w:val="clear" w:color="auto" w:fill="FFFFFF"/>
        </w:rPr>
        <w:t>(</w:t>
      </w:r>
      <w:r>
        <w:rPr>
          <w:rFonts w:hint="eastAsia"/>
          <w:color w:val="333333"/>
          <w:highlight w:val="none"/>
          <w:shd w:val="clear" w:color="auto" w:fill="FFFFFF"/>
          <w:lang w:val="en-US" w:eastAsia="zh-CN"/>
        </w:rPr>
        <w:t>JC-1西安、铜川、榆林、延安、渭南、韩城</w:t>
      </w:r>
      <w:r>
        <w:rPr>
          <w:rFonts w:hint="eastAsia"/>
          <w:color w:val="333333"/>
          <w:highlight w:val="none"/>
          <w:shd w:val="clear" w:color="auto" w:fill="FFFFFF"/>
          <w:lang w:eastAsia="zh-CN"/>
        </w:rPr>
        <w:t>)</w:t>
      </w:r>
      <w:r>
        <w:rPr>
          <w:rFonts w:hint="eastAsia"/>
          <w:color w:val="333333"/>
          <w:highlight w:val="none"/>
          <w:shd w:val="clear" w:color="auto" w:fill="FFFFFF"/>
        </w:rPr>
        <w:t>落实政府采购政策需满足的资格要求如下:</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eastAsia="宋体"/>
          <w:color w:val="333333"/>
          <w:highlight w:val="none"/>
          <w:shd w:val="clear" w:color="auto" w:fill="FFFFFF"/>
          <w:lang w:val="en-US" w:eastAsia="zh-CN"/>
        </w:rPr>
      </w:pPr>
      <w:r>
        <w:rPr>
          <w:rFonts w:hint="eastAsia"/>
          <w:color w:val="333333"/>
          <w:highlight w:val="none"/>
          <w:shd w:val="clear" w:color="auto" w:fill="FFFFFF"/>
        </w:rPr>
        <w:t>详见本公告“其他补充事宜”</w:t>
      </w:r>
    </w:p>
    <w:p>
      <w:pPr>
        <w:pStyle w:val="20"/>
        <w:keepNext w:val="0"/>
        <w:keepLines w:val="0"/>
        <w:pageBreakBefore w:val="0"/>
        <w:kinsoku/>
        <w:wordWrap/>
        <w:overflowPunct/>
        <w:topLinePunct w:val="0"/>
        <w:autoSpaceDE/>
        <w:autoSpaceDN/>
        <w:bidi w:val="0"/>
        <w:adjustRightInd/>
        <w:snapToGrid/>
        <w:spacing w:beforeAutospacing="0" w:afterAutospacing="0" w:line="540" w:lineRule="exact"/>
        <w:ind w:firstLine="420"/>
        <w:textAlignment w:val="auto"/>
        <w:rPr>
          <w:color w:val="333333"/>
          <w:highlight w:val="none"/>
          <w:shd w:val="clear" w:color="auto" w:fill="FFFFFF"/>
        </w:rPr>
      </w:pPr>
      <w:r>
        <w:rPr>
          <w:rFonts w:hint="eastAsia"/>
          <w:color w:val="333333"/>
          <w:highlight w:val="none"/>
          <w:shd w:val="clear" w:color="auto" w:fill="FFFFFF"/>
        </w:rPr>
        <w:t>合同包</w:t>
      </w:r>
      <w:r>
        <w:rPr>
          <w:rFonts w:hint="eastAsia"/>
          <w:color w:val="333333"/>
          <w:highlight w:val="none"/>
          <w:shd w:val="clear" w:color="auto" w:fill="FFFFFF"/>
          <w:lang w:val="en-US" w:eastAsia="zh-CN"/>
        </w:rPr>
        <w:t>2</w:t>
      </w:r>
      <w:r>
        <w:rPr>
          <w:rFonts w:hint="eastAsia"/>
          <w:color w:val="333333"/>
          <w:highlight w:val="none"/>
          <w:shd w:val="clear" w:color="auto" w:fill="FFFFFF"/>
        </w:rPr>
        <w:t>(</w:t>
      </w:r>
      <w:r>
        <w:rPr>
          <w:rFonts w:hint="eastAsia"/>
          <w:color w:val="333333"/>
          <w:highlight w:val="none"/>
          <w:shd w:val="clear" w:color="auto" w:fill="FFFFFF"/>
          <w:lang w:val="en-US" w:eastAsia="zh-CN"/>
        </w:rPr>
        <w:t>JC-2宝鸡、咸阳、汉中、安康、商洛</w:t>
      </w:r>
      <w:r>
        <w:rPr>
          <w:rFonts w:hint="eastAsia"/>
          <w:color w:val="333333"/>
          <w:highlight w:val="none"/>
          <w:shd w:val="clear" w:color="auto" w:fill="FFFFFF"/>
          <w:lang w:eastAsia="zh-CN"/>
        </w:rPr>
        <w:t>)</w:t>
      </w:r>
      <w:r>
        <w:rPr>
          <w:rFonts w:hint="eastAsia"/>
          <w:color w:val="333333"/>
          <w:highlight w:val="none"/>
          <w:shd w:val="clear" w:color="auto" w:fill="FFFFFF"/>
        </w:rPr>
        <w:t>落实政府采购政策需满足的资格要求如下:</w:t>
      </w:r>
    </w:p>
    <w:p>
      <w:pPr>
        <w:pStyle w:val="20"/>
        <w:keepNext w:val="0"/>
        <w:keepLines w:val="0"/>
        <w:pageBreakBefore w:val="0"/>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highlight w:val="none"/>
          <w:shd w:val="clear" w:color="auto" w:fill="FFFFFF"/>
        </w:rPr>
      </w:pPr>
      <w:r>
        <w:rPr>
          <w:rFonts w:hint="eastAsia"/>
          <w:color w:val="333333"/>
          <w:highlight w:val="none"/>
          <w:shd w:val="clear" w:color="auto" w:fill="FFFFFF"/>
        </w:rPr>
        <w:t>详见本公告“其他补充事宜”</w:t>
      </w:r>
    </w:p>
    <w:p>
      <w:pPr>
        <w:pStyle w:val="20"/>
        <w:keepNext w:val="0"/>
        <w:keepLines w:val="0"/>
        <w:pageBreakBefore w:val="0"/>
        <w:kinsoku/>
        <w:wordWrap/>
        <w:overflowPunct/>
        <w:topLinePunct w:val="0"/>
        <w:autoSpaceDE/>
        <w:autoSpaceDN/>
        <w:bidi w:val="0"/>
        <w:adjustRightInd/>
        <w:snapToGrid/>
        <w:spacing w:beforeAutospacing="0" w:afterAutospacing="0" w:line="540" w:lineRule="exact"/>
        <w:ind w:firstLine="420"/>
        <w:textAlignment w:val="auto"/>
        <w:rPr>
          <w:color w:val="333333"/>
          <w:highlight w:val="none"/>
          <w:shd w:val="clear" w:color="auto" w:fill="FFFFFF"/>
        </w:rPr>
      </w:pPr>
      <w:r>
        <w:rPr>
          <w:rFonts w:hint="eastAsia"/>
          <w:color w:val="333333"/>
          <w:highlight w:val="none"/>
          <w:shd w:val="clear" w:color="auto" w:fill="FFFFFF"/>
        </w:rPr>
        <w:t>3、本项目的特定资格要求：</w:t>
      </w:r>
    </w:p>
    <w:p>
      <w:pPr>
        <w:pStyle w:val="20"/>
        <w:keepNext w:val="0"/>
        <w:keepLines w:val="0"/>
        <w:pageBreakBefore w:val="0"/>
        <w:kinsoku/>
        <w:wordWrap/>
        <w:overflowPunct/>
        <w:topLinePunct w:val="0"/>
        <w:autoSpaceDE/>
        <w:autoSpaceDN/>
        <w:bidi w:val="0"/>
        <w:adjustRightInd/>
        <w:snapToGrid/>
        <w:spacing w:beforeAutospacing="0" w:afterAutospacing="0" w:line="540" w:lineRule="exact"/>
        <w:ind w:firstLine="420"/>
        <w:textAlignment w:val="auto"/>
        <w:rPr>
          <w:color w:val="333333"/>
          <w:highlight w:val="none"/>
          <w:shd w:val="clear" w:color="auto" w:fill="FFFFFF"/>
        </w:rPr>
      </w:pPr>
      <w:r>
        <w:rPr>
          <w:rFonts w:hint="eastAsia"/>
          <w:color w:val="333333"/>
          <w:highlight w:val="none"/>
          <w:shd w:val="clear" w:color="auto" w:fill="FFFFFF"/>
        </w:rPr>
        <w:t>合同包1(</w:t>
      </w:r>
      <w:r>
        <w:rPr>
          <w:rFonts w:hint="eastAsia"/>
          <w:color w:val="333333"/>
          <w:highlight w:val="none"/>
          <w:shd w:val="clear" w:color="auto" w:fill="FFFFFF"/>
          <w:lang w:val="en-US" w:eastAsia="zh-CN"/>
        </w:rPr>
        <w:t>JC-1西安、铜川、榆林、延安、渭南、韩城</w:t>
      </w:r>
      <w:r>
        <w:rPr>
          <w:rFonts w:hint="eastAsia"/>
          <w:color w:val="333333"/>
          <w:highlight w:val="none"/>
          <w:shd w:val="clear" w:color="auto" w:fill="FFFFFF"/>
          <w:lang w:eastAsia="zh-CN"/>
        </w:rPr>
        <w:t>)</w:t>
      </w:r>
      <w:r>
        <w:rPr>
          <w:rFonts w:hint="eastAsia"/>
          <w:color w:val="333333"/>
          <w:highlight w:val="none"/>
          <w:shd w:val="clear" w:color="auto" w:fill="FFFFFF"/>
        </w:rPr>
        <w:t>特定资格要求如下:</w:t>
      </w:r>
    </w:p>
    <w:p>
      <w:pPr>
        <w:pStyle w:val="20"/>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highlight w:val="none"/>
        </w:rPr>
      </w:pPr>
      <w:r>
        <w:rPr>
          <w:rFonts w:hint="eastAsia"/>
          <w:color w:val="333333"/>
          <w:highlight w:val="none"/>
          <w:shd w:val="clear" w:color="auto" w:fill="FFFFFF"/>
          <w:lang w:eastAsia="zh-CN"/>
        </w:rPr>
        <w:t>（</w:t>
      </w:r>
      <w:r>
        <w:rPr>
          <w:rFonts w:hint="eastAsia"/>
          <w:color w:val="333333"/>
          <w:highlight w:val="none"/>
          <w:shd w:val="clear" w:color="auto" w:fill="FFFFFF"/>
          <w:lang w:val="en-US" w:eastAsia="zh-CN"/>
        </w:rPr>
        <w:t>1</w:t>
      </w:r>
      <w:r>
        <w:rPr>
          <w:rFonts w:hint="eastAsia"/>
          <w:color w:val="333333"/>
          <w:highlight w:val="none"/>
          <w:shd w:val="clear" w:color="auto" w:fill="FFFFFF"/>
          <w:lang w:eastAsia="zh-CN"/>
        </w:rPr>
        <w:t>）</w:t>
      </w:r>
      <w:r>
        <w:rPr>
          <w:rFonts w:hint="eastAsia"/>
          <w:color w:val="333333"/>
          <w:highlight w:val="none"/>
          <w:shd w:val="clear" w:color="auto" w:fill="FFFFFF"/>
        </w:rPr>
        <w:t>法定代表人直接参加磋商的，须出具法定代表人身份证明书及身份证；法定代表人授权代表参加磋商的，须出具法定代表人授权书及授权代表身份证；（2）磋商保证金缴纳凭证或担保机构出具的保函；</w:t>
      </w:r>
      <w:r>
        <w:rPr>
          <w:rFonts w:hint="eastAsia" w:ascii="宋体" w:hAnsi="宋体" w:eastAsia="宋体" w:cs="宋体"/>
          <w:color w:val="333333"/>
          <w:highlight w:val="none"/>
          <w:shd w:val="clear" w:color="auto" w:fill="FFFFFF"/>
        </w:rPr>
        <w:t>（3）</w:t>
      </w:r>
      <w:r>
        <w:rPr>
          <w:rFonts w:hint="eastAsia" w:cs="宋体"/>
          <w:color w:val="333333"/>
          <w:highlight w:val="none"/>
          <w:shd w:val="clear" w:color="auto" w:fill="FFFFFF"/>
          <w:lang w:val="en-US" w:eastAsia="zh-CN"/>
        </w:rPr>
        <w:t>供应商须</w:t>
      </w:r>
      <w:r>
        <w:rPr>
          <w:rFonts w:hint="eastAsia" w:cs="宋体"/>
          <w:color w:val="333333"/>
          <w:highlight w:val="none"/>
          <w:shd w:val="clear" w:color="auto" w:fill="FFFFFF"/>
          <w:lang w:eastAsia="zh-CN"/>
        </w:rPr>
        <w:t>具有交通运输部质量监督机构颁发的公路工程试验检测综合甲级资质</w:t>
      </w:r>
      <w:r>
        <w:rPr>
          <w:rFonts w:hint="eastAsia" w:cs="宋体"/>
          <w:color w:val="333333"/>
          <w:highlight w:val="none"/>
          <w:shd w:val="clear" w:color="auto" w:fill="FFFFFF"/>
          <w:lang w:val="en-US" w:eastAsia="zh-CN"/>
        </w:rPr>
        <w:t>或桥梁工程试验检测专项类资质。同时供应商须具备有效的</w:t>
      </w:r>
      <w:r>
        <w:rPr>
          <w:rFonts w:hint="eastAsia" w:cs="宋体"/>
          <w:color w:val="333333"/>
          <w:highlight w:val="none"/>
          <w:shd w:val="clear" w:color="auto" w:fill="FFFFFF"/>
          <w:lang w:eastAsia="zh-CN"/>
        </w:rPr>
        <w:t>国家质量技术监督部门颁发的</w:t>
      </w:r>
      <w:r>
        <w:rPr>
          <w:rFonts w:hint="eastAsia" w:cs="宋体"/>
          <w:color w:val="333333"/>
          <w:highlight w:val="none"/>
          <w:shd w:val="clear" w:color="auto" w:fill="FFFFFF"/>
          <w:lang w:val="en-US" w:eastAsia="zh-CN"/>
        </w:rPr>
        <w:t>省部级以上</w:t>
      </w:r>
      <w:r>
        <w:rPr>
          <w:rFonts w:hint="eastAsia" w:cs="宋体"/>
          <w:color w:val="333333"/>
          <w:highlight w:val="none"/>
          <w:shd w:val="clear" w:color="auto" w:fill="FFFFFF"/>
          <w:lang w:eastAsia="zh-CN"/>
        </w:rPr>
        <w:t>计量认证CMA合格证书（具有</w:t>
      </w:r>
      <w:r>
        <w:rPr>
          <w:rFonts w:hint="eastAsia" w:cs="宋体"/>
          <w:color w:val="333333"/>
          <w:highlight w:val="none"/>
          <w:shd w:val="clear" w:color="auto" w:fill="FFFFFF"/>
          <w:lang w:val="en-US" w:eastAsia="zh-CN"/>
        </w:rPr>
        <w:t>桥梁、隧道检测能力</w:t>
      </w:r>
      <w:r>
        <w:rPr>
          <w:rFonts w:hint="eastAsia" w:cs="宋体"/>
          <w:color w:val="333333"/>
          <w:highlight w:val="none"/>
          <w:shd w:val="clear" w:color="auto" w:fill="FFFFFF"/>
          <w:lang w:eastAsia="zh-CN"/>
        </w:rPr>
        <w:t>），上述证书均须在有效期内。</w:t>
      </w:r>
      <w:r>
        <w:rPr>
          <w:rFonts w:hint="eastAsia" w:ascii="宋体" w:hAnsi="宋体" w:eastAsia="宋体" w:cs="宋体"/>
          <w:color w:val="333333"/>
          <w:highlight w:val="none"/>
          <w:shd w:val="clear" w:color="auto" w:fill="FFFFFF"/>
        </w:rPr>
        <w:t>（4）供应商未被“信用中国”网站</w:t>
      </w:r>
      <w:r>
        <w:rPr>
          <w:rFonts w:hint="eastAsia"/>
          <w:color w:val="333333"/>
          <w:highlight w:val="none"/>
          <w:shd w:val="clear" w:color="auto" w:fill="FFFFFF"/>
        </w:rPr>
        <w:t>（www.creditchina.gov.cn）中列入失信被执行人和税收违法</w:t>
      </w:r>
      <w:r>
        <w:rPr>
          <w:rFonts w:hint="eastAsia"/>
          <w:color w:val="333333"/>
          <w:highlight w:val="none"/>
          <w:shd w:val="clear" w:color="auto" w:fill="FFFFFF"/>
          <w:lang w:val="en-US" w:eastAsia="zh-CN"/>
        </w:rPr>
        <w:t>黑</w:t>
      </w:r>
      <w:r>
        <w:rPr>
          <w:rFonts w:hint="eastAsia"/>
          <w:color w:val="333333"/>
          <w:highlight w:val="none"/>
          <w:shd w:val="clear" w:color="auto" w:fill="FFFFFF"/>
        </w:rPr>
        <w:t>名单，在中国政府采购网（www.ccgp.gov.cn）政府采购严重违法失信行为记录名单中未被财政部门禁止参加政府采购活动的供应商，未被省级及以上交通运输主管部门限制进入公路建养市场，且</w:t>
      </w:r>
      <w:r>
        <w:rPr>
          <w:rFonts w:hint="eastAsia"/>
          <w:color w:val="333333"/>
          <w:highlight w:val="none"/>
          <w:shd w:val="clear" w:color="auto" w:fill="FFFFFF"/>
          <w:lang w:val="en-US" w:eastAsia="zh-CN"/>
        </w:rPr>
        <w:t>不</w:t>
      </w:r>
      <w:r>
        <w:rPr>
          <w:rFonts w:hint="eastAsia"/>
          <w:color w:val="333333"/>
          <w:highlight w:val="none"/>
          <w:shd w:val="clear" w:color="auto" w:fill="FFFFFF"/>
        </w:rPr>
        <w:t>在处罚有效期内。</w:t>
      </w:r>
    </w:p>
    <w:p>
      <w:pPr>
        <w:pStyle w:val="20"/>
        <w:keepNext w:val="0"/>
        <w:keepLines w:val="0"/>
        <w:pageBreakBefore w:val="0"/>
        <w:kinsoku/>
        <w:wordWrap/>
        <w:overflowPunct/>
        <w:topLinePunct w:val="0"/>
        <w:autoSpaceDE/>
        <w:autoSpaceDN/>
        <w:bidi w:val="0"/>
        <w:adjustRightInd/>
        <w:snapToGrid/>
        <w:spacing w:beforeAutospacing="0" w:afterAutospacing="0" w:line="540" w:lineRule="exact"/>
        <w:ind w:firstLine="420"/>
        <w:textAlignment w:val="auto"/>
        <w:rPr>
          <w:color w:val="333333"/>
          <w:highlight w:val="none"/>
          <w:shd w:val="clear" w:color="auto" w:fill="FFFFFF"/>
        </w:rPr>
      </w:pPr>
      <w:r>
        <w:rPr>
          <w:rFonts w:hint="eastAsia"/>
          <w:color w:val="333333"/>
          <w:highlight w:val="none"/>
          <w:shd w:val="clear" w:color="auto" w:fill="FFFFFF"/>
        </w:rPr>
        <w:t>合同包</w:t>
      </w:r>
      <w:r>
        <w:rPr>
          <w:rFonts w:hint="eastAsia"/>
          <w:color w:val="333333"/>
          <w:highlight w:val="none"/>
          <w:shd w:val="clear" w:color="auto" w:fill="FFFFFF"/>
          <w:lang w:val="en-US" w:eastAsia="zh-CN"/>
        </w:rPr>
        <w:t>2</w:t>
      </w:r>
      <w:r>
        <w:rPr>
          <w:rFonts w:hint="eastAsia"/>
          <w:color w:val="333333"/>
          <w:highlight w:val="none"/>
          <w:shd w:val="clear" w:color="auto" w:fill="FFFFFF"/>
        </w:rPr>
        <w:t>(</w:t>
      </w:r>
      <w:r>
        <w:rPr>
          <w:rFonts w:hint="eastAsia"/>
          <w:color w:val="333333"/>
          <w:highlight w:val="none"/>
          <w:shd w:val="clear" w:color="auto" w:fill="FFFFFF"/>
          <w:lang w:val="en-US" w:eastAsia="zh-CN"/>
        </w:rPr>
        <w:t>JC-2宝鸡、咸阳、汉中、安康、商洛</w:t>
      </w:r>
      <w:r>
        <w:rPr>
          <w:rFonts w:hint="eastAsia"/>
          <w:color w:val="333333"/>
          <w:highlight w:val="none"/>
          <w:shd w:val="clear" w:color="auto" w:fill="FFFFFF"/>
          <w:lang w:eastAsia="zh-CN"/>
        </w:rPr>
        <w:t>)</w:t>
      </w:r>
      <w:r>
        <w:rPr>
          <w:rFonts w:hint="eastAsia"/>
          <w:color w:val="333333"/>
          <w:highlight w:val="none"/>
          <w:shd w:val="clear" w:color="auto" w:fill="FFFFFF"/>
        </w:rPr>
        <w:t>特定资格要求如下:</w:t>
      </w:r>
    </w:p>
    <w:p>
      <w:pPr>
        <w:pStyle w:val="20"/>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highlight w:val="none"/>
        </w:rPr>
      </w:pPr>
      <w:r>
        <w:rPr>
          <w:rFonts w:hint="eastAsia"/>
          <w:color w:val="333333"/>
          <w:highlight w:val="none"/>
          <w:shd w:val="clear" w:color="auto" w:fill="FFFFFF"/>
          <w:lang w:eastAsia="zh-CN"/>
        </w:rPr>
        <w:t>（</w:t>
      </w:r>
      <w:r>
        <w:rPr>
          <w:rFonts w:hint="eastAsia"/>
          <w:color w:val="333333"/>
          <w:highlight w:val="none"/>
          <w:shd w:val="clear" w:color="auto" w:fill="FFFFFF"/>
          <w:lang w:val="en-US" w:eastAsia="zh-CN"/>
        </w:rPr>
        <w:t>1</w:t>
      </w:r>
      <w:r>
        <w:rPr>
          <w:rFonts w:hint="eastAsia"/>
          <w:color w:val="333333"/>
          <w:highlight w:val="none"/>
          <w:shd w:val="clear" w:color="auto" w:fill="FFFFFF"/>
          <w:lang w:eastAsia="zh-CN"/>
        </w:rPr>
        <w:t>）</w:t>
      </w:r>
      <w:r>
        <w:rPr>
          <w:rFonts w:hint="eastAsia"/>
          <w:color w:val="333333"/>
          <w:highlight w:val="none"/>
          <w:shd w:val="clear" w:color="auto" w:fill="FFFFFF"/>
        </w:rPr>
        <w:t>法定代表人直接参加磋商的，须出具法定代表人身份证明书及身份证；法定代表人授权代表参加磋商的，须出具法定代表人授权书及授权代表身份证；（2）磋商保证金缴纳凭证或担保机构出具的保函；</w:t>
      </w:r>
      <w:r>
        <w:rPr>
          <w:rFonts w:hint="eastAsia" w:ascii="宋体" w:hAnsi="宋体" w:eastAsia="宋体" w:cs="宋体"/>
          <w:color w:val="333333"/>
          <w:highlight w:val="none"/>
          <w:shd w:val="clear" w:color="auto" w:fill="FFFFFF"/>
        </w:rPr>
        <w:t>（3）</w:t>
      </w:r>
      <w:r>
        <w:rPr>
          <w:rFonts w:hint="eastAsia" w:cs="宋体"/>
          <w:color w:val="333333"/>
          <w:highlight w:val="none"/>
          <w:shd w:val="clear" w:color="auto" w:fill="FFFFFF"/>
          <w:lang w:val="en-US" w:eastAsia="zh-CN"/>
        </w:rPr>
        <w:t>供应商须</w:t>
      </w:r>
      <w:r>
        <w:rPr>
          <w:rFonts w:hint="eastAsia" w:cs="宋体"/>
          <w:color w:val="333333"/>
          <w:highlight w:val="none"/>
          <w:shd w:val="clear" w:color="auto" w:fill="FFFFFF"/>
          <w:lang w:eastAsia="zh-CN"/>
        </w:rPr>
        <w:t>具有交通运输部质量监督机构颁发的公路工程试验检测综合甲级资质</w:t>
      </w:r>
      <w:r>
        <w:rPr>
          <w:rFonts w:hint="eastAsia" w:cs="宋体"/>
          <w:color w:val="333333"/>
          <w:highlight w:val="none"/>
          <w:shd w:val="clear" w:color="auto" w:fill="FFFFFF"/>
          <w:lang w:val="en-US" w:eastAsia="zh-CN"/>
        </w:rPr>
        <w:t>或桥梁工程试验检测专项类资质。同时供应商须具备有效的</w:t>
      </w:r>
      <w:r>
        <w:rPr>
          <w:rFonts w:hint="eastAsia" w:cs="宋体"/>
          <w:color w:val="333333"/>
          <w:highlight w:val="none"/>
          <w:shd w:val="clear" w:color="auto" w:fill="FFFFFF"/>
          <w:lang w:eastAsia="zh-CN"/>
        </w:rPr>
        <w:t>国家质量技术监督部门颁发的</w:t>
      </w:r>
      <w:r>
        <w:rPr>
          <w:rFonts w:hint="eastAsia" w:cs="宋体"/>
          <w:color w:val="333333"/>
          <w:highlight w:val="none"/>
          <w:shd w:val="clear" w:color="auto" w:fill="FFFFFF"/>
          <w:lang w:val="en-US" w:eastAsia="zh-CN"/>
        </w:rPr>
        <w:t>省部级以上</w:t>
      </w:r>
      <w:r>
        <w:rPr>
          <w:rFonts w:hint="eastAsia" w:cs="宋体"/>
          <w:color w:val="333333"/>
          <w:highlight w:val="none"/>
          <w:shd w:val="clear" w:color="auto" w:fill="FFFFFF"/>
          <w:lang w:eastAsia="zh-CN"/>
        </w:rPr>
        <w:t>计量认证CMA合格证书（具有</w:t>
      </w:r>
      <w:r>
        <w:rPr>
          <w:rFonts w:hint="eastAsia" w:cs="宋体"/>
          <w:color w:val="333333"/>
          <w:highlight w:val="none"/>
          <w:shd w:val="clear" w:color="auto" w:fill="FFFFFF"/>
          <w:lang w:val="en-US" w:eastAsia="zh-CN"/>
        </w:rPr>
        <w:t>桥梁、隧道检测能力</w:t>
      </w:r>
      <w:r>
        <w:rPr>
          <w:rFonts w:hint="eastAsia" w:cs="宋体"/>
          <w:color w:val="333333"/>
          <w:highlight w:val="none"/>
          <w:shd w:val="clear" w:color="auto" w:fill="FFFFFF"/>
          <w:lang w:eastAsia="zh-CN"/>
        </w:rPr>
        <w:t>），上述证书均须在有效期内。</w:t>
      </w:r>
      <w:r>
        <w:rPr>
          <w:rFonts w:hint="eastAsia" w:ascii="宋体" w:hAnsi="宋体" w:eastAsia="宋体" w:cs="宋体"/>
          <w:color w:val="333333"/>
          <w:highlight w:val="none"/>
          <w:shd w:val="clear" w:color="auto" w:fill="FFFFFF"/>
        </w:rPr>
        <w:t>（4）供应商未被“信用中国”网站</w:t>
      </w:r>
      <w:r>
        <w:rPr>
          <w:rFonts w:hint="eastAsia"/>
          <w:color w:val="333333"/>
          <w:highlight w:val="none"/>
          <w:shd w:val="clear" w:color="auto" w:fill="FFFFFF"/>
        </w:rPr>
        <w:t>（www.creditchina.gov.cn）中列入失信被执行人和税收违法</w:t>
      </w:r>
      <w:r>
        <w:rPr>
          <w:rFonts w:hint="eastAsia"/>
          <w:color w:val="333333"/>
          <w:highlight w:val="none"/>
          <w:shd w:val="clear" w:color="auto" w:fill="FFFFFF"/>
          <w:lang w:val="en-US" w:eastAsia="zh-CN"/>
        </w:rPr>
        <w:t>黑</w:t>
      </w:r>
      <w:r>
        <w:rPr>
          <w:rFonts w:hint="eastAsia"/>
          <w:color w:val="333333"/>
          <w:highlight w:val="none"/>
          <w:shd w:val="clear" w:color="auto" w:fill="FFFFFF"/>
        </w:rPr>
        <w:t>名单，在中国政府采购网（www.ccgp.gov.cn）政府采购严重违法失信行为记录名单中未被财政部门禁止参加政府采购活动的供应商，未被省级及以上交通运输主管部门限制进入公路建养市场，且</w:t>
      </w:r>
      <w:r>
        <w:rPr>
          <w:rFonts w:hint="eastAsia"/>
          <w:color w:val="333333"/>
          <w:highlight w:val="none"/>
          <w:shd w:val="clear" w:color="auto" w:fill="FFFFFF"/>
          <w:lang w:val="en-US" w:eastAsia="zh-CN"/>
        </w:rPr>
        <w:t>不</w:t>
      </w:r>
      <w:r>
        <w:rPr>
          <w:rFonts w:hint="eastAsia"/>
          <w:color w:val="333333"/>
          <w:highlight w:val="none"/>
          <w:shd w:val="clear" w:color="auto" w:fill="FFFFFF"/>
        </w:rPr>
        <w:t>在处罚有效期内。</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textAlignment w:val="auto"/>
        <w:rPr>
          <w:color w:val="333333"/>
          <w:highlight w:val="none"/>
          <w:shd w:val="clear" w:color="auto" w:fill="FFFFFF"/>
        </w:rPr>
      </w:pPr>
      <w:r>
        <w:rPr>
          <w:rFonts w:hint="eastAsia"/>
          <w:b/>
          <w:bCs/>
          <w:color w:val="333333"/>
          <w:highlight w:val="none"/>
          <w:shd w:val="clear" w:color="auto" w:fill="FFFFFF"/>
        </w:rPr>
        <w:t>三、 获取采购文件</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color w:val="333333"/>
          <w:highlight w:val="none"/>
          <w:shd w:val="clear" w:color="auto" w:fill="FFFFFF"/>
        </w:rPr>
      </w:pPr>
      <w:r>
        <w:rPr>
          <w:rFonts w:hint="eastAsia"/>
          <w:color w:val="333333"/>
          <w:highlight w:val="none"/>
          <w:shd w:val="clear" w:color="auto" w:fill="FFFFFF"/>
        </w:rPr>
        <w:t>时间： 20</w:t>
      </w:r>
      <w:r>
        <w:rPr>
          <w:rFonts w:hint="eastAsia"/>
          <w:color w:val="333333"/>
          <w:highlight w:val="none"/>
          <w:shd w:val="clear" w:color="auto" w:fill="FFFFFF"/>
          <w:lang w:val="en-US" w:eastAsia="zh-CN"/>
        </w:rPr>
        <w:t>23</w:t>
      </w:r>
      <w:r>
        <w:rPr>
          <w:rFonts w:hint="eastAsia"/>
          <w:color w:val="333333"/>
          <w:highlight w:val="none"/>
          <w:shd w:val="clear" w:color="auto" w:fill="FFFFFF"/>
        </w:rPr>
        <w:t>年</w:t>
      </w:r>
      <w:r>
        <w:rPr>
          <w:rFonts w:hint="eastAsia"/>
          <w:color w:val="333333"/>
          <w:highlight w:val="none"/>
          <w:shd w:val="clear" w:color="auto" w:fill="FFFFFF"/>
          <w:lang w:val="en-US" w:eastAsia="zh-CN"/>
        </w:rPr>
        <w:t>07</w:t>
      </w:r>
      <w:r>
        <w:rPr>
          <w:rFonts w:hint="eastAsia"/>
          <w:color w:val="333333"/>
          <w:highlight w:val="none"/>
          <w:shd w:val="clear" w:color="auto" w:fill="FFFFFF"/>
        </w:rPr>
        <w:t>月</w:t>
      </w:r>
      <w:r>
        <w:rPr>
          <w:rFonts w:hint="eastAsia"/>
          <w:color w:val="333333"/>
          <w:highlight w:val="none"/>
          <w:shd w:val="clear" w:color="auto" w:fill="FFFFFF"/>
          <w:lang w:val="en-US" w:eastAsia="zh-CN"/>
        </w:rPr>
        <w:t>04</w:t>
      </w:r>
      <w:r>
        <w:rPr>
          <w:rFonts w:hint="eastAsia"/>
          <w:color w:val="333333"/>
          <w:highlight w:val="none"/>
          <w:shd w:val="clear" w:color="auto" w:fill="FFFFFF"/>
        </w:rPr>
        <w:t>日 至 20</w:t>
      </w:r>
      <w:r>
        <w:rPr>
          <w:rFonts w:hint="eastAsia"/>
          <w:color w:val="333333"/>
          <w:highlight w:val="none"/>
          <w:shd w:val="clear" w:color="auto" w:fill="FFFFFF"/>
          <w:lang w:val="en-US" w:eastAsia="zh-CN"/>
        </w:rPr>
        <w:t>23</w:t>
      </w:r>
      <w:r>
        <w:rPr>
          <w:rFonts w:hint="eastAsia"/>
          <w:color w:val="333333"/>
          <w:highlight w:val="none"/>
          <w:shd w:val="clear" w:color="auto" w:fill="FFFFFF"/>
        </w:rPr>
        <w:t>年</w:t>
      </w:r>
      <w:r>
        <w:rPr>
          <w:rFonts w:hint="eastAsia"/>
          <w:color w:val="333333"/>
          <w:highlight w:val="none"/>
          <w:shd w:val="clear" w:color="auto" w:fill="FFFFFF"/>
          <w:lang w:val="en-US" w:eastAsia="zh-CN"/>
        </w:rPr>
        <w:t>07</w:t>
      </w:r>
      <w:r>
        <w:rPr>
          <w:rFonts w:hint="eastAsia"/>
          <w:color w:val="333333"/>
          <w:highlight w:val="none"/>
          <w:shd w:val="clear" w:color="auto" w:fill="FFFFFF"/>
        </w:rPr>
        <w:t>月</w:t>
      </w:r>
      <w:r>
        <w:rPr>
          <w:rFonts w:hint="eastAsia"/>
          <w:color w:val="333333"/>
          <w:highlight w:val="none"/>
          <w:shd w:val="clear" w:color="auto" w:fill="FFFFFF"/>
          <w:lang w:val="en-US" w:eastAsia="zh-CN"/>
        </w:rPr>
        <w:t>10</w:t>
      </w:r>
      <w:r>
        <w:rPr>
          <w:rFonts w:hint="eastAsia"/>
          <w:color w:val="333333"/>
          <w:highlight w:val="none"/>
          <w:shd w:val="clear" w:color="auto" w:fill="FFFFFF"/>
        </w:rPr>
        <w:t>日 ，每天上午 09:00:00 至 12:00:00 ，下午 14:00:00 至 17:00:00 （北京时间,法定节假日除外）</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rFonts w:hint="eastAsia" w:eastAsia="宋体"/>
          <w:color w:val="333333"/>
          <w:highlight w:val="none"/>
          <w:shd w:val="clear" w:color="auto" w:fill="FFFFFF"/>
          <w:lang w:eastAsia="zh-CN"/>
        </w:rPr>
      </w:pPr>
      <w:r>
        <w:rPr>
          <w:rFonts w:hint="eastAsia"/>
          <w:color w:val="333333"/>
          <w:highlight w:val="none"/>
          <w:shd w:val="clear" w:color="auto" w:fill="FFFFFF"/>
        </w:rPr>
        <w:t>地点：</w:t>
      </w:r>
      <w:r>
        <w:rPr>
          <w:rFonts w:hint="eastAsia"/>
          <w:color w:val="333333"/>
          <w:highlight w:val="none"/>
          <w:shd w:val="clear" w:color="auto" w:fill="FFFFFF"/>
          <w:lang w:eastAsia="zh-CN"/>
        </w:rPr>
        <w:t>西安市航天基地飞天路北航科技园5号楼1单元2楼</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color w:val="333333"/>
          <w:highlight w:val="none"/>
          <w:shd w:val="clear" w:color="auto" w:fill="FFFFFF"/>
        </w:rPr>
      </w:pPr>
      <w:r>
        <w:rPr>
          <w:rFonts w:hint="eastAsia"/>
          <w:color w:val="333333"/>
          <w:highlight w:val="none"/>
          <w:shd w:val="clear" w:color="auto" w:fill="FFFFFF"/>
        </w:rPr>
        <w:t>方式：现场获取</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rFonts w:hint="default" w:eastAsia="宋体"/>
          <w:color w:val="333333"/>
          <w:highlight w:val="none"/>
          <w:shd w:val="clear" w:color="auto" w:fill="FFFFFF"/>
          <w:lang w:val="en-US" w:eastAsia="zh-CN"/>
        </w:rPr>
      </w:pPr>
      <w:r>
        <w:rPr>
          <w:rFonts w:hint="eastAsia"/>
          <w:color w:val="333333"/>
          <w:highlight w:val="none"/>
          <w:shd w:val="clear" w:color="auto" w:fill="FFFFFF"/>
        </w:rPr>
        <w:t>售价：</w:t>
      </w:r>
      <w:r>
        <w:rPr>
          <w:rFonts w:hint="eastAsia"/>
          <w:color w:val="333333"/>
          <w:highlight w:val="none"/>
          <w:shd w:val="clear" w:color="auto" w:fill="FFFFFF"/>
          <w:lang w:val="en-US" w:eastAsia="zh-CN"/>
        </w:rPr>
        <w:t>300</w:t>
      </w:r>
      <w:r>
        <w:rPr>
          <w:rFonts w:hint="eastAsia"/>
          <w:color w:val="333333"/>
          <w:highlight w:val="none"/>
          <w:shd w:val="clear" w:color="auto" w:fill="FFFFFF"/>
        </w:rPr>
        <w:t>元</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textAlignment w:val="auto"/>
        <w:rPr>
          <w:b/>
          <w:bCs/>
          <w:color w:val="333333"/>
          <w:highlight w:val="none"/>
          <w:shd w:val="clear" w:color="auto" w:fill="FFFFFF"/>
        </w:rPr>
      </w:pPr>
      <w:r>
        <w:rPr>
          <w:rFonts w:hint="eastAsia"/>
          <w:b/>
          <w:bCs/>
          <w:color w:val="333333"/>
          <w:highlight w:val="none"/>
          <w:shd w:val="clear" w:color="auto" w:fill="FFFFFF"/>
        </w:rPr>
        <w:t>四、 响应文件的提交</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color w:val="333333"/>
          <w:highlight w:val="none"/>
          <w:shd w:val="clear" w:color="auto" w:fill="FFFFFF"/>
        </w:rPr>
      </w:pPr>
      <w:r>
        <w:rPr>
          <w:rFonts w:hint="eastAsia"/>
          <w:color w:val="333333"/>
          <w:highlight w:val="none"/>
          <w:shd w:val="clear" w:color="auto" w:fill="FFFFFF"/>
        </w:rPr>
        <w:t>截止时间：202</w:t>
      </w:r>
      <w:r>
        <w:rPr>
          <w:rFonts w:hint="eastAsia"/>
          <w:color w:val="333333"/>
          <w:highlight w:val="none"/>
          <w:shd w:val="clear" w:color="auto" w:fill="FFFFFF"/>
          <w:lang w:val="en-US" w:eastAsia="zh-CN"/>
        </w:rPr>
        <w:t>3</w:t>
      </w:r>
      <w:r>
        <w:rPr>
          <w:rFonts w:hint="eastAsia"/>
          <w:color w:val="333333"/>
          <w:highlight w:val="none"/>
          <w:shd w:val="clear" w:color="auto" w:fill="FFFFFF"/>
        </w:rPr>
        <w:t>年</w:t>
      </w:r>
      <w:r>
        <w:rPr>
          <w:rFonts w:hint="eastAsia"/>
          <w:color w:val="333333"/>
          <w:highlight w:val="none"/>
          <w:shd w:val="clear" w:color="auto" w:fill="FFFFFF"/>
          <w:lang w:val="en-US" w:eastAsia="zh-CN"/>
        </w:rPr>
        <w:t>07</w:t>
      </w:r>
      <w:r>
        <w:rPr>
          <w:rFonts w:hint="eastAsia"/>
          <w:color w:val="333333"/>
          <w:highlight w:val="none"/>
          <w:shd w:val="clear" w:color="auto" w:fill="FFFFFF"/>
        </w:rPr>
        <w:t>月</w:t>
      </w:r>
      <w:r>
        <w:rPr>
          <w:rFonts w:hint="eastAsia"/>
          <w:color w:val="333333"/>
          <w:highlight w:val="none"/>
          <w:shd w:val="clear" w:color="auto" w:fill="FFFFFF"/>
          <w:lang w:val="en-US" w:eastAsia="zh-CN"/>
        </w:rPr>
        <w:t>19</w:t>
      </w:r>
      <w:r>
        <w:rPr>
          <w:rFonts w:hint="eastAsia"/>
          <w:color w:val="333333"/>
          <w:highlight w:val="none"/>
          <w:shd w:val="clear" w:color="auto" w:fill="FFFFFF"/>
        </w:rPr>
        <w:t>日</w:t>
      </w:r>
      <w:r>
        <w:rPr>
          <w:rFonts w:hint="eastAsia"/>
          <w:color w:val="333333"/>
          <w:highlight w:val="none"/>
          <w:shd w:val="clear" w:color="auto" w:fill="FFFFFF"/>
          <w:lang w:val="en-US" w:eastAsia="zh-CN"/>
        </w:rPr>
        <w:t>10时00分</w:t>
      </w:r>
      <w:r>
        <w:rPr>
          <w:rFonts w:hint="eastAsia"/>
          <w:color w:val="333333"/>
          <w:highlight w:val="none"/>
          <w:shd w:val="clear" w:color="auto" w:fill="FFFFFF"/>
        </w:rPr>
        <w:t xml:space="preserve"> （北京时间）</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rFonts w:hint="eastAsia" w:eastAsia="宋体"/>
          <w:color w:val="333333"/>
          <w:highlight w:val="none"/>
          <w:shd w:val="clear" w:color="auto" w:fill="FFFFFF"/>
          <w:lang w:eastAsia="zh-CN"/>
        </w:rPr>
      </w:pPr>
      <w:r>
        <w:rPr>
          <w:rFonts w:hint="eastAsia"/>
          <w:color w:val="333333"/>
          <w:highlight w:val="none"/>
          <w:shd w:val="clear" w:color="auto" w:fill="FFFFFF"/>
        </w:rPr>
        <w:t>地点：</w:t>
      </w:r>
      <w:r>
        <w:rPr>
          <w:rFonts w:hint="eastAsia"/>
          <w:color w:val="333333"/>
          <w:highlight w:val="none"/>
          <w:shd w:val="clear" w:color="auto" w:fill="FFFFFF"/>
          <w:lang w:eastAsia="zh-CN"/>
        </w:rPr>
        <w:t>西安市航天基地飞天路北航科技园5号楼1单元2楼</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textAlignment w:val="auto"/>
        <w:rPr>
          <w:b/>
          <w:bCs/>
          <w:color w:val="333333"/>
          <w:highlight w:val="none"/>
          <w:shd w:val="clear" w:color="auto" w:fill="FFFFFF"/>
        </w:rPr>
      </w:pPr>
      <w:r>
        <w:rPr>
          <w:rFonts w:hint="eastAsia"/>
          <w:b/>
          <w:bCs/>
          <w:color w:val="333333"/>
          <w:highlight w:val="none"/>
          <w:shd w:val="clear" w:color="auto" w:fill="FFFFFF"/>
        </w:rPr>
        <w:t>五、 开启</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color w:val="333333"/>
          <w:highlight w:val="none"/>
          <w:shd w:val="clear" w:color="auto" w:fill="FFFFFF"/>
        </w:rPr>
      </w:pPr>
      <w:r>
        <w:rPr>
          <w:rFonts w:hint="eastAsia"/>
          <w:color w:val="333333"/>
          <w:highlight w:val="none"/>
          <w:shd w:val="clear" w:color="auto" w:fill="FFFFFF"/>
        </w:rPr>
        <w:t>时间：202</w:t>
      </w:r>
      <w:r>
        <w:rPr>
          <w:rFonts w:hint="eastAsia"/>
          <w:color w:val="333333"/>
          <w:highlight w:val="none"/>
          <w:shd w:val="clear" w:color="auto" w:fill="FFFFFF"/>
          <w:lang w:val="en-US" w:eastAsia="zh-CN"/>
        </w:rPr>
        <w:t>3</w:t>
      </w:r>
      <w:r>
        <w:rPr>
          <w:rFonts w:hint="eastAsia"/>
          <w:color w:val="333333"/>
          <w:highlight w:val="none"/>
          <w:shd w:val="clear" w:color="auto" w:fill="FFFFFF"/>
        </w:rPr>
        <w:t>年</w:t>
      </w:r>
      <w:r>
        <w:rPr>
          <w:rFonts w:hint="eastAsia"/>
          <w:color w:val="333333"/>
          <w:highlight w:val="none"/>
          <w:shd w:val="clear" w:color="auto" w:fill="FFFFFF"/>
          <w:lang w:val="en-US" w:eastAsia="zh-CN"/>
        </w:rPr>
        <w:t>07</w:t>
      </w:r>
      <w:r>
        <w:rPr>
          <w:rFonts w:hint="eastAsia"/>
          <w:color w:val="333333"/>
          <w:highlight w:val="none"/>
          <w:shd w:val="clear" w:color="auto" w:fill="FFFFFF"/>
        </w:rPr>
        <w:t>月</w:t>
      </w:r>
      <w:r>
        <w:rPr>
          <w:rFonts w:hint="eastAsia"/>
          <w:color w:val="333333"/>
          <w:highlight w:val="none"/>
          <w:shd w:val="clear" w:color="auto" w:fill="FFFFFF"/>
          <w:lang w:val="en-US" w:eastAsia="zh-CN"/>
        </w:rPr>
        <w:t>19</w:t>
      </w:r>
      <w:r>
        <w:rPr>
          <w:rFonts w:hint="eastAsia"/>
          <w:color w:val="333333"/>
          <w:highlight w:val="none"/>
          <w:shd w:val="clear" w:color="auto" w:fill="FFFFFF"/>
        </w:rPr>
        <w:t>日</w:t>
      </w:r>
      <w:r>
        <w:rPr>
          <w:rFonts w:hint="eastAsia"/>
          <w:color w:val="333333"/>
          <w:highlight w:val="none"/>
          <w:shd w:val="clear" w:color="auto" w:fill="FFFFFF"/>
          <w:lang w:val="en-US" w:eastAsia="zh-CN"/>
        </w:rPr>
        <w:t>10时00分</w:t>
      </w:r>
      <w:r>
        <w:rPr>
          <w:rFonts w:hint="eastAsia"/>
          <w:color w:val="333333"/>
          <w:highlight w:val="none"/>
          <w:shd w:val="clear" w:color="auto" w:fill="FFFFFF"/>
        </w:rPr>
        <w:t xml:space="preserve"> （北京时间）</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rFonts w:hint="eastAsia" w:eastAsia="宋体"/>
          <w:color w:val="333333"/>
          <w:highlight w:val="none"/>
          <w:shd w:val="clear" w:color="auto" w:fill="FFFFFF"/>
          <w:lang w:eastAsia="zh-CN"/>
        </w:rPr>
      </w:pPr>
      <w:r>
        <w:rPr>
          <w:rFonts w:hint="eastAsia"/>
          <w:color w:val="333333"/>
          <w:highlight w:val="none"/>
          <w:shd w:val="clear" w:color="auto" w:fill="FFFFFF"/>
        </w:rPr>
        <w:t>地点：</w:t>
      </w:r>
      <w:r>
        <w:rPr>
          <w:rFonts w:hint="eastAsia"/>
          <w:color w:val="333333"/>
          <w:highlight w:val="none"/>
          <w:shd w:val="clear" w:color="auto" w:fill="FFFFFF"/>
          <w:lang w:eastAsia="zh-CN"/>
        </w:rPr>
        <w:t>西安市航天基地飞天路北航科技园5号楼1单元2楼</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textAlignment w:val="auto"/>
        <w:rPr>
          <w:b/>
          <w:bCs/>
          <w:color w:val="333333"/>
          <w:highlight w:val="none"/>
          <w:shd w:val="clear" w:color="auto" w:fill="FFFFFF"/>
        </w:rPr>
      </w:pPr>
      <w:r>
        <w:rPr>
          <w:rFonts w:hint="eastAsia"/>
          <w:b/>
          <w:bCs/>
          <w:color w:val="333333"/>
          <w:highlight w:val="none"/>
          <w:shd w:val="clear" w:color="auto" w:fill="FFFFFF"/>
        </w:rPr>
        <w:t>六、公告期限</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color w:val="333333"/>
          <w:highlight w:val="none"/>
          <w:shd w:val="clear" w:color="auto" w:fill="FFFFFF"/>
        </w:rPr>
      </w:pPr>
      <w:r>
        <w:rPr>
          <w:rFonts w:hint="eastAsia"/>
          <w:color w:val="333333"/>
          <w:highlight w:val="none"/>
          <w:shd w:val="clear" w:color="auto" w:fill="FFFFFF"/>
        </w:rPr>
        <w:t>自本公告发布之日起</w:t>
      </w:r>
      <w:r>
        <w:rPr>
          <w:rFonts w:hint="eastAsia"/>
          <w:color w:val="333333"/>
          <w:highlight w:val="none"/>
          <w:shd w:val="clear" w:color="auto" w:fill="FFFFFF"/>
          <w:lang w:val="en-US" w:eastAsia="zh-CN"/>
        </w:rPr>
        <w:t>3</w:t>
      </w:r>
      <w:r>
        <w:rPr>
          <w:rFonts w:hint="eastAsia"/>
          <w:color w:val="333333"/>
          <w:highlight w:val="none"/>
          <w:shd w:val="clear" w:color="auto" w:fill="FFFFFF"/>
        </w:rPr>
        <w:t>个工作日。</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textAlignment w:val="auto"/>
        <w:rPr>
          <w:b/>
          <w:bCs/>
          <w:color w:val="333333"/>
          <w:highlight w:val="none"/>
          <w:shd w:val="clear" w:color="auto" w:fill="FFFFFF"/>
        </w:rPr>
      </w:pPr>
      <w:r>
        <w:rPr>
          <w:rFonts w:hint="eastAsia"/>
          <w:b/>
          <w:bCs/>
          <w:color w:val="333333"/>
          <w:highlight w:val="none"/>
          <w:shd w:val="clear" w:color="auto" w:fill="FFFFFF"/>
        </w:rPr>
        <w:t>七、其他补充事宜</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highlight w:val="none"/>
          <w:shd w:val="clear" w:color="auto" w:fill="FFFFFF"/>
        </w:rPr>
      </w:pPr>
      <w:r>
        <w:rPr>
          <w:rFonts w:hint="eastAsia"/>
          <w:color w:val="333333"/>
          <w:highlight w:val="none"/>
          <w:shd w:val="clear" w:color="auto" w:fill="FFFFFF"/>
        </w:rPr>
        <w:t>1、本</w:t>
      </w:r>
      <w:r>
        <w:rPr>
          <w:rFonts w:hint="eastAsia" w:ascii="宋体" w:hAnsi="宋体" w:eastAsia="宋体" w:cs="宋体"/>
          <w:color w:val="333333"/>
          <w:highlight w:val="none"/>
          <w:shd w:val="clear" w:color="auto" w:fill="FFFFFF"/>
        </w:rPr>
        <w:t>项目</w:t>
      </w:r>
      <w:r>
        <w:rPr>
          <w:rFonts w:hint="eastAsia"/>
          <w:color w:val="333333"/>
          <w:highlight w:val="none"/>
          <w:shd w:val="clear" w:color="auto" w:fill="FFFFFF"/>
        </w:rPr>
        <w:t>非专门面向中小企业采购；</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highlight w:val="none"/>
          <w:shd w:val="clear" w:color="auto" w:fill="FFFFFF"/>
        </w:rPr>
      </w:pPr>
      <w:r>
        <w:rPr>
          <w:rFonts w:hint="eastAsia"/>
          <w:color w:val="333333"/>
          <w:highlight w:val="none"/>
          <w:shd w:val="clear" w:color="auto" w:fill="FFFFFF"/>
        </w:rPr>
        <w:t>2、购买</w:t>
      </w:r>
      <w:r>
        <w:rPr>
          <w:rFonts w:hint="eastAsia" w:ascii="宋体" w:hAnsi="宋体" w:eastAsia="宋体" w:cs="宋体"/>
          <w:color w:val="333333"/>
          <w:highlight w:val="none"/>
          <w:shd w:val="clear" w:color="auto" w:fill="FFFFFF"/>
        </w:rPr>
        <w:t>采购</w:t>
      </w:r>
      <w:r>
        <w:rPr>
          <w:rFonts w:hint="eastAsia"/>
          <w:color w:val="333333"/>
          <w:highlight w:val="none"/>
          <w:shd w:val="clear" w:color="auto" w:fill="FFFFFF"/>
        </w:rPr>
        <w:t>文件时需携带经办人单位介绍信、身份证原件及复印件加盖公章</w:t>
      </w:r>
      <w:r>
        <w:rPr>
          <w:rFonts w:hint="eastAsia"/>
          <w:color w:val="333333"/>
          <w:highlight w:val="none"/>
          <w:shd w:val="clear" w:color="auto" w:fill="FFFFFF"/>
          <w:lang w:val="en-US" w:eastAsia="zh-CN"/>
        </w:rPr>
        <w:t>,竞争性磋商文件售价300元/包，售后不退</w:t>
      </w:r>
      <w:r>
        <w:rPr>
          <w:rFonts w:hint="eastAsia"/>
          <w:color w:val="333333"/>
          <w:highlight w:val="none"/>
          <w:shd w:val="clear" w:color="auto" w:fill="FFFFFF"/>
        </w:rPr>
        <w:t>；</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highlight w:val="none"/>
          <w:shd w:val="clear" w:color="auto" w:fill="FFFFFF"/>
          <w:lang w:val="en-US" w:eastAsia="zh-CN"/>
        </w:rPr>
      </w:pPr>
      <w:r>
        <w:rPr>
          <w:rFonts w:hint="eastAsia"/>
          <w:color w:val="333333"/>
          <w:highlight w:val="none"/>
          <w:shd w:val="clear" w:color="auto" w:fill="FFFFFF"/>
          <w:lang w:val="en-US" w:eastAsia="zh-CN"/>
        </w:rPr>
        <w:t>3、供应商可以同时购买2个标包的竞争性磋商文件并单独递交响应文件，但只能成交1个标包；</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default"/>
          <w:color w:val="333333"/>
          <w:highlight w:val="none"/>
          <w:shd w:val="clear" w:color="auto" w:fill="FFFFFF"/>
          <w:lang w:val="en-US" w:eastAsia="zh-CN"/>
        </w:rPr>
      </w:pPr>
      <w:r>
        <w:rPr>
          <w:rFonts w:hint="eastAsia"/>
          <w:color w:val="333333"/>
          <w:highlight w:val="none"/>
          <w:shd w:val="clear" w:color="auto" w:fill="FFFFFF"/>
          <w:lang w:val="en-US" w:eastAsia="zh-CN"/>
        </w:rPr>
        <w:t>4、</w:t>
      </w:r>
      <w:r>
        <w:rPr>
          <w:rFonts w:hint="eastAsia"/>
          <w:color w:val="333333"/>
          <w:sz w:val="24"/>
          <w:szCs w:val="24"/>
          <w:highlight w:val="none"/>
          <w:shd w:val="clear" w:color="auto" w:fill="FFFFFF"/>
          <w:lang w:val="en-US" w:eastAsia="zh-CN"/>
        </w:rPr>
        <w:t>本项目报名方式为网上报名，</w:t>
      </w:r>
      <w:r>
        <w:rPr>
          <w:rFonts w:hint="eastAsia"/>
          <w:color w:val="333333"/>
          <w:sz w:val="24"/>
          <w:szCs w:val="24"/>
          <w:highlight w:val="none"/>
          <w:shd w:val="clear" w:color="auto" w:fill="FFFFFF"/>
        </w:rPr>
        <w:t>购买</w:t>
      </w:r>
      <w:r>
        <w:rPr>
          <w:rFonts w:hint="eastAsia" w:ascii="宋体" w:hAnsi="宋体" w:eastAsia="宋体" w:cs="宋体"/>
          <w:color w:val="333333"/>
          <w:sz w:val="24"/>
          <w:szCs w:val="24"/>
          <w:highlight w:val="none"/>
          <w:shd w:val="clear" w:color="auto" w:fill="FFFFFF"/>
        </w:rPr>
        <w:t>采购</w:t>
      </w:r>
      <w:r>
        <w:rPr>
          <w:rFonts w:hint="eastAsia"/>
          <w:color w:val="333333"/>
          <w:sz w:val="24"/>
          <w:szCs w:val="24"/>
          <w:highlight w:val="none"/>
          <w:shd w:val="clear" w:color="auto" w:fill="FFFFFF"/>
        </w:rPr>
        <w:t>文件时</w:t>
      </w:r>
      <w:r>
        <w:rPr>
          <w:rFonts w:hint="eastAsia"/>
          <w:color w:val="333333"/>
          <w:sz w:val="24"/>
          <w:szCs w:val="24"/>
          <w:highlight w:val="none"/>
          <w:shd w:val="clear" w:color="auto" w:fill="FFFFFF"/>
          <w:lang w:val="en-US" w:eastAsia="zh-CN"/>
        </w:rPr>
        <w:t>将</w:t>
      </w:r>
      <w:r>
        <w:rPr>
          <w:rFonts w:hint="eastAsia"/>
          <w:color w:val="333333"/>
          <w:sz w:val="24"/>
          <w:szCs w:val="24"/>
          <w:highlight w:val="none"/>
          <w:shd w:val="clear" w:color="auto" w:fill="FFFFFF"/>
        </w:rPr>
        <w:t>经办人单位介绍信、身份证复印件加盖公章</w:t>
      </w:r>
      <w:r>
        <w:rPr>
          <w:rFonts w:hint="eastAsia"/>
          <w:color w:val="333333"/>
          <w:sz w:val="24"/>
          <w:szCs w:val="24"/>
          <w:highlight w:val="none"/>
          <w:shd w:val="clear" w:color="auto" w:fill="FFFFFF"/>
          <w:lang w:eastAsia="zh-CN"/>
        </w:rPr>
        <w:t>、</w:t>
      </w:r>
      <w:r>
        <w:rPr>
          <w:rFonts w:ascii="宋体" w:hAnsi="宋体" w:eastAsia="宋体" w:cs="宋体"/>
          <w:sz w:val="24"/>
          <w:szCs w:val="24"/>
        </w:rPr>
        <w:t>采购文件登记表、</w:t>
      </w:r>
      <w:r>
        <w:rPr>
          <w:rFonts w:hint="eastAsia"/>
          <w:color w:val="333333"/>
          <w:sz w:val="24"/>
          <w:szCs w:val="24"/>
          <w:highlight w:val="none"/>
          <w:shd w:val="clear" w:color="auto" w:fill="FFFFFF"/>
          <w:lang w:val="en-US" w:eastAsia="zh-CN"/>
        </w:rPr>
        <w:t>转账凭证电子版发送至605706513@qq.com，竞争性磋商文件售后不退</w:t>
      </w:r>
      <w:r>
        <w:rPr>
          <w:rFonts w:hint="eastAsia"/>
          <w:color w:val="333333"/>
          <w:sz w:val="24"/>
          <w:szCs w:val="24"/>
          <w:highlight w:val="none"/>
          <w:shd w:val="clear" w:color="auto" w:fill="FFFFFF"/>
        </w:rPr>
        <w:t>；</w:t>
      </w:r>
      <w:r>
        <w:rPr>
          <w:rFonts w:hint="eastAsia"/>
          <w:color w:val="333333"/>
          <w:sz w:val="24"/>
          <w:szCs w:val="24"/>
          <w:highlight w:val="none"/>
          <w:shd w:val="clear" w:color="auto" w:fill="FFFFFF"/>
          <w:lang w:val="en-US" w:eastAsia="zh-CN"/>
        </w:rPr>
        <w:t>如有操作问题，请拨打13259773353咨询。</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highlight w:val="none"/>
          <w:shd w:val="clear" w:color="auto" w:fill="FFFFFF"/>
        </w:rPr>
      </w:pPr>
      <w:r>
        <w:rPr>
          <w:rFonts w:hint="eastAsia"/>
          <w:color w:val="333333"/>
          <w:highlight w:val="none"/>
          <w:shd w:val="clear" w:color="auto" w:fill="FFFFFF"/>
          <w:lang w:val="en-US" w:eastAsia="zh-CN"/>
        </w:rPr>
        <w:t>5</w:t>
      </w:r>
      <w:r>
        <w:rPr>
          <w:rFonts w:hint="eastAsia"/>
          <w:color w:val="333333"/>
          <w:highlight w:val="none"/>
          <w:shd w:val="clear" w:color="auto" w:fill="FFFFFF"/>
        </w:rPr>
        <w:t>、</w:t>
      </w:r>
      <w:r>
        <w:rPr>
          <w:rFonts w:hint="eastAsia"/>
          <w:color w:val="333333"/>
          <w:sz w:val="24"/>
          <w:szCs w:val="24"/>
          <w:highlight w:val="none"/>
          <w:shd w:val="clear" w:color="auto" w:fill="FFFFFF"/>
        </w:rPr>
        <w:t>开户名称：</w:t>
      </w:r>
      <w:r>
        <w:rPr>
          <w:rFonts w:hint="eastAsia"/>
          <w:color w:val="333333"/>
          <w:sz w:val="24"/>
          <w:szCs w:val="24"/>
          <w:highlight w:val="none"/>
          <w:shd w:val="clear" w:color="auto" w:fill="FFFFFF"/>
          <w:lang w:eastAsia="zh-CN"/>
        </w:rPr>
        <w:t>陕西正宇信工程项目管理有限公司； 开户银行：建设银行西安</w:t>
      </w:r>
      <w:r>
        <w:rPr>
          <w:rFonts w:hint="eastAsia"/>
          <w:color w:val="333333"/>
          <w:sz w:val="24"/>
          <w:szCs w:val="24"/>
          <w:highlight w:val="none"/>
          <w:shd w:val="clear" w:color="auto" w:fill="FFFFFF"/>
          <w:lang w:val="en-US" w:eastAsia="zh-CN"/>
        </w:rPr>
        <w:t>长安区西长安街</w:t>
      </w:r>
      <w:r>
        <w:rPr>
          <w:rFonts w:hint="eastAsia"/>
          <w:color w:val="333333"/>
          <w:sz w:val="24"/>
          <w:szCs w:val="24"/>
          <w:highlight w:val="none"/>
          <w:shd w:val="clear" w:color="auto" w:fill="FFFFFF"/>
          <w:lang w:eastAsia="zh-CN"/>
        </w:rPr>
        <w:t>支行； 账 号：6105 0170 5259 0000 0014 ；</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highlight w:val="none"/>
          <w:shd w:val="clear" w:color="auto" w:fill="FFFFFF"/>
          <w:lang w:val="en-US" w:eastAsia="zh-CN"/>
        </w:rPr>
      </w:pPr>
      <w:r>
        <w:rPr>
          <w:rFonts w:hint="eastAsia"/>
          <w:color w:val="333333"/>
          <w:highlight w:val="none"/>
          <w:shd w:val="clear" w:color="auto" w:fill="FFFFFF"/>
          <w:lang w:val="en-US" w:eastAsia="zh-CN"/>
        </w:rPr>
        <w:t>6、请供应商按照陕西省财政厅关于政府采购供应商注册登记有关事项的通知中的要求，通过陕西省政府采购网注册登记入库；</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sz w:val="24"/>
          <w:szCs w:val="24"/>
          <w:highlight w:val="none"/>
          <w:shd w:val="clear" w:color="auto" w:fill="FFFFFF"/>
          <w:lang w:val="en-US" w:eastAsia="zh-CN"/>
        </w:rPr>
      </w:pPr>
      <w:r>
        <w:rPr>
          <w:rFonts w:hint="eastAsia"/>
          <w:color w:val="333333"/>
          <w:highlight w:val="none"/>
          <w:shd w:val="clear" w:color="auto" w:fill="FFFFFF"/>
          <w:lang w:val="en-US" w:eastAsia="zh-CN"/>
        </w:rPr>
        <w:t>7、落实政府采购的政策：（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督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财政部关于进一步加大政府采购支持中小企业力度的通知》（财库〔2022〕19号）；（14）其他需要落实的政府采购政策。注：若享受以上政策优惠的企业，提供相应声明函或品目范围内产品有效认</w:t>
      </w:r>
      <w:r>
        <w:rPr>
          <w:rFonts w:hint="eastAsia"/>
          <w:color w:val="333333"/>
          <w:sz w:val="24"/>
          <w:szCs w:val="24"/>
          <w:highlight w:val="none"/>
          <w:shd w:val="clear" w:color="auto" w:fill="FFFFFF"/>
          <w:lang w:val="en-US" w:eastAsia="zh-CN"/>
        </w:rPr>
        <w:t>证证书。</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8、采购需求：</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合同包1：完成西安、铜川、榆林、延安、渭南、韩城累计不少284座/12832延米新增省道桥梁（隧道）的技术状况定期检查评定，详见采购文件。</w:t>
      </w:r>
    </w:p>
    <w:p>
      <w:pPr>
        <w:pStyle w:val="20"/>
        <w:keepNext w:val="0"/>
        <w:keepLines w:val="0"/>
        <w:pageBreakBefore w:val="0"/>
        <w:widowControl/>
        <w:kinsoku/>
        <w:wordWrap/>
        <w:overflowPunct/>
        <w:topLinePunct w:val="0"/>
        <w:autoSpaceDE/>
        <w:autoSpaceDN/>
        <w:bidi w:val="0"/>
        <w:adjustRightInd/>
        <w:snapToGrid/>
        <w:spacing w:beforeAutospacing="0" w:afterAutospacing="0" w:line="540" w:lineRule="exact"/>
        <w:ind w:firstLine="420"/>
        <w:textAlignment w:val="auto"/>
        <w:rPr>
          <w:rFonts w:hint="default"/>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合同包2：完成宝鸡、咸阳、汉中、安康、商洛累计不少359座/11707延米新增省道桥梁（隧道）的技术状况定期检查评定，详见采购文件。</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textAlignment w:val="auto"/>
        <w:rPr>
          <w:color w:val="333333"/>
          <w:highlight w:val="none"/>
          <w:shd w:val="clear" w:color="auto" w:fill="FFFFFF"/>
        </w:rPr>
      </w:pPr>
      <w:r>
        <w:rPr>
          <w:rFonts w:hint="eastAsia"/>
          <w:b/>
          <w:bCs/>
          <w:color w:val="333333"/>
          <w:highlight w:val="none"/>
          <w:shd w:val="clear" w:color="auto" w:fill="FFFFFF"/>
        </w:rPr>
        <w:t>八、对本次招标提出询问，请按以下方式联系</w:t>
      </w:r>
      <w:r>
        <w:rPr>
          <w:rFonts w:hint="eastAsia"/>
          <w:color w:val="333333"/>
          <w:highlight w:val="none"/>
          <w:shd w:val="clear" w:color="auto" w:fill="FFFFFF"/>
        </w:rPr>
        <w:t>。</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color w:val="333333"/>
          <w:highlight w:val="none"/>
          <w:shd w:val="clear" w:color="auto" w:fill="FFFFFF"/>
        </w:rPr>
      </w:pPr>
      <w:r>
        <w:rPr>
          <w:rFonts w:hint="eastAsia"/>
          <w:color w:val="333333"/>
          <w:highlight w:val="none"/>
          <w:shd w:val="clear" w:color="auto" w:fill="FFFFFF"/>
        </w:rPr>
        <w:t>1、采购人信息：</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960" w:firstLineChars="400"/>
        <w:textAlignment w:val="auto"/>
        <w:rPr>
          <w:color w:val="333333"/>
          <w:highlight w:val="none"/>
          <w:shd w:val="clear" w:color="auto" w:fill="FFFFFF"/>
        </w:rPr>
      </w:pPr>
      <w:r>
        <w:rPr>
          <w:rFonts w:hint="eastAsia"/>
          <w:color w:val="333333"/>
          <w:highlight w:val="none"/>
          <w:shd w:val="clear" w:color="auto" w:fill="FFFFFF"/>
        </w:rPr>
        <w:t>名称：陕西省公路局</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960" w:firstLineChars="400"/>
        <w:textAlignment w:val="auto"/>
        <w:rPr>
          <w:color w:val="333333"/>
          <w:highlight w:val="none"/>
          <w:shd w:val="clear" w:color="auto" w:fill="FFFFFF"/>
        </w:rPr>
      </w:pPr>
      <w:r>
        <w:rPr>
          <w:rFonts w:hint="eastAsia"/>
          <w:color w:val="333333"/>
          <w:highlight w:val="none"/>
          <w:shd w:val="clear" w:color="auto" w:fill="FFFFFF"/>
        </w:rPr>
        <w:t>地址：西安市含光北路110号</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960" w:firstLineChars="400"/>
        <w:textAlignment w:val="auto"/>
        <w:rPr>
          <w:rFonts w:hint="default" w:eastAsia="宋体"/>
          <w:color w:val="333333"/>
          <w:highlight w:val="none"/>
          <w:shd w:val="clear" w:color="auto" w:fill="FFFFFF"/>
          <w:lang w:val="en-US" w:eastAsia="zh-CN"/>
        </w:rPr>
      </w:pPr>
      <w:r>
        <w:rPr>
          <w:rFonts w:hint="eastAsia"/>
          <w:color w:val="333333"/>
          <w:highlight w:val="none"/>
          <w:shd w:val="clear" w:color="auto" w:fill="FFFFFF"/>
        </w:rPr>
        <w:t>联系方式：029-88408</w:t>
      </w:r>
      <w:r>
        <w:rPr>
          <w:rFonts w:hint="eastAsia"/>
          <w:color w:val="333333"/>
          <w:highlight w:val="none"/>
          <w:shd w:val="clear" w:color="auto" w:fill="FFFFFF"/>
          <w:lang w:val="en-US" w:eastAsia="zh-CN"/>
        </w:rPr>
        <w:t>436</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color w:val="333333"/>
          <w:highlight w:val="none"/>
          <w:shd w:val="clear" w:color="auto" w:fill="FFFFFF"/>
        </w:rPr>
      </w:pPr>
      <w:r>
        <w:rPr>
          <w:rFonts w:hint="eastAsia"/>
          <w:color w:val="333333"/>
          <w:highlight w:val="none"/>
          <w:shd w:val="clear" w:color="auto" w:fill="FFFFFF"/>
        </w:rPr>
        <w:t>2、采购代理机构信息</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960" w:firstLineChars="400"/>
        <w:textAlignment w:val="auto"/>
        <w:rPr>
          <w:rFonts w:hint="eastAsia"/>
          <w:color w:val="333333"/>
          <w:highlight w:val="none"/>
          <w:shd w:val="clear" w:color="auto" w:fill="FFFFFF"/>
          <w:lang w:eastAsia="zh-CN"/>
        </w:rPr>
      </w:pPr>
      <w:r>
        <w:rPr>
          <w:rFonts w:hint="eastAsia"/>
          <w:color w:val="333333"/>
          <w:highlight w:val="none"/>
          <w:shd w:val="clear" w:color="auto" w:fill="FFFFFF"/>
        </w:rPr>
        <w:t>名称：</w:t>
      </w:r>
      <w:r>
        <w:rPr>
          <w:rFonts w:hint="eastAsia"/>
          <w:color w:val="333333"/>
          <w:highlight w:val="none"/>
          <w:shd w:val="clear" w:color="auto" w:fill="FFFFFF"/>
          <w:lang w:eastAsia="zh-CN"/>
        </w:rPr>
        <w:t>陕西正宇信工程项目管理有限公司</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960" w:firstLineChars="400"/>
        <w:textAlignment w:val="auto"/>
        <w:rPr>
          <w:rFonts w:hint="eastAsia" w:eastAsia="宋体"/>
          <w:color w:val="333333"/>
          <w:highlight w:val="none"/>
          <w:shd w:val="clear" w:color="auto" w:fill="FFFFFF"/>
          <w:lang w:eastAsia="zh-CN"/>
        </w:rPr>
      </w:pPr>
      <w:r>
        <w:rPr>
          <w:rFonts w:hint="eastAsia"/>
          <w:color w:val="333333"/>
          <w:highlight w:val="none"/>
          <w:shd w:val="clear" w:color="auto" w:fill="FFFFFF"/>
        </w:rPr>
        <w:t>地址：</w:t>
      </w:r>
      <w:r>
        <w:rPr>
          <w:rFonts w:hint="eastAsia"/>
          <w:color w:val="333333"/>
          <w:highlight w:val="none"/>
          <w:shd w:val="clear" w:color="auto" w:fill="FFFFFF"/>
          <w:lang w:eastAsia="zh-CN"/>
        </w:rPr>
        <w:t>西安市航天基地飞天路北航科技园5号楼1单元2楼</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960" w:firstLineChars="400"/>
        <w:textAlignment w:val="auto"/>
        <w:rPr>
          <w:rFonts w:hint="default" w:eastAsia="宋体"/>
          <w:color w:val="333333"/>
          <w:highlight w:val="none"/>
          <w:shd w:val="clear" w:color="auto" w:fill="FFFFFF"/>
          <w:lang w:val="en-US" w:eastAsia="zh-CN"/>
        </w:rPr>
      </w:pPr>
      <w:r>
        <w:rPr>
          <w:rFonts w:hint="eastAsia"/>
          <w:color w:val="333333"/>
          <w:highlight w:val="none"/>
          <w:shd w:val="clear" w:color="auto" w:fill="FFFFFF"/>
        </w:rPr>
        <w:t>联系方式：</w:t>
      </w:r>
      <w:r>
        <w:rPr>
          <w:rFonts w:hint="eastAsia"/>
          <w:color w:val="333333"/>
          <w:highlight w:val="none"/>
          <w:shd w:val="clear" w:color="auto" w:fill="FFFFFF"/>
          <w:lang w:val="en-US" w:eastAsia="zh-CN"/>
        </w:rPr>
        <w:t>13259773353</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420"/>
        <w:textAlignment w:val="auto"/>
        <w:rPr>
          <w:color w:val="333333"/>
          <w:highlight w:val="none"/>
          <w:shd w:val="clear" w:color="auto" w:fill="FFFFFF"/>
        </w:rPr>
      </w:pPr>
      <w:r>
        <w:rPr>
          <w:rFonts w:hint="eastAsia"/>
          <w:color w:val="333333"/>
          <w:highlight w:val="none"/>
          <w:shd w:val="clear" w:color="auto" w:fill="FFFFFF"/>
        </w:rPr>
        <w:t>3、项目联系方式</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960" w:firstLineChars="400"/>
        <w:textAlignment w:val="auto"/>
        <w:rPr>
          <w:rFonts w:hint="eastAsia"/>
          <w:color w:val="333333"/>
          <w:highlight w:val="none"/>
          <w:shd w:val="clear" w:color="auto" w:fill="FFFFFF"/>
          <w:lang w:val="en-US" w:eastAsia="zh-CN"/>
        </w:rPr>
      </w:pPr>
      <w:r>
        <w:rPr>
          <w:rFonts w:hint="eastAsia"/>
          <w:color w:val="333333"/>
          <w:highlight w:val="none"/>
          <w:shd w:val="clear" w:color="auto" w:fill="FFFFFF"/>
        </w:rPr>
        <w:t>项目联系人：</w:t>
      </w:r>
      <w:r>
        <w:rPr>
          <w:rFonts w:hint="eastAsia"/>
          <w:color w:val="333333"/>
          <w:highlight w:val="none"/>
          <w:shd w:val="clear" w:color="auto" w:fill="FFFFFF"/>
          <w:lang w:val="en-US" w:eastAsia="zh-CN"/>
        </w:rPr>
        <w:t>胡工、何工</w:t>
      </w:r>
    </w:p>
    <w:p>
      <w:pPr>
        <w:pStyle w:val="20"/>
        <w:keepNext w:val="0"/>
        <w:keepLines w:val="0"/>
        <w:pageBreakBefore w:val="0"/>
        <w:kinsoku/>
        <w:wordWrap/>
        <w:overflowPunct/>
        <w:topLinePunct w:val="0"/>
        <w:autoSpaceDE/>
        <w:autoSpaceDN/>
        <w:bidi w:val="0"/>
        <w:adjustRightInd/>
        <w:snapToGrid/>
        <w:spacing w:beforeAutospacing="0" w:afterAutospacing="0" w:line="440" w:lineRule="exact"/>
        <w:ind w:firstLine="960" w:firstLineChars="400"/>
        <w:textAlignment w:val="auto"/>
        <w:rPr>
          <w:rFonts w:hint="default" w:eastAsia="宋体"/>
          <w:sz w:val="28"/>
          <w:szCs w:val="28"/>
          <w:highlight w:val="none"/>
          <w:lang w:val="en-US" w:eastAsia="zh-CN"/>
        </w:rPr>
      </w:pPr>
      <w:r>
        <w:rPr>
          <w:rFonts w:hint="eastAsia"/>
          <w:color w:val="333333"/>
          <w:highlight w:val="none"/>
          <w:shd w:val="clear" w:color="auto" w:fill="FFFFFF"/>
        </w:rPr>
        <w:t>电 话：</w:t>
      </w:r>
      <w:r>
        <w:rPr>
          <w:rFonts w:hint="eastAsia"/>
          <w:color w:val="333333"/>
          <w:highlight w:val="none"/>
          <w:shd w:val="clear" w:color="auto" w:fill="FFFFFF"/>
          <w:lang w:val="en-US" w:eastAsia="zh-CN"/>
        </w:rPr>
        <w:t>13259773353</w:t>
      </w:r>
    </w:p>
    <w:p>
      <w:pPr>
        <w:pStyle w:val="20"/>
        <w:spacing w:beforeAutospacing="0" w:afterAutospacing="0" w:line="360" w:lineRule="auto"/>
        <w:ind w:firstLine="420"/>
        <w:rPr>
          <w:highlight w:val="none"/>
        </w:rPr>
      </w:pPr>
    </w:p>
    <w:p>
      <w:pPr>
        <w:rPr>
          <w:rFonts w:ascii="宋体" w:hAnsi="宋体" w:cs="宋体"/>
          <w:sz w:val="32"/>
          <w:szCs w:val="32"/>
          <w:highlight w:val="none"/>
        </w:rPr>
      </w:pPr>
      <w:r>
        <w:rPr>
          <w:rFonts w:hint="eastAsia" w:ascii="宋体" w:hAnsi="宋体" w:cs="宋体"/>
          <w:sz w:val="32"/>
          <w:szCs w:val="32"/>
          <w:highlight w:val="none"/>
        </w:rPr>
        <w:br w:type="page"/>
      </w:r>
    </w:p>
    <w:p>
      <w:pPr>
        <w:pStyle w:val="4"/>
        <w:keepNext w:val="0"/>
        <w:keepLines w:val="0"/>
        <w:rPr>
          <w:rFonts w:ascii="宋体" w:hAnsi="宋体" w:cs="宋体"/>
          <w:sz w:val="32"/>
          <w:szCs w:val="32"/>
          <w:highlight w:val="none"/>
        </w:rPr>
      </w:pPr>
      <w:bookmarkStart w:id="12" w:name="_Toc9719"/>
      <w:r>
        <w:rPr>
          <w:rFonts w:hint="eastAsia" w:ascii="宋体" w:hAnsi="宋体" w:cs="宋体"/>
          <w:sz w:val="32"/>
          <w:szCs w:val="32"/>
          <w:highlight w:val="none"/>
        </w:rPr>
        <w:t>第二部分  供应商须知</w:t>
      </w:r>
      <w:bookmarkEnd w:id="6"/>
      <w:bookmarkEnd w:id="7"/>
      <w:bookmarkEnd w:id="8"/>
      <w:bookmarkEnd w:id="9"/>
      <w:bookmarkEnd w:id="10"/>
      <w:bookmarkEnd w:id="11"/>
      <w:bookmarkEnd w:id="12"/>
    </w:p>
    <w:p>
      <w:pPr>
        <w:spacing w:line="360" w:lineRule="auto"/>
        <w:jc w:val="center"/>
        <w:rPr>
          <w:rFonts w:ascii="宋体" w:hAnsi="宋体" w:cs="宋体"/>
          <w:b/>
          <w:szCs w:val="21"/>
          <w:highlight w:val="none"/>
        </w:rPr>
      </w:pPr>
      <w:r>
        <w:rPr>
          <w:rFonts w:hint="eastAsia" w:ascii="宋体" w:hAnsi="宋体" w:cs="宋体"/>
          <w:b/>
          <w:szCs w:val="21"/>
          <w:highlight w:val="none"/>
        </w:rPr>
        <w:t>须知前附表</w:t>
      </w:r>
    </w:p>
    <w:tbl>
      <w:tblPr>
        <w:tblStyle w:val="23"/>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45"/>
        <w:gridCol w:w="6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序号</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条款名称</w:t>
            </w:r>
          </w:p>
        </w:tc>
        <w:tc>
          <w:tcPr>
            <w:tcW w:w="641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采购人</w:t>
            </w:r>
          </w:p>
        </w:tc>
        <w:tc>
          <w:tcPr>
            <w:tcW w:w="6417" w:type="dxa"/>
            <w:vAlign w:val="center"/>
          </w:tcPr>
          <w:p>
            <w:pPr>
              <w:spacing w:line="360" w:lineRule="auto"/>
              <w:rPr>
                <w:rFonts w:ascii="宋体" w:hAnsi="宋体" w:cs="宋体"/>
                <w:kern w:val="0"/>
                <w:sz w:val="24"/>
                <w:highlight w:val="none"/>
              </w:rPr>
            </w:pPr>
            <w:r>
              <w:rPr>
                <w:rFonts w:hint="eastAsia" w:ascii="宋体" w:hAnsi="宋体" w:cs="宋体"/>
                <w:kern w:val="0"/>
                <w:sz w:val="24"/>
                <w:highlight w:val="none"/>
              </w:rPr>
              <w:t>名  称：陕西省公路局</w:t>
            </w:r>
          </w:p>
          <w:p>
            <w:pPr>
              <w:spacing w:line="360" w:lineRule="auto"/>
              <w:rPr>
                <w:rFonts w:ascii="宋体" w:hAnsi="宋体" w:cs="宋体"/>
                <w:kern w:val="0"/>
                <w:sz w:val="24"/>
                <w:highlight w:val="none"/>
              </w:rPr>
            </w:pPr>
            <w:r>
              <w:rPr>
                <w:rFonts w:hint="eastAsia" w:ascii="宋体" w:hAnsi="宋体" w:cs="宋体"/>
                <w:kern w:val="0"/>
                <w:sz w:val="24"/>
                <w:highlight w:val="none"/>
              </w:rPr>
              <w:t>地  址：西安市含光北路110号</w:t>
            </w:r>
          </w:p>
          <w:p>
            <w:pPr>
              <w:spacing w:line="360" w:lineRule="auto"/>
              <w:rPr>
                <w:rFonts w:ascii="宋体" w:hAnsi="宋体" w:cs="宋体"/>
                <w:kern w:val="0"/>
                <w:sz w:val="24"/>
                <w:highlight w:val="none"/>
              </w:rPr>
            </w:pPr>
            <w:r>
              <w:rPr>
                <w:rFonts w:hint="eastAsia" w:ascii="宋体" w:hAnsi="宋体" w:cs="宋体"/>
                <w:kern w:val="0"/>
                <w:sz w:val="24"/>
                <w:highlight w:val="none"/>
              </w:rPr>
              <w:t>联系人：王老师</w:t>
            </w:r>
          </w:p>
          <w:p>
            <w:pPr>
              <w:spacing w:line="360" w:lineRule="auto"/>
              <w:rPr>
                <w:rFonts w:ascii="宋体" w:hAnsi="宋体" w:cs="宋体"/>
                <w:kern w:val="0"/>
                <w:sz w:val="24"/>
                <w:highlight w:val="none"/>
              </w:rPr>
            </w:pPr>
            <w:r>
              <w:rPr>
                <w:rFonts w:hint="eastAsia" w:ascii="宋体" w:hAnsi="宋体" w:cs="宋体"/>
                <w:kern w:val="0"/>
                <w:sz w:val="24"/>
                <w:highlight w:val="none"/>
              </w:rPr>
              <w:t>电  话：029-88408436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采购代理机构</w:t>
            </w:r>
          </w:p>
        </w:tc>
        <w:tc>
          <w:tcPr>
            <w:tcW w:w="6417" w:type="dxa"/>
            <w:vAlign w:val="center"/>
          </w:tcPr>
          <w:p>
            <w:pPr>
              <w:spacing w:line="360" w:lineRule="auto"/>
              <w:jc w:val="left"/>
              <w:rPr>
                <w:rFonts w:hint="eastAsia" w:ascii="宋体" w:hAnsi="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陕西正宇信工程项目管理有限公司</w:t>
            </w:r>
          </w:p>
          <w:p>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西安市航天基地飞天路北航科技园5号楼1单元2楼</w:t>
            </w:r>
          </w:p>
          <w:p>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eastAsia="zh-CN"/>
              </w:rPr>
              <w:t>胡工、何工</w:t>
            </w:r>
          </w:p>
          <w:p>
            <w:pPr>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rPr>
              <w:t>电  话：</w:t>
            </w:r>
            <w:r>
              <w:rPr>
                <w:rFonts w:hint="eastAsia" w:ascii="宋体" w:hAnsi="宋体" w:cs="宋体"/>
                <w:sz w:val="24"/>
                <w:highlight w:val="none"/>
                <w:lang w:val="en-US" w:eastAsia="zh-CN"/>
              </w:rPr>
              <w:t>13259773353</w:t>
            </w:r>
          </w:p>
          <w:p>
            <w:pPr>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rPr>
              <w:t>邮  箱：</w:t>
            </w:r>
            <w:r>
              <w:rPr>
                <w:rFonts w:hint="eastAsia" w:ascii="宋体" w:hAnsi="宋体" w:cs="宋体"/>
                <w:sz w:val="24"/>
                <w:highlight w:val="none"/>
                <w:lang w:val="en-US" w:eastAsia="zh-CN"/>
              </w:rPr>
              <w:t>605706513@qq.com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3</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项目名称</w:t>
            </w:r>
          </w:p>
        </w:tc>
        <w:tc>
          <w:tcPr>
            <w:tcW w:w="6417" w:type="dxa"/>
            <w:vAlign w:val="center"/>
          </w:tcPr>
          <w:p>
            <w:pPr>
              <w:spacing w:line="360" w:lineRule="auto"/>
              <w:jc w:val="left"/>
              <w:rPr>
                <w:rFonts w:ascii="宋体" w:hAnsi="宋体" w:cs="宋体"/>
                <w:sz w:val="24"/>
                <w:highlight w:val="none"/>
              </w:rPr>
            </w:pPr>
            <w:r>
              <w:rPr>
                <w:rFonts w:hint="eastAsia" w:ascii="宋体" w:hAnsi="宋体" w:cs="宋体"/>
                <w:sz w:val="24"/>
                <w:highlight w:val="none"/>
                <w:lang w:val="en-US" w:eastAsia="zh-CN"/>
              </w:rPr>
              <w:t>陕西省公路局新增普通省道危旧桥梁（隧) 技术状况评定项目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4</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资金来源及落实</w:t>
            </w:r>
          </w:p>
          <w:p>
            <w:pPr>
              <w:spacing w:line="360" w:lineRule="auto"/>
              <w:jc w:val="center"/>
              <w:rPr>
                <w:rFonts w:ascii="宋体" w:hAnsi="宋体" w:cs="宋体"/>
                <w:sz w:val="24"/>
                <w:highlight w:val="none"/>
              </w:rPr>
            </w:pPr>
            <w:r>
              <w:rPr>
                <w:rFonts w:hint="eastAsia" w:ascii="宋体" w:hAnsi="宋体" w:cs="宋体"/>
                <w:sz w:val="24"/>
                <w:highlight w:val="none"/>
              </w:rPr>
              <w:t>情况</w:t>
            </w:r>
          </w:p>
        </w:tc>
        <w:tc>
          <w:tcPr>
            <w:tcW w:w="6417" w:type="dxa"/>
            <w:vAlign w:val="center"/>
          </w:tcPr>
          <w:p>
            <w:pPr>
              <w:spacing w:line="360" w:lineRule="auto"/>
              <w:jc w:val="left"/>
              <w:rPr>
                <w:rFonts w:ascii="宋体" w:hAnsi="宋体" w:cs="宋体"/>
                <w:sz w:val="24"/>
                <w:highlight w:val="none"/>
              </w:rPr>
            </w:pPr>
            <w:r>
              <w:rPr>
                <w:rFonts w:hint="eastAsia" w:ascii="宋体" w:hAnsi="宋体" w:cs="宋体"/>
                <w:sz w:val="24"/>
                <w:highlight w:val="none"/>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5</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采购内容</w:t>
            </w:r>
          </w:p>
        </w:tc>
        <w:tc>
          <w:tcPr>
            <w:tcW w:w="6417" w:type="dxa"/>
            <w:vAlign w:val="center"/>
          </w:tcPr>
          <w:p>
            <w:pPr>
              <w:spacing w:line="360" w:lineRule="auto"/>
              <w:jc w:val="left"/>
              <w:rPr>
                <w:rFonts w:ascii="宋体" w:hAnsi="宋体" w:cs="宋体"/>
                <w:sz w:val="24"/>
                <w:highlight w:val="none"/>
              </w:rPr>
            </w:pPr>
            <w:r>
              <w:rPr>
                <w:rFonts w:hint="eastAsia" w:ascii="宋体" w:hAnsi="宋体" w:cs="宋体"/>
                <w:sz w:val="24"/>
                <w:highlight w:val="none"/>
                <w:lang w:val="en-US" w:eastAsia="zh-CN"/>
              </w:rPr>
              <w:t>陕西省公路局新增普通省道危旧桥梁（隧) 技术状况评定项目</w:t>
            </w:r>
            <w:r>
              <w:rPr>
                <w:rFonts w:hint="eastAsia" w:ascii="宋体" w:hAnsi="宋体" w:cs="宋体"/>
                <w:sz w:val="24"/>
                <w:highlight w:val="none"/>
              </w:rPr>
              <w:t>，详见竞争性磋商文件第三部分磋商要求及说明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6</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服务期</w:t>
            </w:r>
          </w:p>
        </w:tc>
        <w:tc>
          <w:tcPr>
            <w:tcW w:w="64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宋体"/>
                <w:highlight w:val="none"/>
                <w:lang w:val="en-US" w:eastAsia="zh-CN"/>
              </w:rPr>
            </w:pPr>
            <w:r>
              <w:rPr>
                <w:rFonts w:hint="eastAsia" w:ascii="宋体" w:hAnsi="宋体" w:cs="宋体"/>
                <w:sz w:val="24"/>
                <w:highlight w:val="none"/>
                <w:lang w:val="en-US" w:eastAsia="zh-CN"/>
              </w:rPr>
              <w:t>合同签订后一年，从合同签订之日起2个月内（包含不利天气等因素）完成全部外业检测及报告编制工作并提交甲方，如有特殊情况，经甲方允许，时间可协商顺延。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7</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质量标准</w:t>
            </w:r>
          </w:p>
        </w:tc>
        <w:tc>
          <w:tcPr>
            <w:tcW w:w="6417" w:type="dxa"/>
            <w:vAlign w:val="center"/>
          </w:tcPr>
          <w:p>
            <w:pPr>
              <w:spacing w:line="360" w:lineRule="auto"/>
              <w:jc w:val="left"/>
              <w:rPr>
                <w:rFonts w:ascii="宋体" w:hAnsi="宋体" w:cs="宋体"/>
                <w:sz w:val="24"/>
                <w:highlight w:val="none"/>
              </w:rPr>
            </w:pPr>
            <w:r>
              <w:rPr>
                <w:rFonts w:hint="eastAsia" w:ascii="宋体" w:hAnsi="宋体" w:cs="宋体"/>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8</w:t>
            </w:r>
          </w:p>
        </w:tc>
        <w:tc>
          <w:tcPr>
            <w:tcW w:w="2445" w:type="dxa"/>
            <w:vAlign w:val="center"/>
          </w:tcPr>
          <w:p>
            <w:pPr>
              <w:pStyle w:val="12"/>
              <w:spacing w:line="360" w:lineRule="auto"/>
              <w:jc w:val="center"/>
              <w:rPr>
                <w:rFonts w:hAnsi="宋体" w:cs="宋体"/>
                <w:sz w:val="24"/>
                <w:szCs w:val="24"/>
                <w:highlight w:val="none"/>
              </w:rPr>
            </w:pPr>
            <w:r>
              <w:rPr>
                <w:rFonts w:hint="eastAsia" w:hAnsi="宋体" w:cs="宋体"/>
                <w:sz w:val="24"/>
                <w:szCs w:val="24"/>
                <w:highlight w:val="none"/>
              </w:rPr>
              <w:t>现场踏勘</w:t>
            </w:r>
          </w:p>
        </w:tc>
        <w:tc>
          <w:tcPr>
            <w:tcW w:w="6417" w:type="dxa"/>
            <w:vAlign w:val="center"/>
          </w:tcPr>
          <w:p>
            <w:pPr>
              <w:pStyle w:val="12"/>
              <w:spacing w:line="360" w:lineRule="auto"/>
              <w:jc w:val="left"/>
              <w:rPr>
                <w:rFonts w:hAnsi="宋体" w:cs="宋体"/>
                <w:sz w:val="24"/>
                <w:szCs w:val="24"/>
                <w:highlight w:val="none"/>
                <w:u w:val="single"/>
              </w:rPr>
            </w:pPr>
            <w:r>
              <w:rPr>
                <w:rFonts w:hint="eastAsia" w:hAnsi="宋体" w:cs="宋体"/>
                <w:sz w:val="24"/>
                <w:szCs w:val="24"/>
                <w:highlight w:val="none"/>
              </w:rPr>
              <w:t>自行踏勘，费用自理，安全自负。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9</w:t>
            </w:r>
          </w:p>
        </w:tc>
        <w:tc>
          <w:tcPr>
            <w:tcW w:w="2445" w:type="dxa"/>
            <w:vAlign w:val="center"/>
          </w:tcPr>
          <w:p>
            <w:pPr>
              <w:pStyle w:val="12"/>
              <w:spacing w:line="360" w:lineRule="auto"/>
              <w:jc w:val="center"/>
              <w:rPr>
                <w:rFonts w:hAnsi="宋体" w:cs="宋体"/>
                <w:sz w:val="24"/>
                <w:szCs w:val="24"/>
                <w:highlight w:val="none"/>
              </w:rPr>
            </w:pPr>
            <w:r>
              <w:rPr>
                <w:rFonts w:hint="eastAsia" w:hAnsi="宋体" w:cs="宋体"/>
                <w:sz w:val="24"/>
                <w:szCs w:val="24"/>
                <w:highlight w:val="none"/>
              </w:rPr>
              <w:t>分包</w:t>
            </w:r>
          </w:p>
        </w:tc>
        <w:tc>
          <w:tcPr>
            <w:tcW w:w="6417" w:type="dxa"/>
            <w:vAlign w:val="center"/>
          </w:tcPr>
          <w:p>
            <w:pPr>
              <w:pStyle w:val="12"/>
              <w:spacing w:line="360" w:lineRule="auto"/>
              <w:jc w:val="left"/>
              <w:rPr>
                <w:rFonts w:hAnsi="宋体" w:cs="宋体"/>
                <w:sz w:val="24"/>
                <w:szCs w:val="24"/>
                <w:highlight w:val="none"/>
                <w:u w:val="single"/>
              </w:rPr>
            </w:pPr>
            <w:r>
              <w:rPr>
                <w:rFonts w:hint="eastAsia" w:hAnsi="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10</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采购资金的支付方式和时间</w:t>
            </w:r>
          </w:p>
        </w:tc>
        <w:tc>
          <w:tcPr>
            <w:tcW w:w="6417" w:type="dxa"/>
            <w:vAlign w:val="center"/>
          </w:tcPr>
          <w:p>
            <w:pPr>
              <w:pStyle w:val="20"/>
              <w:shd w:val="clear" w:color="auto" w:fill="FFFFFF"/>
              <w:spacing w:beforeAutospacing="0" w:afterAutospacing="0" w:line="360" w:lineRule="auto"/>
              <w:rPr>
                <w:rFonts w:hint="eastAsia"/>
                <w:highlight w:val="none"/>
              </w:rPr>
            </w:pPr>
            <w:r>
              <w:rPr>
                <w:rFonts w:hint="eastAsia"/>
                <w:highlight w:val="none"/>
              </w:rPr>
              <w:t>1、结算单位：采购人结算，在付款前必须开具增值税发票给采购人。</w:t>
            </w:r>
          </w:p>
          <w:p>
            <w:pPr>
              <w:pStyle w:val="20"/>
              <w:shd w:val="clear" w:color="auto" w:fill="FFFFFF"/>
              <w:spacing w:beforeAutospacing="0" w:afterAutospacing="0" w:line="360" w:lineRule="auto"/>
              <w:rPr>
                <w:rFonts w:hint="eastAsia"/>
                <w:highlight w:val="none"/>
              </w:rPr>
            </w:pPr>
            <w:r>
              <w:rPr>
                <w:rFonts w:hint="eastAsia"/>
                <w:highlight w:val="none"/>
              </w:rPr>
              <w:t>2、付款方式：</w:t>
            </w:r>
          </w:p>
          <w:p>
            <w:pPr>
              <w:pStyle w:val="20"/>
              <w:shd w:val="clear" w:color="auto" w:fill="FFFFFF"/>
              <w:spacing w:beforeAutospacing="0" w:afterAutospacing="0" w:line="360" w:lineRule="auto"/>
              <w:ind w:firstLine="42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合同签订前，乙方须向甲方缴纳合同总金额</w:t>
            </w:r>
            <w:r>
              <w:rPr>
                <w:rFonts w:hint="eastAsia"/>
                <w:highlight w:val="none"/>
                <w:lang w:val="en-US" w:eastAsia="zh-CN"/>
              </w:rPr>
              <w:t>5</w:t>
            </w:r>
            <w:r>
              <w:rPr>
                <w:rFonts w:hint="eastAsia"/>
                <w:highlight w:val="none"/>
              </w:rPr>
              <w:t>%的履约保证金，履约保证金待供应商履行完毕全部合同义务，并经</w:t>
            </w:r>
            <w:r>
              <w:rPr>
                <w:rFonts w:hint="eastAsia"/>
                <w:highlight w:val="none"/>
                <w:lang w:val="en-US" w:eastAsia="zh-CN"/>
              </w:rPr>
              <w:t>甲方</w:t>
            </w:r>
            <w:r>
              <w:rPr>
                <w:rFonts w:hint="eastAsia"/>
                <w:highlight w:val="none"/>
              </w:rPr>
              <w:t>验收合格，无任何纠纷后无息退还。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合同签订后，甲方支付乙方合同总金额的60%；乙方完成外业检测及报告编制工作，甲方向乙方支付合同总金额的30%，乙方提交项目全部成果报告并经甲方确认后，甲方按照合同单价和乙方实际完成工作量计算并支付剩余合同金额。</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甲方每次付款前，乙方均应开具等额的税务发票，否则甲方有权拒绝付款，且不应承担迟延付款的责任。</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（4）乙方超出任务书范围的工程量以及未通过甲方审查的工程量，甲方有权不予结算和支付相应款项。</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（5）甲方有权在项目实施过程中，要求乙方对不满足质量要求的工作进行返工，工期不予顺延。</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（6）检测费金额大于合同金额，应视为乙方可预见风险，按合同总价款支付乙方检测费；检测费金额小于合同金额，</w:t>
            </w:r>
            <w:r>
              <w:rPr>
                <w:rFonts w:hint="eastAsia" w:cs="宋体"/>
                <w:highlight w:val="none"/>
                <w:lang w:val="en-US" w:eastAsia="zh-CN"/>
              </w:rPr>
              <w:t>按单价测算据实结算</w:t>
            </w:r>
            <w:r>
              <w:rPr>
                <w:rFonts w:hint="eastAsia" w:ascii="宋体" w:hAnsi="宋体" w:eastAsia="宋体" w:cs="宋体"/>
                <w:highlight w:val="none"/>
              </w:rPr>
              <w:t>。</w:t>
            </w:r>
          </w:p>
          <w:p>
            <w:pPr>
              <w:pStyle w:val="20"/>
              <w:shd w:val="clear" w:color="auto" w:fill="FFFFFF"/>
              <w:spacing w:beforeAutospacing="0" w:afterAutospacing="0" w:line="360" w:lineRule="auto"/>
              <w:ind w:firstLine="420"/>
              <w:rPr>
                <w:rFonts w:hint="eastAsia" w:cs="宋体"/>
                <w:highlight w:val="none"/>
                <w:lang w:val="en-US" w:eastAsia="zh-CN"/>
              </w:rPr>
            </w:pPr>
            <w:r>
              <w:rPr>
                <w:rFonts w:hint="eastAsia" w:cs="宋体"/>
                <w:highlight w:val="none"/>
                <w:lang w:eastAsia="zh-CN"/>
              </w:rPr>
              <w:t>（</w:t>
            </w:r>
            <w:r>
              <w:rPr>
                <w:rFonts w:hint="eastAsia" w:cs="宋体"/>
                <w:highlight w:val="none"/>
                <w:lang w:val="en-US" w:eastAsia="zh-CN"/>
              </w:rPr>
              <w:t>7</w:t>
            </w:r>
            <w:r>
              <w:rPr>
                <w:rFonts w:hint="eastAsia" w:cs="宋体"/>
                <w:highlight w:val="none"/>
                <w:lang w:eastAsia="zh-CN"/>
              </w:rPr>
              <w:t>）</w:t>
            </w:r>
            <w:r>
              <w:rPr>
                <w:rFonts w:hint="eastAsia" w:cs="宋体"/>
                <w:highlight w:val="none"/>
                <w:lang w:val="en-US" w:eastAsia="zh-CN"/>
              </w:rPr>
              <w:t>未在规定期限内完成工作任务的，每顺延一天罚金合同金额0.5%。</w:t>
            </w:r>
          </w:p>
          <w:p>
            <w:pPr>
              <w:pStyle w:val="20"/>
              <w:shd w:val="clear" w:color="auto" w:fill="FFFFFF"/>
              <w:spacing w:beforeAutospacing="0" w:afterAutospacing="0" w:line="360" w:lineRule="auto"/>
              <w:ind w:firstLine="420"/>
              <w:rPr>
                <w:rFonts w:hint="default" w:cs="宋体"/>
                <w:highlight w:val="none"/>
                <w:lang w:val="en-US" w:eastAsia="zh-CN"/>
              </w:rPr>
            </w:pPr>
            <w:r>
              <w:rPr>
                <w:rFonts w:hint="eastAsia" w:cs="宋体"/>
                <w:highlight w:val="none"/>
                <w:lang w:val="en-US" w:eastAsia="zh-CN"/>
              </w:rPr>
              <w:t>（8）延期超过30天的，甲方有权解除合同，并要求乙方赔偿全部损失。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11</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供应商资质条件</w:t>
            </w:r>
          </w:p>
        </w:tc>
        <w:tc>
          <w:tcPr>
            <w:tcW w:w="6417" w:type="dxa"/>
            <w:vAlign w:val="center"/>
          </w:tcPr>
          <w:p>
            <w:pPr>
              <w:pStyle w:val="20"/>
              <w:shd w:val="clear" w:color="auto" w:fill="FFFFFF"/>
              <w:spacing w:beforeAutospacing="0" w:afterAutospacing="0" w:line="360" w:lineRule="auto"/>
              <w:rPr>
                <w:b/>
                <w:bCs/>
                <w:highlight w:val="none"/>
              </w:rPr>
            </w:pPr>
            <w:r>
              <w:rPr>
                <w:rFonts w:hint="eastAsia"/>
                <w:b/>
                <w:bCs/>
                <w:highlight w:val="none"/>
              </w:rPr>
              <w:t>（1）基本资格条件：</w:t>
            </w:r>
          </w:p>
          <w:p>
            <w:pPr>
              <w:pStyle w:val="20"/>
              <w:shd w:val="clear" w:color="auto" w:fill="FFFFFF"/>
              <w:spacing w:beforeAutospacing="0" w:afterAutospacing="0" w:line="360" w:lineRule="auto"/>
              <w:ind w:firstLine="420"/>
              <w:rPr>
                <w:highlight w:val="none"/>
              </w:rPr>
            </w:pPr>
            <w:r>
              <w:rPr>
                <w:rFonts w:hint="eastAsia"/>
                <w:highlight w:val="none"/>
              </w:rPr>
              <w:t xml:space="preserve">1、具有独立承担民事责任能力的法人、其他组织或自然人，提供合法有效的统一社会信用代码营业执照（事业单位提供事业单位法人证书，自然人提供身份证明）； </w:t>
            </w:r>
          </w:p>
          <w:p>
            <w:pPr>
              <w:pStyle w:val="20"/>
              <w:shd w:val="clear" w:color="auto" w:fill="FFFFFF"/>
              <w:spacing w:beforeAutospacing="0" w:afterAutospacing="0" w:line="360" w:lineRule="auto"/>
              <w:ind w:firstLine="420"/>
              <w:rPr>
                <w:rFonts w:hint="eastAsia"/>
                <w:highlight w:val="none"/>
                <w:lang w:eastAsia="zh-CN"/>
              </w:rPr>
            </w:pPr>
            <w:r>
              <w:rPr>
                <w:rFonts w:hint="eastAsia"/>
                <w:highlight w:val="none"/>
              </w:rPr>
              <w:t>2、财务状况报告：</w:t>
            </w:r>
            <w:r>
              <w:rPr>
                <w:rFonts w:hint="eastAsia"/>
                <w:highlight w:val="none"/>
                <w:lang w:eastAsia="zh-CN"/>
              </w:rPr>
              <w:t>提供具有财务审计资质单位出具的2021年度财务报告或</w:t>
            </w:r>
            <w:r>
              <w:rPr>
                <w:rFonts w:hint="eastAsia"/>
                <w:highlight w:val="none"/>
                <w:lang w:val="en-US" w:eastAsia="zh-CN"/>
              </w:rPr>
              <w:t>2022年度</w:t>
            </w:r>
            <w:r>
              <w:rPr>
                <w:rFonts w:hint="eastAsia"/>
                <w:highlight w:val="none"/>
                <w:lang w:eastAsia="zh-CN"/>
              </w:rPr>
              <w:t>财务报告</w:t>
            </w:r>
            <w:r>
              <w:rPr>
                <w:rFonts w:hint="eastAsia"/>
                <w:highlight w:val="none"/>
                <w:lang w:val="en-US" w:eastAsia="zh-CN"/>
              </w:rPr>
              <w:t>或</w:t>
            </w:r>
            <w:r>
              <w:rPr>
                <w:rFonts w:hint="eastAsia"/>
                <w:highlight w:val="none"/>
                <w:lang w:eastAsia="zh-CN"/>
              </w:rPr>
              <w:t>2022年7月1日至今其基本账户银行出具的资信证明，其他组织和自然人提供银行出具的资信证明或财务报表；</w:t>
            </w:r>
          </w:p>
          <w:p>
            <w:pPr>
              <w:pStyle w:val="20"/>
              <w:shd w:val="clear" w:color="auto" w:fill="FFFFFF"/>
              <w:spacing w:beforeAutospacing="0" w:afterAutospacing="0" w:line="360" w:lineRule="auto"/>
              <w:ind w:firstLine="420"/>
              <w:rPr>
                <w:highlight w:val="none"/>
              </w:rPr>
            </w:pPr>
            <w:r>
              <w:rPr>
                <w:rFonts w:hint="eastAsia"/>
                <w:highlight w:val="none"/>
              </w:rPr>
              <w:t xml:space="preserve">3、 社会保障资金缴纳证明：提供开标前六个月内任意时段已缴存的社会保障资金缴存单据或社保机构开具的社会保险参保缴费情况证明；依法不需要缴纳社会保障资金的应提供相关文件证明； </w:t>
            </w:r>
          </w:p>
          <w:p>
            <w:pPr>
              <w:pStyle w:val="20"/>
              <w:shd w:val="clear" w:color="auto" w:fill="FFFFFF"/>
              <w:spacing w:beforeAutospacing="0" w:afterAutospacing="0" w:line="360" w:lineRule="auto"/>
              <w:ind w:firstLine="420"/>
              <w:rPr>
                <w:highlight w:val="none"/>
              </w:rPr>
            </w:pPr>
            <w:r>
              <w:rPr>
                <w:rFonts w:hint="eastAsia"/>
                <w:highlight w:val="none"/>
              </w:rPr>
              <w:t>4、 税收缴纳证明：提供开标前六个月内任意时段已缴纳的完税凭证或税务机关开具的完税证明（任意税种）；依法免税的应提供相关文件证明，零纳税的提供申报表；</w:t>
            </w:r>
          </w:p>
          <w:p>
            <w:pPr>
              <w:pStyle w:val="20"/>
              <w:shd w:val="clear" w:color="auto" w:fill="FFFFFF"/>
              <w:spacing w:beforeAutospacing="0" w:afterAutospacing="0" w:line="360" w:lineRule="auto"/>
              <w:ind w:firstLine="420"/>
              <w:rPr>
                <w:highlight w:val="none"/>
              </w:rPr>
            </w:pPr>
            <w:r>
              <w:rPr>
                <w:rFonts w:hint="eastAsia"/>
                <w:highlight w:val="none"/>
              </w:rPr>
              <w:t>5、 提供具有履行本合同所必需的专业技术能力的声明；</w:t>
            </w:r>
          </w:p>
          <w:p>
            <w:pPr>
              <w:pStyle w:val="20"/>
              <w:shd w:val="clear" w:color="auto" w:fill="FFFFFF"/>
              <w:spacing w:beforeAutospacing="0" w:afterAutospacing="0" w:line="360" w:lineRule="auto"/>
              <w:ind w:firstLine="420"/>
              <w:rPr>
                <w:highlight w:val="none"/>
              </w:rPr>
            </w:pPr>
            <w:r>
              <w:rPr>
                <w:rFonts w:hint="eastAsia"/>
                <w:highlight w:val="none"/>
              </w:rPr>
              <w:t>6、 参加本次政府采购活动前3年内在经营活动中没有重大违纪的声明；</w:t>
            </w:r>
          </w:p>
          <w:p>
            <w:pPr>
              <w:pStyle w:val="20"/>
              <w:shd w:val="clear" w:color="auto" w:fill="FFFFFF"/>
              <w:spacing w:beforeAutospacing="0" w:afterAutospacing="0" w:line="360" w:lineRule="auto"/>
              <w:rPr>
                <w:b/>
                <w:bCs/>
                <w:highlight w:val="none"/>
              </w:rPr>
            </w:pPr>
            <w:r>
              <w:rPr>
                <w:rFonts w:hint="eastAsia"/>
                <w:b/>
                <w:bCs/>
                <w:highlight w:val="none"/>
              </w:rPr>
              <w:t>（2）特定资格条件：</w:t>
            </w:r>
          </w:p>
          <w:p>
            <w:pPr>
              <w:pStyle w:val="20"/>
              <w:shd w:val="clear" w:color="auto" w:fill="FFFFFF"/>
              <w:spacing w:beforeAutospacing="0" w:afterAutospacing="0" w:line="360" w:lineRule="auto"/>
              <w:ind w:firstLine="420"/>
              <w:rPr>
                <w:highlight w:val="none"/>
              </w:rPr>
            </w:pPr>
            <w:r>
              <w:rPr>
                <w:rFonts w:hint="eastAsia"/>
                <w:highlight w:val="none"/>
              </w:rPr>
              <w:t>7、法定代表人直接参加磋商的，须出具法定代表人身份证明书及身份证；授权代表参加磋商的，须出具法定代表人授权书及授权代表身份证；</w:t>
            </w:r>
          </w:p>
          <w:p>
            <w:pPr>
              <w:pStyle w:val="20"/>
              <w:shd w:val="clear" w:color="auto" w:fill="FFFFFF"/>
              <w:spacing w:beforeAutospacing="0" w:afterAutospacing="0" w:line="360" w:lineRule="auto"/>
              <w:ind w:firstLine="420"/>
              <w:rPr>
                <w:highlight w:val="none"/>
              </w:rPr>
            </w:pPr>
            <w:r>
              <w:rPr>
                <w:rFonts w:hint="eastAsia"/>
                <w:highlight w:val="none"/>
              </w:rPr>
              <w:t>8、磋商保证金缴纳凭证或担保机构出具的保函；</w:t>
            </w:r>
          </w:p>
          <w:p>
            <w:pPr>
              <w:pStyle w:val="20"/>
              <w:shd w:val="clear" w:color="auto" w:fill="FFFFFF"/>
              <w:spacing w:beforeAutospacing="0" w:afterAutospacing="0" w:line="360" w:lineRule="auto"/>
              <w:ind w:firstLine="420"/>
              <w:rPr>
                <w:rFonts w:hint="eastAsia" w:cs="宋体"/>
                <w:color w:val="333333"/>
                <w:highlight w:val="none"/>
                <w:shd w:val="clear" w:color="auto" w:fill="FFFFFF"/>
                <w:lang w:eastAsia="zh-CN"/>
              </w:rPr>
            </w:pPr>
            <w:r>
              <w:rPr>
                <w:rFonts w:hint="eastAsia"/>
                <w:highlight w:val="none"/>
              </w:rPr>
              <w:t>9、</w:t>
            </w:r>
            <w:r>
              <w:rPr>
                <w:rFonts w:hint="eastAsia" w:cs="宋体"/>
                <w:color w:val="333333"/>
                <w:highlight w:val="none"/>
                <w:shd w:val="clear" w:color="auto" w:fill="FFFFFF"/>
                <w:lang w:val="en-US" w:eastAsia="zh-CN"/>
              </w:rPr>
              <w:t>供应商须</w:t>
            </w:r>
            <w:r>
              <w:rPr>
                <w:rFonts w:hint="eastAsia" w:cs="宋体"/>
                <w:color w:val="333333"/>
                <w:highlight w:val="none"/>
                <w:shd w:val="clear" w:color="auto" w:fill="FFFFFF"/>
                <w:lang w:eastAsia="zh-CN"/>
              </w:rPr>
              <w:t>具有交通运输部质量监督机构颁发的公路工程试验检测综合甲级资质</w:t>
            </w:r>
            <w:r>
              <w:rPr>
                <w:rFonts w:hint="eastAsia" w:cs="宋体"/>
                <w:color w:val="333333"/>
                <w:highlight w:val="none"/>
                <w:shd w:val="clear" w:color="auto" w:fill="FFFFFF"/>
                <w:lang w:val="en-US" w:eastAsia="zh-CN"/>
              </w:rPr>
              <w:t>或桥梁工程试验检测专项类资质。同时供应商须具备有效的</w:t>
            </w:r>
            <w:r>
              <w:rPr>
                <w:rFonts w:hint="eastAsia" w:cs="宋体"/>
                <w:color w:val="333333"/>
                <w:highlight w:val="none"/>
                <w:shd w:val="clear" w:color="auto" w:fill="FFFFFF"/>
                <w:lang w:eastAsia="zh-CN"/>
              </w:rPr>
              <w:t>国家质量技术监督部门颁发的</w:t>
            </w:r>
            <w:r>
              <w:rPr>
                <w:rFonts w:hint="eastAsia" w:cs="宋体"/>
                <w:color w:val="333333"/>
                <w:highlight w:val="none"/>
                <w:shd w:val="clear" w:color="auto" w:fill="FFFFFF"/>
                <w:lang w:val="en-US" w:eastAsia="zh-CN"/>
              </w:rPr>
              <w:t>省部级以上</w:t>
            </w:r>
            <w:r>
              <w:rPr>
                <w:rFonts w:hint="eastAsia" w:cs="宋体"/>
                <w:color w:val="333333"/>
                <w:highlight w:val="none"/>
                <w:shd w:val="clear" w:color="auto" w:fill="FFFFFF"/>
                <w:lang w:eastAsia="zh-CN"/>
              </w:rPr>
              <w:t>计量认证CMA合格证书（具有</w:t>
            </w:r>
            <w:r>
              <w:rPr>
                <w:rFonts w:hint="eastAsia" w:cs="宋体"/>
                <w:color w:val="333333"/>
                <w:highlight w:val="none"/>
                <w:shd w:val="clear" w:color="auto" w:fill="FFFFFF"/>
                <w:lang w:val="en-US" w:eastAsia="zh-CN"/>
              </w:rPr>
              <w:t>桥梁、隧道检测能力</w:t>
            </w:r>
            <w:r>
              <w:rPr>
                <w:rFonts w:hint="eastAsia" w:cs="宋体"/>
                <w:color w:val="333333"/>
                <w:highlight w:val="none"/>
                <w:shd w:val="clear" w:color="auto" w:fill="FFFFFF"/>
                <w:lang w:eastAsia="zh-CN"/>
              </w:rPr>
              <w:t>），上述证书均须在有效期内</w:t>
            </w:r>
          </w:p>
          <w:p>
            <w:pPr>
              <w:pStyle w:val="20"/>
              <w:shd w:val="clear" w:color="auto" w:fill="FFFFFF"/>
              <w:spacing w:beforeAutospacing="0" w:afterAutospacing="0" w:line="360" w:lineRule="auto"/>
              <w:ind w:firstLine="420"/>
              <w:rPr>
                <w:rFonts w:hint="eastAsia"/>
                <w:highlight w:val="none"/>
              </w:rPr>
            </w:pPr>
            <w:r>
              <w:rPr>
                <w:rFonts w:hint="eastAsia" w:cs="宋体"/>
                <w:color w:val="333333"/>
                <w:highlight w:val="none"/>
                <w:shd w:val="clear" w:color="auto" w:fill="FFFFFF"/>
                <w:lang w:val="en-US" w:eastAsia="zh-CN"/>
              </w:rPr>
              <w:t>10、</w:t>
            </w:r>
            <w:r>
              <w:rPr>
                <w:rFonts w:hint="eastAsia"/>
                <w:highlight w:val="none"/>
              </w:rPr>
              <w:t>供应商未被“信用中国”网站（www.creditchina.gov.cn）中列入失信被执行人和税收违法</w:t>
            </w:r>
            <w:r>
              <w:rPr>
                <w:rFonts w:hint="eastAsia"/>
                <w:highlight w:val="none"/>
                <w:lang w:val="en-US" w:eastAsia="zh-CN"/>
              </w:rPr>
              <w:t>黑</w:t>
            </w:r>
            <w:r>
              <w:rPr>
                <w:rFonts w:hint="eastAsia"/>
                <w:highlight w:val="none"/>
              </w:rPr>
              <w:t>名单，在中国政府采购网（www.ccgp.gov.cn）政府采购严重违法失信行为记录名单中未被财政部门禁止参加政府采购活动的供应商，未被省级及以上交通运输主管部门限制进入公路建养市场，且</w:t>
            </w:r>
            <w:r>
              <w:rPr>
                <w:rFonts w:hint="eastAsia"/>
                <w:highlight w:val="none"/>
                <w:lang w:val="en-US" w:eastAsia="zh-CN"/>
              </w:rPr>
              <w:t>不</w:t>
            </w:r>
            <w:r>
              <w:rPr>
                <w:rFonts w:hint="eastAsia"/>
                <w:highlight w:val="none"/>
              </w:rPr>
              <w:t>在处罚有效期内；</w:t>
            </w:r>
          </w:p>
          <w:p>
            <w:pPr>
              <w:pStyle w:val="20"/>
              <w:shd w:val="clear" w:color="auto" w:fill="FFFFFF"/>
              <w:spacing w:beforeAutospacing="0" w:afterAutospacing="0" w:line="360" w:lineRule="auto"/>
              <w:ind w:firstLine="420"/>
              <w:rPr>
                <w:rFonts w:hint="eastAsia"/>
                <w:highlight w:val="none"/>
              </w:rPr>
            </w:pPr>
            <w:r>
              <w:rPr>
                <w:rFonts w:hint="eastAsia"/>
                <w:b/>
                <w:bCs/>
                <w:highlight w:val="none"/>
              </w:rPr>
              <w:t>注：1、根据财库（2019）38号文件规定，以上资料通过互联网或者相关信息系统查询的，供应商可以不提供复印件，但须说明查询方法及查询地址；资料原件采购人有权备查，若不提供，其资格审查不通过！2、</w:t>
            </w:r>
            <w:r>
              <w:rPr>
                <w:rFonts w:hint="eastAsia" w:ascii="宋体" w:hAnsi="宋体" w:cs="宋体"/>
                <w:b/>
                <w:bCs/>
                <w:sz w:val="24"/>
                <w:highlight w:val="none"/>
              </w:rPr>
              <w:t>分公司参与磋商，须提供总公司针对分公司参与本项目磋商的唯一授权函，否则按无效响应处理；</w:t>
            </w:r>
            <w:r>
              <w:rPr>
                <w:rFonts w:hint="eastAsia" w:cs="宋体"/>
                <w:b/>
                <w:bCs/>
                <w:sz w:val="24"/>
                <w:highlight w:val="none"/>
                <w:lang w:val="en-US" w:eastAsia="zh-CN"/>
              </w:rPr>
              <w:t>3、</w:t>
            </w:r>
            <w:r>
              <w:rPr>
                <w:rFonts w:hint="eastAsia"/>
                <w:b/>
                <w:bCs/>
                <w:highlight w:val="none"/>
              </w:rPr>
              <w:t>以上资料有1项不符合要求，资格审查不通过；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12</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联合体竞争性磋商</w:t>
            </w:r>
          </w:p>
        </w:tc>
        <w:tc>
          <w:tcPr>
            <w:tcW w:w="6417" w:type="dxa"/>
            <w:vAlign w:val="center"/>
          </w:tcPr>
          <w:p>
            <w:pPr>
              <w:spacing w:line="360" w:lineRule="auto"/>
              <w:jc w:val="left"/>
              <w:rPr>
                <w:rFonts w:ascii="宋体" w:hAnsi="宋体" w:cs="宋体"/>
                <w:sz w:val="24"/>
                <w:highlight w:val="none"/>
              </w:rPr>
            </w:pPr>
            <w:r>
              <w:rPr>
                <w:rFonts w:hint="eastAsia" w:ascii="宋体" w:hAnsi="宋体" w:cs="宋体"/>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13</w:t>
            </w:r>
          </w:p>
        </w:tc>
        <w:tc>
          <w:tcPr>
            <w:tcW w:w="244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磋商前答疑会</w:t>
            </w:r>
          </w:p>
        </w:tc>
        <w:tc>
          <w:tcPr>
            <w:tcW w:w="6417" w:type="dxa"/>
            <w:vAlign w:val="center"/>
          </w:tcPr>
          <w:p>
            <w:pPr>
              <w:spacing w:line="360" w:lineRule="auto"/>
              <w:jc w:val="left"/>
              <w:rPr>
                <w:rFonts w:ascii="宋体" w:hAnsi="宋体" w:cs="宋体"/>
                <w:sz w:val="24"/>
                <w:highlight w:val="none"/>
              </w:rPr>
            </w:pPr>
            <w:r>
              <w:rPr>
                <w:rFonts w:hint="eastAsia" w:ascii="宋体" w:hAnsi="宋体" w:cs="宋体"/>
                <w:sz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14</w:t>
            </w:r>
          </w:p>
        </w:tc>
        <w:tc>
          <w:tcPr>
            <w:tcW w:w="2445" w:type="dxa"/>
            <w:vAlign w:val="center"/>
          </w:tcPr>
          <w:p>
            <w:pPr>
              <w:spacing w:line="360" w:lineRule="auto"/>
              <w:jc w:val="center"/>
              <w:rPr>
                <w:rFonts w:ascii="宋体" w:hAnsi="宋体" w:cs="宋体"/>
                <w:kern w:val="0"/>
                <w:sz w:val="24"/>
                <w:highlight w:val="none"/>
              </w:rPr>
            </w:pPr>
            <w:r>
              <w:rPr>
                <w:rFonts w:hint="eastAsia" w:ascii="宋体" w:hAnsi="宋体" w:cs="宋体"/>
                <w:sz w:val="24"/>
                <w:highlight w:val="none"/>
              </w:rPr>
              <w:t>供应商询问</w:t>
            </w:r>
          </w:p>
        </w:tc>
        <w:tc>
          <w:tcPr>
            <w:tcW w:w="6417" w:type="dxa"/>
            <w:vAlign w:val="center"/>
          </w:tcPr>
          <w:p>
            <w:pPr>
              <w:spacing w:line="360" w:lineRule="auto"/>
              <w:jc w:val="left"/>
              <w:rPr>
                <w:rFonts w:ascii="宋体" w:hAnsi="宋体" w:cs="宋体"/>
                <w:kern w:val="0"/>
                <w:sz w:val="24"/>
                <w:highlight w:val="none"/>
              </w:rPr>
            </w:pPr>
            <w:r>
              <w:rPr>
                <w:rFonts w:hint="eastAsia" w:ascii="宋体" w:hAnsi="宋体" w:cs="宋体"/>
                <w:sz w:val="24"/>
                <w:highlight w:val="none"/>
              </w:rPr>
              <w:t>供应商对政府采购活动事项有疑问的，可以向采购人或采购代理机构提出询问，采购人或采购代理机构将在三个工作日内及时答复。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15</w:t>
            </w:r>
          </w:p>
        </w:tc>
        <w:tc>
          <w:tcPr>
            <w:tcW w:w="2445" w:type="dxa"/>
            <w:vAlign w:val="center"/>
          </w:tcPr>
          <w:p>
            <w:pPr>
              <w:spacing w:line="360" w:lineRule="auto"/>
              <w:jc w:val="center"/>
              <w:rPr>
                <w:rFonts w:ascii="宋体" w:hAnsi="宋体" w:cs="宋体"/>
                <w:kern w:val="0"/>
                <w:sz w:val="24"/>
                <w:highlight w:val="none"/>
              </w:rPr>
            </w:pPr>
            <w:r>
              <w:rPr>
                <w:rFonts w:hint="eastAsia" w:ascii="宋体" w:hAnsi="宋体" w:cs="宋体"/>
                <w:sz w:val="24"/>
                <w:highlight w:val="none"/>
              </w:rPr>
              <w:t>供应商质疑</w:t>
            </w:r>
          </w:p>
        </w:tc>
        <w:tc>
          <w:tcPr>
            <w:tcW w:w="6417" w:type="dxa"/>
            <w:vAlign w:val="center"/>
          </w:tcPr>
          <w:p>
            <w:pPr>
              <w:spacing w:line="360" w:lineRule="auto"/>
              <w:jc w:val="left"/>
              <w:rPr>
                <w:rFonts w:ascii="宋体" w:hAnsi="宋体" w:cs="宋体"/>
                <w:kern w:val="0"/>
                <w:sz w:val="24"/>
                <w:highlight w:val="none"/>
              </w:rPr>
            </w:pPr>
            <w:r>
              <w:rPr>
                <w:rFonts w:hint="eastAsia" w:ascii="宋体" w:hAnsi="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16</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质疑内容要求及质疑接受</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供应商提出质疑应当提交质疑函和必要的证明材料原件，代理机构不接受传真、电子邮件、复印件等形式的质疑材料。</w:t>
            </w:r>
          </w:p>
          <w:p>
            <w:pPr>
              <w:spacing w:line="360" w:lineRule="auto"/>
              <w:rPr>
                <w:rFonts w:ascii="宋体" w:hAnsi="宋体" w:cs="宋体"/>
                <w:sz w:val="24"/>
                <w:highlight w:val="none"/>
              </w:rPr>
            </w:pPr>
            <w:r>
              <w:rPr>
                <w:rFonts w:hint="eastAsia" w:ascii="宋体" w:hAnsi="宋体" w:cs="宋体"/>
                <w:sz w:val="24"/>
                <w:highlight w:val="none"/>
              </w:rPr>
              <w:t>质疑函应当包括下列内容：　</w:t>
            </w:r>
          </w:p>
          <w:p>
            <w:pPr>
              <w:spacing w:line="360" w:lineRule="auto"/>
              <w:rPr>
                <w:rFonts w:ascii="宋体" w:hAnsi="宋体" w:cs="宋体"/>
                <w:sz w:val="24"/>
                <w:highlight w:val="none"/>
              </w:rPr>
            </w:pPr>
            <w:r>
              <w:rPr>
                <w:rFonts w:hint="eastAsia" w:ascii="宋体" w:hAnsi="宋体" w:cs="宋体"/>
                <w:sz w:val="24"/>
                <w:highlight w:val="none"/>
              </w:rPr>
              <w:t>（一）供应商的姓名或者名称、地址、邮编、联系人及联系电话；</w:t>
            </w:r>
          </w:p>
          <w:p>
            <w:pPr>
              <w:spacing w:line="360" w:lineRule="auto"/>
              <w:rPr>
                <w:rFonts w:ascii="宋体" w:hAnsi="宋体" w:cs="宋体"/>
                <w:sz w:val="24"/>
                <w:highlight w:val="none"/>
              </w:rPr>
            </w:pPr>
            <w:r>
              <w:rPr>
                <w:rFonts w:hint="eastAsia" w:ascii="宋体" w:hAnsi="宋体" w:cs="宋体"/>
                <w:sz w:val="24"/>
                <w:highlight w:val="none"/>
              </w:rPr>
              <w:t>（二）质疑项目的名称、编号；</w:t>
            </w:r>
          </w:p>
          <w:p>
            <w:pPr>
              <w:spacing w:line="360" w:lineRule="auto"/>
              <w:rPr>
                <w:rFonts w:ascii="宋体" w:hAnsi="宋体" w:cs="宋体"/>
                <w:sz w:val="24"/>
                <w:highlight w:val="none"/>
              </w:rPr>
            </w:pPr>
            <w:r>
              <w:rPr>
                <w:rFonts w:hint="eastAsia" w:ascii="宋体" w:hAnsi="宋体" w:cs="宋体"/>
                <w:sz w:val="24"/>
                <w:highlight w:val="none"/>
              </w:rPr>
              <w:t>（三）具体、明确的质疑事项和与质疑事项相关的请求；</w:t>
            </w:r>
          </w:p>
          <w:p>
            <w:pPr>
              <w:spacing w:line="360" w:lineRule="auto"/>
              <w:rPr>
                <w:rFonts w:ascii="宋体" w:hAnsi="宋体" w:cs="宋体"/>
                <w:sz w:val="24"/>
                <w:highlight w:val="none"/>
              </w:rPr>
            </w:pPr>
            <w:r>
              <w:rPr>
                <w:rFonts w:hint="eastAsia" w:ascii="宋体" w:hAnsi="宋体" w:cs="宋体"/>
                <w:sz w:val="24"/>
                <w:highlight w:val="none"/>
              </w:rPr>
              <w:t>（四）事实依据；</w:t>
            </w:r>
          </w:p>
          <w:p>
            <w:pPr>
              <w:spacing w:line="360" w:lineRule="auto"/>
              <w:rPr>
                <w:rFonts w:ascii="宋体" w:hAnsi="宋体" w:cs="宋体"/>
                <w:sz w:val="24"/>
                <w:highlight w:val="none"/>
              </w:rPr>
            </w:pPr>
            <w:r>
              <w:rPr>
                <w:rFonts w:hint="eastAsia" w:ascii="宋体" w:hAnsi="宋体" w:cs="宋体"/>
                <w:sz w:val="24"/>
                <w:highlight w:val="none"/>
              </w:rPr>
              <w:t>（五）必要的法律依据；</w:t>
            </w:r>
          </w:p>
          <w:p>
            <w:pPr>
              <w:spacing w:line="360" w:lineRule="auto"/>
              <w:rPr>
                <w:rFonts w:ascii="宋体" w:hAnsi="宋体" w:cs="宋体"/>
                <w:sz w:val="24"/>
                <w:highlight w:val="none"/>
              </w:rPr>
            </w:pPr>
            <w:r>
              <w:rPr>
                <w:rFonts w:hint="eastAsia" w:ascii="宋体" w:hAnsi="宋体" w:cs="宋体"/>
                <w:sz w:val="24"/>
                <w:highlight w:val="none"/>
              </w:rPr>
              <w:t>（六）提出质疑的日期。</w:t>
            </w:r>
          </w:p>
          <w:p>
            <w:pPr>
              <w:spacing w:line="360" w:lineRule="auto"/>
              <w:rPr>
                <w:rFonts w:ascii="宋体" w:hAnsi="宋体" w:cs="宋体"/>
                <w:sz w:val="24"/>
                <w:highlight w:val="none"/>
              </w:rPr>
            </w:pPr>
            <w:r>
              <w:rPr>
                <w:rFonts w:hint="eastAsia" w:ascii="宋体" w:hAnsi="宋体" w:cs="宋体"/>
                <w:sz w:val="24"/>
                <w:highlight w:val="none"/>
              </w:rPr>
              <w:t>供应商为自然人的，应当由本人签字；供应商为法人或者其他组织的，应当由法定代表人、主要负责人，或者其授权代表（附法人代表授权书）签字或者盖章（鲜章），并加盖公章（鲜章）。</w:t>
            </w:r>
          </w:p>
          <w:p>
            <w:pPr>
              <w:spacing w:line="360" w:lineRule="auto"/>
              <w:rPr>
                <w:rFonts w:ascii="宋体" w:hAnsi="宋体" w:cs="宋体"/>
                <w:sz w:val="24"/>
                <w:highlight w:val="none"/>
              </w:rPr>
            </w:pPr>
            <w:r>
              <w:rPr>
                <w:rFonts w:hint="eastAsia" w:ascii="宋体" w:hAnsi="宋体" w:cs="宋体"/>
                <w:sz w:val="24"/>
                <w:highlight w:val="none"/>
              </w:rPr>
              <w:t>接收质疑函的方式：书面形式；</w:t>
            </w:r>
          </w:p>
          <w:p>
            <w:pPr>
              <w:pStyle w:val="2"/>
              <w:spacing w:line="360" w:lineRule="auto"/>
              <w:rPr>
                <w:rFonts w:ascii="宋体" w:hAnsi="宋体" w:cs="宋体"/>
                <w:color w:val="auto"/>
                <w:highlight w:val="none"/>
              </w:rPr>
            </w:pPr>
            <w:r>
              <w:rPr>
                <w:rFonts w:hint="eastAsia" w:ascii="宋体" w:hAnsi="宋体" w:cs="宋体"/>
                <w:color w:val="auto"/>
                <w:highlight w:val="none"/>
              </w:rPr>
              <w:t>联系部门：</w:t>
            </w:r>
            <w:r>
              <w:rPr>
                <w:rFonts w:hint="eastAsia" w:ascii="宋体" w:hAnsi="宋体" w:cs="宋体"/>
                <w:color w:val="auto"/>
                <w:highlight w:val="none"/>
                <w:lang w:eastAsia="zh-CN"/>
              </w:rPr>
              <w:t>陕西正宇信工程项目管理有限公司</w:t>
            </w:r>
            <w:r>
              <w:rPr>
                <w:rFonts w:hint="eastAsia" w:ascii="宋体" w:hAnsi="宋体" w:cs="宋体"/>
                <w:color w:val="auto"/>
                <w:highlight w:val="none"/>
              </w:rPr>
              <w:t>；</w:t>
            </w:r>
          </w:p>
          <w:p>
            <w:pPr>
              <w:pStyle w:val="2"/>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胡工、何工</w:t>
            </w:r>
          </w:p>
          <w:p>
            <w:pPr>
              <w:pStyle w:val="2"/>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联系电话：</w:t>
            </w:r>
            <w:r>
              <w:rPr>
                <w:rFonts w:hint="eastAsia" w:ascii="宋体" w:hAnsi="宋体" w:cs="宋体"/>
                <w:color w:val="auto"/>
                <w:highlight w:val="none"/>
                <w:lang w:eastAsia="zh-CN"/>
              </w:rPr>
              <w:t>13259773353</w:t>
            </w:r>
          </w:p>
          <w:p>
            <w:pPr>
              <w:pStyle w:val="2"/>
              <w:spacing w:line="360" w:lineRule="auto"/>
              <w:rPr>
                <w:rFonts w:ascii="宋体" w:hAnsi="宋体" w:cs="宋体"/>
                <w:color w:val="auto"/>
                <w:highlight w:val="none"/>
              </w:rPr>
            </w:pPr>
            <w:r>
              <w:rPr>
                <w:rFonts w:hint="eastAsia" w:ascii="宋体" w:hAnsi="宋体" w:cs="宋体"/>
                <w:color w:val="auto"/>
                <w:highlight w:val="none"/>
              </w:rPr>
              <w:t>通讯地址：</w:t>
            </w:r>
            <w:r>
              <w:rPr>
                <w:rFonts w:hint="eastAsia" w:ascii="宋体" w:hAnsi="宋体" w:cs="宋体"/>
                <w:color w:val="auto"/>
                <w:highlight w:val="none"/>
                <w:lang w:eastAsia="zh-CN"/>
              </w:rPr>
              <w:t>西安市航天基地飞天路北航科技园5号楼1单元2楼</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17</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磋商有效期</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90日历天（自磋商响应文件递交截止之日算起）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18</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是否允许递交备选磋商文件方案</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19</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磋商保证金</w:t>
            </w:r>
          </w:p>
        </w:tc>
        <w:tc>
          <w:tcPr>
            <w:tcW w:w="6417"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cs="宋体"/>
                <w:sz w:val="24"/>
                <w:highlight w:val="none"/>
              </w:rPr>
            </w:pPr>
            <w:r>
              <w:rPr>
                <w:rFonts w:hint="eastAsia" w:ascii="宋体" w:hAnsi="宋体" w:cs="宋体"/>
                <w:sz w:val="24"/>
                <w:highlight w:val="none"/>
              </w:rPr>
              <w:t>本项目的投标保证金为：</w:t>
            </w:r>
          </w:p>
          <w:p>
            <w:pPr>
              <w:spacing w:line="500" w:lineRule="exact"/>
              <w:rPr>
                <w:rFonts w:ascii="宋体" w:hAnsi="宋体" w:cs="宋体"/>
                <w:sz w:val="24"/>
                <w:highlight w:val="none"/>
              </w:rPr>
            </w:pPr>
            <w:r>
              <w:rPr>
                <w:rFonts w:hint="eastAsia" w:ascii="宋体" w:hAnsi="宋体" w:cs="宋体"/>
                <w:sz w:val="24"/>
                <w:highlight w:val="none"/>
                <w:lang w:val="en-US" w:eastAsia="zh-CN"/>
              </w:rPr>
              <w:t>JC-1</w:t>
            </w:r>
            <w:r>
              <w:rPr>
                <w:rFonts w:hint="eastAsia" w:ascii="宋体" w:hAnsi="宋体" w:cs="宋体"/>
                <w:sz w:val="24"/>
                <w:highlight w:val="none"/>
                <w:lang w:eastAsia="zh-CN"/>
              </w:rPr>
              <w:t>包</w:t>
            </w:r>
            <w:r>
              <w:rPr>
                <w:rFonts w:hint="eastAsia" w:ascii="宋体" w:hAnsi="宋体" w:cs="宋体"/>
                <w:sz w:val="24"/>
                <w:highlight w:val="none"/>
              </w:rPr>
              <w:t>：人民币</w:t>
            </w:r>
            <w:r>
              <w:rPr>
                <w:rFonts w:hint="eastAsia" w:ascii="宋体" w:hAnsi="宋体" w:cs="宋体"/>
                <w:sz w:val="24"/>
                <w:highlight w:val="none"/>
                <w:lang w:val="en-US" w:eastAsia="zh-CN"/>
              </w:rPr>
              <w:t>壹万陆仟元整</w:t>
            </w:r>
            <w:r>
              <w:rPr>
                <w:rFonts w:hint="eastAsia" w:ascii="宋体" w:hAnsi="宋体" w:cs="宋体"/>
                <w:sz w:val="24"/>
                <w:highlight w:val="none"/>
              </w:rPr>
              <w:t>（¥</w:t>
            </w:r>
            <w:r>
              <w:rPr>
                <w:rFonts w:hint="eastAsia" w:ascii="宋体" w:hAnsi="宋体" w:cs="宋体"/>
                <w:sz w:val="24"/>
                <w:highlight w:val="none"/>
                <w:lang w:val="en-US" w:eastAsia="zh-CN"/>
              </w:rPr>
              <w:t>16000</w:t>
            </w:r>
            <w:r>
              <w:rPr>
                <w:rFonts w:hint="eastAsia" w:ascii="宋体" w:hAnsi="宋体" w:cs="宋体"/>
                <w:sz w:val="24"/>
                <w:highlight w:val="none"/>
              </w:rPr>
              <w:t>.00元）；</w:t>
            </w:r>
          </w:p>
          <w:p>
            <w:pPr>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JC-2</w:t>
            </w:r>
            <w:r>
              <w:rPr>
                <w:rFonts w:hint="eastAsia" w:ascii="宋体" w:hAnsi="宋体" w:cs="宋体"/>
                <w:sz w:val="24"/>
                <w:highlight w:val="none"/>
                <w:lang w:eastAsia="zh-CN"/>
              </w:rPr>
              <w:t>包</w:t>
            </w:r>
            <w:r>
              <w:rPr>
                <w:rFonts w:hint="eastAsia" w:ascii="宋体" w:hAnsi="宋体" w:cs="宋体"/>
                <w:sz w:val="24"/>
                <w:highlight w:val="none"/>
              </w:rPr>
              <w:t>：人民币</w:t>
            </w:r>
            <w:r>
              <w:rPr>
                <w:rFonts w:hint="eastAsia" w:ascii="宋体" w:hAnsi="宋体" w:cs="宋体"/>
                <w:sz w:val="24"/>
                <w:highlight w:val="none"/>
                <w:lang w:val="en-US" w:eastAsia="zh-CN"/>
              </w:rPr>
              <w:t>壹万肆仟元整</w:t>
            </w:r>
            <w:r>
              <w:rPr>
                <w:rFonts w:hint="eastAsia" w:ascii="宋体" w:hAnsi="宋体" w:cs="宋体"/>
                <w:sz w:val="24"/>
                <w:highlight w:val="none"/>
              </w:rPr>
              <w:t>（¥</w:t>
            </w:r>
            <w:r>
              <w:rPr>
                <w:rFonts w:hint="eastAsia" w:ascii="宋体" w:hAnsi="宋体" w:cs="宋体"/>
                <w:sz w:val="24"/>
                <w:highlight w:val="none"/>
                <w:lang w:val="en-US" w:eastAsia="zh-CN"/>
              </w:rPr>
              <w:t>14000.00</w:t>
            </w:r>
            <w:r>
              <w:rPr>
                <w:rFonts w:hint="eastAsia" w:ascii="宋体" w:hAnsi="宋体" w:cs="宋体"/>
                <w:sz w:val="24"/>
                <w:highlight w:val="none"/>
              </w:rPr>
              <w:t>元）</w:t>
            </w:r>
            <w:r>
              <w:rPr>
                <w:rFonts w:hint="eastAsia" w:ascii="宋体" w:hAnsi="宋体" w:cs="宋体"/>
                <w:sz w:val="24"/>
                <w:highlight w:val="none"/>
                <w:lang w:eastAsia="zh-CN"/>
              </w:rPr>
              <w:t>；</w:t>
            </w:r>
          </w:p>
          <w:p>
            <w:pPr>
              <w:spacing w:line="360" w:lineRule="auto"/>
              <w:jc w:val="left"/>
              <w:rPr>
                <w:rFonts w:ascii="宋体" w:hAnsi="宋体" w:cs="宋体"/>
                <w:sz w:val="24"/>
                <w:highlight w:val="none"/>
              </w:rPr>
            </w:pPr>
            <w:r>
              <w:rPr>
                <w:rFonts w:hint="eastAsia" w:ascii="宋体" w:hAnsi="宋体" w:cs="宋体"/>
                <w:sz w:val="24"/>
                <w:highlight w:val="none"/>
              </w:rPr>
              <w:t>形式：网银、支票、汇票、本票或者金融机构、担保机构出具的保函等非现金形式提交。</w:t>
            </w:r>
          </w:p>
          <w:p>
            <w:pPr>
              <w:spacing w:line="360" w:lineRule="auto"/>
              <w:jc w:val="left"/>
              <w:rPr>
                <w:rFonts w:ascii="宋体" w:hAnsi="宋体" w:cs="宋体"/>
                <w:sz w:val="24"/>
                <w:highlight w:val="none"/>
              </w:rPr>
            </w:pPr>
            <w:r>
              <w:rPr>
                <w:rFonts w:hint="eastAsia" w:ascii="宋体" w:hAnsi="宋体" w:cs="宋体"/>
                <w:sz w:val="24"/>
                <w:highlight w:val="none"/>
              </w:rPr>
              <w:t>1．转账、汇款时需备注</w:t>
            </w:r>
            <w:r>
              <w:rPr>
                <w:rFonts w:hint="eastAsia" w:ascii="宋体" w:hAnsi="宋体" w:eastAsia="宋体" w:cs="宋体"/>
                <w:b/>
                <w:bCs/>
                <w:sz w:val="24"/>
                <w:highlight w:val="none"/>
                <w:lang w:eastAsia="zh-CN"/>
              </w:rPr>
              <w:t>ZYXCG-20230106</w:t>
            </w:r>
            <w:r>
              <w:rPr>
                <w:rFonts w:hint="eastAsia" w:ascii="宋体" w:hAnsi="宋体" w:cs="宋体"/>
                <w:b/>
                <w:bCs/>
                <w:sz w:val="24"/>
                <w:highlight w:val="none"/>
                <w:lang w:val="en-US" w:eastAsia="zh-CN"/>
              </w:rPr>
              <w:t>-1/2</w:t>
            </w:r>
            <w:r>
              <w:rPr>
                <w:rFonts w:hint="eastAsia" w:ascii="宋体" w:hAnsi="宋体" w:cs="宋体"/>
                <w:b/>
                <w:bCs/>
                <w:sz w:val="24"/>
                <w:highlight w:val="none"/>
              </w:rPr>
              <w:t>磋商保证金</w:t>
            </w:r>
            <w:r>
              <w:rPr>
                <w:rFonts w:hint="eastAsia" w:ascii="宋体" w:hAnsi="宋体" w:cs="宋体"/>
                <w:sz w:val="24"/>
                <w:highlight w:val="none"/>
              </w:rPr>
              <w:t>字样，便于代理公司财务部查询登记。</w:t>
            </w:r>
          </w:p>
          <w:p>
            <w:pPr>
              <w:spacing w:line="360" w:lineRule="auto"/>
              <w:jc w:val="left"/>
              <w:rPr>
                <w:rFonts w:ascii="宋体" w:hAnsi="宋体" w:cs="宋体"/>
                <w:sz w:val="24"/>
                <w:highlight w:val="none"/>
              </w:rPr>
            </w:pPr>
            <w:r>
              <w:rPr>
                <w:rFonts w:hint="eastAsia" w:ascii="宋体" w:hAnsi="宋体" w:cs="宋体"/>
                <w:sz w:val="24"/>
                <w:highlight w:val="none"/>
              </w:rPr>
              <w:t>2.交纳办法和交纳时间：磋商保证金必须磋商响应文件递交截止时间之前交纳至以下账户：</w:t>
            </w:r>
          </w:p>
          <w:p>
            <w:pPr>
              <w:wordWrap/>
              <w:snapToGrid/>
              <w:spacing w:line="360" w:lineRule="auto"/>
              <w:textAlignment w:val="auto"/>
              <w:rPr>
                <w:rFonts w:hint="eastAsia" w:ascii="宋体" w:hAnsi="宋体" w:cs="宋体"/>
                <w:b/>
                <w:bCs/>
                <w:sz w:val="24"/>
                <w:szCs w:val="24"/>
                <w:highlight w:val="none"/>
              </w:rPr>
            </w:pPr>
            <w:r>
              <w:rPr>
                <w:rFonts w:hint="eastAsia" w:ascii="宋体" w:hAnsi="宋体" w:cs="宋体"/>
                <w:b/>
                <w:bCs/>
                <w:sz w:val="24"/>
                <w:szCs w:val="24"/>
                <w:highlight w:val="none"/>
              </w:rPr>
              <w:t>开户银行：建设银行西安</w:t>
            </w:r>
            <w:r>
              <w:rPr>
                <w:rFonts w:hint="eastAsia" w:ascii="宋体" w:hAnsi="宋体" w:cs="宋体"/>
                <w:b/>
                <w:bCs/>
                <w:sz w:val="24"/>
                <w:szCs w:val="24"/>
                <w:highlight w:val="none"/>
                <w:lang w:val="en-US" w:eastAsia="zh-CN"/>
              </w:rPr>
              <w:t>长安区西长安街</w:t>
            </w:r>
            <w:r>
              <w:rPr>
                <w:rFonts w:hint="eastAsia" w:ascii="宋体" w:hAnsi="宋体" w:cs="宋体"/>
                <w:b/>
                <w:bCs/>
                <w:sz w:val="24"/>
                <w:szCs w:val="24"/>
                <w:highlight w:val="none"/>
              </w:rPr>
              <w:t xml:space="preserve">支行 </w:t>
            </w:r>
          </w:p>
          <w:p>
            <w:pPr>
              <w:wordWrap/>
              <w:snapToGrid/>
              <w:spacing w:line="360" w:lineRule="auto"/>
              <w:textAlignment w:val="auto"/>
              <w:rPr>
                <w:rFonts w:hint="eastAsia" w:ascii="宋体" w:hAnsi="宋体" w:cs="宋体"/>
                <w:b/>
                <w:bCs/>
                <w:sz w:val="24"/>
                <w:szCs w:val="24"/>
                <w:highlight w:val="none"/>
              </w:rPr>
            </w:pPr>
            <w:r>
              <w:rPr>
                <w:rFonts w:hint="eastAsia" w:ascii="宋体" w:hAnsi="宋体" w:cs="宋体"/>
                <w:b/>
                <w:bCs/>
                <w:sz w:val="24"/>
                <w:szCs w:val="24"/>
                <w:highlight w:val="none"/>
              </w:rPr>
              <w:t xml:space="preserve">账    号：6105 0170 5259 0000 0014 </w:t>
            </w:r>
          </w:p>
          <w:p>
            <w:pPr>
              <w:wordWrap/>
              <w:snapToGrid/>
              <w:spacing w:line="360" w:lineRule="auto"/>
              <w:textAlignment w:val="auto"/>
              <w:rPr>
                <w:rFonts w:hint="eastAsia" w:ascii="宋体" w:hAnsi="宋体" w:cs="宋体"/>
                <w:b/>
                <w:bCs/>
                <w:sz w:val="24"/>
                <w:szCs w:val="24"/>
                <w:highlight w:val="none"/>
              </w:rPr>
            </w:pPr>
            <w:r>
              <w:rPr>
                <w:rFonts w:hint="eastAsia" w:ascii="宋体" w:hAnsi="宋体" w:cs="宋体"/>
                <w:b/>
                <w:bCs/>
                <w:sz w:val="24"/>
                <w:szCs w:val="24"/>
                <w:highlight w:val="none"/>
              </w:rPr>
              <w:t>采购代理机构公司财务室电话：029-68205383</w:t>
            </w:r>
          </w:p>
          <w:p>
            <w:pPr>
              <w:keepNext/>
              <w:keepLines/>
              <w:spacing w:line="360" w:lineRule="auto"/>
              <w:jc w:val="left"/>
              <w:rPr>
                <w:rFonts w:ascii="宋体" w:hAnsi="宋体" w:cs="宋体"/>
                <w:b/>
                <w:bCs/>
                <w:sz w:val="24"/>
                <w:highlight w:val="none"/>
              </w:rPr>
            </w:pPr>
            <w:r>
              <w:rPr>
                <w:rFonts w:hint="eastAsia" w:ascii="宋体" w:hAnsi="宋体" w:cs="宋体"/>
                <w:b/>
                <w:bCs/>
                <w:sz w:val="24"/>
                <w:highlight w:val="none"/>
              </w:rPr>
              <w:t>重要提示：</w:t>
            </w:r>
          </w:p>
          <w:p>
            <w:pPr>
              <w:keepNext/>
              <w:keepLines/>
              <w:spacing w:line="360" w:lineRule="auto"/>
              <w:jc w:val="left"/>
              <w:rPr>
                <w:rFonts w:ascii="宋体" w:hAnsi="宋体" w:cs="宋体"/>
                <w:sz w:val="24"/>
                <w:highlight w:val="none"/>
              </w:rPr>
            </w:pPr>
            <w:r>
              <w:rPr>
                <w:rFonts w:hint="eastAsia" w:ascii="宋体" w:hAnsi="宋体" w:cs="宋体"/>
                <w:sz w:val="24"/>
                <w:highlight w:val="none"/>
              </w:rPr>
              <w:t>1.未按采购文件要求递交磋商保证金的磋商响应文件，将按照无效文件处理。</w:t>
            </w:r>
          </w:p>
          <w:p>
            <w:pPr>
              <w:keepNext/>
              <w:keepLines/>
              <w:spacing w:line="360" w:lineRule="auto"/>
              <w:jc w:val="left"/>
              <w:rPr>
                <w:rFonts w:ascii="宋体" w:hAnsi="宋体" w:cs="宋体"/>
                <w:sz w:val="24"/>
                <w:highlight w:val="none"/>
              </w:rPr>
            </w:pPr>
            <w:r>
              <w:rPr>
                <w:rFonts w:hint="eastAsia" w:ascii="宋体" w:hAnsi="宋体" w:cs="宋体"/>
                <w:sz w:val="24"/>
                <w:highlight w:val="none"/>
              </w:rPr>
              <w:t>2.磋商保证金采用保函形式的供应商，需要在磋商响应文件递交截止时间之前，携带保函原件在代理公司处换取保证金收据，并将保函复印件及收据复印件装订在磋商响应文件中。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20</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签字或盖章要求</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响应文件中要求盖章签字的地方，均应按文件要求签字或盖章；</w:t>
            </w:r>
          </w:p>
          <w:p>
            <w:pPr>
              <w:spacing w:line="360" w:lineRule="auto"/>
              <w:jc w:val="left"/>
              <w:rPr>
                <w:rFonts w:ascii="宋体" w:hAnsi="宋体" w:cs="宋体"/>
                <w:sz w:val="24"/>
                <w:highlight w:val="none"/>
              </w:rPr>
            </w:pPr>
            <w:r>
              <w:rPr>
                <w:rFonts w:hint="eastAsia" w:ascii="宋体" w:hAnsi="宋体" w:cs="宋体"/>
                <w:sz w:val="24"/>
                <w:highlight w:val="none"/>
              </w:rPr>
              <w:t>供应商营业执照、财务、纳税、社保、业绩等证明资料必须加盖公章。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21</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磋商响应文件份数</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纸质文件：正本壹份，副本贰份</w:t>
            </w:r>
          </w:p>
          <w:p>
            <w:pPr>
              <w:spacing w:line="360" w:lineRule="auto"/>
              <w:jc w:val="left"/>
              <w:rPr>
                <w:rFonts w:ascii="宋体" w:hAnsi="宋体" w:cs="宋体"/>
                <w:sz w:val="24"/>
                <w:highlight w:val="none"/>
              </w:rPr>
            </w:pPr>
            <w:r>
              <w:rPr>
                <w:rFonts w:hint="eastAsia" w:ascii="宋体" w:hAnsi="宋体" w:cs="宋体"/>
                <w:sz w:val="24"/>
                <w:highlight w:val="none"/>
              </w:rPr>
              <w:t>电子文件：电子版（U盘）壹份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22</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电子版文档要求</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1.电子文件应与纸质磋商响应文件正本一致，电子文档格式为Word及</w:t>
            </w:r>
            <w:r>
              <w:rPr>
                <w:rFonts w:hint="eastAsia" w:ascii="宋体" w:hAnsi="宋体" w:cs="宋体"/>
                <w:b/>
                <w:bCs/>
                <w:sz w:val="24"/>
                <w:highlight w:val="none"/>
              </w:rPr>
              <w:t>PDF（签字盖章后的扫描件PDF版）</w:t>
            </w:r>
            <w:r>
              <w:rPr>
                <w:rFonts w:hint="eastAsia" w:ascii="宋体" w:hAnsi="宋体" w:cs="宋体"/>
                <w:sz w:val="24"/>
                <w:highlight w:val="none"/>
              </w:rPr>
              <w:t>；</w:t>
            </w:r>
          </w:p>
          <w:p>
            <w:pPr>
              <w:spacing w:line="360" w:lineRule="auto"/>
              <w:jc w:val="left"/>
              <w:rPr>
                <w:rFonts w:ascii="宋体" w:hAnsi="宋体" w:cs="宋体"/>
                <w:sz w:val="24"/>
                <w:highlight w:val="none"/>
              </w:rPr>
            </w:pPr>
            <w:r>
              <w:rPr>
                <w:rFonts w:hint="eastAsia" w:ascii="宋体" w:hAnsi="宋体" w:cs="宋体"/>
                <w:sz w:val="24"/>
                <w:highlight w:val="none"/>
              </w:rPr>
              <w:t>2.当电子文件电子文本与纸质不一致时，以纸质文件为准；</w:t>
            </w:r>
          </w:p>
          <w:p>
            <w:pPr>
              <w:spacing w:line="360" w:lineRule="auto"/>
              <w:jc w:val="left"/>
              <w:rPr>
                <w:rFonts w:ascii="宋体" w:hAnsi="宋体" w:cs="宋体"/>
                <w:sz w:val="24"/>
                <w:highlight w:val="none"/>
              </w:rPr>
            </w:pPr>
            <w:r>
              <w:rPr>
                <w:rFonts w:hint="eastAsia" w:ascii="宋体" w:hAnsi="宋体" w:cs="宋体"/>
                <w:sz w:val="24"/>
                <w:highlight w:val="none"/>
              </w:rPr>
              <w:t>3．电子文档需标明项目编号、供应商名称等信息。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23</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磋商响应文件装订及包装密封要求</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1．磋商响应文件正、副本应分别胶装成册，胶装应牢固、不易拆散和换页，不得采用活页装订，建议双面打印。</w:t>
            </w:r>
          </w:p>
          <w:p>
            <w:pPr>
              <w:spacing w:line="360" w:lineRule="auto"/>
              <w:rPr>
                <w:rFonts w:ascii="宋体" w:hAnsi="宋体" w:cs="宋体"/>
                <w:sz w:val="24"/>
                <w:highlight w:val="none"/>
              </w:rPr>
            </w:pPr>
            <w:r>
              <w:rPr>
                <w:rFonts w:hint="eastAsia" w:ascii="宋体" w:hAnsi="宋体" w:cs="宋体"/>
                <w:sz w:val="24"/>
                <w:highlight w:val="none"/>
              </w:rPr>
              <w:t>2．密封包装方式：</w:t>
            </w:r>
          </w:p>
          <w:p>
            <w:pPr>
              <w:spacing w:line="360" w:lineRule="auto"/>
              <w:rPr>
                <w:rFonts w:ascii="宋体" w:hAnsi="宋体" w:cs="宋体"/>
                <w:sz w:val="24"/>
                <w:highlight w:val="none"/>
              </w:rPr>
            </w:pPr>
            <w:r>
              <w:rPr>
                <w:rFonts w:hint="eastAsia" w:ascii="宋体" w:hAnsi="宋体" w:cs="宋体"/>
                <w:sz w:val="24"/>
                <w:highlight w:val="none"/>
              </w:rPr>
              <w:t>（1）磋商响应文件正本一包密封；</w:t>
            </w:r>
          </w:p>
          <w:p>
            <w:pPr>
              <w:spacing w:line="360" w:lineRule="auto"/>
              <w:rPr>
                <w:rFonts w:ascii="宋体" w:hAnsi="宋体" w:cs="宋体"/>
                <w:sz w:val="24"/>
                <w:highlight w:val="none"/>
              </w:rPr>
            </w:pPr>
            <w:r>
              <w:rPr>
                <w:rFonts w:hint="eastAsia" w:ascii="宋体" w:hAnsi="宋体" w:cs="宋体"/>
                <w:sz w:val="24"/>
                <w:highlight w:val="none"/>
              </w:rPr>
              <w:t>（2）磋商响应文件副本一包密封。</w:t>
            </w:r>
          </w:p>
          <w:p>
            <w:pPr>
              <w:spacing w:line="360" w:lineRule="auto"/>
              <w:rPr>
                <w:rFonts w:ascii="宋体" w:hAnsi="宋体" w:cs="宋体"/>
                <w:sz w:val="24"/>
                <w:highlight w:val="none"/>
                <w:u w:val="single"/>
              </w:rPr>
            </w:pPr>
            <w:r>
              <w:rPr>
                <w:rFonts w:hint="eastAsia" w:ascii="宋体" w:hAnsi="宋体" w:cs="宋体"/>
                <w:sz w:val="24"/>
                <w:highlight w:val="none"/>
              </w:rPr>
              <w:t>（3）磋商响应文件电子版一包密封。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24</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封套上写明</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sz w:val="24"/>
                <w:highlight w:val="none"/>
              </w:rPr>
            </w:pPr>
            <w:r>
              <w:rPr>
                <w:rFonts w:hint="eastAsia" w:ascii="宋体" w:hAnsi="宋体" w:cs="宋体"/>
                <w:sz w:val="24"/>
                <w:highlight w:val="none"/>
              </w:rPr>
              <w:t>项目编号                       正本/副本/电子版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p>
          <w:p>
            <w:pPr>
              <w:spacing w:line="360" w:lineRule="auto"/>
              <w:ind w:firstLine="2160" w:firstLineChars="900"/>
              <w:rPr>
                <w:rFonts w:ascii="宋体" w:hAnsi="宋体" w:cs="宋体"/>
                <w:sz w:val="24"/>
                <w:highlight w:val="none"/>
              </w:rPr>
            </w:pPr>
            <w:r>
              <w:rPr>
                <w:rFonts w:hint="eastAsia" w:ascii="宋体" w:hAnsi="宋体" w:cs="宋体"/>
                <w:sz w:val="24"/>
                <w:highlight w:val="none"/>
              </w:rPr>
              <w:t>磋商响应文件</w:t>
            </w:r>
          </w:p>
          <w:p>
            <w:pPr>
              <w:spacing w:line="360" w:lineRule="auto"/>
              <w:ind w:firstLine="720" w:firstLineChars="300"/>
              <w:rPr>
                <w:rFonts w:ascii="宋体" w:hAnsi="宋体" w:cs="宋体"/>
                <w:sz w:val="24"/>
                <w:highlight w:val="none"/>
              </w:rPr>
            </w:pPr>
            <w:r>
              <w:rPr>
                <w:rFonts w:hint="eastAsia" w:ascii="宋体" w:hAnsi="宋体" w:cs="宋体"/>
                <w:sz w:val="24"/>
                <w:highlight w:val="none"/>
                <w:u w:val="single"/>
              </w:rPr>
              <w:t xml:space="preserve"> 在    年  月  日 时  分前</w:t>
            </w:r>
            <w:r>
              <w:rPr>
                <w:rFonts w:hint="eastAsia" w:ascii="宋体" w:hAnsi="宋体" w:cs="宋体"/>
                <w:sz w:val="24"/>
                <w:highlight w:val="none"/>
              </w:rPr>
              <w:t>不得开启</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（公章）</w:t>
            </w:r>
          </w:p>
          <w:p>
            <w:pPr>
              <w:spacing w:line="360" w:lineRule="auto"/>
              <w:jc w:val="left"/>
              <w:rPr>
                <w:rFonts w:ascii="宋体" w:hAnsi="宋体" w:cs="宋体"/>
                <w:sz w:val="24"/>
                <w:highlight w:val="none"/>
              </w:rPr>
            </w:pPr>
            <w:r>
              <w:rPr>
                <w:rFonts w:hint="eastAsia" w:ascii="宋体" w:hAnsi="宋体" w:cs="宋体"/>
                <w:sz w:val="24"/>
                <w:highlight w:val="none"/>
              </w:rPr>
              <w:t>法定代表人或授权代表：</w:t>
            </w:r>
            <w:r>
              <w:rPr>
                <w:rFonts w:hint="eastAsia" w:ascii="宋体" w:hAnsi="宋体" w:cs="宋体"/>
                <w:sz w:val="24"/>
                <w:highlight w:val="none"/>
                <w:u w:val="single"/>
              </w:rPr>
              <w:t xml:space="preserve">   （签字或盖章）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25</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响应文件递交截止时间和地点</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截止时间：20</w:t>
            </w:r>
            <w:r>
              <w:rPr>
                <w:rFonts w:hint="eastAsia" w:ascii="宋体" w:hAnsi="宋体" w:cs="宋体"/>
                <w:sz w:val="24"/>
                <w:highlight w:val="none"/>
                <w:lang w:val="en-US" w:eastAsia="zh-CN"/>
              </w:rPr>
              <w:t>23</w:t>
            </w:r>
            <w:r>
              <w:rPr>
                <w:rFonts w:hint="eastAsia" w:ascii="宋体" w:hAnsi="宋体" w:cs="宋体"/>
                <w:sz w:val="24"/>
                <w:highlight w:val="none"/>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分。</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西安市航天基地飞天路北航科技园5号楼1单元2楼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26</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磋商时间和地点</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磋商时间：20</w:t>
            </w:r>
            <w:r>
              <w:rPr>
                <w:rFonts w:hint="eastAsia" w:ascii="宋体" w:hAnsi="宋体" w:cs="宋体"/>
                <w:sz w:val="24"/>
                <w:highlight w:val="none"/>
                <w:lang w:val="en-US" w:eastAsia="zh-CN"/>
              </w:rPr>
              <w:t>23</w:t>
            </w:r>
            <w:r>
              <w:rPr>
                <w:rFonts w:hint="eastAsia" w:ascii="宋体" w:hAnsi="宋体" w:cs="宋体"/>
                <w:sz w:val="24"/>
                <w:highlight w:val="none"/>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lang w:val="en-US" w:eastAsia="zh-CN"/>
              </w:rPr>
              <w:t xml:space="preserve"> 10</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分。</w:t>
            </w:r>
          </w:p>
          <w:p>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lang w:eastAsia="zh-CN"/>
              </w:rPr>
              <w:t>西安市航天基地飞天路北航科技园5号楼1单元2楼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27</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是否退还磋商响应文件</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28</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磋商小组的组建</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磋商小组构成：3人，其中项目采购人代表1人，专家2人；</w:t>
            </w:r>
          </w:p>
          <w:p>
            <w:pPr>
              <w:spacing w:line="360" w:lineRule="auto"/>
              <w:jc w:val="left"/>
              <w:rPr>
                <w:rFonts w:ascii="宋体" w:hAnsi="宋体" w:cs="宋体"/>
                <w:sz w:val="24"/>
                <w:highlight w:val="none"/>
              </w:rPr>
            </w:pPr>
            <w:r>
              <w:rPr>
                <w:rFonts w:hint="eastAsia" w:ascii="宋体" w:hAnsi="宋体" w:cs="宋体"/>
                <w:sz w:val="24"/>
                <w:highlight w:val="none"/>
              </w:rPr>
              <w:t>专家确定方式：从陕西省财政厅政府采购专家库随机抽取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29</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是否授权磋商小组确定磋商供应商</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否，每个标包推荐3名成交候选人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30</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履约保证金</w:t>
            </w:r>
          </w:p>
        </w:tc>
        <w:tc>
          <w:tcPr>
            <w:tcW w:w="6417" w:type="dxa"/>
            <w:tcBorders>
              <w:top w:val="single" w:color="auto" w:sz="4" w:space="0"/>
              <w:left w:val="single" w:color="auto" w:sz="4" w:space="0"/>
              <w:bottom w:val="single" w:color="auto" w:sz="4" w:space="0"/>
              <w:right w:val="single" w:color="auto" w:sz="4" w:space="0"/>
            </w:tcBorders>
            <w:vAlign w:val="center"/>
          </w:tcPr>
          <w:p>
            <w:pPr>
              <w:pStyle w:val="53"/>
              <w:spacing w:line="360" w:lineRule="auto"/>
              <w:rPr>
                <w:highlight w:val="none"/>
                <w:lang w:val="zh-CN"/>
              </w:rPr>
            </w:pPr>
            <w:r>
              <w:rPr>
                <w:rFonts w:hint="eastAsia"/>
                <w:highlight w:val="none"/>
                <w:lang w:val="zh-CN"/>
              </w:rPr>
              <w:t>履约保证金的金额：</w:t>
            </w:r>
            <w:r>
              <w:rPr>
                <w:rFonts w:hint="eastAsia"/>
                <w:highlight w:val="none"/>
                <w:lang w:val="en-US" w:eastAsia="zh-CN"/>
              </w:rPr>
              <w:t>5</w:t>
            </w:r>
            <w:r>
              <w:rPr>
                <w:rFonts w:hint="eastAsia"/>
                <w:highlight w:val="none"/>
                <w:lang w:val="zh-CN"/>
              </w:rPr>
              <w:t>%签约合同价，有效期至项目验收合格。</w:t>
            </w:r>
          </w:p>
          <w:p>
            <w:pPr>
              <w:spacing w:line="360" w:lineRule="auto"/>
              <w:jc w:val="left"/>
              <w:rPr>
                <w:sz w:val="24"/>
                <w:highlight w:val="none"/>
                <w:lang w:val="zh-CN"/>
              </w:rPr>
            </w:pPr>
            <w:r>
              <w:rPr>
                <w:rFonts w:hint="eastAsia"/>
                <w:sz w:val="24"/>
                <w:highlight w:val="none"/>
                <w:lang w:val="zh-CN"/>
              </w:rPr>
              <w:t>履约保证金的形式：可采取银行转账或履约担保方式提交。</w:t>
            </w:r>
          </w:p>
          <w:p>
            <w:pPr>
              <w:spacing w:line="360" w:lineRule="auto"/>
              <w:jc w:val="left"/>
              <w:rPr>
                <w:highlight w:val="none"/>
              </w:rPr>
            </w:pPr>
            <w:r>
              <w:rPr>
                <w:rFonts w:hint="eastAsia"/>
                <w:sz w:val="24"/>
                <w:highlight w:val="none"/>
                <w:lang w:val="zh-CN"/>
              </w:rPr>
              <w:t>履约保证金的</w:t>
            </w:r>
            <w:r>
              <w:rPr>
                <w:rFonts w:hint="eastAsia"/>
                <w:sz w:val="24"/>
                <w:highlight w:val="none"/>
              </w:rPr>
              <w:t>退还</w:t>
            </w:r>
            <w:r>
              <w:rPr>
                <w:rFonts w:hint="eastAsia"/>
                <w:sz w:val="24"/>
                <w:highlight w:val="none"/>
                <w:lang w:val="zh-CN"/>
              </w:rPr>
              <w:t>：</w:t>
            </w:r>
            <w:r>
              <w:rPr>
                <w:rFonts w:hint="eastAsia"/>
                <w:sz w:val="24"/>
                <w:highlight w:val="none"/>
              </w:rPr>
              <w:t>履约保证金待供应商履行完毕全部合同义务，并经甲方验收合格，无任何纠纷后无息退还</w:t>
            </w:r>
            <w:r>
              <w:rPr>
                <w:rFonts w:hint="eastAsia"/>
                <w:sz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31</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项目属性</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32</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标的所属行业</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33</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是否专门面向中小企业采购</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34</w:t>
            </w:r>
          </w:p>
        </w:tc>
        <w:tc>
          <w:tcPr>
            <w:tcW w:w="244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hAnsi="宋体" w:cs="宋体"/>
                <w:sz w:val="24"/>
                <w:szCs w:val="24"/>
                <w:highlight w:val="none"/>
              </w:rPr>
            </w:pPr>
            <w:r>
              <w:rPr>
                <w:rFonts w:hint="eastAsia" w:hAnsi="宋体" w:cs="宋体"/>
                <w:sz w:val="24"/>
                <w:szCs w:val="24"/>
                <w:highlight w:val="none"/>
              </w:rPr>
              <w:t>政府采购政策落实</w:t>
            </w:r>
          </w:p>
        </w:tc>
        <w:tc>
          <w:tcPr>
            <w:tcW w:w="6417" w:type="dxa"/>
            <w:tcBorders>
              <w:top w:val="single" w:color="auto" w:sz="4" w:space="0"/>
              <w:left w:val="single" w:color="auto" w:sz="4" w:space="0"/>
              <w:bottom w:val="single" w:color="auto" w:sz="4" w:space="0"/>
              <w:right w:val="single" w:color="auto" w:sz="4" w:space="0"/>
            </w:tcBorders>
            <w:vAlign w:val="center"/>
          </w:tcPr>
          <w:p>
            <w:pPr>
              <w:pStyle w:val="12"/>
              <w:pageBreakBefore w:val="0"/>
              <w:numPr>
                <w:ilvl w:val="0"/>
                <w:numId w:val="1"/>
              </w:numPr>
              <w:kinsoku/>
              <w:wordWrap/>
              <w:overflowPunct/>
              <w:topLinePunct w:val="0"/>
              <w:bidi w:val="0"/>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评审时小型和微型企业产品享受</w:t>
            </w:r>
            <w:r>
              <w:rPr>
                <w:rFonts w:hint="eastAsia" w:hAnsi="宋体" w:cs="宋体"/>
                <w:sz w:val="24"/>
                <w:szCs w:val="24"/>
                <w:highlight w:val="none"/>
                <w:lang w:val="en-US" w:eastAsia="zh-CN"/>
              </w:rPr>
              <w:t>10</w:t>
            </w:r>
            <w:r>
              <w:rPr>
                <w:rFonts w:hint="eastAsia" w:ascii="宋体" w:hAnsi="宋体" w:eastAsia="宋体" w:cs="宋体"/>
                <w:sz w:val="24"/>
                <w:szCs w:val="24"/>
                <w:highlight w:val="none"/>
                <w:lang w:val="en-US" w:eastAsia="zh-CN"/>
              </w:rPr>
              <w:t>%的价格折扣。监狱企业视同小型、微型企业。残疾人福利性单位视同小型、微型企业。不重复享受政策。</w:t>
            </w:r>
          </w:p>
          <w:p>
            <w:pPr>
              <w:pStyle w:val="12"/>
              <w:pageBreakBefore w:val="0"/>
              <w:numPr>
                <w:ilvl w:val="0"/>
                <w:numId w:val="1"/>
              </w:numPr>
              <w:kinsoku/>
              <w:wordWrap/>
              <w:overflowPunct/>
              <w:topLinePunct w:val="0"/>
              <w:bidi w:val="0"/>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财政厅关于印发&lt;陕西省中小企业政府采购信用融资办法&gt;的通知》（陕财办采〔2018〕23号）相关政策、业务流程、办理平台（http://www.ccgp-shaanxi.gov.cn/zcdservice/zcd/shanxi/），《陕西省财政厅关于进一步加大政府采购支持中小企业力度的通知》（陕财办采〔2022〕5号）</w:t>
            </w:r>
            <w:r>
              <w:rPr>
                <w:rFonts w:hint="eastAsia" w:hAnsi="宋体" w:cs="宋体"/>
                <w:sz w:val="24"/>
                <w:szCs w:val="24"/>
                <w:highlight w:val="none"/>
                <w:lang w:val="en-US" w:eastAsia="zh-CN"/>
              </w:rPr>
              <w:t>；</w:t>
            </w:r>
          </w:p>
          <w:p>
            <w:pPr>
              <w:pStyle w:val="12"/>
              <w:numPr>
                <w:ilvl w:val="0"/>
                <w:numId w:val="1"/>
              </w:numPr>
              <w:spacing w:line="360" w:lineRule="auto"/>
              <w:jc w:val="left"/>
              <w:rPr>
                <w:rFonts w:hAnsi="宋体" w:cs="宋体"/>
                <w:sz w:val="24"/>
                <w:szCs w:val="24"/>
                <w:highlight w:val="none"/>
              </w:rPr>
            </w:pPr>
            <w:r>
              <w:rPr>
                <w:rFonts w:hint="eastAsia" w:ascii="宋体" w:hAnsi="宋体" w:eastAsia="宋体" w:cs="宋体"/>
                <w:sz w:val="24"/>
                <w:szCs w:val="24"/>
                <w:highlight w:val="none"/>
                <w:lang w:val="en-US" w:eastAsia="zh-CN"/>
              </w:rPr>
              <w:t>具体政策可登录陕西省政府采购网查询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35</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信用查询</w:t>
            </w:r>
          </w:p>
        </w:tc>
        <w:tc>
          <w:tcPr>
            <w:tcW w:w="641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1)“信用中国”（www.creditchina.gov.cn）和“中国政府采购”（www.ccgp.gov.cn）为供应商信用信息查询渠道。</w:t>
            </w:r>
          </w:p>
          <w:p>
            <w:pPr>
              <w:pageBreakBefore w:val="0"/>
              <w:kinsoku/>
              <w:wordWrap/>
              <w:overflowPunct/>
              <w:topLinePunct w:val="0"/>
              <w:bidi w:val="0"/>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2)查询内容包括失信被执行人、税收违法</w:t>
            </w:r>
            <w:r>
              <w:rPr>
                <w:rFonts w:hint="eastAsia" w:ascii="宋体" w:hAnsi="宋体" w:cs="宋体"/>
                <w:sz w:val="24"/>
                <w:highlight w:val="none"/>
                <w:lang w:val="en-US" w:eastAsia="zh-CN"/>
              </w:rPr>
              <w:t>黑</w:t>
            </w:r>
            <w:r>
              <w:rPr>
                <w:rFonts w:hint="eastAsia" w:ascii="宋体" w:hAnsi="宋体" w:eastAsia="宋体" w:cs="宋体"/>
                <w:sz w:val="24"/>
                <w:highlight w:val="none"/>
              </w:rPr>
              <w:t>名单、政府采购严重违法失信行为记录名单，提供信用中国网站</w:t>
            </w:r>
            <w:r>
              <w:rPr>
                <w:rFonts w:hint="eastAsia" w:ascii="宋体" w:hAnsi="宋体" w:cs="宋体"/>
                <w:sz w:val="24"/>
                <w:highlight w:val="none"/>
                <w:lang w:val="en-US" w:eastAsia="zh-CN"/>
              </w:rPr>
              <w:t>查询截图</w:t>
            </w:r>
            <w:r>
              <w:rPr>
                <w:rFonts w:hint="eastAsia" w:ascii="宋体" w:hAnsi="宋体" w:eastAsia="宋体" w:cs="宋体"/>
                <w:sz w:val="24"/>
                <w:highlight w:val="none"/>
              </w:rPr>
              <w:t>及中国政府采购网站政府采购严重失信行为记录名单截图。</w:t>
            </w:r>
          </w:p>
          <w:p>
            <w:pPr>
              <w:spacing w:line="360" w:lineRule="auto"/>
              <w:jc w:val="left"/>
              <w:rPr>
                <w:rFonts w:ascii="宋体" w:hAnsi="宋体" w:cs="宋体"/>
                <w:sz w:val="24"/>
                <w:highlight w:val="none"/>
              </w:rPr>
            </w:pPr>
            <w:r>
              <w:rPr>
                <w:rFonts w:hint="eastAsia" w:ascii="宋体" w:hAnsi="宋体" w:eastAsia="宋体" w:cs="宋体"/>
                <w:sz w:val="24"/>
                <w:highlight w:val="none"/>
              </w:rPr>
              <w:t>3)查询截止时点：磋商截止时间前查询相关主体信用记录已列入失信被执行人、税收违法</w:t>
            </w:r>
            <w:r>
              <w:rPr>
                <w:rFonts w:hint="eastAsia" w:ascii="宋体" w:hAnsi="宋体" w:cs="宋体"/>
                <w:sz w:val="24"/>
                <w:highlight w:val="none"/>
                <w:lang w:val="en-US" w:eastAsia="zh-CN"/>
              </w:rPr>
              <w:t>黑</w:t>
            </w:r>
            <w:r>
              <w:rPr>
                <w:rFonts w:hint="eastAsia" w:ascii="宋体" w:hAnsi="宋体" w:eastAsia="宋体" w:cs="宋体"/>
                <w:sz w:val="24"/>
                <w:highlight w:val="none"/>
              </w:rPr>
              <w:t>名单、政府采购严重违法失信行为记录名单，其响应无效。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36</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磋商报价次数、磋商程序和最终报价的产生原则</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本次磋商采用二次报价。</w:t>
            </w:r>
          </w:p>
          <w:p>
            <w:pPr>
              <w:spacing w:line="360" w:lineRule="auto"/>
              <w:jc w:val="left"/>
              <w:rPr>
                <w:rFonts w:ascii="宋体" w:hAnsi="宋体" w:cs="宋体"/>
                <w:sz w:val="24"/>
                <w:highlight w:val="none"/>
              </w:rPr>
            </w:pPr>
            <w:r>
              <w:rPr>
                <w:rFonts w:hint="eastAsia" w:ascii="宋体" w:hAnsi="宋体" w:cs="宋体"/>
                <w:sz w:val="24"/>
                <w:highlight w:val="none"/>
              </w:rPr>
              <w:t>磋商程序为：</w:t>
            </w:r>
          </w:p>
          <w:p>
            <w:pPr>
              <w:spacing w:line="360" w:lineRule="auto"/>
              <w:jc w:val="left"/>
              <w:rPr>
                <w:rFonts w:ascii="宋体" w:hAnsi="宋体" w:cs="宋体"/>
                <w:sz w:val="24"/>
                <w:highlight w:val="none"/>
              </w:rPr>
            </w:pPr>
            <w:r>
              <w:rPr>
                <w:rFonts w:hint="eastAsia" w:ascii="宋体" w:hAnsi="宋体" w:cs="宋体"/>
                <w:sz w:val="24"/>
                <w:highlight w:val="none"/>
              </w:rPr>
              <w:t>1.磋商小组对所有提交的响应文件进行评审；</w:t>
            </w:r>
          </w:p>
          <w:p>
            <w:pPr>
              <w:spacing w:line="360" w:lineRule="auto"/>
              <w:jc w:val="left"/>
              <w:rPr>
                <w:rFonts w:ascii="宋体" w:hAnsi="宋体" w:cs="宋体"/>
                <w:sz w:val="24"/>
                <w:highlight w:val="none"/>
              </w:rPr>
            </w:pPr>
            <w:r>
              <w:rPr>
                <w:rFonts w:hint="eastAsia" w:ascii="宋体" w:hAnsi="宋体" w:cs="宋体"/>
                <w:sz w:val="24"/>
                <w:highlight w:val="none"/>
              </w:rPr>
              <w:t>2.磋商小组所有成员集中与单一供应商分别进行磋商；</w:t>
            </w:r>
          </w:p>
          <w:p>
            <w:pPr>
              <w:spacing w:line="360" w:lineRule="auto"/>
              <w:jc w:val="left"/>
              <w:rPr>
                <w:rFonts w:ascii="宋体" w:hAnsi="宋体" w:cs="宋体"/>
                <w:sz w:val="24"/>
                <w:highlight w:val="none"/>
              </w:rPr>
            </w:pPr>
            <w:r>
              <w:rPr>
                <w:rFonts w:hint="eastAsia" w:ascii="宋体" w:hAnsi="宋体" w:cs="宋体"/>
                <w:sz w:val="24"/>
                <w:highlight w:val="none"/>
              </w:rPr>
              <w:t>3.供应商按照要求提交二次报价；</w:t>
            </w:r>
          </w:p>
          <w:p>
            <w:pPr>
              <w:spacing w:line="360" w:lineRule="auto"/>
              <w:jc w:val="left"/>
              <w:rPr>
                <w:rFonts w:ascii="宋体" w:hAnsi="宋体" w:cs="宋体"/>
                <w:sz w:val="24"/>
                <w:highlight w:val="none"/>
              </w:rPr>
            </w:pPr>
            <w:r>
              <w:rPr>
                <w:rFonts w:hint="eastAsia" w:ascii="宋体" w:hAnsi="宋体" w:cs="宋体"/>
                <w:sz w:val="24"/>
                <w:highlight w:val="none"/>
              </w:rPr>
              <w:t>4.磋商小组评审、推荐成交候选人。</w:t>
            </w:r>
          </w:p>
          <w:p>
            <w:pPr>
              <w:spacing w:line="360" w:lineRule="auto"/>
              <w:jc w:val="left"/>
              <w:rPr>
                <w:rFonts w:ascii="宋体" w:hAnsi="宋体" w:cs="宋体"/>
                <w:sz w:val="24"/>
                <w:highlight w:val="none"/>
              </w:rPr>
            </w:pPr>
            <w:r>
              <w:rPr>
                <w:rFonts w:hint="eastAsia" w:ascii="宋体" w:hAnsi="宋体" w:cs="宋体"/>
                <w:sz w:val="24"/>
                <w:highlight w:val="none"/>
              </w:rPr>
              <w:t>在磋商过程中，磋商小组可以根据磋商文件和磋商情况实质性变动采购需求中的技术、服务要求以及合同草案条款，二次报价为最终报价。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37</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b/>
                <w:bCs/>
                <w:sz w:val="24"/>
                <w:highlight w:val="none"/>
              </w:rPr>
              <w:t>招标代理费</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代理收费依据陕西省公路局关于20</w:t>
            </w:r>
            <w:r>
              <w:rPr>
                <w:rFonts w:hint="eastAsia" w:ascii="宋体" w:hAnsi="宋体" w:cs="宋体"/>
                <w:sz w:val="24"/>
                <w:highlight w:val="none"/>
                <w:lang w:val="en-US" w:eastAsia="zh-CN"/>
              </w:rPr>
              <w:t>23</w:t>
            </w:r>
            <w:r>
              <w:rPr>
                <w:rFonts w:hint="eastAsia" w:ascii="宋体" w:hAnsi="宋体" w:cs="宋体"/>
                <w:sz w:val="24"/>
                <w:highlight w:val="none"/>
              </w:rPr>
              <w:t>年度部分政府采购项目委托代理服务竞价结果（合同编号：</w:t>
            </w:r>
            <w:r>
              <w:rPr>
                <w:rFonts w:hint="eastAsia" w:ascii="宋体" w:hAnsi="宋体" w:cs="宋体"/>
                <w:sz w:val="24"/>
                <w:highlight w:val="none"/>
                <w:lang w:val="en-US" w:eastAsia="zh-CN"/>
              </w:rPr>
              <w:t>SXSGLJ2023018</w:t>
            </w:r>
            <w:r>
              <w:rPr>
                <w:rFonts w:hint="eastAsia" w:ascii="宋体" w:hAnsi="宋体" w:cs="宋体"/>
                <w:sz w:val="24"/>
                <w:highlight w:val="none"/>
              </w:rPr>
              <w:t>），本项目代理服务费：</w:t>
            </w:r>
          </w:p>
          <w:p>
            <w:pPr>
              <w:spacing w:line="360" w:lineRule="auto"/>
              <w:jc w:val="left"/>
              <w:rPr>
                <w:rFonts w:ascii="宋体" w:hAnsi="宋体" w:cs="宋体"/>
                <w:sz w:val="24"/>
                <w:highlight w:val="none"/>
              </w:rPr>
            </w:pPr>
            <w:r>
              <w:rPr>
                <w:rFonts w:hint="eastAsia" w:ascii="宋体" w:hAnsi="宋体" w:cs="宋体"/>
                <w:sz w:val="24"/>
                <w:highlight w:val="none"/>
                <w:lang w:val="en-US" w:eastAsia="zh-CN"/>
              </w:rPr>
              <w:t>JC-1</w:t>
            </w:r>
            <w:r>
              <w:rPr>
                <w:rFonts w:hint="eastAsia" w:ascii="宋体" w:hAnsi="宋体" w:cs="宋体"/>
                <w:sz w:val="24"/>
                <w:highlight w:val="none"/>
                <w:lang w:eastAsia="zh-CN"/>
              </w:rPr>
              <w:t>包</w:t>
            </w:r>
            <w:r>
              <w:rPr>
                <w:rFonts w:hint="eastAsia" w:ascii="宋体" w:hAnsi="宋体" w:cs="宋体"/>
                <w:sz w:val="24"/>
                <w:highlight w:val="none"/>
              </w:rPr>
              <w:t>:</w:t>
            </w:r>
            <w:r>
              <w:rPr>
                <w:rFonts w:hint="eastAsia" w:ascii="宋体" w:hAnsi="宋体" w:cs="宋体"/>
                <w:sz w:val="24"/>
                <w:highlight w:val="none"/>
                <w:lang w:eastAsia="zh-CN"/>
              </w:rPr>
              <w:t>人民币</w:t>
            </w:r>
            <w:r>
              <w:rPr>
                <w:rFonts w:hint="eastAsia" w:ascii="宋体" w:hAnsi="宋体" w:cs="宋体"/>
                <w:sz w:val="24"/>
                <w:highlight w:val="none"/>
                <w:lang w:val="en-US" w:eastAsia="zh-CN"/>
              </w:rPr>
              <w:t>捌仟叁佰柒拾陆元整</w:t>
            </w:r>
            <w:r>
              <w:rPr>
                <w:rFonts w:hint="eastAsia" w:ascii="宋体" w:hAnsi="宋体" w:cs="宋体"/>
                <w:sz w:val="24"/>
                <w:highlight w:val="none"/>
              </w:rPr>
              <w:t>（￥</w:t>
            </w:r>
            <w:r>
              <w:rPr>
                <w:rFonts w:hint="eastAsia" w:ascii="宋体" w:hAnsi="宋体" w:cs="宋体"/>
                <w:sz w:val="24"/>
                <w:highlight w:val="none"/>
                <w:lang w:val="en-US" w:eastAsia="zh-CN"/>
              </w:rPr>
              <w:t>8376.00</w:t>
            </w:r>
            <w:r>
              <w:rPr>
                <w:rFonts w:hint="eastAsia" w:ascii="宋体" w:hAnsi="宋体" w:cs="宋体"/>
                <w:sz w:val="24"/>
                <w:highlight w:val="none"/>
              </w:rPr>
              <w:t>元）</w:t>
            </w:r>
          </w:p>
          <w:p>
            <w:pPr>
              <w:spacing w:line="360" w:lineRule="auto"/>
              <w:jc w:val="left"/>
              <w:rPr>
                <w:rFonts w:hint="eastAsia" w:ascii="宋体" w:hAnsi="宋体" w:cs="宋体"/>
                <w:sz w:val="24"/>
                <w:highlight w:val="none"/>
              </w:rPr>
            </w:pPr>
            <w:r>
              <w:rPr>
                <w:rFonts w:hint="eastAsia" w:ascii="宋体" w:hAnsi="宋体" w:cs="宋体"/>
                <w:sz w:val="24"/>
                <w:highlight w:val="none"/>
                <w:lang w:val="en-US" w:eastAsia="zh-CN"/>
              </w:rPr>
              <w:t>JC-2</w:t>
            </w:r>
            <w:r>
              <w:rPr>
                <w:rFonts w:hint="eastAsia" w:ascii="宋体" w:hAnsi="宋体" w:cs="宋体"/>
                <w:sz w:val="24"/>
                <w:highlight w:val="none"/>
                <w:lang w:eastAsia="zh-CN"/>
              </w:rPr>
              <w:t>包</w:t>
            </w:r>
            <w:r>
              <w:rPr>
                <w:rFonts w:hint="eastAsia" w:ascii="宋体" w:hAnsi="宋体" w:cs="宋体"/>
                <w:sz w:val="24"/>
                <w:highlight w:val="none"/>
              </w:rPr>
              <w:t>:</w:t>
            </w:r>
            <w:r>
              <w:rPr>
                <w:rFonts w:hint="eastAsia" w:ascii="宋体" w:hAnsi="宋体" w:cs="宋体"/>
                <w:sz w:val="24"/>
                <w:highlight w:val="none"/>
                <w:lang w:eastAsia="zh-CN"/>
              </w:rPr>
              <w:t>人民币</w:t>
            </w:r>
            <w:r>
              <w:rPr>
                <w:rFonts w:hint="eastAsia" w:ascii="宋体" w:hAnsi="宋体" w:cs="宋体"/>
                <w:sz w:val="24"/>
                <w:highlight w:val="none"/>
                <w:lang w:val="en-US" w:eastAsia="zh-CN"/>
              </w:rPr>
              <w:t>柒仟伍佰伍拾捌元整</w:t>
            </w:r>
            <w:r>
              <w:rPr>
                <w:rFonts w:hint="eastAsia" w:ascii="宋体" w:hAnsi="宋体" w:cs="宋体"/>
                <w:sz w:val="24"/>
                <w:highlight w:val="none"/>
              </w:rPr>
              <w:t>（￥</w:t>
            </w:r>
            <w:r>
              <w:rPr>
                <w:rFonts w:hint="eastAsia" w:ascii="宋体" w:hAnsi="宋体" w:cs="宋体"/>
                <w:sz w:val="24"/>
                <w:highlight w:val="none"/>
                <w:lang w:val="en-US" w:eastAsia="zh-CN"/>
              </w:rPr>
              <w:t>7558.00</w:t>
            </w:r>
            <w:r>
              <w:rPr>
                <w:rFonts w:hint="eastAsia" w:ascii="宋体" w:hAnsi="宋体" w:cs="宋体"/>
                <w:sz w:val="24"/>
                <w:highlight w:val="none"/>
              </w:rPr>
              <w:t>元）</w:t>
            </w:r>
          </w:p>
          <w:p>
            <w:pPr>
              <w:spacing w:line="360" w:lineRule="auto"/>
              <w:jc w:val="left"/>
              <w:rPr>
                <w:rFonts w:ascii="宋体" w:hAnsi="宋体" w:cs="宋体"/>
                <w:sz w:val="24"/>
                <w:highlight w:val="none"/>
              </w:rPr>
            </w:pPr>
            <w:r>
              <w:rPr>
                <w:rFonts w:hint="eastAsia" w:ascii="宋体" w:hAnsi="宋体" w:cs="宋体"/>
                <w:sz w:val="24"/>
                <w:highlight w:val="none"/>
              </w:rPr>
              <w:t>由成交单位在领取成交通知书前，向代理机构缴纳。</w:t>
            </w:r>
          </w:p>
          <w:p>
            <w:pPr>
              <w:wordWrap/>
              <w:snapToGrid/>
              <w:spacing w:line="360" w:lineRule="auto"/>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开户银行：建设银行西安长安区西长安街支行</w:t>
            </w:r>
          </w:p>
          <w:p>
            <w:pPr>
              <w:wordWrap/>
              <w:snapToGrid/>
              <w:spacing w:line="360" w:lineRule="auto"/>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账    号：6105 0170 5259 0000 0014</w:t>
            </w:r>
          </w:p>
          <w:p>
            <w:pPr>
              <w:spacing w:line="360" w:lineRule="auto"/>
              <w:jc w:val="left"/>
              <w:rPr>
                <w:rFonts w:ascii="宋体" w:hAnsi="宋体" w:cs="宋体"/>
                <w:sz w:val="24"/>
                <w:highlight w:val="none"/>
              </w:rPr>
            </w:pPr>
            <w:r>
              <w:rPr>
                <w:rFonts w:hint="eastAsia" w:ascii="宋体" w:hAnsi="宋体" w:eastAsia="宋体" w:cs="宋体"/>
                <w:b w:val="0"/>
                <w:bCs w:val="0"/>
                <w:sz w:val="24"/>
                <w:highlight w:val="none"/>
              </w:rPr>
              <w:t>采购代理机构公司财务室电话：029-68205383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38</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b/>
                <w:bCs/>
                <w:sz w:val="24"/>
                <w:highlight w:val="none"/>
              </w:rPr>
              <w:t>最高限价</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项目最高磋商限价：</w:t>
            </w:r>
            <w:r>
              <w:rPr>
                <w:rFonts w:hint="eastAsia" w:ascii="宋体" w:hAnsi="宋体" w:cs="宋体"/>
                <w:sz w:val="24"/>
                <w:highlight w:val="none"/>
                <w:lang w:val="en-US" w:eastAsia="zh-CN"/>
              </w:rPr>
              <w:t>JC-1</w:t>
            </w:r>
            <w:r>
              <w:rPr>
                <w:rFonts w:hint="eastAsia" w:ascii="宋体" w:hAnsi="宋体" w:cs="宋体"/>
                <w:sz w:val="24"/>
                <w:highlight w:val="none"/>
                <w:lang w:eastAsia="zh-CN"/>
              </w:rPr>
              <w:t>包</w:t>
            </w:r>
            <w:r>
              <w:rPr>
                <w:rFonts w:hint="eastAsia" w:ascii="宋体" w:hAnsi="宋体" w:cs="宋体"/>
                <w:sz w:val="24"/>
                <w:highlight w:val="none"/>
              </w:rPr>
              <w:t>:</w:t>
            </w:r>
            <w:r>
              <w:rPr>
                <w:rFonts w:hint="eastAsia" w:ascii="宋体" w:hAnsi="宋体" w:cs="宋体"/>
                <w:sz w:val="24"/>
                <w:highlight w:val="none"/>
                <w:lang w:val="en-US" w:eastAsia="zh-CN"/>
              </w:rPr>
              <w:t>82万元；JC-2</w:t>
            </w:r>
            <w:r>
              <w:rPr>
                <w:rFonts w:hint="eastAsia" w:ascii="宋体" w:hAnsi="宋体" w:cs="宋体"/>
                <w:sz w:val="24"/>
                <w:highlight w:val="none"/>
                <w:lang w:eastAsia="zh-CN"/>
              </w:rPr>
              <w:t>包</w:t>
            </w:r>
            <w:r>
              <w:rPr>
                <w:rFonts w:hint="eastAsia" w:ascii="宋体" w:hAnsi="宋体" w:cs="宋体"/>
                <w:sz w:val="24"/>
                <w:highlight w:val="none"/>
              </w:rPr>
              <w:t>:</w:t>
            </w:r>
            <w:r>
              <w:rPr>
                <w:rFonts w:hint="eastAsia" w:ascii="宋体" w:hAnsi="宋体" w:cs="宋体"/>
                <w:sz w:val="24"/>
                <w:highlight w:val="none"/>
                <w:lang w:val="en-US" w:eastAsia="zh-CN"/>
              </w:rPr>
              <w:t>74万元</w:t>
            </w:r>
          </w:p>
          <w:p>
            <w:pPr>
              <w:spacing w:line="360" w:lineRule="auto"/>
              <w:rPr>
                <w:rFonts w:ascii="宋体" w:hAnsi="宋体" w:cs="宋体"/>
                <w:sz w:val="24"/>
                <w:highlight w:val="none"/>
              </w:rPr>
            </w:pPr>
            <w:r>
              <w:rPr>
                <w:rFonts w:hint="eastAsia" w:ascii="宋体" w:hAnsi="宋体" w:cs="宋体"/>
                <w:sz w:val="24"/>
                <w:highlight w:val="none"/>
              </w:rPr>
              <w:t>报价大于最高限价的磋商响应文件初步审查将不予通过。</w:t>
            </w:r>
          </w:p>
        </w:tc>
      </w:tr>
    </w:tbl>
    <w:p>
      <w:pPr>
        <w:spacing w:line="360" w:lineRule="auto"/>
        <w:jc w:val="left"/>
        <w:rPr>
          <w:rFonts w:ascii="宋体" w:hAnsi="宋体" w:cs="宋体"/>
          <w:szCs w:val="21"/>
          <w:highlight w:val="none"/>
        </w:rPr>
        <w:sectPr>
          <w:footerReference r:id="rId11" w:type="default"/>
          <w:pgSz w:w="11906" w:h="16838"/>
          <w:pgMar w:top="1417" w:right="1417" w:bottom="1417" w:left="1417" w:header="850" w:footer="992" w:gutter="0"/>
          <w:pgNumType w:fmt="decimal"/>
          <w:cols w:space="0" w:num="1"/>
          <w:docGrid w:type="lines" w:linePitch="312" w:charSpace="0"/>
        </w:sectPr>
      </w:pPr>
      <w:r>
        <w:rPr>
          <w:rFonts w:hint="eastAsia" w:ascii="宋体" w:hAnsi="宋体" w:cs="宋体"/>
          <w:b/>
          <w:szCs w:val="21"/>
          <w:highlight w:val="none"/>
        </w:rPr>
        <w:t>注：供应商须知前附表与竞争性磋商文件正文对同一事项描述不一致的，以须知前附表为准。</w:t>
      </w:r>
    </w:p>
    <w:p>
      <w:pPr>
        <w:spacing w:line="360" w:lineRule="auto"/>
        <w:jc w:val="center"/>
        <w:outlineLvl w:val="1"/>
        <w:rPr>
          <w:rFonts w:ascii="宋体" w:hAnsi="宋体" w:cs="宋体"/>
          <w:b/>
          <w:sz w:val="30"/>
          <w:szCs w:val="30"/>
          <w:highlight w:val="none"/>
        </w:rPr>
      </w:pPr>
      <w:bookmarkStart w:id="13" w:name="_Toc16055"/>
      <w:bookmarkStart w:id="14" w:name="_Toc25812"/>
      <w:bookmarkStart w:id="15" w:name="_Toc32286"/>
      <w:bookmarkStart w:id="16" w:name="_Toc519156737"/>
      <w:r>
        <w:rPr>
          <w:rFonts w:hint="eastAsia" w:ascii="宋体" w:hAnsi="宋体" w:cs="宋体"/>
          <w:b/>
          <w:sz w:val="30"/>
          <w:szCs w:val="30"/>
          <w:highlight w:val="none"/>
        </w:rPr>
        <w:t>一．名词解释</w:t>
      </w:r>
      <w:bookmarkEnd w:id="13"/>
      <w:bookmarkEnd w:id="14"/>
      <w:bookmarkEnd w:id="15"/>
      <w:bookmarkEnd w:id="16"/>
    </w:p>
    <w:p>
      <w:pPr>
        <w:numPr>
          <w:ilvl w:val="0"/>
          <w:numId w:val="2"/>
        </w:numPr>
        <w:tabs>
          <w:tab w:val="left" w:pos="240"/>
          <w:tab w:val="clear" w:pos="840"/>
        </w:tabs>
        <w:spacing w:line="440" w:lineRule="exact"/>
        <w:ind w:left="-120" w:leftChars="-57" w:firstLine="0"/>
        <w:rPr>
          <w:rFonts w:ascii="宋体" w:hAnsi="宋体" w:cs="宋体"/>
          <w:sz w:val="24"/>
          <w:highlight w:val="none"/>
        </w:rPr>
      </w:pPr>
      <w:r>
        <w:rPr>
          <w:rFonts w:hint="eastAsia" w:ascii="宋体" w:hAnsi="宋体" w:cs="宋体"/>
          <w:sz w:val="24"/>
          <w:highlight w:val="none"/>
        </w:rPr>
        <w:t>采购人：陕西省公路局</w:t>
      </w:r>
    </w:p>
    <w:p>
      <w:pPr>
        <w:numPr>
          <w:ilvl w:val="0"/>
          <w:numId w:val="2"/>
        </w:numPr>
        <w:tabs>
          <w:tab w:val="left" w:pos="240"/>
          <w:tab w:val="clear" w:pos="840"/>
        </w:tabs>
        <w:spacing w:line="440" w:lineRule="exact"/>
        <w:ind w:left="-120" w:leftChars="-57" w:firstLine="0"/>
        <w:rPr>
          <w:rFonts w:ascii="宋体" w:hAnsi="宋体" w:cs="宋体"/>
          <w:sz w:val="24"/>
          <w:highlight w:val="none"/>
        </w:rPr>
      </w:pPr>
      <w:r>
        <w:rPr>
          <w:rFonts w:hint="eastAsia" w:ascii="宋体" w:hAnsi="宋体" w:cs="宋体"/>
          <w:sz w:val="24"/>
          <w:highlight w:val="none"/>
        </w:rPr>
        <w:t>监督部门：陕西省财政厅、陕西省公路局相关政府采购监督管理部门</w:t>
      </w:r>
    </w:p>
    <w:p>
      <w:pPr>
        <w:numPr>
          <w:ilvl w:val="0"/>
          <w:numId w:val="2"/>
        </w:numPr>
        <w:tabs>
          <w:tab w:val="left" w:pos="240"/>
          <w:tab w:val="clear" w:pos="840"/>
        </w:tabs>
        <w:spacing w:line="440" w:lineRule="exact"/>
        <w:ind w:left="-120" w:leftChars="-57" w:firstLine="0"/>
        <w:rPr>
          <w:rFonts w:ascii="宋体" w:hAnsi="宋体" w:cs="宋体"/>
          <w:sz w:val="24"/>
          <w:highlight w:val="none"/>
        </w:rPr>
      </w:pPr>
      <w:r>
        <w:rPr>
          <w:rFonts w:hint="eastAsia" w:ascii="宋体" w:hAnsi="宋体" w:cs="宋体"/>
          <w:sz w:val="24"/>
          <w:highlight w:val="none"/>
        </w:rPr>
        <w:t>采购代理机构：</w:t>
      </w:r>
      <w:r>
        <w:rPr>
          <w:rFonts w:hint="eastAsia" w:ascii="宋体" w:hAnsi="宋体" w:cs="宋体"/>
          <w:sz w:val="24"/>
          <w:highlight w:val="none"/>
          <w:lang w:eastAsia="zh-CN"/>
        </w:rPr>
        <w:t>陕西正宇信工程项目管理有限公司</w:t>
      </w:r>
    </w:p>
    <w:p>
      <w:pPr>
        <w:numPr>
          <w:ilvl w:val="0"/>
          <w:numId w:val="2"/>
        </w:numPr>
        <w:tabs>
          <w:tab w:val="left" w:pos="240"/>
          <w:tab w:val="clear" w:pos="840"/>
        </w:tabs>
        <w:spacing w:line="440" w:lineRule="exact"/>
        <w:ind w:left="-120" w:leftChars="-57" w:firstLine="0"/>
        <w:rPr>
          <w:rFonts w:ascii="宋体" w:hAnsi="宋体" w:cs="宋体"/>
          <w:sz w:val="24"/>
          <w:highlight w:val="none"/>
        </w:rPr>
      </w:pPr>
      <w:r>
        <w:rPr>
          <w:rFonts w:hint="eastAsia" w:ascii="宋体" w:hAnsi="宋体" w:cs="宋体"/>
          <w:spacing w:val="6"/>
          <w:sz w:val="24"/>
          <w:highlight w:val="none"/>
        </w:rPr>
        <w:t>近5年：指从201</w:t>
      </w:r>
      <w:r>
        <w:rPr>
          <w:rFonts w:hint="eastAsia" w:ascii="宋体" w:hAnsi="宋体" w:cs="宋体"/>
          <w:spacing w:val="6"/>
          <w:sz w:val="24"/>
          <w:highlight w:val="none"/>
          <w:lang w:val="en-US" w:eastAsia="zh-CN"/>
        </w:rPr>
        <w:t>8</w:t>
      </w:r>
      <w:r>
        <w:rPr>
          <w:rFonts w:hint="eastAsia" w:ascii="宋体" w:hAnsi="宋体" w:cs="宋体"/>
          <w:spacing w:val="6"/>
          <w:sz w:val="24"/>
          <w:highlight w:val="none"/>
        </w:rPr>
        <w:t>年1月1日起至磋商响应文件递交截止</w:t>
      </w:r>
      <w:r>
        <w:rPr>
          <w:rFonts w:hint="eastAsia" w:ascii="宋体" w:hAnsi="宋体" w:cs="宋体"/>
          <w:sz w:val="24"/>
          <w:highlight w:val="none"/>
        </w:rPr>
        <w:t>时间前</w:t>
      </w:r>
    </w:p>
    <w:p>
      <w:pPr>
        <w:numPr>
          <w:ilvl w:val="0"/>
          <w:numId w:val="2"/>
        </w:numPr>
        <w:tabs>
          <w:tab w:val="left" w:pos="240"/>
          <w:tab w:val="clear" w:pos="840"/>
        </w:tabs>
        <w:spacing w:line="440" w:lineRule="exact"/>
        <w:ind w:left="-120" w:leftChars="-57" w:firstLine="0"/>
        <w:rPr>
          <w:rFonts w:ascii="宋体" w:hAnsi="宋体" w:cs="宋体"/>
          <w:sz w:val="24"/>
          <w:highlight w:val="none"/>
        </w:rPr>
      </w:pPr>
      <w:r>
        <w:rPr>
          <w:rFonts w:hint="eastAsia" w:ascii="宋体" w:hAnsi="宋体" w:cs="宋体"/>
          <w:spacing w:val="6"/>
          <w:sz w:val="24"/>
          <w:highlight w:val="none"/>
        </w:rPr>
        <w:t>近3年：指从20</w:t>
      </w:r>
      <w:r>
        <w:rPr>
          <w:rFonts w:hint="eastAsia" w:ascii="宋体" w:hAnsi="宋体" w:cs="宋体"/>
          <w:spacing w:val="6"/>
          <w:sz w:val="24"/>
          <w:highlight w:val="none"/>
          <w:lang w:val="en-US" w:eastAsia="zh-CN"/>
        </w:rPr>
        <w:t>20</w:t>
      </w:r>
      <w:r>
        <w:rPr>
          <w:rFonts w:hint="eastAsia" w:ascii="宋体" w:hAnsi="宋体" w:cs="宋体"/>
          <w:spacing w:val="6"/>
          <w:sz w:val="24"/>
          <w:highlight w:val="none"/>
        </w:rPr>
        <w:t>年1月1日起至磋商响应文件递交截止</w:t>
      </w:r>
      <w:r>
        <w:rPr>
          <w:rFonts w:hint="eastAsia" w:ascii="宋体" w:hAnsi="宋体" w:cs="宋体"/>
          <w:sz w:val="24"/>
          <w:highlight w:val="none"/>
        </w:rPr>
        <w:t>时间前</w:t>
      </w:r>
    </w:p>
    <w:p>
      <w:pPr>
        <w:spacing w:line="360" w:lineRule="auto"/>
        <w:rPr>
          <w:rFonts w:ascii="宋体" w:hAnsi="宋体" w:cs="宋体"/>
          <w:sz w:val="24"/>
          <w:highlight w:val="none"/>
        </w:rPr>
      </w:pPr>
    </w:p>
    <w:p>
      <w:pPr>
        <w:spacing w:line="360" w:lineRule="auto"/>
        <w:jc w:val="center"/>
        <w:outlineLvl w:val="1"/>
        <w:rPr>
          <w:rFonts w:ascii="宋体" w:hAnsi="宋体" w:cs="宋体"/>
          <w:sz w:val="30"/>
          <w:szCs w:val="30"/>
          <w:highlight w:val="none"/>
        </w:rPr>
      </w:pPr>
      <w:bookmarkStart w:id="17" w:name="_Toc519156738"/>
      <w:bookmarkStart w:id="18" w:name="_Toc12298"/>
      <w:bookmarkStart w:id="19" w:name="_Toc13421"/>
      <w:bookmarkStart w:id="20" w:name="_Toc10811"/>
      <w:r>
        <w:rPr>
          <w:rFonts w:hint="eastAsia" w:ascii="宋体" w:hAnsi="宋体" w:cs="宋体"/>
          <w:b/>
          <w:sz w:val="30"/>
          <w:szCs w:val="30"/>
          <w:highlight w:val="none"/>
        </w:rPr>
        <w:t>二．磋商供应商</w:t>
      </w:r>
      <w:bookmarkEnd w:id="17"/>
      <w:bookmarkEnd w:id="18"/>
      <w:bookmarkEnd w:id="19"/>
      <w:bookmarkEnd w:id="20"/>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1.合格磋商供应商</w:t>
      </w:r>
    </w:p>
    <w:p>
      <w:pPr>
        <w:spacing w:line="440" w:lineRule="exact"/>
        <w:ind w:left="1078" w:leftChars="172" w:hanging="717" w:hangingChars="299"/>
        <w:rPr>
          <w:rFonts w:ascii="宋体" w:hAnsi="宋体" w:cs="宋体"/>
          <w:sz w:val="24"/>
          <w:highlight w:val="none"/>
        </w:rPr>
      </w:pPr>
      <w:r>
        <w:rPr>
          <w:rFonts w:hint="eastAsia" w:ascii="宋体" w:hAnsi="宋体" w:cs="宋体"/>
          <w:sz w:val="24"/>
          <w:highlight w:val="none"/>
        </w:rPr>
        <w:t>1）具有独立承担民事责任的能力</w:t>
      </w:r>
    </w:p>
    <w:p>
      <w:pPr>
        <w:spacing w:line="440" w:lineRule="exact"/>
        <w:ind w:left="1078" w:leftChars="172" w:hanging="717" w:hangingChars="299"/>
        <w:rPr>
          <w:rFonts w:ascii="宋体" w:hAnsi="宋体" w:cs="宋体"/>
          <w:sz w:val="24"/>
          <w:highlight w:val="none"/>
        </w:rPr>
      </w:pPr>
      <w:r>
        <w:rPr>
          <w:rFonts w:hint="eastAsia" w:ascii="宋体" w:hAnsi="宋体" w:cs="宋体"/>
          <w:sz w:val="24"/>
          <w:highlight w:val="none"/>
        </w:rPr>
        <w:t>2）具有良好的商业信誉和健全的财务会计制度</w:t>
      </w:r>
    </w:p>
    <w:p>
      <w:pPr>
        <w:spacing w:line="440" w:lineRule="exact"/>
        <w:ind w:left="1078" w:leftChars="172" w:hanging="717" w:hangingChars="299"/>
        <w:rPr>
          <w:rFonts w:ascii="宋体" w:hAnsi="宋体" w:cs="宋体"/>
          <w:sz w:val="24"/>
          <w:highlight w:val="none"/>
        </w:rPr>
      </w:pPr>
      <w:r>
        <w:rPr>
          <w:rFonts w:hint="eastAsia" w:ascii="宋体" w:hAnsi="宋体" w:cs="宋体"/>
          <w:sz w:val="24"/>
          <w:highlight w:val="none"/>
        </w:rPr>
        <w:t>3）具有履行合同所必需的专业技术能力</w:t>
      </w:r>
    </w:p>
    <w:p>
      <w:pPr>
        <w:spacing w:line="440" w:lineRule="exact"/>
        <w:ind w:left="1078" w:leftChars="172" w:hanging="717" w:hangingChars="299"/>
        <w:rPr>
          <w:rFonts w:ascii="宋体" w:hAnsi="宋体" w:cs="宋体"/>
          <w:sz w:val="24"/>
          <w:highlight w:val="none"/>
        </w:rPr>
      </w:pPr>
      <w:r>
        <w:rPr>
          <w:rFonts w:hint="eastAsia" w:ascii="宋体" w:hAnsi="宋体" w:cs="宋体"/>
          <w:sz w:val="24"/>
          <w:highlight w:val="none"/>
        </w:rPr>
        <w:t>4）有依法缴纳税收和社会保障资金的良好记录</w:t>
      </w:r>
    </w:p>
    <w:p>
      <w:pPr>
        <w:spacing w:line="440" w:lineRule="exact"/>
        <w:ind w:left="1078" w:leftChars="172" w:hanging="717" w:hangingChars="299"/>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pPr>
        <w:spacing w:line="440" w:lineRule="exact"/>
        <w:ind w:left="1078" w:leftChars="172" w:hanging="717" w:hangingChars="299"/>
        <w:rPr>
          <w:rFonts w:ascii="宋体" w:hAnsi="宋体" w:cs="宋体"/>
          <w:sz w:val="24"/>
          <w:highlight w:val="none"/>
        </w:rPr>
      </w:pPr>
      <w:r>
        <w:rPr>
          <w:rFonts w:hint="eastAsia" w:ascii="宋体" w:hAnsi="宋体" w:cs="宋体"/>
          <w:sz w:val="24"/>
          <w:highlight w:val="none"/>
        </w:rPr>
        <w:t>6）法律、行政法规规定的其它条件</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1.1单位负责人为同一人或者存在直接控股、管理关系的不同供应商，不得参加本项目同一合同项下的磋商响应。如果磋商供应商在磋商响应中隐瞒了上述关系，则该磋商响应无效。</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1.2为本采购项目提供整体设计、规范编制或者项目管理、监理、检测等服务的供应商，不得再参加本采购项目的磋商响应</w:t>
      </w:r>
      <w:r>
        <w:rPr>
          <w:rFonts w:hint="eastAsia" w:ascii="宋体" w:hAnsi="宋体" w:cs="宋体"/>
          <w:kern w:val="0"/>
          <w:sz w:val="24"/>
          <w:highlight w:val="none"/>
        </w:rPr>
        <w:t>。</w:t>
      </w:r>
      <w:r>
        <w:rPr>
          <w:rFonts w:hint="eastAsia" w:ascii="宋体" w:hAnsi="宋体" w:cs="宋体"/>
          <w:sz w:val="24"/>
          <w:highlight w:val="none"/>
        </w:rPr>
        <w:t>如果磋商供应商在磋商响应中隐瞒了上述事实，则该磋商响应无效。</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1.3磋商供应商不得直接或间接地与招标采购单位（包括采购代理机构、采购人及用户）有任何关联（关联认定标准为：直接控股、管理关系、法人代表为同一人），亦不得是招标采购单位的附属机构。如果磋商供应商在磋商响应中隐瞒了上述关系，则该磋商响应无效。</w:t>
      </w:r>
    </w:p>
    <w:p>
      <w:pPr>
        <w:spacing w:line="360" w:lineRule="auto"/>
        <w:ind w:firstLine="120" w:firstLineChars="50"/>
        <w:rPr>
          <w:rFonts w:ascii="宋体" w:hAnsi="宋体" w:cs="宋体"/>
          <w:b/>
          <w:sz w:val="24"/>
          <w:highlight w:val="none"/>
        </w:rPr>
      </w:pPr>
      <w:r>
        <w:rPr>
          <w:rFonts w:hint="eastAsia" w:ascii="宋体" w:hAnsi="宋体" w:cs="宋体"/>
          <w:b/>
          <w:sz w:val="24"/>
          <w:highlight w:val="none"/>
        </w:rPr>
        <w:t>2.磋商委托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如磋商供应商代表不是法定代表人，须持有《法定代表人授权书》（原件）。</w:t>
      </w:r>
    </w:p>
    <w:p>
      <w:pPr>
        <w:pStyle w:val="2"/>
        <w:spacing w:line="360" w:lineRule="auto"/>
        <w:ind w:firstLine="482" w:firstLineChars="200"/>
        <w:rPr>
          <w:highlight w:val="none"/>
        </w:rPr>
      </w:pPr>
      <w:r>
        <w:rPr>
          <w:rFonts w:hint="eastAsia" w:ascii="宋体" w:hAnsi="宋体" w:eastAsia="宋体" w:cs="宋体"/>
          <w:b/>
          <w:bCs/>
          <w:color w:val="auto"/>
          <w:kern w:val="2"/>
          <w:sz w:val="24"/>
          <w:szCs w:val="24"/>
          <w:highlight w:val="none"/>
          <w:lang w:val="en-US" w:eastAsia="zh-CN" w:bidi="ar-SA"/>
        </w:rPr>
        <w:t>注：分公司参与磋商，须提供总公司针对分公司参与本项目磋商的唯一授权函，否则按无效响应处理；磋商响应文件格式中的企业法定代表人均替换为企业负责人</w:t>
      </w:r>
      <w:r>
        <w:rPr>
          <w:rFonts w:hint="eastAsia" w:ascii="宋体" w:hAnsi="宋体" w:cs="宋体"/>
          <w:b/>
          <w:bCs/>
          <w:color w:val="auto"/>
          <w:kern w:val="2"/>
          <w:sz w:val="24"/>
          <w:szCs w:val="24"/>
          <w:highlight w:val="none"/>
          <w:lang w:val="en-US" w:eastAsia="zh-CN" w:bidi="ar-SA"/>
        </w:rPr>
        <w:t>。</w:t>
      </w:r>
    </w:p>
    <w:p>
      <w:pPr>
        <w:spacing w:line="360" w:lineRule="auto"/>
        <w:ind w:firstLine="120" w:firstLineChars="50"/>
        <w:rPr>
          <w:rFonts w:ascii="宋体" w:hAnsi="宋体" w:cs="宋体"/>
          <w:b/>
          <w:sz w:val="24"/>
          <w:highlight w:val="none"/>
        </w:rPr>
      </w:pPr>
      <w:r>
        <w:rPr>
          <w:rFonts w:hint="eastAsia" w:ascii="宋体" w:hAnsi="宋体" w:cs="宋体"/>
          <w:b/>
          <w:sz w:val="24"/>
          <w:highlight w:val="none"/>
        </w:rPr>
        <w:t>3.磋商响应文件内容的真实性</w:t>
      </w:r>
    </w:p>
    <w:p>
      <w:pPr>
        <w:spacing w:line="440" w:lineRule="exact"/>
        <w:ind w:firstLine="472" w:firstLineChars="197"/>
        <w:rPr>
          <w:rFonts w:ascii="宋体" w:hAnsi="宋体" w:cs="宋体"/>
          <w:sz w:val="24"/>
          <w:highlight w:val="none"/>
        </w:rPr>
      </w:pPr>
      <w:r>
        <w:rPr>
          <w:rFonts w:hint="eastAsia" w:ascii="宋体" w:hAnsi="宋体" w:cs="宋体"/>
          <w:sz w:val="24"/>
          <w:highlight w:val="none"/>
        </w:rPr>
        <w:t>磋商响应人应保证其磋商响应文件中所提供的所有有关磋商响应的资料、信息是真实的，并且来源于合法的渠道。因磋商响应文件中所提供的有关磋商响应的资料、信息不真实，或者其来源不合法而导致的所有法律责任，由磋商响应人自行承担。</w:t>
      </w:r>
    </w:p>
    <w:p>
      <w:pPr>
        <w:spacing w:line="440" w:lineRule="exact"/>
        <w:ind w:firstLine="120" w:firstLineChars="50"/>
        <w:rPr>
          <w:rFonts w:ascii="宋体" w:hAnsi="宋体" w:cs="宋体"/>
          <w:sz w:val="24"/>
          <w:highlight w:val="none"/>
        </w:rPr>
      </w:pPr>
      <w:r>
        <w:rPr>
          <w:rFonts w:hint="eastAsia" w:ascii="宋体" w:hAnsi="宋体" w:cs="宋体"/>
          <w:b/>
          <w:sz w:val="24"/>
          <w:highlight w:val="none"/>
        </w:rPr>
        <w:t>4.磋商费用</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无论磋商结果如何，磋商供应商自行承担参加磋商相关的全部费用。</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5.联合体形式</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5.1　本项目是否接受联合体参与及相关要求见磋商须知前附表。</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5.2　供应商为联合体形式的，应同时遵守以下规定：</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(1)联合体各方必须签订联合体协议书，明确联合体牵头人和各方权利、义务及分工、合同工作量比例；</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(2)联合体各方均应当符合本章第15条规定的供应商基本资格条件；</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(3)除磋商须知前附表中另有规定，联合体各方中至少有一方应当符合本章第15条规定的供应商特定资格条件；</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(4)联合体中有同类资质的供应商按照联合体分工承担相同工作的，应当按照资质等级较低的供应商确定资质等级；</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(5)联合体各方不得再单独或与其他供应商组成新的联合体参加同一项目的采购活动。</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6.项目现场踏勘</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6.1　本项目是否组织现场踏勘见磋商须知前附表。</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6.2　供应商应按磋商须知前附表中规定对采购项目现场和周围环境进行踏勘。供应商未在指定时间进行踏勘的，其踏勘将被拒绝。</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6.3　踏勘现场的费用由供应商自己承担，踏勘期间所发生的人身伤害及财产损失由供应商自己负责。</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6.4　采购人不对供应商据现场踏勘而做出的推论、理解和结论负责。一旦成交，供应商不得以任何借口，提出额外补偿，或延长合同期限的要求。</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7.采购进口产品</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7.1　本项目是否采购进口产品及相关要求见磋商须知前附表。</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8.政府采购政策支持与其他规定</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8.1　产品属于政府强制采购节能产品范围，依据国家确定的认证机构出具的、处于有效期之内的节能产品、环境标志产品认证证书，对获得证书的产品实施政府优先采购或强制采购。</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8.2　供应商享受支持中小企业发展政策优惠的，可用扣除后的最后报价参与价格比较。</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8.3　监狱企业视同小型、微型企业，享受促进中小企业发展政策优惠，可用扣除后的最后报价参与价格比较。</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8.4  残疾人福利性单位视同小型、微型企业，享受促进中小企业发展政策优惠，可用扣除后的最后报价参与价格比较。</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w:t>
      </w:r>
    </w:p>
    <w:p>
      <w:pPr>
        <w:pStyle w:val="12"/>
        <w:spacing w:line="440" w:lineRule="exact"/>
        <w:ind w:firstLine="480" w:firstLineChars="200"/>
        <w:rPr>
          <w:rFonts w:hAnsi="宋体" w:cs="宋体"/>
          <w:sz w:val="24"/>
          <w:szCs w:val="24"/>
          <w:highlight w:val="none"/>
        </w:rPr>
      </w:pPr>
      <w:r>
        <w:rPr>
          <w:rFonts w:hint="eastAsia" w:hAnsi="宋体" w:cs="宋体"/>
          <w:sz w:val="24"/>
          <w:szCs w:val="24"/>
          <w:highlight w:val="none"/>
        </w:rPr>
        <w:t>8.6　其他法律法规强制性规定。</w:t>
      </w:r>
    </w:p>
    <w:p>
      <w:pPr>
        <w:spacing w:line="360" w:lineRule="auto"/>
        <w:jc w:val="center"/>
        <w:outlineLvl w:val="1"/>
        <w:rPr>
          <w:rFonts w:ascii="宋体" w:hAnsi="宋体" w:cs="宋体"/>
          <w:sz w:val="30"/>
          <w:szCs w:val="30"/>
          <w:highlight w:val="none"/>
        </w:rPr>
      </w:pPr>
      <w:bookmarkStart w:id="21" w:name="_Toc519156739"/>
      <w:bookmarkStart w:id="22" w:name="_Toc27408"/>
      <w:bookmarkStart w:id="23" w:name="_Toc4528"/>
      <w:bookmarkStart w:id="24" w:name="_Toc18111"/>
      <w:r>
        <w:rPr>
          <w:rFonts w:hint="eastAsia" w:ascii="宋体" w:hAnsi="宋体" w:cs="宋体"/>
          <w:b/>
          <w:sz w:val="30"/>
          <w:szCs w:val="30"/>
          <w:highlight w:val="none"/>
        </w:rPr>
        <w:t>三．磋商文件</w:t>
      </w:r>
      <w:bookmarkEnd w:id="21"/>
      <w:bookmarkEnd w:id="22"/>
      <w:bookmarkEnd w:id="23"/>
      <w:bookmarkEnd w:id="24"/>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9.磋商文件</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9.1 磋商文件要求提供的服务，磋商程序和合同条件在磋商文件中均有说明。磋商文件共六章，内容如下：</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第一部分  竞争性磋商公告</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第二部分  供应商须知</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第三部分  采购要求及说明</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第四部分  商务及合同主要条款</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第五部分  评审办法</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第六部分  竞争性磋商响应文件格式</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spacing w:line="440" w:lineRule="exact"/>
        <w:ind w:firstLine="482" w:firstLineChars="200"/>
        <w:rPr>
          <w:rFonts w:ascii="宋体" w:hAnsi="宋体" w:cs="宋体"/>
          <w:b/>
          <w:sz w:val="24"/>
          <w:highlight w:val="none"/>
        </w:rPr>
      </w:pPr>
      <w:r>
        <w:rPr>
          <w:rFonts w:hint="eastAsia" w:ascii="宋体" w:hAnsi="宋体" w:cs="宋体"/>
          <w:b/>
          <w:sz w:val="24"/>
          <w:highlight w:val="none"/>
        </w:rPr>
        <w:t>10．磋商文件的澄清修改</w:t>
      </w:r>
    </w:p>
    <w:p>
      <w:pPr>
        <w:spacing w:line="440" w:lineRule="exact"/>
        <w:ind w:firstLine="480" w:firstLineChars="200"/>
        <w:rPr>
          <w:rFonts w:ascii="宋体" w:hAnsi="宋体" w:cs="宋体"/>
          <w:b/>
          <w:sz w:val="24"/>
          <w:highlight w:val="none"/>
          <w:bdr w:val="single" w:color="auto" w:sz="4" w:space="0"/>
        </w:rPr>
      </w:pPr>
      <w:r>
        <w:rPr>
          <w:rFonts w:hint="eastAsia" w:ascii="宋体" w:hAnsi="宋体" w:cs="宋体"/>
          <w:sz w:val="24"/>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r>
        <w:rPr>
          <w:rFonts w:hint="eastAsia" w:ascii="宋体" w:hAnsi="宋体" w:cs="宋体"/>
          <w:b/>
          <w:sz w:val="24"/>
          <w:highlight w:val="none"/>
        </w:rPr>
        <w:t>对磋商文件中有难以理解或参数有疑义的内容，须在规定时间内提交书面资料，否则视为对磋商文件再无疑义，因此带来的一切不利后果由磋商供应商自负。</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11.磋商文件的购买</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磋商供应商必须从采购代理机构购买磋商文件，磋商供应商自行转让或复制的磋商文件视为无效文件；磋商文件一经售出，一律不退，仅作为本次磋商使用。</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12.磋商的处理依据</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根据《中华人民共和国政府采购法》和《政府采购竞争性磋商采购方式管理暂行办法》的条款，本着公开、公平、公正的原则进行处理。</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13.解释权归属</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本次磋商文件的解释权归采购代理机构。</w:t>
      </w:r>
    </w:p>
    <w:p>
      <w:pPr>
        <w:spacing w:line="360" w:lineRule="auto"/>
        <w:jc w:val="center"/>
        <w:outlineLvl w:val="1"/>
        <w:rPr>
          <w:rFonts w:ascii="宋体" w:hAnsi="宋体" w:cs="宋体"/>
          <w:sz w:val="30"/>
          <w:szCs w:val="30"/>
          <w:highlight w:val="none"/>
        </w:rPr>
      </w:pPr>
      <w:bookmarkStart w:id="25" w:name="_Toc8808"/>
      <w:bookmarkStart w:id="26" w:name="_Toc4855"/>
      <w:bookmarkStart w:id="27" w:name="_Toc1168"/>
      <w:r>
        <w:rPr>
          <w:rFonts w:hint="eastAsia" w:ascii="宋体" w:hAnsi="宋体" w:cs="宋体"/>
          <w:b/>
          <w:sz w:val="30"/>
          <w:szCs w:val="30"/>
          <w:highlight w:val="none"/>
        </w:rPr>
        <w:t>四．磋商要求</w:t>
      </w:r>
      <w:bookmarkEnd w:id="25"/>
      <w:bookmarkEnd w:id="26"/>
      <w:bookmarkEnd w:id="27"/>
    </w:p>
    <w:p>
      <w:pPr>
        <w:spacing w:line="460" w:lineRule="exact"/>
        <w:rPr>
          <w:rFonts w:ascii="宋体" w:hAnsi="宋体" w:cs="宋体"/>
          <w:b/>
          <w:sz w:val="24"/>
          <w:highlight w:val="none"/>
        </w:rPr>
      </w:pPr>
      <w:r>
        <w:rPr>
          <w:rFonts w:hint="eastAsia" w:ascii="宋体" w:hAnsi="宋体" w:cs="宋体"/>
          <w:b/>
          <w:sz w:val="24"/>
          <w:highlight w:val="none"/>
        </w:rPr>
        <w:t>14.磋商语言和磋商货币</w:t>
      </w:r>
    </w:p>
    <w:p>
      <w:pPr>
        <w:kinsoku w:val="0"/>
        <w:spacing w:line="460" w:lineRule="exact"/>
        <w:ind w:firstLine="480" w:firstLineChars="200"/>
        <w:rPr>
          <w:rFonts w:ascii="宋体" w:hAnsi="宋体" w:cs="宋体"/>
          <w:sz w:val="24"/>
          <w:highlight w:val="none"/>
        </w:rPr>
      </w:pPr>
      <w:r>
        <w:rPr>
          <w:rFonts w:hint="eastAsia" w:ascii="宋体" w:hAnsi="宋体" w:cs="宋体"/>
          <w:sz w:val="24"/>
          <w:highlight w:val="none"/>
        </w:rPr>
        <w:t>14.1供应商提交的磋商响应文件以及供应商与招标代理机构就有关磋商的所有来往函电均应使用中文。</w:t>
      </w:r>
    </w:p>
    <w:p>
      <w:pPr>
        <w:kinsoku w:val="0"/>
        <w:spacing w:line="460" w:lineRule="exact"/>
        <w:ind w:firstLine="480" w:firstLineChars="200"/>
        <w:rPr>
          <w:rFonts w:ascii="宋体" w:hAnsi="宋体" w:cs="宋体"/>
          <w:spacing w:val="-6"/>
          <w:sz w:val="24"/>
          <w:highlight w:val="none"/>
        </w:rPr>
      </w:pPr>
      <w:r>
        <w:rPr>
          <w:rFonts w:hint="eastAsia" w:ascii="宋体" w:hAnsi="宋体" w:cs="宋体"/>
          <w:sz w:val="24"/>
          <w:highlight w:val="none"/>
        </w:rPr>
        <w:t>14.2磋商报价应以人民币报价，任何包含非人民币报价的磋商将按无效磋商处理</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本项目不接受联合体磋商。</w:t>
      </w:r>
    </w:p>
    <w:p>
      <w:pPr>
        <w:spacing w:line="460" w:lineRule="exact"/>
        <w:rPr>
          <w:rFonts w:ascii="宋体" w:hAnsi="宋体" w:cs="宋体"/>
          <w:b/>
          <w:sz w:val="24"/>
          <w:highlight w:val="none"/>
        </w:rPr>
      </w:pPr>
      <w:bookmarkStart w:id="28" w:name="_Toc519156741"/>
      <w:bookmarkStart w:id="29" w:name="_Toc24973"/>
      <w:bookmarkStart w:id="30" w:name="_Toc2990"/>
      <w:r>
        <w:rPr>
          <w:rFonts w:hint="eastAsia" w:ascii="宋体" w:hAnsi="宋体" w:cs="宋体"/>
          <w:b/>
          <w:sz w:val="24"/>
          <w:highlight w:val="none"/>
        </w:rPr>
        <w:t>15.磋商响应文件的构成</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15.1供应商提交的磋商响应文件应包括下列部分的内容：</w:t>
      </w:r>
    </w:p>
    <w:p>
      <w:pPr>
        <w:kinsoku w:val="0"/>
        <w:spacing w:line="460" w:lineRule="exact"/>
        <w:ind w:firstLine="480" w:firstLineChars="200"/>
        <w:rPr>
          <w:rFonts w:ascii="宋体" w:hAnsi="宋体" w:cs="宋体"/>
          <w:sz w:val="24"/>
          <w:highlight w:val="none"/>
        </w:rPr>
      </w:pPr>
      <w:r>
        <w:rPr>
          <w:rFonts w:hint="eastAsia" w:ascii="宋体" w:hAnsi="宋体" w:cs="宋体"/>
          <w:sz w:val="24"/>
          <w:highlight w:val="none"/>
        </w:rPr>
        <w:t>一、磋商函</w:t>
      </w:r>
    </w:p>
    <w:p>
      <w:pPr>
        <w:kinsoku w:val="0"/>
        <w:spacing w:line="460" w:lineRule="exact"/>
        <w:ind w:firstLine="480" w:firstLineChars="200"/>
        <w:rPr>
          <w:rFonts w:ascii="宋体" w:hAnsi="宋体" w:cs="宋体"/>
          <w:sz w:val="24"/>
          <w:highlight w:val="none"/>
        </w:rPr>
      </w:pPr>
      <w:r>
        <w:rPr>
          <w:rFonts w:hint="eastAsia" w:ascii="宋体" w:hAnsi="宋体" w:cs="宋体"/>
          <w:sz w:val="24"/>
          <w:highlight w:val="none"/>
        </w:rPr>
        <w:t>二、法定代表人身份证明</w:t>
      </w:r>
    </w:p>
    <w:p>
      <w:pPr>
        <w:kinsoku w:val="0"/>
        <w:spacing w:line="460" w:lineRule="exact"/>
        <w:ind w:firstLine="480" w:firstLineChars="200"/>
        <w:rPr>
          <w:rFonts w:ascii="宋体" w:hAnsi="宋体" w:cs="宋体"/>
          <w:sz w:val="24"/>
          <w:highlight w:val="none"/>
        </w:rPr>
      </w:pPr>
      <w:r>
        <w:rPr>
          <w:rFonts w:hint="eastAsia" w:ascii="宋体" w:hAnsi="宋体" w:cs="宋体"/>
          <w:sz w:val="24"/>
          <w:highlight w:val="none"/>
        </w:rPr>
        <w:t>三、法人授权委托书</w:t>
      </w:r>
    </w:p>
    <w:p>
      <w:pPr>
        <w:kinsoku w:val="0"/>
        <w:spacing w:line="460" w:lineRule="exact"/>
        <w:ind w:firstLine="480" w:firstLineChars="200"/>
        <w:rPr>
          <w:rFonts w:ascii="宋体" w:hAnsi="宋体" w:cs="宋体"/>
          <w:sz w:val="24"/>
          <w:highlight w:val="none"/>
        </w:rPr>
      </w:pPr>
      <w:r>
        <w:rPr>
          <w:rFonts w:hint="eastAsia" w:ascii="宋体" w:hAnsi="宋体" w:cs="宋体"/>
          <w:sz w:val="24"/>
          <w:highlight w:val="none"/>
        </w:rPr>
        <w:t>四、报价表</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五、近年承接的类似项目情况表</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六、项目实施方案</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七、商务和技术响应说明</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八、资格证明文件</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九、其他资料</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15.2 如果在磋商文件中没有允许提供备选方案，则每个供应商只允许提交一个磋商方案，否则，将按无效响磋商处理。</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pPr>
        <w:spacing w:line="460" w:lineRule="exact"/>
        <w:ind w:firstLine="120" w:firstLineChars="50"/>
        <w:rPr>
          <w:rFonts w:ascii="宋体" w:hAnsi="宋体" w:cs="宋体"/>
          <w:b/>
          <w:sz w:val="24"/>
          <w:highlight w:val="none"/>
        </w:rPr>
      </w:pPr>
      <w:r>
        <w:rPr>
          <w:rFonts w:hint="eastAsia" w:ascii="宋体" w:hAnsi="宋体" w:cs="宋体"/>
          <w:b/>
          <w:sz w:val="24"/>
          <w:highlight w:val="none"/>
        </w:rPr>
        <w:t>16.磋商报价</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16.1磋商报价是指项目达到正常使用条件下的所有费用，包括人员制作费、服务费、设备费、税费等一切相关费用，以磋商文件的内容和要求作为依据；</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16.2磋商供应商应在磋商响应文件中的响应报价表上，标明费用组成；任何有选择的报价不予接受；</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16.3磋商货币：人民币；单位：元（精确到小数点后两位）；</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16.4响应报价表应有法定代表人或被授权人的签字；</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16.5合同价格：经磋商小组确认的某一磋商供应商的最终报价，在合同执行过程中是固定不变的，不受外汇汇率及市场价格变化的影响；</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16.6凡因磋商供应商对磋商文件阅读不深、理解不透、误解、疏漏、或因市场行情了解不清造成的后果和风险均由磋商供应商自负；</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16.7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可以取消该磋商供应商的成交候选资格。</w:t>
      </w:r>
    </w:p>
    <w:p>
      <w:pPr>
        <w:spacing w:line="460" w:lineRule="exact"/>
        <w:ind w:firstLine="120" w:firstLineChars="50"/>
        <w:rPr>
          <w:rFonts w:ascii="宋体" w:hAnsi="宋体" w:cs="宋体"/>
          <w:b/>
          <w:sz w:val="24"/>
          <w:highlight w:val="none"/>
        </w:rPr>
      </w:pPr>
      <w:r>
        <w:rPr>
          <w:rFonts w:hint="eastAsia" w:ascii="宋体" w:hAnsi="宋体" w:cs="宋体"/>
          <w:b/>
          <w:sz w:val="24"/>
          <w:highlight w:val="none"/>
        </w:rPr>
        <w:t>17.证明供应商合格的资格证明文件</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17.1供应商应按照磋商文件“供应商须知前附表”的要求，在磋商响应文件中提交合格的资格证明文件。如果资格证明文件不全或不合格的，将按无效磋商处理。</w:t>
      </w:r>
    </w:p>
    <w:p>
      <w:pPr>
        <w:spacing w:line="460" w:lineRule="exact"/>
        <w:ind w:firstLine="120" w:firstLineChars="50"/>
        <w:rPr>
          <w:rFonts w:ascii="宋体" w:hAnsi="宋体" w:cs="宋体"/>
          <w:b/>
          <w:sz w:val="24"/>
          <w:highlight w:val="none"/>
        </w:rPr>
      </w:pPr>
      <w:r>
        <w:rPr>
          <w:rFonts w:hint="eastAsia" w:ascii="宋体" w:hAnsi="宋体" w:cs="宋体"/>
          <w:b/>
          <w:sz w:val="24"/>
          <w:highlight w:val="none"/>
        </w:rPr>
        <w:t>18.证明标的物的合格性和符合磋商文件规定的文件</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18.2上述证明文件可以是文字资料、图纸、图片和数据，它包括：</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18.2.1设备参数、实施方案、服务期、付款方式等方面的详细说明；</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18.2.2 逐条对磋商文件提出的技术要求和商务要求进行应答，说明所提供的货物及服务对磋商的技术和商务要求是否做出了实质性响应并提供支持文件。</w:t>
      </w:r>
    </w:p>
    <w:p>
      <w:pPr>
        <w:spacing w:line="460" w:lineRule="exact"/>
        <w:ind w:firstLine="120" w:firstLineChars="50"/>
        <w:rPr>
          <w:rFonts w:ascii="宋体" w:hAnsi="宋体" w:cs="宋体"/>
          <w:b/>
          <w:sz w:val="24"/>
          <w:highlight w:val="none"/>
        </w:rPr>
      </w:pPr>
      <w:r>
        <w:rPr>
          <w:rFonts w:hint="eastAsia" w:ascii="宋体" w:hAnsi="宋体" w:cs="宋体"/>
          <w:b/>
          <w:sz w:val="24"/>
          <w:highlight w:val="none"/>
        </w:rPr>
        <w:t>19.磋商保证金</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19.1保证金是用于保护本次磋商免受磋商供应商的行为而引起的风险。</w:t>
      </w:r>
    </w:p>
    <w:p>
      <w:pPr>
        <w:spacing w:line="460" w:lineRule="exact"/>
        <w:ind w:firstLine="480" w:firstLineChars="200"/>
        <w:rPr>
          <w:rFonts w:ascii="宋体" w:hAnsi="宋体" w:cs="宋体"/>
          <w:b/>
          <w:sz w:val="24"/>
          <w:highlight w:val="none"/>
        </w:rPr>
      </w:pPr>
      <w:r>
        <w:rPr>
          <w:rFonts w:hint="eastAsia" w:ascii="宋体" w:hAnsi="宋体" w:cs="宋体"/>
          <w:sz w:val="24"/>
          <w:highlight w:val="none"/>
        </w:rPr>
        <w:t>19.2磋商保证金由磋商供应商通过银行转账、电汇、支票等非现金形式缴纳。</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19.3未交纳、未足额交纳或未按规定时间交纳保证金的，将被视为自动放弃磋商权利。</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19.4提交保证金后，各磋商供应商须将其交纳保证金凭证复印件加盖供应商红章附在磋商响应文件中，否则视为无效响应文件。</w:t>
      </w:r>
    </w:p>
    <w:p>
      <w:pPr>
        <w:spacing w:line="460" w:lineRule="exact"/>
        <w:ind w:firstLine="482" w:firstLineChars="200"/>
        <w:rPr>
          <w:rFonts w:ascii="宋体" w:hAnsi="宋体" w:cs="宋体"/>
          <w:b/>
          <w:bCs/>
          <w:sz w:val="24"/>
          <w:highlight w:val="none"/>
        </w:rPr>
      </w:pPr>
      <w:r>
        <w:rPr>
          <w:rFonts w:hint="eastAsia" w:ascii="宋体" w:hAnsi="宋体" w:cs="宋体"/>
          <w:b/>
          <w:bCs/>
          <w:sz w:val="24"/>
          <w:highlight w:val="none"/>
        </w:rPr>
        <w:t>19.5磋商保证金退还:</w:t>
      </w:r>
    </w:p>
    <w:p>
      <w:pPr>
        <w:spacing w:line="460" w:lineRule="exact"/>
        <w:ind w:firstLine="241" w:firstLineChars="100"/>
        <w:rPr>
          <w:rFonts w:ascii="宋体" w:hAnsi="宋体" w:cs="宋体"/>
          <w:b/>
          <w:sz w:val="24"/>
          <w:highlight w:val="none"/>
        </w:rPr>
      </w:pPr>
      <w:r>
        <w:rPr>
          <w:rFonts w:hint="eastAsia" w:ascii="宋体" w:hAnsi="宋体" w:cs="宋体"/>
          <w:b/>
          <w:sz w:val="24"/>
          <w:highlight w:val="none"/>
        </w:rPr>
        <w:t xml:space="preserve">A. 未成交供应商：成交通知书发放后5个工作日内退还； </w:t>
      </w:r>
    </w:p>
    <w:p>
      <w:pPr>
        <w:spacing w:line="460" w:lineRule="exact"/>
        <w:ind w:firstLine="241" w:firstLineChars="100"/>
        <w:rPr>
          <w:rFonts w:ascii="宋体" w:hAnsi="宋体" w:cs="宋体"/>
          <w:b/>
          <w:sz w:val="24"/>
          <w:highlight w:val="none"/>
        </w:rPr>
      </w:pPr>
      <w:r>
        <w:rPr>
          <w:rFonts w:hint="eastAsia" w:ascii="宋体" w:hAnsi="宋体" w:cs="宋体"/>
          <w:b/>
          <w:sz w:val="24"/>
          <w:highlight w:val="none"/>
        </w:rPr>
        <w:t>B. 成交供应商：成交供应商与采购单位签订合同后5个工作日内退还；（退还时，须向代理机构提供开户许可证复印件及合同原件壹份并加盖供应商公章）；</w:t>
      </w:r>
    </w:p>
    <w:p>
      <w:pPr>
        <w:spacing w:line="460" w:lineRule="exact"/>
        <w:ind w:firstLine="482" w:firstLineChars="200"/>
        <w:rPr>
          <w:rFonts w:ascii="宋体" w:hAnsi="宋体" w:cs="宋体"/>
          <w:sz w:val="24"/>
          <w:highlight w:val="none"/>
        </w:rPr>
      </w:pPr>
      <w:r>
        <w:rPr>
          <w:rFonts w:hint="eastAsia" w:ascii="宋体" w:hAnsi="宋体" w:cs="宋体"/>
          <w:b/>
          <w:sz w:val="24"/>
          <w:highlight w:val="none"/>
        </w:rPr>
        <w:t>以上供应商自身原因导致无法退还的除外。</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19.6发生下列情况之一，磋商保证金将不予退还：</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19.6.1供应商在递交磋商响应文件截止时间后，撤回磋商响应文件的或者擅自退出磋商活动的。</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19.6.2供应商成交后放弃成交或未能按规定签订合同、无正当理由不与采购人签订合同的或未能按规定交纳招标代理服务费或由于供应商的原因导致成交无效的。</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19.6.3将成交项目转让给他人，或者在磋商响应文件中未说明，且未经采购人和招标代理机构同意，将成交项目分包给他人的。</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19.6.4供应商在磋商响应文件中提供伪造、套改、虚假资料参与磋商的。</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19.6.5供应商不按法定程序进行质疑和投诉,捏造事实，查无实据，造成恶劣影响，导致采购活动无法正常进行的;</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19.6.6供应商在磋商响应文件中提供虚假材料的；</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19.6.7磋商文件规定的其他情形。</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19.7联合磋商的，可以由联合体中的主体提交磋商保证金，以一方名义提交磋商保证金，对联合体各方均具有约束力；</w:t>
      </w:r>
    </w:p>
    <w:p>
      <w:pPr>
        <w:spacing w:line="460" w:lineRule="exact"/>
        <w:ind w:firstLine="120" w:firstLineChars="50"/>
        <w:rPr>
          <w:rFonts w:ascii="宋体" w:hAnsi="宋体" w:cs="宋体"/>
          <w:b/>
          <w:sz w:val="24"/>
          <w:highlight w:val="none"/>
        </w:rPr>
      </w:pPr>
      <w:r>
        <w:rPr>
          <w:rFonts w:hint="eastAsia" w:ascii="宋体" w:hAnsi="宋体" w:cs="宋体"/>
          <w:b/>
          <w:sz w:val="24"/>
          <w:highlight w:val="none"/>
        </w:rPr>
        <w:t>20.磋商响应文件的有效期</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pPr>
        <w:spacing w:line="460" w:lineRule="exact"/>
        <w:ind w:firstLine="120" w:firstLineChars="50"/>
        <w:rPr>
          <w:rFonts w:ascii="宋体" w:hAnsi="宋体" w:cs="宋体"/>
          <w:b/>
          <w:sz w:val="24"/>
          <w:highlight w:val="none"/>
        </w:rPr>
      </w:pPr>
      <w:r>
        <w:rPr>
          <w:rFonts w:hint="eastAsia" w:ascii="宋体" w:hAnsi="宋体" w:cs="宋体"/>
          <w:b/>
          <w:sz w:val="24"/>
          <w:highlight w:val="none"/>
        </w:rPr>
        <w:t>21、磋商响应文件的签署及规定</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21.1磋商供应商须依据磋商文件内容和磋商响应文件格式的要求编制磋商响应文件；</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21.2磋商响应文件的正本和所有的副本均需打印或用不褪色的蓝（黑）墨水填写，注明“正本”“副本”字样。统一胶装、编码，在每一页的上方清楚标明页码等字样；</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21.3磋商响应文件份数，本次磋商需提交磋商响应文件共肆份，其中正本壹份，副本贰份，电子版磋商响应文件（U盘或移动硬盘，谢绝光盘）壹份；在封面标明“正本”、“副本”及“电子版磋商响应文件”字样；</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21.4磋商供应商在磋商响应文件中指定的页面落款处，必须按磋商文件要求加盖印章或签字；</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21.5磋商供应商名称应填写全称，同时加盖公章；</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21.6磋商响应文件的任何行间插字、涂改和增删，必须由法定代表人或被授权人在改动处旁签字方为有效；</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21.7磋商响应文件因字迹潦草或表达不清所引起的后果由磋商供应商负责。</w:t>
      </w:r>
    </w:p>
    <w:p>
      <w:pPr>
        <w:pStyle w:val="2"/>
        <w:spacing w:line="460" w:lineRule="exact"/>
        <w:ind w:firstLine="480" w:firstLineChars="200"/>
        <w:rPr>
          <w:rFonts w:ascii="宋体" w:hAnsi="宋体" w:cs="宋体"/>
          <w:color w:val="auto"/>
          <w:highlight w:val="none"/>
        </w:rPr>
      </w:pPr>
      <w:r>
        <w:rPr>
          <w:rFonts w:hint="eastAsia" w:ascii="宋体" w:hAnsi="宋体" w:cs="宋体"/>
          <w:color w:val="auto"/>
          <w:highlight w:val="none"/>
        </w:rPr>
        <w:t>21.8</w:t>
      </w:r>
      <w:r>
        <w:rPr>
          <w:rFonts w:hint="eastAsia" w:ascii="宋体" w:hAnsi="宋体" w:cs="宋体"/>
          <w:b/>
          <w:bCs/>
          <w:color w:val="auto"/>
          <w:highlight w:val="none"/>
        </w:rPr>
        <w:t>为响应国家环保号召，磋商响应文件建议采用双面打印。</w:t>
      </w:r>
    </w:p>
    <w:p>
      <w:pPr>
        <w:spacing w:line="460" w:lineRule="exact"/>
        <w:rPr>
          <w:rFonts w:ascii="宋体" w:hAnsi="宋体" w:cs="宋体"/>
          <w:b/>
          <w:sz w:val="24"/>
          <w:highlight w:val="none"/>
        </w:rPr>
      </w:pPr>
      <w:r>
        <w:rPr>
          <w:rFonts w:hint="eastAsia" w:ascii="宋体" w:hAnsi="宋体" w:cs="宋体"/>
          <w:b/>
          <w:sz w:val="24"/>
          <w:highlight w:val="none"/>
        </w:rPr>
        <w:t>22.文字要求</w:t>
      </w:r>
    </w:p>
    <w:p>
      <w:pPr>
        <w:spacing w:line="460" w:lineRule="exact"/>
        <w:ind w:firstLine="360" w:firstLineChars="150"/>
        <w:rPr>
          <w:rFonts w:ascii="宋体" w:hAnsi="宋体" w:cs="宋体"/>
          <w:sz w:val="24"/>
          <w:highlight w:val="none"/>
        </w:rPr>
      </w:pPr>
      <w:r>
        <w:rPr>
          <w:rFonts w:hint="eastAsia" w:ascii="宋体" w:hAnsi="宋体" w:cs="宋体"/>
          <w:sz w:val="24"/>
          <w:highlight w:val="none"/>
        </w:rPr>
        <w:t>本次磋商只接受简体中文文字的磋商响应文件。</w:t>
      </w:r>
    </w:p>
    <w:p>
      <w:pPr>
        <w:spacing w:line="360" w:lineRule="auto"/>
        <w:jc w:val="center"/>
        <w:outlineLvl w:val="1"/>
        <w:rPr>
          <w:rFonts w:ascii="宋体" w:hAnsi="宋体" w:cs="宋体"/>
          <w:sz w:val="30"/>
          <w:szCs w:val="30"/>
          <w:highlight w:val="none"/>
        </w:rPr>
      </w:pPr>
      <w:bookmarkStart w:id="31" w:name="_Toc20787"/>
      <w:r>
        <w:rPr>
          <w:rFonts w:hint="eastAsia" w:ascii="宋体" w:hAnsi="宋体" w:cs="宋体"/>
          <w:b/>
          <w:sz w:val="30"/>
          <w:szCs w:val="30"/>
          <w:highlight w:val="none"/>
        </w:rPr>
        <w:t>五．磋商响应文件封装、递交</w:t>
      </w:r>
      <w:bookmarkEnd w:id="28"/>
      <w:bookmarkEnd w:id="29"/>
      <w:bookmarkEnd w:id="30"/>
      <w:bookmarkEnd w:id="31"/>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23.磋商响应文件的封装及标记</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23.1</w:t>
      </w:r>
      <w:r>
        <w:rPr>
          <w:rFonts w:hint="eastAsia" w:ascii="宋体" w:hAnsi="宋体" w:cs="宋体"/>
          <w:spacing w:val="6"/>
          <w:sz w:val="24"/>
          <w:highlight w:val="none"/>
        </w:rPr>
        <w:t>磋商</w:t>
      </w:r>
      <w:r>
        <w:rPr>
          <w:rFonts w:hint="eastAsia" w:ascii="宋体" w:hAnsi="宋体" w:cs="宋体"/>
          <w:sz w:val="24"/>
          <w:highlight w:val="none"/>
        </w:rPr>
        <w:t>响应</w:t>
      </w:r>
      <w:r>
        <w:rPr>
          <w:rFonts w:hint="eastAsia" w:ascii="宋体" w:hAnsi="宋体" w:cs="宋体"/>
          <w:spacing w:val="6"/>
          <w:sz w:val="24"/>
          <w:highlight w:val="none"/>
        </w:rPr>
        <w:t>文件</w:t>
      </w:r>
      <w:r>
        <w:rPr>
          <w:rFonts w:hint="eastAsia" w:ascii="宋体" w:hAnsi="宋体" w:cs="宋体"/>
          <w:sz w:val="24"/>
          <w:highlight w:val="none"/>
        </w:rPr>
        <w:t>应按以下要求封装：</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23.1.1</w:t>
      </w:r>
      <w:r>
        <w:rPr>
          <w:rFonts w:hint="eastAsia" w:ascii="宋体" w:hAnsi="宋体" w:cs="宋体"/>
          <w:spacing w:val="6"/>
          <w:sz w:val="24"/>
          <w:highlight w:val="none"/>
        </w:rPr>
        <w:t>磋商供应商</w:t>
      </w:r>
      <w:r>
        <w:rPr>
          <w:rFonts w:hint="eastAsia" w:ascii="宋体" w:hAnsi="宋体" w:cs="宋体"/>
          <w:sz w:val="24"/>
          <w:highlight w:val="none"/>
        </w:rPr>
        <w:t>应将</w:t>
      </w:r>
      <w:r>
        <w:rPr>
          <w:rFonts w:hint="eastAsia" w:ascii="宋体" w:hAnsi="宋体" w:cs="宋体"/>
          <w:spacing w:val="6"/>
          <w:sz w:val="24"/>
          <w:highlight w:val="none"/>
        </w:rPr>
        <w:t>磋商响应文件</w:t>
      </w:r>
      <w:r>
        <w:rPr>
          <w:rFonts w:hint="eastAsia" w:ascii="宋体" w:hAnsi="宋体" w:cs="宋体"/>
          <w:sz w:val="24"/>
          <w:highlight w:val="none"/>
        </w:rPr>
        <w:t>的正本、副本、电子版标书（U盘），</w:t>
      </w:r>
      <w:r>
        <w:rPr>
          <w:rFonts w:hint="eastAsia" w:ascii="宋体" w:hAnsi="宋体" w:cs="宋体"/>
          <w:b/>
          <w:bCs/>
          <w:sz w:val="24"/>
          <w:highlight w:val="none"/>
        </w:rPr>
        <w:t>用单独的封袋分装密封</w:t>
      </w:r>
      <w:r>
        <w:rPr>
          <w:rFonts w:hint="eastAsia" w:ascii="宋体" w:hAnsi="宋体" w:cs="宋体"/>
          <w:sz w:val="24"/>
          <w:highlight w:val="none"/>
        </w:rPr>
        <w:t>（封袋不得有破损），在封袋上标明“正本”或“副本”及“电子版磋商响应文件”字样，封线处加盖</w:t>
      </w:r>
      <w:r>
        <w:rPr>
          <w:rFonts w:hint="eastAsia" w:ascii="宋体" w:hAnsi="宋体" w:cs="宋体"/>
          <w:spacing w:val="6"/>
          <w:sz w:val="24"/>
          <w:highlight w:val="none"/>
        </w:rPr>
        <w:t>磋商供应商</w:t>
      </w:r>
      <w:r>
        <w:rPr>
          <w:rFonts w:hint="eastAsia" w:ascii="宋体" w:hAnsi="宋体" w:cs="宋体"/>
          <w:sz w:val="24"/>
          <w:highlight w:val="none"/>
        </w:rPr>
        <w:t>公章，封袋正面要粘贴标识。</w:t>
      </w:r>
    </w:p>
    <w:p>
      <w:pPr>
        <w:spacing w:line="440" w:lineRule="exact"/>
        <w:ind w:firstLine="480" w:firstLineChars="200"/>
        <w:rPr>
          <w:rFonts w:ascii="宋体" w:hAnsi="宋体" w:cs="宋体"/>
          <w:b/>
          <w:sz w:val="24"/>
          <w:highlight w:val="none"/>
        </w:rPr>
      </w:pPr>
      <w:r>
        <w:rPr>
          <w:rFonts w:hint="eastAsia" w:ascii="宋体" w:hAnsi="宋体" w:cs="宋体"/>
          <w:sz w:val="24"/>
          <w:highlight w:val="none"/>
        </w:rPr>
        <w:t>23.2如果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spacing w:line="440" w:lineRule="exact"/>
        <w:ind w:firstLine="120" w:firstLineChars="50"/>
        <w:rPr>
          <w:rFonts w:ascii="宋体" w:hAnsi="宋体" w:cs="宋体"/>
          <w:sz w:val="24"/>
          <w:highlight w:val="none"/>
        </w:rPr>
      </w:pPr>
      <w:r>
        <w:rPr>
          <w:rFonts w:hint="eastAsia" w:ascii="宋体" w:hAnsi="宋体" w:cs="宋体"/>
          <w:b/>
          <w:sz w:val="24"/>
          <w:highlight w:val="none"/>
        </w:rPr>
        <w:t>24.磋商响应文件递交</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24.1磋商供应商必须在磋商文件规定的时间和地点，将全部磋商响应文件递交至采购代理机构项目承办人；</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24.2采购代理机构项目承办人在磋商文件规定的磋商响应文件递交截止时间前，只负责磋商响应文件的接收、清点、造册登记工作，并请法定代表人或被授权人签字确认，对其有效性不负任何责任；</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24.3采购代理机构在宣布递交磋商响应文件时间截止之后，拒绝接收任何人送达、递交的磋商响应文件；</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24.4以邮寄方式递交磋商响应文件的，其磋商响应文件将按照无效处理。</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24.5无论磋商供应商成交与否或者废标，其磋商响应文件恕不退还。</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25.磋商响应文件递交截止时间</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25.1磋商供应商</w:t>
      </w:r>
      <w:r>
        <w:rPr>
          <w:rFonts w:hint="eastAsia" w:ascii="宋体" w:hAnsi="宋体" w:cs="宋体"/>
          <w:spacing w:val="6"/>
          <w:sz w:val="24"/>
          <w:highlight w:val="none"/>
        </w:rPr>
        <w:t>必须在磋商文件规定的递交截止时间之前递交磋商响应文件，</w:t>
      </w:r>
      <w:r>
        <w:rPr>
          <w:rFonts w:hint="eastAsia" w:ascii="宋体" w:hAnsi="宋体" w:cs="宋体"/>
          <w:sz w:val="24"/>
          <w:highlight w:val="none"/>
        </w:rPr>
        <w:t>采购代理机构在截止时间后拒绝接收任何磋商响应文件。</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25.2采购代理机构因采购人推迟磋商截止时间时，应以书面（或传真）的形式，通知所有磋商供应商；在这种情况下，采购代理机构和磋商供应商的权利和义务将受到新的截止期的约束。</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26.磋商响应文件的修改和撤回</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26.1磋商响应文件递交后，如果磋商供应商提出书面修改和撤回磋商响应文件要求，在磋商截止时间前以书面形式送达采购代理机构；</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26.2磋商供应商修改磋商响应文件的书面材料，须密封送达采购代理机构，修改或补充的内容应按磋商文件要求签署、盖章、密封、标记，并作为磋商响应文件的组成部分；</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26.4在磋商截止时间后到磋商文件规定的磋商有效期满之间的这段时间内，磋商供应商不得撤回其磋商响应文件；</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26.5磋商供应商在磋商响应文件递交截止时间后，不得对其磋商响应文件做任何修改。</w:t>
      </w:r>
    </w:p>
    <w:p>
      <w:pPr>
        <w:pStyle w:val="5"/>
        <w:rPr>
          <w:rFonts w:ascii="宋体" w:hAnsi="宋体" w:cs="宋体"/>
          <w:sz w:val="32"/>
          <w:highlight w:val="none"/>
        </w:rPr>
      </w:pPr>
      <w:bookmarkStart w:id="32" w:name="_Toc519156742"/>
      <w:bookmarkStart w:id="33" w:name="_Toc21830"/>
      <w:bookmarkStart w:id="34" w:name="_Toc29321"/>
      <w:bookmarkStart w:id="35" w:name="_Toc32447"/>
      <w:r>
        <w:rPr>
          <w:rFonts w:hint="eastAsia" w:ascii="宋体" w:hAnsi="宋体" w:cs="宋体"/>
          <w:sz w:val="32"/>
          <w:highlight w:val="none"/>
        </w:rPr>
        <w:t>六．磋商、澄清、成交</w:t>
      </w:r>
      <w:bookmarkEnd w:id="32"/>
      <w:bookmarkEnd w:id="33"/>
      <w:bookmarkEnd w:id="34"/>
      <w:bookmarkEnd w:id="35"/>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27.磋商小组和磋商评审原则</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27.1按照《</w:t>
      </w:r>
      <w:r>
        <w:rPr>
          <w:rFonts w:hint="eastAsia" w:ascii="宋体" w:hAnsi="宋体" w:cs="宋体"/>
          <w:sz w:val="24"/>
          <w:highlight w:val="none"/>
        </w:rPr>
        <w:t>中华人民共和国</w:t>
      </w:r>
      <w:r>
        <w:rPr>
          <w:rFonts w:hint="eastAsia" w:ascii="宋体" w:hAnsi="宋体" w:cs="宋体"/>
          <w:bCs/>
          <w:sz w:val="24"/>
          <w:highlight w:val="none"/>
        </w:rPr>
        <w:t>政府采购法》、中华人民共和国2015年第658号国务院令--《中华人民共和国政府采购法实施条例》和中华人民共和国财政部财库[2014]214号《政府采购竞争性磋商采购方式管理暂行办法》的规定，采购机构将依法组建竞争性磋商小组，依法进行磋商和评审工作。</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27.2磋商文件和供应商的响应文件是评审的依据。</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28.磋商及评审程序</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28.1采购代理</w:t>
      </w:r>
      <w:r>
        <w:rPr>
          <w:rFonts w:hint="eastAsia" w:ascii="宋体" w:hAnsi="宋体" w:cs="宋体"/>
          <w:sz w:val="24"/>
          <w:highlight w:val="none"/>
        </w:rPr>
        <w:t>机构</w:t>
      </w:r>
      <w:r>
        <w:rPr>
          <w:rFonts w:hint="eastAsia" w:ascii="宋体" w:hAnsi="宋体" w:cs="宋体"/>
          <w:bCs/>
          <w:sz w:val="24"/>
          <w:highlight w:val="none"/>
        </w:rPr>
        <w:t>在规定的时间和地点组织磋商。</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28.2本次磋商的报价次数、磋商程序和最终报价的产生原则见“磋商须知前附表”的规定。</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28.4磋商小组所有成员集中与单一供应商分别进行磋商，并给予所有参加磋商的供应商平等的磋商机会。</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28.5在磋商过程中，磋商小组可以根据磋商文件和磋商情况实质性变动采购需求中的技术、服务要求以及合同草案条款。所有变动内容均是磋商文件的有效组成部分，磋商小组将以书面形式同时通知所有参加磋商的供应商。</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28.6参加磋商的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28.7磋商结束后，磋商小组要求所有继续参加磋商的供应商在规定时间内提交最后报价，最后报价是供应商响应文件的有效组成部分。</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28.8已提交响应文件的供应商，在提交最后报价之前，可以根据磋商情况退出磋商。采购机构将退还退出磋商的供应商的保证金。</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29.评审过程的保密</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29.1竞争性</w:t>
      </w:r>
      <w:r>
        <w:rPr>
          <w:rFonts w:hint="eastAsia" w:ascii="宋体" w:hAnsi="宋体" w:cs="宋体"/>
          <w:sz w:val="24"/>
          <w:highlight w:val="none"/>
        </w:rPr>
        <w:t>磋商</w:t>
      </w:r>
      <w:r>
        <w:rPr>
          <w:rFonts w:hint="eastAsia" w:ascii="宋体" w:hAnsi="宋体" w:cs="宋体"/>
          <w:bCs/>
          <w:sz w:val="24"/>
          <w:highlight w:val="none"/>
        </w:rPr>
        <w:t>小组成员和与评审活动有关的工作人员不得泄露有关磋商响应文件的评审和比较、成交候选人的推荐以及与评审有关的其他情况。</w:t>
      </w:r>
    </w:p>
    <w:p>
      <w:pPr>
        <w:spacing w:line="440" w:lineRule="exact"/>
        <w:ind w:firstLine="480" w:firstLineChars="200"/>
        <w:rPr>
          <w:rFonts w:ascii="宋体" w:hAnsi="宋体" w:cs="宋体"/>
          <w:bCs/>
          <w:sz w:val="24"/>
          <w:highlight w:val="none"/>
        </w:rPr>
      </w:pPr>
      <w:r>
        <w:rPr>
          <w:rFonts w:hint="eastAsia" w:ascii="宋体" w:hAnsi="宋体" w:cs="宋体"/>
          <w:bCs/>
          <w:sz w:val="24"/>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pPr>
        <w:spacing w:line="440" w:lineRule="exact"/>
        <w:ind w:firstLine="120" w:firstLineChars="50"/>
        <w:rPr>
          <w:rFonts w:ascii="宋体" w:hAnsi="宋体" w:cs="宋体"/>
          <w:b/>
          <w:sz w:val="24"/>
          <w:highlight w:val="none"/>
        </w:rPr>
      </w:pPr>
      <w:r>
        <w:rPr>
          <w:rFonts w:hint="eastAsia" w:ascii="宋体" w:hAnsi="宋体" w:cs="宋体"/>
          <w:b/>
          <w:sz w:val="24"/>
          <w:highlight w:val="none"/>
        </w:rPr>
        <w:t>30．评审方法</w:t>
      </w:r>
    </w:p>
    <w:p>
      <w:pPr>
        <w:spacing w:line="440" w:lineRule="exact"/>
        <w:ind w:firstLine="480" w:firstLineChars="200"/>
        <w:rPr>
          <w:rFonts w:ascii="宋体" w:hAnsi="宋体" w:cs="宋体"/>
          <w:b/>
          <w:sz w:val="22"/>
          <w:szCs w:val="22"/>
          <w:highlight w:val="none"/>
        </w:rPr>
      </w:pPr>
      <w:r>
        <w:rPr>
          <w:rFonts w:hint="eastAsia" w:ascii="宋体" w:hAnsi="宋体" w:cs="宋体"/>
          <w:bCs/>
          <w:sz w:val="24"/>
          <w:highlight w:val="none"/>
        </w:rPr>
        <w:t>30.1按照</w:t>
      </w:r>
      <w:r>
        <w:rPr>
          <w:rFonts w:hint="eastAsia" w:ascii="宋体" w:hAnsi="宋体" w:cs="宋体"/>
          <w:sz w:val="24"/>
          <w:highlight w:val="none"/>
        </w:rPr>
        <w:t>中华人民共和国</w:t>
      </w:r>
      <w:r>
        <w:rPr>
          <w:rFonts w:hint="eastAsia" w:ascii="宋体" w:hAnsi="宋体" w:cs="宋体"/>
          <w:bCs/>
          <w:sz w:val="24"/>
          <w:highlight w:val="none"/>
        </w:rPr>
        <w:t>财政部财库[2014]214号《政府采购竞争性磋商采购方式管理暂行办法》的规定，磋商小组根据综合评分情况，按照评审得分由高到低顺序推荐3名成交候选供应商。</w:t>
      </w:r>
    </w:p>
    <w:p>
      <w:pPr>
        <w:pStyle w:val="5"/>
        <w:rPr>
          <w:rFonts w:ascii="宋体" w:hAnsi="宋体" w:cs="宋体"/>
          <w:sz w:val="32"/>
          <w:highlight w:val="none"/>
        </w:rPr>
      </w:pPr>
      <w:bookmarkStart w:id="36" w:name="_Toc22120"/>
      <w:bookmarkStart w:id="37" w:name="_Toc6759"/>
      <w:bookmarkStart w:id="38" w:name="_Toc21838"/>
      <w:bookmarkStart w:id="39" w:name="_Toc519156743"/>
      <w:r>
        <w:rPr>
          <w:rFonts w:hint="eastAsia" w:ascii="宋体" w:hAnsi="宋体" w:cs="宋体"/>
          <w:sz w:val="32"/>
          <w:highlight w:val="none"/>
        </w:rPr>
        <w:t>七.确定成交人、成交通知与签约</w:t>
      </w:r>
      <w:bookmarkEnd w:id="36"/>
      <w:bookmarkEnd w:id="37"/>
      <w:bookmarkEnd w:id="38"/>
      <w:bookmarkEnd w:id="39"/>
    </w:p>
    <w:p>
      <w:pPr>
        <w:spacing w:line="440" w:lineRule="exact"/>
        <w:rPr>
          <w:rFonts w:ascii="宋体" w:hAnsi="宋体" w:cs="宋体"/>
          <w:b/>
          <w:sz w:val="24"/>
          <w:highlight w:val="none"/>
        </w:rPr>
      </w:pPr>
      <w:r>
        <w:rPr>
          <w:rFonts w:hint="eastAsia" w:ascii="宋体" w:hAnsi="宋体" w:cs="宋体"/>
          <w:b/>
          <w:sz w:val="24"/>
          <w:highlight w:val="none"/>
        </w:rPr>
        <w:t>31．确定成交人</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31.1磋商小组根据评审方法的规定对磋商供应商进行评审排序，推荐成交候选人，形成评审报告。评审报告由磋商小组成员签字确认。</w:t>
      </w:r>
    </w:p>
    <w:p>
      <w:pPr>
        <w:spacing w:line="440" w:lineRule="exact"/>
        <w:ind w:firstLine="480" w:firstLineChars="200"/>
        <w:rPr>
          <w:rFonts w:ascii="宋体" w:hAnsi="宋体" w:cs="宋体"/>
          <w:kern w:val="0"/>
          <w:sz w:val="24"/>
          <w:highlight w:val="none"/>
        </w:rPr>
      </w:pPr>
      <w:r>
        <w:rPr>
          <w:rFonts w:hint="eastAsia" w:ascii="宋体" w:hAnsi="宋体" w:cs="宋体"/>
          <w:sz w:val="24"/>
          <w:highlight w:val="none"/>
        </w:rPr>
        <w:t>31.2采购人</w:t>
      </w:r>
      <w:r>
        <w:rPr>
          <w:rFonts w:hint="eastAsia" w:ascii="宋体" w:hAnsi="宋体" w:cs="宋体"/>
          <w:kern w:val="0"/>
          <w:sz w:val="24"/>
          <w:highlight w:val="none"/>
        </w:rPr>
        <w:t>从评审报告提出的成交候选供应商中，按照排序由高到低的原则确定成交供应商。</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31.3采购人也可以书面授权磋商小组直接确定成交供应商。</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31.4采购人或者采购代理机构应当在成交供应商确定后2个工作日内，在省级以上财政部门指定的政府采购信息发布媒体上公告成交结果，同时向成交供应商发出成交通知书，并将磋商文件随成交结果同时公告。</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31.5磋商供应商对成交公告有异议的，按照《中华人民共和国政府采购法》第五十二条之有关规定执行。提出质疑的磋商供应商应当有明确的请求和必要的证明材料，应保证提出的质疑内容及相应证明材料的真实性及来源的合法性，并承担相应的法律责任。</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31.6成交供应商拒绝与采购人签订合同的，采购人可以按照评审报告推荐的成交候选人名单排序，确定下一候选人为成交供应商，也可以重新开展政府采购活动。</w:t>
      </w:r>
    </w:p>
    <w:p>
      <w:pPr>
        <w:spacing w:line="440" w:lineRule="exact"/>
        <w:rPr>
          <w:rFonts w:ascii="宋体" w:hAnsi="宋体" w:cs="宋体"/>
          <w:b/>
          <w:sz w:val="24"/>
          <w:highlight w:val="none"/>
        </w:rPr>
      </w:pPr>
      <w:r>
        <w:rPr>
          <w:rFonts w:hint="eastAsia" w:ascii="宋体" w:hAnsi="宋体" w:cs="宋体"/>
          <w:b/>
          <w:sz w:val="24"/>
          <w:highlight w:val="none"/>
        </w:rPr>
        <w:t>32．成交通知</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32.1 成交供应商确定之后，采购代理机构将发出《成交通知书》。 </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32.2成交通知书对采购人和成交供应商具有同等法律效力。成交通知书发出之后，采购人改变成交结果，或者成交供应商放弃成交，应当承担相应的法律责任。</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32.3 成交通知书发出后五个工作日内，采购代理机构将通知未成交的磋商供应商，并退还其磋商保证金。成交人的磋商保证金将在合同签订之后五个工作日内退还。</w:t>
      </w:r>
    </w:p>
    <w:p>
      <w:pPr>
        <w:spacing w:line="440" w:lineRule="exact"/>
        <w:rPr>
          <w:rFonts w:ascii="宋体" w:hAnsi="宋体" w:cs="宋体"/>
          <w:b/>
          <w:sz w:val="24"/>
          <w:highlight w:val="none"/>
        </w:rPr>
      </w:pPr>
      <w:r>
        <w:rPr>
          <w:rFonts w:hint="eastAsia" w:ascii="宋体" w:hAnsi="宋体" w:cs="宋体"/>
          <w:b/>
          <w:sz w:val="24"/>
          <w:highlight w:val="none"/>
        </w:rPr>
        <w:t>33．签订合同</w:t>
      </w:r>
    </w:p>
    <w:p>
      <w:pPr>
        <w:spacing w:line="440" w:lineRule="exact"/>
        <w:ind w:firstLine="482" w:firstLineChars="200"/>
        <w:rPr>
          <w:rFonts w:ascii="宋体" w:hAnsi="宋体" w:cs="宋体"/>
          <w:sz w:val="24"/>
          <w:highlight w:val="none"/>
        </w:rPr>
      </w:pPr>
      <w:r>
        <w:rPr>
          <w:rFonts w:hint="eastAsia" w:ascii="宋体" w:hAnsi="宋体" w:cs="宋体"/>
          <w:b/>
          <w:bCs/>
          <w:sz w:val="24"/>
          <w:highlight w:val="none"/>
        </w:rPr>
        <w:t>33.1</w:t>
      </w:r>
      <w:r>
        <w:rPr>
          <w:rFonts w:hint="eastAsia" w:ascii="宋体" w:hAnsi="宋体" w:cs="宋体"/>
          <w:sz w:val="24"/>
          <w:highlight w:val="none"/>
        </w:rPr>
        <w:t>成交供应商在采购代理机构发出成交通知书后三十个日内，按磋商文件的要求与采购人洽谈合同条款，并签订合同，同时送监督机构备案，磋商文件及成交供应商的磋商响应文件均作为合同的组成部分；</w:t>
      </w:r>
    </w:p>
    <w:p>
      <w:pPr>
        <w:spacing w:line="440" w:lineRule="exact"/>
        <w:ind w:firstLine="482" w:firstLineChars="200"/>
        <w:rPr>
          <w:rFonts w:ascii="宋体" w:hAnsi="宋体" w:cs="宋体"/>
          <w:sz w:val="24"/>
          <w:highlight w:val="none"/>
        </w:rPr>
      </w:pPr>
      <w:r>
        <w:rPr>
          <w:rFonts w:hint="eastAsia" w:ascii="宋体" w:hAnsi="宋体" w:cs="宋体"/>
          <w:b/>
          <w:bCs/>
          <w:sz w:val="24"/>
          <w:highlight w:val="none"/>
        </w:rPr>
        <w:t>33.2</w:t>
      </w:r>
      <w:r>
        <w:rPr>
          <w:rFonts w:hint="eastAsia" w:ascii="宋体" w:hAnsi="宋体" w:cs="宋体"/>
          <w:sz w:val="24"/>
          <w:highlight w:val="none"/>
        </w:rPr>
        <w:t>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pacing w:line="440" w:lineRule="exact"/>
        <w:ind w:firstLine="482" w:firstLineChars="200"/>
        <w:rPr>
          <w:rFonts w:ascii="宋体" w:hAnsi="宋体" w:cs="宋体"/>
          <w:sz w:val="24"/>
          <w:highlight w:val="none"/>
        </w:rPr>
      </w:pPr>
      <w:r>
        <w:rPr>
          <w:rFonts w:hint="eastAsia" w:ascii="宋体" w:hAnsi="宋体" w:cs="宋体"/>
          <w:b/>
          <w:bCs/>
          <w:sz w:val="24"/>
          <w:highlight w:val="none"/>
        </w:rPr>
        <w:t>33.3</w:t>
      </w:r>
      <w:r>
        <w:rPr>
          <w:rFonts w:hint="eastAsia" w:ascii="宋体" w:hAnsi="宋体" w:cs="宋体"/>
          <w:sz w:val="24"/>
          <w:highlight w:val="none"/>
        </w:rPr>
        <w:t>根据需要，采购代理机构可会同采购人负责监督、协调和处理履约过程中出现的问题；</w:t>
      </w:r>
    </w:p>
    <w:p>
      <w:pPr>
        <w:spacing w:line="440" w:lineRule="exact"/>
        <w:rPr>
          <w:rFonts w:ascii="宋体" w:hAnsi="宋体" w:cs="宋体"/>
          <w:b/>
          <w:sz w:val="24"/>
          <w:highlight w:val="none"/>
        </w:rPr>
      </w:pPr>
      <w:r>
        <w:rPr>
          <w:rFonts w:hint="eastAsia" w:ascii="宋体" w:hAnsi="宋体" w:cs="宋体"/>
          <w:b/>
          <w:sz w:val="24"/>
          <w:highlight w:val="none"/>
        </w:rPr>
        <w:t>34．成交合同的履约验收</w:t>
      </w:r>
    </w:p>
    <w:p>
      <w:pPr>
        <w:spacing w:line="440" w:lineRule="exact"/>
        <w:ind w:firstLine="480" w:firstLineChars="200"/>
        <w:rPr>
          <w:rFonts w:ascii="宋体" w:hAnsi="宋体" w:cs="宋体"/>
          <w:sz w:val="28"/>
          <w:szCs w:val="28"/>
          <w:highlight w:val="none"/>
        </w:rPr>
      </w:pPr>
      <w:r>
        <w:rPr>
          <w:rFonts w:hint="eastAsia" w:ascii="宋体" w:hAnsi="宋体" w:cs="宋体"/>
          <w:sz w:val="24"/>
          <w:highlight w:val="none"/>
        </w:rPr>
        <w:t>34.1成交供应商按照政府采购合同规定的技术、服务、安全标准，提交系统维护及合同履约情况总结报告，并经采购人确认。</w:t>
      </w:r>
    </w:p>
    <w:p>
      <w:pPr>
        <w:pStyle w:val="5"/>
        <w:rPr>
          <w:rFonts w:ascii="宋体" w:hAnsi="宋体" w:cs="宋体"/>
          <w:sz w:val="32"/>
          <w:highlight w:val="none"/>
        </w:rPr>
      </w:pPr>
      <w:bookmarkStart w:id="40" w:name="_Toc5011"/>
      <w:bookmarkStart w:id="41" w:name="_Toc23716"/>
      <w:bookmarkStart w:id="42" w:name="_Toc3550"/>
      <w:bookmarkStart w:id="43" w:name="_Toc519156745"/>
      <w:bookmarkStart w:id="44" w:name="_Toc23647"/>
      <w:r>
        <w:rPr>
          <w:rFonts w:hint="eastAsia" w:ascii="宋体" w:hAnsi="宋体" w:cs="宋体"/>
          <w:sz w:val="32"/>
          <w:highlight w:val="none"/>
        </w:rPr>
        <w:t>八．成交服务费</w:t>
      </w:r>
      <w:bookmarkEnd w:id="40"/>
      <w:bookmarkEnd w:id="41"/>
      <w:bookmarkEnd w:id="42"/>
      <w:bookmarkEnd w:id="43"/>
      <w:bookmarkEnd w:id="44"/>
    </w:p>
    <w:p>
      <w:pPr>
        <w:spacing w:line="600" w:lineRule="exact"/>
        <w:jc w:val="left"/>
        <w:rPr>
          <w:rFonts w:hint="eastAsia" w:ascii="宋体" w:hAnsi="宋体" w:cs="宋体"/>
          <w:sz w:val="24"/>
          <w:highlight w:val="none"/>
        </w:rPr>
      </w:pPr>
      <w:r>
        <w:rPr>
          <w:rFonts w:hint="eastAsia" w:ascii="宋体" w:hAnsi="宋体" w:cs="宋体"/>
          <w:b/>
          <w:bCs/>
          <w:sz w:val="24"/>
          <w:highlight w:val="none"/>
        </w:rPr>
        <w:t>35.</w:t>
      </w:r>
      <w:r>
        <w:rPr>
          <w:rFonts w:hint="eastAsia" w:ascii="宋体" w:hAnsi="宋体" w:cs="宋体"/>
          <w:sz w:val="24"/>
          <w:highlight w:val="none"/>
        </w:rPr>
        <w:t>代理收费依据陕西省公路局关于202</w:t>
      </w:r>
      <w:r>
        <w:rPr>
          <w:rFonts w:hint="eastAsia" w:ascii="宋体" w:hAnsi="宋体" w:cs="宋体"/>
          <w:sz w:val="24"/>
          <w:highlight w:val="none"/>
          <w:lang w:val="en-US" w:eastAsia="zh-CN"/>
        </w:rPr>
        <w:t>3</w:t>
      </w:r>
      <w:r>
        <w:rPr>
          <w:rFonts w:hint="eastAsia" w:ascii="宋体" w:hAnsi="宋体" w:cs="宋体"/>
          <w:sz w:val="24"/>
          <w:highlight w:val="none"/>
        </w:rPr>
        <w:t>年度部分政府采购项目委托代理服务竞价结果（合同编号：</w:t>
      </w:r>
      <w:r>
        <w:rPr>
          <w:rFonts w:hint="eastAsia" w:ascii="宋体" w:hAnsi="宋体" w:cs="宋体"/>
          <w:sz w:val="24"/>
          <w:highlight w:val="none"/>
          <w:lang w:val="en-US" w:eastAsia="zh-CN"/>
        </w:rPr>
        <w:t>SXSGLJ2023018</w:t>
      </w:r>
      <w:r>
        <w:rPr>
          <w:rFonts w:hint="eastAsia" w:ascii="宋体" w:hAnsi="宋体" w:cs="宋体"/>
          <w:sz w:val="24"/>
          <w:highlight w:val="none"/>
        </w:rPr>
        <w:t>），本项目代理服务费：</w:t>
      </w:r>
    </w:p>
    <w:p>
      <w:pPr>
        <w:spacing w:line="360" w:lineRule="auto"/>
        <w:jc w:val="left"/>
        <w:rPr>
          <w:rFonts w:ascii="宋体" w:hAnsi="宋体" w:cs="宋体"/>
          <w:sz w:val="24"/>
          <w:highlight w:val="none"/>
        </w:rPr>
      </w:pPr>
      <w:r>
        <w:rPr>
          <w:rFonts w:hint="eastAsia" w:ascii="宋体" w:hAnsi="宋体" w:cs="宋体"/>
          <w:sz w:val="24"/>
          <w:highlight w:val="none"/>
          <w:lang w:val="en-US" w:eastAsia="zh-CN"/>
        </w:rPr>
        <w:t>JC-1</w:t>
      </w:r>
      <w:r>
        <w:rPr>
          <w:rFonts w:hint="eastAsia" w:ascii="宋体" w:hAnsi="宋体" w:cs="宋体"/>
          <w:sz w:val="24"/>
          <w:highlight w:val="none"/>
          <w:lang w:eastAsia="zh-CN"/>
        </w:rPr>
        <w:t>包</w:t>
      </w:r>
      <w:r>
        <w:rPr>
          <w:rFonts w:hint="eastAsia" w:ascii="宋体" w:hAnsi="宋体" w:cs="宋体"/>
          <w:sz w:val="24"/>
          <w:highlight w:val="none"/>
        </w:rPr>
        <w:t>:</w:t>
      </w:r>
      <w:r>
        <w:rPr>
          <w:rFonts w:hint="eastAsia" w:ascii="宋体" w:hAnsi="宋体" w:cs="宋体"/>
          <w:sz w:val="24"/>
          <w:highlight w:val="none"/>
          <w:lang w:eastAsia="zh-CN"/>
        </w:rPr>
        <w:t>人民币</w:t>
      </w:r>
      <w:r>
        <w:rPr>
          <w:rFonts w:hint="eastAsia" w:ascii="宋体" w:hAnsi="宋体" w:cs="宋体"/>
          <w:sz w:val="24"/>
          <w:highlight w:val="none"/>
          <w:lang w:val="en-US" w:eastAsia="zh-CN"/>
        </w:rPr>
        <w:t>捌仟叁佰柒拾陆元整</w:t>
      </w:r>
      <w:r>
        <w:rPr>
          <w:rFonts w:hint="eastAsia" w:ascii="宋体" w:hAnsi="宋体" w:cs="宋体"/>
          <w:sz w:val="24"/>
          <w:highlight w:val="none"/>
        </w:rPr>
        <w:t>（￥</w:t>
      </w:r>
      <w:r>
        <w:rPr>
          <w:rFonts w:hint="eastAsia" w:ascii="宋体" w:hAnsi="宋体" w:cs="宋体"/>
          <w:sz w:val="24"/>
          <w:highlight w:val="none"/>
          <w:lang w:val="en-US" w:eastAsia="zh-CN"/>
        </w:rPr>
        <w:t>8376.00</w:t>
      </w:r>
      <w:r>
        <w:rPr>
          <w:rFonts w:hint="eastAsia" w:ascii="宋体" w:hAnsi="宋体" w:cs="宋体"/>
          <w:sz w:val="24"/>
          <w:highlight w:val="none"/>
        </w:rPr>
        <w:t>元）</w:t>
      </w:r>
    </w:p>
    <w:p>
      <w:pPr>
        <w:spacing w:line="360" w:lineRule="auto"/>
        <w:jc w:val="left"/>
        <w:rPr>
          <w:rFonts w:hint="eastAsia" w:ascii="宋体" w:hAnsi="宋体" w:cs="宋体"/>
          <w:sz w:val="24"/>
          <w:highlight w:val="none"/>
        </w:rPr>
      </w:pPr>
      <w:r>
        <w:rPr>
          <w:rFonts w:hint="eastAsia" w:ascii="宋体" w:hAnsi="宋体" w:cs="宋体"/>
          <w:sz w:val="24"/>
          <w:highlight w:val="none"/>
          <w:lang w:val="en-US" w:eastAsia="zh-CN"/>
        </w:rPr>
        <w:t>JC-2</w:t>
      </w:r>
      <w:r>
        <w:rPr>
          <w:rFonts w:hint="eastAsia" w:ascii="宋体" w:hAnsi="宋体" w:cs="宋体"/>
          <w:sz w:val="24"/>
          <w:highlight w:val="none"/>
          <w:lang w:eastAsia="zh-CN"/>
        </w:rPr>
        <w:t>包</w:t>
      </w:r>
      <w:r>
        <w:rPr>
          <w:rFonts w:hint="eastAsia" w:ascii="宋体" w:hAnsi="宋体" w:cs="宋体"/>
          <w:sz w:val="24"/>
          <w:highlight w:val="none"/>
        </w:rPr>
        <w:t>:</w:t>
      </w:r>
      <w:r>
        <w:rPr>
          <w:rFonts w:hint="eastAsia" w:ascii="宋体" w:hAnsi="宋体" w:cs="宋体"/>
          <w:sz w:val="24"/>
          <w:highlight w:val="none"/>
          <w:lang w:eastAsia="zh-CN"/>
        </w:rPr>
        <w:t>人民币</w:t>
      </w:r>
      <w:r>
        <w:rPr>
          <w:rFonts w:hint="eastAsia" w:ascii="宋体" w:hAnsi="宋体" w:cs="宋体"/>
          <w:sz w:val="24"/>
          <w:highlight w:val="none"/>
          <w:lang w:val="en-US" w:eastAsia="zh-CN"/>
        </w:rPr>
        <w:t>柒仟伍佰伍拾捌元整</w:t>
      </w:r>
      <w:r>
        <w:rPr>
          <w:rFonts w:hint="eastAsia" w:ascii="宋体" w:hAnsi="宋体" w:cs="宋体"/>
          <w:sz w:val="24"/>
          <w:highlight w:val="none"/>
        </w:rPr>
        <w:t>（￥</w:t>
      </w:r>
      <w:r>
        <w:rPr>
          <w:rFonts w:hint="eastAsia" w:ascii="宋体" w:hAnsi="宋体" w:cs="宋体"/>
          <w:sz w:val="24"/>
          <w:highlight w:val="none"/>
          <w:lang w:val="en-US" w:eastAsia="zh-CN"/>
        </w:rPr>
        <w:t>7558.00</w:t>
      </w:r>
      <w:r>
        <w:rPr>
          <w:rFonts w:hint="eastAsia" w:ascii="宋体" w:hAnsi="宋体" w:cs="宋体"/>
          <w:sz w:val="24"/>
          <w:highlight w:val="none"/>
        </w:rPr>
        <w:t>元）</w:t>
      </w:r>
    </w:p>
    <w:p>
      <w:pPr>
        <w:snapToGrid w:val="0"/>
        <w:spacing w:line="440" w:lineRule="exact"/>
        <w:rPr>
          <w:rFonts w:hint="eastAsia" w:ascii="宋体" w:hAnsi="宋体" w:cs="宋体"/>
          <w:sz w:val="24"/>
          <w:highlight w:val="none"/>
          <w:lang w:eastAsia="zh-CN"/>
        </w:rPr>
      </w:pPr>
      <w:r>
        <w:rPr>
          <w:rFonts w:hint="eastAsia" w:ascii="宋体" w:hAnsi="宋体" w:cs="宋体"/>
          <w:sz w:val="24"/>
          <w:highlight w:val="none"/>
        </w:rPr>
        <w:t>由成交单位在领取成交通知书前，向代理机构缴纳招标代理服务费</w:t>
      </w:r>
      <w:r>
        <w:rPr>
          <w:rFonts w:hint="eastAsia" w:ascii="宋体" w:hAnsi="宋体" w:cs="宋体"/>
          <w:sz w:val="24"/>
          <w:highlight w:val="none"/>
          <w:lang w:eastAsia="zh-CN"/>
        </w:rPr>
        <w:t>。</w:t>
      </w:r>
    </w:p>
    <w:p>
      <w:pPr>
        <w:snapToGrid w:val="0"/>
        <w:spacing w:line="440" w:lineRule="exact"/>
        <w:rPr>
          <w:rFonts w:hint="eastAsia" w:ascii="宋体" w:hAnsi="宋体" w:eastAsia="宋体" w:cs="宋体"/>
          <w:sz w:val="24"/>
          <w:highlight w:val="none"/>
          <w:lang w:eastAsia="zh-CN"/>
        </w:rPr>
      </w:pPr>
      <w:r>
        <w:rPr>
          <w:rFonts w:hint="eastAsia" w:ascii="宋体" w:hAnsi="宋体" w:cs="宋体"/>
          <w:sz w:val="24"/>
          <w:highlight w:val="none"/>
        </w:rPr>
        <w:t>交纳信息</w:t>
      </w:r>
      <w:r>
        <w:rPr>
          <w:rFonts w:hint="eastAsia" w:ascii="宋体" w:hAnsi="宋体" w:cs="宋体"/>
          <w:sz w:val="24"/>
          <w:highlight w:val="none"/>
          <w:lang w:eastAsia="zh-CN"/>
        </w:rPr>
        <w:t>：</w:t>
      </w:r>
    </w:p>
    <w:p>
      <w:pPr>
        <w:wordWrap/>
        <w:snapToGrid/>
        <w:spacing w:line="360" w:lineRule="auto"/>
        <w:ind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户    名：</w:t>
      </w:r>
      <w:r>
        <w:rPr>
          <w:rFonts w:hint="eastAsia" w:ascii="宋体" w:hAnsi="宋体" w:cs="宋体"/>
          <w:b/>
          <w:bCs/>
          <w:sz w:val="24"/>
          <w:szCs w:val="24"/>
          <w:highlight w:val="none"/>
          <w:lang w:eastAsia="zh-CN"/>
        </w:rPr>
        <w:t>陕西正宇信工程项目管理有限公司</w:t>
      </w:r>
    </w:p>
    <w:p>
      <w:pPr>
        <w:wordWrap/>
        <w:snapToGrid/>
        <w:spacing w:line="360" w:lineRule="auto"/>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开户银行：建设银行西安</w:t>
      </w:r>
      <w:r>
        <w:rPr>
          <w:rFonts w:hint="eastAsia" w:ascii="宋体" w:hAnsi="宋体" w:cs="宋体"/>
          <w:b/>
          <w:bCs/>
          <w:sz w:val="24"/>
          <w:szCs w:val="24"/>
          <w:highlight w:val="none"/>
          <w:lang w:val="en-US" w:eastAsia="zh-CN"/>
        </w:rPr>
        <w:t>长安区西长安街</w:t>
      </w:r>
      <w:r>
        <w:rPr>
          <w:rFonts w:hint="eastAsia" w:ascii="宋体" w:hAnsi="宋体" w:cs="宋体"/>
          <w:b/>
          <w:bCs/>
          <w:sz w:val="24"/>
          <w:szCs w:val="24"/>
          <w:highlight w:val="none"/>
        </w:rPr>
        <w:t xml:space="preserve">支行 </w:t>
      </w:r>
    </w:p>
    <w:p>
      <w:pPr>
        <w:wordWrap/>
        <w:snapToGrid/>
        <w:spacing w:line="360" w:lineRule="auto"/>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 xml:space="preserve">账    号：6105 0170 5259 0000 0014 </w:t>
      </w:r>
    </w:p>
    <w:p>
      <w:pPr>
        <w:wordWrap/>
        <w:snapToGrid/>
        <w:spacing w:line="360" w:lineRule="auto"/>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采购代理机构公司财务室电话：029-68205383</w:t>
      </w:r>
    </w:p>
    <w:p>
      <w:pPr>
        <w:pStyle w:val="2"/>
        <w:rPr>
          <w:rFonts w:ascii="宋体" w:hAnsi="宋体" w:cs="宋体"/>
          <w:color w:val="auto"/>
          <w:highlight w:val="none"/>
        </w:rPr>
      </w:pPr>
    </w:p>
    <w:p>
      <w:pPr>
        <w:pStyle w:val="5"/>
        <w:rPr>
          <w:rFonts w:ascii="宋体" w:hAnsi="宋体" w:cs="宋体"/>
          <w:sz w:val="32"/>
          <w:highlight w:val="none"/>
        </w:rPr>
      </w:pPr>
      <w:bookmarkStart w:id="45" w:name="_Toc19992"/>
      <w:bookmarkStart w:id="46" w:name="_Toc5878"/>
      <w:bookmarkStart w:id="47" w:name="_Toc29597"/>
      <w:bookmarkStart w:id="48" w:name="_Toc26143"/>
      <w:bookmarkStart w:id="49" w:name="_Toc519156746"/>
      <w:r>
        <w:rPr>
          <w:rFonts w:hint="eastAsia" w:ascii="宋体" w:hAnsi="宋体" w:cs="宋体"/>
          <w:sz w:val="32"/>
          <w:highlight w:val="none"/>
        </w:rPr>
        <w:t>九.质疑与投诉</w:t>
      </w:r>
      <w:bookmarkEnd w:id="45"/>
      <w:bookmarkEnd w:id="46"/>
    </w:p>
    <w:p>
      <w:pPr>
        <w:pStyle w:val="2"/>
        <w:spacing w:line="440" w:lineRule="exact"/>
        <w:jc w:val="left"/>
        <w:rPr>
          <w:rFonts w:ascii="宋体" w:hAnsi="宋体" w:cs="宋体"/>
          <w:b/>
          <w:bCs/>
          <w:color w:val="auto"/>
          <w:highlight w:val="none"/>
        </w:rPr>
      </w:pPr>
      <w:r>
        <w:rPr>
          <w:rFonts w:hint="eastAsia" w:ascii="宋体" w:hAnsi="宋体" w:cs="宋体"/>
          <w:b/>
          <w:bCs/>
          <w:color w:val="auto"/>
          <w:highlight w:val="none"/>
        </w:rPr>
        <w:t>36.质疑</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36.1供应商对本次磋商采购活动有疑问的，应当按照《中华人民共和国政府采购法实施条例》的有关规定办理。</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36.2 供应商对采购文件、采购过程或成交结果使自身的合法权益受到损害，应当在法定期限内，按照质疑函范本格式要求以书面形式向采购代理机构或采购人提出质疑，并附必要的证明材料。</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36.3 质疑函应当包括下列内容：</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（2）质疑项目的名称、编号；</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（4）事实依据；</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（5）必要的法律依据；</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（6）提出质疑的日期。</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供应商为法人的，应当由法定代表人或者其委托代理人签字或者盖章，并加盖单位章。</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36.4质疑人可以委托代理人办理质疑事项，代理人办理质疑事项时，除提交质疑函外，还应当提交质疑人的授权委托书及代理人的有效身份证明，授权委托书应当载明委托代理的具体权限期限和相关事项。</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36.5 质疑函范本格式在中国政府采购网站（http://www.ccgp.gov.cn/）自行下载。</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36.6 接收质疑函的联系部门、联系电话和通讯地址同</w:t>
      </w:r>
      <w:r>
        <w:rPr>
          <w:rFonts w:hint="eastAsia" w:ascii="宋体" w:hAnsi="宋体" w:cs="宋体"/>
          <w:color w:val="auto"/>
          <w:highlight w:val="none"/>
          <w:lang w:val="en-US" w:eastAsia="zh-CN"/>
        </w:rPr>
        <w:t>采购</w:t>
      </w:r>
      <w:r>
        <w:rPr>
          <w:rFonts w:hint="eastAsia" w:ascii="宋体" w:hAnsi="宋体" w:cs="宋体"/>
          <w:color w:val="auto"/>
          <w:highlight w:val="none"/>
        </w:rPr>
        <w:t>公告。</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36.7 有下列情形之一的，属于无效质疑，采购代理机构和采购人不予受理：</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（1）质疑人不是参与本次政府采购项目的供应商；</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（2）质疑人与质疑事项不存在利害关系的；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（3）未在法定期限内提出质疑的；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（4）质疑未以书面形式提出，以传真、电子邮件、移动通信等形式即时收悉提交的质疑材料；</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（5）质疑未按质疑函范本格式提出的；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（6）质疑书主要内容构成不完整的；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（7）质疑书没有合法有效的签字、盖章或授权的；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（8）以非法手段取得证据、材料的；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（9）质疑答复后，同一质疑人就同一事项再次提出质疑的；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（10）不符合法律、法规、规章和政府采购监管机构规定的其他条件的。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36.8 采购代理机构或采购人将在收到书面质疑后7个工作日内做出答复，并以书面形式通知质疑人和其他有关供应商。</w:t>
      </w:r>
    </w:p>
    <w:p>
      <w:pPr>
        <w:pStyle w:val="2"/>
        <w:spacing w:line="440" w:lineRule="exact"/>
        <w:jc w:val="left"/>
        <w:rPr>
          <w:rFonts w:ascii="宋体" w:hAnsi="宋体" w:cs="宋体"/>
          <w:b/>
          <w:bCs/>
          <w:color w:val="auto"/>
          <w:highlight w:val="none"/>
        </w:rPr>
      </w:pPr>
      <w:r>
        <w:rPr>
          <w:rFonts w:hint="eastAsia" w:ascii="宋体" w:hAnsi="宋体" w:cs="宋体"/>
          <w:b/>
          <w:bCs/>
          <w:color w:val="auto"/>
          <w:highlight w:val="none"/>
        </w:rPr>
        <w:t>37.投诉</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37.1 质疑人对采购代理机构或采购人的答复不满意，或者采购人、采购代理机构未在规定时间内作出答复的，可以在答复期满后15个工作日内向同级财政部门提起投诉。</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37.2 供应商投诉时,应当提交投诉书和必要的证明材料，并按照被投诉采购人、采购代理机构（以下简称被投诉人）和与投诉事项有关的供应商数量提供投诉书的副本。投诉书应当包括下列内容：</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（1）投诉人和被投诉人的姓名或者名称、通讯地址、邮编、联系人及联系电话；</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（2）质疑和质疑答复情况说明及相关证明材料；</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（3）具体、明确的投诉事项和与投诉事项相关的投诉请求；</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（4）事实依据；</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（5）法律依据；</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（6）提起投诉的日期。</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投诉人为自然人的，应当由本人签字；投诉人为法人或者其他组织的，应当由法定代表人、主要负责人，或者其委托代理人签字或者盖章，并加盖单位章。</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37.3 投诉书范本格式在中国政府采购网站（http://www.ccgp.gov.cn/）自行下载。</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37.4 投诉人提起投诉应当符合下列条件：</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（1）提起投诉前已依法进行质疑；</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（2）投诉书内容符合财政部94号令的规定；</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（3）在投诉有效期限内提起投诉；</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（4）同一投诉事项未经财政部门投诉处理；</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　　（5）财政部规定的其他条件。</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37.5  投诉人投诉的事项不得超出已质疑事项的范围，但基于质疑答复内容提出的投诉事项除外。</w:t>
      </w:r>
    </w:p>
    <w:p>
      <w:pPr>
        <w:pStyle w:val="2"/>
        <w:spacing w:line="440" w:lineRule="exact"/>
        <w:jc w:val="left"/>
        <w:rPr>
          <w:rFonts w:ascii="宋体" w:hAnsi="宋体" w:cs="宋体"/>
          <w:color w:val="auto"/>
          <w:highlight w:val="none"/>
        </w:rPr>
      </w:pPr>
      <w:r>
        <w:rPr>
          <w:rFonts w:hint="eastAsia" w:ascii="宋体" w:hAnsi="宋体" w:cs="宋体"/>
          <w:b/>
          <w:bCs/>
          <w:color w:val="auto"/>
          <w:highlight w:val="none"/>
        </w:rPr>
        <w:t>38.成交供应商有下列情形之一的</w:t>
      </w:r>
      <w:r>
        <w:rPr>
          <w:rFonts w:hint="eastAsia" w:ascii="宋体" w:hAnsi="宋体" w:cs="宋体"/>
          <w:color w:val="auto"/>
          <w:highlight w:val="none"/>
        </w:rPr>
        <w:t>，将被列入不良行为记录名单，在1～3年内禁止参加政府采购活动：</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(1)成交后无正当理由不与采购人签订合同的；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(2)未按照采购文件确定的事项签订政府采购合同，或者与采购人另行订立背离合同实质性内容的协议的；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(3)拒绝履行合同义务的；</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(4)《政府采购法》第七十七条和《政府采购法实施条例》第七十二条规定的其他情形；</w:t>
      </w:r>
    </w:p>
    <w:p>
      <w:pPr>
        <w:pStyle w:val="2"/>
        <w:spacing w:line="440" w:lineRule="exact"/>
        <w:jc w:val="left"/>
        <w:rPr>
          <w:rFonts w:ascii="宋体" w:hAnsi="宋体" w:cs="宋体"/>
          <w:color w:val="auto"/>
          <w:highlight w:val="none"/>
        </w:rPr>
      </w:pPr>
      <w:r>
        <w:rPr>
          <w:rFonts w:hint="eastAsia" w:ascii="宋体" w:hAnsi="宋体" w:cs="宋体"/>
          <w:color w:val="auto"/>
          <w:highlight w:val="none"/>
        </w:rPr>
        <w:t>(5)其他违反法律法规相关规定的情形。</w:t>
      </w:r>
    </w:p>
    <w:p>
      <w:pPr>
        <w:pStyle w:val="12"/>
        <w:spacing w:line="440" w:lineRule="exact"/>
        <w:rPr>
          <w:rFonts w:hAnsi="宋体" w:cs="宋体"/>
          <w:sz w:val="24"/>
          <w:szCs w:val="24"/>
          <w:highlight w:val="none"/>
        </w:rPr>
      </w:pPr>
      <w:r>
        <w:rPr>
          <w:rFonts w:hint="eastAsia" w:hAnsi="宋体" w:cs="宋体"/>
          <w:sz w:val="24"/>
          <w:szCs w:val="24"/>
          <w:highlight w:val="none"/>
        </w:rPr>
        <w:t>39.其他规定</w:t>
      </w:r>
    </w:p>
    <w:p>
      <w:pPr>
        <w:pStyle w:val="12"/>
        <w:spacing w:line="440" w:lineRule="exact"/>
        <w:rPr>
          <w:rFonts w:hAnsi="宋体" w:cs="宋体"/>
          <w:sz w:val="24"/>
          <w:szCs w:val="24"/>
          <w:highlight w:val="none"/>
        </w:rPr>
      </w:pPr>
      <w:r>
        <w:rPr>
          <w:rFonts w:hint="eastAsia" w:hAnsi="宋体" w:cs="宋体"/>
          <w:sz w:val="24"/>
          <w:szCs w:val="24"/>
          <w:highlight w:val="none"/>
        </w:rPr>
        <w:t>39.1　磋商文件的其他规定见磋商须知前附表。</w:t>
      </w:r>
    </w:p>
    <w:p>
      <w:pPr>
        <w:pStyle w:val="12"/>
        <w:spacing w:line="440" w:lineRule="exact"/>
        <w:rPr>
          <w:rFonts w:hAnsi="宋体" w:cs="宋体"/>
          <w:sz w:val="24"/>
          <w:szCs w:val="24"/>
          <w:highlight w:val="none"/>
        </w:rPr>
      </w:pPr>
      <w:r>
        <w:rPr>
          <w:rFonts w:hint="eastAsia" w:hAnsi="宋体" w:cs="宋体"/>
          <w:sz w:val="24"/>
          <w:szCs w:val="24"/>
          <w:highlight w:val="none"/>
        </w:rPr>
        <w:t>40.未尽事宜</w:t>
      </w:r>
    </w:p>
    <w:p>
      <w:pPr>
        <w:pStyle w:val="12"/>
        <w:spacing w:line="440" w:lineRule="exact"/>
        <w:rPr>
          <w:rFonts w:hAnsi="宋体" w:cs="宋体"/>
          <w:sz w:val="22"/>
          <w:szCs w:val="22"/>
          <w:highlight w:val="none"/>
        </w:rPr>
      </w:pPr>
      <w:r>
        <w:rPr>
          <w:rFonts w:hint="eastAsia" w:hAnsi="宋体" w:cs="宋体"/>
          <w:sz w:val="24"/>
          <w:szCs w:val="24"/>
          <w:highlight w:val="none"/>
        </w:rPr>
        <w:t>40.1　其他未尽事宜按政府采购法律法规的规定执行。</w:t>
      </w:r>
    </w:p>
    <w:p>
      <w:pPr>
        <w:pStyle w:val="2"/>
        <w:rPr>
          <w:rFonts w:ascii="宋体" w:hAnsi="宋体" w:cs="宋体"/>
          <w:color w:val="auto"/>
          <w:highlight w:val="none"/>
        </w:rPr>
      </w:pPr>
    </w:p>
    <w:p>
      <w:pPr>
        <w:pStyle w:val="5"/>
        <w:rPr>
          <w:rFonts w:ascii="宋体" w:hAnsi="宋体" w:cs="宋体"/>
          <w:b w:val="0"/>
          <w:sz w:val="32"/>
          <w:highlight w:val="none"/>
        </w:rPr>
      </w:pPr>
      <w:bookmarkStart w:id="50" w:name="_Toc19721"/>
      <w:bookmarkStart w:id="51" w:name="_Toc23113"/>
      <w:bookmarkStart w:id="52" w:name="_Toc519156744"/>
      <w:bookmarkStart w:id="53" w:name="_Toc21510"/>
      <w:r>
        <w:rPr>
          <w:rFonts w:hint="eastAsia" w:ascii="宋体" w:hAnsi="宋体" w:cs="宋体"/>
          <w:sz w:val="32"/>
          <w:highlight w:val="none"/>
        </w:rPr>
        <w:t>十.其他事项</w:t>
      </w:r>
      <w:bookmarkEnd w:id="50"/>
      <w:bookmarkEnd w:id="51"/>
      <w:bookmarkEnd w:id="52"/>
      <w:bookmarkEnd w:id="53"/>
    </w:p>
    <w:p>
      <w:pPr>
        <w:spacing w:line="440" w:lineRule="exact"/>
        <w:rPr>
          <w:rFonts w:ascii="宋体" w:hAnsi="宋体" w:cs="宋体"/>
          <w:b/>
          <w:sz w:val="24"/>
          <w:highlight w:val="none"/>
        </w:rPr>
      </w:pPr>
      <w:r>
        <w:rPr>
          <w:rFonts w:hint="eastAsia" w:ascii="宋体" w:hAnsi="宋体" w:cs="宋体"/>
          <w:b/>
          <w:sz w:val="24"/>
          <w:highlight w:val="none"/>
        </w:rPr>
        <w:t>41.</w:t>
      </w:r>
      <w:r>
        <w:rPr>
          <w:rFonts w:hint="eastAsia" w:ascii="宋体" w:hAnsi="宋体" w:cs="宋体"/>
          <w:b/>
          <w:bCs/>
          <w:sz w:val="24"/>
          <w:highlight w:val="none"/>
        </w:rPr>
        <w:t>竞争性磋商项目实行二轮报价</w:t>
      </w:r>
      <w:r>
        <w:rPr>
          <w:rFonts w:hint="eastAsia" w:ascii="宋体" w:hAnsi="宋体" w:cs="宋体"/>
          <w:sz w:val="24"/>
          <w:highlight w:val="none"/>
        </w:rPr>
        <w:t>，第一次报价后，磋商小组可以变更采购需求中的技术、服务要求以及合同草案条款，二轮报价为最终报价。</w:t>
      </w:r>
    </w:p>
    <w:p>
      <w:pPr>
        <w:spacing w:line="440" w:lineRule="exact"/>
        <w:rPr>
          <w:rFonts w:ascii="宋体" w:hAnsi="宋体" w:cs="宋体"/>
          <w:sz w:val="24"/>
          <w:highlight w:val="none"/>
        </w:rPr>
      </w:pPr>
      <w:r>
        <w:rPr>
          <w:rFonts w:hint="eastAsia" w:ascii="宋体" w:hAnsi="宋体" w:cs="宋体"/>
          <w:b/>
          <w:bCs/>
          <w:sz w:val="24"/>
          <w:highlight w:val="none"/>
        </w:rPr>
        <w:t>42</w:t>
      </w:r>
      <w:r>
        <w:rPr>
          <w:rFonts w:hint="eastAsia" w:ascii="宋体" w:hAnsi="宋体" w:cs="宋体"/>
          <w:b/>
          <w:sz w:val="24"/>
          <w:highlight w:val="none"/>
        </w:rPr>
        <w:t>.</w:t>
      </w:r>
      <w:r>
        <w:rPr>
          <w:rFonts w:hint="eastAsia" w:ascii="宋体" w:hAnsi="宋体" w:cs="宋体"/>
          <w:b/>
          <w:bCs/>
          <w:sz w:val="24"/>
          <w:highlight w:val="none"/>
        </w:rPr>
        <w:t>磋商开始后，出现下列情形之一的</w:t>
      </w:r>
      <w:r>
        <w:rPr>
          <w:rFonts w:hint="eastAsia" w:ascii="宋体" w:hAnsi="宋体" w:cs="宋体"/>
          <w:sz w:val="24"/>
          <w:highlight w:val="none"/>
        </w:rPr>
        <w:t>，采购代理机构将终止竞争性磋商采购活动，发布项目终止公告并说明原因，重新开展采购活动：</w:t>
      </w:r>
    </w:p>
    <w:p>
      <w:pPr>
        <w:spacing w:line="440" w:lineRule="exact"/>
        <w:ind w:firstLine="547" w:firstLineChars="228"/>
        <w:rPr>
          <w:rFonts w:ascii="宋体" w:hAnsi="宋体" w:cs="宋体"/>
          <w:sz w:val="24"/>
          <w:highlight w:val="none"/>
        </w:rPr>
      </w:pPr>
      <w:r>
        <w:rPr>
          <w:rFonts w:hint="eastAsia" w:ascii="宋体" w:hAnsi="宋体" w:cs="宋体"/>
          <w:sz w:val="24"/>
          <w:highlight w:val="none"/>
        </w:rPr>
        <w:t>（一）因情况变化，不再符合规定的竞争性磋商采购方式适用情形的；</w:t>
      </w:r>
    </w:p>
    <w:p>
      <w:pPr>
        <w:spacing w:line="440" w:lineRule="exact"/>
        <w:ind w:firstLine="547" w:firstLineChars="228"/>
        <w:rPr>
          <w:rFonts w:ascii="宋体" w:hAnsi="宋体" w:cs="宋体"/>
          <w:sz w:val="24"/>
          <w:highlight w:val="none"/>
        </w:rPr>
      </w:pPr>
      <w:r>
        <w:rPr>
          <w:rFonts w:hint="eastAsia" w:ascii="宋体" w:hAnsi="宋体" w:cs="宋体"/>
          <w:sz w:val="24"/>
          <w:highlight w:val="none"/>
        </w:rPr>
        <w:t>（二）出现影响采购公正的违法、违规行为的；</w:t>
      </w:r>
    </w:p>
    <w:p>
      <w:pPr>
        <w:spacing w:line="440" w:lineRule="exact"/>
        <w:ind w:firstLine="547" w:firstLineChars="228"/>
        <w:rPr>
          <w:rFonts w:ascii="宋体" w:hAnsi="宋体" w:cs="宋体"/>
          <w:sz w:val="24"/>
          <w:highlight w:val="none"/>
        </w:rPr>
      </w:pPr>
      <w:r>
        <w:rPr>
          <w:rFonts w:hint="eastAsia" w:ascii="宋体" w:hAnsi="宋体" w:cs="宋体"/>
          <w:sz w:val="24"/>
          <w:highlight w:val="none"/>
        </w:rPr>
        <w:t>（三）除《政府采购竞争性磋商采购方式管理暂行办法》（财库〔2014〕214号）第二十一条第三款规定的情形外，在采购过程中符合要求的供应商或者报价未超过采购预算的供应商不足3家的。（非政府购买服务项目）。</w:t>
      </w:r>
    </w:p>
    <w:p>
      <w:pPr>
        <w:spacing w:line="440" w:lineRule="exact"/>
        <w:rPr>
          <w:rFonts w:ascii="宋体" w:hAnsi="宋体" w:cs="宋体"/>
          <w:b/>
          <w:bCs/>
          <w:sz w:val="24"/>
          <w:highlight w:val="none"/>
        </w:rPr>
      </w:pPr>
      <w:r>
        <w:rPr>
          <w:rFonts w:hint="eastAsia" w:ascii="宋体" w:hAnsi="宋体" w:cs="宋体"/>
          <w:b/>
          <w:bCs/>
          <w:sz w:val="24"/>
          <w:highlight w:val="none"/>
        </w:rPr>
        <w:t>43.</w:t>
      </w:r>
      <w:r>
        <w:rPr>
          <w:rFonts w:hint="eastAsia" w:ascii="宋体" w:hAnsi="宋体" w:cs="宋体"/>
          <w:sz w:val="24"/>
          <w:highlight w:val="none"/>
        </w:rPr>
        <w:t xml:space="preserve"> </w:t>
      </w:r>
      <w:r>
        <w:rPr>
          <w:rFonts w:hint="eastAsia" w:ascii="宋体" w:hAnsi="宋体" w:cs="宋体"/>
          <w:b/>
          <w:bCs/>
          <w:sz w:val="24"/>
          <w:highlight w:val="none"/>
        </w:rPr>
        <w:t>提交最后报价的供应商为2家时，可以继续进行磋商的情形：</w:t>
      </w:r>
    </w:p>
    <w:p>
      <w:pPr>
        <w:spacing w:line="440" w:lineRule="exact"/>
        <w:ind w:left="1198" w:leftChars="285" w:hanging="600" w:hangingChars="250"/>
        <w:rPr>
          <w:rFonts w:ascii="宋体" w:hAnsi="宋体" w:cs="宋体"/>
          <w:sz w:val="24"/>
          <w:highlight w:val="none"/>
        </w:rPr>
      </w:pPr>
      <w:r>
        <w:rPr>
          <w:rFonts w:hint="eastAsia" w:ascii="宋体" w:hAnsi="宋体" w:cs="宋体"/>
          <w:sz w:val="24"/>
          <w:highlight w:val="none"/>
        </w:rPr>
        <w:t>（一）市场竞争不充分的科研项目，以及需要扶持的科技成果转化项目；</w:t>
      </w:r>
    </w:p>
    <w:p>
      <w:pPr>
        <w:spacing w:line="440" w:lineRule="exact"/>
        <w:ind w:left="1198" w:leftChars="285" w:hanging="600" w:hangingChars="250"/>
        <w:rPr>
          <w:rFonts w:ascii="宋体" w:hAnsi="宋体" w:cs="宋体"/>
          <w:sz w:val="24"/>
          <w:highlight w:val="none"/>
        </w:rPr>
      </w:pPr>
      <w:r>
        <w:rPr>
          <w:rFonts w:hint="eastAsia" w:ascii="宋体" w:hAnsi="宋体" w:cs="宋体"/>
          <w:sz w:val="24"/>
          <w:highlight w:val="none"/>
        </w:rPr>
        <w:t>（二）政府购买服务项目（含政府和社会资本项目）。</w:t>
      </w:r>
    </w:p>
    <w:p>
      <w:pPr>
        <w:spacing w:line="440" w:lineRule="exact"/>
        <w:rPr>
          <w:rFonts w:ascii="宋体" w:hAnsi="宋体" w:cs="宋体"/>
          <w:sz w:val="24"/>
          <w:highlight w:val="none"/>
        </w:rPr>
      </w:pPr>
      <w:r>
        <w:rPr>
          <w:rFonts w:hint="eastAsia" w:ascii="宋体" w:hAnsi="宋体" w:cs="宋体"/>
          <w:b/>
          <w:bCs/>
          <w:sz w:val="24"/>
          <w:highlight w:val="none"/>
        </w:rPr>
        <w:t>44.最后报价应按报价的格式内容填写，</w:t>
      </w:r>
      <w:r>
        <w:rPr>
          <w:rFonts w:hint="eastAsia" w:ascii="宋体" w:hAnsi="宋体" w:cs="宋体"/>
          <w:sz w:val="24"/>
          <w:highlight w:val="none"/>
        </w:rPr>
        <w:t>并且同时提交最后响应报价表、最后报价明细表等内容（最后响应报价表、最后报价明细表等内容不用装订在响应文件中，填写表格内容字体使用仿宋字清晰的填写，如因字迹不清造成的磋商小组对供应商的评审有误，后果由填表人自己负责，与采购人、磋商小组及采购代理机构无任何关系），且由法定代表人或授权代表人签字。</w:t>
      </w:r>
    </w:p>
    <w:p>
      <w:pPr>
        <w:spacing w:line="440" w:lineRule="exact"/>
        <w:rPr>
          <w:rFonts w:ascii="宋体" w:hAnsi="宋体" w:cs="宋体"/>
          <w:sz w:val="24"/>
          <w:highlight w:val="none"/>
        </w:rPr>
      </w:pPr>
      <w:r>
        <w:rPr>
          <w:rFonts w:hint="eastAsia" w:ascii="宋体" w:hAnsi="宋体" w:cs="宋体"/>
          <w:b/>
          <w:bCs/>
          <w:sz w:val="24"/>
          <w:highlight w:val="none"/>
        </w:rPr>
        <w:t>45.</w:t>
      </w:r>
      <w:r>
        <w:rPr>
          <w:rFonts w:hint="eastAsia" w:ascii="宋体" w:hAnsi="宋体" w:cs="宋体"/>
          <w:sz w:val="24"/>
          <w:highlight w:val="none"/>
        </w:rPr>
        <w:t>磋商报价产品符合财库［2019］9号文件精神，进入节能产品政府采购清单（有效期内）的；符合财库[2019]9号文件精神，进入环境标志产品政府采购清单（有效期内）的，提供证明文件，在评审中享受评标价格优惠折扣(详见评审方法)。磋商响应单位属于（财库[2020]46号）文件规定的小微企业的，提供中小企业声明函，在评审中享受评审价格优惠折扣 (详见评审方法)。磋商响应单位属于（财库[2014]68号）文件规定的监狱企业的，提供由省级以上监狱管理局、戒毒管理局出具的属于监狱企业的证明文件，视同小微企业，在评审中享受评审价格优惠折扣 (详见评审方法)。磋商响应单位属于（财库[2017]141号）文件规定的残疾人福利性单位的，提供《残疾人福利性单位声明函》，视同小微企业，在评审中享受评审价格优惠折扣 (详见评审方法)。</w:t>
      </w:r>
    </w:p>
    <w:p>
      <w:pPr>
        <w:rPr>
          <w:rFonts w:ascii="宋体" w:hAnsi="宋体" w:cs="宋体"/>
          <w:sz w:val="20"/>
          <w:szCs w:val="22"/>
          <w:highlight w:val="none"/>
        </w:rPr>
        <w:sectPr>
          <w:pgSz w:w="11906" w:h="16838"/>
          <w:pgMar w:top="1417" w:right="1417" w:bottom="1417" w:left="1417" w:header="850" w:footer="992" w:gutter="0"/>
          <w:pgNumType w:fmt="decimal"/>
          <w:cols w:space="0" w:num="1"/>
          <w:docGrid w:type="lines" w:linePitch="312" w:charSpace="0"/>
        </w:sectPr>
      </w:pPr>
    </w:p>
    <w:p>
      <w:pPr>
        <w:rPr>
          <w:rFonts w:ascii="宋体" w:hAnsi="宋体" w:cs="宋体"/>
          <w:sz w:val="32"/>
          <w:szCs w:val="32"/>
          <w:highlight w:val="none"/>
        </w:rPr>
      </w:pPr>
      <w:bookmarkStart w:id="54" w:name="_Toc18268"/>
      <w:bookmarkStart w:id="55" w:name="_Toc10043"/>
      <w:r>
        <w:rPr>
          <w:rFonts w:hint="eastAsia" w:ascii="宋体" w:hAnsi="宋体" w:cs="宋体"/>
          <w:sz w:val="32"/>
          <w:szCs w:val="32"/>
          <w:highlight w:val="none"/>
        </w:rPr>
        <w:br w:type="page"/>
      </w:r>
    </w:p>
    <w:p>
      <w:pPr>
        <w:pStyle w:val="4"/>
        <w:keepNext w:val="0"/>
        <w:keepLines w:val="0"/>
        <w:numPr>
          <w:ilvl w:val="0"/>
          <w:numId w:val="3"/>
        </w:numPr>
        <w:rPr>
          <w:rFonts w:ascii="宋体" w:hAnsi="宋体" w:cs="宋体"/>
          <w:sz w:val="32"/>
          <w:szCs w:val="32"/>
          <w:highlight w:val="none"/>
        </w:rPr>
      </w:pPr>
      <w:r>
        <w:rPr>
          <w:rFonts w:hint="eastAsia" w:ascii="宋体" w:hAnsi="宋体" w:cs="宋体"/>
          <w:sz w:val="32"/>
          <w:szCs w:val="32"/>
          <w:highlight w:val="none"/>
        </w:rPr>
        <w:t xml:space="preserve">  </w:t>
      </w:r>
      <w:bookmarkStart w:id="56" w:name="_Toc16152"/>
      <w:r>
        <w:rPr>
          <w:rFonts w:hint="eastAsia" w:ascii="宋体" w:hAnsi="宋体" w:cs="宋体"/>
          <w:sz w:val="32"/>
          <w:szCs w:val="32"/>
          <w:highlight w:val="none"/>
        </w:rPr>
        <w:t>磋商要求及说明</w:t>
      </w:r>
      <w:bookmarkEnd w:id="47"/>
      <w:bookmarkEnd w:id="48"/>
      <w:bookmarkEnd w:id="49"/>
      <w:bookmarkEnd w:id="54"/>
      <w:bookmarkEnd w:id="55"/>
      <w:bookmarkEnd w:id="56"/>
    </w:p>
    <w:p>
      <w:pPr>
        <w:spacing w:line="360" w:lineRule="auto"/>
        <w:ind w:firstLine="241" w:firstLineChars="100"/>
        <w:rPr>
          <w:rFonts w:hint="default" w:ascii="宋体" w:hAnsi="宋体" w:eastAsia="宋体" w:cs="宋体"/>
          <w:b/>
          <w:bCs/>
          <w:sz w:val="24"/>
          <w:szCs w:val="24"/>
          <w:highlight w:val="none"/>
          <w:lang w:val="en-US" w:eastAsia="zh-CN"/>
        </w:rPr>
      </w:pPr>
      <w:bookmarkStart w:id="57" w:name="_Toc2261"/>
      <w:bookmarkStart w:id="58" w:name="_Toc8628"/>
      <w:bookmarkStart w:id="59" w:name="_Toc519156756"/>
      <w:bookmarkStart w:id="60" w:name="_Toc21826"/>
      <w:bookmarkStart w:id="61" w:name="_Toc22058"/>
      <w:bookmarkStart w:id="62" w:name="_Toc495908401"/>
      <w:bookmarkStart w:id="63" w:name="_Toc8428"/>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.项目概况及总体要求</w:t>
      </w:r>
      <w:r>
        <w:rPr>
          <w:rFonts w:hint="eastAsia" w:ascii="宋体" w:hAnsi="宋体" w:eastAsia="宋体" w:cs="宋体"/>
          <w:b/>
          <w:bCs/>
          <w:sz w:val="24"/>
          <w:szCs w:val="24"/>
          <w:highlight w:val="none"/>
          <w:lang w:val="en-US" w:eastAsia="zh-CN"/>
        </w:rPr>
        <w:t xml:space="preserve">  </w:t>
      </w:r>
    </w:p>
    <w:p>
      <w:pPr>
        <w:pStyle w:val="20"/>
        <w:spacing w:before="0" w:beforeAutospacing="0" w:after="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按照</w:t>
      </w:r>
      <w:r>
        <w:rPr>
          <w:rFonts w:hint="eastAsia" w:cs="宋体"/>
          <w:color w:val="auto"/>
          <w:sz w:val="24"/>
          <w:szCs w:val="24"/>
          <w:highlight w:val="none"/>
          <w:lang w:val="en-US" w:eastAsia="zh-CN"/>
        </w:rPr>
        <w:t>交通运输部最新颁布</w:t>
      </w:r>
      <w:r>
        <w:rPr>
          <w:rFonts w:hint="eastAsia" w:ascii="宋体" w:hAnsi="宋体" w:eastAsia="宋体" w:cs="宋体"/>
          <w:color w:val="auto"/>
          <w:sz w:val="24"/>
          <w:szCs w:val="24"/>
          <w:highlight w:val="none"/>
          <w:lang w:val="en-US" w:eastAsia="zh-CN"/>
        </w:rPr>
        <w:t>《公路桥梁技术状况评定标准》（JTG/T H21-2011）、《公路桥涵养护规范》（JTGH</w:t>
      </w:r>
      <w:r>
        <w:rPr>
          <w:rFonts w:hint="eastAsia" w:cs="宋体"/>
          <w:color w:val="auto"/>
          <w:sz w:val="24"/>
          <w:szCs w:val="24"/>
          <w:highlight w:val="none"/>
          <w:lang w:val="en-US" w:eastAsia="zh-CN"/>
        </w:rPr>
        <w:t>5120</w:t>
      </w: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）、《公路养护技术规范》（JTJ H10-2015）、《公路隧道养护技术规范》（JTG H12-2015）</w:t>
      </w:r>
      <w:r>
        <w:rPr>
          <w:rFonts w:hint="eastAsia" w:cs="宋体"/>
          <w:color w:val="auto"/>
          <w:sz w:val="24"/>
          <w:szCs w:val="24"/>
          <w:highlight w:val="none"/>
          <w:lang w:val="en-US" w:eastAsia="zh-CN"/>
        </w:rPr>
        <w:t>、《在用桥梁现场检测技术规程》等技术规范标准以及交通部办公厅印发的《公路危旧桥梁排查与改造技术要求》的通知，核查桥梁隧道基础数据，对全省新增省道的</w:t>
      </w:r>
      <w:r>
        <w:rPr>
          <w:rFonts w:hint="eastAsia" w:ascii="宋体" w:hAnsi="宋体" w:eastAsia="宋体" w:cs="宋体"/>
          <w:color w:val="auto"/>
          <w:sz w:val="24"/>
          <w:szCs w:val="24"/>
          <w:highlight w:val="none"/>
          <w:lang w:eastAsia="zh-CN"/>
        </w:rPr>
        <w:t>桥梁隧道</w:t>
      </w:r>
      <w:r>
        <w:rPr>
          <w:rFonts w:hint="eastAsia" w:cs="宋体"/>
          <w:color w:val="auto"/>
          <w:sz w:val="24"/>
          <w:szCs w:val="24"/>
          <w:highlight w:val="none"/>
          <w:lang w:eastAsia="zh-CN"/>
        </w:rPr>
        <w:t>进行</w:t>
      </w:r>
      <w:r>
        <w:rPr>
          <w:rFonts w:hint="eastAsia" w:ascii="宋体" w:hAnsi="宋体" w:eastAsia="宋体" w:cs="宋体"/>
          <w:color w:val="auto"/>
          <w:sz w:val="24"/>
          <w:szCs w:val="24"/>
          <w:highlight w:val="none"/>
        </w:rPr>
        <w:t>检查评定</w:t>
      </w:r>
      <w:r>
        <w:rPr>
          <w:rFonts w:hint="eastAsia" w:ascii="宋体" w:hAnsi="宋体" w:eastAsia="宋体" w:cs="宋体"/>
          <w:color w:val="auto"/>
          <w:sz w:val="24"/>
          <w:szCs w:val="24"/>
          <w:highlight w:val="none"/>
          <w:lang w:eastAsia="zh-CN"/>
        </w:rPr>
        <w:t>。</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、技术规范与相关服务要求</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 安全、保畅通措施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安全生产是效益的保证，也是进度的保证，为实施本合同项目需采取的安全保通措施，应在现场常设专职安全员2名。该专职安全员应熟悉本项目的工作类型。其工作任务，包括制定安全保护与事故预防措施和现场检查，查看所有安全规则与桥隧安全保护条例的实施情况。前期准备阶段组织有关人员学习安全生产的有关文件和规定，学习道路交通管理法规，</w:t>
      </w:r>
      <w:r>
        <w:rPr>
          <w:rFonts w:hint="eastAsia" w:ascii="宋体" w:hAnsi="宋体" w:cs="宋体"/>
          <w:sz w:val="24"/>
          <w:szCs w:val="24"/>
          <w:highlight w:val="none"/>
          <w:lang w:eastAsia="zh-CN"/>
        </w:rPr>
        <w:t>逐桥隧制定安全作业方案，现场检查所有安全规则实施情况等。衔接被检查单位</w:t>
      </w:r>
      <w:r>
        <w:rPr>
          <w:rFonts w:hint="eastAsia" w:ascii="宋体" w:hAnsi="宋体" w:eastAsia="宋体" w:cs="宋体"/>
          <w:sz w:val="24"/>
          <w:szCs w:val="24"/>
          <w:highlight w:val="none"/>
        </w:rPr>
        <w:t>做好安全施工的宣传、教育，增强相关人员的安全意识。作业时，检测人员身穿统一工作服，佩戴安全帽、着反光背心，停车检测时，摆放锥筒</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使作业人员的安全具有很好的保证。支架作业时，要统一戴安全帽，系安全绳</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由安全员现场监督执行。</w:t>
      </w:r>
      <w:r>
        <w:rPr>
          <w:rFonts w:hint="eastAsia" w:ascii="宋体" w:hAnsi="宋体" w:cs="宋体"/>
          <w:sz w:val="24"/>
          <w:szCs w:val="24"/>
          <w:highlight w:val="none"/>
          <w:lang w:eastAsia="zh-CN"/>
        </w:rPr>
        <w:t>现场检测作业严格落实《公路养护安全作业规程》规定，编制切实可行的施工安全保畅方案，规范安全作业控制区布设，设立齐全的交通标志标识等，做好交通通行分流管控，全过程排查防范安全隐患风险，直至作业全部完成，坚决杜绝安全责任事故发生。由此发生的费用包含在合同报价清单单价中，不单独报价。</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 交通管制、标志及安全设施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采购人将通知养护管理单位，协调交警部门、路政执法部门协助进行交通管制等，但工作期间的安全责任由</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人承担，相关费用由</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单位承担，包含在合同报价清单单价中，不单独报价。中标单位应按照《公路养护安全作业规程》（JTG H30—20</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）等有关规定摆放标志设施并保管使用。</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 第三方责任保险</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人</w:t>
      </w:r>
      <w:r>
        <w:rPr>
          <w:rFonts w:hint="eastAsia" w:ascii="宋体" w:hAnsi="宋体" w:cs="宋体"/>
          <w:sz w:val="24"/>
          <w:szCs w:val="24"/>
          <w:highlight w:val="none"/>
          <w:lang w:eastAsia="zh-CN"/>
        </w:rPr>
        <w:t>应充分预计到可能的安全风险对工作人员、设备仪器等造成的意外事件，必须按有关规定进行人身意外等保险投保，投保费不单独报价，计入报价中。</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、桥隧技术状况检查评定</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总则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1.1检测内容包括：对业主指定的桥梁进行定期检查评定（含上部结构和下部结构，下同），对业主指定的隧道进行检查评定。通过本次全面检查评定，目的是进一步摸清各市</w:t>
      </w:r>
      <w:r>
        <w:rPr>
          <w:rFonts w:hint="eastAsia" w:ascii="宋体" w:hAnsi="宋体" w:cs="宋体"/>
          <w:sz w:val="24"/>
          <w:szCs w:val="24"/>
          <w:highlight w:val="none"/>
          <w:lang w:eastAsia="zh-CN"/>
        </w:rPr>
        <w:t>新增省道</w:t>
      </w:r>
      <w:r>
        <w:rPr>
          <w:rFonts w:hint="eastAsia" w:ascii="宋体" w:hAnsi="宋体" w:eastAsia="宋体" w:cs="宋体"/>
          <w:sz w:val="24"/>
          <w:szCs w:val="24"/>
          <w:highlight w:val="none"/>
        </w:rPr>
        <w:t>公路桥梁、隧道的基本情况以及技术状况，最终形成按规范规定频次和工作内容开展定期检查评定工作的常态工作机制，及时为养护管理提供基础技术支撑。</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1.2 主要适用标准、规范为：</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《公路养护技术规范》（</w:t>
      </w:r>
      <w:r>
        <w:rPr>
          <w:rFonts w:hint="eastAsia" w:ascii="宋体" w:hAnsi="宋体" w:eastAsia="宋体" w:cs="宋体"/>
          <w:color w:val="auto"/>
          <w:sz w:val="24"/>
          <w:szCs w:val="24"/>
          <w:highlight w:val="none"/>
          <w:lang w:val="en-US" w:eastAsia="zh-CN"/>
        </w:rPr>
        <w:t>JTJ H10-2015</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《公路桥涵养护规范》（</w:t>
      </w:r>
      <w:r>
        <w:rPr>
          <w:rFonts w:hint="eastAsia" w:ascii="宋体" w:hAnsi="宋体" w:eastAsia="宋体" w:cs="宋体"/>
          <w:color w:val="auto"/>
          <w:sz w:val="24"/>
          <w:szCs w:val="24"/>
          <w:highlight w:val="none"/>
          <w:lang w:val="en-US" w:eastAsia="zh-CN"/>
        </w:rPr>
        <w:t>JTGH</w:t>
      </w:r>
      <w:r>
        <w:rPr>
          <w:rFonts w:hint="eastAsia" w:cs="宋体"/>
          <w:color w:val="auto"/>
          <w:sz w:val="24"/>
          <w:szCs w:val="24"/>
          <w:highlight w:val="none"/>
          <w:lang w:val="en-US" w:eastAsia="zh-CN"/>
        </w:rPr>
        <w:t>5120</w:t>
      </w: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21</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《公路隧道养护技术规范》（JTG H12—2015）；</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《公路技术状况评定标准》（JTG H20-2007）；</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《公路桥梁技术状况评定标准》（JTG/T H21—2011）；</w:t>
      </w:r>
    </w:p>
    <w:p>
      <w:pPr>
        <w:pStyle w:val="2"/>
        <w:rPr>
          <w:rFonts w:hint="eastAsia"/>
          <w:color w:val="auto"/>
          <w:highlight w:val="none"/>
          <w:lang w:val="en-US" w:eastAsia="zh-CN"/>
        </w:rPr>
      </w:pPr>
      <w:r>
        <w:rPr>
          <w:rFonts w:hint="eastAsia"/>
          <w:color w:val="auto"/>
          <w:highlight w:val="none"/>
          <w:lang w:val="en-US" w:eastAsia="zh-CN"/>
        </w:rPr>
        <w:t xml:space="preserve">  《公路养护安全作业规程》（JTG H30—2015）；</w:t>
      </w:r>
    </w:p>
    <w:p>
      <w:pPr>
        <w:rPr>
          <w:rFonts w:hint="eastAsia"/>
          <w:color w:val="auto"/>
          <w:highlight w:val="none"/>
          <w:lang w:val="en-US" w:eastAsia="zh-CN"/>
        </w:rPr>
      </w:pPr>
      <w:r>
        <w:rPr>
          <w:rFonts w:hint="eastAsia"/>
          <w:color w:val="auto"/>
          <w:highlight w:val="none"/>
          <w:lang w:val="en-US" w:eastAsia="zh-CN"/>
        </w:rPr>
        <w:t xml:space="preserve">  《公路隧道火灾报警系统技术条件》（JT/T 610-2004）；</w:t>
      </w:r>
    </w:p>
    <w:p>
      <w:pPr>
        <w:pStyle w:val="2"/>
        <w:ind w:firstLine="240" w:firstLineChars="100"/>
        <w:rPr>
          <w:rFonts w:hint="default"/>
          <w:highlight w:val="none"/>
          <w:lang w:val="en-US" w:eastAsia="zh-CN"/>
        </w:rPr>
      </w:pPr>
      <w:r>
        <w:rPr>
          <w:rFonts w:hint="eastAsia"/>
          <w:color w:val="auto"/>
          <w:highlight w:val="none"/>
          <w:lang w:val="en-US" w:eastAsia="zh-CN"/>
        </w:rPr>
        <w:t>《公路隧道交通工程与附属设施施工技术规范》（</w:t>
      </w:r>
      <w:r>
        <w:rPr>
          <w:rFonts w:hint="eastAsia" w:ascii="宋体" w:hAnsi="宋体" w:eastAsia="宋体" w:cs="宋体"/>
          <w:color w:val="auto"/>
          <w:sz w:val="24"/>
          <w:szCs w:val="24"/>
          <w:highlight w:val="none"/>
        </w:rPr>
        <w:t>JTG</w:t>
      </w:r>
      <w:r>
        <w:rPr>
          <w:rFonts w:hint="eastAsia" w:ascii="宋体" w:hAnsi="宋体" w:cs="宋体"/>
          <w:color w:val="auto"/>
          <w:sz w:val="24"/>
          <w:szCs w:val="24"/>
          <w:highlight w:val="none"/>
          <w:lang w:val="en-US" w:eastAsia="zh-CN"/>
        </w:rPr>
        <w:t>/T</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F72</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11</w:t>
      </w:r>
      <w:r>
        <w:rPr>
          <w:rFonts w:hint="eastAsia"/>
          <w:color w:val="auto"/>
          <w:highlight w:val="none"/>
          <w:lang w:val="en-US" w:eastAsia="zh-CN"/>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《公路交通安全设施设计规范》（JTG D81—2017）</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《陕西省公路桥梁养护工程师管理办法》（陕交发[2018]87号）；</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《陕西省公路桥梁安全事故责任追究办法》（陕交发[2018]81号）；</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《陕西省公路隧道安全保护办法》(2017年4月1日起施行)；</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《陕西省公路桥梁安全保护办法》(2020年3月1日起施行)；</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《陕西省提升公路桥梁安全防护能力专项行动技术指南》</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《陕西省公路隧道提质升级行动技术指南》</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《公路桥梁抗震性能评价细则》(</w:t>
      </w:r>
      <w:r>
        <w:rPr>
          <w:rFonts w:hint="eastAsia" w:ascii="宋体" w:hAnsi="宋体" w:eastAsia="宋体" w:cs="宋体"/>
          <w:sz w:val="24"/>
          <w:szCs w:val="24"/>
          <w:highlight w:val="none"/>
        </w:rPr>
        <w:t xml:space="preserve">JTG/T </w:t>
      </w:r>
      <w:r>
        <w:rPr>
          <w:rFonts w:hint="eastAsia" w:ascii="宋体" w:hAnsi="宋体" w:eastAsia="宋体" w:cs="宋体"/>
          <w:sz w:val="24"/>
          <w:szCs w:val="24"/>
          <w:highlight w:val="none"/>
          <w:lang w:val="en-US" w:eastAsia="zh-CN"/>
        </w:rPr>
        <w:t>2231-02-2021)</w:t>
      </w:r>
      <w:r>
        <w:rPr>
          <w:rFonts w:hint="eastAsia" w:ascii="宋体" w:hAnsi="宋体" w:cs="宋体"/>
          <w:sz w:val="24"/>
          <w:szCs w:val="24"/>
          <w:highlight w:val="none"/>
          <w:lang w:val="en-US" w:eastAsia="zh-CN"/>
        </w:rPr>
        <w:t>；</w:t>
      </w:r>
    </w:p>
    <w:p>
      <w:pPr>
        <w:spacing w:line="360" w:lineRule="auto"/>
        <w:ind w:firstLine="240" w:firstLineChars="1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《在用桥梁现场检测技术规程》(</w:t>
      </w:r>
      <w:r>
        <w:rPr>
          <w:rFonts w:hint="eastAsia" w:ascii="宋体" w:hAnsi="宋体" w:eastAsia="宋体" w:cs="宋体"/>
          <w:sz w:val="24"/>
          <w:szCs w:val="24"/>
          <w:highlight w:val="none"/>
        </w:rPr>
        <w:t xml:space="preserve">JTG/T </w:t>
      </w:r>
      <w:r>
        <w:rPr>
          <w:rFonts w:hint="eastAsia" w:ascii="宋体" w:hAnsi="宋体" w:eastAsia="宋体" w:cs="宋体"/>
          <w:sz w:val="24"/>
          <w:szCs w:val="24"/>
          <w:highlight w:val="none"/>
          <w:lang w:val="en-US" w:eastAsia="zh-CN"/>
        </w:rPr>
        <w:t>5214-2022)</w:t>
      </w:r>
      <w:r>
        <w:rPr>
          <w:rFonts w:hint="eastAsia" w:ascii="宋体" w:hAnsi="宋体" w:cs="宋体"/>
          <w:sz w:val="24"/>
          <w:szCs w:val="24"/>
          <w:highlight w:val="none"/>
          <w:lang w:val="en-US" w:eastAsia="zh-CN"/>
        </w:rPr>
        <w:t>；</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《公路危旧桥梁排查与改造技术要求》；</w:t>
      </w:r>
    </w:p>
    <w:p>
      <w:pPr>
        <w:ind w:firstLine="240" w:firstLineChars="1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《公路危旧桥梁排查技术指南》；</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以及其它</w:t>
      </w:r>
      <w:r>
        <w:rPr>
          <w:rFonts w:hint="eastAsia" w:ascii="宋体" w:hAnsi="宋体" w:cs="宋体"/>
          <w:sz w:val="24"/>
          <w:szCs w:val="24"/>
          <w:highlight w:val="none"/>
          <w:lang w:eastAsia="zh-CN"/>
        </w:rPr>
        <w:t>国家相关标准与规范要求</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1.3本项目桥梁的检查及技术状况评定（诸如裂缝限制等数据）按照《公路桥梁技术状况评定标准》（JTG/T H21—2011）上具体规定及方法列明，且其有关技术文件，检测数据均应按统一格式完整的归入桥梁养护技术档案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确保本次检测数据能够直接导入</w:t>
      </w:r>
      <w:r>
        <w:rPr>
          <w:rFonts w:hint="eastAsia" w:ascii="宋体" w:hAnsi="宋体" w:cs="宋体"/>
          <w:sz w:val="24"/>
          <w:szCs w:val="24"/>
          <w:highlight w:val="none"/>
          <w:lang w:eastAsia="zh-CN"/>
        </w:rPr>
        <w:t>养护统计年报</w:t>
      </w:r>
      <w:r>
        <w:rPr>
          <w:rFonts w:hint="eastAsia" w:ascii="宋体" w:hAnsi="宋体" w:eastAsia="宋体" w:cs="宋体"/>
          <w:sz w:val="24"/>
          <w:szCs w:val="24"/>
          <w:highlight w:val="none"/>
        </w:rPr>
        <w:t>管理系统中。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1.4本项目隧道的检查及技术状况评定按照《公路隧道养护技术规范》（JTG H12—2015）上具体规定及方法列明，且其有关技术文件，检测数据均应按统一格式完整的归入隧道养护技术档案，确保本次检测数据能够直接导入</w:t>
      </w:r>
      <w:r>
        <w:rPr>
          <w:rFonts w:hint="eastAsia" w:ascii="宋体" w:hAnsi="宋体" w:cs="宋体"/>
          <w:sz w:val="24"/>
          <w:szCs w:val="24"/>
          <w:highlight w:val="none"/>
          <w:lang w:eastAsia="zh-CN"/>
        </w:rPr>
        <w:t>养护统计年报</w:t>
      </w:r>
      <w:r>
        <w:rPr>
          <w:rFonts w:hint="eastAsia" w:ascii="宋体" w:hAnsi="宋体" w:eastAsia="宋体" w:cs="宋体"/>
          <w:sz w:val="24"/>
          <w:szCs w:val="24"/>
          <w:highlight w:val="none"/>
        </w:rPr>
        <w:t>管理系统中。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 桥梁隧道检测过程所需要的各类表格以及填写要求，检测单位应与业主积极进行沟通达成一致，避免出现差错漏现象。</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（1）已书面明确移交市政城建等单位，不再属于各市</w:t>
      </w:r>
      <w:r>
        <w:rPr>
          <w:rFonts w:hint="eastAsia" w:ascii="宋体" w:hAnsi="宋体" w:cs="宋体"/>
          <w:b w:val="0"/>
          <w:bCs w:val="0"/>
          <w:sz w:val="24"/>
          <w:szCs w:val="24"/>
          <w:highlight w:val="none"/>
          <w:lang w:eastAsia="zh-CN"/>
        </w:rPr>
        <w:t>县交通运输局</w:t>
      </w:r>
      <w:r>
        <w:rPr>
          <w:rFonts w:hint="eastAsia" w:ascii="宋体" w:hAnsi="宋体" w:eastAsia="宋体" w:cs="宋体"/>
          <w:b w:val="0"/>
          <w:bCs w:val="0"/>
          <w:sz w:val="24"/>
          <w:szCs w:val="24"/>
          <w:highlight w:val="none"/>
        </w:rPr>
        <w:t>管养范围内的</w:t>
      </w:r>
      <w:r>
        <w:rPr>
          <w:rFonts w:hint="eastAsia" w:ascii="宋体" w:hAnsi="宋体" w:cs="宋体"/>
          <w:b w:val="0"/>
          <w:bCs w:val="0"/>
          <w:sz w:val="24"/>
          <w:szCs w:val="24"/>
          <w:highlight w:val="none"/>
          <w:lang w:eastAsia="zh-CN"/>
        </w:rPr>
        <w:t>新增省道路</w:t>
      </w:r>
      <w:r>
        <w:rPr>
          <w:rFonts w:hint="eastAsia" w:ascii="宋体" w:hAnsi="宋体" w:eastAsia="宋体" w:cs="宋体"/>
          <w:b w:val="0"/>
          <w:bCs w:val="0"/>
          <w:sz w:val="24"/>
          <w:szCs w:val="24"/>
          <w:highlight w:val="none"/>
        </w:rPr>
        <w:t>段、原旧路、城区过境段的桥梁、隧道不进行检查检测（由各市</w:t>
      </w:r>
      <w:r>
        <w:rPr>
          <w:rFonts w:hint="eastAsia" w:ascii="宋体" w:hAnsi="宋体" w:cs="宋体"/>
          <w:b w:val="0"/>
          <w:bCs w:val="0"/>
          <w:sz w:val="24"/>
          <w:szCs w:val="24"/>
          <w:highlight w:val="none"/>
          <w:lang w:eastAsia="zh-CN"/>
        </w:rPr>
        <w:t>交通运输</w:t>
      </w:r>
      <w:r>
        <w:rPr>
          <w:rFonts w:hint="eastAsia" w:ascii="宋体" w:hAnsi="宋体" w:eastAsia="宋体" w:cs="宋体"/>
          <w:b w:val="0"/>
          <w:bCs w:val="0"/>
          <w:sz w:val="24"/>
          <w:szCs w:val="24"/>
          <w:highlight w:val="none"/>
        </w:rPr>
        <w:t>局提供书面文件并与省公路局</w:t>
      </w:r>
      <w:r>
        <w:rPr>
          <w:rFonts w:hint="eastAsia" w:ascii="宋体" w:hAnsi="宋体" w:cs="宋体"/>
          <w:b w:val="0"/>
          <w:bCs w:val="0"/>
          <w:sz w:val="24"/>
          <w:szCs w:val="24"/>
          <w:highlight w:val="none"/>
          <w:lang w:eastAsia="zh-CN"/>
        </w:rPr>
        <w:t>计划处</w:t>
      </w:r>
      <w:r>
        <w:rPr>
          <w:rFonts w:hint="eastAsia" w:ascii="宋体" w:hAnsi="宋体" w:eastAsia="宋体" w:cs="宋体"/>
          <w:b w:val="0"/>
          <w:bCs w:val="0"/>
          <w:sz w:val="24"/>
          <w:szCs w:val="24"/>
          <w:highlight w:val="none"/>
        </w:rPr>
        <w:t>沟通后确定）；正在实施的路网建设工程路段、正在维修加固的桥梁、隧道或列入维修加固计划的桥梁、隧道本次先不检测，待项目交工后进行检查评定（具体由</w:t>
      </w:r>
      <w:r>
        <w:rPr>
          <w:rFonts w:hint="eastAsia" w:ascii="宋体" w:hAnsi="宋体" w:cs="宋体"/>
          <w:b w:val="0"/>
          <w:bCs w:val="0"/>
          <w:sz w:val="24"/>
          <w:szCs w:val="24"/>
          <w:highlight w:val="none"/>
          <w:lang w:eastAsia="zh-CN"/>
        </w:rPr>
        <w:t>成交</w:t>
      </w:r>
      <w:r>
        <w:rPr>
          <w:rFonts w:hint="eastAsia" w:ascii="宋体" w:hAnsi="宋体" w:eastAsia="宋体" w:cs="宋体"/>
          <w:b w:val="0"/>
          <w:bCs w:val="0"/>
          <w:sz w:val="24"/>
          <w:szCs w:val="24"/>
          <w:highlight w:val="none"/>
        </w:rPr>
        <w:t>人及时与各市</w:t>
      </w:r>
      <w:r>
        <w:rPr>
          <w:rFonts w:hint="eastAsia" w:ascii="宋体" w:hAnsi="宋体" w:cs="宋体"/>
          <w:b w:val="0"/>
          <w:bCs w:val="0"/>
          <w:sz w:val="24"/>
          <w:szCs w:val="24"/>
          <w:highlight w:val="none"/>
          <w:lang w:eastAsia="zh-CN"/>
        </w:rPr>
        <w:t>交通运输</w:t>
      </w:r>
      <w:r>
        <w:rPr>
          <w:rFonts w:hint="eastAsia" w:ascii="宋体" w:hAnsi="宋体" w:eastAsia="宋体" w:cs="宋体"/>
          <w:b w:val="0"/>
          <w:bCs w:val="0"/>
          <w:sz w:val="24"/>
          <w:szCs w:val="24"/>
          <w:highlight w:val="none"/>
        </w:rPr>
        <w:t>局沟通，由采购人确定）。</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（2）属于各市</w:t>
      </w:r>
      <w:r>
        <w:rPr>
          <w:rFonts w:hint="eastAsia" w:ascii="宋体" w:hAnsi="宋体" w:cs="宋体"/>
          <w:b w:val="0"/>
          <w:bCs w:val="0"/>
          <w:sz w:val="24"/>
          <w:szCs w:val="24"/>
          <w:highlight w:val="none"/>
          <w:lang w:eastAsia="zh-CN"/>
        </w:rPr>
        <w:t>交通运输</w:t>
      </w:r>
      <w:r>
        <w:rPr>
          <w:rFonts w:hint="eastAsia" w:ascii="宋体" w:hAnsi="宋体" w:eastAsia="宋体" w:cs="宋体"/>
          <w:b w:val="0"/>
          <w:bCs w:val="0"/>
          <w:sz w:val="24"/>
          <w:szCs w:val="24"/>
          <w:highlight w:val="none"/>
        </w:rPr>
        <w:t>管养范围内的</w:t>
      </w:r>
      <w:r>
        <w:rPr>
          <w:rFonts w:hint="eastAsia" w:ascii="宋体" w:hAnsi="宋体" w:cs="宋体"/>
          <w:b w:val="0"/>
          <w:bCs w:val="0"/>
          <w:sz w:val="24"/>
          <w:szCs w:val="24"/>
          <w:highlight w:val="none"/>
          <w:lang w:eastAsia="zh-CN"/>
        </w:rPr>
        <w:t>新增省道</w:t>
      </w:r>
      <w:r>
        <w:rPr>
          <w:rFonts w:hint="eastAsia" w:ascii="宋体" w:hAnsi="宋体" w:eastAsia="宋体" w:cs="宋体"/>
          <w:b w:val="0"/>
          <w:bCs w:val="0"/>
          <w:sz w:val="24"/>
          <w:szCs w:val="24"/>
          <w:highlight w:val="none"/>
        </w:rPr>
        <w:t>、城区过境段桥梁隧道，通过本次检查检测均单独分清注明和记录，市政道路等的接线起讫桩号以及桥梁、隧道位置示意图，标注桥梁隧道起讫桩号等。</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（3）一级公路上桥梁、隧道大部分已分左右幅，本次招标未分左右幅的桥隧按一座对待，不另行增加计量长度。</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（4）二、三级公路无论纵横向的桥型结构如何，均按一座对待评定技术状况等级，并计算计量支付长度。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调查核实桥梁隧道基础资料以及管理资料：包括设计施工图及竣工图、试验检测及科研资料、工程事故处理资料、结构位移或变形测试资料、观测点或监测点资料、交竣工验收资料等。调查核实桥隧管理资料包括管养单位（市、县公路管理机构）、“六级责任人”姓名职位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1.7调查桥隧检测经常性检查资料以及近年来相关特殊检测资料、限载限速、养护维修加固资料等。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以上资料均应书面或影像记录，作为桥隧基础数据和总体技术状况分析评定的重要依据，也是分析养护管理工作成效，提出下一步加强管理工作的重要支撑。</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2、桥梁检测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 检测以目测观察结合仪器观测进行，必须利用桥梁检测车等设备接近各部件仔细检查其缺损情况。</w:t>
      </w:r>
      <w:r>
        <w:rPr>
          <w:rFonts w:hint="eastAsia" w:ascii="宋体" w:hAnsi="宋体" w:cs="宋体"/>
          <w:sz w:val="24"/>
          <w:szCs w:val="24"/>
          <w:highlight w:val="none"/>
          <w:lang w:eastAsia="zh-CN"/>
        </w:rPr>
        <w:t>主要工作包括但不限于以下内容</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2.1.1现场校核桥梁基本数据（桥梁基本状况卡片见《公路桥涵养护规范》（JTG</w:t>
      </w:r>
      <w:r>
        <w:rPr>
          <w:rFonts w:hint="eastAsia" w:ascii="宋体" w:hAnsi="宋体" w:cs="宋体"/>
          <w:sz w:val="24"/>
          <w:szCs w:val="24"/>
          <w:highlight w:val="none"/>
          <w:lang w:val="en-US" w:eastAsia="zh-CN"/>
        </w:rPr>
        <w:t>5120</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）附录A）。</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2.1.2当场填写“桥梁检查评定记录表”（见《公路桥梁技术状况评定标准》（JTG/T H21—2011）附录A），记录各部件缺损状况并做出技术状况评分。</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2.1.3 实地判断缺损原因，确定维修范围及方式。</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2.1.4 对难以判断损坏原因和程度的部件，应专项咨询论证并形成结论。</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2.1.5 对损坏严重，危及安全运行的危桥，提出处置的建议。</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2.2 桥面系构造的检查</w:t>
      </w:r>
      <w:r>
        <w:rPr>
          <w:rFonts w:hint="eastAsia" w:ascii="宋体" w:hAnsi="宋体" w:cs="宋体"/>
          <w:sz w:val="24"/>
          <w:szCs w:val="24"/>
          <w:highlight w:val="none"/>
          <w:lang w:eastAsia="zh-CN"/>
        </w:rPr>
        <w:t>，包括但不限于</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2.2.1 桥面铺装层纵、横坡是否顺适，有无严重裂缝（龟裂，纵横裂缝）、坑槽、波浪、桥头跳车、防水层漏水。</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2.2.2 伸缩缝是否有异常变形、破损、脱落、漏水，是否造成明显跳车。</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2.2.3 护栏有无撞坏、断裂、错位、缺件、剥落、锈蚀等。</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2.2.4 桥面排水是否顺畅，泄水管是否完好、畅通，桥头排水沟功能是否完好，锥坡桥头护岸有无冲蚀、塌陷。</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2.2.5 桥上交通信号、标志、标线、照明设施是否损坏、老化、失效，是否需要更换。</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2.2.6 桥上的路用通信、供电线路及设备是否完好。</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 钢筋混凝土和预应力混凝土梁桥的检查</w:t>
      </w:r>
      <w:r>
        <w:rPr>
          <w:rFonts w:hint="eastAsia" w:ascii="宋体" w:hAnsi="宋体" w:cs="宋体"/>
          <w:sz w:val="24"/>
          <w:szCs w:val="24"/>
          <w:highlight w:val="none"/>
          <w:lang w:eastAsia="zh-CN"/>
        </w:rPr>
        <w:t>，包括但不限于</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2.3.1梁端头、底面是否损坏，箱形梁内是否有积水，通气是否良好。</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2.3.2 混凝土有无裂缝、渗水、表面风化、剥落、露筋和钢筋锈蚀，有无碱集料反应引起的整体龟裂现象。混凝土表面有无严重碳化。</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2.3.3 预应力钢束锚固区段混凝土有无开裂，沿预应筋的混凝土表面有无纵向裂缝。</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2.3.4 梁（板）式结构的跨中、支点及变截面处，悬臂端牛腿或中间铰部位，钢构的固结处和桁架节点部位，混凝土是否开裂、缺损和出现钢筋锈蚀。</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2.3.5 装配式梁桥应注意检查联结部位的缺损状况。</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2.3.5.1组合梁的桥面板与梁的结合部位及预制桥面板之间的接头处混凝土有无开裂、渗水。</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2.3.5.2横向联合构件是否开裂，连接钢板的焊缝有无锈蚀、断裂，边梁有无横移或向外倾斜。</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2.4跨线桥的检查：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跨线桥的结构检查同其他一般公路桥梁。通道还应检查通道内有无积水，排水系统是否畅通。跨线桥下的道</w:t>
      </w:r>
      <w:r>
        <w:rPr>
          <w:rFonts w:hint="eastAsia" w:ascii="宋体" w:hAnsi="宋体" w:cs="宋体"/>
          <w:sz w:val="24"/>
          <w:szCs w:val="24"/>
          <w:highlight w:val="none"/>
          <w:lang w:eastAsia="zh-CN"/>
        </w:rPr>
        <w:t>路</w:t>
      </w:r>
      <w:r>
        <w:rPr>
          <w:rFonts w:hint="eastAsia" w:ascii="宋体" w:hAnsi="宋体" w:eastAsia="宋体" w:cs="宋体"/>
          <w:sz w:val="24"/>
          <w:szCs w:val="24"/>
          <w:highlight w:val="none"/>
        </w:rPr>
        <w:t>是否完好，有无非法占用情况等。</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 支座的检查</w:t>
      </w:r>
      <w:r>
        <w:rPr>
          <w:rFonts w:hint="eastAsia" w:ascii="宋体" w:hAnsi="宋体" w:cs="宋体"/>
          <w:sz w:val="24"/>
          <w:szCs w:val="24"/>
          <w:highlight w:val="none"/>
          <w:lang w:eastAsia="zh-CN"/>
        </w:rPr>
        <w:t>，包括但不限于</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2.5.1支座组件是否完好、清洁，有无断裂、错位、脱空。</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2.5.2 支承垫石是否有裂缝。</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2.5.3 橡胶支座是否老化、开裂，有无过大的剪切变形或压缩变形，各夹层钢板之间的橡胶层外凸是否均匀。</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2.5.4 四氟滑板支座是否脏污、老化，四氟乙烯板是否完好，橡胶块是否滑出钢板。</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2.5.5 盆式橡胶支座的固定螺栓是否剪断，螺母是否松动，钢盆外露部分是否锈蚀，防尘罩是否完好。</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2.5.6 支座是否丢失。</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 墩台与基础的检查</w:t>
      </w:r>
      <w:r>
        <w:rPr>
          <w:rFonts w:hint="eastAsia" w:ascii="宋体" w:hAnsi="宋体" w:cs="宋体"/>
          <w:sz w:val="24"/>
          <w:szCs w:val="24"/>
          <w:highlight w:val="none"/>
          <w:lang w:eastAsia="zh-CN"/>
        </w:rPr>
        <w:t>，包括但不限于</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2.6.1墩台及基础有无滑动、倾斜、下沉或冻拔。</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2.6.2 台背填土有无沉降或挤压隆起。</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2.6.3 混凝土墩台及帽梁有无冻胀、风化、开裂、剥落、露筋等。</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2.6.4 石砌墩台有无砌块断裂、通缝脱开、变形，砌体泄水孔是否堵塞，防水层是否损坏。</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2.6.5 墩台顶面是否清洁，伸缩缝处是否漏水。</w:t>
      </w:r>
    </w:p>
    <w:p>
      <w:pPr>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2.6.6 基础下是否发生不许可的冲刷或淘空现象，扩大基础的地基有无侵蚀。桩基顶段在水位涨落、干湿交替变化处有无冲刷磨损、颈缩、露筋，有无环状冻裂，是否受到污水、碱水或生物的腐蚀。</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2.7 调</w:t>
      </w:r>
      <w:r>
        <w:rPr>
          <w:rFonts w:hint="eastAsia" w:ascii="宋体" w:hAnsi="宋体" w:cs="宋体"/>
          <w:sz w:val="24"/>
          <w:szCs w:val="24"/>
          <w:highlight w:val="none"/>
          <w:lang w:eastAsia="zh-CN"/>
        </w:rPr>
        <w:t>治</w:t>
      </w:r>
      <w:r>
        <w:rPr>
          <w:rFonts w:hint="eastAsia" w:ascii="宋体" w:hAnsi="宋体" w:eastAsia="宋体" w:cs="宋体"/>
          <w:sz w:val="24"/>
          <w:szCs w:val="24"/>
          <w:highlight w:val="none"/>
        </w:rPr>
        <w:t>构造物是否完好，功能是否适用，桥位段河床是否有明显的冲淤或漂浮物堵塞现象。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桥梁检查中发现的各种缺损均应在现场用油漆等将其范围及日期标记清楚。发现三类以上桥梁及有严重缺损和难以判明损坏原因和程度的桥梁，应作影像记录，并附病害状况说明。同时，对桥梁、隧道安全控制区范围内的地质、地形、地貌、河道、进出口仰坡、左右边坡等涉及安全运营的情况应进行详细描述和图片记录。</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2.9 桥梁检查后应提交下列文件：</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2.9.1桥梁定期检查数据表。当天检查的桥梁现场记录，应在次日内整理成每座桥梁定期检查数据表。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2.9.2 典型缺损和病害的照片及说明。缺损状况的描述应采用专业标准术语，说明缺损的部位、类型、性质、范围、数量和程度等。</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2.9.3 </w:t>
      </w:r>
      <w:r>
        <w:rPr>
          <w:rFonts w:hint="eastAsia" w:ascii="宋体" w:hAnsi="宋体" w:cs="宋体"/>
          <w:sz w:val="24"/>
          <w:szCs w:val="24"/>
          <w:highlight w:val="none"/>
          <w:lang w:eastAsia="zh-CN"/>
        </w:rPr>
        <w:t>三</w:t>
      </w:r>
      <w:r>
        <w:rPr>
          <w:rFonts w:hint="eastAsia" w:ascii="宋体" w:hAnsi="宋体" w:eastAsia="宋体" w:cs="宋体"/>
          <w:sz w:val="24"/>
          <w:szCs w:val="24"/>
          <w:highlight w:val="none"/>
        </w:rPr>
        <w:t>张总体照片。</w:t>
      </w:r>
      <w:r>
        <w:rPr>
          <w:rFonts w:hint="eastAsia" w:ascii="宋体" w:hAnsi="宋体" w:cs="宋体"/>
          <w:sz w:val="24"/>
          <w:szCs w:val="24"/>
          <w:highlight w:val="none"/>
          <w:lang w:eastAsia="zh-CN"/>
        </w:rPr>
        <w:t>两</w:t>
      </w:r>
      <w:r>
        <w:rPr>
          <w:rFonts w:hint="eastAsia" w:ascii="宋体" w:hAnsi="宋体" w:eastAsia="宋体" w:cs="宋体"/>
          <w:sz w:val="24"/>
          <w:szCs w:val="24"/>
          <w:highlight w:val="none"/>
        </w:rPr>
        <w:t>张桥面正面照片，一张桥梁上游侧立面照片。上下游桥梁结构或长度不一致，或起止桩号不一致还要有下游侧立面照片，并标注清楚。</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2.9.4 定期检查报告。</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2.9.5 根据检测结果，绘制并提交桥梁病害示意图。</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3.隧道检测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检测采用步行方式，配备必要的检查工具或设备，进行目测或量测检查。检查时，应尽量靠近结构，依次检查各个结构部位，注意发现异常情况和原有异常情况的发展变化。主要工作</w:t>
      </w:r>
      <w:r>
        <w:rPr>
          <w:rFonts w:hint="eastAsia" w:ascii="宋体" w:hAnsi="宋体" w:cs="宋体"/>
          <w:sz w:val="24"/>
          <w:szCs w:val="24"/>
          <w:highlight w:val="none"/>
          <w:lang w:eastAsia="zh-CN"/>
        </w:rPr>
        <w:t>包括但不限于以下内容</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 检查结果及时填入“隧道定期检查记录表”（ 见《公路隧道养护技术规范》（JTG H12—2015）附录）。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3.1.2检查数据及病害绘入“隧道展示图” （ 见《公路隧道养护技术规范》（JTG H12—2015）附录）。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3.1.3 详细、准确的记录各类结构和机电设施及其它工程设施的基本技术状况，分析病害成因，给出判定结论。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3.1.4 对需要进一步查明某些破损或病害详细情况的结构，提出专项检查的要求。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土建结构检查的内容按《公路隧道养护技术规范》（JTG H12—2015）表4.4.5《定期检查内容表》及其相关规定执行。检查结果应当场填入“定期检查记录表”（附录A.0.2），将检查数据及 病害绘入“隧道展示图”（附录A.0.3），发现评定状况值为2以上的情况，应做影像记录，并详细、准确的记录缺损或病害状况，分析成因，对结构物的技术状况进行评定。</w:t>
      </w:r>
    </w:p>
    <w:p>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3.3 隧道检查中，对于有异常情况的结构，应在适当位置标记清楚。有严重缺损和难以判明损坏原因和程度的结构，应作影像记录，并附病害状况说明。检查结果尽可能量化。</w:t>
      </w:r>
      <w:r>
        <w:rPr>
          <w:rFonts w:hint="eastAsia" w:ascii="宋体" w:hAnsi="宋体" w:eastAsia="宋体" w:cs="宋体"/>
          <w:b w:val="0"/>
          <w:bCs w:val="0"/>
          <w:sz w:val="24"/>
          <w:szCs w:val="24"/>
          <w:highlight w:val="none"/>
        </w:rPr>
        <w:t>机电设施及其他工程设施，严格按照《公路隧道养护技术规范》（JTG H12—2015）规定执行，并按照附录C、附录D等规定标准进行技术状况评定。</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3.4 隧道检查后应提交下列文件：</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3.4.1隧道定期检查记录表。当天检查的隧道现场记录，应在次日内整理成每座隧道定期检查记录表。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3.4.2 典型异常情况的照片及说明。异常情况的描述应采用专业标准术语，说明其部位、类型、性质、范围、数量和程度等。</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3.4.3 两张洞口照片。隧道起终点洞口正面照片各一张，并标注清楚。</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3.4.4 绘制隧道展示图。</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3.4.5 定期检查报告。</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3.5 隧道系统</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将检测数据导入陕西省普通干线公路</w:t>
      </w:r>
      <w:r>
        <w:rPr>
          <w:rFonts w:hint="eastAsia" w:ascii="宋体" w:hAnsi="宋体" w:cs="宋体"/>
          <w:sz w:val="24"/>
          <w:szCs w:val="24"/>
          <w:highlight w:val="none"/>
          <w:lang w:eastAsia="zh-CN"/>
        </w:rPr>
        <w:t>养护年报统计</w:t>
      </w:r>
      <w:r>
        <w:rPr>
          <w:rFonts w:hint="eastAsia" w:ascii="宋体" w:hAnsi="宋体" w:eastAsia="宋体" w:cs="宋体"/>
          <w:sz w:val="24"/>
          <w:szCs w:val="24"/>
          <w:highlight w:val="none"/>
        </w:rPr>
        <w:t>管理系统。</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3.6其它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检测过程中，业主单位对检测质量将随机进行抽查。提交正式检测报告前，检测方应把病害情况、等级评定等有关问题向业主及时汇报，双方进行技术交流，必要时进行方案研讨。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检测过程中，业主单位将派桥梁、隧道工程师现场跟随检测，对检测全过程进行检查督导。桥隧检测工作在桥隧所在地完成，要求检测单位加强与桥隧所在市</w:t>
      </w:r>
      <w:r>
        <w:rPr>
          <w:rFonts w:hint="eastAsia" w:ascii="宋体" w:hAnsi="宋体" w:cs="宋体"/>
          <w:sz w:val="24"/>
          <w:szCs w:val="24"/>
          <w:highlight w:val="none"/>
          <w:lang w:eastAsia="zh-CN"/>
        </w:rPr>
        <w:t>县交通运输</w:t>
      </w:r>
      <w:r>
        <w:rPr>
          <w:rFonts w:hint="eastAsia" w:ascii="宋体" w:hAnsi="宋体" w:eastAsia="宋体" w:cs="宋体"/>
          <w:sz w:val="24"/>
          <w:szCs w:val="24"/>
          <w:highlight w:val="none"/>
        </w:rPr>
        <w:t>局沟通，对有争议的评定结果要逐一说明情况，并附详细的病害图片说明。</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四、</w:t>
      </w:r>
      <w:r>
        <w:rPr>
          <w:rFonts w:hint="eastAsia" w:ascii="宋体" w:hAnsi="宋体" w:eastAsia="宋体" w:cs="宋体"/>
          <w:b/>
          <w:bCs/>
          <w:sz w:val="24"/>
          <w:szCs w:val="24"/>
          <w:highlight w:val="none"/>
        </w:rPr>
        <w:t>检测数据整理及检测报告编制</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桥梁检测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对业主集中指定的全省</w:t>
      </w:r>
      <w:r>
        <w:rPr>
          <w:rFonts w:hint="eastAsia" w:ascii="宋体" w:hAnsi="宋体" w:cs="宋体"/>
          <w:sz w:val="24"/>
          <w:szCs w:val="24"/>
          <w:highlight w:val="none"/>
          <w:lang w:eastAsia="zh-CN"/>
        </w:rPr>
        <w:t>新增省道</w:t>
      </w:r>
      <w:r>
        <w:rPr>
          <w:rFonts w:hint="eastAsia" w:ascii="宋体" w:hAnsi="宋体" w:eastAsia="宋体" w:cs="宋体"/>
          <w:sz w:val="24"/>
          <w:szCs w:val="24"/>
          <w:highlight w:val="none"/>
        </w:rPr>
        <w:t>公路桥梁按定期检查工作深度进行评定，按照业主要求的时间将检查评定数据导入陕西省</w:t>
      </w:r>
      <w:r>
        <w:rPr>
          <w:rFonts w:hint="eastAsia" w:ascii="宋体" w:hAnsi="宋体" w:cs="宋体"/>
          <w:sz w:val="24"/>
          <w:szCs w:val="24"/>
          <w:highlight w:val="none"/>
          <w:lang w:eastAsia="zh-CN"/>
        </w:rPr>
        <w:t>普通干线公路养护统计年报</w:t>
      </w:r>
      <w:r>
        <w:rPr>
          <w:rFonts w:hint="eastAsia" w:ascii="宋体" w:hAnsi="宋体" w:eastAsia="宋体" w:cs="宋体"/>
          <w:sz w:val="24"/>
          <w:szCs w:val="24"/>
          <w:highlight w:val="none"/>
        </w:rPr>
        <w:t>管理系统，对指定检查桥梁检查结果与陕西省公路</w:t>
      </w:r>
      <w:r>
        <w:rPr>
          <w:rFonts w:hint="eastAsia" w:ascii="宋体" w:hAnsi="宋体" w:cs="宋体"/>
          <w:sz w:val="24"/>
          <w:szCs w:val="24"/>
          <w:highlight w:val="none"/>
          <w:lang w:eastAsia="zh-CN"/>
        </w:rPr>
        <w:t>普通干线公路养护统计年报</w:t>
      </w:r>
      <w:r>
        <w:rPr>
          <w:rFonts w:hint="eastAsia" w:ascii="宋体" w:hAnsi="宋体" w:eastAsia="宋体" w:cs="宋体"/>
          <w:sz w:val="24"/>
          <w:szCs w:val="24"/>
          <w:highlight w:val="none"/>
        </w:rPr>
        <w:t>内的评定结果进行比对，针对指定检查的桥梁病害情况，逐一提出养护方案及桥梁病害的解决方案；汇总桥梁定期检查数据，进行数据整理分析，编制所检测桥梁总报告；对业主在合同期内不定期指定的桥梁技术状况进行及时复核，每座桥梁单独出具桥梁技术状况复核报告，并将复核结果导入</w:t>
      </w:r>
      <w:r>
        <w:rPr>
          <w:rFonts w:hint="eastAsia" w:ascii="宋体" w:hAnsi="宋体" w:cs="宋体"/>
          <w:sz w:val="24"/>
          <w:szCs w:val="24"/>
          <w:highlight w:val="none"/>
          <w:lang w:eastAsia="zh-CN"/>
        </w:rPr>
        <w:t>年报</w:t>
      </w:r>
      <w:r>
        <w:rPr>
          <w:rFonts w:hint="eastAsia" w:ascii="宋体" w:hAnsi="宋体" w:eastAsia="宋体" w:cs="宋体"/>
          <w:sz w:val="24"/>
          <w:szCs w:val="24"/>
          <w:highlight w:val="none"/>
        </w:rPr>
        <w:t>管理系统。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本项目的桥梁检测应按《公路桥涵养护规范》（</w:t>
      </w:r>
      <w:r>
        <w:rPr>
          <w:rFonts w:hint="eastAsia" w:ascii="宋体" w:hAnsi="宋体" w:eastAsia="宋体" w:cs="宋体"/>
          <w:color w:val="auto"/>
          <w:sz w:val="24"/>
          <w:szCs w:val="24"/>
          <w:highlight w:val="none"/>
          <w:lang w:val="en-US" w:eastAsia="zh-CN"/>
        </w:rPr>
        <w:t>JTGH</w:t>
      </w:r>
      <w:r>
        <w:rPr>
          <w:rFonts w:hint="eastAsia" w:cs="宋体"/>
          <w:color w:val="auto"/>
          <w:sz w:val="24"/>
          <w:szCs w:val="24"/>
          <w:highlight w:val="none"/>
          <w:lang w:val="en-US" w:eastAsia="zh-CN"/>
        </w:rPr>
        <w:t>5120</w:t>
      </w: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21</w:t>
      </w:r>
      <w:r>
        <w:rPr>
          <w:rFonts w:hint="eastAsia" w:ascii="宋体" w:hAnsi="宋体" w:eastAsia="宋体" w:cs="宋体"/>
          <w:sz w:val="24"/>
          <w:szCs w:val="24"/>
          <w:highlight w:val="none"/>
        </w:rPr>
        <w:t>）和《公路桥梁技术状况评定标准》（JTG/TH21—2011）定期检查的相关要求和标准执行。</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隧道检测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本项目的隧道检测应按《公路隧道养护技术规范》（JTG H12—2015）定期检查的相关要求和本规范要求达到的指标和标准，完成下列工作：</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2.1 原始记录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2.1.1详细、准确的记录各类土建结构、机电设施、其它工程设施的基本技术状况，分析病害成因，给出判定结论， 填写“隧道定期检查记录表”（《公路隧道养护技术规范》（JTG H12—2015）附录）；</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2.1.2 绘制“隧道展示图” （《公路隧道养护技术规范》（JTG H12—2015）附录）</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2.1.3 提出实施专项检查的建议和采取处治措施的建议；</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2.1.4 其他。</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2.2 资料整理</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按项目分别进行汇总分析，提出隧道定期检查报告，内容应包括：</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对隧道技术状况和功能状态的评价；</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对隧道养护维修状况的评价及建议；</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需要实施专项检查的建议；</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需要采取处治措施的建议。</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此外，检查报告还应附检查记录表、隧道展示图以及其他有关检测记录资料。按照业主要求的时间将检查评定数据导入</w:t>
      </w:r>
      <w:r>
        <w:rPr>
          <w:rFonts w:hint="eastAsia" w:ascii="宋体" w:hAnsi="宋体" w:cs="宋体"/>
          <w:sz w:val="24"/>
          <w:szCs w:val="24"/>
          <w:highlight w:val="none"/>
          <w:lang w:eastAsia="zh-CN"/>
        </w:rPr>
        <w:t>普通干线公路养护统计年报</w:t>
      </w:r>
      <w:r>
        <w:rPr>
          <w:rFonts w:hint="eastAsia" w:ascii="宋体" w:hAnsi="宋体" w:eastAsia="宋体" w:cs="宋体"/>
          <w:sz w:val="24"/>
          <w:szCs w:val="24"/>
          <w:highlight w:val="none"/>
        </w:rPr>
        <w:t>管理系统。</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 根据桥梁隧道检测结果，计算技术状况指数。</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 资料提交方式</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桥梁按《公路桥涵养护规范》（JTGH11—2004）和本技术规范有关规定提交资料报告及各类检测报告，报告一律按正式打印文本交付外，还需将所有一切检测记录、中间分析资料及书面文本的底本均采用</w:t>
      </w:r>
      <w:r>
        <w:rPr>
          <w:rFonts w:hint="eastAsia" w:ascii="宋体" w:hAnsi="宋体" w:cs="宋体"/>
          <w:sz w:val="24"/>
          <w:szCs w:val="24"/>
          <w:highlight w:val="none"/>
          <w:lang w:eastAsia="zh-CN"/>
        </w:rPr>
        <w:t>硬盘</w:t>
      </w:r>
      <w:r>
        <w:rPr>
          <w:rFonts w:hint="eastAsia" w:ascii="宋体" w:hAnsi="宋体" w:eastAsia="宋体" w:cs="宋体"/>
          <w:sz w:val="24"/>
          <w:szCs w:val="24"/>
          <w:highlight w:val="none"/>
        </w:rPr>
        <w:t>记录交付。</w:t>
      </w:r>
      <w:r>
        <w:rPr>
          <w:rFonts w:hint="eastAsia" w:ascii="宋体" w:hAnsi="宋体" w:eastAsia="宋体" w:cs="宋体"/>
          <w:b/>
          <w:bCs/>
          <w:sz w:val="24"/>
          <w:szCs w:val="24"/>
          <w:highlight w:val="none"/>
        </w:rPr>
        <w:t>在提交的报告中需逐桥提供桥梁检测车现场作业照片</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单位提交8份报告和</w:t>
      </w:r>
      <w:r>
        <w:rPr>
          <w:rFonts w:hint="eastAsia" w:ascii="宋体" w:hAnsi="宋体" w:cs="宋体"/>
          <w:sz w:val="24"/>
          <w:szCs w:val="24"/>
          <w:highlight w:val="none"/>
          <w:lang w:val="en-US" w:eastAsia="zh-CN"/>
        </w:rPr>
        <w:t>1份</w:t>
      </w:r>
      <w:r>
        <w:rPr>
          <w:rFonts w:hint="eastAsia" w:ascii="宋体" w:hAnsi="宋体" w:eastAsia="宋体" w:cs="宋体"/>
          <w:sz w:val="24"/>
          <w:szCs w:val="24"/>
          <w:highlight w:val="none"/>
        </w:rPr>
        <w:t>电子文档</w:t>
      </w:r>
      <w:r>
        <w:rPr>
          <w:rFonts w:hint="eastAsia" w:ascii="宋体" w:hAnsi="宋体" w:cs="宋体"/>
          <w:sz w:val="24"/>
          <w:szCs w:val="24"/>
          <w:highlight w:val="none"/>
          <w:lang w:eastAsia="zh-CN"/>
        </w:rPr>
        <w:t>（具体按甲方要求）</w:t>
      </w:r>
      <w:r>
        <w:rPr>
          <w:rFonts w:hint="eastAsia" w:ascii="宋体" w:hAnsi="宋体" w:eastAsia="宋体" w:cs="宋体"/>
          <w:sz w:val="24"/>
          <w:szCs w:val="24"/>
          <w:highlight w:val="none"/>
        </w:rPr>
        <w:t>。</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五、</w:t>
      </w:r>
      <w:r>
        <w:rPr>
          <w:rFonts w:hint="eastAsia" w:ascii="宋体" w:hAnsi="宋体" w:eastAsia="宋体" w:cs="宋体"/>
          <w:b/>
          <w:bCs/>
          <w:sz w:val="24"/>
          <w:szCs w:val="24"/>
          <w:highlight w:val="none"/>
        </w:rPr>
        <w:t>报告编制基本格式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桥梁检测单位应按照规范规定的检查方法，逐桥现场核查桥梁基本数据，核对“桥梁基本状况卡片”，当场填写“桥梁评定指标检查记录表”，逐孔逐部件对各类病害缺损进行检查量测拍照，绘制全桥病害展开示意图（标明病害位置、发展过程、量测数据等），实地判断损坏原因，确定维修范围及方式等。检查结束后应按照分层综合评定与单项指标控制相结合的方法进行评定，逐桥提交定期检查评定分析报告，并更新</w:t>
      </w:r>
      <w:r>
        <w:rPr>
          <w:rFonts w:hint="eastAsia" w:ascii="宋体" w:hAnsi="宋体" w:cs="宋体"/>
          <w:sz w:val="24"/>
          <w:szCs w:val="24"/>
          <w:highlight w:val="none"/>
          <w:lang w:eastAsia="zh-CN"/>
        </w:rPr>
        <w:t>年报</w:t>
      </w:r>
      <w:r>
        <w:rPr>
          <w:rFonts w:hint="eastAsia" w:ascii="宋体" w:hAnsi="宋体" w:eastAsia="宋体" w:cs="宋体"/>
          <w:sz w:val="24"/>
          <w:szCs w:val="24"/>
          <w:highlight w:val="none"/>
        </w:rPr>
        <w:t>管理系统。逐桥评定分析报告主要内容包括：</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（一）概述检测工作背景、主要内容和检测设备仪器。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（二）逐桥说明路线桩号、长度、上下部结构形式、荷载等级、桥面系、主要材料构成等基本情况，附正侧面彩色照片。</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（三）逐桥详细说明结构病害检查检测情况：包括主次要部件组成划分、各部件权重取值；详细定性和定量描述逐孔逐构件部件技术状况以及损坏病害发展过程。附：各类病害缺损照片，全桥病害展开示意图等。</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（四）逐桥详细说明各构件、部件技术状况标度判定标准以及对比评定结果，说明上下部结构、桥面系、全桥总体技术状况评定计算过程以及评定结果。</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（五）逐桥提出小修保养、大中修加固方案对策建议，包括估算工程量和费用，交通管制措施等。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隧道检测单位应按照规范规定的检查方法，逐隧现场核查隧道基本数据，核对“隧道基本状况卡片”，当场填写“隧道定期检查记录表”，对各类病害缺损进行检查量测拍照，判断损坏原因，绘制全隧病害展开示意图（标明病害位置、发展过程、量测数据等）。</w:t>
      </w:r>
      <w:r>
        <w:rPr>
          <w:rFonts w:hint="eastAsia" w:ascii="宋体" w:hAnsi="宋体" w:eastAsia="宋体" w:cs="宋体"/>
          <w:b/>
          <w:bCs/>
          <w:sz w:val="24"/>
          <w:szCs w:val="24"/>
          <w:highlight w:val="none"/>
        </w:rPr>
        <w:t>检查结束后应提交土建结构和机电及其它设施定期检查评定分析报告，</w:t>
      </w:r>
      <w:r>
        <w:rPr>
          <w:rFonts w:hint="eastAsia" w:ascii="宋体" w:hAnsi="宋体" w:eastAsia="宋体" w:cs="宋体"/>
          <w:sz w:val="24"/>
          <w:szCs w:val="24"/>
          <w:highlight w:val="none"/>
        </w:rPr>
        <w:t>并及时更新</w:t>
      </w:r>
      <w:r>
        <w:rPr>
          <w:rFonts w:hint="eastAsia" w:ascii="宋体" w:hAnsi="宋体" w:cs="宋体"/>
          <w:sz w:val="24"/>
          <w:szCs w:val="24"/>
          <w:highlight w:val="none"/>
          <w:lang w:eastAsia="zh-CN"/>
        </w:rPr>
        <w:t>养护年报</w:t>
      </w:r>
      <w:r>
        <w:rPr>
          <w:rFonts w:hint="eastAsia" w:ascii="宋体" w:hAnsi="宋体" w:eastAsia="宋体" w:cs="宋体"/>
          <w:sz w:val="24"/>
          <w:szCs w:val="24"/>
          <w:highlight w:val="none"/>
        </w:rPr>
        <w:t>管理系统。逐隧评定分析报告主要内容包括：</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（一）概述检测工作背景、主要内容和检测设备仪器。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（二）逐隧说明路线桩号、长度、路面结构、主要材料构成等基本情况，附进出洞口彩色照片。</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三）逐隧详细说明洞口、洞门、衬砌、路面、检修道、排水系统、吊顶、内装等土建结构和机电及其它设施病害检查检测情况，详细定性和定量描述技术状况以及损坏病害发展过程，特别是外荷载作用、材料劣化和渗漏水方面，附：各类病害缺损照片，全隧病害展开示意图等。</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（四）逐隧详细说明技术状况判定标准以及对比评价功能状态，说明确定技术状况评定结果情况。</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（五）逐隧提出对策建议，包括小修保养、大中修加固方案以及估算工程量和费用，交通管制措施等。</w:t>
      </w:r>
    </w:p>
    <w:p>
      <w:pPr>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其它要求</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eastAsia="宋体" w:cs="宋体"/>
          <w:b w:val="0"/>
          <w:bCs w:val="0"/>
          <w:sz w:val="24"/>
          <w:szCs w:val="24"/>
          <w:highlight w:val="none"/>
        </w:rPr>
        <w:t>、检测单位完成相关报告编制工作后，还应以</w:t>
      </w:r>
      <w:r>
        <w:rPr>
          <w:rFonts w:hint="eastAsia" w:ascii="宋体" w:hAnsi="宋体" w:eastAsia="宋体" w:cs="宋体"/>
          <w:b w:val="0"/>
          <w:bCs w:val="0"/>
          <w:sz w:val="24"/>
          <w:szCs w:val="24"/>
          <w:highlight w:val="none"/>
          <w:lang w:eastAsia="zh-CN"/>
        </w:rPr>
        <w:t>市</w:t>
      </w:r>
      <w:r>
        <w:rPr>
          <w:rFonts w:hint="eastAsia" w:ascii="宋体" w:hAnsi="宋体" w:eastAsia="宋体" w:cs="宋体"/>
          <w:b w:val="0"/>
          <w:bCs w:val="0"/>
          <w:sz w:val="24"/>
          <w:szCs w:val="24"/>
          <w:highlight w:val="none"/>
        </w:rPr>
        <w:t>为单元</w:t>
      </w:r>
      <w:r>
        <w:rPr>
          <w:rFonts w:hint="eastAsia" w:ascii="宋体" w:hAnsi="宋体" w:eastAsia="宋体" w:cs="宋体"/>
          <w:b w:val="0"/>
          <w:bCs w:val="0"/>
          <w:sz w:val="24"/>
          <w:szCs w:val="24"/>
          <w:highlight w:val="none"/>
          <w:lang w:eastAsia="zh-CN"/>
        </w:rPr>
        <w:t>分别</w:t>
      </w:r>
      <w:r>
        <w:rPr>
          <w:rFonts w:hint="eastAsia" w:ascii="宋体" w:hAnsi="宋体" w:eastAsia="宋体" w:cs="宋体"/>
          <w:b w:val="0"/>
          <w:bCs w:val="0"/>
          <w:sz w:val="24"/>
          <w:szCs w:val="24"/>
          <w:highlight w:val="none"/>
        </w:rPr>
        <w:t>编制总报告、以县为单元提供分报告和拟提交评审验收的PPT汇报演示资料等，具体要求与</w:t>
      </w:r>
      <w:r>
        <w:rPr>
          <w:rFonts w:hint="eastAsia" w:ascii="宋体" w:hAnsi="宋体" w:eastAsia="宋体" w:cs="宋体"/>
          <w:b w:val="0"/>
          <w:bCs w:val="0"/>
          <w:sz w:val="24"/>
          <w:szCs w:val="24"/>
          <w:highlight w:val="none"/>
          <w:lang w:eastAsia="zh-CN"/>
        </w:rPr>
        <w:t>采购人</w:t>
      </w:r>
      <w:r>
        <w:rPr>
          <w:rFonts w:hint="eastAsia" w:ascii="宋体" w:hAnsi="宋体" w:eastAsia="宋体" w:cs="宋体"/>
          <w:b w:val="0"/>
          <w:bCs w:val="0"/>
          <w:sz w:val="24"/>
          <w:szCs w:val="24"/>
          <w:highlight w:val="none"/>
        </w:rPr>
        <w:t xml:space="preserve">业主沟通协调确定。 </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2、检测单位提供相关市</w:t>
      </w:r>
      <w:r>
        <w:rPr>
          <w:rFonts w:hint="eastAsia" w:ascii="宋体" w:hAnsi="宋体" w:cs="宋体"/>
          <w:b w:val="0"/>
          <w:bCs w:val="0"/>
          <w:sz w:val="24"/>
          <w:szCs w:val="24"/>
          <w:highlight w:val="none"/>
          <w:lang w:eastAsia="zh-CN"/>
        </w:rPr>
        <w:t>交通运输</w:t>
      </w:r>
      <w:r>
        <w:rPr>
          <w:rFonts w:hint="eastAsia" w:ascii="宋体" w:hAnsi="宋体" w:eastAsia="宋体" w:cs="宋体"/>
          <w:b w:val="0"/>
          <w:bCs w:val="0"/>
          <w:sz w:val="24"/>
          <w:szCs w:val="24"/>
          <w:highlight w:val="none"/>
        </w:rPr>
        <w:t>局对开展本项目工作情况的评价、所检查评定桥隧技术状况的意见和其它建议意见等（经各市</w:t>
      </w:r>
      <w:r>
        <w:rPr>
          <w:rFonts w:hint="eastAsia" w:ascii="宋体" w:hAnsi="宋体" w:cs="宋体"/>
          <w:b w:val="0"/>
          <w:bCs w:val="0"/>
          <w:sz w:val="24"/>
          <w:szCs w:val="24"/>
          <w:highlight w:val="none"/>
          <w:lang w:eastAsia="zh-CN"/>
        </w:rPr>
        <w:t>交通运输</w:t>
      </w:r>
      <w:r>
        <w:rPr>
          <w:rFonts w:hint="eastAsia" w:ascii="宋体" w:hAnsi="宋体" w:eastAsia="宋体" w:cs="宋体"/>
          <w:b w:val="0"/>
          <w:bCs w:val="0"/>
          <w:sz w:val="24"/>
          <w:szCs w:val="24"/>
          <w:highlight w:val="none"/>
        </w:rPr>
        <w:t>局桥梁工程师、分管科室负责人、分管领导签字并加盖单位公章）。</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3、在合同服务期限内</w:t>
      </w:r>
      <w:r>
        <w:rPr>
          <w:rFonts w:hint="eastAsia" w:ascii="宋体" w:hAnsi="宋体" w:cs="宋体"/>
          <w:b w:val="0"/>
          <w:bCs w:val="0"/>
          <w:sz w:val="24"/>
          <w:szCs w:val="24"/>
          <w:highlight w:val="none"/>
          <w:lang w:eastAsia="zh-CN"/>
        </w:rPr>
        <w:t>延长</w:t>
      </w:r>
      <w:r>
        <w:rPr>
          <w:rFonts w:hint="eastAsia" w:ascii="宋体" w:hAnsi="宋体" w:cs="宋体"/>
          <w:b w:val="0"/>
          <w:bCs w:val="0"/>
          <w:sz w:val="24"/>
          <w:szCs w:val="24"/>
          <w:highlight w:val="none"/>
          <w:lang w:val="en-US" w:eastAsia="zh-CN"/>
        </w:rPr>
        <w:t>6个月，</w:t>
      </w:r>
      <w:r>
        <w:rPr>
          <w:rFonts w:hint="eastAsia" w:ascii="宋体" w:hAnsi="宋体" w:eastAsia="宋体" w:cs="宋体"/>
          <w:b w:val="0"/>
          <w:bCs w:val="0"/>
          <w:sz w:val="24"/>
          <w:szCs w:val="24"/>
          <w:highlight w:val="none"/>
        </w:rPr>
        <w:t>各市通过经常性检查发现已经</w:t>
      </w:r>
      <w:r>
        <w:rPr>
          <w:rFonts w:hint="eastAsia" w:ascii="宋体" w:hAnsi="宋体" w:cs="宋体"/>
          <w:b w:val="0"/>
          <w:bCs w:val="0"/>
          <w:sz w:val="24"/>
          <w:szCs w:val="24"/>
          <w:highlight w:val="none"/>
          <w:lang w:eastAsia="zh-CN"/>
        </w:rPr>
        <w:t>成交</w:t>
      </w:r>
      <w:r>
        <w:rPr>
          <w:rFonts w:hint="eastAsia" w:ascii="宋体" w:hAnsi="宋体" w:eastAsia="宋体" w:cs="宋体"/>
          <w:b w:val="0"/>
          <w:bCs w:val="0"/>
          <w:sz w:val="24"/>
          <w:szCs w:val="24"/>
          <w:highlight w:val="none"/>
        </w:rPr>
        <w:t>人定期检查检测评定的桥梁或隧道，属于疑似四五类的，由</w:t>
      </w:r>
      <w:r>
        <w:rPr>
          <w:rFonts w:hint="eastAsia" w:ascii="宋体" w:hAnsi="宋体" w:cs="宋体"/>
          <w:b w:val="0"/>
          <w:bCs w:val="0"/>
          <w:sz w:val="24"/>
          <w:szCs w:val="24"/>
          <w:highlight w:val="none"/>
          <w:lang w:eastAsia="zh-CN"/>
        </w:rPr>
        <w:t>成交</w:t>
      </w:r>
      <w:r>
        <w:rPr>
          <w:rFonts w:hint="eastAsia" w:ascii="宋体" w:hAnsi="宋体" w:eastAsia="宋体" w:cs="宋体"/>
          <w:b w:val="0"/>
          <w:bCs w:val="0"/>
          <w:sz w:val="24"/>
          <w:szCs w:val="24"/>
          <w:highlight w:val="none"/>
        </w:rPr>
        <w:t>人进行现场复查，复查费用包含在本次招标供应商合同单价内，不单独计量支付。</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4、合同期限内可能存在的桥梁隧道需要进行特殊检查、荷载试验等专项检查检测的，中标人必须予以配合，费用另行协商解决。</w:t>
      </w:r>
    </w:p>
    <w:p>
      <w:pPr>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六</w:t>
      </w:r>
      <w:r>
        <w:rPr>
          <w:rFonts w:hint="eastAsia" w:ascii="宋体" w:hAnsi="宋体" w:eastAsia="宋体" w:cs="宋体"/>
          <w:b/>
          <w:bCs/>
          <w:sz w:val="24"/>
          <w:szCs w:val="24"/>
          <w:highlight w:val="none"/>
        </w:rPr>
        <w:t>、工作量及报价清单说明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工作量清单与供应商须知、合同条款、技术规范等文件结合起来查阅与理解。本招标文件工作量清单中给定项目的编号、细目名称、单位、数量不允许增删调整，否则将按废标处理。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作量清单中所列工程数量是估算的预计数量，仅作为投标的基础数据，不作为最终结算与支付的依据。实际支付按实际完成的工作量，由中标人按技术规范规定的计量方法，以业主认可的工程数量，按合同单价计算支付金额。</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（1）在实施过程中发生的工作量与工作量清单中开列的工作量可能会发生变化，但不论某一项工作量增加或减少多少均按承包人投标报价中的单价执行，不做任何调整，供应商在投标报价时应充分考虑。</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（2）在项目实施过程中，根据项目实际情况需要新增某个项目，而且该项目在原工作量清单中并未存在时，其单价参照类似投标单价执行。</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（3）供应商应充分考虑冬季作业要求和公路桥隧检测工作的特殊性，在报价中充分考虑检测现场交通拥堵效率降低以及停滞而发生的费用。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除非合同另有规定，工作量清单中有标价的单价和总额价均已包括了为实施和完成合同项目所需的进出场、劳务、材料、搭建、机械、质检（自检）、安装、管理、保险、税费、利润等费用，以及合同明示或暗示的所有责任、义务和一般风险。</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第三方责任险中标人必须投保，投保额为100万元/次，次数不限，不单独报价，已包括在工作量清单的其他单价或总额价之中。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作量清单中本合同项目的每一个细目，都需填入单价；对于没有填入单价或总额价的细目，其费用应视为已包括在工作量清单的其他单价或总额价之中，承包人必须按业主指令完成工作量清单中未填入单价或总额价的工程细目，但不能得到结算与支付。</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符合合同条款规定的全部工作及费用应认为已被计入有标价的工作量清单所列各细目之中，未列细目不予计量的工作，其费用应视为已分摊在本合同项目的有关细目的单价或总额价之中。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工作量清单是和技术规范相对应的，因此，工作量清单中的工程细目的范围与计量等应与技术规范的范围、计量与支付条款结合起来理解或解释。</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对符合要求的投标文件，在签订合同协议书前，如发生工作量清单中有计算方面的算术性差错，应按供应商须知的规定予以修正。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工作量清单中所列工作量的变动，丝毫不会降低或影响合同条款的效力，也不免除承包人按规定的标准进行检测和修复缺陷的责任。</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 </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承包人用于本合同项目的驻地建设费用、交通管制费、标志及安全设施购置费，已包括在工作量清单的单价与总额价之中。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承包人用于本合同项目的各类装备的提供、运输、维护、拆卸、拼装等支付的费用，已包括在工作量清单的单价与总额价之中。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在工作量清单中标明的暂定金额归业主统筹使用，除合同另有规定外，应按合同条款的规定，结合项目具体情况，经业主批准后全部或部分地使用，或者根本不予动用。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检测水电、临时占地及开工前相关手续由承包人自行办理。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计量方法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用于支付已完项目的计量方法，应按合同条件中相应章节的“费用与支付”条款的规定。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本项目中标单位的设施、设备、人员等费用应包含在单价中，不单独报价。</w:t>
      </w:r>
    </w:p>
    <w:p>
      <w:pPr>
        <w:rPr>
          <w:rFonts w:hint="eastAsia" w:ascii="宋体" w:hAnsi="宋体" w:cs="宋体"/>
          <w:sz w:val="32"/>
          <w:szCs w:val="32"/>
          <w:highlight w:val="none"/>
        </w:rPr>
      </w:pPr>
      <w:r>
        <w:rPr>
          <w:rFonts w:hint="eastAsia" w:ascii="宋体" w:hAnsi="宋体" w:cs="宋体"/>
          <w:sz w:val="32"/>
          <w:szCs w:val="32"/>
          <w:highlight w:val="none"/>
        </w:rPr>
        <w:br w:type="page"/>
      </w:r>
    </w:p>
    <w:p>
      <w:pPr>
        <w:pStyle w:val="4"/>
        <w:keepNext w:val="0"/>
        <w:keepLines w:val="0"/>
        <w:rPr>
          <w:rFonts w:ascii="宋体" w:hAnsi="宋体" w:cs="宋体"/>
          <w:highlight w:val="none"/>
        </w:rPr>
      </w:pPr>
      <w:r>
        <w:rPr>
          <w:rFonts w:hint="eastAsia" w:ascii="宋体" w:hAnsi="宋体" w:cs="宋体"/>
          <w:sz w:val="32"/>
          <w:szCs w:val="32"/>
          <w:highlight w:val="none"/>
        </w:rPr>
        <w:t>第四部分  商务及合同主要条款</w:t>
      </w:r>
      <w:bookmarkEnd w:id="57"/>
      <w:bookmarkEnd w:id="58"/>
      <w:bookmarkEnd w:id="59"/>
      <w:bookmarkEnd w:id="60"/>
      <w:bookmarkEnd w:id="61"/>
      <w:bookmarkEnd w:id="62"/>
      <w:bookmarkEnd w:id="63"/>
    </w:p>
    <w:p>
      <w:pPr>
        <w:spacing w:line="360" w:lineRule="auto"/>
        <w:ind w:firstLine="560" w:firstLineChars="200"/>
        <w:rPr>
          <w:rFonts w:ascii="宋体" w:hAnsi="宋体" w:cs="宋体"/>
          <w:sz w:val="28"/>
          <w:szCs w:val="28"/>
          <w:highlight w:val="none"/>
        </w:rPr>
      </w:pPr>
      <w:bookmarkStart w:id="64" w:name="_Toc13278"/>
      <w:bookmarkStart w:id="65" w:name="_Toc519156757"/>
      <w:r>
        <w:rPr>
          <w:rFonts w:hint="eastAsia" w:ascii="宋体" w:hAnsi="宋体" w:cs="宋体"/>
          <w:sz w:val="28"/>
          <w:szCs w:val="28"/>
          <w:highlight w:val="none"/>
        </w:rPr>
        <w:t>本表是对合同条款的具体补充和修改，如有矛盾，应以本资料表为准。</w:t>
      </w:r>
    </w:p>
    <w:tbl>
      <w:tblPr>
        <w:tblStyle w:val="23"/>
        <w:tblW w:w="9072" w:type="dxa"/>
        <w:tblInd w:w="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7"/>
        <w:gridCol w:w="8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序号</w:t>
            </w:r>
          </w:p>
        </w:tc>
        <w:tc>
          <w:tcPr>
            <w:tcW w:w="8445" w:type="dxa"/>
            <w:vAlign w:val="center"/>
          </w:tcPr>
          <w:p>
            <w:pPr>
              <w:spacing w:line="500" w:lineRule="exact"/>
              <w:jc w:val="center"/>
              <w:rPr>
                <w:rFonts w:ascii="宋体" w:hAnsi="宋体" w:cs="宋体"/>
                <w:b/>
                <w:sz w:val="24"/>
                <w:highlight w:val="none"/>
              </w:rPr>
            </w:pPr>
            <w:r>
              <w:rPr>
                <w:rFonts w:hint="eastAsia" w:ascii="宋体" w:hAnsi="宋体" w:cs="宋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1</w:t>
            </w:r>
          </w:p>
        </w:tc>
        <w:tc>
          <w:tcPr>
            <w:tcW w:w="8445" w:type="dxa"/>
            <w:vAlign w:val="center"/>
          </w:tcPr>
          <w:p>
            <w:pPr>
              <w:spacing w:line="500" w:lineRule="exact"/>
              <w:rPr>
                <w:rFonts w:ascii="宋体" w:hAnsi="宋体" w:cs="宋体"/>
                <w:sz w:val="24"/>
                <w:highlight w:val="none"/>
              </w:rPr>
            </w:pPr>
            <w:r>
              <w:rPr>
                <w:rFonts w:hint="eastAsia" w:ascii="宋体" w:hAnsi="宋体" w:cs="宋体"/>
                <w:b/>
                <w:bCs/>
                <w:sz w:val="24"/>
                <w:highlight w:val="none"/>
              </w:rPr>
              <w:t>采购人（甲方）名称：</w:t>
            </w:r>
            <w:r>
              <w:rPr>
                <w:rFonts w:hint="eastAsia" w:ascii="宋体" w:hAnsi="宋体" w:cs="宋体"/>
                <w:sz w:val="24"/>
                <w:highlight w:val="none"/>
              </w:rPr>
              <w:t>陕西省公路局</w:t>
            </w:r>
          </w:p>
          <w:p>
            <w:pPr>
              <w:spacing w:line="500" w:lineRule="exact"/>
              <w:rPr>
                <w:rFonts w:ascii="宋体" w:hAnsi="宋体" w:cs="宋体"/>
                <w:sz w:val="24"/>
                <w:highlight w:val="none"/>
                <w:u w:val="single"/>
              </w:rPr>
            </w:pPr>
            <w:r>
              <w:rPr>
                <w:rFonts w:hint="eastAsia" w:ascii="宋体" w:hAnsi="宋体" w:cs="宋体"/>
                <w:b/>
                <w:bCs/>
                <w:sz w:val="24"/>
                <w:highlight w:val="none"/>
              </w:rPr>
              <w:t>地址：</w:t>
            </w:r>
            <w:r>
              <w:rPr>
                <w:rFonts w:hint="eastAsia" w:ascii="宋体" w:hAnsi="宋体" w:cs="宋体"/>
                <w:kern w:val="0"/>
                <w:sz w:val="24"/>
                <w:highlight w:val="none"/>
              </w:rPr>
              <w:t>西安市含光北路110号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2</w:t>
            </w:r>
          </w:p>
        </w:tc>
        <w:tc>
          <w:tcPr>
            <w:tcW w:w="8445" w:type="dxa"/>
            <w:vAlign w:val="center"/>
          </w:tcPr>
          <w:p>
            <w:pPr>
              <w:spacing w:line="500" w:lineRule="exact"/>
              <w:rPr>
                <w:rFonts w:ascii="宋体" w:hAnsi="宋体" w:cs="宋体"/>
                <w:sz w:val="24"/>
                <w:highlight w:val="none"/>
                <w:u w:val="single"/>
              </w:rPr>
            </w:pPr>
            <w:r>
              <w:rPr>
                <w:rFonts w:hint="eastAsia" w:ascii="宋体" w:hAnsi="宋体" w:cs="宋体"/>
                <w:b/>
                <w:bCs/>
                <w:sz w:val="24"/>
                <w:highlight w:val="none"/>
              </w:rPr>
              <w:t>供应商（乙方）：</w:t>
            </w:r>
            <w:r>
              <w:rPr>
                <w:rFonts w:hint="eastAsia" w:ascii="宋体" w:hAnsi="宋体" w:cs="宋体"/>
                <w:sz w:val="24"/>
                <w:highlight w:val="none"/>
              </w:rPr>
              <w:t>成交人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3</w:t>
            </w:r>
          </w:p>
        </w:tc>
        <w:tc>
          <w:tcPr>
            <w:tcW w:w="84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宋体"/>
                <w:highlight w:val="none"/>
                <w:lang w:val="en-US" w:eastAsia="zh-CN"/>
              </w:rPr>
            </w:pPr>
            <w:r>
              <w:rPr>
                <w:rFonts w:hint="eastAsia" w:ascii="宋体" w:hAnsi="宋体" w:cs="宋体"/>
                <w:b/>
                <w:bCs/>
                <w:sz w:val="24"/>
                <w:highlight w:val="none"/>
              </w:rPr>
              <w:t>服务期：</w:t>
            </w:r>
            <w:r>
              <w:rPr>
                <w:rFonts w:hint="eastAsia"/>
                <w:color w:val="333333"/>
                <w:sz w:val="24"/>
                <w:szCs w:val="24"/>
                <w:highlight w:val="none"/>
                <w:shd w:val="clear" w:color="auto" w:fill="FFFFFF"/>
                <w:lang w:val="en-US" w:eastAsia="zh-CN"/>
              </w:rPr>
              <w:t>合同签订后一年，从合同签订之日起2个月内（包含不利天气等因素）完成全部外业检测及报告编制工作并提交甲方，如有特殊情况，经甲方允许，时间可协商顺延。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4</w:t>
            </w:r>
          </w:p>
        </w:tc>
        <w:tc>
          <w:tcPr>
            <w:tcW w:w="8445" w:type="dxa"/>
            <w:vAlign w:val="center"/>
          </w:tcPr>
          <w:p>
            <w:pPr>
              <w:pStyle w:val="20"/>
              <w:shd w:val="clear" w:color="auto" w:fill="FFFFFF"/>
              <w:spacing w:beforeAutospacing="0" w:afterAutospacing="0" w:line="360" w:lineRule="auto"/>
              <w:rPr>
                <w:rFonts w:hint="eastAsia"/>
                <w:highlight w:val="none"/>
              </w:rPr>
            </w:pPr>
            <w:r>
              <w:rPr>
                <w:rFonts w:hint="eastAsia"/>
                <w:b/>
                <w:bCs/>
                <w:highlight w:val="none"/>
              </w:rPr>
              <w:t>1、结算单位：</w:t>
            </w:r>
            <w:r>
              <w:rPr>
                <w:rFonts w:hint="eastAsia"/>
                <w:highlight w:val="none"/>
              </w:rPr>
              <w:t>采购人结算，在付款前必须开具增值税发票给采购人。</w:t>
            </w:r>
          </w:p>
          <w:p>
            <w:pPr>
              <w:pStyle w:val="20"/>
              <w:shd w:val="clear" w:color="auto" w:fill="FFFFFF"/>
              <w:spacing w:beforeAutospacing="0" w:afterAutospacing="0" w:line="360" w:lineRule="auto"/>
              <w:rPr>
                <w:rFonts w:hint="eastAsia"/>
                <w:b/>
                <w:bCs/>
                <w:highlight w:val="none"/>
              </w:rPr>
            </w:pPr>
            <w:r>
              <w:rPr>
                <w:rFonts w:hint="eastAsia"/>
                <w:b/>
                <w:bCs/>
                <w:highlight w:val="none"/>
              </w:rPr>
              <w:t>2、付款方式：</w:t>
            </w:r>
          </w:p>
          <w:p>
            <w:pPr>
              <w:pStyle w:val="20"/>
              <w:shd w:val="clear" w:color="auto" w:fill="FFFFFF"/>
              <w:spacing w:beforeAutospacing="0" w:afterAutospacing="0" w:line="360" w:lineRule="auto"/>
              <w:ind w:firstLine="42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合同签订前，乙方须向甲方缴纳合同总金额</w:t>
            </w:r>
            <w:r>
              <w:rPr>
                <w:rFonts w:hint="eastAsia"/>
                <w:highlight w:val="none"/>
                <w:lang w:val="en-US" w:eastAsia="zh-CN"/>
              </w:rPr>
              <w:t>5</w:t>
            </w:r>
            <w:r>
              <w:rPr>
                <w:rFonts w:hint="eastAsia"/>
                <w:highlight w:val="none"/>
              </w:rPr>
              <w:t>%的履约保证金，履约保证金待供应商履行完毕全部合同义务，并经</w:t>
            </w:r>
            <w:r>
              <w:rPr>
                <w:rFonts w:hint="eastAsia"/>
                <w:highlight w:val="none"/>
                <w:lang w:val="en-US" w:eastAsia="zh-CN"/>
              </w:rPr>
              <w:t>甲方</w:t>
            </w:r>
            <w:r>
              <w:rPr>
                <w:rFonts w:hint="eastAsia"/>
                <w:highlight w:val="none"/>
              </w:rPr>
              <w:t>验收合格，无任何纠纷后无息退还。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合同签订后，甲方支付乙方合同总金额的60%；乙方完成外业检测及报告编制工作，甲方向乙方支付合同总金额的30%，乙方提交项目全部成果报告并经甲方确认后，甲方按照合同单价和乙方实际完成工作量计算并支付剩余合同金额。</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甲方每次付款前，乙方均应开具等额的税务发票，否则甲方有权拒绝付款，且不应承担迟延付款的责任。</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（4）乙方超出任务书范围的工程量以及未通过甲方审查的工程量，甲方有权不予结算和支付相应款项。</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（5）甲方有权在项目实施过程中，要求乙方对不满足质量要求的工作进行返工，工期不予顺延。</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（6）检测费金额大于合同金额，应视为乙方可预见风险，按合同总价款支付乙方检测费；检测费金额小于合同金额，</w:t>
            </w:r>
            <w:r>
              <w:rPr>
                <w:rFonts w:hint="eastAsia" w:cs="宋体"/>
                <w:highlight w:val="none"/>
                <w:lang w:val="en-US" w:eastAsia="zh-CN"/>
              </w:rPr>
              <w:t>按单价测算据实结算</w:t>
            </w:r>
            <w:r>
              <w:rPr>
                <w:rFonts w:hint="eastAsia" w:ascii="宋体" w:hAnsi="宋体" w:eastAsia="宋体" w:cs="宋体"/>
                <w:highlight w:val="none"/>
              </w:rPr>
              <w:t>。</w:t>
            </w:r>
          </w:p>
          <w:p>
            <w:pPr>
              <w:pStyle w:val="20"/>
              <w:shd w:val="clear" w:color="auto" w:fill="FFFFFF"/>
              <w:spacing w:beforeAutospacing="0" w:afterAutospacing="0" w:line="360" w:lineRule="auto"/>
              <w:ind w:firstLine="420"/>
              <w:rPr>
                <w:rFonts w:hint="eastAsia" w:cs="宋体"/>
                <w:highlight w:val="none"/>
                <w:lang w:val="en-US" w:eastAsia="zh-CN"/>
              </w:rPr>
            </w:pPr>
            <w:r>
              <w:rPr>
                <w:rFonts w:hint="eastAsia" w:cs="宋体"/>
                <w:highlight w:val="none"/>
                <w:lang w:eastAsia="zh-CN"/>
              </w:rPr>
              <w:t>（</w:t>
            </w:r>
            <w:r>
              <w:rPr>
                <w:rFonts w:hint="eastAsia" w:cs="宋体"/>
                <w:highlight w:val="none"/>
                <w:lang w:val="en-US" w:eastAsia="zh-CN"/>
              </w:rPr>
              <w:t>7</w:t>
            </w:r>
            <w:r>
              <w:rPr>
                <w:rFonts w:hint="eastAsia" w:cs="宋体"/>
                <w:highlight w:val="none"/>
                <w:lang w:eastAsia="zh-CN"/>
              </w:rPr>
              <w:t>）</w:t>
            </w:r>
            <w:r>
              <w:rPr>
                <w:rFonts w:hint="eastAsia" w:cs="宋体"/>
                <w:highlight w:val="none"/>
                <w:lang w:val="en-US" w:eastAsia="zh-CN"/>
              </w:rPr>
              <w:t>未在规定期限内完成工作任务的，每顺延一天罚金合同金额0.5%。</w:t>
            </w:r>
          </w:p>
          <w:p>
            <w:pPr>
              <w:pStyle w:val="20"/>
              <w:shd w:val="clear" w:color="auto" w:fill="FFFFFF"/>
              <w:spacing w:beforeAutospacing="0" w:afterAutospacing="0" w:line="360" w:lineRule="auto"/>
              <w:ind w:firstLine="420"/>
              <w:rPr>
                <w:rFonts w:hint="eastAsia" w:cs="宋体"/>
                <w:highlight w:val="none"/>
                <w:lang w:val="en-US" w:eastAsia="zh-CN"/>
              </w:rPr>
            </w:pPr>
            <w:r>
              <w:rPr>
                <w:rFonts w:hint="eastAsia" w:cs="宋体"/>
                <w:highlight w:val="none"/>
                <w:lang w:val="en-US" w:eastAsia="zh-CN"/>
              </w:rPr>
              <w:t>（8）延期超过30天的，甲方有权解除合同，并要求乙方赔偿全部损失。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5</w:t>
            </w:r>
          </w:p>
        </w:tc>
        <w:tc>
          <w:tcPr>
            <w:tcW w:w="8445" w:type="dxa"/>
            <w:vAlign w:val="center"/>
          </w:tcPr>
          <w:p>
            <w:pPr>
              <w:spacing w:line="500" w:lineRule="exact"/>
              <w:rPr>
                <w:rFonts w:ascii="宋体" w:hAnsi="宋体" w:cs="宋体"/>
                <w:b/>
                <w:bCs/>
                <w:sz w:val="24"/>
                <w:highlight w:val="none"/>
              </w:rPr>
            </w:pPr>
            <w:r>
              <w:rPr>
                <w:rFonts w:hint="eastAsia" w:ascii="宋体" w:hAnsi="宋体" w:cs="宋体"/>
                <w:b/>
                <w:bCs/>
                <w:sz w:val="24"/>
                <w:highlight w:val="none"/>
              </w:rPr>
              <w:t>质量保证：</w:t>
            </w:r>
          </w:p>
          <w:p>
            <w:pPr>
              <w:spacing w:line="500" w:lineRule="exact"/>
              <w:rPr>
                <w:rFonts w:ascii="宋体" w:hAnsi="宋体" w:cs="宋体"/>
                <w:sz w:val="24"/>
                <w:highlight w:val="none"/>
              </w:rPr>
            </w:pPr>
            <w:r>
              <w:rPr>
                <w:rFonts w:hint="eastAsia" w:ascii="宋体" w:hAnsi="宋体" w:cs="宋体"/>
                <w:sz w:val="24"/>
                <w:highlight w:val="none"/>
              </w:rPr>
              <w:t>（1）保证技术指标先进、质量性能可靠，全面满足采购要求。</w:t>
            </w:r>
          </w:p>
          <w:p>
            <w:pPr>
              <w:spacing w:line="500" w:lineRule="exact"/>
              <w:rPr>
                <w:rFonts w:ascii="宋体" w:hAnsi="宋体" w:cs="宋体"/>
                <w:sz w:val="24"/>
                <w:highlight w:val="none"/>
              </w:rPr>
            </w:pPr>
            <w:r>
              <w:rPr>
                <w:rFonts w:hint="eastAsia" w:ascii="宋体" w:hAnsi="宋体" w:cs="宋体"/>
                <w:sz w:val="24"/>
                <w:highlight w:val="none"/>
              </w:rPr>
              <w:t>（2）符合国家有关规范要求。</w:t>
            </w:r>
          </w:p>
          <w:p>
            <w:pPr>
              <w:spacing w:line="500" w:lineRule="exact"/>
              <w:rPr>
                <w:rFonts w:ascii="宋体" w:hAnsi="宋体" w:cs="宋体"/>
                <w:sz w:val="24"/>
                <w:highlight w:val="none"/>
              </w:rPr>
            </w:pPr>
            <w:r>
              <w:rPr>
                <w:rFonts w:hint="eastAsia" w:ascii="宋体" w:hAnsi="宋体" w:cs="宋体"/>
                <w:sz w:val="24"/>
                <w:highlight w:val="none"/>
              </w:rPr>
              <w:t>（3）供应商必须满足所有的参数要求，由此产生的风险由供应商自行承担。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6</w:t>
            </w:r>
          </w:p>
        </w:tc>
        <w:tc>
          <w:tcPr>
            <w:tcW w:w="8445" w:type="dxa"/>
            <w:vAlign w:val="center"/>
          </w:tcPr>
          <w:p>
            <w:pPr>
              <w:spacing w:line="500" w:lineRule="exact"/>
              <w:ind w:left="361" w:hanging="361" w:hangingChars="150"/>
              <w:rPr>
                <w:rFonts w:ascii="宋体" w:hAnsi="宋体" w:cs="宋体"/>
                <w:b/>
                <w:bCs/>
                <w:sz w:val="24"/>
                <w:highlight w:val="none"/>
              </w:rPr>
            </w:pPr>
            <w:r>
              <w:rPr>
                <w:rFonts w:hint="eastAsia" w:ascii="宋体" w:hAnsi="宋体" w:cs="宋体"/>
                <w:b/>
                <w:bCs/>
                <w:sz w:val="24"/>
                <w:highlight w:val="none"/>
              </w:rPr>
              <w:t>验收方式及验收依据：</w:t>
            </w:r>
          </w:p>
          <w:p>
            <w:pPr>
              <w:spacing w:line="500" w:lineRule="exact"/>
              <w:ind w:left="17" w:hanging="16" w:hangingChars="7"/>
              <w:rPr>
                <w:rFonts w:ascii="宋体" w:hAnsi="宋体" w:cs="宋体"/>
                <w:sz w:val="24"/>
                <w:highlight w:val="none"/>
              </w:rPr>
            </w:pPr>
            <w:r>
              <w:rPr>
                <w:rFonts w:hint="eastAsia" w:ascii="宋体" w:hAnsi="宋体" w:cs="宋体"/>
                <w:sz w:val="24"/>
                <w:highlight w:val="none"/>
              </w:rPr>
              <w:t>（1）由供应商进行自检合格后，准备验收文件，并书面通知采购人。</w:t>
            </w:r>
          </w:p>
          <w:p>
            <w:pPr>
              <w:spacing w:line="500" w:lineRule="exact"/>
              <w:ind w:left="17" w:hanging="16" w:hangingChars="7"/>
              <w:rPr>
                <w:rFonts w:ascii="宋体" w:hAnsi="宋体" w:cs="宋体"/>
                <w:sz w:val="24"/>
                <w:highlight w:val="none"/>
              </w:rPr>
            </w:pPr>
            <w:r>
              <w:rPr>
                <w:rFonts w:hint="eastAsia" w:ascii="宋体" w:hAnsi="宋体" w:cs="宋体"/>
                <w:sz w:val="24"/>
                <w:highlight w:val="none"/>
              </w:rPr>
              <w:t>（2）采购人确认供应商能够达到</w:t>
            </w:r>
            <w:r>
              <w:rPr>
                <w:rFonts w:hint="eastAsia" w:ascii="宋体" w:hAnsi="宋体" w:cs="宋体"/>
                <w:sz w:val="24"/>
                <w:highlight w:val="none"/>
                <w:lang w:val="en-US" w:eastAsia="zh-CN"/>
              </w:rPr>
              <w:t>合同履约</w:t>
            </w:r>
            <w:r>
              <w:rPr>
                <w:rFonts w:hint="eastAsia" w:ascii="宋体" w:hAnsi="宋体" w:cs="宋体"/>
                <w:sz w:val="24"/>
                <w:highlight w:val="none"/>
              </w:rPr>
              <w:t>要求后，组织供应商（必要时请有关专家）进行项目验收，验收合格后，填写项目验收单作为对项目的最终认可。</w:t>
            </w:r>
          </w:p>
          <w:p>
            <w:pPr>
              <w:spacing w:line="500" w:lineRule="exact"/>
              <w:ind w:left="17" w:hanging="16" w:hangingChars="7"/>
              <w:rPr>
                <w:rFonts w:hint="eastAsia" w:ascii="宋体" w:hAnsi="宋体" w:cs="宋体"/>
                <w:sz w:val="24"/>
                <w:highlight w:val="none"/>
              </w:rPr>
            </w:pPr>
            <w:r>
              <w:rPr>
                <w:rFonts w:hint="eastAsia" w:ascii="宋体" w:hAnsi="宋体" w:cs="宋体"/>
                <w:sz w:val="24"/>
                <w:highlight w:val="none"/>
              </w:rPr>
              <w:t>（3）供应商向采购人提交项目实施过程中的所有资料,以便采购人日后管理和维护该项目。</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（4）成交单位提交的评价报告通过省局组织的技术审查</w:t>
            </w:r>
            <w:r>
              <w:rPr>
                <w:rFonts w:hint="eastAsia" w:ascii="宋体" w:hAnsi="宋体" w:cs="宋体"/>
                <w:color w:val="auto"/>
                <w:kern w:val="2"/>
                <w:sz w:val="24"/>
                <w:szCs w:val="24"/>
                <w:highlight w:val="none"/>
                <w:lang w:val="en-US" w:eastAsia="zh-CN" w:bidi="ar-SA"/>
              </w:rPr>
              <w:t>。</w:t>
            </w:r>
          </w:p>
          <w:p>
            <w:pPr>
              <w:spacing w:line="500" w:lineRule="exact"/>
              <w:ind w:left="17" w:hanging="16" w:hangingChars="7"/>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）验收依据</w:t>
            </w:r>
          </w:p>
          <w:p>
            <w:pPr>
              <w:spacing w:line="500" w:lineRule="exact"/>
              <w:ind w:left="17" w:hanging="16" w:hangingChars="7"/>
              <w:rPr>
                <w:rFonts w:ascii="宋体" w:hAnsi="宋体" w:cs="宋体"/>
                <w:sz w:val="24"/>
                <w:highlight w:val="none"/>
              </w:rPr>
            </w:pPr>
            <w:r>
              <w:rPr>
                <w:rFonts w:hint="eastAsia" w:ascii="宋体" w:hAnsi="宋体" w:cs="宋体"/>
                <w:sz w:val="24"/>
                <w:highlight w:val="none"/>
              </w:rPr>
              <w:t>①竞争性磋商文件、磋商响应文件、澄清表（函）；</w:t>
            </w:r>
          </w:p>
          <w:p>
            <w:pPr>
              <w:spacing w:line="500" w:lineRule="exact"/>
              <w:ind w:left="17" w:hanging="16" w:hangingChars="7"/>
              <w:rPr>
                <w:rFonts w:ascii="宋体" w:hAnsi="宋体" w:cs="宋体"/>
                <w:sz w:val="24"/>
                <w:highlight w:val="none"/>
              </w:rPr>
            </w:pPr>
            <w:r>
              <w:rPr>
                <w:rFonts w:hint="eastAsia" w:ascii="宋体" w:hAnsi="宋体" w:cs="宋体"/>
                <w:sz w:val="24"/>
                <w:highlight w:val="none"/>
              </w:rPr>
              <w:t>②本合同及附件文本；</w:t>
            </w:r>
          </w:p>
          <w:p>
            <w:pPr>
              <w:spacing w:line="500" w:lineRule="exact"/>
              <w:ind w:left="17" w:hanging="16" w:hangingChars="7"/>
              <w:rPr>
                <w:rFonts w:ascii="宋体" w:hAnsi="宋体" w:cs="宋体"/>
                <w:sz w:val="24"/>
                <w:highlight w:val="none"/>
              </w:rPr>
            </w:pPr>
            <w:r>
              <w:rPr>
                <w:rFonts w:hint="eastAsia" w:ascii="宋体" w:hAnsi="宋体" w:cs="宋体"/>
                <w:sz w:val="24"/>
                <w:highlight w:val="none"/>
              </w:rPr>
              <w:t>③国家相应的标准、规范。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7</w:t>
            </w:r>
          </w:p>
        </w:tc>
        <w:tc>
          <w:tcPr>
            <w:tcW w:w="8445" w:type="dxa"/>
            <w:vAlign w:val="center"/>
          </w:tcPr>
          <w:p>
            <w:pPr>
              <w:spacing w:line="500" w:lineRule="exact"/>
              <w:rPr>
                <w:rFonts w:ascii="宋体" w:hAnsi="宋体" w:cs="宋体"/>
                <w:b/>
                <w:bCs/>
                <w:sz w:val="24"/>
                <w:highlight w:val="none"/>
              </w:rPr>
            </w:pPr>
            <w:r>
              <w:rPr>
                <w:rFonts w:hint="eastAsia" w:ascii="宋体" w:hAnsi="宋体" w:cs="宋体"/>
                <w:b/>
                <w:bCs/>
                <w:sz w:val="24"/>
                <w:highlight w:val="none"/>
              </w:rPr>
              <w:t>保密：</w:t>
            </w:r>
          </w:p>
          <w:p>
            <w:pPr>
              <w:spacing w:line="500" w:lineRule="exact"/>
              <w:ind w:firstLine="420" w:firstLineChars="175"/>
              <w:rPr>
                <w:rFonts w:ascii="宋体" w:hAnsi="宋体" w:cs="宋体"/>
                <w:sz w:val="24"/>
                <w:highlight w:val="none"/>
              </w:rPr>
            </w:pPr>
            <w:r>
              <w:rPr>
                <w:rFonts w:hint="eastAsia" w:ascii="宋体" w:hAnsi="宋体" w:cs="宋体"/>
                <w:sz w:val="24"/>
                <w:highlight w:val="none"/>
              </w:rPr>
              <w:t>根据中华人民共和国民法典的有关规定，本项目的工作成果甲方拥有，未经甲方同意乙方不得给与本项目无关的第三方使用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500" w:lineRule="exact"/>
              <w:jc w:val="center"/>
              <w:rPr>
                <w:rFonts w:ascii="宋体" w:hAnsi="宋体" w:cs="宋体"/>
                <w:sz w:val="24"/>
                <w:highlight w:val="none"/>
              </w:rPr>
            </w:pPr>
            <w:r>
              <w:rPr>
                <w:rFonts w:hint="eastAsia" w:ascii="宋体" w:hAnsi="宋体" w:cs="宋体"/>
                <w:sz w:val="24"/>
                <w:highlight w:val="none"/>
              </w:rPr>
              <w:t>8</w:t>
            </w:r>
          </w:p>
        </w:tc>
        <w:tc>
          <w:tcPr>
            <w:tcW w:w="8445" w:type="dxa"/>
            <w:vAlign w:val="center"/>
          </w:tcPr>
          <w:p>
            <w:pPr>
              <w:spacing w:line="500" w:lineRule="exact"/>
              <w:ind w:left="361" w:hanging="361" w:hangingChars="150"/>
              <w:rPr>
                <w:rFonts w:ascii="宋体" w:hAnsi="宋体" w:cs="宋体"/>
                <w:b/>
                <w:bCs/>
                <w:sz w:val="24"/>
                <w:highlight w:val="none"/>
              </w:rPr>
            </w:pPr>
            <w:r>
              <w:rPr>
                <w:rFonts w:hint="eastAsia" w:ascii="宋体" w:hAnsi="宋体" w:cs="宋体"/>
                <w:b/>
                <w:bCs/>
                <w:sz w:val="24"/>
                <w:highlight w:val="none"/>
              </w:rPr>
              <w:t>违约责任：</w:t>
            </w:r>
          </w:p>
          <w:p>
            <w:pPr>
              <w:spacing w:line="500" w:lineRule="exact"/>
              <w:ind w:firstLine="420" w:firstLineChars="175"/>
              <w:rPr>
                <w:rFonts w:hint="eastAsia" w:ascii="宋体" w:hAnsi="宋体" w:cs="宋体"/>
                <w:sz w:val="24"/>
                <w:szCs w:val="24"/>
                <w:highlight w:val="none"/>
                <w:lang w:eastAsia="zh-CN"/>
              </w:rPr>
            </w:pPr>
            <w:r>
              <w:rPr>
                <w:rFonts w:hint="eastAsia" w:ascii="宋体" w:hAnsi="宋体" w:cs="宋体"/>
                <w:sz w:val="24"/>
                <w:szCs w:val="24"/>
                <w:highlight w:val="none"/>
              </w:rPr>
              <w:t>根据中华人民共和国民法典的有关规定，本项目的工作成果甲方拥有，未经甲方同意乙方不得给与本项目无关的第三方使用</w:t>
            </w:r>
            <w:r>
              <w:rPr>
                <w:rFonts w:hint="eastAsia" w:ascii="宋体" w:hAnsi="宋体" w:cs="宋体"/>
                <w:sz w:val="24"/>
                <w:szCs w:val="24"/>
                <w:highlight w:val="none"/>
                <w:lang w:eastAsia="zh-CN"/>
              </w:rPr>
              <w:t>。</w:t>
            </w:r>
          </w:p>
          <w:p>
            <w:pPr>
              <w:spacing w:line="500" w:lineRule="exact"/>
              <w:ind w:firstLine="420" w:firstLineChars="175"/>
              <w:rPr>
                <w:rFonts w:ascii="宋体" w:hAnsi="宋体" w:cs="宋体"/>
                <w:sz w:val="24"/>
                <w:highlight w:val="none"/>
              </w:rPr>
            </w:pPr>
            <w:r>
              <w:rPr>
                <w:rFonts w:hint="eastAsia" w:ascii="宋体" w:hAnsi="宋体" w:cs="宋体"/>
                <w:sz w:val="24"/>
                <w:szCs w:val="24"/>
                <w:highlight w:val="none"/>
                <w:lang w:val="zh-CN"/>
              </w:rPr>
              <w:t>因财政年度拨款等政策影响，甲方向乙方支付全部合同价款不视为双方合同履约结束，乙方仍应按照合同约定，在合同履约期内完成全部工作内容，否则应视为乙方存在严重失信行为，甲方将上报省财政厅，将乙方列入信用“黑名单”，并</w:t>
            </w:r>
            <w:r>
              <w:rPr>
                <w:rFonts w:hint="eastAsia" w:ascii="宋体" w:hAnsi="宋体" w:cs="宋体"/>
                <w:sz w:val="24"/>
                <w:highlight w:val="none"/>
                <w:lang w:val="zh-CN"/>
              </w:rPr>
              <w:t>在“中国政府采购网”、“信用中国”等网站公示；同时甲方保留要求乙方退还合同价款、赔偿损失的权利。双方违约与赔偿按磋商文件第四章第一节第7款合同违约与赔偿规定执行。</w:t>
            </w:r>
          </w:p>
        </w:tc>
      </w:tr>
    </w:tbl>
    <w:p>
      <w:pPr>
        <w:jc w:val="left"/>
        <w:rPr>
          <w:rFonts w:hint="eastAsia" w:ascii="宋体" w:hAnsi="宋体" w:eastAsia="宋体" w:cs="宋体"/>
          <w:b/>
          <w:bCs/>
          <w:sz w:val="30"/>
          <w:szCs w:val="30"/>
          <w:highlight w:val="none"/>
        </w:rPr>
      </w:pPr>
      <w:r>
        <w:rPr>
          <w:rFonts w:hint="eastAsia" w:ascii="宋体" w:hAnsi="宋体" w:cs="宋体"/>
          <w:bCs/>
          <w:sz w:val="24"/>
          <w:highlight w:val="none"/>
        </w:rPr>
        <w:br w:type="page"/>
      </w:r>
      <w:bookmarkStart w:id="66" w:name="_Toc12426"/>
      <w:r>
        <w:rPr>
          <w:rFonts w:hint="eastAsia" w:ascii="宋体" w:hAnsi="宋体" w:eastAsia="宋体" w:cs="宋体"/>
          <w:b/>
          <w:bCs/>
          <w:sz w:val="30"/>
          <w:szCs w:val="30"/>
          <w:highlight w:val="none"/>
        </w:rPr>
        <w:t>采购合同                        合同编号：</w:t>
      </w:r>
    </w:p>
    <w:p>
      <w:pPr>
        <w:pStyle w:val="2"/>
        <w:rPr>
          <w:rFonts w:hint="eastAsia" w:ascii="宋体" w:hAnsi="宋体" w:eastAsia="宋体" w:cs="宋体"/>
          <w:bCs/>
          <w:sz w:val="30"/>
          <w:szCs w:val="30"/>
          <w:highlight w:val="none"/>
        </w:rPr>
      </w:pPr>
    </w:p>
    <w:p>
      <w:pPr>
        <w:pStyle w:val="2"/>
        <w:rPr>
          <w:rFonts w:hint="eastAsia" w:ascii="宋体" w:hAnsi="宋体" w:eastAsia="宋体" w:cs="宋体"/>
          <w:bCs/>
          <w:sz w:val="30"/>
          <w:szCs w:val="30"/>
          <w:highlight w:val="none"/>
        </w:rPr>
      </w:pPr>
    </w:p>
    <w:p>
      <w:pPr>
        <w:pStyle w:val="2"/>
        <w:rPr>
          <w:rFonts w:hint="eastAsia" w:ascii="宋体" w:hAnsi="宋体" w:eastAsia="宋体" w:cs="宋体"/>
          <w:highlight w:val="none"/>
        </w:rPr>
      </w:pPr>
    </w:p>
    <w:p>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u w:val="single"/>
        </w:rPr>
        <w:t xml:space="preserve">                           </w:t>
      </w:r>
      <w:r>
        <w:rPr>
          <w:rFonts w:hint="eastAsia" w:ascii="宋体" w:hAnsi="宋体" w:eastAsia="宋体" w:cs="宋体"/>
          <w:b/>
          <w:bCs/>
          <w:sz w:val="44"/>
          <w:szCs w:val="44"/>
          <w:highlight w:val="none"/>
        </w:rPr>
        <w:t>采购项目</w:t>
      </w:r>
    </w:p>
    <w:p>
      <w:pPr>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pStyle w:val="2"/>
        <w:rPr>
          <w:rFonts w:hint="eastAsia" w:ascii="宋体" w:hAnsi="宋体" w:eastAsia="宋体" w:cs="宋体"/>
          <w:b w:val="0"/>
          <w:sz w:val="36"/>
          <w:szCs w:val="36"/>
          <w:highlight w:val="none"/>
        </w:rPr>
      </w:pPr>
    </w:p>
    <w:p>
      <w:pPr>
        <w:rPr>
          <w:rFonts w:hint="eastAsia" w:ascii="宋体" w:hAnsi="宋体" w:eastAsia="宋体" w:cs="宋体"/>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spacing w:before="158" w:beforeLines="50" w:line="360" w:lineRule="auto"/>
        <w:rPr>
          <w:rFonts w:hint="eastAsia" w:ascii="宋体" w:hAnsi="宋体" w:eastAsia="宋体" w:cs="宋体"/>
          <w:b/>
          <w:bCs/>
          <w:sz w:val="36"/>
          <w:szCs w:val="36"/>
          <w:highlight w:val="none"/>
        </w:rPr>
      </w:pPr>
    </w:p>
    <w:p>
      <w:pPr>
        <w:spacing w:before="158" w:beforeLines="50" w:line="360" w:lineRule="auto"/>
        <w:ind w:firstLine="1263" w:firstLineChars="393"/>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采购人：</w:t>
      </w:r>
      <w:r>
        <w:rPr>
          <w:rFonts w:hint="eastAsia" w:ascii="宋体" w:hAnsi="宋体" w:eastAsia="宋体" w:cs="宋体"/>
          <w:sz w:val="32"/>
          <w:szCs w:val="32"/>
          <w:highlight w:val="none"/>
          <w:u w:val="single"/>
        </w:rPr>
        <w:t xml:space="preserve">                     </w:t>
      </w:r>
    </w:p>
    <w:p>
      <w:pPr>
        <w:spacing w:before="158" w:beforeLines="50" w:line="360" w:lineRule="auto"/>
        <w:ind w:firstLine="1263" w:firstLineChars="393"/>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供应商：</w:t>
      </w:r>
      <w:r>
        <w:rPr>
          <w:rFonts w:hint="eastAsia" w:ascii="宋体" w:hAnsi="宋体" w:eastAsia="宋体" w:cs="宋体"/>
          <w:sz w:val="32"/>
          <w:szCs w:val="32"/>
          <w:highlight w:val="none"/>
          <w:u w:val="single"/>
        </w:rPr>
        <w:t xml:space="preserve">                     </w:t>
      </w:r>
    </w:p>
    <w:p>
      <w:pPr>
        <w:spacing w:line="560" w:lineRule="exact"/>
        <w:jc w:val="center"/>
        <w:rPr>
          <w:rFonts w:hint="eastAsia" w:ascii="宋体" w:hAnsi="宋体" w:eastAsia="宋体" w:cs="宋体"/>
          <w:b/>
          <w:bCs/>
          <w:sz w:val="36"/>
          <w:szCs w:val="36"/>
          <w:highlight w:val="none"/>
        </w:rPr>
      </w:pP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年  月</w:t>
      </w:r>
      <w:r>
        <w:rPr>
          <w:rFonts w:hint="eastAsia" w:ascii="宋体" w:hAnsi="宋体" w:eastAsia="宋体" w:cs="宋体"/>
          <w:b/>
          <w:bCs/>
          <w:sz w:val="36"/>
          <w:szCs w:val="36"/>
          <w:highlight w:val="none"/>
        </w:rPr>
        <w:br w:type="page"/>
      </w:r>
      <w:r>
        <w:rPr>
          <w:rFonts w:hint="eastAsia" w:ascii="宋体" w:hAnsi="宋体" w:eastAsia="宋体" w:cs="宋体"/>
          <w:b/>
          <w:bCs/>
          <w:sz w:val="36"/>
          <w:szCs w:val="36"/>
          <w:highlight w:val="none"/>
          <w:lang w:eastAsia="zh-CN"/>
        </w:rPr>
        <w:t>合同协议书</w:t>
      </w:r>
    </w:p>
    <w:p>
      <w:pPr>
        <w:adjustRightInd w:val="0"/>
        <w:snapToGrid w:val="0"/>
        <w:spacing w:line="580" w:lineRule="exact"/>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采购人（甲方）：</w:t>
      </w:r>
      <w:r>
        <w:rPr>
          <w:rFonts w:hint="eastAsia" w:ascii="宋体" w:hAnsi="宋体" w:eastAsia="宋体" w:cs="宋体"/>
          <w:b/>
          <w:sz w:val="24"/>
          <w:szCs w:val="24"/>
          <w:highlight w:val="none"/>
          <w:u w:val="single"/>
        </w:rPr>
        <w:t xml:space="preserve">   陕西省公路局        </w:t>
      </w:r>
    </w:p>
    <w:p>
      <w:pPr>
        <w:adjustRightInd w:val="0"/>
        <w:snapToGrid w:val="0"/>
        <w:spacing w:line="580" w:lineRule="exact"/>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供应商（乙方）：</w:t>
      </w:r>
      <w:r>
        <w:rPr>
          <w:rFonts w:hint="eastAsia" w:ascii="宋体" w:hAnsi="宋体" w:eastAsia="宋体" w:cs="宋体"/>
          <w:b/>
          <w:sz w:val="24"/>
          <w:szCs w:val="24"/>
          <w:highlight w:val="none"/>
          <w:u w:val="single"/>
        </w:rPr>
        <w:t xml:space="preserve">                       </w:t>
      </w:r>
    </w:p>
    <w:p>
      <w:pPr>
        <w:adjustRightInd w:val="0"/>
        <w:snapToGrid w:val="0"/>
        <w:spacing w:line="58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根据《中华人民共和国民法典》及其他有关法律、法规，遵循平等、自愿、公平和诚信的原则，双方就下述项目范围与相关服务事项协商一致，订立本合同。</w:t>
      </w:r>
    </w:p>
    <w:p>
      <w:pP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w:t>
      </w:r>
    </w:p>
    <w:p>
      <w:pPr>
        <w:adjustRightInd w:val="0"/>
        <w:snapToGrid w:val="0"/>
        <w:spacing w:line="360" w:lineRule="auto"/>
        <w:ind w:left="660" w:leftChars="200" w:hanging="240" w:hangingChars="100"/>
        <w:jc w:val="left"/>
        <w:rPr>
          <w:rFonts w:hint="eastAsia" w:ascii="宋体" w:hAnsi="宋体" w:eastAsia="宋体" w:cs="宋体"/>
          <w:b w:val="0"/>
          <w:bCs/>
          <w:sz w:val="24"/>
          <w:szCs w:val="24"/>
          <w:highlight w:val="none"/>
          <w:lang w:val="en-US" w:eastAsia="zh-CN"/>
        </w:rPr>
      </w:pPr>
      <w:r>
        <w:rPr>
          <w:rFonts w:hint="eastAsia" w:ascii="宋体" w:hAnsi="宋体" w:eastAsia="宋体" w:cs="宋体"/>
          <w:sz w:val="24"/>
          <w:szCs w:val="24"/>
          <w:highlight w:val="none"/>
        </w:rPr>
        <w:t>1. 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pPr>
        <w:adjustRightInd w:val="0"/>
        <w:snapToGrid w:val="0"/>
        <w:spacing w:line="360" w:lineRule="auto"/>
        <w:ind w:left="660" w:leftChars="200" w:hanging="240" w:hanging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项目地点：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pP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二、组成本合同的文件</w:t>
      </w:r>
    </w:p>
    <w:p>
      <w:pP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 协议书；</w:t>
      </w:r>
    </w:p>
    <w:p>
      <w:pP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 中标通知书、投标文件、招标文件、澄清、措施补充文件；</w:t>
      </w:r>
    </w:p>
    <w:p>
      <w:pPr>
        <w:adjustRightInd w:val="0"/>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相关服务建议书；</w:t>
      </w:r>
    </w:p>
    <w:p>
      <w:pPr>
        <w:adjustRightInd w:val="0"/>
        <w:snapToGrid w:val="0"/>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本合同签订后，双方依法签订的补充协议也是本合同文件的组成部分。</w:t>
      </w:r>
    </w:p>
    <w:p>
      <w:pP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三、合同金额</w:t>
      </w:r>
    </w:p>
    <w:p>
      <w:pPr>
        <w:adjustRightInd w:val="0"/>
        <w:snapToGrid w:val="0"/>
        <w:spacing w:line="580" w:lineRule="exact"/>
        <w:ind w:firstLine="475" w:firstLineChars="198"/>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 xml:space="preserve">合同总价款（含税价）: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检测单价</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元/延米。</w:t>
      </w:r>
    </w:p>
    <w:p>
      <w:pPr>
        <w:adjustRightInd w:val="0"/>
        <w:snapToGrid w:val="0"/>
        <w:spacing w:line="52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合同价格为含税价，供应商（中标人）提供服务所发生的一切税（包括增值税）费等都已包含于合同价款中。</w:t>
      </w:r>
    </w:p>
    <w:p>
      <w:pPr>
        <w:adjustRightInd w:val="0"/>
        <w:snapToGrid w:val="0"/>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四、结算方式</w:t>
      </w:r>
    </w:p>
    <w:p>
      <w:pPr>
        <w:adjustRightInd w:val="0"/>
        <w:snapToGrid w:val="0"/>
        <w:spacing w:line="52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1.结算单位：银行转账，由采购人负责结算。在付款前，供应商必须开具增值税发票给采购人。</w:t>
      </w:r>
    </w:p>
    <w:p>
      <w:pPr>
        <w:adjustRightInd w:val="0"/>
        <w:snapToGrid w:val="0"/>
        <w:spacing w:line="52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2.付款方式： </w:t>
      </w:r>
    </w:p>
    <w:p>
      <w:pPr>
        <w:pStyle w:val="20"/>
        <w:shd w:val="clear" w:color="auto" w:fill="FFFFFF"/>
        <w:spacing w:beforeAutospacing="0" w:afterAutospacing="0" w:line="360" w:lineRule="auto"/>
        <w:ind w:firstLine="42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合同签订前，乙方须向甲方缴纳合同总金额</w:t>
      </w:r>
      <w:r>
        <w:rPr>
          <w:rFonts w:hint="eastAsia"/>
          <w:highlight w:val="none"/>
          <w:lang w:val="en-US" w:eastAsia="zh-CN"/>
        </w:rPr>
        <w:t>5</w:t>
      </w:r>
      <w:r>
        <w:rPr>
          <w:rFonts w:hint="eastAsia"/>
          <w:highlight w:val="none"/>
        </w:rPr>
        <w:t>%的履约保证金，履约保证金待供应商履行完毕全部合同义务，并经</w:t>
      </w:r>
      <w:r>
        <w:rPr>
          <w:rFonts w:hint="eastAsia"/>
          <w:highlight w:val="none"/>
          <w:lang w:val="en-US" w:eastAsia="zh-CN"/>
        </w:rPr>
        <w:t>甲方</w:t>
      </w:r>
      <w:r>
        <w:rPr>
          <w:rFonts w:hint="eastAsia"/>
          <w:highlight w:val="none"/>
        </w:rPr>
        <w:t>验收合格，无任何纠纷后无息退还。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合同签订后，甲方支付乙方合同总金额的60%；乙方完成外业检测及报告编制工作，甲方向乙方支付合同总金额的30%，乙方提交项目全部成果报告并经甲方确认后，甲方按照合同单价和乙方实际完成工作量计算并支付剩余合同金额。</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甲方每次付款前，乙方均应开具等额的税务发票，否则甲方有权拒绝付款，且不应承担迟延付款的责任。</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（4）乙方超出任务书范围的工程量以及未通过甲方审查的工程量，甲方有权不予结算和支付相应款项。</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（5）甲方有权在项目实施过程中，要求乙方对不满足质量要求的工作进行返工，工期不予顺延。</w:t>
      </w:r>
    </w:p>
    <w:p>
      <w:pPr>
        <w:pStyle w:val="20"/>
        <w:shd w:val="clear" w:color="auto" w:fill="FFFFFF"/>
        <w:spacing w:beforeAutospacing="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（6）检测费金额大于合同金额，应视为乙方可预见风险，按合同总价款支付乙方检测费；检测费金额小于合同金额，</w:t>
      </w:r>
      <w:r>
        <w:rPr>
          <w:rFonts w:hint="eastAsia" w:cs="宋体"/>
          <w:highlight w:val="none"/>
          <w:lang w:val="en-US" w:eastAsia="zh-CN"/>
        </w:rPr>
        <w:t>按单价测算据实结算</w:t>
      </w:r>
      <w:r>
        <w:rPr>
          <w:rFonts w:hint="eastAsia" w:ascii="宋体" w:hAnsi="宋体" w:eastAsia="宋体" w:cs="宋体"/>
          <w:highlight w:val="none"/>
        </w:rPr>
        <w:t>。</w:t>
      </w:r>
    </w:p>
    <w:p>
      <w:pPr>
        <w:pStyle w:val="20"/>
        <w:shd w:val="clear" w:color="auto" w:fill="FFFFFF"/>
        <w:spacing w:beforeAutospacing="0" w:afterAutospacing="0" w:line="360" w:lineRule="auto"/>
        <w:ind w:firstLine="420"/>
        <w:rPr>
          <w:rFonts w:hint="eastAsia" w:cs="宋体"/>
          <w:highlight w:val="none"/>
          <w:lang w:val="en-US" w:eastAsia="zh-CN"/>
        </w:rPr>
      </w:pPr>
      <w:r>
        <w:rPr>
          <w:rFonts w:hint="eastAsia" w:cs="宋体"/>
          <w:highlight w:val="none"/>
          <w:lang w:eastAsia="zh-CN"/>
        </w:rPr>
        <w:t>（</w:t>
      </w:r>
      <w:r>
        <w:rPr>
          <w:rFonts w:hint="eastAsia" w:cs="宋体"/>
          <w:highlight w:val="none"/>
          <w:lang w:val="en-US" w:eastAsia="zh-CN"/>
        </w:rPr>
        <w:t>7</w:t>
      </w:r>
      <w:r>
        <w:rPr>
          <w:rFonts w:hint="eastAsia" w:cs="宋体"/>
          <w:highlight w:val="none"/>
          <w:lang w:eastAsia="zh-CN"/>
        </w:rPr>
        <w:t>）</w:t>
      </w:r>
      <w:r>
        <w:rPr>
          <w:rFonts w:hint="eastAsia" w:cs="宋体"/>
          <w:highlight w:val="none"/>
          <w:lang w:val="en-US" w:eastAsia="zh-CN"/>
        </w:rPr>
        <w:t>未在规定期限内完成工作任务的，每顺延一天罚金合同金额0.5%。</w:t>
      </w:r>
    </w:p>
    <w:p>
      <w:pPr>
        <w:pStyle w:val="20"/>
        <w:shd w:val="clear" w:color="auto" w:fill="FFFFFF"/>
        <w:spacing w:beforeAutospacing="0" w:afterAutospacing="0" w:line="360" w:lineRule="auto"/>
        <w:ind w:firstLine="480" w:firstLineChars="200"/>
        <w:rPr>
          <w:rFonts w:hint="eastAsia" w:cs="宋体"/>
          <w:highlight w:val="none"/>
          <w:lang w:val="en-US" w:eastAsia="zh-CN"/>
        </w:rPr>
      </w:pPr>
      <w:r>
        <w:rPr>
          <w:rFonts w:hint="eastAsia" w:cs="宋体"/>
          <w:highlight w:val="none"/>
          <w:lang w:val="en-US" w:eastAsia="zh-CN"/>
        </w:rPr>
        <w:t>（8）延期超过30天的，甲方有权解除合同，并要求乙方赔偿全部损失。</w:t>
      </w:r>
    </w:p>
    <w:p>
      <w:pPr>
        <w:pStyle w:val="20"/>
        <w:shd w:val="clear" w:color="auto" w:fill="FFFFFF"/>
        <w:spacing w:beforeAutospacing="0" w:afterAutospacing="0" w:line="360" w:lineRule="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五、项目主要负责人</w:t>
      </w:r>
    </w:p>
    <w:p>
      <w:pPr>
        <w:adjustRightInd w:val="0"/>
        <w:snapToGrid w:val="0"/>
        <w:spacing w:line="520" w:lineRule="exact"/>
        <w:ind w:firstLine="475" w:firstLineChars="198"/>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 xml:space="preserve"> 项目经理：</w:t>
      </w:r>
      <w:r>
        <w:rPr>
          <w:rFonts w:hint="eastAsia" w:ascii="宋体" w:hAnsi="宋体" w:eastAsia="宋体" w:cs="宋体"/>
          <w:sz w:val="24"/>
          <w:szCs w:val="24"/>
          <w:highlight w:val="none"/>
          <w:u w:val="single"/>
          <w:lang w:val="en-US" w:eastAsia="zh-CN"/>
        </w:rPr>
        <w:t xml:space="preserve">            （职称） </w:t>
      </w:r>
    </w:p>
    <w:p>
      <w:pPr>
        <w:adjustRightInd w:val="0"/>
        <w:snapToGrid w:val="0"/>
        <w:spacing w:line="520" w:lineRule="exact"/>
        <w:ind w:firstLine="475" w:firstLineChars="198"/>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项目总工：</w:t>
      </w:r>
      <w:r>
        <w:rPr>
          <w:rFonts w:hint="eastAsia" w:ascii="宋体" w:hAnsi="宋体" w:eastAsia="宋体" w:cs="宋体"/>
          <w:sz w:val="24"/>
          <w:szCs w:val="24"/>
          <w:highlight w:val="none"/>
          <w:u w:val="single"/>
          <w:lang w:val="en-US" w:eastAsia="zh-CN"/>
        </w:rPr>
        <w:t xml:space="preserve">                 （职称） </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六</w:t>
      </w:r>
      <w:r>
        <w:rPr>
          <w:rFonts w:hint="eastAsia" w:ascii="宋体" w:hAnsi="宋体" w:eastAsia="宋体" w:cs="宋体"/>
          <w:b/>
          <w:sz w:val="24"/>
          <w:szCs w:val="24"/>
          <w:highlight w:val="none"/>
        </w:rPr>
        <w:t xml:space="preserve">、服务期  </w:t>
      </w:r>
    </w:p>
    <w:p>
      <w:pPr>
        <w:adjustRightInd w:val="0"/>
        <w:snapToGrid w:val="0"/>
        <w:spacing w:line="520" w:lineRule="exact"/>
        <w:ind w:firstLine="475" w:firstLineChars="198"/>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 xml:space="preserve">                      </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七</w:t>
      </w:r>
      <w:r>
        <w:rPr>
          <w:rFonts w:hint="eastAsia" w:ascii="宋体" w:hAnsi="宋体" w:eastAsia="宋体" w:cs="宋体"/>
          <w:b/>
          <w:sz w:val="24"/>
          <w:szCs w:val="24"/>
          <w:highlight w:val="none"/>
        </w:rPr>
        <w:t>、主要工作内容</w:t>
      </w:r>
    </w:p>
    <w:p>
      <w:pPr>
        <w:pStyle w:val="20"/>
        <w:shd w:val="clear" w:color="auto" w:fill="FFFFFF"/>
        <w:spacing w:beforeAutospacing="0" w:afterAutospacing="0" w:line="360" w:lineRule="auto"/>
        <w:ind w:firstLine="420"/>
        <w:rPr>
          <w:rFonts w:hint="default" w:ascii="宋体" w:hAnsi="宋体" w:eastAsia="宋体" w:cs="宋体"/>
          <w:highlight w:val="none"/>
          <w:lang w:val="en-US" w:eastAsia="zh-CN"/>
        </w:rPr>
      </w:pPr>
      <w:r>
        <w:rPr>
          <w:rFonts w:hint="eastAsia" w:ascii="宋体" w:hAnsi="宋体" w:eastAsia="宋体" w:cs="宋体"/>
          <w:highlight w:val="none"/>
          <w:lang w:val="en-US" w:eastAsia="zh-CN"/>
        </w:rPr>
        <w:t>按照采购人要求，完成新增普通省道危旧桥梁（隧) 技术状况评定，</w:t>
      </w:r>
      <w:r>
        <w:rPr>
          <w:rFonts w:hint="eastAsia" w:cs="宋体"/>
          <w:highlight w:val="none"/>
          <w:lang w:val="en-US" w:eastAsia="zh-CN"/>
        </w:rPr>
        <w:t>全面核查桥梁基础数据准确性，</w:t>
      </w:r>
      <w:r>
        <w:rPr>
          <w:rFonts w:hint="eastAsia" w:ascii="宋体" w:hAnsi="宋体" w:eastAsia="宋体" w:cs="宋体"/>
          <w:highlight w:val="none"/>
          <w:lang w:val="en-US" w:eastAsia="zh-CN"/>
        </w:rPr>
        <w:t>按照部颁最新《公路桥涵养护规范》《公路隧道养护技术规范》有关规定</w:t>
      </w:r>
      <w:r>
        <w:rPr>
          <w:rFonts w:hint="eastAsia" w:cs="宋体"/>
          <w:highlight w:val="none"/>
          <w:lang w:val="en-US" w:eastAsia="zh-CN"/>
        </w:rPr>
        <w:t>,</w:t>
      </w:r>
      <w:r>
        <w:rPr>
          <w:rFonts w:hint="eastAsia" w:ascii="宋体" w:hAnsi="宋体" w:eastAsia="宋体" w:cs="宋体"/>
          <w:highlight w:val="none"/>
          <w:lang w:val="en-US" w:eastAsia="zh-CN"/>
        </w:rPr>
        <w:t>通过定期检查形成一桥一报告、一隧一报告，并以各市县为单元形成评定分报告和全省总报告，更新补充上传养护</w:t>
      </w:r>
      <w:r>
        <w:rPr>
          <w:rFonts w:hint="eastAsia" w:cs="宋体"/>
          <w:highlight w:val="none"/>
          <w:lang w:val="en-US" w:eastAsia="zh-CN"/>
        </w:rPr>
        <w:t>统计</w:t>
      </w:r>
      <w:r>
        <w:rPr>
          <w:rFonts w:hint="eastAsia" w:ascii="宋体" w:hAnsi="宋体" w:eastAsia="宋体" w:cs="宋体"/>
          <w:highlight w:val="none"/>
          <w:lang w:val="en-US" w:eastAsia="zh-CN"/>
        </w:rPr>
        <w:t>年报</w:t>
      </w:r>
      <w:r>
        <w:rPr>
          <w:rFonts w:hint="eastAsia" w:cs="宋体"/>
          <w:highlight w:val="none"/>
          <w:lang w:val="en-US" w:eastAsia="zh-CN"/>
        </w:rPr>
        <w:t>系统</w:t>
      </w:r>
      <w:r>
        <w:rPr>
          <w:rFonts w:hint="eastAsia" w:ascii="宋体" w:hAnsi="宋体" w:eastAsia="宋体" w:cs="宋体"/>
          <w:highlight w:val="none"/>
          <w:lang w:val="en-US" w:eastAsia="zh-CN"/>
        </w:rPr>
        <w:t>，支撑养护决策和各市干线公路桥隧养护管理工作评价。</w:t>
      </w:r>
    </w:p>
    <w:p>
      <w:pPr>
        <w:pStyle w:val="2"/>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八、技术要求：</w:t>
      </w:r>
    </w:p>
    <w:p>
      <w:pPr>
        <w:pStyle w:val="2"/>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color w:val="auto"/>
          <w:kern w:val="2"/>
          <w:sz w:val="24"/>
          <w:szCs w:val="24"/>
          <w:highlight w:val="none"/>
          <w:lang w:val="en-US" w:eastAsia="zh-CN" w:bidi="ar-SA"/>
        </w:rPr>
        <w:t>满足交通运输部、陕西省交通运输主管部门印发的规范性文件以及招标文件相关技术要求。</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九、</w:t>
      </w:r>
      <w:r>
        <w:rPr>
          <w:rFonts w:hint="eastAsia" w:ascii="宋体" w:hAnsi="宋体" w:eastAsia="宋体" w:cs="宋体"/>
          <w:b/>
          <w:sz w:val="24"/>
          <w:szCs w:val="24"/>
          <w:highlight w:val="none"/>
        </w:rPr>
        <w:t>售后服务</w:t>
      </w:r>
    </w:p>
    <w:p>
      <w:pPr>
        <w:tabs>
          <w:tab w:val="left" w:pos="840"/>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技术支持和售后服务由供应商严格按投标文件及有关承诺执行，提供7*24小时电话咨询服务，出现问题时，2小时内电话响应，12小时内电话解决问题，如有需要48小时内到达故障现场解决问题。</w:t>
      </w:r>
    </w:p>
    <w:p>
      <w:pPr>
        <w:tabs>
          <w:tab w:val="left" w:pos="840"/>
        </w:tabs>
        <w:spacing w:line="52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售后服务联系方式：</w:t>
      </w:r>
      <w:r>
        <w:rPr>
          <w:rFonts w:hint="eastAsia" w:ascii="宋体" w:hAnsi="宋体" w:eastAsia="宋体" w:cs="宋体"/>
          <w:sz w:val="24"/>
          <w:szCs w:val="24"/>
          <w:highlight w:val="none"/>
          <w:u w:val="single"/>
        </w:rPr>
        <w:t xml:space="preserve">          </w:t>
      </w:r>
    </w:p>
    <w:p>
      <w:pPr>
        <w:tabs>
          <w:tab w:val="left" w:pos="840"/>
        </w:tabs>
        <w:spacing w:line="52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如供应商自身原因或不能履行售后服务义务，采购人有权委托第三方处理，由此产生的费用和风险由供应商承担，费用由采购人从履约保证金中直接扣除，不足部分仍由供应商承担。</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十</w:t>
      </w:r>
      <w:r>
        <w:rPr>
          <w:rFonts w:hint="eastAsia" w:ascii="宋体" w:hAnsi="宋体" w:eastAsia="宋体" w:cs="宋体"/>
          <w:b/>
          <w:sz w:val="24"/>
          <w:szCs w:val="24"/>
          <w:highlight w:val="none"/>
        </w:rPr>
        <w:t>、验收</w:t>
      </w:r>
    </w:p>
    <w:p>
      <w:pPr>
        <w:tabs>
          <w:tab w:val="left" w:pos="840"/>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完成后，采购人组织相关人员和专家对有关报告进行技术审查，并按规定组织最终履约验收。技术审查、履约验收依据为本合同文本、招投标文件和国内相应的标准、规范等。审查、履约验收合格后，采购人填写终验收单。技术审查、验收不合格的限期整改，整改过程中产生的费用和货物发生的一切损失由投标人承担;整改超过二次的，采购人有权单方解除本合同，</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应无条件退还已收取的全部合同价款，并按合同总价10%向采购人支付违约金，违约金不足弥补采购人损失的，由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负责赔偿。</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、保密</w:t>
      </w:r>
    </w:p>
    <w:p>
      <w:pPr>
        <w:tabs>
          <w:tab w:val="left" w:pos="1080"/>
        </w:tabs>
        <w:spacing w:line="52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对工作中了解到的采购人的技术、机密等进行严格保密，不得向他人泄漏。本合同的解除或终止不免除供应商应承担的保密义务。</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、知识产权</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eastAsia="zh-CN"/>
        </w:rPr>
        <w:t>三</w:t>
      </w:r>
      <w:r>
        <w:rPr>
          <w:rFonts w:hint="eastAsia" w:ascii="宋体" w:hAnsi="宋体" w:eastAsia="宋体" w:cs="宋体"/>
          <w:b/>
          <w:sz w:val="24"/>
          <w:szCs w:val="24"/>
          <w:highlight w:val="none"/>
        </w:rPr>
        <w:t>、合同争议的解决</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在执行本合同中发生的或与本合同有关的争端，双方应通过友好协商解决，经协商在30天内不能达成协议时，应向甲方所在地人民法院提请诉讼。</w:t>
      </w:r>
    </w:p>
    <w:p>
      <w:pPr>
        <w:spacing w:line="52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eastAsia="zh-CN"/>
        </w:rPr>
        <w:t>四</w:t>
      </w:r>
      <w:r>
        <w:rPr>
          <w:rFonts w:hint="eastAsia" w:ascii="宋体" w:hAnsi="宋体" w:eastAsia="宋体" w:cs="宋体"/>
          <w:b/>
          <w:bCs/>
          <w:sz w:val="24"/>
          <w:szCs w:val="24"/>
          <w:highlight w:val="none"/>
        </w:rPr>
        <w:t>、不可抗力情况下的免责约定</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双方约定不可抗力情况指：双方不可预见、不可避免、不可克服的客观情况，但不包括双方的违约或疏忽。这些事件包括但不限于：战争、严重火灾、洪水、台风、地震等。</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1、在合同有效期内，任何一方因不可抗力事件导致不能履行合同，则合同履行期可延长，其延长期与不可抗力影响期相同。</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2、不可抗力事件发生后，应立即通知对方，并寄送有关权威机构出具的证明。</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3、不可抗力事件延续60天以上，双方应通过友好协商，确定是否继续履行合同。</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、违约责任</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、甲乙双方必须遵守本合同并执行合同中的各项规定，保证本合同的正常履行。</w:t>
      </w:r>
    </w:p>
    <w:p>
      <w:pPr>
        <w:spacing w:line="520" w:lineRule="exact"/>
        <w:ind w:firstLine="480" w:firstLineChars="200"/>
        <w:rPr>
          <w:rFonts w:hint="eastAsia" w:ascii="宋体" w:hAnsi="宋体" w:cs="宋体"/>
          <w:color w:val="auto"/>
          <w:sz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乙方完成的工作成果未通过甲方验收的，乙方应按照甲方的要求无条件进行修改，修改2次以上仍不合格，甲方有权</w:t>
      </w:r>
      <w:r>
        <w:rPr>
          <w:rFonts w:hint="eastAsia" w:ascii="宋体" w:hAnsi="宋体" w:cs="宋体"/>
          <w:color w:val="auto"/>
          <w:sz w:val="24"/>
          <w:highlight w:val="none"/>
          <w:lang w:val="en-US" w:eastAsia="zh-CN"/>
        </w:rPr>
        <w:t>单方面解除本合同，乙方应无条件退还已收取的全部合同价款，并按合同总价的10%向甲方支付违约金，违约金不足以弥补甲方损失的，乙方还应予以补足。</w:t>
      </w:r>
    </w:p>
    <w:p>
      <w:pPr>
        <w:spacing w:line="52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因省财政年度预算拨款等政策要求，甲方向乙方支付全部合同价款不视为双方合同履约结束，乙方仍应按照合同约定，完成全部工作内容，否则将视为乙方存在严重失信行为，甲方将上报省财政厅，将乙方列入信用“黑名单”，并在“中国政府采购网”、“信用中国”等网站公示；同时甲方保留要求乙方退还合同价款、赔偿损失的权利。</w:t>
      </w:r>
    </w:p>
    <w:p>
      <w:pP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eastAsia="zh-CN"/>
        </w:rPr>
        <w:t>六</w:t>
      </w:r>
      <w:r>
        <w:rPr>
          <w:rFonts w:hint="eastAsia" w:ascii="宋体" w:hAnsi="宋体" w:eastAsia="宋体" w:cs="宋体"/>
          <w:b/>
          <w:sz w:val="24"/>
          <w:szCs w:val="24"/>
          <w:highlight w:val="none"/>
        </w:rPr>
        <w:t>、其他</w:t>
      </w:r>
    </w:p>
    <w:p>
      <w:pPr>
        <w:tabs>
          <w:tab w:val="left" w:pos="980"/>
        </w:tabs>
        <w:kinsoku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本合同一式</w:t>
      </w:r>
      <w:r>
        <w:rPr>
          <w:rFonts w:hint="eastAsia" w:ascii="宋体" w:hAnsi="宋体" w:eastAsia="宋体" w:cs="宋体"/>
          <w:sz w:val="24"/>
          <w:szCs w:val="24"/>
          <w:highlight w:val="none"/>
          <w:u w:val="single"/>
        </w:rPr>
        <w:t xml:space="preserve"> 八 </w:t>
      </w:r>
      <w:r>
        <w:rPr>
          <w:rFonts w:hint="eastAsia" w:ascii="宋体" w:hAnsi="宋体" w:eastAsia="宋体" w:cs="宋体"/>
          <w:sz w:val="24"/>
          <w:szCs w:val="24"/>
          <w:highlight w:val="none"/>
        </w:rPr>
        <w:t>份，具有同等法律效力，双方各执</w:t>
      </w:r>
      <w:r>
        <w:rPr>
          <w:rFonts w:hint="eastAsia" w:ascii="宋体" w:hAnsi="宋体" w:eastAsia="宋体" w:cs="宋体"/>
          <w:sz w:val="24"/>
          <w:szCs w:val="24"/>
          <w:highlight w:val="none"/>
          <w:u w:val="single"/>
        </w:rPr>
        <w:t>四</w:t>
      </w:r>
      <w:r>
        <w:rPr>
          <w:rFonts w:hint="eastAsia" w:ascii="宋体" w:hAnsi="宋体" w:eastAsia="宋体" w:cs="宋体"/>
          <w:sz w:val="24"/>
          <w:szCs w:val="24"/>
          <w:highlight w:val="none"/>
        </w:rPr>
        <w:t>份，双方签字盖章后生效。未尽事宜，双方协商解决。</w:t>
      </w:r>
    </w:p>
    <w:p>
      <w:pPr>
        <w:adjustRightInd w:val="0"/>
        <w:snapToGrid w:val="0"/>
        <w:spacing w:line="400" w:lineRule="exact"/>
        <w:ind w:firstLine="475" w:firstLineChars="198"/>
        <w:rPr>
          <w:rFonts w:hint="eastAsia" w:ascii="宋体" w:hAnsi="宋体" w:eastAsia="宋体" w:cs="宋体"/>
          <w:sz w:val="24"/>
          <w:szCs w:val="24"/>
          <w:highlight w:val="none"/>
        </w:rPr>
      </w:pPr>
    </w:p>
    <w:p>
      <w:pPr>
        <w:spacing w:line="60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陕西省公路局</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公章</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公章</w:t>
      </w:r>
      <w:r>
        <w:rPr>
          <w:rFonts w:hint="eastAsia" w:ascii="宋体" w:hAnsi="宋体" w:eastAsia="宋体" w:cs="宋体"/>
          <w:sz w:val="24"/>
          <w:szCs w:val="24"/>
          <w:highlight w:val="none"/>
          <w:u w:val="none"/>
          <w:lang w:eastAsia="zh-CN"/>
        </w:rPr>
        <w:t>）</w:t>
      </w:r>
    </w:p>
    <w:p>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p>
    <w:p>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u w:val="single"/>
          <w:lang w:val="en-US" w:eastAsia="zh-CN"/>
        </w:rPr>
        <w:t xml:space="preserve">            </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pPr>
        <w:rPr>
          <w:rFonts w:hint="eastAsia" w:ascii="宋体" w:hAnsi="宋体" w:cs="宋体"/>
          <w:b/>
          <w:bCs/>
          <w:sz w:val="24"/>
          <w:szCs w:val="24"/>
          <w:highlight w:val="none"/>
        </w:rPr>
      </w:pPr>
      <w:r>
        <w:rPr>
          <w:rFonts w:hint="eastAsia" w:ascii="宋体" w:hAnsi="宋体" w:cs="宋体"/>
          <w:b/>
          <w:bCs/>
          <w:sz w:val="24"/>
          <w:szCs w:val="24"/>
          <w:highlight w:val="none"/>
        </w:rPr>
        <w:br w:type="page"/>
      </w:r>
    </w:p>
    <w:p>
      <w:pPr>
        <w:spacing w:line="500" w:lineRule="exact"/>
        <w:jc w:val="center"/>
        <w:rPr>
          <w:rFonts w:ascii="宋体" w:hAnsi="宋体" w:cs="宋体"/>
          <w:sz w:val="24"/>
          <w:szCs w:val="24"/>
          <w:highlight w:val="none"/>
        </w:rPr>
      </w:pPr>
      <w:r>
        <w:rPr>
          <w:rFonts w:hint="eastAsia" w:ascii="宋体" w:hAnsi="宋体" w:cs="宋体"/>
          <w:b/>
          <w:bCs/>
          <w:sz w:val="24"/>
          <w:szCs w:val="24"/>
          <w:highlight w:val="none"/>
        </w:rPr>
        <w:t>廉政合同（格式）</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陕西省公路局(以下简称“甲方”)和</w:t>
      </w:r>
      <w:r>
        <w:rPr>
          <w:rFonts w:hint="eastAsia" w:ascii="宋体" w:hAnsi="宋体" w:cs="宋体"/>
          <w:sz w:val="24"/>
          <w:szCs w:val="24"/>
          <w:highlight w:val="none"/>
          <w:u w:val="single"/>
        </w:rPr>
        <mc:AlternateContent>
          <mc:Choice Requires="wps">
            <w:drawing>
              <wp:anchor distT="0" distB="0" distL="114300" distR="114300" simplePos="0" relativeHeight="251660288" behindDoc="1" locked="0" layoutInCell="0" allowOverlap="1">
                <wp:simplePos x="0" y="0"/>
                <wp:positionH relativeFrom="page">
                  <wp:posOffset>1080770</wp:posOffset>
                </wp:positionH>
                <wp:positionV relativeFrom="paragraph">
                  <wp:posOffset>295275</wp:posOffset>
                </wp:positionV>
                <wp:extent cx="50165" cy="0"/>
                <wp:effectExtent l="0" t="0" r="0" b="0"/>
                <wp:wrapNone/>
                <wp:docPr id="1" name="任意多边形 1"/>
                <wp:cNvGraphicFramePr/>
                <a:graphic xmlns:a="http://schemas.openxmlformats.org/drawingml/2006/main">
                  <a:graphicData uri="http://schemas.microsoft.com/office/word/2010/wordprocessingShape">
                    <wps:wsp>
                      <wps:cNvSpPr/>
                      <wps:spPr>
                        <a:xfrm>
                          <a:off x="0" y="0"/>
                          <a:ext cx="50165" cy="0"/>
                        </a:xfrm>
                        <a:custGeom>
                          <a:avLst/>
                          <a:gdLst>
                            <a:gd name="A1" fmla="val 0"/>
                            <a:gd name="A2" fmla="val 0"/>
                          </a:gdLst>
                          <a:ahLst/>
                          <a:cxnLst>
                            <a:cxn ang="0">
                              <a:pos x="0" y="0"/>
                            </a:cxn>
                            <a:cxn ang="0">
                              <a:pos x="50165" y="0"/>
                            </a:cxn>
                          </a:cxnLst>
                          <a:rect l="0" t="0" r="0" b="0"/>
                          <a:pathLst>
                            <a:path w="79" h="1">
                              <a:moveTo>
                                <a:pt x="0" y="0"/>
                              </a:moveTo>
                              <a:lnTo>
                                <a:pt x="79" y="0"/>
                              </a:lnTo>
                            </a:path>
                          </a:pathLst>
                        </a:custGeom>
                        <a:noFill/>
                        <a:ln w="8890" cap="flat" cmpd="sng">
                          <a:solidFill>
                            <a:srgbClr val="00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85.1pt;margin-top:23.25pt;height:0pt;width:3.95pt;mso-position-horizontal-relative:page;z-index:-251656192;mso-width-relative:page;mso-height-relative:page;" filled="f" stroked="t" coordsize="79,1" o:allowincell="f" o:gfxdata="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enfrZAAAACQEAAA8AAAAAAAAAAQAgAAAAIgAAAGRycy9kb3du&#10;cmV2LnhtbFBLAQIUABQAAAAIAIdO4kCLaYQicAIAAGQFAAAOAAAAAAAAAAEAIAAAACgBAABkcnMv&#10;ZTJvRG9jLnhtbFBLBQYAAAAABgAGAFkBAAAKBgAAAAA=&#10;" path="m0,0l79,0e">
                <v:path o:connectlocs="0,0;50165,0" o:connectangles="0,0"/>
                <v:fill on="f" focussize="0,0"/>
                <v:stroke weight="0.7pt" color="#000000" joinstyle="round"/>
                <v:imagedata o:title=""/>
                <o:lock v:ext="edit" aspectratio="f"/>
              </v:shape>
            </w:pict>
          </mc:Fallback>
        </mc:AlternateContent>
      </w:r>
      <w:r>
        <w:rPr>
          <w:rFonts w:hint="eastAsia" w:ascii="宋体" w:hAnsi="宋体" w:cs="宋体"/>
          <w:sz w:val="24"/>
          <w:szCs w:val="24"/>
          <w:highlight w:val="none"/>
        </w:rPr>
        <w:t>成交供应商</w:t>
      </w:r>
      <w:r>
        <w:rPr>
          <w:rFonts w:hint="eastAsia" w:ascii="宋体" w:hAnsi="宋体" w:cs="宋体"/>
          <w:sz w:val="24"/>
          <w:szCs w:val="24"/>
          <w:highlight w:val="none"/>
          <w:u w:val="single"/>
        </w:rPr>
        <w:t>（中标供应商名称）(</w:t>
      </w:r>
      <w:r>
        <w:rPr>
          <w:rFonts w:hint="eastAsia" w:ascii="宋体" w:hAnsi="宋体" w:cs="宋体"/>
          <w:sz w:val="24"/>
          <w:szCs w:val="24"/>
          <w:highlight w:val="none"/>
        </w:rPr>
        <w:t>以下简称“乙方”)，特订立如下合同。</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第一条 双方的权利和义务</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(一)严格遵守党的政策规定和国家有关法律法规及交通运输部的有关规定。</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(二)严格执行</w:t>
      </w:r>
      <w:r>
        <w:rPr>
          <w:rFonts w:hint="eastAsia" w:ascii="宋体" w:hAnsi="宋体" w:cs="宋体"/>
          <w:sz w:val="24"/>
          <w:szCs w:val="24"/>
          <w:highlight w:val="none"/>
          <w:u w:val="single"/>
        </w:rPr>
        <w:t>（项目名称）</w:t>
      </w:r>
      <w:r>
        <w:rPr>
          <w:rFonts w:hint="eastAsia" w:ascii="宋体" w:hAnsi="宋体" w:cs="宋体"/>
          <w:sz w:val="24"/>
          <w:szCs w:val="24"/>
          <w:highlight w:val="none"/>
        </w:rPr>
        <w:t>标段方案设计合同文件，自觉按合同办事。</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(三)双方的业务活动坚持公开、公正、诚信、透明的原则(法律认定的商业秘密和合同文件另有规定除外)，不得损害国家和集体利益，不得违反工程建设管理规章制度。</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(四)建立健全廉政制度，开展廉政教育，设立廉政告示牌，公布举报电话，监督并认真查处违法违纪行为。</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(五)发现对方在业务活动中有违反廉政规定的行为，有及时提醒对方纠正的权利和义务。</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(六)发现各方严重违反本合同义务条款的行为，有向其上级有关部门举报、建议给予处理并要求告知处理结果的权利。</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第二条甲方的义务</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(一)甲方及其工作人员不得索要或接受乙方的礼金、有价证券和贵重物品，不得在乙方报销任何应由甲方或甲方工作人员个人支付的费用等。</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(二)甲方工作人员不得参加乙方安排的超标准宴请和娱乐活动；不得接受乙方提供的通讯工具、交通工具和高档办公用品等。</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(三)甲方及其工作人员不得要求或者接受乙方为其住房装修、婚丧嫁娶活动、配偶子女及其亲属的工作安排以及出国出境、旅游等提供方便等。</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(四)不准向乙方和相关单位介绍或为配偶、子女、亲属参与同本方案设计合同有关的方案设计业务等活动。不得以任何理由要求乙方和相关单位在设计中使用某种产品、材料和设备。</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第三条乙方的义务</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(一)乙方不得以任何理由向甲方及其工作人员行贿或馈赠礼金、有价证券、贵重礼品。</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(二)乙方不得以任何名义为甲方及其工作人员报销应由甲方单位或个人支付的任何费用。</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(三)乙方不得以任何理由安排甲方工作人员参加超标准宴请及娱乐活动。</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(四)乙方不得为甲方单位和个人购置或提供通讯工具、交通工具和高档办公用品等。</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第四条违约责任</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(一)甲方及其工作人员违反本合同第一、二条，按管理权限，依据有关规定给予党纪、政纪或组织处理；涉嫌犯罪的，移交司法机关追究刑事责任；给乙方单位造成经济损失的，应予以赔偿。</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二)乙方及其工作人员违反本合同第一、三条，按管理权限，依据有关规定给予党纪、政纪或组织处理；给甲方单位造成经济损失的，应予以赔偿；情节严重的，甲方建议交通运输主管部门给予乙方一至三年内不得进入其主管的公路养建市场的处罚。</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第五条双方约定：本合同由双方或双方上级单位的纪检监察部门负责监督执行。</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第六条本合同有效期为甲乙双方签署之日起至《协议书》（即本次政府采购主合同）失效日止。</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第七条本合同作为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（项目名称）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标段方案设计合同的附件，与服务合同具有同等的法律效力，经合同双方签署后立即生效。</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第八条 本合同一式</w:t>
      </w:r>
      <w:r>
        <w:rPr>
          <w:rFonts w:hint="eastAsia" w:ascii="宋体" w:hAnsi="宋体" w:cs="宋体"/>
          <w:sz w:val="24"/>
          <w:szCs w:val="24"/>
          <w:highlight w:val="none"/>
          <w:u w:val="single"/>
        </w:rPr>
        <w:t xml:space="preserve"> 八 </w:t>
      </w:r>
      <w:r>
        <w:rPr>
          <w:rFonts w:hint="eastAsia" w:ascii="宋体" w:hAnsi="宋体" w:cs="宋体"/>
          <w:sz w:val="24"/>
          <w:szCs w:val="24"/>
          <w:highlight w:val="none"/>
        </w:rPr>
        <w:t>份，具有同等法律效力，双方各执四份，双方签字盖章后生效。</w:t>
      </w:r>
    </w:p>
    <w:p>
      <w:pPr>
        <w:spacing w:line="600" w:lineRule="exact"/>
        <w:ind w:firstLine="480" w:firstLineChars="200"/>
        <w:rPr>
          <w:rFonts w:ascii="宋体" w:hAnsi="宋体" w:cs="宋体"/>
          <w:sz w:val="24"/>
          <w:szCs w:val="24"/>
          <w:highlight w:val="none"/>
        </w:rPr>
      </w:pPr>
    </w:p>
    <w:p>
      <w:pPr>
        <w:spacing w:line="600" w:lineRule="exact"/>
        <w:ind w:firstLine="480" w:firstLineChars="200"/>
        <w:rPr>
          <w:rFonts w:hint="eastAsia" w:ascii="宋体" w:hAnsi="宋体" w:cs="宋体"/>
          <w:sz w:val="24"/>
          <w:szCs w:val="24"/>
          <w:highlight w:val="none"/>
          <w:u w:val="single"/>
          <w:lang w:val="en-US" w:eastAsia="zh-CN"/>
        </w:rPr>
      </w:pPr>
      <w:r>
        <w:rPr>
          <w:rFonts w:hint="eastAsia" w:ascii="宋体" w:hAnsi="宋体" w:cs="宋体"/>
          <w:sz w:val="24"/>
          <w:szCs w:val="24"/>
          <w:highlight w:val="none"/>
        </w:rPr>
        <w:t>甲方：</w:t>
      </w:r>
      <w:r>
        <w:rPr>
          <w:rFonts w:hint="eastAsia" w:ascii="宋体" w:hAnsi="宋体" w:cs="宋体"/>
          <w:sz w:val="24"/>
          <w:szCs w:val="24"/>
          <w:highlight w:val="none"/>
          <w:u w:val="single"/>
        </w:rPr>
        <w:t>陕西省公路局</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公章</w:t>
      </w:r>
      <w:r>
        <w:rPr>
          <w:rFonts w:hint="eastAsia" w:ascii="宋体" w:hAnsi="宋体" w:cs="宋体"/>
          <w:sz w:val="24"/>
          <w:szCs w:val="24"/>
          <w:highlight w:val="none"/>
          <w:u w:val="none"/>
          <w:lang w:eastAsia="zh-CN"/>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乙方：</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公章</w:t>
      </w:r>
      <w:r>
        <w:rPr>
          <w:rFonts w:hint="eastAsia" w:ascii="宋体" w:hAnsi="宋体" w:cs="宋体"/>
          <w:sz w:val="24"/>
          <w:szCs w:val="24"/>
          <w:highlight w:val="none"/>
          <w:u w:val="none"/>
          <w:lang w:eastAsia="zh-CN"/>
        </w:rPr>
        <w:t>）</w:t>
      </w:r>
    </w:p>
    <w:p>
      <w:pPr>
        <w:spacing w:line="60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w:t>
      </w:r>
    </w:p>
    <w:p>
      <w:pPr>
        <w:spacing w:line="60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或其委托代理人：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或其委托代理人：</w:t>
      </w:r>
      <w:r>
        <w:rPr>
          <w:rFonts w:hint="eastAsia" w:ascii="宋体" w:hAnsi="宋体" w:cs="宋体"/>
          <w:sz w:val="24"/>
          <w:szCs w:val="24"/>
          <w:highlight w:val="none"/>
          <w:u w:val="single"/>
          <w:lang w:val="en-US" w:eastAsia="zh-CN"/>
        </w:rPr>
        <w:t xml:space="preserve">            </w:t>
      </w:r>
    </w:p>
    <w:p>
      <w:pPr>
        <w:spacing w:line="600" w:lineRule="exact"/>
        <w:ind w:firstLine="960" w:firstLineChars="400"/>
        <w:rPr>
          <w:rFonts w:ascii="宋体" w:hAnsi="宋体" w:cs="宋体"/>
          <w:sz w:val="24"/>
          <w:szCs w:val="24"/>
          <w:highlight w:val="none"/>
        </w:rPr>
      </w:pPr>
      <w:r>
        <w:rPr>
          <w:rFonts w:hint="eastAsia" w:ascii="宋体" w:hAnsi="宋体" w:cs="宋体"/>
          <w:sz w:val="24"/>
          <w:szCs w:val="24"/>
          <w:highlight w:val="none"/>
        </w:rPr>
        <w:t xml:space="preserve">年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月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日</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年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日</w:t>
      </w:r>
    </w:p>
    <w:p>
      <w:pPr>
        <w:rPr>
          <w:rFonts w:hint="eastAsia" w:ascii="宋体" w:hAnsi="宋体" w:eastAsia="宋体" w:cs="宋体"/>
          <w:sz w:val="24"/>
          <w:szCs w:val="24"/>
          <w:highlight w:val="none"/>
        </w:rPr>
      </w:pPr>
    </w:p>
    <w:p>
      <w:pPr>
        <w:rPr>
          <w:rFonts w:hint="eastAsia" w:ascii="宋体" w:hAnsi="宋体" w:cs="宋体"/>
          <w:b/>
          <w:bCs/>
          <w:sz w:val="36"/>
          <w:szCs w:val="36"/>
          <w:highlight w:val="none"/>
        </w:rPr>
      </w:pPr>
      <w:bookmarkStart w:id="67" w:name="_Toc25300"/>
      <w:bookmarkStart w:id="68" w:name="_Toc20265"/>
      <w:bookmarkStart w:id="69" w:name="_Toc18360"/>
      <w:r>
        <w:rPr>
          <w:rFonts w:hint="eastAsia" w:ascii="宋体" w:hAnsi="宋体" w:cs="宋体"/>
          <w:b/>
          <w:bCs/>
          <w:sz w:val="36"/>
          <w:szCs w:val="36"/>
          <w:highlight w:val="none"/>
        </w:rPr>
        <w:br w:type="page"/>
      </w:r>
    </w:p>
    <w:p>
      <w:pPr>
        <w:spacing w:line="50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安全生产合同</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为在本检测项目合同的实施过程中创造安全的工作环境，切实搞好本项目的安全管理工作、本项目</w:t>
      </w:r>
      <w:r>
        <w:rPr>
          <w:rFonts w:hint="eastAsia" w:ascii="宋体" w:hAnsi="宋体" w:cs="宋体"/>
          <w:sz w:val="24"/>
          <w:szCs w:val="24"/>
          <w:highlight w:val="none"/>
          <w:u w:val="single"/>
        </w:rPr>
        <w:t>陕西省公路局</w:t>
      </w:r>
      <w:r>
        <w:rPr>
          <w:rFonts w:hint="eastAsia" w:ascii="宋体" w:hAnsi="宋体" w:cs="宋体"/>
          <w:sz w:val="24"/>
          <w:szCs w:val="24"/>
          <w:highlight w:val="none"/>
        </w:rPr>
        <w:t>（以下筒称</w:t>
      </w:r>
      <w:r>
        <w:rPr>
          <w:rFonts w:hint="eastAsia" w:ascii="宋体" w:hAnsi="宋体" w:cs="宋体"/>
          <w:sz w:val="24"/>
          <w:szCs w:val="24"/>
          <w:highlight w:val="none"/>
          <w:lang w:eastAsia="zh-CN"/>
        </w:rPr>
        <w:t>“</w:t>
      </w:r>
      <w:r>
        <w:rPr>
          <w:rFonts w:hint="eastAsia" w:ascii="宋体" w:hAnsi="宋体" w:cs="宋体"/>
          <w:sz w:val="24"/>
          <w:szCs w:val="24"/>
          <w:highlight w:val="none"/>
        </w:rPr>
        <w:t>甲方</w:t>
      </w:r>
      <w:r>
        <w:rPr>
          <w:rFonts w:hint="eastAsia" w:ascii="宋体" w:hAnsi="宋体" w:cs="宋体"/>
          <w:sz w:val="24"/>
          <w:szCs w:val="24"/>
          <w:highlight w:val="none"/>
          <w:lang w:eastAsia="zh-CN"/>
        </w:rPr>
        <w:t>”</w:t>
      </w:r>
      <w:r>
        <w:rPr>
          <w:rFonts w:hint="eastAsia" w:ascii="宋体" w:hAnsi="宋体" w:cs="宋体"/>
          <w:sz w:val="24"/>
          <w:szCs w:val="24"/>
          <w:highlight w:val="none"/>
        </w:rPr>
        <w:t>）与</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（承包人全称，以下简称“乙方”）</w:t>
      </w:r>
      <w:r>
        <w:rPr>
          <w:rFonts w:hint="eastAsia" w:ascii="宋体" w:hAnsi="宋体" w:cs="宋体"/>
          <w:sz w:val="24"/>
          <w:szCs w:val="24"/>
          <w:highlight w:val="none"/>
        </w:rPr>
        <w:t>，特此签订安全生产合同：</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一、甲方职责</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1、严格遵守国家有关安全生产的法律法规，认真执行安全生产规定。</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2．按照</w:t>
      </w:r>
      <w:r>
        <w:rPr>
          <w:rFonts w:hint="eastAsia" w:ascii="宋体" w:hAnsi="宋体" w:cs="宋体"/>
          <w:sz w:val="24"/>
          <w:szCs w:val="24"/>
          <w:highlight w:val="none"/>
          <w:lang w:eastAsia="zh-CN"/>
        </w:rPr>
        <w:t>“</w:t>
      </w:r>
      <w:r>
        <w:rPr>
          <w:rFonts w:hint="eastAsia" w:ascii="宋体" w:hAnsi="宋体" w:cs="宋体"/>
          <w:sz w:val="24"/>
          <w:szCs w:val="24"/>
          <w:highlight w:val="none"/>
        </w:rPr>
        <w:t>安全第一、预防为主</w:t>
      </w:r>
      <w:r>
        <w:rPr>
          <w:rFonts w:hint="eastAsia" w:ascii="宋体" w:hAnsi="宋体" w:cs="宋体"/>
          <w:sz w:val="24"/>
          <w:szCs w:val="24"/>
          <w:highlight w:val="none"/>
          <w:lang w:eastAsia="zh-CN"/>
        </w:rPr>
        <w:t>”</w:t>
      </w:r>
      <w:r>
        <w:rPr>
          <w:rFonts w:hint="eastAsia" w:ascii="宋体" w:hAnsi="宋体" w:cs="宋体"/>
          <w:sz w:val="24"/>
          <w:szCs w:val="24"/>
          <w:highlight w:val="none"/>
        </w:rPr>
        <w:t>和坚持</w:t>
      </w:r>
      <w:r>
        <w:rPr>
          <w:rFonts w:hint="eastAsia" w:ascii="宋体" w:hAnsi="宋体" w:cs="宋体"/>
          <w:sz w:val="24"/>
          <w:szCs w:val="24"/>
          <w:highlight w:val="none"/>
          <w:lang w:eastAsia="zh-CN"/>
        </w:rPr>
        <w:t>“</w:t>
      </w:r>
      <w:r>
        <w:rPr>
          <w:rFonts w:hint="eastAsia" w:ascii="宋体" w:hAnsi="宋体" w:cs="宋体"/>
          <w:sz w:val="24"/>
          <w:szCs w:val="24"/>
          <w:highlight w:val="none"/>
        </w:rPr>
        <w:t>管生产必须管安全</w:t>
      </w:r>
      <w:r>
        <w:rPr>
          <w:rFonts w:hint="eastAsia" w:ascii="宋体" w:hAnsi="宋体" w:cs="宋体"/>
          <w:sz w:val="24"/>
          <w:szCs w:val="24"/>
          <w:highlight w:val="none"/>
          <w:lang w:eastAsia="zh-CN"/>
        </w:rPr>
        <w:t>”</w:t>
      </w:r>
      <w:r>
        <w:rPr>
          <w:rFonts w:hint="eastAsia" w:ascii="宋体" w:hAnsi="宋体" w:cs="宋体"/>
          <w:sz w:val="24"/>
          <w:szCs w:val="24"/>
          <w:highlight w:val="none"/>
        </w:rPr>
        <w:t>的原则进行安全生产管理，做到生产与安全工作同时计划、布置、检查。</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4、及时传达中央及地方有关安全生产的精神，监督乙方及时处理发现的各种安全隐息。</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二、乙方职责</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1、严格遵守国家有关安全生产法律法规，认真执行安全生产规定。</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2、坚持</w:t>
      </w:r>
      <w:r>
        <w:rPr>
          <w:rFonts w:hint="eastAsia" w:ascii="宋体" w:hAnsi="宋体" w:cs="宋体"/>
          <w:sz w:val="24"/>
          <w:szCs w:val="24"/>
          <w:highlight w:val="none"/>
          <w:lang w:eastAsia="zh-CN"/>
        </w:rPr>
        <w:t>“</w:t>
      </w:r>
      <w:r>
        <w:rPr>
          <w:rFonts w:hint="eastAsia" w:ascii="宋体" w:hAnsi="宋体" w:cs="宋体"/>
          <w:sz w:val="24"/>
          <w:szCs w:val="24"/>
          <w:highlight w:val="none"/>
        </w:rPr>
        <w:t>安全第一、预防为主</w:t>
      </w:r>
      <w:r>
        <w:rPr>
          <w:rFonts w:hint="eastAsia" w:ascii="宋体" w:hAnsi="宋体" w:cs="宋体"/>
          <w:sz w:val="24"/>
          <w:szCs w:val="24"/>
          <w:highlight w:val="none"/>
          <w:lang w:eastAsia="zh-CN"/>
        </w:rPr>
        <w:t>”</w:t>
      </w:r>
      <w:r>
        <w:rPr>
          <w:rFonts w:hint="eastAsia" w:ascii="宋体" w:hAnsi="宋体" w:cs="宋体"/>
          <w:sz w:val="24"/>
          <w:szCs w:val="24"/>
          <w:highlight w:val="none"/>
        </w:rPr>
        <w:t>和坚持</w:t>
      </w:r>
      <w:r>
        <w:rPr>
          <w:rFonts w:hint="eastAsia" w:ascii="宋体" w:hAnsi="宋体" w:cs="宋体"/>
          <w:sz w:val="24"/>
          <w:szCs w:val="24"/>
          <w:highlight w:val="none"/>
          <w:lang w:eastAsia="zh-CN"/>
        </w:rPr>
        <w:t>“</w:t>
      </w:r>
      <w:r>
        <w:rPr>
          <w:rFonts w:hint="eastAsia" w:ascii="宋体" w:hAnsi="宋体" w:cs="宋体"/>
          <w:sz w:val="24"/>
          <w:szCs w:val="24"/>
          <w:highlight w:val="none"/>
        </w:rPr>
        <w:t>管生产必须管安全</w:t>
      </w:r>
      <w:r>
        <w:rPr>
          <w:rFonts w:hint="eastAsia" w:ascii="宋体" w:hAnsi="宋体" w:cs="宋体"/>
          <w:sz w:val="24"/>
          <w:szCs w:val="24"/>
          <w:highlight w:val="none"/>
          <w:lang w:eastAsia="zh-CN"/>
        </w:rPr>
        <w:t>”</w:t>
      </w:r>
      <w:r>
        <w:rPr>
          <w:rFonts w:hint="eastAsia" w:ascii="宋体" w:hAnsi="宋体" w:cs="宋体"/>
          <w:sz w:val="24"/>
          <w:szCs w:val="24"/>
          <w:highlight w:val="none"/>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建立健全安全生产责任制。从派往实施项目的项目负责人到生产工人（包括临时雇请的民工）的安全生产管理系统必须做到纵向到底，一环不漏；各职能部门、人员的安全生产责任制做到横向到边，人人有责。项目负责人是安全生产的第一责任人。现场设置的安全机构，应按合同配备安全员，专职负责所有员工的安全和治安保卫工作及预防事故的发生。安全机构人员，有权按有关规定发布指令，并采取措施防止事故发生。</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4．乙方在任何时候都应采取各种合理的预防措施，防止其员工发生任何违法、违禁、暴力或妨碍治安的行为。</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乙方参加检测的人员，必须接受安全技术教育，熟知和遵守本工种的各项安全技术操作规程，定期进行安全技术考核，合格者方准上岗操作。检测现场如出现特种作业无证操作现象时，项目负责人必须承担责任。</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对于易燃易爆的材料除应专门妥善保管之外，还应配备有足够的消防设施，所有检测人员都应熟悉消防设备的性能和使用方法；乙方不得将任何种类的爆炸物给予、易货或以其他方式转让给任何其他人，或允许、容忍上述同样行为。</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8．在现场的所有检测人员，必须按规定穿戴防护用品。不按规定穿戴防护用品的人员不得上岗。</w:t>
      </w:r>
    </w:p>
    <w:p>
      <w:pPr>
        <w:spacing w:line="50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9．所有</w:t>
      </w:r>
      <w:r>
        <w:rPr>
          <w:rFonts w:hint="eastAsia" w:ascii="宋体" w:hAnsi="宋体" w:cs="宋体"/>
          <w:sz w:val="24"/>
          <w:szCs w:val="24"/>
          <w:highlight w:val="none"/>
          <w:lang w:val="en-US" w:eastAsia="zh-CN"/>
        </w:rPr>
        <w:t>检测机具设备和高空作业的设备均应定期检查，并有安全员的签字记录，保证其经常处于完好状态；不合格的机具、</w:t>
      </w:r>
      <w:r>
        <w:rPr>
          <w:rFonts w:hint="eastAsia" w:ascii="宋体" w:hAnsi="宋体" w:cs="宋体"/>
          <w:sz w:val="24"/>
          <w:szCs w:val="24"/>
          <w:highlight w:val="none"/>
        </w:rPr>
        <w:t>设备和劳动保护用品严禁使用。</w:t>
      </w:r>
    </w:p>
    <w:p>
      <w:pPr>
        <w:spacing w:line="50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10、检测中采用新技术、新工艺、新设备、新材料时，必须制定相应的安全技术措施，检测现场必须具有相关的安全标志牌。</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11、乙方必须</w:t>
      </w:r>
      <w:r>
        <w:rPr>
          <w:rFonts w:hint="eastAsia" w:ascii="宋体" w:hAnsi="宋体" w:cs="宋体"/>
          <w:sz w:val="24"/>
          <w:szCs w:val="24"/>
          <w:highlight w:val="none"/>
        </w:rPr>
        <w:t>按照本项目特点，制定本项目实施中的生产安全事故应急救援预案；</w:t>
      </w:r>
      <w:r>
        <w:rPr>
          <w:rFonts w:hint="eastAsia" w:ascii="宋体" w:hAnsi="宋体" w:cs="宋体"/>
          <w:sz w:val="24"/>
          <w:szCs w:val="24"/>
          <w:highlight w:val="none"/>
          <w:lang w:val="en-US" w:eastAsia="zh-CN"/>
        </w:rPr>
        <w:t>如果发生安全事故，</w:t>
      </w:r>
      <w:r>
        <w:rPr>
          <w:rFonts w:hint="eastAsia" w:ascii="宋体" w:hAnsi="宋体" w:cs="宋体"/>
          <w:sz w:val="24"/>
          <w:szCs w:val="24"/>
          <w:highlight w:val="none"/>
        </w:rPr>
        <w:t>应按照《国务院关于特大安全事故行政责任追究的规定》以及其它有关规定，及时上报有关部门，并坚持</w:t>
      </w:r>
      <w:r>
        <w:rPr>
          <w:rFonts w:hint="eastAsia" w:ascii="宋体" w:hAnsi="宋体" w:cs="宋体"/>
          <w:sz w:val="24"/>
          <w:szCs w:val="24"/>
          <w:highlight w:val="none"/>
          <w:lang w:eastAsia="zh-CN"/>
        </w:rPr>
        <w:t>“</w:t>
      </w:r>
      <w:r>
        <w:rPr>
          <w:rFonts w:hint="eastAsia" w:ascii="宋体" w:hAnsi="宋体" w:cs="宋体"/>
          <w:sz w:val="24"/>
          <w:szCs w:val="24"/>
          <w:highlight w:val="none"/>
        </w:rPr>
        <w:t>三不放过</w:t>
      </w:r>
      <w:r>
        <w:rPr>
          <w:rFonts w:hint="eastAsia" w:ascii="宋体" w:hAnsi="宋体" w:cs="宋体"/>
          <w:sz w:val="24"/>
          <w:szCs w:val="24"/>
          <w:highlight w:val="none"/>
          <w:lang w:eastAsia="zh-CN"/>
        </w:rPr>
        <w:t>”</w:t>
      </w:r>
      <w:r>
        <w:rPr>
          <w:rFonts w:hint="eastAsia" w:ascii="宋体" w:hAnsi="宋体" w:cs="宋体"/>
          <w:sz w:val="24"/>
          <w:szCs w:val="24"/>
          <w:highlight w:val="none"/>
        </w:rPr>
        <w:t>的原则，严肃处理相关责任人。</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三、违约责任</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如因甲方或乙方原因违约造成安全事故，将依法追究责任。</w:t>
      </w: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本合同一式</w:t>
      </w:r>
      <w:r>
        <w:rPr>
          <w:rFonts w:hint="eastAsia" w:ascii="宋体" w:hAnsi="宋体" w:cs="宋体"/>
          <w:sz w:val="24"/>
          <w:szCs w:val="24"/>
          <w:highlight w:val="none"/>
          <w:u w:val="single"/>
        </w:rPr>
        <w:t>八</w:t>
      </w:r>
      <w:r>
        <w:rPr>
          <w:rFonts w:hint="eastAsia" w:ascii="宋体" w:hAnsi="宋体" w:cs="宋体"/>
          <w:sz w:val="24"/>
          <w:szCs w:val="24"/>
          <w:highlight w:val="none"/>
        </w:rPr>
        <w:t>份，具有同等法律效力，双方各执</w:t>
      </w:r>
      <w:r>
        <w:rPr>
          <w:rFonts w:hint="eastAsia" w:ascii="宋体" w:hAnsi="宋体" w:cs="宋体"/>
          <w:sz w:val="24"/>
          <w:szCs w:val="24"/>
          <w:highlight w:val="none"/>
          <w:u w:val="single"/>
        </w:rPr>
        <w:t>四</w:t>
      </w:r>
      <w:r>
        <w:rPr>
          <w:rFonts w:hint="eastAsia" w:ascii="宋体" w:hAnsi="宋体" w:cs="宋体"/>
          <w:sz w:val="24"/>
          <w:szCs w:val="24"/>
          <w:highlight w:val="none"/>
        </w:rPr>
        <w:t>份。由双方法定代表人或其授权的代理人签署与加盖公章后生效，全部项目竣工验收后失效。</w:t>
      </w:r>
    </w:p>
    <w:p>
      <w:pPr>
        <w:spacing w:line="500" w:lineRule="exact"/>
        <w:ind w:firstLine="480" w:firstLineChars="200"/>
        <w:jc w:val="left"/>
        <w:rPr>
          <w:rFonts w:hint="eastAsia" w:ascii="宋体" w:hAnsi="宋体" w:cs="宋体"/>
          <w:sz w:val="24"/>
          <w:szCs w:val="24"/>
          <w:highlight w:val="none"/>
        </w:rPr>
      </w:pP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甲方：</w:t>
      </w:r>
    </w:p>
    <w:p>
      <w:pPr>
        <w:spacing w:line="500" w:lineRule="exact"/>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（签字）</w:t>
      </w:r>
    </w:p>
    <w:p>
      <w:pPr>
        <w:spacing w:line="500" w:lineRule="exact"/>
        <w:ind w:firstLine="7200" w:firstLineChars="3000"/>
        <w:jc w:val="left"/>
        <w:rPr>
          <w:rFonts w:hint="eastAsia" w:ascii="宋体" w:hAnsi="宋体" w:cs="宋体"/>
          <w:sz w:val="24"/>
          <w:szCs w:val="24"/>
          <w:highlight w:val="none"/>
        </w:rPr>
      </w:pP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pPr>
        <w:spacing w:line="500" w:lineRule="exact"/>
        <w:ind w:firstLine="480" w:firstLineChars="200"/>
        <w:jc w:val="left"/>
        <w:rPr>
          <w:rFonts w:hint="eastAsia" w:ascii="宋体" w:hAnsi="宋体" w:cs="宋体"/>
          <w:sz w:val="24"/>
          <w:szCs w:val="24"/>
          <w:highlight w:val="none"/>
        </w:rPr>
      </w:pPr>
    </w:p>
    <w:p>
      <w:p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乙</w:t>
      </w:r>
      <w:r>
        <w:rPr>
          <w:rFonts w:hint="eastAsia" w:ascii="宋体" w:hAnsi="宋体" w:cs="宋体"/>
          <w:sz w:val="24"/>
          <w:szCs w:val="24"/>
          <w:highlight w:val="none"/>
        </w:rPr>
        <w:t>方：</w:t>
      </w:r>
    </w:p>
    <w:p>
      <w:pPr>
        <w:spacing w:line="500" w:lineRule="exact"/>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（签字）</w:t>
      </w:r>
    </w:p>
    <w:p>
      <w:pPr>
        <w:spacing w:line="500" w:lineRule="exact"/>
        <w:ind w:firstLine="7200" w:firstLineChars="3000"/>
        <w:jc w:val="left"/>
        <w:rPr>
          <w:rFonts w:hint="eastAsia" w:ascii="宋体" w:hAnsi="宋体" w:cs="宋体"/>
          <w:sz w:val="24"/>
          <w:szCs w:val="24"/>
          <w:highlight w:val="none"/>
        </w:rPr>
      </w:pP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pPr>
        <w:rPr>
          <w:rFonts w:hint="eastAsia" w:ascii="宋体" w:hAnsi="宋体" w:cs="宋体"/>
          <w:b/>
          <w:bCs/>
          <w:sz w:val="36"/>
          <w:szCs w:val="36"/>
          <w:highlight w:val="none"/>
        </w:rPr>
      </w:pPr>
      <w:r>
        <w:rPr>
          <w:rFonts w:hint="eastAsia" w:ascii="宋体" w:hAnsi="宋体" w:cs="宋体"/>
          <w:b/>
          <w:bCs/>
          <w:sz w:val="36"/>
          <w:szCs w:val="36"/>
          <w:highlight w:val="none"/>
        </w:rPr>
        <w:br w:type="page"/>
      </w:r>
    </w:p>
    <w:p>
      <w:pPr>
        <w:spacing w:line="360" w:lineRule="auto"/>
        <w:jc w:val="center"/>
        <w:outlineLvl w:val="0"/>
        <w:rPr>
          <w:rFonts w:ascii="宋体" w:hAnsi="宋体" w:cs="宋体"/>
          <w:highlight w:val="none"/>
        </w:rPr>
      </w:pPr>
      <w:r>
        <w:rPr>
          <w:rFonts w:hint="eastAsia" w:ascii="宋体" w:hAnsi="宋体" w:cs="宋体"/>
          <w:b/>
          <w:bCs/>
          <w:sz w:val="36"/>
          <w:szCs w:val="36"/>
          <w:highlight w:val="none"/>
        </w:rPr>
        <w:t>第五部分  评审办法</w:t>
      </w:r>
      <w:bookmarkEnd w:id="67"/>
      <w:bookmarkEnd w:id="68"/>
    </w:p>
    <w:p>
      <w:pPr>
        <w:rPr>
          <w:rFonts w:ascii="宋体" w:hAnsi="宋体" w:cs="宋体"/>
          <w:b/>
          <w:bCs/>
          <w:sz w:val="24"/>
          <w:highlight w:val="none"/>
        </w:rPr>
      </w:pPr>
      <w:bookmarkStart w:id="70" w:name="_Toc19907_WPSOffice_Level2"/>
      <w:bookmarkStart w:id="71" w:name="_Toc26333_WPSOffice_Level2"/>
      <w:bookmarkStart w:id="72" w:name="_Toc26628_WPSOffice_Level2"/>
      <w:r>
        <w:rPr>
          <w:rFonts w:hint="eastAsia" w:ascii="宋体" w:hAnsi="宋体" w:cs="宋体"/>
          <w:b/>
          <w:bCs/>
          <w:sz w:val="24"/>
          <w:highlight w:val="none"/>
        </w:rPr>
        <w:t>1.磋商方法</w:t>
      </w:r>
      <w:bookmarkEnd w:id="70"/>
      <w:bookmarkEnd w:id="71"/>
      <w:bookmarkEnd w:id="72"/>
    </w:p>
    <w:p>
      <w:pPr>
        <w:ind w:firstLine="480" w:firstLineChars="200"/>
        <w:rPr>
          <w:rFonts w:ascii="宋体" w:hAnsi="宋体" w:cs="宋体"/>
          <w:b/>
          <w:bCs/>
          <w:sz w:val="24"/>
          <w:highlight w:val="none"/>
        </w:rPr>
      </w:pPr>
      <w:r>
        <w:rPr>
          <w:rFonts w:hint="eastAsia" w:ascii="宋体" w:hAnsi="宋体" w:cs="宋体"/>
          <w:sz w:val="24"/>
          <w:highlight w:val="none"/>
        </w:rPr>
        <w:t>1.1磋商方法：按照《中华人民共和国政府采购法》、中华人民共和国2015年第658号国务院令--《中华人民共和国政府采购法实施条例》和中华人民共和国财政部</w:t>
      </w:r>
      <w:r>
        <w:rPr>
          <w:rFonts w:hint="eastAsia" w:ascii="宋体" w:hAnsi="宋体" w:cs="宋体"/>
          <w:kern w:val="0"/>
          <w:sz w:val="24"/>
          <w:highlight w:val="none"/>
        </w:rPr>
        <w:t>财库〔2014〕214号文件《政府采购竞争性磋商采购方式管理暂行办法》的规定</w:t>
      </w:r>
      <w:r>
        <w:rPr>
          <w:rFonts w:hint="eastAsia" w:ascii="宋体" w:hAnsi="宋体" w:cs="宋体"/>
          <w:sz w:val="24"/>
          <w:highlight w:val="none"/>
        </w:rPr>
        <w:t>，竞争性磋商小组采用综合评分法对提交最后报价的供应商的响应文件和最后报价进行综合评分，按照评审得分由高到低顺序推荐3名成交候选供应商。</w:t>
      </w:r>
    </w:p>
    <w:p>
      <w:pPr>
        <w:ind w:firstLine="480" w:firstLineChars="200"/>
        <w:rPr>
          <w:rFonts w:ascii="宋体" w:hAnsi="宋体" w:cs="宋体"/>
          <w:sz w:val="24"/>
          <w:highlight w:val="none"/>
        </w:rPr>
      </w:pPr>
      <w:r>
        <w:rPr>
          <w:rFonts w:hint="eastAsia" w:ascii="宋体" w:hAnsi="宋体" w:cs="宋体"/>
          <w:sz w:val="24"/>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rPr>
          <w:rFonts w:ascii="宋体" w:hAnsi="宋体" w:cs="宋体"/>
          <w:b/>
          <w:bCs/>
          <w:sz w:val="24"/>
          <w:highlight w:val="none"/>
        </w:rPr>
      </w:pPr>
      <w:bookmarkStart w:id="73" w:name="_Toc1671_WPSOffice_Level2"/>
      <w:bookmarkStart w:id="74" w:name="_Toc943_WPSOffice_Level2"/>
      <w:bookmarkStart w:id="75" w:name="_Toc18710_WPSOffice_Level2"/>
      <w:r>
        <w:rPr>
          <w:rFonts w:hint="eastAsia" w:ascii="宋体" w:hAnsi="宋体" w:cs="宋体"/>
          <w:b/>
          <w:bCs/>
          <w:sz w:val="24"/>
          <w:highlight w:val="none"/>
        </w:rPr>
        <w:t>2.磋商</w:t>
      </w:r>
      <w:bookmarkEnd w:id="73"/>
      <w:bookmarkEnd w:id="74"/>
      <w:bookmarkEnd w:id="75"/>
    </w:p>
    <w:p>
      <w:pPr>
        <w:ind w:firstLine="480" w:firstLineChars="200"/>
        <w:rPr>
          <w:rFonts w:ascii="宋体" w:hAnsi="宋体" w:cs="宋体"/>
          <w:sz w:val="24"/>
          <w:highlight w:val="none"/>
        </w:rPr>
      </w:pPr>
      <w:r>
        <w:rPr>
          <w:rFonts w:hint="eastAsia" w:ascii="宋体" w:hAnsi="宋体" w:cs="宋体"/>
          <w:sz w:val="24"/>
          <w:highlight w:val="none"/>
        </w:rPr>
        <w:t>2.1采购代理机构按竞争性磋商采购公告规定的时间、地点组织磋商；磋商大会由采购人代表、磋商小组成员、监督机构代表、磋商供应商代表及采购代理机构工作人员参加，参会代表应签名报到，以证明其出席；</w:t>
      </w:r>
    </w:p>
    <w:p>
      <w:pPr>
        <w:ind w:firstLine="480" w:firstLineChars="200"/>
        <w:rPr>
          <w:rFonts w:ascii="宋体" w:hAnsi="宋体" w:cs="宋体"/>
          <w:sz w:val="24"/>
          <w:highlight w:val="none"/>
        </w:rPr>
      </w:pPr>
      <w:r>
        <w:rPr>
          <w:rFonts w:hint="eastAsia" w:ascii="宋体" w:hAnsi="宋体" w:cs="宋体"/>
          <w:sz w:val="24"/>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pPr>
        <w:ind w:firstLine="480" w:firstLineChars="200"/>
        <w:rPr>
          <w:rFonts w:ascii="宋体" w:hAnsi="宋体" w:cs="宋体"/>
          <w:sz w:val="24"/>
          <w:highlight w:val="none"/>
        </w:rPr>
      </w:pPr>
      <w:r>
        <w:rPr>
          <w:rFonts w:hint="eastAsia" w:ascii="宋体" w:hAnsi="宋体" w:cs="宋体"/>
          <w:sz w:val="24"/>
          <w:highlight w:val="none"/>
        </w:rPr>
        <w:t>2.2.1要严格遵守政府采购相关法律制度，依法履行各自职责，公正、客观、审慎地组织和参与评审工作；</w:t>
      </w:r>
    </w:p>
    <w:p>
      <w:pPr>
        <w:ind w:firstLine="480" w:firstLineChars="200"/>
        <w:rPr>
          <w:rFonts w:ascii="宋体" w:hAnsi="宋体" w:cs="宋体"/>
          <w:sz w:val="24"/>
          <w:highlight w:val="none"/>
        </w:rPr>
      </w:pPr>
      <w:r>
        <w:rPr>
          <w:rFonts w:hint="eastAsia" w:ascii="宋体" w:hAnsi="宋体" w:cs="宋体"/>
          <w:sz w:val="24"/>
          <w:highlight w:val="none"/>
        </w:rPr>
        <w:t>2.2.2对磋商响应文件进行资格性、符合性检查，并做出评价；</w:t>
      </w:r>
    </w:p>
    <w:p>
      <w:pPr>
        <w:ind w:firstLine="480" w:firstLineChars="200"/>
        <w:rPr>
          <w:rFonts w:ascii="宋体" w:hAnsi="宋体" w:cs="宋体"/>
          <w:sz w:val="24"/>
          <w:highlight w:val="none"/>
        </w:rPr>
      </w:pPr>
      <w:r>
        <w:rPr>
          <w:rFonts w:hint="eastAsia" w:ascii="宋体" w:hAnsi="宋体" w:cs="宋体"/>
          <w:sz w:val="24"/>
          <w:highlight w:val="none"/>
        </w:rPr>
        <w:t xml:space="preserve">2.2.3按竞争性磋商采购邀请书规定的评审方法和标准，进行比较和评价； </w:t>
      </w:r>
    </w:p>
    <w:p>
      <w:pPr>
        <w:ind w:firstLine="480" w:firstLineChars="200"/>
        <w:rPr>
          <w:rFonts w:ascii="宋体" w:hAnsi="宋体" w:cs="宋体"/>
          <w:sz w:val="24"/>
          <w:highlight w:val="none"/>
        </w:rPr>
      </w:pPr>
      <w:r>
        <w:rPr>
          <w:rFonts w:hint="eastAsia" w:ascii="宋体" w:hAnsi="宋体" w:cs="宋体"/>
          <w:sz w:val="24"/>
          <w:highlight w:val="none"/>
        </w:rPr>
        <w:t>2.2.4要求磋商供应商对磋商响应文件有关事项作出解释或澄清；</w:t>
      </w:r>
    </w:p>
    <w:p>
      <w:pPr>
        <w:ind w:firstLine="480" w:firstLineChars="200"/>
        <w:rPr>
          <w:rFonts w:ascii="宋体" w:hAnsi="宋体" w:cs="宋体"/>
          <w:sz w:val="24"/>
          <w:highlight w:val="none"/>
        </w:rPr>
      </w:pPr>
      <w:r>
        <w:rPr>
          <w:rFonts w:hint="eastAsia" w:ascii="宋体" w:hAnsi="宋体" w:cs="宋体"/>
          <w:sz w:val="24"/>
          <w:highlight w:val="none"/>
        </w:rPr>
        <w:t>2.2.5要依法独立评审，按照竞争性磋商采购邀请书的要求和评标标准进行评标，推荐成交候选供应商名单，对评审意见承担个人责任；</w:t>
      </w:r>
    </w:p>
    <w:p>
      <w:pPr>
        <w:ind w:firstLine="480" w:firstLineChars="200"/>
        <w:rPr>
          <w:rFonts w:ascii="宋体" w:hAnsi="宋体" w:cs="宋体"/>
          <w:sz w:val="24"/>
          <w:highlight w:val="none"/>
        </w:rPr>
      </w:pPr>
      <w:r>
        <w:rPr>
          <w:rFonts w:hint="eastAsia" w:ascii="宋体" w:hAnsi="宋体" w:cs="宋体"/>
          <w:sz w:val="24"/>
          <w:highlight w:val="none"/>
        </w:rPr>
        <w:t xml:space="preserve">2.2.6对需要共同认定的事项存在争议的，按照少数服从多数的原则做出结论。持不同意见的磋商小组成员应当在评审报告上签署不同意见并说明理由，否则视为同意； </w:t>
      </w:r>
    </w:p>
    <w:p>
      <w:pPr>
        <w:ind w:firstLine="480" w:firstLineChars="200"/>
        <w:rPr>
          <w:rFonts w:ascii="宋体" w:hAnsi="宋体" w:cs="宋体"/>
          <w:sz w:val="24"/>
          <w:highlight w:val="none"/>
        </w:rPr>
      </w:pPr>
      <w:r>
        <w:rPr>
          <w:rFonts w:hint="eastAsia" w:ascii="宋体" w:hAnsi="宋体" w:cs="宋体"/>
          <w:sz w:val="24"/>
          <w:highlight w:val="none"/>
        </w:rPr>
        <w:t>2.2.7对评审情况以及在评审过程中获悉的国家秘密、商业秘密负有保密责任；</w:t>
      </w:r>
    </w:p>
    <w:p>
      <w:pPr>
        <w:ind w:firstLine="480" w:firstLineChars="200"/>
        <w:rPr>
          <w:rFonts w:ascii="宋体" w:hAnsi="宋体" w:cs="宋体"/>
          <w:sz w:val="24"/>
          <w:highlight w:val="none"/>
        </w:rPr>
      </w:pPr>
      <w:r>
        <w:rPr>
          <w:rFonts w:hint="eastAsia" w:ascii="宋体" w:hAnsi="宋体" w:cs="宋体"/>
          <w:sz w:val="24"/>
          <w:highlight w:val="none"/>
        </w:rPr>
        <w:t>2.2.8配合财政部门的投诉处理工作；</w:t>
      </w:r>
    </w:p>
    <w:p>
      <w:pPr>
        <w:ind w:firstLine="480" w:firstLineChars="200"/>
        <w:rPr>
          <w:rFonts w:ascii="宋体" w:hAnsi="宋体" w:cs="宋体"/>
          <w:sz w:val="24"/>
          <w:highlight w:val="none"/>
        </w:rPr>
      </w:pPr>
      <w:r>
        <w:rPr>
          <w:rFonts w:hint="eastAsia" w:ascii="宋体" w:hAnsi="宋体" w:cs="宋体"/>
          <w:sz w:val="24"/>
          <w:highlight w:val="none"/>
        </w:rPr>
        <w:t>2.2.9配合采购人、采购代理机构答复磋商供应商提出的质疑。</w:t>
      </w:r>
    </w:p>
    <w:p>
      <w:pPr>
        <w:spacing w:line="360" w:lineRule="auto"/>
        <w:rPr>
          <w:rFonts w:ascii="宋体" w:hAnsi="宋体" w:cs="宋体"/>
          <w:b/>
          <w:bCs/>
          <w:sz w:val="24"/>
          <w:highlight w:val="none"/>
        </w:rPr>
      </w:pPr>
      <w:bookmarkStart w:id="76" w:name="_Toc5863_WPSOffice_Level2"/>
      <w:bookmarkStart w:id="77" w:name="_Toc16944_WPSOffice_Level2"/>
      <w:bookmarkStart w:id="78" w:name="_Toc31344_WPSOffice_Level2"/>
      <w:r>
        <w:rPr>
          <w:rFonts w:hint="eastAsia" w:ascii="宋体" w:hAnsi="宋体" w:cs="宋体"/>
          <w:b/>
          <w:bCs/>
          <w:sz w:val="24"/>
          <w:highlight w:val="none"/>
        </w:rPr>
        <w:t>3.磋商响应文件的初审</w:t>
      </w:r>
      <w:bookmarkEnd w:id="76"/>
      <w:bookmarkEnd w:id="77"/>
      <w:bookmarkEnd w:id="78"/>
    </w:p>
    <w:p>
      <w:pPr>
        <w:spacing w:line="360" w:lineRule="auto"/>
        <w:ind w:firstLine="480" w:firstLineChars="200"/>
        <w:rPr>
          <w:rFonts w:ascii="宋体" w:hAnsi="宋体" w:cs="宋体"/>
          <w:sz w:val="24"/>
          <w:highlight w:val="none"/>
        </w:rPr>
      </w:pPr>
      <w:r>
        <w:rPr>
          <w:rFonts w:hint="eastAsia" w:ascii="宋体" w:hAnsi="宋体" w:cs="宋体"/>
          <w:sz w:val="24"/>
          <w:highlight w:val="none"/>
        </w:rPr>
        <w:t>审查分为资格性检查和符合性检查。分别按照以下内容对响应文件进行检查，一项不合格即按照无效磋商处理。</w:t>
      </w:r>
    </w:p>
    <w:p>
      <w:pPr>
        <w:spacing w:line="360" w:lineRule="auto"/>
        <w:rPr>
          <w:rFonts w:ascii="宋体" w:hAnsi="宋体" w:cs="宋体"/>
          <w:sz w:val="24"/>
          <w:highlight w:val="none"/>
        </w:rPr>
      </w:pPr>
      <w:r>
        <w:rPr>
          <w:rFonts w:hint="eastAsia" w:ascii="宋体" w:hAnsi="宋体" w:cs="宋体"/>
          <w:sz w:val="24"/>
          <w:highlight w:val="none"/>
        </w:rPr>
        <w:t>响应文件审查合格的为实质性响应磋商文件要求的供应商。</w:t>
      </w:r>
    </w:p>
    <w:p>
      <w:pPr>
        <w:spacing w:line="360" w:lineRule="auto"/>
        <w:rPr>
          <w:rFonts w:hint="eastAsia" w:ascii="宋体" w:hAnsi="宋体" w:eastAsia="宋体" w:cs="宋体"/>
          <w:b/>
          <w:bCs/>
          <w:sz w:val="24"/>
          <w:highlight w:val="none"/>
          <w:lang w:eastAsia="zh-CN"/>
        </w:rPr>
      </w:pPr>
      <w:r>
        <w:rPr>
          <w:rFonts w:hint="eastAsia" w:ascii="宋体" w:hAnsi="宋体" w:cs="宋体"/>
          <w:b/>
          <w:bCs/>
          <w:sz w:val="24"/>
          <w:highlight w:val="none"/>
        </w:rPr>
        <w:t>3.1资格性检查</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由采购人代表和2名代理机构工作人员组成资格审查小组，对供应商进行资格性审查</w:t>
      </w:r>
      <w:r>
        <w:rPr>
          <w:rFonts w:hint="eastAsia" w:ascii="宋体" w:hAnsi="宋体" w:cs="宋体"/>
          <w:b/>
          <w:bCs/>
          <w:sz w:val="24"/>
          <w:highlight w:val="none"/>
          <w:lang w:eastAsia="zh-CN"/>
        </w:rPr>
        <w:t>）</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（1）基本资格条件：</w:t>
      </w:r>
    </w:p>
    <w:p>
      <w:pPr>
        <w:pStyle w:val="20"/>
        <w:shd w:val="clear" w:color="auto" w:fill="FFFFFF"/>
        <w:spacing w:beforeAutospacing="0" w:afterAutospacing="0" w:line="360" w:lineRule="auto"/>
        <w:ind w:firstLine="420"/>
        <w:rPr>
          <w:highlight w:val="none"/>
        </w:rPr>
      </w:pPr>
      <w:r>
        <w:rPr>
          <w:rFonts w:hint="eastAsia"/>
          <w:highlight w:val="none"/>
        </w:rPr>
        <w:t xml:space="preserve">1、具有独立承担民事责任能力的法人、其他组织或自然人，提供合法有效的统一社会信用代码营业执照（事业单位提供事业单位法人证书，自然人提供身份证明）； </w:t>
      </w:r>
    </w:p>
    <w:p>
      <w:pPr>
        <w:pStyle w:val="20"/>
        <w:shd w:val="clear" w:color="auto" w:fill="FFFFFF"/>
        <w:spacing w:beforeAutospacing="0" w:afterAutospacing="0" w:line="360" w:lineRule="auto"/>
        <w:ind w:firstLine="420"/>
        <w:rPr>
          <w:rFonts w:hint="eastAsia"/>
          <w:highlight w:val="none"/>
          <w:lang w:eastAsia="zh-CN"/>
        </w:rPr>
      </w:pPr>
      <w:r>
        <w:rPr>
          <w:rFonts w:hint="eastAsia"/>
          <w:highlight w:val="none"/>
        </w:rPr>
        <w:t>2、财务状况报告：</w:t>
      </w:r>
      <w:r>
        <w:rPr>
          <w:rFonts w:hint="eastAsia"/>
          <w:highlight w:val="none"/>
          <w:lang w:eastAsia="zh-CN"/>
        </w:rPr>
        <w:t>提供具有财务审计资质单位出具的2021年度财务报告或</w:t>
      </w:r>
      <w:r>
        <w:rPr>
          <w:rFonts w:hint="eastAsia"/>
          <w:highlight w:val="none"/>
          <w:lang w:val="en-US" w:eastAsia="zh-CN"/>
        </w:rPr>
        <w:t>2022年度</w:t>
      </w:r>
      <w:r>
        <w:rPr>
          <w:rFonts w:hint="eastAsia"/>
          <w:highlight w:val="none"/>
          <w:lang w:eastAsia="zh-CN"/>
        </w:rPr>
        <w:t>财务报告</w:t>
      </w:r>
      <w:r>
        <w:rPr>
          <w:rFonts w:hint="eastAsia"/>
          <w:highlight w:val="none"/>
          <w:lang w:val="en-US" w:eastAsia="zh-CN"/>
        </w:rPr>
        <w:t>或</w:t>
      </w:r>
      <w:r>
        <w:rPr>
          <w:rFonts w:hint="eastAsia"/>
          <w:highlight w:val="none"/>
          <w:lang w:eastAsia="zh-CN"/>
        </w:rPr>
        <w:t>2022年7月1日至今其基本账户银行出具的资信证明，其他组织和自然人提供银行出具的资信证明或财务报表；</w:t>
      </w:r>
    </w:p>
    <w:p>
      <w:pPr>
        <w:pStyle w:val="20"/>
        <w:shd w:val="clear" w:color="auto" w:fill="FFFFFF"/>
        <w:spacing w:beforeAutospacing="0" w:afterAutospacing="0" w:line="360" w:lineRule="auto"/>
        <w:ind w:firstLine="420"/>
        <w:rPr>
          <w:highlight w:val="none"/>
        </w:rPr>
      </w:pPr>
      <w:r>
        <w:rPr>
          <w:rFonts w:hint="eastAsia"/>
          <w:highlight w:val="none"/>
        </w:rPr>
        <w:t xml:space="preserve">3、 社会保障资金缴纳证明：提供开标前六个月内任意时段已缴存的社会保障资金缴存单据或社保机构开具的社会保险参保缴费情况证明；依法不需要缴纳社会保障资金的应提供相关文件证明； </w:t>
      </w:r>
    </w:p>
    <w:p>
      <w:pPr>
        <w:pStyle w:val="20"/>
        <w:shd w:val="clear" w:color="auto" w:fill="FFFFFF"/>
        <w:spacing w:beforeAutospacing="0" w:afterAutospacing="0" w:line="360" w:lineRule="auto"/>
        <w:ind w:firstLine="420"/>
        <w:rPr>
          <w:highlight w:val="none"/>
        </w:rPr>
      </w:pPr>
      <w:r>
        <w:rPr>
          <w:rFonts w:hint="eastAsia"/>
          <w:highlight w:val="none"/>
        </w:rPr>
        <w:t>4、 税收缴纳证明：提供开标前六个月内任意时段已缴纳的完税凭证或税务机关开具的完税证明（任意税种）；依法免税的应提供相关文件证明，零纳税的提供申报表；</w:t>
      </w:r>
    </w:p>
    <w:p>
      <w:pPr>
        <w:pStyle w:val="20"/>
        <w:shd w:val="clear" w:color="auto" w:fill="FFFFFF"/>
        <w:spacing w:beforeAutospacing="0" w:afterAutospacing="0" w:line="360" w:lineRule="auto"/>
        <w:ind w:firstLine="420"/>
        <w:rPr>
          <w:highlight w:val="none"/>
        </w:rPr>
      </w:pPr>
      <w:r>
        <w:rPr>
          <w:rFonts w:hint="eastAsia"/>
          <w:highlight w:val="none"/>
        </w:rPr>
        <w:t>5、 提供具有履行本合同所必需的专业技术能力的声明；</w:t>
      </w:r>
    </w:p>
    <w:p>
      <w:pPr>
        <w:pStyle w:val="20"/>
        <w:shd w:val="clear" w:color="auto" w:fill="FFFFFF"/>
        <w:spacing w:beforeAutospacing="0" w:afterAutospacing="0" w:line="360" w:lineRule="auto"/>
        <w:ind w:firstLine="420"/>
        <w:rPr>
          <w:highlight w:val="none"/>
        </w:rPr>
      </w:pPr>
      <w:r>
        <w:rPr>
          <w:rFonts w:hint="eastAsia"/>
          <w:highlight w:val="none"/>
        </w:rPr>
        <w:t>6、 参加本次政府采购活动前3年内在经营活动中没有重大违纪的声明；</w:t>
      </w:r>
    </w:p>
    <w:p>
      <w:pPr>
        <w:pStyle w:val="20"/>
        <w:shd w:val="clear" w:color="auto" w:fill="FFFFFF"/>
        <w:spacing w:beforeAutospacing="0" w:afterAutospacing="0" w:line="360" w:lineRule="auto"/>
        <w:rPr>
          <w:b/>
          <w:bCs/>
          <w:highlight w:val="none"/>
        </w:rPr>
      </w:pPr>
      <w:r>
        <w:rPr>
          <w:rFonts w:hint="eastAsia"/>
          <w:b/>
          <w:bCs/>
          <w:highlight w:val="none"/>
        </w:rPr>
        <w:t>（2）特定资格条件：</w:t>
      </w:r>
    </w:p>
    <w:p>
      <w:pPr>
        <w:pStyle w:val="20"/>
        <w:shd w:val="clear" w:color="auto" w:fill="FFFFFF"/>
        <w:spacing w:beforeAutospacing="0" w:afterAutospacing="0" w:line="360" w:lineRule="auto"/>
        <w:ind w:firstLine="420"/>
        <w:rPr>
          <w:highlight w:val="none"/>
        </w:rPr>
      </w:pPr>
      <w:r>
        <w:rPr>
          <w:rFonts w:hint="eastAsia"/>
          <w:highlight w:val="none"/>
        </w:rPr>
        <w:t>7、法定代表人直接参加磋商的，须出具法定代表人身份证明书及身份证；授权代表参加磋商的，须出具法定代表人授权书及授权代表身份证；</w:t>
      </w:r>
    </w:p>
    <w:p>
      <w:pPr>
        <w:pStyle w:val="20"/>
        <w:shd w:val="clear" w:color="auto" w:fill="FFFFFF"/>
        <w:spacing w:beforeAutospacing="0" w:afterAutospacing="0" w:line="360" w:lineRule="auto"/>
        <w:ind w:firstLine="420"/>
        <w:rPr>
          <w:highlight w:val="none"/>
        </w:rPr>
      </w:pPr>
      <w:r>
        <w:rPr>
          <w:rFonts w:hint="eastAsia"/>
          <w:highlight w:val="none"/>
        </w:rPr>
        <w:t>8、磋商保证金缴纳凭证或担保机构出具的保函；</w:t>
      </w:r>
    </w:p>
    <w:p>
      <w:pPr>
        <w:pStyle w:val="20"/>
        <w:shd w:val="clear" w:color="auto" w:fill="FFFFFF"/>
        <w:spacing w:beforeAutospacing="0" w:afterAutospacing="0" w:line="360" w:lineRule="auto"/>
        <w:ind w:firstLine="420"/>
        <w:rPr>
          <w:rFonts w:hint="eastAsia" w:cs="宋体"/>
          <w:color w:val="333333"/>
          <w:highlight w:val="none"/>
          <w:shd w:val="clear" w:color="auto" w:fill="FFFFFF"/>
          <w:lang w:eastAsia="zh-CN"/>
        </w:rPr>
      </w:pPr>
      <w:r>
        <w:rPr>
          <w:rFonts w:hint="eastAsia"/>
          <w:highlight w:val="none"/>
        </w:rPr>
        <w:t>9、</w:t>
      </w:r>
      <w:r>
        <w:rPr>
          <w:rFonts w:hint="eastAsia" w:cs="宋体"/>
          <w:color w:val="333333"/>
          <w:highlight w:val="none"/>
          <w:shd w:val="clear" w:color="auto" w:fill="FFFFFF"/>
          <w:lang w:val="en-US" w:eastAsia="zh-CN"/>
        </w:rPr>
        <w:t>供应商须</w:t>
      </w:r>
      <w:r>
        <w:rPr>
          <w:rFonts w:hint="eastAsia" w:cs="宋体"/>
          <w:color w:val="333333"/>
          <w:highlight w:val="none"/>
          <w:shd w:val="clear" w:color="auto" w:fill="FFFFFF"/>
          <w:lang w:eastAsia="zh-CN"/>
        </w:rPr>
        <w:t>具有交通运输部质量监督机构颁发的公路工程试验检测综合甲级资质</w:t>
      </w:r>
      <w:r>
        <w:rPr>
          <w:rFonts w:hint="eastAsia" w:cs="宋体"/>
          <w:color w:val="333333"/>
          <w:highlight w:val="none"/>
          <w:shd w:val="clear" w:color="auto" w:fill="FFFFFF"/>
          <w:lang w:val="en-US" w:eastAsia="zh-CN"/>
        </w:rPr>
        <w:t>或桥梁工程试验检测专项类资质。同时供应商须具备有效的</w:t>
      </w:r>
      <w:r>
        <w:rPr>
          <w:rFonts w:hint="eastAsia" w:cs="宋体"/>
          <w:color w:val="333333"/>
          <w:highlight w:val="none"/>
          <w:shd w:val="clear" w:color="auto" w:fill="FFFFFF"/>
          <w:lang w:eastAsia="zh-CN"/>
        </w:rPr>
        <w:t>国家质量技术监督部门颁发的</w:t>
      </w:r>
      <w:r>
        <w:rPr>
          <w:rFonts w:hint="eastAsia" w:cs="宋体"/>
          <w:color w:val="333333"/>
          <w:highlight w:val="none"/>
          <w:shd w:val="clear" w:color="auto" w:fill="FFFFFF"/>
          <w:lang w:val="en-US" w:eastAsia="zh-CN"/>
        </w:rPr>
        <w:t>省部级以上</w:t>
      </w:r>
      <w:r>
        <w:rPr>
          <w:rFonts w:hint="eastAsia" w:cs="宋体"/>
          <w:color w:val="333333"/>
          <w:highlight w:val="none"/>
          <w:shd w:val="clear" w:color="auto" w:fill="FFFFFF"/>
          <w:lang w:eastAsia="zh-CN"/>
        </w:rPr>
        <w:t>计量认证CMA合格证书（具有</w:t>
      </w:r>
      <w:r>
        <w:rPr>
          <w:rFonts w:hint="eastAsia" w:cs="宋体"/>
          <w:color w:val="333333"/>
          <w:highlight w:val="none"/>
          <w:shd w:val="clear" w:color="auto" w:fill="FFFFFF"/>
          <w:lang w:val="en-US" w:eastAsia="zh-CN"/>
        </w:rPr>
        <w:t>桥梁、隧道检测能力</w:t>
      </w:r>
      <w:r>
        <w:rPr>
          <w:rFonts w:hint="eastAsia" w:cs="宋体"/>
          <w:color w:val="333333"/>
          <w:highlight w:val="none"/>
          <w:shd w:val="clear" w:color="auto" w:fill="FFFFFF"/>
          <w:lang w:eastAsia="zh-CN"/>
        </w:rPr>
        <w:t>），上述证书均须在有效期内。</w:t>
      </w:r>
    </w:p>
    <w:p>
      <w:pPr>
        <w:pStyle w:val="20"/>
        <w:shd w:val="clear" w:color="auto" w:fill="FFFFFF"/>
        <w:spacing w:beforeAutospacing="0" w:afterAutospacing="0" w:line="360" w:lineRule="auto"/>
        <w:ind w:firstLine="420"/>
        <w:rPr>
          <w:rFonts w:hint="eastAsia"/>
          <w:highlight w:val="none"/>
        </w:rPr>
      </w:pPr>
      <w:r>
        <w:rPr>
          <w:rFonts w:hint="eastAsia" w:cs="宋体"/>
          <w:color w:val="333333"/>
          <w:highlight w:val="none"/>
          <w:shd w:val="clear" w:color="auto" w:fill="FFFFFF"/>
          <w:lang w:val="en-US" w:eastAsia="zh-CN"/>
        </w:rPr>
        <w:t>10、</w:t>
      </w:r>
      <w:r>
        <w:rPr>
          <w:rFonts w:hint="eastAsia"/>
          <w:highlight w:val="none"/>
        </w:rPr>
        <w:t>供应商未被“信用中国”网站（www.creditchina.gov.cn）中列入失信被执行人和税收违法</w:t>
      </w:r>
      <w:r>
        <w:rPr>
          <w:rFonts w:hint="eastAsia"/>
          <w:highlight w:val="none"/>
          <w:lang w:val="en-US" w:eastAsia="zh-CN"/>
        </w:rPr>
        <w:t>黑</w:t>
      </w:r>
      <w:r>
        <w:rPr>
          <w:rFonts w:hint="eastAsia"/>
          <w:highlight w:val="none"/>
        </w:rPr>
        <w:t>名单，在中国政府采购网（www.ccgp.gov.cn）政府采购严重违法失信行为记录名单中未被财政部门禁止参加政府采购活动的供应商，未被省级及以上交通运输主管部门限制进入公路建养市场，且</w:t>
      </w:r>
      <w:r>
        <w:rPr>
          <w:rFonts w:hint="eastAsia"/>
          <w:highlight w:val="none"/>
          <w:lang w:val="en-US" w:eastAsia="zh-CN"/>
        </w:rPr>
        <w:t>不</w:t>
      </w:r>
      <w:r>
        <w:rPr>
          <w:rFonts w:hint="eastAsia"/>
          <w:highlight w:val="none"/>
        </w:rPr>
        <w:t>在处罚有效期内；</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注：1、根据财库（2019）38号文件规定，以上资料通过互联网或者相关信息系统查询的，供应商可以不提供复印件，但须说明查询方法及查询地址；资料原件采购人有权备查，若不提供，其资格审查不通过；</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2、分公司参与磋商，须提供总公司针对分公司参与本项目磋商的唯一授权函，否则按无效响应处理；</w:t>
      </w:r>
    </w:p>
    <w:p>
      <w:pPr>
        <w:spacing w:line="360" w:lineRule="auto"/>
        <w:ind w:left="368" w:leftChars="175"/>
        <w:rPr>
          <w:rFonts w:ascii="宋体" w:hAnsi="宋体" w:cs="宋体"/>
          <w:sz w:val="24"/>
          <w:highlight w:val="none"/>
        </w:rPr>
      </w:pPr>
      <w:r>
        <w:rPr>
          <w:rFonts w:hint="eastAsia" w:ascii="宋体" w:hAnsi="宋体" w:cs="宋体"/>
          <w:b/>
          <w:bCs/>
          <w:sz w:val="24"/>
          <w:highlight w:val="none"/>
        </w:rPr>
        <w:t>3、以上资料有1项不符合要求，资格审查不通过；</w:t>
      </w:r>
    </w:p>
    <w:p>
      <w:pPr>
        <w:spacing w:line="360" w:lineRule="auto"/>
        <w:rPr>
          <w:rFonts w:ascii="宋体" w:hAnsi="宋体" w:cs="宋体"/>
          <w:b/>
          <w:bCs/>
          <w:sz w:val="24"/>
          <w:highlight w:val="none"/>
        </w:rPr>
      </w:pPr>
      <w:r>
        <w:rPr>
          <w:rFonts w:hint="eastAsia" w:ascii="宋体" w:hAnsi="宋体" w:cs="宋体"/>
          <w:b/>
          <w:bCs/>
          <w:sz w:val="24"/>
          <w:highlight w:val="none"/>
        </w:rPr>
        <w:t>3.2符合性审查</w:t>
      </w:r>
    </w:p>
    <w:p>
      <w:pPr>
        <w:spacing w:line="360" w:lineRule="auto"/>
        <w:rPr>
          <w:rFonts w:ascii="宋体" w:hAnsi="宋体" w:cs="宋体"/>
          <w:sz w:val="24"/>
          <w:highlight w:val="none"/>
        </w:rPr>
      </w:pPr>
      <w:r>
        <w:rPr>
          <w:rFonts w:hint="eastAsia" w:ascii="宋体" w:hAnsi="宋体" w:cs="宋体"/>
          <w:sz w:val="24"/>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3"/>
        <w:tblW w:w="83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50"/>
        <w:gridCol w:w="3703"/>
        <w:gridCol w:w="3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3" w:hRule="atLeast"/>
          <w:jc w:val="center"/>
        </w:trPr>
        <w:tc>
          <w:tcPr>
            <w:tcW w:w="1050" w:type="dxa"/>
            <w:vMerge w:val="restart"/>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有</w:t>
            </w:r>
          </w:p>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效</w:t>
            </w:r>
          </w:p>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性</w:t>
            </w:r>
          </w:p>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符</w:t>
            </w:r>
          </w:p>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合</w:t>
            </w:r>
          </w:p>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性</w:t>
            </w:r>
          </w:p>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评</w:t>
            </w:r>
          </w:p>
        </w:tc>
        <w:tc>
          <w:tcPr>
            <w:tcW w:w="3703"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供应商名称</w:t>
            </w:r>
          </w:p>
        </w:tc>
        <w:tc>
          <w:tcPr>
            <w:tcW w:w="3632"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与营业执照、公章名称一致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3"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highlight w:val="none"/>
              </w:rPr>
            </w:pPr>
          </w:p>
        </w:tc>
        <w:tc>
          <w:tcPr>
            <w:tcW w:w="3703"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响应文件签字、盖章</w:t>
            </w:r>
          </w:p>
        </w:tc>
        <w:tc>
          <w:tcPr>
            <w:tcW w:w="3632"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符合磋商文件要求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3"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highlight w:val="none"/>
              </w:rPr>
            </w:pPr>
          </w:p>
        </w:tc>
        <w:tc>
          <w:tcPr>
            <w:tcW w:w="3703" w:type="dxa"/>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响应文件的有效期</w:t>
            </w:r>
          </w:p>
        </w:tc>
        <w:tc>
          <w:tcPr>
            <w:tcW w:w="3632" w:type="dxa"/>
            <w:vAlign w:val="center"/>
          </w:tcPr>
          <w:p>
            <w:pPr>
              <w:jc w:val="center"/>
              <w:rPr>
                <w:rFonts w:ascii="宋体" w:hAnsi="宋体" w:cs="宋体"/>
                <w:kern w:val="0"/>
                <w:sz w:val="24"/>
                <w:highlight w:val="none"/>
              </w:rPr>
            </w:pPr>
            <w:r>
              <w:rPr>
                <w:rFonts w:hint="eastAsia" w:ascii="宋体" w:hAnsi="宋体" w:cs="宋体"/>
                <w:kern w:val="0"/>
                <w:sz w:val="24"/>
                <w:highlight w:val="none"/>
              </w:rPr>
              <w:t>自磋商响应文件递交截止之日起不少于90个日历日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3"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highlight w:val="none"/>
              </w:rPr>
            </w:pPr>
          </w:p>
        </w:tc>
        <w:tc>
          <w:tcPr>
            <w:tcW w:w="3703"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磋商报价</w:t>
            </w:r>
          </w:p>
        </w:tc>
        <w:tc>
          <w:tcPr>
            <w:tcW w:w="3632"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未超过采购预算，无选择性报价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3"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highlight w:val="none"/>
              </w:rPr>
            </w:pPr>
          </w:p>
        </w:tc>
        <w:tc>
          <w:tcPr>
            <w:tcW w:w="3703"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磋商内容</w:t>
            </w:r>
          </w:p>
        </w:tc>
        <w:tc>
          <w:tcPr>
            <w:tcW w:w="3632"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符合磋商文件规定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3"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highlight w:val="none"/>
              </w:rPr>
            </w:pPr>
          </w:p>
        </w:tc>
        <w:tc>
          <w:tcPr>
            <w:tcW w:w="3703"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服务期</w:t>
            </w:r>
          </w:p>
        </w:tc>
        <w:tc>
          <w:tcPr>
            <w:tcW w:w="3632" w:type="dxa"/>
            <w:vAlign w:val="center"/>
          </w:tcPr>
          <w:p>
            <w:pPr>
              <w:tabs>
                <w:tab w:val="right" w:leader="dot" w:pos="9060"/>
              </w:tabs>
              <w:adjustRightInd w:val="0"/>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满足磋商文件规定</w:t>
            </w:r>
          </w:p>
        </w:tc>
      </w:tr>
    </w:tbl>
    <w:p>
      <w:pPr>
        <w:rPr>
          <w:rFonts w:ascii="宋体" w:hAnsi="宋体" w:cs="宋体"/>
          <w:sz w:val="24"/>
          <w:highlight w:val="none"/>
        </w:rPr>
      </w:pPr>
      <w:r>
        <w:rPr>
          <w:rFonts w:hint="eastAsia" w:ascii="宋体" w:hAnsi="宋体" w:cs="宋体"/>
          <w:sz w:val="24"/>
          <w:highlight w:val="none"/>
        </w:rPr>
        <w:t>说明：以上各项有1项不合格，评审不予通过，作为未实质性响应磋商文件。在资格性、符合性检查时，审查未通过的，不得进入后续评审环节。</w:t>
      </w:r>
    </w:p>
    <w:p>
      <w:pPr>
        <w:ind w:firstLine="480" w:firstLineChars="200"/>
        <w:rPr>
          <w:rFonts w:ascii="宋体" w:hAnsi="宋体" w:cs="宋体"/>
          <w:sz w:val="24"/>
          <w:highlight w:val="none"/>
        </w:rPr>
      </w:pPr>
      <w:r>
        <w:rPr>
          <w:rFonts w:hint="eastAsia" w:ascii="宋体" w:hAnsi="宋体" w:cs="宋体"/>
          <w:sz w:val="24"/>
          <w:highlight w:val="none"/>
        </w:rPr>
        <w:t>3.2.2有下列情形之一的，视为供应商串通投标，磋商小组应当认定其响应文件无效：</w:t>
      </w:r>
    </w:p>
    <w:p>
      <w:pPr>
        <w:ind w:firstLine="480" w:firstLineChars="200"/>
        <w:rPr>
          <w:rFonts w:ascii="宋体" w:hAnsi="宋体" w:cs="宋体"/>
          <w:sz w:val="24"/>
          <w:highlight w:val="none"/>
        </w:rPr>
      </w:pPr>
      <w:r>
        <w:rPr>
          <w:rFonts w:hint="eastAsia" w:ascii="宋体" w:hAnsi="宋体" w:cs="宋体"/>
          <w:sz w:val="24"/>
          <w:highlight w:val="none"/>
        </w:rPr>
        <w:t>3.2.2.1不同供应商的响应文件由同一单位或者个人编制；</w:t>
      </w:r>
    </w:p>
    <w:p>
      <w:pPr>
        <w:rPr>
          <w:rFonts w:ascii="宋体" w:hAnsi="宋体" w:cs="宋体"/>
          <w:sz w:val="24"/>
          <w:highlight w:val="none"/>
        </w:rPr>
      </w:pPr>
      <w:r>
        <w:rPr>
          <w:rFonts w:hint="eastAsia" w:ascii="宋体" w:hAnsi="宋体" w:cs="宋体"/>
          <w:sz w:val="24"/>
          <w:highlight w:val="none"/>
        </w:rPr>
        <w:t xml:space="preserve">不同供应商委托同一单位或者个人办理磋商事宜； </w:t>
      </w:r>
    </w:p>
    <w:p>
      <w:pPr>
        <w:ind w:firstLine="480" w:firstLineChars="200"/>
        <w:rPr>
          <w:rFonts w:ascii="宋体" w:hAnsi="宋体" w:cs="宋体"/>
          <w:sz w:val="24"/>
          <w:highlight w:val="none"/>
        </w:rPr>
      </w:pPr>
      <w:r>
        <w:rPr>
          <w:rFonts w:hint="eastAsia" w:ascii="宋体" w:hAnsi="宋体" w:cs="宋体"/>
          <w:sz w:val="24"/>
          <w:highlight w:val="none"/>
        </w:rPr>
        <w:t>3.2.2.3不同供应商的响应文件载明的项目管理成员或者联系人员为同一人；</w:t>
      </w:r>
    </w:p>
    <w:p>
      <w:pPr>
        <w:ind w:firstLine="480" w:firstLineChars="200"/>
        <w:rPr>
          <w:rFonts w:ascii="宋体" w:hAnsi="宋体" w:cs="宋体"/>
          <w:sz w:val="24"/>
          <w:highlight w:val="none"/>
        </w:rPr>
      </w:pPr>
      <w:r>
        <w:rPr>
          <w:rFonts w:hint="eastAsia" w:ascii="宋体" w:hAnsi="宋体" w:cs="宋体"/>
          <w:sz w:val="24"/>
          <w:highlight w:val="none"/>
        </w:rPr>
        <w:t>3.2.2.4不同供应商的响应文件异常一致或者磋商报价呈规律性差异；</w:t>
      </w:r>
    </w:p>
    <w:p>
      <w:pPr>
        <w:ind w:firstLine="480" w:firstLineChars="200"/>
        <w:rPr>
          <w:rFonts w:ascii="宋体" w:hAnsi="宋体" w:cs="宋体"/>
          <w:sz w:val="24"/>
          <w:highlight w:val="none"/>
        </w:rPr>
      </w:pPr>
      <w:r>
        <w:rPr>
          <w:rFonts w:hint="eastAsia" w:ascii="宋体" w:hAnsi="宋体" w:cs="宋体"/>
          <w:sz w:val="24"/>
          <w:highlight w:val="none"/>
        </w:rPr>
        <w:t>3.2.2.5不同供应商的响应文件相互混装；</w:t>
      </w:r>
    </w:p>
    <w:p>
      <w:pPr>
        <w:ind w:firstLine="480" w:firstLineChars="200"/>
        <w:rPr>
          <w:rFonts w:ascii="宋体" w:hAnsi="宋体" w:cs="宋体"/>
          <w:sz w:val="24"/>
          <w:highlight w:val="none"/>
        </w:rPr>
      </w:pPr>
      <w:r>
        <w:rPr>
          <w:rFonts w:hint="eastAsia" w:ascii="宋体" w:hAnsi="宋体" w:cs="宋体"/>
          <w:sz w:val="24"/>
          <w:highlight w:val="none"/>
        </w:rPr>
        <w:t>3.2.2.6不同供应商的磋商保证金从同一单位或者个人的账户转出。</w:t>
      </w:r>
    </w:p>
    <w:p>
      <w:pPr>
        <w:ind w:firstLine="480" w:firstLineChars="200"/>
        <w:rPr>
          <w:rFonts w:ascii="宋体" w:hAnsi="宋体" w:cs="宋体"/>
          <w:sz w:val="24"/>
          <w:highlight w:val="none"/>
        </w:rPr>
      </w:pPr>
      <w:r>
        <w:rPr>
          <w:rFonts w:hint="eastAsia" w:ascii="宋体" w:hAnsi="宋体" w:cs="宋体"/>
          <w:sz w:val="24"/>
          <w:highlight w:val="none"/>
        </w:rPr>
        <w:t>3.2.3出现下列情况之一者（但不限于），磋商小组应按无效响应文件处理：</w:t>
      </w:r>
    </w:p>
    <w:p>
      <w:pPr>
        <w:ind w:firstLine="480" w:firstLineChars="200"/>
        <w:rPr>
          <w:rFonts w:ascii="宋体" w:hAnsi="宋体" w:cs="宋体"/>
          <w:sz w:val="24"/>
          <w:highlight w:val="none"/>
        </w:rPr>
      </w:pPr>
      <w:r>
        <w:rPr>
          <w:rFonts w:hint="eastAsia" w:ascii="宋体" w:hAnsi="宋体" w:cs="宋体"/>
          <w:sz w:val="24"/>
          <w:highlight w:val="none"/>
        </w:rPr>
        <w:t>3.2.3.1供应商的磋商报价超过采购预算的；</w:t>
      </w:r>
    </w:p>
    <w:p>
      <w:pPr>
        <w:ind w:firstLine="480" w:firstLineChars="200"/>
        <w:rPr>
          <w:rFonts w:ascii="宋体" w:hAnsi="宋体" w:cs="宋体"/>
          <w:sz w:val="24"/>
          <w:highlight w:val="none"/>
        </w:rPr>
      </w:pPr>
      <w:r>
        <w:rPr>
          <w:rFonts w:hint="eastAsia" w:ascii="宋体" w:hAnsi="宋体" w:cs="宋体"/>
          <w:sz w:val="24"/>
          <w:highlight w:val="none"/>
        </w:rPr>
        <w:t>3.2.3.2供应商未经过正常渠道购买磋商文件，或供应商名称与购买磋商文件时登记的供应商名称不符的；</w:t>
      </w:r>
    </w:p>
    <w:p>
      <w:pPr>
        <w:ind w:firstLine="480" w:firstLineChars="200"/>
        <w:rPr>
          <w:rFonts w:ascii="宋体" w:hAnsi="宋体" w:cs="宋体"/>
          <w:sz w:val="24"/>
          <w:highlight w:val="none"/>
        </w:rPr>
      </w:pPr>
      <w:r>
        <w:rPr>
          <w:rFonts w:hint="eastAsia" w:ascii="宋体" w:hAnsi="宋体" w:cs="宋体"/>
          <w:sz w:val="24"/>
          <w:highlight w:val="none"/>
        </w:rPr>
        <w:t>3.2.3.3供应商不具备资格条件的；</w:t>
      </w:r>
    </w:p>
    <w:p>
      <w:pPr>
        <w:ind w:firstLine="480" w:firstLineChars="200"/>
        <w:rPr>
          <w:rFonts w:ascii="宋体" w:hAnsi="宋体" w:cs="宋体"/>
          <w:sz w:val="24"/>
          <w:highlight w:val="none"/>
        </w:rPr>
      </w:pPr>
      <w:r>
        <w:rPr>
          <w:rFonts w:hint="eastAsia" w:ascii="宋体" w:hAnsi="宋体" w:cs="宋体"/>
          <w:sz w:val="24"/>
          <w:highlight w:val="none"/>
        </w:rPr>
        <w:t>3.2.3.4实质性内容不满足或未响应的（包括但不限于：服务期、付款方式、主要技术指标等）；</w:t>
      </w:r>
    </w:p>
    <w:p>
      <w:pPr>
        <w:ind w:firstLine="480" w:firstLineChars="200"/>
        <w:rPr>
          <w:rFonts w:ascii="宋体" w:hAnsi="宋体" w:cs="宋体"/>
          <w:sz w:val="24"/>
          <w:highlight w:val="none"/>
        </w:rPr>
      </w:pPr>
      <w:r>
        <w:rPr>
          <w:rFonts w:hint="eastAsia" w:ascii="宋体" w:hAnsi="宋体" w:cs="宋体"/>
          <w:sz w:val="24"/>
          <w:highlight w:val="none"/>
        </w:rPr>
        <w:t>3.2.3.5响应文件的有效性和符合性不符合要求的；</w:t>
      </w:r>
    </w:p>
    <w:p>
      <w:pPr>
        <w:ind w:firstLine="480" w:firstLineChars="200"/>
        <w:rPr>
          <w:rFonts w:ascii="宋体" w:hAnsi="宋体" w:cs="宋体"/>
          <w:sz w:val="24"/>
          <w:highlight w:val="none"/>
        </w:rPr>
      </w:pPr>
      <w:r>
        <w:rPr>
          <w:rFonts w:hint="eastAsia" w:ascii="宋体" w:hAnsi="宋体" w:cs="宋体"/>
          <w:sz w:val="24"/>
          <w:highlight w:val="none"/>
        </w:rPr>
        <w:t>3.2.3.6供应商未按磋商文件要求的签字、加盖公章的；</w:t>
      </w:r>
    </w:p>
    <w:p>
      <w:pPr>
        <w:ind w:firstLine="480" w:firstLineChars="200"/>
        <w:rPr>
          <w:rFonts w:ascii="宋体" w:hAnsi="宋体" w:cs="宋体"/>
          <w:sz w:val="24"/>
          <w:highlight w:val="none"/>
        </w:rPr>
      </w:pPr>
      <w:r>
        <w:rPr>
          <w:rFonts w:hint="eastAsia" w:ascii="宋体" w:hAnsi="宋体" w:cs="宋体"/>
          <w:sz w:val="24"/>
          <w:highlight w:val="none"/>
        </w:rPr>
        <w:t>3.2.3.7响应文件有涂改，涂改处未按磋商文件要求签字的；</w:t>
      </w:r>
    </w:p>
    <w:p>
      <w:pPr>
        <w:ind w:firstLine="480" w:firstLineChars="200"/>
        <w:rPr>
          <w:rFonts w:ascii="宋体" w:hAnsi="宋体" w:cs="宋体"/>
          <w:sz w:val="24"/>
          <w:highlight w:val="none"/>
        </w:rPr>
      </w:pPr>
      <w:r>
        <w:rPr>
          <w:rFonts w:hint="eastAsia" w:ascii="宋体" w:hAnsi="宋体" w:cs="宋体"/>
          <w:sz w:val="24"/>
          <w:highlight w:val="none"/>
        </w:rPr>
        <w:t>3.2.3.8无磋商有效期或有效期不符合磋商文件要求的；</w:t>
      </w:r>
    </w:p>
    <w:p>
      <w:pPr>
        <w:ind w:firstLine="480" w:firstLineChars="200"/>
        <w:rPr>
          <w:rFonts w:ascii="宋体" w:hAnsi="宋体" w:cs="宋体"/>
          <w:sz w:val="24"/>
          <w:highlight w:val="none"/>
        </w:rPr>
      </w:pPr>
      <w:r>
        <w:rPr>
          <w:rFonts w:hint="eastAsia" w:ascii="宋体" w:hAnsi="宋体" w:cs="宋体"/>
          <w:sz w:val="24"/>
          <w:highlight w:val="none"/>
        </w:rPr>
        <w:t>3.2.3.9供应商针对同一项目递交两份或多份内容不同的响应文件，未书面声明哪一份是有效的或出现选择性报价的；</w:t>
      </w:r>
    </w:p>
    <w:p>
      <w:pPr>
        <w:ind w:firstLine="480" w:firstLineChars="200"/>
        <w:rPr>
          <w:rFonts w:ascii="宋体" w:hAnsi="宋体" w:cs="宋体"/>
          <w:sz w:val="24"/>
          <w:highlight w:val="none"/>
        </w:rPr>
      </w:pPr>
      <w:r>
        <w:rPr>
          <w:rFonts w:hint="eastAsia" w:ascii="宋体" w:hAnsi="宋体" w:cs="宋体"/>
          <w:sz w:val="24"/>
          <w:highlight w:val="none"/>
        </w:rPr>
        <w:t>3.2.3.10提供虚假资质、虚假证明（包括第三方提供的虚假证明）、出现虚假应答的，除按无效响应文件处理外，还将按照政府采购的有关规定进行处罚；</w:t>
      </w:r>
    </w:p>
    <w:p>
      <w:pPr>
        <w:ind w:firstLine="480" w:firstLineChars="200"/>
        <w:rPr>
          <w:rFonts w:ascii="宋体" w:hAnsi="宋体" w:cs="宋体"/>
          <w:sz w:val="24"/>
          <w:highlight w:val="none"/>
        </w:rPr>
      </w:pPr>
      <w:r>
        <w:rPr>
          <w:rFonts w:hint="eastAsia" w:ascii="宋体" w:hAnsi="宋体" w:cs="宋体"/>
          <w:sz w:val="24"/>
          <w:highlight w:val="none"/>
        </w:rPr>
        <w:t>3.2.3.11响应文件附加了采购人难以接受的条件或条款的；</w:t>
      </w:r>
    </w:p>
    <w:p>
      <w:pPr>
        <w:ind w:firstLine="480" w:firstLineChars="200"/>
        <w:rPr>
          <w:rFonts w:ascii="宋体" w:hAnsi="宋体" w:cs="宋体"/>
          <w:sz w:val="24"/>
          <w:highlight w:val="none"/>
        </w:rPr>
      </w:pPr>
      <w:r>
        <w:rPr>
          <w:rFonts w:hint="eastAsia" w:ascii="宋体" w:hAnsi="宋体" w:cs="宋体"/>
          <w:sz w:val="24"/>
          <w:highlight w:val="none"/>
        </w:rPr>
        <w:t>3.2.3.12供应商前期参与了本次项目方案设计的；</w:t>
      </w:r>
    </w:p>
    <w:p>
      <w:pPr>
        <w:ind w:firstLine="480" w:firstLineChars="200"/>
        <w:rPr>
          <w:rFonts w:ascii="宋体" w:hAnsi="宋体" w:cs="宋体"/>
          <w:sz w:val="24"/>
          <w:highlight w:val="none"/>
        </w:rPr>
      </w:pPr>
      <w:r>
        <w:rPr>
          <w:rFonts w:hint="eastAsia" w:ascii="宋体" w:hAnsi="宋体" w:cs="宋体"/>
          <w:sz w:val="24"/>
          <w:highlight w:val="none"/>
        </w:rPr>
        <w:t>3.2.3.13在政府采购或其它重大项目履约过程中有不良记录，未能按期履约的；</w:t>
      </w:r>
    </w:p>
    <w:p>
      <w:pPr>
        <w:ind w:firstLine="480" w:firstLineChars="200"/>
        <w:rPr>
          <w:rFonts w:ascii="宋体" w:hAnsi="宋体" w:cs="宋体"/>
          <w:sz w:val="24"/>
          <w:highlight w:val="none"/>
        </w:rPr>
      </w:pPr>
      <w:r>
        <w:rPr>
          <w:rFonts w:hint="eastAsia" w:ascii="宋体" w:hAnsi="宋体" w:cs="宋体"/>
          <w:sz w:val="24"/>
          <w:highlight w:val="none"/>
        </w:rPr>
        <w:t>3.2.3.14磋商报价与市场价格偏离较大、低于成本、磋商小组认为形成不正当竞争的，且在规定时间内无法提供有效书面证明；</w:t>
      </w:r>
    </w:p>
    <w:p>
      <w:pPr>
        <w:ind w:firstLine="480" w:firstLineChars="200"/>
        <w:rPr>
          <w:rFonts w:ascii="宋体" w:hAnsi="宋体" w:cs="宋体"/>
          <w:sz w:val="24"/>
          <w:highlight w:val="none"/>
        </w:rPr>
      </w:pPr>
      <w:r>
        <w:rPr>
          <w:rFonts w:hint="eastAsia" w:ascii="宋体" w:hAnsi="宋体" w:cs="宋体"/>
          <w:sz w:val="24"/>
          <w:highlight w:val="none"/>
        </w:rPr>
        <w:t>3.2.3.15报价子目出现漏项或报价数量与磋商文件要求不符的；</w:t>
      </w:r>
    </w:p>
    <w:p>
      <w:pPr>
        <w:ind w:firstLine="480" w:firstLineChars="200"/>
        <w:rPr>
          <w:rFonts w:ascii="宋体" w:hAnsi="宋体" w:cs="宋体"/>
          <w:sz w:val="24"/>
          <w:highlight w:val="none"/>
        </w:rPr>
      </w:pPr>
      <w:r>
        <w:rPr>
          <w:rFonts w:hint="eastAsia" w:ascii="宋体" w:hAnsi="宋体" w:cs="宋体"/>
          <w:sz w:val="24"/>
          <w:highlight w:val="none"/>
        </w:rPr>
        <w:t>3.2.3.16磋商项目的技术参数与磋商文件要求出现重大负偏差的或技术指标有漏项的；</w:t>
      </w:r>
    </w:p>
    <w:p>
      <w:pPr>
        <w:ind w:firstLine="480" w:firstLineChars="200"/>
        <w:rPr>
          <w:rFonts w:ascii="宋体" w:hAnsi="宋体" w:cs="宋体"/>
          <w:sz w:val="24"/>
          <w:highlight w:val="none"/>
        </w:rPr>
      </w:pPr>
      <w:r>
        <w:rPr>
          <w:rFonts w:hint="eastAsia" w:ascii="宋体" w:hAnsi="宋体" w:cs="宋体"/>
          <w:sz w:val="24"/>
          <w:highlight w:val="none"/>
        </w:rPr>
        <w:t>3.2.3.17提供虚假技术参数；</w:t>
      </w:r>
    </w:p>
    <w:p>
      <w:pPr>
        <w:ind w:firstLine="480" w:firstLineChars="200"/>
        <w:rPr>
          <w:rFonts w:ascii="宋体" w:hAnsi="宋体" w:cs="宋体"/>
          <w:sz w:val="24"/>
          <w:highlight w:val="none"/>
        </w:rPr>
      </w:pPr>
      <w:r>
        <w:rPr>
          <w:rFonts w:hint="eastAsia" w:ascii="宋体" w:hAnsi="宋体" w:cs="宋体"/>
          <w:sz w:val="24"/>
          <w:highlight w:val="none"/>
        </w:rPr>
        <w:t>3.2.3.18供应商未按磋商文件要求提交磋商保证金的；</w:t>
      </w:r>
    </w:p>
    <w:p>
      <w:pPr>
        <w:ind w:firstLine="480" w:firstLineChars="200"/>
        <w:rPr>
          <w:rFonts w:ascii="宋体" w:hAnsi="宋体" w:cs="宋体"/>
          <w:sz w:val="20"/>
          <w:szCs w:val="20"/>
          <w:highlight w:val="none"/>
        </w:rPr>
      </w:pPr>
      <w:r>
        <w:rPr>
          <w:rFonts w:hint="eastAsia" w:ascii="宋体" w:hAnsi="宋体" w:cs="宋体"/>
          <w:sz w:val="24"/>
          <w:highlight w:val="none"/>
        </w:rPr>
        <w:t>3.2.3.19不符合法律、法规和磋商文件中规定的其他无效情形</w:t>
      </w:r>
      <w:r>
        <w:rPr>
          <w:rFonts w:hint="eastAsia" w:ascii="宋体" w:hAnsi="宋体" w:cs="宋体"/>
          <w:szCs w:val="21"/>
          <w:highlight w:val="none"/>
        </w:rPr>
        <w:t>。</w:t>
      </w:r>
    </w:p>
    <w:p>
      <w:pPr>
        <w:rPr>
          <w:rFonts w:ascii="宋体" w:hAnsi="宋体" w:cs="宋体"/>
          <w:b/>
          <w:bCs/>
          <w:sz w:val="24"/>
          <w:highlight w:val="none"/>
        </w:rPr>
      </w:pPr>
      <w:bookmarkStart w:id="79" w:name="_Toc18885_WPSOffice_Level2"/>
      <w:bookmarkStart w:id="80" w:name="_Toc15430_WPSOffice_Level2"/>
      <w:bookmarkStart w:id="81" w:name="_Toc28358_WPSOffice_Level2"/>
      <w:r>
        <w:rPr>
          <w:rFonts w:hint="eastAsia" w:ascii="宋体" w:hAnsi="宋体" w:cs="宋体"/>
          <w:b/>
          <w:bCs/>
          <w:sz w:val="24"/>
          <w:highlight w:val="none"/>
        </w:rPr>
        <w:t>4.磋商澄清</w:t>
      </w:r>
      <w:bookmarkEnd w:id="79"/>
      <w:bookmarkEnd w:id="80"/>
      <w:bookmarkEnd w:id="81"/>
    </w:p>
    <w:p>
      <w:pPr>
        <w:ind w:firstLine="480" w:firstLineChars="200"/>
        <w:rPr>
          <w:rFonts w:ascii="宋体" w:hAnsi="宋体" w:cs="宋体"/>
          <w:sz w:val="24"/>
          <w:highlight w:val="none"/>
        </w:rPr>
      </w:pPr>
      <w:r>
        <w:rPr>
          <w:rFonts w:hint="eastAsia" w:ascii="宋体" w:hAnsi="宋体" w:cs="宋体"/>
          <w:sz w:val="24"/>
          <w:highlight w:val="none"/>
        </w:rPr>
        <w:t>4.1磋商小组有权就磋商响应文件中含混之处向上述步骤初审合格的磋商供应商提出询问或澄清要求；磋商供应商将有关询标澄清、补正、说明的内容应以书面形式提交；</w:t>
      </w:r>
    </w:p>
    <w:p>
      <w:pPr>
        <w:ind w:firstLine="480" w:firstLineChars="200"/>
        <w:rPr>
          <w:rFonts w:ascii="宋体" w:hAnsi="宋体" w:cs="宋体"/>
          <w:sz w:val="24"/>
          <w:highlight w:val="none"/>
        </w:rPr>
      </w:pPr>
      <w:r>
        <w:rPr>
          <w:rFonts w:hint="eastAsia" w:ascii="宋体" w:hAnsi="宋体" w:cs="宋体"/>
          <w:sz w:val="24"/>
          <w:highlight w:val="none"/>
        </w:rPr>
        <w:t>4.2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ind w:firstLine="480" w:firstLineChars="200"/>
        <w:rPr>
          <w:rFonts w:ascii="宋体" w:hAnsi="宋体" w:cs="宋体"/>
          <w:sz w:val="24"/>
          <w:highlight w:val="none"/>
        </w:rPr>
      </w:pPr>
      <w:r>
        <w:rPr>
          <w:rFonts w:hint="eastAsia" w:ascii="宋体" w:hAnsi="宋体" w:cs="宋体"/>
          <w:sz w:val="24"/>
          <w:highlight w:val="none"/>
        </w:rPr>
        <w:t>4.3磋商供应商对磋商响应文件的澄清不得改变磋商报价及实质内容。</w:t>
      </w:r>
    </w:p>
    <w:p>
      <w:pPr>
        <w:rPr>
          <w:rFonts w:ascii="宋体" w:hAnsi="宋体" w:cs="宋体"/>
          <w:sz w:val="24"/>
          <w:highlight w:val="none"/>
        </w:rPr>
      </w:pPr>
      <w:r>
        <w:rPr>
          <w:rFonts w:hint="eastAsia" w:ascii="宋体" w:hAnsi="宋体" w:cs="宋体"/>
          <w:sz w:val="24"/>
          <w:highlight w:val="none"/>
        </w:rPr>
        <w:t>磋商时，磋商响应文件中出现下列情况，修正原则为：</w:t>
      </w:r>
    </w:p>
    <w:p>
      <w:pPr>
        <w:ind w:firstLine="480" w:firstLineChars="200"/>
        <w:rPr>
          <w:rFonts w:ascii="宋体" w:hAnsi="宋体" w:cs="宋体"/>
          <w:sz w:val="24"/>
          <w:highlight w:val="none"/>
        </w:rPr>
      </w:pPr>
      <w:r>
        <w:rPr>
          <w:rFonts w:hint="eastAsia" w:ascii="宋体" w:hAnsi="宋体" w:cs="宋体"/>
          <w:sz w:val="24"/>
          <w:highlight w:val="none"/>
        </w:rPr>
        <w:t>4.3.1磋商响应文件中响应报价表内容与磋商响应文件中明细内容不一致的，以响应报价表为准；</w:t>
      </w:r>
    </w:p>
    <w:p>
      <w:pPr>
        <w:ind w:firstLine="480" w:firstLineChars="200"/>
        <w:rPr>
          <w:rFonts w:ascii="宋体" w:hAnsi="宋体" w:cs="宋体"/>
          <w:sz w:val="24"/>
          <w:highlight w:val="none"/>
        </w:rPr>
      </w:pPr>
      <w:r>
        <w:rPr>
          <w:rFonts w:hint="eastAsia" w:ascii="宋体" w:hAnsi="宋体" w:cs="宋体"/>
          <w:sz w:val="24"/>
          <w:highlight w:val="none"/>
        </w:rPr>
        <w:t>4.3.2磋商报价的大写金额和小写金额不一致的，以大写金额为准；</w:t>
      </w:r>
    </w:p>
    <w:p>
      <w:pPr>
        <w:ind w:firstLine="480" w:firstLineChars="200"/>
        <w:rPr>
          <w:rFonts w:ascii="宋体" w:hAnsi="宋体" w:cs="宋体"/>
          <w:sz w:val="24"/>
          <w:highlight w:val="none"/>
        </w:rPr>
      </w:pPr>
      <w:r>
        <w:rPr>
          <w:rFonts w:hint="eastAsia" w:ascii="宋体" w:hAnsi="宋体" w:cs="宋体"/>
          <w:sz w:val="24"/>
          <w:highlight w:val="none"/>
        </w:rPr>
        <w:t>4.3.3总价金额与按单价汇总金额不一致的，以单价金额计算结果为准；</w:t>
      </w:r>
    </w:p>
    <w:p>
      <w:pPr>
        <w:ind w:firstLine="480" w:firstLineChars="200"/>
        <w:rPr>
          <w:rFonts w:ascii="宋体" w:hAnsi="宋体" w:cs="宋体"/>
          <w:sz w:val="24"/>
          <w:highlight w:val="none"/>
        </w:rPr>
      </w:pPr>
      <w:r>
        <w:rPr>
          <w:rFonts w:hint="eastAsia" w:ascii="宋体" w:hAnsi="宋体" w:cs="宋体"/>
          <w:sz w:val="24"/>
          <w:highlight w:val="none"/>
        </w:rPr>
        <w:t>4.3.4单价金额小数点有明显错位的，以总价为准，并修改单价；</w:t>
      </w:r>
    </w:p>
    <w:p>
      <w:pPr>
        <w:ind w:firstLine="480" w:firstLineChars="200"/>
        <w:rPr>
          <w:rFonts w:ascii="宋体" w:hAnsi="宋体" w:cs="宋体"/>
          <w:sz w:val="24"/>
          <w:highlight w:val="none"/>
        </w:rPr>
      </w:pPr>
      <w:r>
        <w:rPr>
          <w:rFonts w:hint="eastAsia" w:ascii="宋体" w:hAnsi="宋体" w:cs="宋体"/>
          <w:sz w:val="24"/>
          <w:highlight w:val="none"/>
        </w:rPr>
        <w:t>4.3.5磋商响应文件正本与副本不一致的，以正本为准；</w:t>
      </w:r>
    </w:p>
    <w:p>
      <w:pPr>
        <w:ind w:firstLine="480" w:firstLineChars="200"/>
        <w:rPr>
          <w:rFonts w:ascii="宋体" w:hAnsi="宋体" w:cs="宋体"/>
          <w:sz w:val="24"/>
          <w:highlight w:val="none"/>
        </w:rPr>
      </w:pPr>
      <w:r>
        <w:rPr>
          <w:rFonts w:hint="eastAsia" w:ascii="宋体" w:hAnsi="宋体" w:cs="宋体"/>
          <w:sz w:val="24"/>
          <w:highlight w:val="none"/>
        </w:rPr>
        <w:t>4.3.6多处内容交叉不符时，以磋商小组成员会评审结果为准；</w:t>
      </w:r>
    </w:p>
    <w:p>
      <w:pPr>
        <w:ind w:firstLine="480" w:firstLineChars="200"/>
        <w:rPr>
          <w:rFonts w:ascii="宋体" w:hAnsi="宋体" w:cs="宋体"/>
          <w:sz w:val="24"/>
          <w:highlight w:val="none"/>
        </w:rPr>
      </w:pPr>
      <w:r>
        <w:rPr>
          <w:rFonts w:hint="eastAsia" w:ascii="宋体" w:hAnsi="宋体" w:cs="宋体"/>
          <w:sz w:val="24"/>
          <w:highlight w:val="none"/>
        </w:rPr>
        <w:t>4.3.7文字与图表不符时以文字为准；</w:t>
      </w:r>
    </w:p>
    <w:p>
      <w:pPr>
        <w:rPr>
          <w:rFonts w:ascii="宋体" w:hAnsi="宋体" w:cs="宋体"/>
          <w:sz w:val="24"/>
          <w:highlight w:val="none"/>
        </w:rPr>
      </w:pPr>
      <w:r>
        <w:rPr>
          <w:rFonts w:hint="eastAsia" w:ascii="宋体" w:hAnsi="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pPr>
        <w:rPr>
          <w:rFonts w:ascii="宋体" w:hAnsi="宋体" w:cs="宋体"/>
          <w:b/>
          <w:bCs/>
          <w:sz w:val="24"/>
          <w:highlight w:val="none"/>
        </w:rPr>
      </w:pPr>
      <w:bookmarkStart w:id="82" w:name="_Toc22022_WPSOffice_Level2"/>
      <w:bookmarkStart w:id="83" w:name="_Toc14855_WPSOffice_Level2"/>
      <w:bookmarkStart w:id="84" w:name="_Toc12107_WPSOffice_Level2"/>
      <w:r>
        <w:rPr>
          <w:rFonts w:hint="eastAsia" w:ascii="宋体" w:hAnsi="宋体" w:cs="宋体"/>
          <w:b/>
          <w:bCs/>
          <w:sz w:val="24"/>
          <w:highlight w:val="none"/>
        </w:rPr>
        <w:t>5.评审方法及内容</w:t>
      </w:r>
      <w:bookmarkEnd w:id="82"/>
      <w:bookmarkEnd w:id="83"/>
      <w:bookmarkEnd w:id="84"/>
    </w:p>
    <w:p>
      <w:pPr>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5.1采用综合评分法：二次报价为最终报价，最终报价后按照磋商文件中规定的各项因素进行综合评审后，按照综合得分由高到低的顺序，磋商小组对供应商进行排名。</w:t>
      </w:r>
      <w:r>
        <w:rPr>
          <w:rFonts w:hint="eastAsia" w:ascii="宋体" w:hAnsi="宋体" w:eastAsia="宋体" w:cs="宋体"/>
          <w:sz w:val="24"/>
          <w:highlight w:val="none"/>
          <w:lang w:val="en-US" w:eastAsia="zh-CN"/>
        </w:rPr>
        <w:t>评标结果按评审后得分由高到低顺序排列。得分相同的，按磋商报价由低到高顺序排列。得分且磋商报价相同的按照评审因素的技术部分评审得分由高到低的顺序排列。</w:t>
      </w:r>
    </w:p>
    <w:p>
      <w:pPr>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.2</w:t>
      </w:r>
      <w:r>
        <w:rPr>
          <w:rFonts w:hint="eastAsia" w:ascii="宋体" w:hAnsi="宋体" w:cs="宋体"/>
          <w:sz w:val="24"/>
          <w:highlight w:val="none"/>
        </w:rPr>
        <w:t>当一个供应商的综合得分在多个标包同时排名第一时，仅保留最终报价较大标包的成交资格，最终报价较小标包各供应商排序依次递增；若在多个标包排名第一且最终报价相同的，按标包次序获得成交资格，其他标包按此规则依次调整各标包推荐排名。</w:t>
      </w:r>
    </w:p>
    <w:p>
      <w:pPr>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3</w:t>
      </w:r>
      <w:r>
        <w:rPr>
          <w:rFonts w:hint="eastAsia" w:ascii="宋体" w:hAnsi="宋体" w:cs="宋体"/>
          <w:sz w:val="24"/>
          <w:highlight w:val="none"/>
        </w:rPr>
        <w:t>磋商小组根据以下内容进行综合比较，自主打分，以标段为单位分别推荐成交候选3名供应商；磋商小组根据磋商结果写出磋商意见。</w:t>
      </w:r>
    </w:p>
    <w:p>
      <w:pPr>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4</w:t>
      </w:r>
      <w:r>
        <w:rPr>
          <w:rFonts w:hint="eastAsia" w:ascii="宋体" w:hAnsi="宋体" w:cs="宋体"/>
          <w:sz w:val="24"/>
          <w:highlight w:val="none"/>
        </w:rPr>
        <w:t>评审指标分值构成（总计100分）</w:t>
      </w:r>
    </w:p>
    <w:p>
      <w:pPr>
        <w:pStyle w:val="10"/>
        <w:spacing w:line="360" w:lineRule="auto"/>
        <w:ind w:firstLine="0"/>
        <w:jc w:val="center"/>
        <w:rPr>
          <w:rFonts w:ascii="宋体" w:hAnsi="宋体" w:eastAsia="宋体" w:cs="宋体"/>
          <w:b/>
          <w:sz w:val="32"/>
          <w:szCs w:val="32"/>
          <w:highlight w:val="none"/>
        </w:rPr>
      </w:pPr>
      <w:bookmarkStart w:id="85" w:name="_Toc19224_WPSOffice_Level2"/>
      <w:bookmarkStart w:id="86" w:name="_Toc5721_WPSOffice_Level2"/>
      <w:bookmarkStart w:id="87" w:name="_Toc30254_WPSOffice_Level2"/>
      <w:r>
        <w:rPr>
          <w:rFonts w:hint="eastAsia" w:ascii="宋体" w:hAnsi="宋体" w:eastAsia="宋体" w:cs="宋体"/>
          <w:b/>
          <w:sz w:val="32"/>
          <w:szCs w:val="32"/>
          <w:highlight w:val="none"/>
        </w:rPr>
        <w:t>评审因素及权重分值表</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21"/>
        <w:gridCol w:w="1292"/>
        <w:gridCol w:w="6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评分项</w:t>
            </w:r>
          </w:p>
        </w:tc>
        <w:tc>
          <w:tcPr>
            <w:tcW w:w="69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rPr>
              <w:t>评审要素及分值</w:t>
            </w: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报价</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（10分）</w:t>
            </w:r>
          </w:p>
        </w:tc>
        <w:tc>
          <w:tcPr>
            <w:tcW w:w="69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10分）</w:t>
            </w: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采用低价优先法计算即满足招标文件要求且投标价格最低的投标报价为评标基准价，其价格为10分。其他供应商的价格分按照下列公式计算：投标报价得分＝（评标基准价/投标报价）×1</w:t>
            </w:r>
            <w:r>
              <w:rPr>
                <w:rFonts w:hint="eastAsia" w:ascii="宋体" w:hAnsi="宋体" w:eastAsia="宋体" w:cs="宋体"/>
                <w:b w:val="0"/>
                <w:bCs/>
                <w:sz w:val="24"/>
                <w:szCs w:val="24"/>
                <w:highlight w:val="none"/>
                <w:lang w:val="en-US" w:eastAsia="zh-CN"/>
              </w:rPr>
              <w:t>0</w:t>
            </w:r>
            <w:r>
              <w:rPr>
                <w:rFonts w:hint="eastAsia" w:ascii="宋体" w:hAnsi="宋体" w:eastAsia="宋体" w:cs="宋体"/>
                <w:b w:val="0"/>
                <w:bCs/>
                <w:sz w:val="24"/>
                <w:szCs w:val="24"/>
                <w:highlight w:val="none"/>
              </w:rPr>
              <w:t>%×100。</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rPr>
              <w:t>符合招标文件规定的小微企业、监狱企业、残疾人福利性单位优惠条件的供应商，价格给予</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%的扣除，用扣除后的价格参与评审以上政策同时具备的仅对其进行一次</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%的价格扣除，不重复扣除。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1" w:hRule="atLeast"/>
        </w:trPr>
        <w:tc>
          <w:tcPr>
            <w:tcW w:w="55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50</w:t>
            </w:r>
            <w:r>
              <w:rPr>
                <w:rFonts w:hint="eastAsia" w:ascii="宋体" w:hAnsi="宋体" w:eastAsia="宋体" w:cs="宋体"/>
                <w:b w:val="0"/>
                <w:bCs/>
                <w:color w:val="auto"/>
                <w:sz w:val="24"/>
                <w:szCs w:val="24"/>
                <w:highlight w:val="none"/>
              </w:rPr>
              <w:t>分）</w:t>
            </w:r>
          </w:p>
        </w:tc>
        <w:tc>
          <w:tcPr>
            <w:tcW w:w="69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w:t>
            </w:r>
            <w:r>
              <w:rPr>
                <w:rFonts w:hint="eastAsia" w:ascii="宋体" w:hAnsi="宋体" w:eastAsia="宋体" w:cs="宋体"/>
                <w:b w:val="0"/>
                <w:bCs/>
                <w:sz w:val="24"/>
                <w:szCs w:val="24"/>
                <w:highlight w:val="none"/>
                <w:lang w:eastAsia="zh-CN"/>
              </w:rPr>
              <w:t>组织实</w:t>
            </w:r>
            <w:r>
              <w:rPr>
                <w:rFonts w:hint="eastAsia" w:ascii="宋体" w:hAnsi="宋体" w:eastAsia="宋体" w:cs="宋体"/>
                <w:b w:val="0"/>
                <w:bCs/>
                <w:sz w:val="24"/>
                <w:szCs w:val="24"/>
                <w:highlight w:val="none"/>
              </w:rPr>
              <w:t>施方案</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50分）</w:t>
            </w: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对项目</w:t>
            </w:r>
            <w:r>
              <w:rPr>
                <w:rFonts w:hint="eastAsia" w:ascii="宋体" w:hAnsi="宋体" w:eastAsia="宋体" w:cs="宋体"/>
                <w:b w:val="0"/>
                <w:bCs/>
                <w:color w:val="auto"/>
                <w:sz w:val="24"/>
                <w:szCs w:val="24"/>
                <w:highlight w:val="none"/>
                <w:lang w:eastAsia="zh-CN"/>
              </w:rPr>
              <w:t>实施总体思路、</w:t>
            </w:r>
            <w:r>
              <w:rPr>
                <w:rFonts w:hint="eastAsia" w:ascii="宋体" w:hAnsi="宋体" w:eastAsia="宋体" w:cs="宋体"/>
                <w:b w:val="0"/>
                <w:bCs/>
                <w:color w:val="auto"/>
                <w:sz w:val="24"/>
                <w:szCs w:val="24"/>
                <w:highlight w:val="none"/>
              </w:rPr>
              <w:t>任务</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rPr>
              <w:t>理解</w:t>
            </w:r>
            <w:r>
              <w:rPr>
                <w:rFonts w:hint="eastAsia" w:ascii="宋体" w:hAnsi="宋体" w:eastAsia="宋体" w:cs="宋体"/>
                <w:b w:val="0"/>
                <w:bCs/>
                <w:color w:val="auto"/>
                <w:sz w:val="24"/>
                <w:szCs w:val="24"/>
                <w:highlight w:val="none"/>
                <w:lang w:eastAsia="zh-CN"/>
              </w:rPr>
              <w:t>程度</w:t>
            </w:r>
            <w:r>
              <w:rPr>
                <w:rFonts w:hint="eastAsia" w:ascii="宋体" w:hAnsi="宋体" w:eastAsia="宋体" w:cs="宋体"/>
                <w:b w:val="0"/>
                <w:bCs/>
                <w:color w:val="auto"/>
                <w:sz w:val="24"/>
                <w:szCs w:val="24"/>
                <w:highlight w:val="none"/>
              </w:rPr>
              <w:t>及检测分析评价方法，准确、合理、操作性</w:t>
            </w:r>
            <w:r>
              <w:rPr>
                <w:rFonts w:hint="eastAsia" w:ascii="宋体" w:hAnsi="宋体" w:eastAsia="宋体" w:cs="宋体"/>
                <w:b w:val="0"/>
                <w:bCs/>
                <w:color w:val="auto"/>
                <w:sz w:val="24"/>
                <w:szCs w:val="24"/>
                <w:highlight w:val="none"/>
                <w:lang w:val="en-US" w:eastAsia="zh-CN"/>
              </w:rPr>
              <w:t>一般，得6分；</w:t>
            </w:r>
            <w:r>
              <w:rPr>
                <w:rFonts w:hint="eastAsia" w:ascii="宋体" w:hAnsi="宋体" w:eastAsia="宋体" w:cs="宋体"/>
                <w:b w:val="0"/>
                <w:bCs/>
                <w:color w:val="auto"/>
                <w:sz w:val="24"/>
                <w:szCs w:val="24"/>
                <w:highlight w:val="none"/>
              </w:rPr>
              <w:t>准确、合理、操作性</w:t>
            </w:r>
            <w:r>
              <w:rPr>
                <w:rFonts w:hint="eastAsia" w:ascii="宋体" w:hAnsi="宋体" w:eastAsia="宋体" w:cs="宋体"/>
                <w:b w:val="0"/>
                <w:bCs/>
                <w:color w:val="auto"/>
                <w:sz w:val="24"/>
                <w:szCs w:val="24"/>
                <w:highlight w:val="none"/>
                <w:lang w:val="en-US" w:eastAsia="zh-CN"/>
              </w:rPr>
              <w:t>较好，得6-8分，</w:t>
            </w:r>
            <w:r>
              <w:rPr>
                <w:rFonts w:hint="eastAsia" w:ascii="宋体" w:hAnsi="宋体" w:eastAsia="宋体" w:cs="宋体"/>
                <w:b w:val="0"/>
                <w:bCs/>
                <w:color w:val="auto"/>
                <w:sz w:val="24"/>
                <w:szCs w:val="24"/>
                <w:highlight w:val="none"/>
              </w:rPr>
              <w:t>准确、合理、操作性</w:t>
            </w:r>
            <w:r>
              <w:rPr>
                <w:rFonts w:hint="eastAsia" w:ascii="宋体" w:hAnsi="宋体" w:eastAsia="宋体" w:cs="宋体"/>
                <w:b w:val="0"/>
                <w:bCs/>
                <w:color w:val="auto"/>
                <w:sz w:val="24"/>
                <w:szCs w:val="24"/>
                <w:highlight w:val="none"/>
                <w:lang w:val="en-US" w:eastAsia="zh-CN"/>
              </w:rPr>
              <w:t>强，得8-10分。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kern w:val="0"/>
                <w:sz w:val="24"/>
                <w:szCs w:val="24"/>
                <w:highlight w:val="none"/>
              </w:rPr>
            </w:pP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各类桥</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主次部位及权重划分情况赋分，划分</w:t>
            </w:r>
            <w:r>
              <w:rPr>
                <w:rFonts w:hint="eastAsia" w:ascii="宋体" w:hAnsi="宋体" w:eastAsia="宋体" w:cs="宋体"/>
                <w:b w:val="0"/>
                <w:bCs/>
                <w:color w:val="auto"/>
                <w:sz w:val="24"/>
                <w:szCs w:val="24"/>
                <w:highlight w:val="none"/>
                <w:lang w:val="en-US" w:eastAsia="zh-CN"/>
              </w:rPr>
              <w:t>合理性一般，得6分；</w:t>
            </w:r>
            <w:r>
              <w:rPr>
                <w:rFonts w:hint="eastAsia" w:ascii="宋体" w:hAnsi="宋体" w:eastAsia="宋体" w:cs="宋体"/>
                <w:b w:val="0"/>
                <w:bCs/>
                <w:color w:val="auto"/>
                <w:sz w:val="24"/>
                <w:szCs w:val="24"/>
                <w:highlight w:val="none"/>
              </w:rPr>
              <w:t>划分</w:t>
            </w:r>
            <w:r>
              <w:rPr>
                <w:rFonts w:hint="eastAsia" w:ascii="宋体" w:hAnsi="宋体" w:eastAsia="宋体" w:cs="宋体"/>
                <w:b w:val="0"/>
                <w:bCs/>
                <w:color w:val="auto"/>
                <w:sz w:val="24"/>
                <w:szCs w:val="24"/>
                <w:highlight w:val="none"/>
                <w:lang w:val="en-US" w:eastAsia="zh-CN"/>
              </w:rPr>
              <w:t>合理性较好，得6-8分；</w:t>
            </w:r>
            <w:r>
              <w:rPr>
                <w:rFonts w:hint="eastAsia" w:ascii="宋体" w:hAnsi="宋体" w:eastAsia="宋体" w:cs="宋体"/>
                <w:b w:val="0"/>
                <w:bCs/>
                <w:color w:val="auto"/>
                <w:sz w:val="24"/>
                <w:szCs w:val="24"/>
                <w:highlight w:val="none"/>
              </w:rPr>
              <w:t>划分</w:t>
            </w:r>
            <w:r>
              <w:rPr>
                <w:rFonts w:hint="eastAsia" w:ascii="宋体" w:hAnsi="宋体" w:eastAsia="宋体" w:cs="宋体"/>
                <w:b w:val="0"/>
                <w:bCs/>
                <w:color w:val="auto"/>
                <w:sz w:val="24"/>
                <w:szCs w:val="24"/>
                <w:highlight w:val="none"/>
                <w:lang w:val="en-US" w:eastAsia="zh-CN"/>
              </w:rPr>
              <w:t>合理性</w:t>
            </w:r>
            <w:r>
              <w:rPr>
                <w:rFonts w:hint="eastAsia" w:ascii="宋体" w:hAnsi="宋体" w:eastAsia="宋体" w:cs="宋体"/>
                <w:b w:val="0"/>
                <w:bCs/>
                <w:color w:val="auto"/>
                <w:sz w:val="24"/>
                <w:szCs w:val="24"/>
                <w:highlight w:val="none"/>
              </w:rPr>
              <w:t>准确</w:t>
            </w:r>
            <w:r>
              <w:rPr>
                <w:rFonts w:hint="eastAsia" w:ascii="宋体" w:hAnsi="宋体" w:eastAsia="宋体" w:cs="宋体"/>
                <w:b w:val="0"/>
                <w:bCs/>
                <w:color w:val="auto"/>
                <w:sz w:val="24"/>
                <w:szCs w:val="24"/>
                <w:highlight w:val="none"/>
                <w:lang w:val="en-US" w:eastAsia="zh-CN"/>
              </w:rPr>
              <w:t>，得8-10分。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4"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kern w:val="0"/>
                <w:sz w:val="24"/>
                <w:szCs w:val="24"/>
                <w:highlight w:val="none"/>
              </w:rPr>
            </w:pP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3、针对本项目的</w:t>
            </w:r>
            <w:r>
              <w:rPr>
                <w:rFonts w:hint="eastAsia" w:ascii="宋体" w:hAnsi="宋体" w:eastAsia="宋体" w:cs="宋体"/>
                <w:b w:val="0"/>
                <w:bCs/>
                <w:color w:val="auto"/>
                <w:sz w:val="24"/>
                <w:szCs w:val="24"/>
                <w:highlight w:val="none"/>
              </w:rPr>
              <w:t>重、难点及关键技术对策分析</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重、难点及关键技术对策分析满足基本要求得</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重、难点及关键技术对策分析较准确，措施较具体，针对性较强，对策措施较有效、可行，</w:t>
            </w:r>
            <w:r>
              <w:rPr>
                <w:rFonts w:hint="eastAsia" w:ascii="宋体" w:hAnsi="宋体" w:eastAsia="宋体" w:cs="宋体"/>
                <w:b w:val="0"/>
                <w:bCs/>
                <w:color w:val="auto"/>
                <w:sz w:val="24"/>
                <w:szCs w:val="24"/>
                <w:highlight w:val="none"/>
                <w:lang w:val="en-US" w:eastAsia="zh-CN"/>
              </w:rPr>
              <w:t>得6-8</w:t>
            </w:r>
            <w:r>
              <w:rPr>
                <w:rFonts w:hint="eastAsia" w:ascii="宋体" w:hAnsi="宋体" w:eastAsia="宋体" w:cs="宋体"/>
                <w:b w:val="0"/>
                <w:bCs/>
                <w:color w:val="auto"/>
                <w:sz w:val="24"/>
                <w:szCs w:val="24"/>
                <w:highlight w:val="none"/>
              </w:rPr>
              <w:t>分；重、难点及关键技术对策分析准确，措施具体，针对性强，对策措施有效、可行，计</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-10 分</w:t>
            </w:r>
            <w:r>
              <w:rPr>
                <w:rFonts w:hint="eastAsia" w:ascii="宋体" w:hAnsi="宋体" w:eastAsia="宋体" w:cs="宋体"/>
                <w:b w:val="0"/>
                <w:b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kern w:val="0"/>
                <w:sz w:val="24"/>
                <w:szCs w:val="24"/>
                <w:highlight w:val="none"/>
              </w:rPr>
            </w:pP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工作</w:t>
            </w:r>
            <w:r>
              <w:rPr>
                <w:rFonts w:hint="eastAsia" w:ascii="宋体" w:hAnsi="宋体" w:eastAsia="宋体" w:cs="宋体"/>
                <w:b w:val="0"/>
                <w:bCs/>
                <w:color w:val="auto"/>
                <w:sz w:val="24"/>
                <w:szCs w:val="24"/>
                <w:highlight w:val="none"/>
                <w:lang w:eastAsia="zh-CN"/>
              </w:rPr>
              <w:t>内容、工作方案及</w:t>
            </w:r>
            <w:r>
              <w:rPr>
                <w:rFonts w:hint="eastAsia" w:ascii="宋体" w:hAnsi="宋体" w:eastAsia="宋体" w:cs="宋体"/>
                <w:b w:val="0"/>
                <w:bCs/>
                <w:color w:val="auto"/>
                <w:sz w:val="24"/>
                <w:szCs w:val="24"/>
                <w:highlight w:val="none"/>
              </w:rPr>
              <w:t>进度计划安排</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rPr>
              <w:t>科学</w:t>
            </w:r>
            <w:r>
              <w:rPr>
                <w:rFonts w:hint="eastAsia" w:ascii="宋体" w:hAnsi="宋体" w:eastAsia="宋体" w:cs="宋体"/>
                <w:b w:val="0"/>
                <w:bCs/>
                <w:color w:val="auto"/>
                <w:sz w:val="24"/>
                <w:szCs w:val="24"/>
                <w:highlight w:val="none"/>
                <w:lang w:eastAsia="zh-CN"/>
              </w:rPr>
              <w:t>性</w:t>
            </w:r>
            <w:r>
              <w:rPr>
                <w:rFonts w:hint="eastAsia" w:ascii="宋体" w:hAnsi="宋体" w:eastAsia="宋体" w:cs="宋体"/>
                <w:b w:val="0"/>
                <w:bCs/>
                <w:color w:val="auto"/>
                <w:sz w:val="24"/>
                <w:szCs w:val="24"/>
                <w:highlight w:val="none"/>
              </w:rPr>
              <w:t>、合理</w:t>
            </w:r>
            <w:r>
              <w:rPr>
                <w:rFonts w:hint="eastAsia" w:ascii="宋体" w:hAnsi="宋体" w:eastAsia="宋体" w:cs="宋体"/>
                <w:b w:val="0"/>
                <w:bCs/>
                <w:color w:val="auto"/>
                <w:sz w:val="24"/>
                <w:szCs w:val="24"/>
                <w:highlight w:val="none"/>
                <w:lang w:val="en-US" w:eastAsia="zh-CN"/>
              </w:rPr>
              <w:t>性，</w:t>
            </w:r>
            <w:r>
              <w:rPr>
                <w:rFonts w:hint="eastAsia" w:ascii="宋体" w:hAnsi="宋体" w:eastAsia="宋体" w:cs="宋体"/>
                <w:b w:val="0"/>
                <w:bCs/>
                <w:color w:val="auto"/>
                <w:sz w:val="24"/>
                <w:szCs w:val="24"/>
                <w:highlight w:val="none"/>
              </w:rPr>
              <w:t>进度计划科学、合理可行，考虑充分的计</w:t>
            </w:r>
            <w:r>
              <w:rPr>
                <w:rFonts w:hint="eastAsia" w:ascii="宋体" w:hAnsi="宋体" w:eastAsia="宋体" w:cs="宋体"/>
                <w:b w:val="0"/>
                <w:bCs/>
                <w:color w:val="auto"/>
                <w:sz w:val="24"/>
                <w:szCs w:val="24"/>
                <w:highlight w:val="none"/>
                <w:lang w:val="en-US" w:eastAsia="zh-CN"/>
              </w:rPr>
              <w:t>4-5</w:t>
            </w:r>
            <w:r>
              <w:rPr>
                <w:rFonts w:hint="eastAsia" w:ascii="宋体" w:hAnsi="宋体" w:eastAsia="宋体" w:cs="宋体"/>
                <w:b w:val="0"/>
                <w:bCs/>
                <w:color w:val="auto"/>
                <w:sz w:val="24"/>
                <w:szCs w:val="24"/>
                <w:highlight w:val="none"/>
              </w:rPr>
              <w:t>分；进度计划可行性欠缺的计</w:t>
            </w:r>
            <w:r>
              <w:rPr>
                <w:rFonts w:hint="eastAsia" w:ascii="宋体" w:hAnsi="宋体" w:eastAsia="宋体" w:cs="宋体"/>
                <w:b w:val="0"/>
                <w:bCs/>
                <w:color w:val="auto"/>
                <w:sz w:val="24"/>
                <w:szCs w:val="24"/>
                <w:highlight w:val="none"/>
                <w:lang w:val="en-US" w:eastAsia="zh-CN"/>
              </w:rPr>
              <w:t>3-4</w:t>
            </w:r>
            <w:r>
              <w:rPr>
                <w:rFonts w:hint="eastAsia" w:ascii="宋体" w:hAnsi="宋体" w:eastAsia="宋体" w:cs="宋体"/>
                <w:b w:val="0"/>
                <w:bCs/>
                <w:color w:val="auto"/>
                <w:sz w:val="24"/>
                <w:szCs w:val="24"/>
                <w:highlight w:val="none"/>
              </w:rPr>
              <w:t>分；进度计划不便于操作的</w:t>
            </w:r>
            <w:r>
              <w:rPr>
                <w:rFonts w:hint="eastAsia" w:ascii="宋体" w:hAnsi="宋体" w:cs="宋体"/>
                <w:b w:val="0"/>
                <w:bCs/>
                <w:color w:val="auto"/>
                <w:sz w:val="24"/>
                <w:szCs w:val="24"/>
                <w:highlight w:val="none"/>
                <w:lang w:val="en-US" w:eastAsia="zh-CN"/>
              </w:rPr>
              <w:t>得</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kern w:val="0"/>
                <w:sz w:val="24"/>
                <w:szCs w:val="24"/>
                <w:highlight w:val="none"/>
              </w:rPr>
            </w:pP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项目组织机构及主要人员分工等安排，人员配置完整，合理，机构运行高效</w:t>
            </w:r>
            <w:r>
              <w:rPr>
                <w:rFonts w:hint="eastAsia" w:ascii="宋体" w:hAnsi="宋体" w:eastAsia="宋体" w:cs="宋体"/>
                <w:b w:val="0"/>
                <w:bCs/>
                <w:color w:val="auto"/>
                <w:sz w:val="24"/>
                <w:szCs w:val="24"/>
                <w:highlight w:val="none"/>
                <w:lang w:val="en-US" w:eastAsia="zh-CN"/>
              </w:rPr>
              <w:t>方面，</w:t>
            </w:r>
            <w:r>
              <w:rPr>
                <w:rFonts w:hint="eastAsia" w:ascii="宋体" w:hAnsi="宋体" w:cs="宋体"/>
                <w:b w:val="0"/>
                <w:bCs/>
                <w:color w:val="auto"/>
                <w:sz w:val="24"/>
                <w:szCs w:val="24"/>
                <w:highlight w:val="none"/>
                <w:lang w:val="en-US" w:eastAsia="zh-CN"/>
              </w:rPr>
              <w:t>人员组织</w:t>
            </w:r>
            <w:r>
              <w:rPr>
                <w:rFonts w:hint="eastAsia" w:ascii="宋体" w:hAnsi="宋体" w:eastAsia="宋体" w:cs="宋体"/>
                <w:b w:val="0"/>
                <w:bCs/>
                <w:color w:val="auto"/>
                <w:sz w:val="24"/>
                <w:szCs w:val="24"/>
                <w:highlight w:val="none"/>
              </w:rPr>
              <w:t>科学、合理可行，考虑充分的计</w:t>
            </w:r>
            <w:r>
              <w:rPr>
                <w:rFonts w:hint="eastAsia" w:ascii="宋体" w:hAnsi="宋体" w:eastAsia="宋体" w:cs="宋体"/>
                <w:b w:val="0"/>
                <w:bCs/>
                <w:color w:val="auto"/>
                <w:sz w:val="24"/>
                <w:szCs w:val="24"/>
                <w:highlight w:val="none"/>
                <w:lang w:val="en-US" w:eastAsia="zh-CN"/>
              </w:rPr>
              <w:t>4-5</w:t>
            </w:r>
            <w:r>
              <w:rPr>
                <w:rFonts w:hint="eastAsia" w:ascii="宋体" w:hAnsi="宋体" w:eastAsia="宋体" w:cs="宋体"/>
                <w:b w:val="0"/>
                <w:bCs/>
                <w:color w:val="auto"/>
                <w:sz w:val="24"/>
                <w:szCs w:val="24"/>
                <w:highlight w:val="none"/>
              </w:rPr>
              <w:t>分；</w:t>
            </w:r>
            <w:r>
              <w:rPr>
                <w:rFonts w:hint="eastAsia" w:ascii="宋体" w:hAnsi="宋体" w:cs="宋体"/>
                <w:b w:val="0"/>
                <w:bCs/>
                <w:color w:val="auto"/>
                <w:sz w:val="24"/>
                <w:szCs w:val="24"/>
                <w:highlight w:val="none"/>
                <w:lang w:val="en-US" w:eastAsia="zh-CN"/>
              </w:rPr>
              <w:t>人员组织</w:t>
            </w:r>
            <w:r>
              <w:rPr>
                <w:rFonts w:hint="eastAsia" w:ascii="宋体" w:hAnsi="宋体" w:eastAsia="宋体" w:cs="宋体"/>
                <w:b w:val="0"/>
                <w:bCs/>
                <w:color w:val="auto"/>
                <w:sz w:val="24"/>
                <w:szCs w:val="24"/>
                <w:highlight w:val="none"/>
              </w:rPr>
              <w:t>可行性欠缺的计</w:t>
            </w:r>
            <w:r>
              <w:rPr>
                <w:rFonts w:hint="eastAsia" w:ascii="宋体" w:hAnsi="宋体" w:eastAsia="宋体" w:cs="宋体"/>
                <w:b w:val="0"/>
                <w:bCs/>
                <w:color w:val="auto"/>
                <w:sz w:val="24"/>
                <w:szCs w:val="24"/>
                <w:highlight w:val="none"/>
                <w:lang w:val="en-US" w:eastAsia="zh-CN"/>
              </w:rPr>
              <w:t>3-4</w:t>
            </w:r>
            <w:r>
              <w:rPr>
                <w:rFonts w:hint="eastAsia" w:ascii="宋体" w:hAnsi="宋体" w:eastAsia="宋体" w:cs="宋体"/>
                <w:b w:val="0"/>
                <w:bCs/>
                <w:color w:val="auto"/>
                <w:sz w:val="24"/>
                <w:szCs w:val="24"/>
                <w:highlight w:val="none"/>
              </w:rPr>
              <w:t>分；</w:t>
            </w:r>
            <w:r>
              <w:rPr>
                <w:rFonts w:hint="eastAsia" w:ascii="宋体" w:hAnsi="宋体" w:cs="宋体"/>
                <w:b w:val="0"/>
                <w:bCs/>
                <w:color w:val="auto"/>
                <w:sz w:val="24"/>
                <w:szCs w:val="24"/>
                <w:highlight w:val="none"/>
                <w:lang w:val="en-US" w:eastAsia="zh-CN"/>
              </w:rPr>
              <w:t>人员组织</w:t>
            </w:r>
            <w:r>
              <w:rPr>
                <w:rFonts w:hint="eastAsia" w:ascii="宋体" w:hAnsi="宋体" w:eastAsia="宋体" w:cs="宋体"/>
                <w:b w:val="0"/>
                <w:bCs/>
                <w:color w:val="auto"/>
                <w:sz w:val="24"/>
                <w:szCs w:val="24"/>
                <w:highlight w:val="none"/>
              </w:rPr>
              <w:t>不便于操作的</w:t>
            </w:r>
            <w:r>
              <w:rPr>
                <w:rFonts w:hint="eastAsia" w:ascii="宋体" w:hAnsi="宋体" w:cs="宋体"/>
                <w:b w:val="0"/>
                <w:bCs/>
                <w:color w:val="auto"/>
                <w:sz w:val="24"/>
                <w:szCs w:val="24"/>
                <w:highlight w:val="none"/>
                <w:lang w:val="en-US" w:eastAsia="zh-CN"/>
              </w:rPr>
              <w:t>得</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kern w:val="0"/>
                <w:sz w:val="24"/>
                <w:szCs w:val="24"/>
                <w:highlight w:val="none"/>
              </w:rPr>
            </w:pP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质量安全保证措施，质量安全保证措施科学、合理可行，考虑充分的计</w:t>
            </w:r>
            <w:r>
              <w:rPr>
                <w:rFonts w:hint="eastAsia" w:ascii="宋体" w:hAnsi="宋体" w:eastAsia="宋体" w:cs="宋体"/>
                <w:b w:val="0"/>
                <w:bCs/>
                <w:color w:val="auto"/>
                <w:sz w:val="24"/>
                <w:szCs w:val="24"/>
                <w:highlight w:val="none"/>
                <w:lang w:val="en-US" w:eastAsia="zh-CN"/>
              </w:rPr>
              <w:t>4-5</w:t>
            </w:r>
            <w:r>
              <w:rPr>
                <w:rFonts w:hint="eastAsia" w:ascii="宋体" w:hAnsi="宋体" w:eastAsia="宋体" w:cs="宋体"/>
                <w:b w:val="0"/>
                <w:bCs/>
                <w:color w:val="auto"/>
                <w:sz w:val="24"/>
                <w:szCs w:val="24"/>
                <w:highlight w:val="none"/>
              </w:rPr>
              <w:t>分；质量安全保证措施可行性欠缺的计</w:t>
            </w:r>
            <w:r>
              <w:rPr>
                <w:rFonts w:hint="eastAsia" w:ascii="宋体" w:hAnsi="宋体" w:eastAsia="宋体" w:cs="宋体"/>
                <w:b w:val="0"/>
                <w:bCs/>
                <w:color w:val="auto"/>
                <w:sz w:val="24"/>
                <w:szCs w:val="24"/>
                <w:highlight w:val="none"/>
                <w:lang w:val="en-US" w:eastAsia="zh-CN"/>
              </w:rPr>
              <w:t>3-4</w:t>
            </w:r>
            <w:r>
              <w:rPr>
                <w:rFonts w:hint="eastAsia" w:ascii="宋体" w:hAnsi="宋体" w:eastAsia="宋体" w:cs="宋体"/>
                <w:b w:val="0"/>
                <w:bCs/>
                <w:color w:val="auto"/>
                <w:sz w:val="24"/>
                <w:szCs w:val="24"/>
                <w:highlight w:val="none"/>
              </w:rPr>
              <w:t>分；质量安全保证措施不便于操作的</w:t>
            </w:r>
            <w:r>
              <w:rPr>
                <w:rFonts w:hint="eastAsia" w:ascii="宋体" w:hAnsi="宋体" w:cs="宋体"/>
                <w:b w:val="0"/>
                <w:bCs/>
                <w:color w:val="auto"/>
                <w:sz w:val="24"/>
                <w:szCs w:val="24"/>
                <w:highlight w:val="none"/>
                <w:lang w:val="en-US" w:eastAsia="zh-CN"/>
              </w:rPr>
              <w:t>得</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kern w:val="0"/>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kern w:val="0"/>
                <w:sz w:val="24"/>
                <w:szCs w:val="24"/>
                <w:highlight w:val="none"/>
              </w:rPr>
            </w:pPr>
          </w:p>
        </w:tc>
        <w:tc>
          <w:tcPr>
            <w:tcW w:w="3753" w:type="pct"/>
            <w:tcBorders>
              <w:left w:val="single" w:color="auto" w:sz="4" w:space="0"/>
            </w:tcBorders>
            <w:noWrap w:val="0"/>
            <w:vAlign w:val="center"/>
          </w:tcPr>
          <w:p>
            <w:pPr>
              <w:keepNext w:val="0"/>
              <w:keepLines w:val="0"/>
              <w:pageBreakBefore w:val="0"/>
              <w:widowControl w:val="0"/>
              <w:tabs>
                <w:tab w:val="left" w:pos="846"/>
              </w:tabs>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对本项目合理化建议，合理化建议科学、合理可行，考虑充分的计</w:t>
            </w:r>
            <w:r>
              <w:rPr>
                <w:rFonts w:hint="eastAsia" w:ascii="宋体" w:hAnsi="宋体" w:eastAsia="宋体" w:cs="宋体"/>
                <w:b w:val="0"/>
                <w:bCs/>
                <w:color w:val="auto"/>
                <w:sz w:val="24"/>
                <w:szCs w:val="24"/>
                <w:highlight w:val="none"/>
                <w:lang w:val="en-US" w:eastAsia="zh-CN"/>
              </w:rPr>
              <w:t>4-5</w:t>
            </w:r>
            <w:r>
              <w:rPr>
                <w:rFonts w:hint="eastAsia" w:ascii="宋体" w:hAnsi="宋体" w:eastAsia="宋体" w:cs="宋体"/>
                <w:b w:val="0"/>
                <w:bCs/>
                <w:color w:val="auto"/>
                <w:sz w:val="24"/>
                <w:szCs w:val="24"/>
                <w:highlight w:val="none"/>
              </w:rPr>
              <w:t>分；合理化建议可行性欠缺的计</w:t>
            </w:r>
            <w:r>
              <w:rPr>
                <w:rFonts w:hint="eastAsia" w:ascii="宋体" w:hAnsi="宋体" w:eastAsia="宋体" w:cs="宋体"/>
                <w:b w:val="0"/>
                <w:bCs/>
                <w:color w:val="auto"/>
                <w:sz w:val="24"/>
                <w:szCs w:val="24"/>
                <w:highlight w:val="none"/>
                <w:lang w:val="en-US" w:eastAsia="zh-CN"/>
              </w:rPr>
              <w:t>3-4</w:t>
            </w:r>
            <w:r>
              <w:rPr>
                <w:rFonts w:hint="eastAsia" w:ascii="宋体" w:hAnsi="宋体" w:eastAsia="宋体" w:cs="宋体"/>
                <w:b w:val="0"/>
                <w:bCs/>
                <w:color w:val="auto"/>
                <w:sz w:val="24"/>
                <w:szCs w:val="24"/>
                <w:highlight w:val="none"/>
              </w:rPr>
              <w:t>分；合理化建议不便于操作的</w:t>
            </w:r>
            <w:r>
              <w:rPr>
                <w:rFonts w:hint="eastAsia" w:ascii="宋体" w:hAnsi="宋体" w:cs="宋体"/>
                <w:b w:val="0"/>
                <w:bCs/>
                <w:color w:val="auto"/>
                <w:sz w:val="24"/>
                <w:szCs w:val="24"/>
                <w:highlight w:val="none"/>
                <w:lang w:val="en-US" w:eastAsia="zh-CN"/>
              </w:rPr>
              <w:t>得</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w:t>
            </w:r>
            <w:bookmarkStart w:id="129" w:name="_GoBack"/>
            <w:bookmarkEnd w:id="1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trPr>
        <w:tc>
          <w:tcPr>
            <w:tcW w:w="55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rPr>
              <w:t>分)</w:t>
            </w:r>
          </w:p>
        </w:tc>
        <w:tc>
          <w:tcPr>
            <w:tcW w:w="69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项目人员组成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18分）</w:t>
            </w:r>
          </w:p>
        </w:tc>
        <w:tc>
          <w:tcPr>
            <w:tcW w:w="3753" w:type="pct"/>
            <w:tcBorders>
              <w:left w:val="single" w:color="auto" w:sz="4" w:space="0"/>
            </w:tcBorders>
            <w:noWrap w:val="0"/>
            <w:vAlign w:val="center"/>
          </w:tcPr>
          <w:p>
            <w:pPr>
              <w:pStyle w:val="12"/>
              <w:keepNext w:val="0"/>
              <w:keepLines w:val="0"/>
              <w:pageBreakBefore w:val="0"/>
              <w:widowControl w:val="0"/>
              <w:numPr>
                <w:ilvl w:val="0"/>
                <w:numId w:val="4"/>
              </w:numPr>
              <w:kinsoku/>
              <w:wordWrap/>
              <w:overflowPunct/>
              <w:topLinePunct w:val="0"/>
              <w:autoSpaceDE/>
              <w:autoSpaceDN/>
              <w:bidi w:val="0"/>
              <w:adjustRightInd/>
              <w:snapToGrid/>
              <w:spacing w:line="288" w:lineRule="auto"/>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项目负责人，1人，具有公路专业高级及以上职称，</w:t>
            </w:r>
            <w:r>
              <w:rPr>
                <w:rFonts w:hint="eastAsia" w:ascii="宋体" w:hAnsi="宋体" w:eastAsia="宋体" w:cs="宋体"/>
                <w:b w:val="0"/>
                <w:bCs/>
                <w:color w:val="auto"/>
                <w:sz w:val="24"/>
                <w:szCs w:val="24"/>
                <w:highlight w:val="none"/>
              </w:rPr>
              <w:t>从事</w:t>
            </w:r>
            <w:r>
              <w:rPr>
                <w:rFonts w:hint="eastAsia" w:ascii="宋体" w:hAnsi="宋体" w:eastAsia="宋体" w:cs="宋体"/>
                <w:b w:val="0"/>
                <w:bCs/>
                <w:color w:val="auto"/>
                <w:sz w:val="24"/>
                <w:szCs w:val="24"/>
                <w:highlight w:val="none"/>
                <w:lang w:val="en-US" w:eastAsia="zh-CN"/>
              </w:rPr>
              <w:t>桥隧</w:t>
            </w:r>
            <w:r>
              <w:rPr>
                <w:rFonts w:hint="eastAsia" w:ascii="宋体" w:hAnsi="宋体" w:eastAsia="宋体" w:cs="宋体"/>
                <w:b w:val="0"/>
                <w:bCs/>
                <w:color w:val="auto"/>
                <w:sz w:val="24"/>
                <w:szCs w:val="24"/>
                <w:highlight w:val="none"/>
              </w:rPr>
              <w:t>检测工作10年及以上，</w:t>
            </w:r>
            <w:r>
              <w:rPr>
                <w:rFonts w:hint="eastAsia" w:ascii="宋体" w:hAnsi="宋体" w:eastAsia="宋体" w:cs="宋体"/>
                <w:b w:val="0"/>
                <w:bCs/>
                <w:color w:val="auto"/>
                <w:sz w:val="24"/>
                <w:szCs w:val="24"/>
                <w:highlight w:val="none"/>
                <w:lang w:eastAsia="zh-CN"/>
              </w:rPr>
              <w:t>全部满足得</w:t>
            </w:r>
            <w:r>
              <w:rPr>
                <w:rFonts w:hint="eastAsia" w:ascii="宋体" w:hAnsi="宋体" w:eastAsia="宋体" w:cs="宋体"/>
                <w:b w:val="0"/>
                <w:bCs/>
                <w:color w:val="auto"/>
                <w:sz w:val="24"/>
                <w:szCs w:val="24"/>
                <w:highlight w:val="none"/>
                <w:lang w:val="en-US" w:eastAsia="zh-CN"/>
              </w:rPr>
              <w:t>1分，不满足得0分；</w:t>
            </w:r>
            <w:r>
              <w:rPr>
                <w:rFonts w:hint="eastAsia" w:ascii="宋体" w:hAnsi="宋体" w:eastAsia="宋体" w:cs="宋体"/>
                <w:b w:val="0"/>
                <w:bCs/>
                <w:sz w:val="24"/>
                <w:szCs w:val="24"/>
                <w:highlight w:val="none"/>
              </w:rPr>
              <w:t>持有交通运输部颁发的公路专业试验检测</w:t>
            </w:r>
            <w:r>
              <w:rPr>
                <w:rFonts w:hint="eastAsia" w:ascii="宋体" w:hAnsi="宋体" w:eastAsia="宋体" w:cs="宋体"/>
                <w:b w:val="0"/>
                <w:bCs/>
                <w:sz w:val="24"/>
                <w:szCs w:val="24"/>
                <w:highlight w:val="none"/>
                <w:lang w:val="en-US" w:eastAsia="zh-CN"/>
              </w:rPr>
              <w:t>或</w:t>
            </w:r>
            <w:r>
              <w:rPr>
                <w:rFonts w:hint="eastAsia" w:ascii="宋体" w:hAnsi="宋体" w:eastAsia="宋体" w:cs="宋体"/>
                <w:b w:val="0"/>
                <w:bCs/>
                <w:sz w:val="24"/>
                <w:szCs w:val="24"/>
                <w:highlight w:val="none"/>
              </w:rPr>
              <w:t>桥梁专业试验检测工程师资格证书，</w:t>
            </w:r>
            <w:r>
              <w:rPr>
                <w:rFonts w:hint="eastAsia" w:ascii="宋体" w:hAnsi="宋体" w:eastAsia="宋体" w:cs="宋体"/>
                <w:b w:val="0"/>
                <w:bCs/>
                <w:sz w:val="24"/>
                <w:szCs w:val="24"/>
                <w:highlight w:val="none"/>
                <w:lang w:eastAsia="zh-CN"/>
              </w:rPr>
              <w:t>得</w:t>
            </w:r>
            <w:r>
              <w:rPr>
                <w:rFonts w:hint="eastAsia" w:ascii="宋体" w:hAnsi="宋体" w:eastAsia="宋体" w:cs="宋体"/>
                <w:b w:val="0"/>
                <w:bCs/>
                <w:sz w:val="24"/>
                <w:szCs w:val="24"/>
                <w:highlight w:val="none"/>
                <w:lang w:val="en-US" w:eastAsia="zh-CN"/>
              </w:rPr>
              <w:t>1分，不满足得0分；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rPr>
              <w:t>20</w:t>
            </w:r>
            <w:r>
              <w:rPr>
                <w:rFonts w:hint="eastAsia" w:ascii="宋体" w:hAnsi="宋体" w:eastAsia="宋体" w:cs="宋体"/>
                <w:b w:val="0"/>
                <w:bCs/>
                <w:sz w:val="24"/>
                <w:szCs w:val="24"/>
                <w:highlight w:val="none"/>
                <w:lang w:val="en-US" w:eastAsia="zh-CN"/>
              </w:rPr>
              <w:t>20</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lang w:val="en-US" w:eastAsia="zh-CN"/>
              </w:rPr>
              <w:t>1月1日至投标截止日，</w:t>
            </w:r>
            <w:r>
              <w:rPr>
                <w:rFonts w:hint="eastAsia" w:ascii="宋体" w:hAnsi="宋体" w:eastAsia="宋体" w:cs="宋体"/>
                <w:b w:val="0"/>
                <w:bCs/>
                <w:sz w:val="24"/>
                <w:szCs w:val="24"/>
                <w:highlight w:val="none"/>
              </w:rPr>
              <w:t>至少担任过</w:t>
            </w:r>
            <w:r>
              <w:rPr>
                <w:rFonts w:hint="eastAsia" w:ascii="宋体" w:hAnsi="宋体" w:eastAsia="宋体" w:cs="宋体"/>
                <w:b w:val="0"/>
                <w:bCs/>
                <w:sz w:val="24"/>
                <w:szCs w:val="24"/>
                <w:highlight w:val="none"/>
                <w:lang w:eastAsia="zh-CN"/>
              </w:rPr>
              <w:t>普通</w:t>
            </w:r>
            <w:r>
              <w:rPr>
                <w:rFonts w:hint="eastAsia" w:ascii="宋体" w:hAnsi="宋体" w:eastAsia="宋体" w:cs="宋体"/>
                <w:b w:val="0"/>
                <w:bCs/>
                <w:sz w:val="24"/>
                <w:szCs w:val="24"/>
                <w:highlight w:val="none"/>
              </w:rPr>
              <w:t>国省</w:t>
            </w:r>
            <w:r>
              <w:rPr>
                <w:rFonts w:hint="eastAsia" w:ascii="宋体" w:hAnsi="宋体" w:eastAsia="宋体" w:cs="宋体"/>
                <w:b w:val="0"/>
                <w:bCs/>
                <w:sz w:val="24"/>
                <w:szCs w:val="24"/>
                <w:highlight w:val="none"/>
                <w:lang w:eastAsia="zh-CN"/>
              </w:rPr>
              <w:t>道</w:t>
            </w:r>
            <w:r>
              <w:rPr>
                <w:rFonts w:hint="eastAsia" w:ascii="宋体" w:hAnsi="宋体" w:eastAsia="宋体" w:cs="宋体"/>
                <w:b w:val="0"/>
                <w:bCs/>
                <w:sz w:val="24"/>
                <w:szCs w:val="24"/>
                <w:highlight w:val="none"/>
                <w:lang w:val="en-US" w:eastAsia="zh-CN"/>
              </w:rPr>
              <w:t>300</w:t>
            </w:r>
            <w:r>
              <w:rPr>
                <w:rFonts w:hint="eastAsia" w:ascii="宋体" w:hAnsi="宋体" w:eastAsia="宋体" w:cs="宋体"/>
                <w:b w:val="0"/>
                <w:bCs/>
                <w:sz w:val="24"/>
                <w:szCs w:val="24"/>
                <w:highlight w:val="none"/>
              </w:rPr>
              <w:t>座</w:t>
            </w:r>
            <w:r>
              <w:rPr>
                <w:rFonts w:hint="eastAsia" w:ascii="宋体" w:hAnsi="宋体" w:eastAsia="宋体" w:cs="宋体"/>
                <w:b w:val="0"/>
                <w:bCs/>
                <w:sz w:val="24"/>
                <w:szCs w:val="24"/>
                <w:highlight w:val="none"/>
                <w:lang w:eastAsia="zh-CN"/>
              </w:rPr>
              <w:t>运营</w:t>
            </w:r>
            <w:r>
              <w:rPr>
                <w:rFonts w:hint="eastAsia" w:ascii="宋体" w:hAnsi="宋体" w:eastAsia="宋体" w:cs="宋体"/>
                <w:b w:val="0"/>
                <w:bCs/>
                <w:sz w:val="24"/>
                <w:szCs w:val="24"/>
                <w:highlight w:val="none"/>
              </w:rPr>
              <w:t>桥</w:t>
            </w:r>
            <w:r>
              <w:rPr>
                <w:rFonts w:hint="eastAsia" w:ascii="宋体" w:hAnsi="宋体" w:eastAsia="宋体" w:cs="宋体"/>
                <w:b w:val="0"/>
                <w:bCs/>
                <w:sz w:val="24"/>
                <w:szCs w:val="24"/>
                <w:highlight w:val="none"/>
                <w:lang w:eastAsia="zh-CN"/>
              </w:rPr>
              <w:t>（隧）</w:t>
            </w:r>
            <w:r>
              <w:rPr>
                <w:rFonts w:hint="eastAsia" w:ascii="宋体" w:hAnsi="宋体" w:eastAsia="宋体" w:cs="宋体"/>
                <w:b w:val="0"/>
                <w:bCs/>
                <w:sz w:val="24"/>
                <w:szCs w:val="24"/>
                <w:highlight w:val="none"/>
              </w:rPr>
              <w:t>定</w:t>
            </w:r>
            <w:r>
              <w:rPr>
                <w:rFonts w:hint="eastAsia" w:ascii="宋体" w:hAnsi="宋体" w:eastAsia="宋体" w:cs="宋体"/>
                <w:b w:val="0"/>
                <w:bCs/>
                <w:sz w:val="24"/>
                <w:szCs w:val="24"/>
                <w:highlight w:val="none"/>
                <w:lang w:val="en-US" w:eastAsia="zh-CN"/>
              </w:rPr>
              <w:t>检</w:t>
            </w:r>
            <w:r>
              <w:rPr>
                <w:rFonts w:hint="eastAsia" w:ascii="宋体" w:hAnsi="宋体" w:eastAsia="宋体" w:cs="宋体"/>
                <w:b w:val="0"/>
                <w:bCs/>
                <w:sz w:val="24"/>
                <w:szCs w:val="24"/>
                <w:highlight w:val="none"/>
              </w:rPr>
              <w:t>项目负责人，得</w:t>
            </w:r>
            <w:r>
              <w:rPr>
                <w:rFonts w:hint="eastAsia" w:ascii="宋体" w:hAnsi="宋体" w:eastAsia="宋体" w:cs="宋体"/>
                <w:b w:val="0"/>
                <w:bCs/>
                <w:sz w:val="24"/>
                <w:szCs w:val="24"/>
                <w:highlight w:val="none"/>
                <w:lang w:val="en-US" w:eastAsia="zh-CN"/>
              </w:rPr>
              <w:t>2分</w:t>
            </w:r>
            <w:r>
              <w:rPr>
                <w:rFonts w:hint="eastAsia" w:ascii="宋体" w:hAnsi="宋体" w:eastAsia="宋体" w:cs="宋体"/>
                <w:b w:val="0"/>
                <w:bCs/>
                <w:sz w:val="24"/>
                <w:szCs w:val="24"/>
                <w:highlight w:val="none"/>
              </w:rPr>
              <w:t>，不满足得0分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每增加</w:t>
            </w:r>
            <w:r>
              <w:rPr>
                <w:rFonts w:hint="eastAsia" w:ascii="宋体" w:hAnsi="宋体" w:eastAsia="宋体" w:cs="宋体"/>
                <w:b w:val="0"/>
                <w:bCs/>
                <w:sz w:val="24"/>
                <w:szCs w:val="24"/>
                <w:highlight w:val="none"/>
                <w:lang w:val="en-US" w:eastAsia="zh-CN"/>
              </w:rPr>
              <w:t>100</w:t>
            </w:r>
            <w:r>
              <w:rPr>
                <w:rFonts w:hint="eastAsia" w:ascii="宋体" w:hAnsi="宋体" w:eastAsia="宋体" w:cs="宋体"/>
                <w:b w:val="0"/>
                <w:bCs/>
                <w:sz w:val="24"/>
                <w:szCs w:val="24"/>
                <w:highlight w:val="none"/>
              </w:rPr>
              <w:t>座</w:t>
            </w:r>
            <w:r>
              <w:rPr>
                <w:rFonts w:hint="eastAsia" w:ascii="宋体" w:hAnsi="宋体" w:eastAsia="宋体" w:cs="宋体"/>
                <w:b w:val="0"/>
                <w:bCs/>
                <w:sz w:val="24"/>
                <w:szCs w:val="24"/>
                <w:highlight w:val="none"/>
                <w:lang w:eastAsia="zh-CN"/>
              </w:rPr>
              <w:t>普通国省道</w:t>
            </w:r>
            <w:r>
              <w:rPr>
                <w:rFonts w:hint="eastAsia" w:ascii="宋体" w:hAnsi="宋体" w:eastAsia="宋体" w:cs="宋体"/>
                <w:b w:val="0"/>
                <w:bCs/>
                <w:sz w:val="24"/>
                <w:szCs w:val="24"/>
                <w:highlight w:val="none"/>
              </w:rPr>
              <w:t>桥梁</w:t>
            </w:r>
            <w:r>
              <w:rPr>
                <w:rFonts w:hint="eastAsia" w:ascii="宋体" w:hAnsi="宋体" w:eastAsia="宋体" w:cs="宋体"/>
                <w:b w:val="0"/>
                <w:bCs/>
                <w:sz w:val="24"/>
                <w:szCs w:val="24"/>
                <w:highlight w:val="none"/>
                <w:lang w:eastAsia="zh-CN"/>
              </w:rPr>
              <w:t>定检</w:t>
            </w:r>
            <w:r>
              <w:rPr>
                <w:rFonts w:hint="eastAsia" w:ascii="宋体" w:hAnsi="宋体" w:eastAsia="宋体" w:cs="宋体"/>
                <w:b w:val="0"/>
                <w:bCs/>
                <w:sz w:val="24"/>
                <w:szCs w:val="24"/>
                <w:highlight w:val="none"/>
              </w:rPr>
              <w:t>加</w:t>
            </w:r>
            <w:r>
              <w:rPr>
                <w:rFonts w:hint="eastAsia" w:ascii="宋体" w:hAnsi="宋体" w:eastAsia="宋体" w:cs="宋体"/>
                <w:b w:val="0"/>
                <w:bCs/>
                <w:sz w:val="24"/>
                <w:szCs w:val="24"/>
                <w:highlight w:val="none"/>
                <w:lang w:val="en-US" w:eastAsia="zh-CN"/>
              </w:rPr>
              <w:t>0.5</w:t>
            </w:r>
            <w:r>
              <w:rPr>
                <w:rFonts w:hint="eastAsia" w:ascii="宋体" w:hAnsi="宋体" w:eastAsia="宋体" w:cs="宋体"/>
                <w:b w:val="0"/>
                <w:bCs/>
                <w:sz w:val="24"/>
                <w:szCs w:val="24"/>
                <w:highlight w:val="none"/>
              </w:rPr>
              <w:t>分，最多加2分，满分</w:t>
            </w: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4"/>
                <w:szCs w:val="24"/>
                <w:highlight w:val="none"/>
              </w:rPr>
            </w:pPr>
          </w:p>
        </w:tc>
        <w:tc>
          <w:tcPr>
            <w:tcW w:w="3753" w:type="pct"/>
            <w:tcBorders>
              <w:left w:val="single" w:color="auto" w:sz="4" w:space="0"/>
            </w:tcBorders>
            <w:noWrap w:val="0"/>
            <w:vAlign w:val="center"/>
          </w:tcPr>
          <w:p>
            <w:pPr>
              <w:pStyle w:val="12"/>
              <w:keepNext w:val="0"/>
              <w:keepLines w:val="0"/>
              <w:pageBreakBefore w:val="0"/>
              <w:widowControl w:val="0"/>
              <w:numPr>
                <w:ilvl w:val="0"/>
                <w:numId w:val="4"/>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rPr>
              <w:t>技术负责人，1人，具有</w:t>
            </w:r>
            <w:r>
              <w:rPr>
                <w:rFonts w:hint="eastAsia" w:ascii="宋体" w:hAnsi="宋体" w:eastAsia="宋体" w:cs="宋体"/>
                <w:b w:val="0"/>
                <w:bCs/>
                <w:sz w:val="24"/>
                <w:szCs w:val="24"/>
                <w:highlight w:val="none"/>
                <w:lang w:eastAsia="zh-CN"/>
              </w:rPr>
              <w:t>桥梁</w:t>
            </w:r>
            <w:r>
              <w:rPr>
                <w:rFonts w:hint="eastAsia" w:ascii="宋体" w:hAnsi="宋体" w:eastAsia="宋体" w:cs="宋体"/>
                <w:b w:val="0"/>
                <w:bCs/>
                <w:sz w:val="24"/>
                <w:szCs w:val="24"/>
                <w:highlight w:val="none"/>
              </w:rPr>
              <w:t>专业高级及以上职称，</w:t>
            </w:r>
            <w:r>
              <w:rPr>
                <w:rFonts w:hint="eastAsia" w:ascii="宋体" w:hAnsi="宋体" w:eastAsia="宋体" w:cs="宋体"/>
                <w:b w:val="0"/>
                <w:bCs/>
                <w:color w:val="auto"/>
                <w:sz w:val="24"/>
                <w:szCs w:val="24"/>
                <w:highlight w:val="none"/>
              </w:rPr>
              <w:t>从事</w:t>
            </w:r>
            <w:r>
              <w:rPr>
                <w:rFonts w:hint="eastAsia" w:ascii="宋体" w:hAnsi="宋体" w:eastAsia="宋体" w:cs="宋体"/>
                <w:b w:val="0"/>
                <w:bCs/>
                <w:color w:val="auto"/>
                <w:sz w:val="24"/>
                <w:szCs w:val="24"/>
                <w:highlight w:val="none"/>
                <w:lang w:val="en-US" w:eastAsia="zh-CN"/>
              </w:rPr>
              <w:t>桥隧</w:t>
            </w:r>
            <w:r>
              <w:rPr>
                <w:rFonts w:hint="eastAsia" w:ascii="宋体" w:hAnsi="宋体" w:eastAsia="宋体" w:cs="宋体"/>
                <w:b w:val="0"/>
                <w:bCs/>
                <w:color w:val="auto"/>
                <w:sz w:val="24"/>
                <w:szCs w:val="24"/>
                <w:highlight w:val="none"/>
              </w:rPr>
              <w:t>检测工作</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年及以上，</w:t>
            </w:r>
            <w:r>
              <w:rPr>
                <w:rFonts w:hint="eastAsia" w:ascii="宋体" w:hAnsi="宋体" w:eastAsia="宋体" w:cs="宋体"/>
                <w:b w:val="0"/>
                <w:bCs/>
                <w:color w:val="auto"/>
                <w:sz w:val="24"/>
                <w:szCs w:val="24"/>
                <w:highlight w:val="none"/>
                <w:lang w:eastAsia="zh-CN"/>
              </w:rPr>
              <w:t>全部满足得</w:t>
            </w:r>
            <w:r>
              <w:rPr>
                <w:rFonts w:hint="eastAsia" w:ascii="宋体" w:hAnsi="宋体" w:eastAsia="宋体" w:cs="宋体"/>
                <w:b w:val="0"/>
                <w:bCs/>
                <w:color w:val="auto"/>
                <w:sz w:val="24"/>
                <w:szCs w:val="24"/>
                <w:highlight w:val="none"/>
                <w:lang w:val="en-US" w:eastAsia="zh-CN"/>
              </w:rPr>
              <w:t>1分，不满足得0分；</w:t>
            </w:r>
            <w:r>
              <w:rPr>
                <w:rFonts w:hint="eastAsia" w:ascii="宋体" w:hAnsi="宋体" w:eastAsia="宋体" w:cs="宋体"/>
                <w:b w:val="0"/>
                <w:bCs/>
                <w:sz w:val="24"/>
                <w:szCs w:val="24"/>
                <w:highlight w:val="none"/>
              </w:rPr>
              <w:t>持有交通运输部颁发的桥梁专业试验检测工程师资格证书，</w:t>
            </w:r>
            <w:r>
              <w:rPr>
                <w:rFonts w:hint="eastAsia" w:ascii="宋体" w:hAnsi="宋体" w:eastAsia="宋体" w:cs="宋体"/>
                <w:b w:val="0"/>
                <w:bCs/>
                <w:sz w:val="24"/>
                <w:szCs w:val="24"/>
                <w:highlight w:val="none"/>
                <w:lang w:eastAsia="zh-CN"/>
              </w:rPr>
              <w:t>得</w:t>
            </w:r>
            <w:r>
              <w:rPr>
                <w:rFonts w:hint="eastAsia" w:ascii="宋体" w:hAnsi="宋体" w:eastAsia="宋体" w:cs="宋体"/>
                <w:b w:val="0"/>
                <w:bCs/>
                <w:sz w:val="24"/>
                <w:szCs w:val="24"/>
                <w:highlight w:val="none"/>
                <w:lang w:val="en-US" w:eastAsia="zh-CN"/>
              </w:rPr>
              <w:t>1分，不满足得0分；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rPr>
              <w:t>20</w:t>
            </w:r>
            <w:r>
              <w:rPr>
                <w:rFonts w:hint="eastAsia" w:ascii="宋体" w:hAnsi="宋体" w:eastAsia="宋体" w:cs="宋体"/>
                <w:b w:val="0"/>
                <w:bCs/>
                <w:sz w:val="24"/>
                <w:szCs w:val="24"/>
                <w:highlight w:val="none"/>
                <w:lang w:val="en-US" w:eastAsia="zh-CN"/>
              </w:rPr>
              <w:t>20</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lang w:val="en-US" w:eastAsia="zh-CN"/>
              </w:rPr>
              <w:t>1月1日至投标截止日，</w:t>
            </w:r>
            <w:r>
              <w:rPr>
                <w:rFonts w:hint="eastAsia" w:ascii="宋体" w:hAnsi="宋体" w:eastAsia="宋体" w:cs="宋体"/>
                <w:b w:val="0"/>
                <w:bCs/>
                <w:sz w:val="24"/>
                <w:szCs w:val="24"/>
                <w:highlight w:val="none"/>
              </w:rPr>
              <w:t>至少担任过</w:t>
            </w:r>
            <w:r>
              <w:rPr>
                <w:rFonts w:hint="eastAsia" w:ascii="宋体" w:hAnsi="宋体" w:eastAsia="宋体" w:cs="宋体"/>
                <w:b w:val="0"/>
                <w:bCs/>
                <w:sz w:val="24"/>
                <w:szCs w:val="24"/>
                <w:highlight w:val="none"/>
                <w:lang w:eastAsia="zh-CN"/>
              </w:rPr>
              <w:t>普通</w:t>
            </w:r>
            <w:r>
              <w:rPr>
                <w:rFonts w:hint="eastAsia" w:ascii="宋体" w:hAnsi="宋体" w:eastAsia="宋体" w:cs="宋体"/>
                <w:b w:val="0"/>
                <w:bCs/>
                <w:sz w:val="24"/>
                <w:szCs w:val="24"/>
                <w:highlight w:val="none"/>
              </w:rPr>
              <w:t>国省</w:t>
            </w:r>
            <w:r>
              <w:rPr>
                <w:rFonts w:hint="eastAsia" w:ascii="宋体" w:hAnsi="宋体" w:eastAsia="宋体" w:cs="宋体"/>
                <w:b w:val="0"/>
                <w:bCs/>
                <w:sz w:val="24"/>
                <w:szCs w:val="24"/>
                <w:highlight w:val="none"/>
                <w:lang w:eastAsia="zh-CN"/>
              </w:rPr>
              <w:t>道</w:t>
            </w:r>
            <w:r>
              <w:rPr>
                <w:rFonts w:hint="eastAsia" w:ascii="宋体" w:hAnsi="宋体" w:eastAsia="宋体" w:cs="宋体"/>
                <w:b w:val="0"/>
                <w:bCs/>
                <w:sz w:val="24"/>
                <w:szCs w:val="24"/>
                <w:highlight w:val="none"/>
                <w:lang w:val="en-US" w:eastAsia="zh-CN"/>
              </w:rPr>
              <w:t>300</w:t>
            </w:r>
            <w:r>
              <w:rPr>
                <w:rFonts w:hint="eastAsia" w:ascii="宋体" w:hAnsi="宋体" w:eastAsia="宋体" w:cs="宋体"/>
                <w:b w:val="0"/>
                <w:bCs/>
                <w:sz w:val="24"/>
                <w:szCs w:val="24"/>
                <w:highlight w:val="none"/>
              </w:rPr>
              <w:t>座桥</w:t>
            </w:r>
            <w:r>
              <w:rPr>
                <w:rFonts w:hint="eastAsia" w:ascii="宋体" w:hAnsi="宋体" w:eastAsia="宋体" w:cs="宋体"/>
                <w:b w:val="0"/>
                <w:bCs/>
                <w:sz w:val="24"/>
                <w:szCs w:val="24"/>
                <w:highlight w:val="none"/>
                <w:lang w:eastAsia="zh-CN"/>
              </w:rPr>
              <w:t>（隧）</w:t>
            </w:r>
            <w:r>
              <w:rPr>
                <w:rFonts w:hint="eastAsia" w:ascii="宋体" w:hAnsi="宋体" w:eastAsia="宋体" w:cs="宋体"/>
                <w:b w:val="0"/>
                <w:bCs/>
                <w:sz w:val="24"/>
                <w:szCs w:val="24"/>
                <w:highlight w:val="none"/>
              </w:rPr>
              <w:t>定</w:t>
            </w:r>
            <w:r>
              <w:rPr>
                <w:rFonts w:hint="eastAsia" w:ascii="宋体" w:hAnsi="宋体" w:eastAsia="宋体" w:cs="宋体"/>
                <w:b w:val="0"/>
                <w:bCs/>
                <w:sz w:val="24"/>
                <w:szCs w:val="24"/>
                <w:highlight w:val="none"/>
                <w:lang w:val="en-US" w:eastAsia="zh-CN"/>
              </w:rPr>
              <w:t>检</w:t>
            </w:r>
            <w:r>
              <w:rPr>
                <w:rFonts w:hint="eastAsia" w:ascii="宋体" w:hAnsi="宋体" w:eastAsia="宋体" w:cs="宋体"/>
                <w:b w:val="0"/>
                <w:bCs/>
                <w:sz w:val="24"/>
                <w:szCs w:val="24"/>
                <w:highlight w:val="none"/>
              </w:rPr>
              <w:t>项目技术负责人，得</w:t>
            </w:r>
            <w:r>
              <w:rPr>
                <w:rFonts w:hint="eastAsia" w:ascii="宋体" w:hAnsi="宋体" w:eastAsia="宋体" w:cs="宋体"/>
                <w:b w:val="0"/>
                <w:bCs/>
                <w:sz w:val="24"/>
                <w:szCs w:val="24"/>
                <w:highlight w:val="none"/>
                <w:lang w:val="en-US" w:eastAsia="zh-CN"/>
              </w:rPr>
              <w:t>2分</w:t>
            </w:r>
            <w:r>
              <w:rPr>
                <w:rFonts w:hint="eastAsia" w:ascii="宋体" w:hAnsi="宋体" w:eastAsia="宋体" w:cs="宋体"/>
                <w:b w:val="0"/>
                <w:bCs/>
                <w:sz w:val="24"/>
                <w:szCs w:val="24"/>
                <w:highlight w:val="none"/>
              </w:rPr>
              <w:t>，不满足得0分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每增加</w:t>
            </w:r>
            <w:r>
              <w:rPr>
                <w:rFonts w:hint="eastAsia" w:ascii="宋体" w:hAnsi="宋体" w:eastAsia="宋体" w:cs="宋体"/>
                <w:b w:val="0"/>
                <w:bCs/>
                <w:sz w:val="24"/>
                <w:szCs w:val="24"/>
                <w:highlight w:val="none"/>
                <w:lang w:val="en-US" w:eastAsia="zh-CN"/>
              </w:rPr>
              <w:t>100</w:t>
            </w:r>
            <w:r>
              <w:rPr>
                <w:rFonts w:hint="eastAsia" w:ascii="宋体" w:hAnsi="宋体" w:eastAsia="宋体" w:cs="宋体"/>
                <w:b w:val="0"/>
                <w:bCs/>
                <w:sz w:val="24"/>
                <w:szCs w:val="24"/>
                <w:highlight w:val="none"/>
              </w:rPr>
              <w:t>座</w:t>
            </w:r>
            <w:r>
              <w:rPr>
                <w:rFonts w:hint="eastAsia" w:ascii="宋体" w:hAnsi="宋体" w:eastAsia="宋体" w:cs="宋体"/>
                <w:b w:val="0"/>
                <w:bCs/>
                <w:sz w:val="24"/>
                <w:szCs w:val="24"/>
                <w:highlight w:val="none"/>
                <w:lang w:eastAsia="zh-CN"/>
              </w:rPr>
              <w:t>普通国省道</w:t>
            </w:r>
            <w:r>
              <w:rPr>
                <w:rFonts w:hint="eastAsia" w:ascii="宋体" w:hAnsi="宋体" w:eastAsia="宋体" w:cs="宋体"/>
                <w:b w:val="0"/>
                <w:bCs/>
                <w:sz w:val="24"/>
                <w:szCs w:val="24"/>
                <w:highlight w:val="none"/>
              </w:rPr>
              <w:t>桥梁</w:t>
            </w:r>
            <w:r>
              <w:rPr>
                <w:rFonts w:hint="eastAsia" w:ascii="宋体" w:hAnsi="宋体" w:eastAsia="宋体" w:cs="宋体"/>
                <w:b w:val="0"/>
                <w:bCs/>
                <w:sz w:val="24"/>
                <w:szCs w:val="24"/>
                <w:highlight w:val="none"/>
                <w:lang w:eastAsia="zh-CN"/>
              </w:rPr>
              <w:t>定检</w:t>
            </w:r>
            <w:r>
              <w:rPr>
                <w:rFonts w:hint="eastAsia" w:ascii="宋体" w:hAnsi="宋体" w:eastAsia="宋体" w:cs="宋体"/>
                <w:b w:val="0"/>
                <w:bCs/>
                <w:sz w:val="24"/>
                <w:szCs w:val="24"/>
                <w:highlight w:val="none"/>
              </w:rPr>
              <w:t>加</w:t>
            </w:r>
            <w:r>
              <w:rPr>
                <w:rFonts w:hint="eastAsia" w:ascii="宋体" w:hAnsi="宋体" w:eastAsia="宋体" w:cs="宋体"/>
                <w:b w:val="0"/>
                <w:bCs/>
                <w:sz w:val="24"/>
                <w:szCs w:val="24"/>
                <w:highlight w:val="none"/>
                <w:lang w:val="en-US" w:eastAsia="zh-CN"/>
              </w:rPr>
              <w:t>0.5</w:t>
            </w:r>
            <w:r>
              <w:rPr>
                <w:rFonts w:hint="eastAsia" w:ascii="宋体" w:hAnsi="宋体" w:eastAsia="宋体" w:cs="宋体"/>
                <w:b w:val="0"/>
                <w:bCs/>
                <w:sz w:val="24"/>
                <w:szCs w:val="24"/>
                <w:highlight w:val="none"/>
              </w:rPr>
              <w:t>分，最多加</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分。满分</w:t>
            </w: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3"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4"/>
                <w:szCs w:val="24"/>
                <w:highlight w:val="none"/>
              </w:rPr>
            </w:pPr>
          </w:p>
        </w:tc>
        <w:tc>
          <w:tcPr>
            <w:tcW w:w="3753" w:type="pct"/>
            <w:tcBorders>
              <w:lef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检测工程师，</w:t>
            </w:r>
            <w:r>
              <w:rPr>
                <w:rFonts w:hint="eastAsia" w:ascii="宋体" w:hAnsi="宋体" w:eastAsia="宋体" w:cs="宋体"/>
                <w:b w:val="0"/>
                <w:bCs/>
                <w:sz w:val="24"/>
                <w:szCs w:val="24"/>
                <w:highlight w:val="none"/>
                <w:lang w:eastAsia="zh-CN"/>
              </w:rPr>
              <w:t>至少</w:t>
            </w:r>
            <w:r>
              <w:rPr>
                <w:rFonts w:hint="eastAsia" w:ascii="宋体" w:hAnsi="宋体" w:eastAsia="宋体" w:cs="宋体"/>
                <w:b w:val="0"/>
                <w:bCs/>
                <w:sz w:val="24"/>
                <w:szCs w:val="24"/>
                <w:highlight w:val="none"/>
                <w:lang w:val="en-US" w:eastAsia="zh-CN"/>
              </w:rPr>
              <w:t>8</w:t>
            </w:r>
            <w:r>
              <w:rPr>
                <w:rFonts w:hint="eastAsia" w:ascii="宋体" w:hAnsi="宋体" w:eastAsia="宋体" w:cs="宋体"/>
                <w:b w:val="0"/>
                <w:bCs/>
                <w:sz w:val="24"/>
                <w:szCs w:val="24"/>
                <w:highlight w:val="none"/>
              </w:rPr>
              <w:t>人，</w:t>
            </w:r>
            <w:r>
              <w:rPr>
                <w:rFonts w:hint="eastAsia" w:ascii="宋体" w:hAnsi="宋体" w:eastAsia="宋体" w:cs="宋体"/>
                <w:b w:val="0"/>
                <w:bCs/>
                <w:sz w:val="24"/>
                <w:szCs w:val="24"/>
                <w:highlight w:val="none"/>
                <w:lang w:eastAsia="zh-CN"/>
              </w:rPr>
              <w:t>桥梁</w:t>
            </w:r>
            <w:r>
              <w:rPr>
                <w:rFonts w:hint="eastAsia" w:ascii="宋体" w:hAnsi="宋体" w:eastAsia="宋体" w:cs="宋体"/>
                <w:b w:val="0"/>
                <w:bCs/>
                <w:sz w:val="24"/>
                <w:szCs w:val="24"/>
                <w:highlight w:val="none"/>
              </w:rPr>
              <w:t>专业中级</w:t>
            </w:r>
            <w:r>
              <w:rPr>
                <w:rFonts w:hint="eastAsia" w:ascii="宋体" w:hAnsi="宋体" w:eastAsia="宋体" w:cs="宋体"/>
                <w:b w:val="0"/>
                <w:bCs/>
                <w:sz w:val="24"/>
                <w:szCs w:val="24"/>
                <w:highlight w:val="none"/>
                <w:lang w:eastAsia="zh-CN"/>
              </w:rPr>
              <w:t>或</w:t>
            </w:r>
            <w:r>
              <w:rPr>
                <w:rFonts w:hint="eastAsia" w:ascii="宋体" w:hAnsi="宋体" w:eastAsia="宋体" w:cs="宋体"/>
                <w:b w:val="0"/>
                <w:bCs/>
                <w:sz w:val="24"/>
                <w:szCs w:val="24"/>
                <w:highlight w:val="none"/>
              </w:rPr>
              <w:t>以上职称，</w:t>
            </w:r>
            <w:r>
              <w:rPr>
                <w:rFonts w:hint="eastAsia" w:ascii="宋体" w:hAnsi="宋体" w:eastAsia="宋体" w:cs="宋体"/>
                <w:b w:val="0"/>
                <w:bCs/>
                <w:sz w:val="24"/>
                <w:szCs w:val="24"/>
                <w:highlight w:val="none"/>
                <w:lang w:eastAsia="zh-CN"/>
              </w:rPr>
              <w:t>均</w:t>
            </w:r>
            <w:r>
              <w:rPr>
                <w:rFonts w:hint="eastAsia" w:ascii="宋体" w:hAnsi="宋体" w:eastAsia="宋体" w:cs="宋体"/>
                <w:b w:val="0"/>
                <w:bCs/>
                <w:sz w:val="24"/>
                <w:szCs w:val="24"/>
                <w:highlight w:val="none"/>
              </w:rPr>
              <w:t>持有交通运输部颁发的桥梁专业试验检测工程师资格证书，全部满足得</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分，不全部满足得0分。每增加同条件人员1人加</w:t>
            </w:r>
            <w:r>
              <w:rPr>
                <w:rFonts w:hint="eastAsia" w:ascii="宋体" w:hAnsi="宋体" w:eastAsia="宋体" w:cs="宋体"/>
                <w:b w:val="0"/>
                <w:bCs/>
                <w:sz w:val="24"/>
                <w:szCs w:val="24"/>
                <w:highlight w:val="none"/>
                <w:lang w:val="en-US" w:eastAsia="zh-CN"/>
              </w:rPr>
              <w:t>0.5</w:t>
            </w:r>
            <w:r>
              <w:rPr>
                <w:rFonts w:hint="eastAsia" w:ascii="宋体" w:hAnsi="宋体" w:eastAsia="宋体" w:cs="宋体"/>
                <w:b w:val="0"/>
                <w:bCs/>
                <w:sz w:val="24"/>
                <w:szCs w:val="24"/>
                <w:highlight w:val="none"/>
              </w:rPr>
              <w:t>分，最多加</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分。满分</w:t>
            </w: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3"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p>
        </w:tc>
        <w:tc>
          <w:tcPr>
            <w:tcW w:w="69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4"/>
                <w:szCs w:val="24"/>
                <w:highlight w:val="none"/>
              </w:rPr>
            </w:pPr>
          </w:p>
        </w:tc>
        <w:tc>
          <w:tcPr>
            <w:tcW w:w="37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1.所有试验检测人员资格证书，需在《公路水运工程试验检测管理信息系统》（www.jtsyjc.net）中能够有效查询，无法查询的视为无效响应。</w:t>
            </w:r>
          </w:p>
          <w:p>
            <w:pPr>
              <w:pStyle w:val="1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2.提供相关人员证明材料（身份证、社会保险缴纳证明、学历证、职称、注册的试验检测资格等证书复印件）。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lang w:val="en-US"/>
              </w:rPr>
            </w:pPr>
            <w:r>
              <w:rPr>
                <w:rFonts w:hint="eastAsia" w:ascii="宋体" w:hAnsi="宋体" w:eastAsia="宋体" w:cs="宋体"/>
                <w:b w:val="0"/>
                <w:bCs/>
                <w:kern w:val="2"/>
                <w:sz w:val="24"/>
                <w:szCs w:val="24"/>
                <w:highlight w:val="none"/>
                <w:lang w:val="en-US" w:eastAsia="zh-CN" w:bidi="ar-SA"/>
              </w:rPr>
              <w:t>3.人员业绩需提供有效证明文件，包括但不限于合同协议书或履约证明或验收文件等材料的复印件；相同业绩不重复加分。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p>
        </w:tc>
        <w:tc>
          <w:tcPr>
            <w:tcW w:w="69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业绩及设备</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22分）</w:t>
            </w:r>
          </w:p>
        </w:tc>
        <w:tc>
          <w:tcPr>
            <w:tcW w:w="3753"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供应商</w:t>
            </w:r>
            <w:r>
              <w:rPr>
                <w:rFonts w:hint="eastAsia" w:ascii="宋体" w:hAnsi="宋体" w:eastAsia="宋体" w:cs="宋体"/>
                <w:b w:val="0"/>
                <w:bCs/>
                <w:color w:val="auto"/>
                <w:sz w:val="24"/>
                <w:szCs w:val="24"/>
                <w:highlight w:val="none"/>
                <w:lang w:eastAsia="zh-CN"/>
              </w:rPr>
              <w:t>20</w:t>
            </w: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lang w:eastAsia="zh-CN"/>
              </w:rPr>
              <w:t>年1月1日至投标截止日</w:t>
            </w:r>
            <w:r>
              <w:rPr>
                <w:rFonts w:hint="eastAsia" w:ascii="宋体" w:hAnsi="宋体" w:eastAsia="宋体" w:cs="宋体"/>
                <w:b w:val="0"/>
                <w:bCs/>
                <w:color w:val="auto"/>
                <w:sz w:val="24"/>
                <w:szCs w:val="24"/>
                <w:highlight w:val="none"/>
              </w:rPr>
              <w:t>完成</w:t>
            </w:r>
            <w:r>
              <w:rPr>
                <w:rFonts w:hint="eastAsia" w:ascii="宋体" w:hAnsi="宋体" w:eastAsia="宋体" w:cs="宋体"/>
                <w:b w:val="0"/>
                <w:bCs/>
                <w:sz w:val="24"/>
                <w:szCs w:val="24"/>
                <w:highlight w:val="none"/>
                <w:lang w:eastAsia="zh-CN"/>
              </w:rPr>
              <w:t>普通</w:t>
            </w:r>
            <w:r>
              <w:rPr>
                <w:rFonts w:hint="eastAsia" w:ascii="宋体" w:hAnsi="宋体" w:eastAsia="宋体" w:cs="宋体"/>
                <w:b w:val="0"/>
                <w:bCs/>
                <w:sz w:val="24"/>
                <w:szCs w:val="24"/>
                <w:highlight w:val="none"/>
              </w:rPr>
              <w:t>国省</w:t>
            </w:r>
            <w:r>
              <w:rPr>
                <w:rFonts w:hint="eastAsia" w:ascii="宋体" w:hAnsi="宋体" w:eastAsia="宋体" w:cs="宋体"/>
                <w:b w:val="0"/>
                <w:bCs/>
                <w:sz w:val="24"/>
                <w:szCs w:val="24"/>
                <w:highlight w:val="none"/>
                <w:lang w:eastAsia="zh-CN"/>
              </w:rPr>
              <w:t>道</w:t>
            </w:r>
            <w:r>
              <w:rPr>
                <w:rFonts w:hint="eastAsia" w:ascii="宋体" w:hAnsi="宋体" w:eastAsia="宋体" w:cs="宋体"/>
                <w:b w:val="0"/>
                <w:bCs/>
                <w:color w:val="auto"/>
                <w:sz w:val="24"/>
                <w:szCs w:val="24"/>
                <w:highlight w:val="none"/>
                <w:lang w:val="en-US" w:eastAsia="zh-CN"/>
              </w:rPr>
              <w:t>300</w:t>
            </w:r>
            <w:r>
              <w:rPr>
                <w:rFonts w:hint="eastAsia" w:ascii="宋体" w:hAnsi="宋体" w:eastAsia="宋体" w:cs="宋体"/>
                <w:b w:val="0"/>
                <w:bCs/>
                <w:color w:val="auto"/>
                <w:sz w:val="24"/>
                <w:szCs w:val="24"/>
                <w:highlight w:val="none"/>
              </w:rPr>
              <w:t>座公路桥梁</w:t>
            </w:r>
            <w:r>
              <w:rPr>
                <w:rFonts w:hint="eastAsia" w:ascii="宋体" w:hAnsi="宋体" w:eastAsia="宋体" w:cs="宋体"/>
                <w:b w:val="0"/>
                <w:bCs/>
                <w:color w:val="auto"/>
                <w:sz w:val="24"/>
                <w:szCs w:val="24"/>
                <w:highlight w:val="none"/>
                <w:lang w:eastAsia="zh-CN"/>
              </w:rPr>
              <w:t>（隧道）</w:t>
            </w:r>
            <w:r>
              <w:rPr>
                <w:rFonts w:hint="eastAsia" w:ascii="宋体" w:hAnsi="宋体" w:eastAsia="宋体" w:cs="宋体"/>
                <w:b w:val="0"/>
                <w:bCs/>
                <w:color w:val="auto"/>
                <w:sz w:val="24"/>
                <w:szCs w:val="24"/>
                <w:highlight w:val="none"/>
              </w:rPr>
              <w:t>定期检查项目，得</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分，不全部满足得0分。每增加</w:t>
            </w:r>
            <w:r>
              <w:rPr>
                <w:rFonts w:hint="eastAsia" w:ascii="宋体" w:hAnsi="宋体" w:eastAsia="宋体" w:cs="宋体"/>
                <w:b w:val="0"/>
                <w:bCs/>
                <w:color w:val="auto"/>
                <w:sz w:val="24"/>
                <w:szCs w:val="24"/>
                <w:highlight w:val="none"/>
                <w:lang w:val="en-US" w:eastAsia="zh-CN"/>
              </w:rPr>
              <w:t>100</w:t>
            </w:r>
            <w:r>
              <w:rPr>
                <w:rFonts w:hint="eastAsia" w:ascii="宋体" w:hAnsi="宋体" w:eastAsia="宋体" w:cs="宋体"/>
                <w:b w:val="0"/>
                <w:bCs/>
                <w:color w:val="auto"/>
                <w:sz w:val="24"/>
                <w:szCs w:val="24"/>
                <w:highlight w:val="none"/>
              </w:rPr>
              <w:t>座</w:t>
            </w:r>
            <w:r>
              <w:rPr>
                <w:rFonts w:hint="eastAsia" w:ascii="宋体" w:hAnsi="宋体" w:eastAsia="宋体" w:cs="宋体"/>
                <w:b w:val="0"/>
                <w:bCs/>
                <w:color w:val="auto"/>
                <w:sz w:val="24"/>
                <w:szCs w:val="24"/>
                <w:highlight w:val="none"/>
                <w:lang w:eastAsia="zh-CN"/>
              </w:rPr>
              <w:t>普通国省道</w:t>
            </w:r>
            <w:r>
              <w:rPr>
                <w:rFonts w:hint="eastAsia" w:ascii="宋体" w:hAnsi="宋体" w:eastAsia="宋体" w:cs="宋体"/>
                <w:b w:val="0"/>
                <w:bCs/>
                <w:color w:val="auto"/>
                <w:sz w:val="24"/>
                <w:szCs w:val="24"/>
                <w:highlight w:val="none"/>
              </w:rPr>
              <w:t>桥梁加</w:t>
            </w:r>
            <w:r>
              <w:rPr>
                <w:rFonts w:hint="eastAsia" w:ascii="宋体" w:hAnsi="宋体" w:eastAsia="宋体" w:cs="宋体"/>
                <w:b w:val="0"/>
                <w:bCs/>
                <w:color w:val="auto"/>
                <w:sz w:val="24"/>
                <w:szCs w:val="24"/>
                <w:highlight w:val="none"/>
                <w:lang w:val="en-US" w:eastAsia="zh-CN"/>
              </w:rPr>
              <w:t>0.5</w:t>
            </w:r>
            <w:r>
              <w:rPr>
                <w:rFonts w:hint="eastAsia" w:ascii="宋体" w:hAnsi="宋体" w:eastAsia="宋体" w:cs="宋体"/>
                <w:b w:val="0"/>
                <w:bCs/>
                <w:color w:val="auto"/>
                <w:sz w:val="24"/>
                <w:szCs w:val="24"/>
                <w:highlight w:val="none"/>
              </w:rPr>
              <w:t>分，最多加</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，满分</w:t>
            </w:r>
            <w:r>
              <w:rPr>
                <w:rFonts w:hint="eastAsia" w:ascii="宋体" w:hAnsi="宋体" w:eastAsia="宋体" w:cs="宋体"/>
                <w:b w:val="0"/>
                <w:bCs/>
                <w:color w:val="auto"/>
                <w:sz w:val="24"/>
                <w:szCs w:val="24"/>
                <w:highlight w:val="none"/>
                <w:lang w:val="en-US" w:eastAsia="zh-CN"/>
              </w:rPr>
              <w:t>16分。</w:t>
            </w:r>
          </w:p>
          <w:p>
            <w:pPr>
              <w:pStyle w:val="12"/>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注：1.业绩需提供有效证明文件，包括但不限于合同协议书或履约证明或验收文件等材料的复印件；2.相同业绩不重复加分</w:t>
            </w:r>
            <w:r>
              <w:rPr>
                <w:rFonts w:hint="eastAsia" w:hAnsi="宋体" w:cs="宋体"/>
                <w:b w:val="0"/>
                <w:bCs/>
                <w:color w:val="auto"/>
                <w:sz w:val="24"/>
                <w:szCs w:val="24"/>
                <w:highlight w:val="none"/>
                <w:lang w:val="en-US" w:eastAsia="zh-CN"/>
              </w:rPr>
              <w:t>,时间以项目验收或履约证明或批复的时间为准。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trPr>
        <w:tc>
          <w:tcPr>
            <w:tcW w:w="550"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p>
        </w:tc>
        <w:tc>
          <w:tcPr>
            <w:tcW w:w="69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color w:val="auto"/>
                <w:sz w:val="24"/>
                <w:szCs w:val="24"/>
                <w:highlight w:val="none"/>
              </w:rPr>
            </w:pPr>
          </w:p>
        </w:tc>
        <w:tc>
          <w:tcPr>
            <w:tcW w:w="3753"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color w:val="auto"/>
                <w:kern w:val="2"/>
                <w:sz w:val="24"/>
                <w:szCs w:val="24"/>
                <w:highlight w:val="none"/>
                <w:lang w:val="en-US" w:eastAsia="zh-CN" w:bidi="ar-SA"/>
              </w:rPr>
              <w:t>供应商投入本项目的桥梁检测车、隧道检查举高车至少各1台，且必须为自有，满足得3分，不满足得0分。其他设备满足得3分，每少1台，扣0.5分，最多扣3分（见招标文件拟投入关键设备附表）。满分6分。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sz w:val="24"/>
                <w:szCs w:val="24"/>
                <w:highlight w:val="none"/>
                <w:lang w:val="en-US"/>
              </w:rPr>
            </w:pPr>
            <w:r>
              <w:rPr>
                <w:rFonts w:hint="eastAsia" w:ascii="宋体" w:hAnsi="宋体" w:eastAsia="宋体" w:cs="宋体"/>
                <w:b w:val="0"/>
                <w:bCs/>
                <w:color w:val="auto"/>
                <w:kern w:val="2"/>
                <w:sz w:val="24"/>
                <w:szCs w:val="24"/>
                <w:highlight w:val="none"/>
                <w:lang w:val="en-US" w:eastAsia="zh-CN" w:bidi="ar-SA"/>
              </w:rPr>
              <w:t>注：</w:t>
            </w:r>
            <w:r>
              <w:rPr>
                <w:rFonts w:hint="eastAsia" w:ascii="宋体" w:hAnsi="宋体" w:eastAsia="宋体" w:cs="宋体"/>
                <w:b w:val="0"/>
                <w:bCs w:val="0"/>
                <w:color w:val="auto"/>
                <w:sz w:val="24"/>
                <w:szCs w:val="24"/>
                <w:highlight w:val="none"/>
                <w:lang w:val="en-US" w:eastAsia="zh-CN"/>
              </w:rPr>
              <w:t>提供检测车、检查举高车的原始发票扫描件或产权证明材料</w:t>
            </w:r>
            <w:r>
              <w:rPr>
                <w:rFonts w:hint="eastAsia" w:ascii="宋体" w:hAnsi="宋体" w:eastAsia="宋体" w:cs="宋体"/>
                <w:b w:val="0"/>
                <w:bCs/>
                <w:color w:val="auto"/>
                <w:kern w:val="2"/>
                <w:sz w:val="24"/>
                <w:szCs w:val="24"/>
                <w:highlight w:val="none"/>
                <w:lang w:val="en-US" w:eastAsia="zh-CN" w:bidi="ar-SA"/>
              </w:rPr>
              <w:t>，必须为自有设备，否则按不满足对待。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2" w:hRule="atLeast"/>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1、各评委独立打分。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2、评委打分超过得分界限或未按本表规定赋分时，该评委的打分无效，不计入汇总分。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、各种计算采用插入法，最终结果数字保留二位小数，第三位“四舍五入”。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、按照综合得分由高到低的顺序，</w:t>
            </w:r>
            <w:r>
              <w:rPr>
                <w:rFonts w:hint="eastAsia" w:ascii="宋体" w:hAnsi="宋体" w:eastAsia="宋体" w:cs="宋体"/>
                <w:b w:val="0"/>
                <w:bCs/>
                <w:sz w:val="24"/>
                <w:szCs w:val="24"/>
                <w:highlight w:val="none"/>
                <w:lang w:val="en-US" w:eastAsia="zh-CN"/>
              </w:rPr>
              <w:t>磋商小组</w:t>
            </w:r>
            <w:r>
              <w:rPr>
                <w:rFonts w:hint="eastAsia" w:ascii="宋体" w:hAnsi="宋体" w:eastAsia="宋体" w:cs="宋体"/>
                <w:b w:val="0"/>
                <w:bCs/>
                <w:sz w:val="24"/>
                <w:szCs w:val="24"/>
                <w:highlight w:val="none"/>
              </w:rPr>
              <w:t>对供应商进行排名。如最终得分相同时，则取</w:t>
            </w:r>
            <w:r>
              <w:rPr>
                <w:rFonts w:hint="eastAsia" w:ascii="宋体" w:hAnsi="宋体" w:eastAsia="宋体" w:cs="宋体"/>
                <w:b w:val="0"/>
                <w:bCs/>
                <w:sz w:val="24"/>
                <w:szCs w:val="24"/>
                <w:highlight w:val="none"/>
                <w:lang w:val="en-US" w:eastAsia="zh-CN"/>
              </w:rPr>
              <w:t>最终</w:t>
            </w:r>
            <w:r>
              <w:rPr>
                <w:rFonts w:hint="eastAsia" w:ascii="宋体" w:hAnsi="宋体" w:eastAsia="宋体" w:cs="宋体"/>
                <w:b w:val="0"/>
                <w:bCs/>
                <w:sz w:val="24"/>
                <w:szCs w:val="24"/>
                <w:highlight w:val="none"/>
              </w:rPr>
              <w:t>报价较低的优先；</w:t>
            </w:r>
            <w:r>
              <w:rPr>
                <w:rFonts w:hint="eastAsia" w:ascii="宋体" w:hAnsi="宋体" w:eastAsia="宋体" w:cs="宋体"/>
                <w:b w:val="0"/>
                <w:bCs/>
                <w:sz w:val="24"/>
                <w:szCs w:val="24"/>
                <w:highlight w:val="none"/>
                <w:lang w:val="en-US" w:eastAsia="zh-CN"/>
              </w:rPr>
              <w:t>得分相同的，按磋商报价由低到高顺序排列。得分且磋商报价相同的按照评审因素的技术部分评审得分由高到低的顺序排列。</w:t>
            </w:r>
          </w:p>
          <w:p>
            <w:pPr>
              <w:pStyle w:val="1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当一个供应商的综合得分在多个</w:t>
            </w:r>
            <w:r>
              <w:rPr>
                <w:rFonts w:hint="eastAsia" w:ascii="宋体" w:hAnsi="宋体" w:eastAsia="宋体" w:cs="宋体"/>
                <w:b w:val="0"/>
                <w:bCs/>
                <w:sz w:val="24"/>
                <w:szCs w:val="24"/>
                <w:highlight w:val="none"/>
                <w:lang w:val="en-US" w:eastAsia="zh-CN"/>
              </w:rPr>
              <w:t>标包</w:t>
            </w:r>
            <w:r>
              <w:rPr>
                <w:rFonts w:hint="eastAsia" w:ascii="宋体" w:hAnsi="宋体" w:eastAsia="宋体" w:cs="宋体"/>
                <w:b w:val="0"/>
                <w:bCs/>
                <w:sz w:val="24"/>
                <w:szCs w:val="24"/>
                <w:highlight w:val="none"/>
              </w:rPr>
              <w:t>同时排名第一时，仅保留</w:t>
            </w:r>
            <w:r>
              <w:rPr>
                <w:rFonts w:hint="eastAsia" w:ascii="宋体" w:hAnsi="宋体" w:eastAsia="宋体" w:cs="宋体"/>
                <w:b w:val="0"/>
                <w:bCs/>
                <w:sz w:val="24"/>
                <w:szCs w:val="24"/>
                <w:highlight w:val="none"/>
                <w:lang w:val="en-US" w:eastAsia="zh-CN"/>
              </w:rPr>
              <w:t>最终</w:t>
            </w:r>
            <w:r>
              <w:rPr>
                <w:rFonts w:hint="eastAsia" w:ascii="宋体" w:hAnsi="宋体" w:eastAsia="宋体" w:cs="宋体"/>
                <w:b w:val="0"/>
                <w:bCs/>
                <w:sz w:val="24"/>
                <w:szCs w:val="24"/>
                <w:highlight w:val="none"/>
              </w:rPr>
              <w:t>报价较大</w:t>
            </w:r>
            <w:r>
              <w:rPr>
                <w:rFonts w:hint="eastAsia" w:ascii="宋体" w:hAnsi="宋体" w:eastAsia="宋体" w:cs="宋体"/>
                <w:b w:val="0"/>
                <w:bCs/>
                <w:sz w:val="24"/>
                <w:szCs w:val="24"/>
                <w:highlight w:val="none"/>
                <w:lang w:val="en-US" w:eastAsia="zh-CN"/>
              </w:rPr>
              <w:t>标包</w:t>
            </w:r>
            <w:r>
              <w:rPr>
                <w:rFonts w:hint="eastAsia" w:ascii="宋体" w:hAnsi="宋体" w:eastAsia="宋体" w:cs="宋体"/>
                <w:b w:val="0"/>
                <w:bCs/>
                <w:sz w:val="24"/>
                <w:szCs w:val="24"/>
                <w:highlight w:val="none"/>
              </w:rPr>
              <w:t>的</w:t>
            </w:r>
            <w:r>
              <w:rPr>
                <w:rFonts w:hint="eastAsia" w:ascii="宋体" w:hAnsi="宋体" w:eastAsia="宋体" w:cs="宋体"/>
                <w:b w:val="0"/>
                <w:bCs/>
                <w:sz w:val="24"/>
                <w:szCs w:val="24"/>
                <w:highlight w:val="none"/>
                <w:lang w:val="en-US" w:eastAsia="zh-CN"/>
              </w:rPr>
              <w:t>成交</w:t>
            </w:r>
            <w:r>
              <w:rPr>
                <w:rFonts w:hint="eastAsia" w:ascii="宋体" w:hAnsi="宋体" w:eastAsia="宋体" w:cs="宋体"/>
                <w:b w:val="0"/>
                <w:bCs/>
                <w:sz w:val="24"/>
                <w:szCs w:val="24"/>
                <w:highlight w:val="none"/>
              </w:rPr>
              <w:t>资格，</w:t>
            </w:r>
            <w:r>
              <w:rPr>
                <w:rFonts w:hint="eastAsia" w:ascii="宋体" w:hAnsi="宋体" w:eastAsia="宋体" w:cs="宋体"/>
                <w:b w:val="0"/>
                <w:bCs/>
                <w:sz w:val="24"/>
                <w:szCs w:val="24"/>
                <w:highlight w:val="none"/>
                <w:lang w:val="en-US" w:eastAsia="zh-CN"/>
              </w:rPr>
              <w:t>最终</w:t>
            </w:r>
            <w:r>
              <w:rPr>
                <w:rFonts w:hint="eastAsia" w:ascii="宋体" w:hAnsi="宋体" w:eastAsia="宋体" w:cs="宋体"/>
                <w:b w:val="0"/>
                <w:bCs/>
                <w:sz w:val="24"/>
                <w:szCs w:val="24"/>
                <w:highlight w:val="none"/>
              </w:rPr>
              <w:t>报价较小标</w:t>
            </w:r>
            <w:r>
              <w:rPr>
                <w:rFonts w:hint="eastAsia" w:ascii="宋体" w:hAnsi="宋体" w:eastAsia="宋体" w:cs="宋体"/>
                <w:b w:val="0"/>
                <w:bCs/>
                <w:sz w:val="24"/>
                <w:szCs w:val="24"/>
                <w:highlight w:val="none"/>
                <w:lang w:val="en-US" w:eastAsia="zh-CN"/>
              </w:rPr>
              <w:t>包</w:t>
            </w:r>
            <w:r>
              <w:rPr>
                <w:rFonts w:hint="eastAsia" w:ascii="宋体" w:hAnsi="宋体" w:eastAsia="宋体" w:cs="宋体"/>
                <w:b w:val="0"/>
                <w:bCs/>
                <w:sz w:val="24"/>
                <w:szCs w:val="24"/>
                <w:highlight w:val="none"/>
              </w:rPr>
              <w:t>各供应商排序依次递增；若在多个标包排名第一且</w:t>
            </w:r>
            <w:r>
              <w:rPr>
                <w:rFonts w:hint="eastAsia" w:ascii="宋体" w:hAnsi="宋体" w:eastAsia="宋体" w:cs="宋体"/>
                <w:b w:val="0"/>
                <w:bCs/>
                <w:sz w:val="24"/>
                <w:szCs w:val="24"/>
                <w:highlight w:val="none"/>
                <w:lang w:val="en-US" w:eastAsia="zh-CN"/>
              </w:rPr>
              <w:t>最终</w:t>
            </w:r>
            <w:r>
              <w:rPr>
                <w:rFonts w:hint="eastAsia" w:ascii="宋体" w:hAnsi="宋体" w:eastAsia="宋体" w:cs="宋体"/>
                <w:b w:val="0"/>
                <w:bCs/>
                <w:sz w:val="24"/>
                <w:szCs w:val="24"/>
                <w:highlight w:val="none"/>
              </w:rPr>
              <w:t>报价相同的，按标包次序获得</w:t>
            </w:r>
            <w:r>
              <w:rPr>
                <w:rFonts w:hint="eastAsia" w:ascii="宋体" w:hAnsi="宋体" w:eastAsia="宋体" w:cs="宋体"/>
                <w:b w:val="0"/>
                <w:bCs/>
                <w:sz w:val="24"/>
                <w:szCs w:val="24"/>
                <w:highlight w:val="none"/>
                <w:lang w:val="en-US" w:eastAsia="zh-CN"/>
              </w:rPr>
              <w:t>成交</w:t>
            </w:r>
            <w:r>
              <w:rPr>
                <w:rFonts w:hint="eastAsia" w:ascii="宋体" w:hAnsi="宋体" w:eastAsia="宋体" w:cs="宋体"/>
                <w:b w:val="0"/>
                <w:bCs/>
                <w:sz w:val="24"/>
                <w:szCs w:val="24"/>
                <w:highlight w:val="none"/>
              </w:rPr>
              <w:t>资格，其他标包按此规则依次调整各标包推荐排名</w:t>
            </w:r>
            <w:r>
              <w:rPr>
                <w:rFonts w:hint="eastAsia" w:ascii="宋体" w:hAnsi="宋体" w:eastAsia="宋体" w:cs="宋体"/>
                <w:b w:val="0"/>
                <w:bCs/>
                <w:sz w:val="24"/>
                <w:szCs w:val="24"/>
                <w:highlight w:val="none"/>
                <w:lang w:eastAsia="zh-CN"/>
              </w:rPr>
              <w:t>。</w:t>
            </w:r>
          </w:p>
        </w:tc>
      </w:tr>
    </w:tbl>
    <w:p>
      <w:pPr>
        <w:rPr>
          <w:rFonts w:hint="eastAsia" w:ascii="宋体" w:hAnsi="宋体" w:cs="宋体"/>
          <w:b/>
          <w:bCs/>
          <w:sz w:val="24"/>
          <w:highlight w:val="none"/>
        </w:rPr>
      </w:pPr>
    </w:p>
    <w:p>
      <w:pPr>
        <w:rPr>
          <w:rFonts w:ascii="宋体" w:hAnsi="宋体" w:cs="宋体"/>
          <w:sz w:val="24"/>
          <w:highlight w:val="none"/>
        </w:rPr>
      </w:pPr>
      <w:r>
        <w:rPr>
          <w:rFonts w:hint="eastAsia" w:ascii="宋体" w:hAnsi="宋体" w:cs="宋体"/>
          <w:b/>
          <w:bCs/>
          <w:sz w:val="24"/>
          <w:highlight w:val="none"/>
        </w:rPr>
        <w:t>6.政策性价格优惠折扣规定</w:t>
      </w:r>
      <w:bookmarkEnd w:id="85"/>
      <w:bookmarkEnd w:id="86"/>
      <w:bookmarkEnd w:id="87"/>
    </w:p>
    <w:p>
      <w:pPr>
        <w:ind w:firstLine="480" w:firstLineChars="200"/>
        <w:rPr>
          <w:rFonts w:ascii="宋体" w:hAnsi="宋体" w:cs="宋体"/>
          <w:sz w:val="24"/>
          <w:highlight w:val="none"/>
        </w:rPr>
      </w:pPr>
      <w:r>
        <w:rPr>
          <w:rFonts w:hint="eastAsia" w:ascii="宋体" w:hAnsi="宋体" w:cs="宋体"/>
          <w:sz w:val="24"/>
          <w:highlight w:val="none"/>
        </w:rPr>
        <w:t>经初审并磋商之后，对于所有满足磋商文件全部实质性要求并按照规定提交了最终报价的响应文件，按照以下规则进行评审价格的确定。</w:t>
      </w:r>
    </w:p>
    <w:p>
      <w:pPr>
        <w:rPr>
          <w:rFonts w:ascii="宋体" w:hAnsi="宋体" w:cs="宋体"/>
          <w:sz w:val="24"/>
          <w:highlight w:val="none"/>
        </w:rPr>
      </w:pPr>
      <w:r>
        <w:rPr>
          <w:rFonts w:hint="eastAsia" w:ascii="宋体" w:hAnsi="宋体" w:cs="宋体"/>
          <w:sz w:val="24"/>
          <w:highlight w:val="none"/>
        </w:rPr>
        <w:t>6.1磋商供应商为小型和微型企业（含联合体）、监狱企业、残疾人福利性单位的评审价计算规则：</w:t>
      </w:r>
    </w:p>
    <w:p>
      <w:pPr>
        <w:rPr>
          <w:rFonts w:ascii="宋体" w:hAnsi="宋体" w:cs="宋体"/>
          <w:sz w:val="24"/>
          <w:highlight w:val="none"/>
        </w:rPr>
      </w:pPr>
      <w:r>
        <w:rPr>
          <w:rFonts w:hint="eastAsia" w:ascii="宋体" w:hAnsi="宋体" w:cs="宋体"/>
          <w:sz w:val="24"/>
          <w:highlight w:val="none"/>
        </w:rPr>
        <w:t>6.1.1本办法所称中小企业（含中型、小型、微型企业，下同）应当同时符合以下条件：</w:t>
      </w:r>
    </w:p>
    <w:p>
      <w:pPr>
        <w:rPr>
          <w:rFonts w:ascii="宋体" w:hAnsi="宋体" w:cs="宋体"/>
          <w:sz w:val="24"/>
          <w:highlight w:val="none"/>
        </w:rPr>
      </w:pPr>
      <w:r>
        <w:rPr>
          <w:rFonts w:hint="eastAsia" w:ascii="宋体" w:hAnsi="宋体" w:cs="宋体"/>
          <w:sz w:val="24"/>
          <w:highlight w:val="none"/>
        </w:rPr>
        <w:t>6.1.1.1符合中小企业划分标准；</w:t>
      </w:r>
    </w:p>
    <w:p>
      <w:pPr>
        <w:rPr>
          <w:rFonts w:ascii="宋体" w:hAnsi="宋体" w:cs="宋体"/>
          <w:sz w:val="24"/>
          <w:highlight w:val="none"/>
        </w:rPr>
      </w:pPr>
      <w:r>
        <w:rPr>
          <w:rFonts w:hint="eastAsia" w:ascii="宋体" w:hAnsi="宋体" w:cs="宋体"/>
          <w:sz w:val="24"/>
          <w:highlight w:val="none"/>
        </w:rPr>
        <w:t>6.1.1.2提供本企业承担的服务，或者提供其他中小企业承担的服务。本项所称服务不包括使用大型企业的服务。</w:t>
      </w:r>
    </w:p>
    <w:p>
      <w:pPr>
        <w:rPr>
          <w:rFonts w:ascii="宋体" w:hAnsi="宋体" w:cs="宋体"/>
          <w:sz w:val="24"/>
          <w:highlight w:val="none"/>
        </w:rPr>
      </w:pPr>
      <w:r>
        <w:rPr>
          <w:rFonts w:hint="eastAsia" w:ascii="宋体" w:hAnsi="宋体" w:cs="宋体"/>
          <w:sz w:val="24"/>
          <w:highlight w:val="none"/>
        </w:rPr>
        <w:t>6.1.2本规定所称中小企业划分标准，是指国务院有关部门根据企业从业人员、营业收入、资产总额等指标制定的中小企业划型标准（工信部联企业〔2011〕300号）；</w:t>
      </w:r>
    </w:p>
    <w:p>
      <w:pPr>
        <w:rPr>
          <w:rFonts w:ascii="宋体" w:hAnsi="宋体" w:cs="宋体"/>
          <w:sz w:val="24"/>
          <w:highlight w:val="none"/>
        </w:rPr>
      </w:pPr>
      <w:r>
        <w:rPr>
          <w:rFonts w:hint="eastAsia" w:ascii="宋体" w:hAnsi="宋体" w:cs="宋体"/>
          <w:sz w:val="24"/>
          <w:highlight w:val="none"/>
        </w:rPr>
        <w:t>6.1.3小型、微型企业提供有中型企业承担服务的，视同为中型企业；小型、微型、中型企业提供有大型企业承担服务的，视同为大型企业。</w:t>
      </w:r>
    </w:p>
    <w:p>
      <w:pPr>
        <w:rPr>
          <w:rFonts w:ascii="宋体" w:hAnsi="宋体" w:cs="宋体"/>
          <w:sz w:val="24"/>
          <w:highlight w:val="none"/>
        </w:rPr>
      </w:pPr>
      <w:r>
        <w:rPr>
          <w:rFonts w:hint="eastAsia" w:ascii="宋体" w:hAnsi="宋体" w:cs="宋体"/>
          <w:sz w:val="24"/>
          <w:highlight w:val="none"/>
        </w:rPr>
        <w:t>6.1.4本办法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rPr>
          <w:rFonts w:ascii="宋体" w:hAnsi="宋体" w:cs="宋体"/>
          <w:sz w:val="24"/>
          <w:highlight w:val="none"/>
        </w:rPr>
      </w:pPr>
      <w:r>
        <w:rPr>
          <w:rFonts w:hint="eastAsia" w:ascii="宋体" w:hAnsi="宋体" w:cs="宋体"/>
          <w:sz w:val="24"/>
          <w:highlight w:val="none"/>
        </w:rPr>
        <w:t>6.1.5残疾人福利性单位磋商应当同时符合以下条件：</w:t>
      </w:r>
    </w:p>
    <w:p>
      <w:pPr>
        <w:rPr>
          <w:rFonts w:ascii="宋体" w:hAnsi="宋体" w:cs="宋体"/>
          <w:sz w:val="24"/>
          <w:highlight w:val="none"/>
        </w:rPr>
      </w:pPr>
      <w:r>
        <w:rPr>
          <w:rFonts w:hint="eastAsia" w:ascii="宋体" w:hAnsi="宋体" w:cs="宋体"/>
          <w:sz w:val="24"/>
          <w:highlight w:val="none"/>
        </w:rPr>
        <w:t>6.1.5.1符合（财库[2017]141号）文件规定的残疾人福利性单位，提供本单位承担的服务（以下简称产品）。</w:t>
      </w:r>
    </w:p>
    <w:p>
      <w:pPr>
        <w:rPr>
          <w:rFonts w:ascii="宋体" w:hAnsi="宋体" w:cs="宋体"/>
          <w:sz w:val="24"/>
          <w:highlight w:val="none"/>
        </w:rPr>
      </w:pPr>
      <w:r>
        <w:rPr>
          <w:rFonts w:hint="eastAsia" w:ascii="宋体" w:hAnsi="宋体" w:cs="宋体"/>
          <w:sz w:val="24"/>
          <w:highlight w:val="none"/>
        </w:rPr>
        <w:t>6.1.5.2参加磋商时，须提供《残疾人福利性单位声明函》，并对声明的真实性负责。</w:t>
      </w:r>
    </w:p>
    <w:p>
      <w:pPr>
        <w:rPr>
          <w:rFonts w:ascii="宋体" w:hAnsi="宋体" w:cs="宋体"/>
          <w:sz w:val="24"/>
          <w:highlight w:val="none"/>
        </w:rPr>
      </w:pPr>
      <w:r>
        <w:rPr>
          <w:rFonts w:hint="eastAsia" w:ascii="宋体" w:hAnsi="宋体" w:cs="宋体"/>
          <w:sz w:val="24"/>
          <w:highlight w:val="none"/>
        </w:rPr>
        <w:t>以上提供声明函，供应商对其真实性负责，如有事实不符的，将依照《政府采购法》第七十七条第一款的规定追究法律责任。</w:t>
      </w:r>
    </w:p>
    <w:p>
      <w:pPr>
        <w:rPr>
          <w:rFonts w:ascii="宋体" w:hAnsi="宋体" w:cs="宋体"/>
          <w:sz w:val="24"/>
          <w:highlight w:val="none"/>
        </w:rPr>
      </w:pPr>
      <w:r>
        <w:rPr>
          <w:rFonts w:hint="eastAsia" w:ascii="宋体" w:hAnsi="宋体" w:cs="宋体"/>
          <w:sz w:val="24"/>
          <w:highlight w:val="none"/>
        </w:rPr>
        <w:t>6.1.6评审价的计算：</w:t>
      </w:r>
    </w:p>
    <w:p>
      <w:pPr>
        <w:rPr>
          <w:rFonts w:ascii="宋体" w:hAnsi="宋体" w:cs="宋体"/>
          <w:sz w:val="24"/>
          <w:highlight w:val="none"/>
        </w:rPr>
      </w:pPr>
      <w:r>
        <w:rPr>
          <w:rFonts w:hint="eastAsia" w:ascii="宋体" w:hAnsi="宋体" w:cs="宋体"/>
          <w:sz w:val="24"/>
          <w:highlight w:val="none"/>
        </w:rPr>
        <w:t>6.1.6.1供应商为非联合体的情况：</w:t>
      </w:r>
    </w:p>
    <w:p>
      <w:pPr>
        <w:ind w:firstLine="480" w:firstLineChars="200"/>
        <w:rPr>
          <w:rFonts w:ascii="宋体" w:hAnsi="宋体" w:cs="宋体"/>
          <w:sz w:val="24"/>
          <w:highlight w:val="none"/>
        </w:rPr>
      </w:pPr>
      <w:r>
        <w:rPr>
          <w:rFonts w:hint="eastAsia" w:ascii="宋体" w:hAnsi="宋体" w:cs="宋体"/>
          <w:sz w:val="24"/>
          <w:highlight w:val="none"/>
        </w:rPr>
        <w:t>小型企业、微型企业、监狱企业、残疾人福利性单位，其评审价=磋商最终报价*（1-</w:t>
      </w:r>
      <w:r>
        <w:rPr>
          <w:rFonts w:hint="eastAsia" w:ascii="宋体" w:hAnsi="宋体" w:cs="宋体"/>
          <w:sz w:val="24"/>
          <w:highlight w:val="none"/>
          <w:lang w:val="en-US" w:eastAsia="zh-CN"/>
        </w:rPr>
        <w:t>10</w:t>
      </w:r>
      <w:r>
        <w:rPr>
          <w:rFonts w:hint="eastAsia" w:ascii="宋体" w:hAnsi="宋体" w:cs="宋体"/>
          <w:sz w:val="24"/>
          <w:highlight w:val="none"/>
        </w:rPr>
        <w:t>%）；</w:t>
      </w:r>
    </w:p>
    <w:p>
      <w:pPr>
        <w:rPr>
          <w:rFonts w:ascii="宋体" w:hAnsi="宋体" w:cs="宋体"/>
          <w:sz w:val="24"/>
          <w:highlight w:val="none"/>
        </w:rPr>
      </w:pPr>
      <w:r>
        <w:rPr>
          <w:rFonts w:hint="eastAsia" w:ascii="宋体" w:hAnsi="宋体" w:cs="宋体"/>
          <w:sz w:val="24"/>
          <w:highlight w:val="none"/>
        </w:rPr>
        <w:t>6.1.6.2供应商为联合体报价且联合协议中约定小型、微型企业、监狱企业、残疾人福利性单位的协议合同金额占到联合体协议合同总金额30％以上的，按照以下规则进行评审价计算：其评审价=磋商最后报价*（1-</w:t>
      </w:r>
      <w:r>
        <w:rPr>
          <w:rFonts w:hint="eastAsia" w:ascii="宋体" w:hAnsi="宋体" w:cs="宋体"/>
          <w:sz w:val="24"/>
          <w:highlight w:val="none"/>
          <w:lang w:val="en-US" w:eastAsia="zh-CN"/>
        </w:rPr>
        <w:t>4</w:t>
      </w:r>
      <w:r>
        <w:rPr>
          <w:rFonts w:hint="eastAsia" w:ascii="宋体" w:hAnsi="宋体" w:cs="宋体"/>
          <w:sz w:val="24"/>
          <w:highlight w:val="none"/>
        </w:rPr>
        <w:t>%）；</w:t>
      </w:r>
    </w:p>
    <w:p>
      <w:pPr>
        <w:rPr>
          <w:rFonts w:ascii="宋体" w:hAnsi="宋体" w:cs="宋体"/>
          <w:sz w:val="24"/>
          <w:highlight w:val="none"/>
        </w:rPr>
      </w:pPr>
      <w:r>
        <w:rPr>
          <w:rFonts w:hint="eastAsia" w:ascii="宋体" w:hAnsi="宋体" w:cs="宋体"/>
          <w:sz w:val="24"/>
          <w:highlight w:val="none"/>
        </w:rPr>
        <w:t>6.1.6.3磋商服务涉及提供的所有磋商产品进入“节能产品政府采购清单” （且产品的国家节能产品认证证书在有效期内）的，其评审价=非节能产品最终报价+节能产品最终报价*（1-3%）；</w:t>
      </w:r>
    </w:p>
    <w:p>
      <w:pPr>
        <w:rPr>
          <w:rFonts w:ascii="宋体" w:hAnsi="宋体" w:cs="宋体"/>
          <w:sz w:val="24"/>
          <w:highlight w:val="none"/>
        </w:rPr>
      </w:pPr>
      <w:r>
        <w:rPr>
          <w:rFonts w:hint="eastAsia" w:ascii="宋体" w:hAnsi="宋体" w:cs="宋体"/>
          <w:sz w:val="24"/>
          <w:highlight w:val="none"/>
        </w:rPr>
        <w:t>6.1.6.4磋商服务涉及提供的所有磋商产品进入“环境标志产品政府采购清单”（且产品的中国环境标志产品认证证书在有效期内）的，其评审价=非环境标志产品最终报价+环境标志产品最终报价*（1-3%）；</w:t>
      </w:r>
    </w:p>
    <w:p>
      <w:pPr>
        <w:rPr>
          <w:rFonts w:ascii="宋体" w:hAnsi="宋体" w:cs="宋体"/>
          <w:b/>
          <w:bCs/>
          <w:sz w:val="32"/>
          <w:szCs w:val="32"/>
          <w:highlight w:val="none"/>
        </w:rPr>
      </w:pPr>
      <w:r>
        <w:rPr>
          <w:rFonts w:hint="eastAsia" w:ascii="宋体" w:hAnsi="宋体" w:cs="宋体"/>
          <w:sz w:val="24"/>
          <w:highlight w:val="none"/>
        </w:rPr>
        <w:t>6.2对于不享受以上政策性优惠价格调整的，其评审价=供应商提交的磋商最终报价。</w:t>
      </w:r>
    </w:p>
    <w:p>
      <w:pPr>
        <w:rPr>
          <w:rFonts w:ascii="宋体" w:hAnsi="宋体" w:cs="宋体"/>
          <w:b/>
          <w:bCs/>
          <w:sz w:val="36"/>
          <w:szCs w:val="36"/>
          <w:highlight w:val="none"/>
        </w:rPr>
      </w:pPr>
      <w:r>
        <w:rPr>
          <w:rFonts w:hint="eastAsia" w:ascii="宋体" w:hAnsi="宋体" w:cs="宋体"/>
          <w:b/>
          <w:bCs/>
          <w:sz w:val="36"/>
          <w:szCs w:val="36"/>
          <w:highlight w:val="none"/>
        </w:rPr>
        <w:br w:type="page"/>
      </w:r>
    </w:p>
    <w:p>
      <w:pPr>
        <w:spacing w:line="360" w:lineRule="auto"/>
        <w:jc w:val="center"/>
        <w:outlineLvl w:val="0"/>
        <w:rPr>
          <w:rFonts w:ascii="宋体" w:hAnsi="宋体" w:cs="宋体"/>
          <w:b/>
          <w:sz w:val="36"/>
          <w:szCs w:val="36"/>
          <w:highlight w:val="none"/>
        </w:rPr>
      </w:pPr>
      <w:bookmarkStart w:id="88" w:name="_Toc1884"/>
      <w:r>
        <w:rPr>
          <w:rFonts w:hint="eastAsia" w:ascii="宋体" w:hAnsi="宋体" w:cs="宋体"/>
          <w:b/>
          <w:bCs/>
          <w:sz w:val="36"/>
          <w:szCs w:val="36"/>
          <w:highlight w:val="none"/>
        </w:rPr>
        <w:t>第六部分  竞争性磋商响应文件格式</w:t>
      </w:r>
      <w:bookmarkEnd w:id="64"/>
      <w:bookmarkEnd w:id="65"/>
      <w:bookmarkEnd w:id="66"/>
      <w:bookmarkEnd w:id="69"/>
      <w:bookmarkEnd w:id="88"/>
    </w:p>
    <w:p>
      <w:pPr>
        <w:spacing w:line="360" w:lineRule="auto"/>
        <w:ind w:firstLine="723" w:firstLineChars="200"/>
        <w:jc w:val="center"/>
        <w:rPr>
          <w:rFonts w:ascii="宋体" w:hAnsi="宋体" w:cs="宋体"/>
          <w:b/>
          <w:sz w:val="36"/>
          <w:szCs w:val="36"/>
          <w:highlight w:val="none"/>
        </w:rPr>
      </w:pPr>
    </w:p>
    <w:p>
      <w:pPr>
        <w:adjustRightInd w:val="0"/>
        <w:snapToGrid w:val="0"/>
        <w:spacing w:line="360" w:lineRule="auto"/>
        <w:ind w:right="600"/>
        <w:jc w:val="right"/>
        <w:rPr>
          <w:rFonts w:ascii="宋体" w:hAnsi="宋体" w:cs="宋体"/>
          <w:b/>
          <w:sz w:val="28"/>
          <w:szCs w:val="28"/>
          <w:highlight w:val="none"/>
        </w:rPr>
      </w:pPr>
      <w:bookmarkStart w:id="89" w:name="_Toc25996_WPSOffice_Level1"/>
      <w:bookmarkStart w:id="90" w:name="_Toc5592_WPSOffice_Level1"/>
      <w:bookmarkStart w:id="91" w:name="_Toc10930_WPSOffice_Level1"/>
      <w:r>
        <w:rPr>
          <w:rFonts w:hint="eastAsia" w:ascii="宋体" w:hAnsi="宋体" w:cs="宋体"/>
          <w:b/>
          <w:sz w:val="28"/>
          <w:szCs w:val="28"/>
          <w:highlight w:val="none"/>
        </w:rPr>
        <w:t xml:space="preserve"> </w:t>
      </w:r>
      <w:bookmarkStart w:id="92" w:name="_Toc31490_WPSOffice_Level2"/>
      <w:bookmarkStart w:id="93" w:name="_Toc5255_WPSOffice_Level3"/>
      <w:bookmarkStart w:id="94" w:name="_Toc32126_WPSOffice_Level2"/>
      <w:r>
        <w:rPr>
          <w:rFonts w:hint="eastAsia" w:ascii="宋体" w:hAnsi="宋体" w:cs="宋体"/>
          <w:b/>
          <w:sz w:val="28"/>
          <w:szCs w:val="28"/>
          <w:highlight w:val="none"/>
        </w:rPr>
        <w:t>（正本或副本）</w:t>
      </w:r>
      <w:bookmarkEnd w:id="92"/>
      <w:bookmarkEnd w:id="93"/>
      <w:bookmarkEnd w:id="94"/>
    </w:p>
    <w:p>
      <w:pPr>
        <w:wordWrap w:val="0"/>
        <w:spacing w:line="360" w:lineRule="auto"/>
        <w:ind w:right="980"/>
        <w:rPr>
          <w:rFonts w:ascii="宋体" w:hAnsi="宋体" w:cs="宋体"/>
          <w:b/>
          <w:sz w:val="28"/>
          <w:szCs w:val="28"/>
          <w:highlight w:val="none"/>
        </w:rPr>
      </w:pPr>
      <w:bookmarkStart w:id="95" w:name="_Toc20551_WPSOffice_Level3"/>
      <w:r>
        <w:rPr>
          <w:rFonts w:hint="eastAsia" w:ascii="宋体" w:hAnsi="宋体" w:cs="宋体"/>
          <w:b/>
          <w:sz w:val="28"/>
          <w:szCs w:val="28"/>
          <w:highlight w:val="none"/>
        </w:rPr>
        <w:t>项目编号:</w:t>
      </w:r>
      <w:bookmarkEnd w:id="95"/>
      <w:r>
        <w:rPr>
          <w:rFonts w:hint="eastAsia" w:ascii="宋体" w:hAnsi="宋体" w:cs="宋体"/>
          <w:b/>
          <w:sz w:val="28"/>
          <w:szCs w:val="28"/>
          <w:highlight w:val="none"/>
        </w:rPr>
        <w:t xml:space="preserve">                 </w:t>
      </w:r>
    </w:p>
    <w:p>
      <w:pPr>
        <w:spacing w:line="360" w:lineRule="auto"/>
        <w:rPr>
          <w:rFonts w:ascii="宋体" w:hAnsi="宋体" w:cs="宋体"/>
          <w:b/>
          <w:sz w:val="24"/>
          <w:highlight w:val="none"/>
        </w:rPr>
      </w:pPr>
    </w:p>
    <w:p>
      <w:pPr>
        <w:adjustRightInd w:val="0"/>
        <w:snapToGrid w:val="0"/>
        <w:spacing w:line="360" w:lineRule="auto"/>
        <w:jc w:val="center"/>
        <w:rPr>
          <w:rFonts w:ascii="宋体" w:hAnsi="宋体" w:cs="宋体"/>
          <w:bCs/>
          <w:sz w:val="48"/>
          <w:szCs w:val="48"/>
          <w:highlight w:val="none"/>
        </w:rPr>
      </w:pPr>
      <w:r>
        <w:rPr>
          <w:rFonts w:hint="eastAsia" w:ascii="宋体" w:hAnsi="宋体" w:cs="宋体"/>
          <w:bCs/>
          <w:sz w:val="48"/>
          <w:szCs w:val="48"/>
          <w:highlight w:val="none"/>
          <w:u w:val="single"/>
        </w:rPr>
        <w:t xml:space="preserve">                          </w:t>
      </w:r>
      <w:bookmarkStart w:id="96" w:name="_Toc23337_WPSOffice_Level2"/>
      <w:bookmarkStart w:id="97" w:name="_Toc21042_WPSOffice_Level2"/>
      <w:bookmarkStart w:id="98" w:name="_Toc12882_WPSOffice_Level2"/>
      <w:r>
        <w:rPr>
          <w:rFonts w:hint="eastAsia" w:ascii="宋体" w:hAnsi="宋体" w:cs="宋体"/>
          <w:bCs/>
          <w:sz w:val="48"/>
          <w:szCs w:val="48"/>
          <w:highlight w:val="none"/>
        </w:rPr>
        <w:t>项目</w:t>
      </w:r>
      <w:bookmarkEnd w:id="96"/>
      <w:bookmarkEnd w:id="97"/>
      <w:bookmarkEnd w:id="98"/>
    </w:p>
    <w:p>
      <w:pPr>
        <w:adjustRightInd w:val="0"/>
        <w:snapToGrid w:val="0"/>
        <w:spacing w:line="360" w:lineRule="auto"/>
        <w:jc w:val="center"/>
        <w:rPr>
          <w:rFonts w:ascii="宋体" w:hAnsi="宋体" w:cs="宋体"/>
          <w:bCs/>
          <w:sz w:val="48"/>
          <w:szCs w:val="48"/>
          <w:highlight w:val="none"/>
        </w:rPr>
      </w:pPr>
    </w:p>
    <w:p>
      <w:pPr>
        <w:adjustRightInd w:val="0"/>
        <w:snapToGrid w:val="0"/>
        <w:spacing w:line="360" w:lineRule="auto"/>
        <w:jc w:val="center"/>
        <w:rPr>
          <w:rFonts w:ascii="宋体" w:hAnsi="宋体" w:cs="宋体"/>
          <w:bCs/>
          <w:sz w:val="48"/>
          <w:szCs w:val="48"/>
          <w:highlight w:val="none"/>
        </w:rPr>
      </w:pPr>
    </w:p>
    <w:p>
      <w:pPr>
        <w:adjustRightInd w:val="0"/>
        <w:snapToGrid w:val="0"/>
        <w:spacing w:line="360" w:lineRule="auto"/>
        <w:jc w:val="center"/>
        <w:rPr>
          <w:rFonts w:ascii="宋体" w:hAnsi="宋体" w:cs="宋体"/>
          <w:bCs/>
          <w:sz w:val="48"/>
          <w:szCs w:val="48"/>
          <w:highlight w:val="none"/>
        </w:rPr>
      </w:pPr>
    </w:p>
    <w:p>
      <w:pPr>
        <w:adjustRightInd w:val="0"/>
        <w:snapToGrid w:val="0"/>
        <w:spacing w:line="360" w:lineRule="auto"/>
        <w:jc w:val="center"/>
        <w:rPr>
          <w:rFonts w:ascii="宋体" w:hAnsi="宋体" w:cs="宋体"/>
          <w:b/>
          <w:sz w:val="48"/>
          <w:szCs w:val="48"/>
          <w:highlight w:val="none"/>
        </w:rPr>
      </w:pPr>
      <w:bookmarkStart w:id="99" w:name="_Toc708_WPSOffice_Level2"/>
      <w:bookmarkStart w:id="100" w:name="_Toc18421_WPSOffice_Level2"/>
      <w:bookmarkStart w:id="101" w:name="_Toc8413_WPSOffice_Level2"/>
      <w:r>
        <w:rPr>
          <w:rFonts w:hint="eastAsia" w:ascii="宋体" w:hAnsi="宋体" w:cs="宋体"/>
          <w:b/>
          <w:sz w:val="48"/>
          <w:szCs w:val="48"/>
          <w:highlight w:val="none"/>
        </w:rPr>
        <w:t>竞争性磋商响应文件</w:t>
      </w:r>
      <w:bookmarkEnd w:id="99"/>
      <w:bookmarkEnd w:id="100"/>
      <w:bookmarkEnd w:id="101"/>
    </w:p>
    <w:p>
      <w:pPr>
        <w:adjustRightInd w:val="0"/>
        <w:snapToGrid w:val="0"/>
        <w:spacing w:line="360" w:lineRule="auto"/>
        <w:jc w:val="center"/>
        <w:rPr>
          <w:rFonts w:hint="eastAsia" w:ascii="宋体" w:hAnsi="宋体" w:eastAsia="宋体" w:cs="宋体"/>
          <w:b/>
          <w:sz w:val="30"/>
          <w:highlight w:val="none"/>
          <w:lang w:eastAsia="zh-CN"/>
        </w:rPr>
      </w:pPr>
      <w:r>
        <w:rPr>
          <w:rFonts w:hint="eastAsia" w:ascii="宋体" w:hAnsi="宋体" w:cs="宋体"/>
          <w:b/>
          <w:sz w:val="30"/>
          <w:highlight w:val="none"/>
          <w:lang w:eastAsia="zh-CN"/>
        </w:rPr>
        <w:t>（第</w:t>
      </w:r>
      <w:r>
        <w:rPr>
          <w:rFonts w:hint="eastAsia" w:ascii="宋体" w:hAnsi="宋体" w:cs="宋体"/>
          <w:b/>
          <w:sz w:val="30"/>
          <w:highlight w:val="none"/>
          <w:lang w:val="en-US" w:eastAsia="zh-CN"/>
        </w:rPr>
        <w:t>X包</w:t>
      </w:r>
      <w:r>
        <w:rPr>
          <w:rFonts w:hint="eastAsia" w:ascii="宋体" w:hAnsi="宋体" w:cs="宋体"/>
          <w:b/>
          <w:sz w:val="30"/>
          <w:highlight w:val="none"/>
          <w:lang w:eastAsia="zh-CN"/>
        </w:rPr>
        <w:t>）</w:t>
      </w:r>
    </w:p>
    <w:p>
      <w:pPr>
        <w:adjustRightInd w:val="0"/>
        <w:snapToGrid w:val="0"/>
        <w:spacing w:line="360" w:lineRule="auto"/>
        <w:rPr>
          <w:rFonts w:ascii="宋体" w:hAnsi="宋体" w:cs="宋体"/>
          <w:b/>
          <w:sz w:val="30"/>
          <w:highlight w:val="none"/>
        </w:rPr>
      </w:pPr>
    </w:p>
    <w:p>
      <w:pPr>
        <w:pStyle w:val="15"/>
        <w:rPr>
          <w:rFonts w:ascii="宋体" w:hAnsi="宋体" w:cs="宋体"/>
          <w:b/>
          <w:sz w:val="30"/>
          <w:highlight w:val="none"/>
        </w:rPr>
      </w:pPr>
    </w:p>
    <w:p>
      <w:pPr>
        <w:pStyle w:val="15"/>
        <w:rPr>
          <w:rFonts w:ascii="宋体" w:hAnsi="宋体" w:cs="宋体"/>
          <w:b/>
          <w:sz w:val="30"/>
          <w:highlight w:val="none"/>
        </w:rPr>
      </w:pPr>
    </w:p>
    <w:p>
      <w:pPr>
        <w:pStyle w:val="15"/>
        <w:rPr>
          <w:rFonts w:ascii="宋体" w:hAnsi="宋体" w:cs="宋体"/>
          <w:b/>
          <w:sz w:val="30"/>
          <w:highlight w:val="none"/>
        </w:rPr>
      </w:pPr>
    </w:p>
    <w:p>
      <w:pPr>
        <w:ind w:firstLine="1506" w:firstLineChars="500"/>
        <w:rPr>
          <w:rFonts w:ascii="宋体" w:hAnsi="宋体" w:cs="宋体"/>
          <w:b/>
          <w:sz w:val="30"/>
          <w:szCs w:val="30"/>
          <w:highlight w:val="none"/>
        </w:rPr>
      </w:pPr>
      <w:r>
        <w:rPr>
          <w:rFonts w:hint="eastAsia" w:ascii="宋体" w:hAnsi="宋体" w:cs="宋体"/>
          <w:b/>
          <w:sz w:val="30"/>
          <w:szCs w:val="30"/>
          <w:highlight w:val="none"/>
        </w:rPr>
        <w:t>供应商名称：</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（公章）</w:t>
      </w:r>
    </w:p>
    <w:p>
      <w:pPr>
        <w:ind w:firstLine="1506" w:firstLineChars="500"/>
        <w:rPr>
          <w:rFonts w:ascii="宋体" w:hAnsi="宋体" w:cs="宋体"/>
          <w:b/>
          <w:sz w:val="30"/>
          <w:szCs w:val="30"/>
          <w:highlight w:val="none"/>
        </w:rPr>
      </w:pPr>
      <w:r>
        <w:rPr>
          <w:rFonts w:hint="eastAsia" w:ascii="宋体" w:hAnsi="宋体" w:cs="宋体"/>
          <w:b/>
          <w:sz w:val="30"/>
          <w:szCs w:val="30"/>
          <w:highlight w:val="none"/>
        </w:rPr>
        <w:t>法定代表人</w:t>
      </w:r>
    </w:p>
    <w:p>
      <w:pPr>
        <w:ind w:firstLine="1506" w:firstLineChars="500"/>
        <w:rPr>
          <w:rFonts w:ascii="宋体" w:hAnsi="宋体" w:cs="宋体"/>
          <w:b/>
          <w:sz w:val="30"/>
          <w:szCs w:val="30"/>
          <w:highlight w:val="none"/>
        </w:rPr>
      </w:pPr>
      <w:r>
        <w:rPr>
          <w:rFonts w:hint="eastAsia" w:ascii="宋体" w:hAnsi="宋体" w:cs="宋体"/>
          <w:b/>
          <w:sz w:val="30"/>
          <w:szCs w:val="30"/>
          <w:highlight w:val="none"/>
        </w:rPr>
        <w:t>或授权代表：</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（签字或盖章）</w:t>
      </w:r>
    </w:p>
    <w:p>
      <w:pPr>
        <w:ind w:firstLine="1506" w:firstLineChars="500"/>
        <w:rPr>
          <w:rFonts w:ascii="宋体" w:hAnsi="宋体" w:cs="宋体"/>
          <w:b/>
          <w:sz w:val="30"/>
          <w:szCs w:val="30"/>
          <w:highlight w:val="none"/>
        </w:rPr>
      </w:pPr>
      <w:r>
        <w:rPr>
          <w:rFonts w:hint="eastAsia" w:ascii="宋体" w:hAnsi="宋体" w:cs="宋体"/>
          <w:b/>
          <w:sz w:val="30"/>
          <w:szCs w:val="30"/>
          <w:highlight w:val="none"/>
        </w:rPr>
        <w:t>日      期：</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年</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月</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日</w:t>
      </w:r>
    </w:p>
    <w:p>
      <w:pPr>
        <w:pStyle w:val="51"/>
        <w:ind w:firstLine="0" w:firstLineChars="0"/>
        <w:rPr>
          <w:rFonts w:ascii="宋体" w:hAnsi="宋体" w:cs="宋体"/>
          <w:highlight w:val="none"/>
        </w:rPr>
      </w:pPr>
    </w:p>
    <w:p>
      <w:pPr>
        <w:pStyle w:val="51"/>
        <w:ind w:firstLine="0" w:firstLineChars="0"/>
        <w:rPr>
          <w:rFonts w:ascii="宋体" w:hAnsi="宋体" w:cs="宋体"/>
          <w:highlight w:val="none"/>
        </w:rPr>
      </w:pPr>
    </w:p>
    <w:p>
      <w:pPr>
        <w:pStyle w:val="51"/>
        <w:ind w:firstLine="0" w:firstLineChars="0"/>
        <w:rPr>
          <w:rFonts w:ascii="宋体" w:hAnsi="宋体" w:cs="宋体"/>
          <w:highlight w:val="none"/>
        </w:rPr>
      </w:pPr>
    </w:p>
    <w:p>
      <w:pPr>
        <w:pStyle w:val="51"/>
        <w:ind w:firstLine="0" w:firstLineChars="0"/>
        <w:rPr>
          <w:rFonts w:ascii="宋体" w:hAnsi="宋体" w:cs="宋体"/>
          <w:highlight w:val="none"/>
        </w:rPr>
      </w:pPr>
    </w:p>
    <w:p>
      <w:pPr>
        <w:spacing w:line="360" w:lineRule="auto"/>
        <w:ind w:left="221" w:hanging="221" w:hangingChars="50"/>
        <w:jc w:val="center"/>
        <w:rPr>
          <w:rFonts w:ascii="宋体" w:hAnsi="宋体" w:cs="宋体"/>
          <w:b/>
          <w:bCs/>
          <w:sz w:val="44"/>
          <w:szCs w:val="44"/>
          <w:highlight w:val="none"/>
        </w:rPr>
      </w:pPr>
      <w:r>
        <w:rPr>
          <w:rFonts w:hint="eastAsia" w:ascii="宋体" w:hAnsi="宋体" w:cs="宋体"/>
          <w:b/>
          <w:bCs/>
          <w:sz w:val="44"/>
          <w:szCs w:val="44"/>
          <w:highlight w:val="none"/>
        </w:rPr>
        <w:t>目      录</w:t>
      </w:r>
    </w:p>
    <w:p>
      <w:pPr>
        <w:spacing w:line="360" w:lineRule="auto"/>
        <w:ind w:left="420"/>
        <w:rPr>
          <w:rFonts w:ascii="宋体" w:hAnsi="宋体" w:cs="宋体"/>
          <w:sz w:val="36"/>
          <w:szCs w:val="36"/>
          <w:highlight w:val="none"/>
        </w:rPr>
      </w:pP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磋商函…………………………………………（页码）</w:t>
      </w: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法定代表人证明书……………………………（页码）</w:t>
      </w: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法人授权委托书………………………………（页码）</w:t>
      </w: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报价表…………………………………………（页码）</w:t>
      </w: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近</w:t>
      </w:r>
      <w:r>
        <w:rPr>
          <w:rFonts w:hint="eastAsia" w:ascii="宋体" w:hAnsi="宋体" w:cs="宋体"/>
          <w:sz w:val="28"/>
          <w:szCs w:val="28"/>
          <w:highlight w:val="none"/>
          <w:lang w:val="en-US" w:eastAsia="zh-CN"/>
        </w:rPr>
        <w:t>三</w:t>
      </w:r>
      <w:r>
        <w:rPr>
          <w:rFonts w:hint="eastAsia" w:ascii="宋体" w:hAnsi="宋体" w:cs="宋体"/>
          <w:sz w:val="28"/>
          <w:szCs w:val="28"/>
          <w:highlight w:val="none"/>
        </w:rPr>
        <w:t>年承接的类似项目情况表………………（页码）</w:t>
      </w: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技术组织方案…………………………………（页码）</w:t>
      </w:r>
    </w:p>
    <w:p>
      <w:pPr>
        <w:pStyle w:val="7"/>
        <w:ind w:firstLine="1192" w:firstLineChars="426"/>
        <w:rPr>
          <w:rFonts w:ascii="宋体" w:hAnsi="宋体" w:eastAsia="宋体" w:cs="宋体"/>
          <w:b w:val="0"/>
          <w:bCs w:val="0"/>
          <w:highlight w:val="none"/>
        </w:rPr>
      </w:pPr>
      <w:r>
        <w:rPr>
          <w:rFonts w:hint="eastAsia" w:ascii="宋体" w:hAnsi="宋体" w:eastAsia="宋体" w:cs="宋体"/>
          <w:b w:val="0"/>
          <w:bCs w:val="0"/>
          <w:highlight w:val="none"/>
        </w:rPr>
        <w:t>增加二级目录…………………………………（页码）</w:t>
      </w: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技术和商务响应说明…………………………（页码）</w:t>
      </w: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资格证明文件…………………………………（页码）</w:t>
      </w:r>
    </w:p>
    <w:p>
      <w:pPr>
        <w:pStyle w:val="7"/>
        <w:ind w:firstLine="1192" w:firstLineChars="426"/>
        <w:rPr>
          <w:rFonts w:ascii="宋体" w:hAnsi="宋体" w:eastAsia="宋体" w:cs="宋体"/>
          <w:b w:val="0"/>
          <w:bCs w:val="0"/>
          <w:highlight w:val="none"/>
        </w:rPr>
      </w:pPr>
      <w:r>
        <w:rPr>
          <w:rFonts w:hint="eastAsia" w:ascii="宋体" w:hAnsi="宋体" w:eastAsia="宋体" w:cs="宋体"/>
          <w:b w:val="0"/>
          <w:bCs w:val="0"/>
          <w:highlight w:val="none"/>
        </w:rPr>
        <w:t>增加二级目录…………………………………（页码）</w:t>
      </w:r>
    </w:p>
    <w:p>
      <w:pPr>
        <w:numPr>
          <w:ilvl w:val="0"/>
          <w:numId w:val="5"/>
        </w:numPr>
        <w:spacing w:line="360" w:lineRule="auto"/>
        <w:ind w:firstLine="638" w:firstLineChars="228"/>
        <w:rPr>
          <w:rFonts w:ascii="宋体" w:hAnsi="宋体" w:cs="宋体"/>
          <w:sz w:val="28"/>
          <w:szCs w:val="28"/>
          <w:highlight w:val="none"/>
        </w:rPr>
      </w:pPr>
      <w:r>
        <w:rPr>
          <w:rFonts w:hint="eastAsia" w:ascii="宋体" w:hAnsi="宋体" w:cs="宋体"/>
          <w:sz w:val="28"/>
          <w:szCs w:val="28"/>
          <w:highlight w:val="none"/>
        </w:rPr>
        <w:t>其他资料………………………………………（页码）</w:t>
      </w:r>
    </w:p>
    <w:p>
      <w:pPr>
        <w:spacing w:line="360" w:lineRule="auto"/>
        <w:jc w:val="center"/>
        <w:outlineLvl w:val="1"/>
        <w:rPr>
          <w:rFonts w:ascii="宋体" w:hAnsi="宋体" w:cs="宋体"/>
          <w:b/>
          <w:bCs/>
          <w:sz w:val="24"/>
          <w:highlight w:val="none"/>
        </w:rPr>
      </w:pPr>
      <w:r>
        <w:rPr>
          <w:rFonts w:hint="eastAsia" w:ascii="宋体" w:hAnsi="宋体" w:cs="宋体"/>
          <w:bCs/>
          <w:sz w:val="30"/>
          <w:szCs w:val="30"/>
          <w:highlight w:val="none"/>
        </w:rPr>
        <w:br w:type="page"/>
      </w:r>
      <w:bookmarkEnd w:id="89"/>
      <w:bookmarkEnd w:id="90"/>
      <w:bookmarkEnd w:id="91"/>
      <w:bookmarkStart w:id="102" w:name="_Toc14777"/>
      <w:r>
        <w:rPr>
          <w:rFonts w:hint="eastAsia" w:ascii="宋体" w:hAnsi="宋体" w:cs="宋体"/>
          <w:bCs/>
          <w:sz w:val="28"/>
          <w:szCs w:val="28"/>
          <w:highlight w:val="none"/>
        </w:rPr>
        <w:t>一、</w:t>
      </w:r>
      <w:r>
        <w:rPr>
          <w:rFonts w:hint="eastAsia" w:ascii="宋体" w:hAnsi="宋体" w:cs="宋体"/>
          <w:b/>
          <w:bCs/>
          <w:sz w:val="28"/>
          <w:szCs w:val="28"/>
          <w:highlight w:val="none"/>
        </w:rPr>
        <w:t>磋商函</w:t>
      </w:r>
      <w:bookmarkEnd w:id="102"/>
    </w:p>
    <w:p>
      <w:pPr>
        <w:spacing w:line="360" w:lineRule="auto"/>
        <w:rPr>
          <w:rFonts w:ascii="宋体" w:hAnsi="宋体" w:cs="宋体"/>
          <w:sz w:val="24"/>
          <w:szCs w:val="24"/>
          <w:highlight w:val="none"/>
        </w:rPr>
      </w:pPr>
      <w:r>
        <w:rPr>
          <w:rFonts w:hint="eastAsia" w:ascii="宋体" w:hAnsi="宋体" w:cs="宋体"/>
          <w:sz w:val="24"/>
          <w:szCs w:val="24"/>
          <w:highlight w:val="none"/>
          <w:lang w:eastAsia="zh-CN"/>
        </w:rPr>
        <w:t>陕西正宇信工程项目管理有限公司</w:t>
      </w:r>
      <w:r>
        <w:rPr>
          <w:rFonts w:hint="eastAsia" w:ascii="宋体" w:hAnsi="宋体" w:cs="宋体"/>
          <w:sz w:val="24"/>
          <w:szCs w:val="24"/>
          <w:highlight w:val="none"/>
        </w:rPr>
        <w:t>：</w:t>
      </w:r>
    </w:p>
    <w:p>
      <w:pPr>
        <w:autoSpaceDE w:val="0"/>
        <w:autoSpaceDN w:val="0"/>
        <w:adjustRightInd w:val="0"/>
        <w:spacing w:line="360" w:lineRule="auto"/>
        <w:ind w:left="19" w:leftChars="9" w:firstLine="700" w:firstLineChars="292"/>
        <w:rPr>
          <w:rFonts w:ascii="宋体" w:hAnsi="宋体" w:cs="宋体"/>
          <w:sz w:val="24"/>
          <w:szCs w:val="24"/>
          <w:highlight w:val="none"/>
        </w:rPr>
      </w:pPr>
      <w:r>
        <w:rPr>
          <w:rFonts w:hint="eastAsia" w:ascii="宋体" w:hAnsi="宋体" w:cs="宋体"/>
          <w:sz w:val="24"/>
          <w:szCs w:val="24"/>
          <w:highlight w:val="none"/>
          <w:lang w:val="zh-CN"/>
        </w:rPr>
        <w:t>经我单位详细研究，我们决定参加</w:t>
      </w:r>
      <w:r>
        <w:rPr>
          <w:rFonts w:hint="eastAsia" w:ascii="宋体" w:hAnsi="宋体" w:cs="宋体"/>
          <w:sz w:val="24"/>
          <w:szCs w:val="24"/>
          <w:highlight w:val="none"/>
          <w:u w:val="single"/>
        </w:rPr>
        <w:t xml:space="preserve">  项目名称：  项目编号：</w:t>
      </w:r>
      <w:r>
        <w:rPr>
          <w:rFonts w:hint="eastAsia" w:ascii="宋体" w:hAnsi="宋体" w:cs="宋体"/>
          <w:sz w:val="24"/>
          <w:szCs w:val="24"/>
          <w:highlight w:val="none"/>
          <w:u w:val="single"/>
          <w:lang w:val="en-US" w:eastAsia="zh-CN"/>
        </w:rPr>
        <w:t xml:space="preserve"> 包号：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磋商</w:t>
      </w:r>
      <w:r>
        <w:rPr>
          <w:rFonts w:hint="eastAsia" w:ascii="宋体" w:hAnsi="宋体" w:cs="宋体"/>
          <w:sz w:val="24"/>
          <w:szCs w:val="24"/>
          <w:highlight w:val="none"/>
          <w:lang w:val="zh-CN"/>
        </w:rPr>
        <w:t>。为此，我方郑重声明以下诸点，并负法律责任。</w:t>
      </w:r>
    </w:p>
    <w:p>
      <w:pPr>
        <w:autoSpaceDE w:val="0"/>
        <w:autoSpaceDN w:val="0"/>
        <w:adjustRightInd w:val="0"/>
        <w:snapToGrid w:val="0"/>
        <w:spacing w:line="360" w:lineRule="auto"/>
        <w:ind w:firstLine="629"/>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zh-CN"/>
        </w:rPr>
        <w:t>、愿意按照竞争性磋商采购文件中的一切要求，提供磋商技术服务，完成合同的责任和义务。</w:t>
      </w:r>
    </w:p>
    <w:p>
      <w:pPr>
        <w:autoSpaceDE w:val="0"/>
        <w:autoSpaceDN w:val="0"/>
        <w:adjustRightInd w:val="0"/>
        <w:snapToGrid w:val="0"/>
        <w:spacing w:line="360" w:lineRule="auto"/>
        <w:ind w:firstLine="629"/>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zh-CN"/>
        </w:rPr>
        <w:t>、按竞争性磋商采购文件的规定，我公司的第一次磋商总报价为：人民币（</w:t>
      </w:r>
      <w:r>
        <w:rPr>
          <w:rFonts w:hint="eastAsia" w:ascii="宋体" w:hAnsi="宋体" w:cs="宋体"/>
          <w:sz w:val="24"/>
          <w:szCs w:val="24"/>
          <w:highlight w:val="none"/>
          <w:u w:val="single"/>
          <w:lang w:val="zh-CN"/>
        </w:rPr>
        <w:t>大写）：（￥：元）</w:t>
      </w:r>
      <w:r>
        <w:rPr>
          <w:rFonts w:hint="eastAsia" w:ascii="宋体" w:hAnsi="宋体" w:cs="宋体"/>
          <w:sz w:val="24"/>
          <w:szCs w:val="24"/>
          <w:highlight w:val="none"/>
          <w:lang w:val="zh-CN"/>
        </w:rPr>
        <w:t>，并对其后的磋商报价负法律责任。</w:t>
      </w:r>
    </w:p>
    <w:p>
      <w:pPr>
        <w:autoSpaceDE w:val="0"/>
        <w:autoSpaceDN w:val="0"/>
        <w:adjustRightInd w:val="0"/>
        <w:snapToGrid w:val="0"/>
        <w:spacing w:line="360" w:lineRule="auto"/>
        <w:ind w:firstLine="629"/>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zh-CN"/>
        </w:rPr>
        <w:t>、我方提交的磋商响应文件正本一份、副本二份、电子标书一份。</w:t>
      </w:r>
    </w:p>
    <w:p>
      <w:pPr>
        <w:autoSpaceDE w:val="0"/>
        <w:autoSpaceDN w:val="0"/>
        <w:adjustRightInd w:val="0"/>
        <w:snapToGrid w:val="0"/>
        <w:spacing w:line="360" w:lineRule="auto"/>
        <w:ind w:firstLine="629"/>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zh-CN"/>
        </w:rPr>
        <w:t>、我方已详细阅读了竞争性磋商采购文件，完全理解并放弃提出含糊不清或易形成歧义的表述和资料。</w:t>
      </w:r>
    </w:p>
    <w:p>
      <w:pPr>
        <w:autoSpaceDE w:val="0"/>
        <w:autoSpaceDN w:val="0"/>
        <w:adjustRightInd w:val="0"/>
        <w:snapToGrid w:val="0"/>
        <w:spacing w:line="360" w:lineRule="auto"/>
        <w:ind w:firstLine="629"/>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val="zh-CN"/>
        </w:rPr>
        <w:t>、磋商后在规定的有效期内撤回磋商，我方愿接受政府采购的有关处罚决定。</w:t>
      </w:r>
    </w:p>
    <w:p>
      <w:pPr>
        <w:autoSpaceDE w:val="0"/>
        <w:autoSpaceDN w:val="0"/>
        <w:adjustRightInd w:val="0"/>
        <w:snapToGrid w:val="0"/>
        <w:spacing w:line="360" w:lineRule="auto"/>
        <w:ind w:firstLine="629"/>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val="zh-CN"/>
        </w:rPr>
        <w:t>、同意向贵方提供可能要求的，与本次磋商有关的任何证据或资料，且尊重磋商小组的评审结论和结果。我们完全理解最低磋商报价不作为成交的唯一条件，且尊重磋商小组的评审结论和成交结果。</w:t>
      </w:r>
    </w:p>
    <w:p>
      <w:pPr>
        <w:autoSpaceDE w:val="0"/>
        <w:autoSpaceDN w:val="0"/>
        <w:adjustRightInd w:val="0"/>
        <w:snapToGrid w:val="0"/>
        <w:spacing w:line="360" w:lineRule="auto"/>
        <w:ind w:firstLine="629"/>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val="zh-CN"/>
        </w:rPr>
        <w:t>、我方的磋商响应文件在磋商后有效期为</w:t>
      </w:r>
      <w:r>
        <w:rPr>
          <w:rFonts w:hint="eastAsia" w:ascii="宋体" w:hAnsi="宋体" w:cs="宋体"/>
          <w:sz w:val="24"/>
          <w:szCs w:val="24"/>
          <w:highlight w:val="none"/>
        </w:rPr>
        <w:t>90</w:t>
      </w:r>
      <w:r>
        <w:rPr>
          <w:rFonts w:hint="eastAsia" w:ascii="宋体" w:hAnsi="宋体" w:cs="宋体"/>
          <w:sz w:val="24"/>
          <w:szCs w:val="24"/>
          <w:highlight w:val="none"/>
          <w:lang w:val="zh-CN"/>
        </w:rPr>
        <w:t>个日历天，若我方成交，磋商响应文件有效期延长至合同执行完毕。</w:t>
      </w:r>
    </w:p>
    <w:p>
      <w:pPr>
        <w:autoSpaceDE w:val="0"/>
        <w:autoSpaceDN w:val="0"/>
        <w:adjustRightInd w:val="0"/>
        <w:snapToGrid w:val="0"/>
        <w:spacing w:line="360" w:lineRule="auto"/>
        <w:ind w:firstLine="629"/>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zh-CN"/>
        </w:rPr>
        <w:t>、有关于本磋商采购文件的函电，请按下列地址联系。</w:t>
      </w:r>
    </w:p>
    <w:p>
      <w:pPr>
        <w:autoSpaceDE w:val="0"/>
        <w:autoSpaceDN w:val="0"/>
        <w:adjustRightInd w:val="0"/>
        <w:spacing w:line="360" w:lineRule="auto"/>
        <w:ind w:firstLine="1440" w:firstLineChars="600"/>
        <w:rPr>
          <w:rFonts w:ascii="宋体" w:hAnsi="宋体" w:cs="宋体"/>
          <w:sz w:val="24"/>
          <w:szCs w:val="24"/>
          <w:highlight w:val="none"/>
          <w:lang w:val="zh-CN"/>
        </w:rPr>
      </w:pPr>
    </w:p>
    <w:p>
      <w:pPr>
        <w:wordWrap w:val="0"/>
        <w:autoSpaceDE w:val="0"/>
        <w:autoSpaceDN w:val="0"/>
        <w:adjustRightInd w:val="0"/>
        <w:spacing w:line="360" w:lineRule="auto"/>
        <w:ind w:firstLine="1440" w:firstLineChars="600"/>
        <w:jc w:val="right"/>
        <w:rPr>
          <w:rFonts w:ascii="宋体" w:hAnsi="宋体" w:cs="宋体"/>
          <w:sz w:val="24"/>
          <w:szCs w:val="24"/>
          <w:highlight w:val="none"/>
          <w:u w:val="single"/>
        </w:rPr>
      </w:pPr>
      <w:r>
        <w:rPr>
          <w:rFonts w:hint="eastAsia" w:ascii="宋体" w:hAnsi="宋体" w:cs="宋体"/>
          <w:sz w:val="24"/>
          <w:szCs w:val="24"/>
          <w:highlight w:val="none"/>
          <w:lang w:val="zh-CN"/>
        </w:rPr>
        <w:t>供应商</w:t>
      </w:r>
      <w:r>
        <w:rPr>
          <w:rFonts w:hint="eastAsia" w:ascii="宋体" w:hAnsi="宋体" w:cs="宋体"/>
          <w:sz w:val="24"/>
          <w:szCs w:val="24"/>
          <w:highlight w:val="none"/>
        </w:rPr>
        <w:t>名称</w:t>
      </w:r>
      <w:r>
        <w:rPr>
          <w:rFonts w:hint="eastAsia" w:ascii="宋体" w:hAnsi="宋体" w:cs="宋体"/>
          <w:sz w:val="24"/>
          <w:szCs w:val="24"/>
          <w:highlight w:val="none"/>
          <w:lang w:val="zh-CN"/>
        </w:rPr>
        <w:t>（印章）：</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pPr>
        <w:wordWrap w:val="0"/>
        <w:autoSpaceDE w:val="0"/>
        <w:autoSpaceDN w:val="0"/>
        <w:adjustRightInd w:val="0"/>
        <w:spacing w:line="360" w:lineRule="auto"/>
        <w:ind w:firstLine="1440" w:firstLineChars="600"/>
        <w:jc w:val="right"/>
        <w:rPr>
          <w:rFonts w:ascii="宋体" w:hAnsi="宋体" w:cs="宋体"/>
          <w:sz w:val="24"/>
          <w:szCs w:val="24"/>
          <w:highlight w:val="none"/>
          <w:u w:val="single"/>
        </w:rPr>
      </w:pPr>
      <w:r>
        <w:rPr>
          <w:rFonts w:hint="eastAsia" w:ascii="宋体" w:hAnsi="宋体" w:cs="宋体"/>
          <w:sz w:val="24"/>
          <w:szCs w:val="24"/>
          <w:highlight w:val="none"/>
        </w:rPr>
        <w:t>法定代表人或委托代理人（签字或盖章）</w:t>
      </w:r>
      <w:r>
        <w:rPr>
          <w:rFonts w:hint="eastAsia" w:ascii="宋体" w:hAnsi="宋体" w:cs="宋体"/>
          <w:sz w:val="24"/>
          <w:szCs w:val="24"/>
          <w:highlight w:val="none"/>
          <w:lang w:val="zh-CN"/>
        </w:rPr>
        <w:t>：</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pPr>
        <w:pStyle w:val="51"/>
        <w:spacing w:line="360" w:lineRule="auto"/>
        <w:ind w:firstLine="3600" w:firstLineChars="1500"/>
        <w:jc w:val="right"/>
        <w:rPr>
          <w:rFonts w:ascii="宋体" w:hAnsi="宋体" w:cs="宋体"/>
          <w:sz w:val="24"/>
          <w:szCs w:val="24"/>
          <w:highlight w:val="none"/>
          <w:lang w:val="zh-CN"/>
        </w:rPr>
      </w:pP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日</w:t>
      </w:r>
    </w:p>
    <w:p>
      <w:pPr>
        <w:pStyle w:val="51"/>
        <w:ind w:firstLine="3150" w:firstLineChars="1500"/>
        <w:rPr>
          <w:rFonts w:ascii="宋体" w:hAnsi="宋体" w:cs="宋体"/>
          <w:szCs w:val="21"/>
          <w:highlight w:val="none"/>
          <w:lang w:val="zh-CN"/>
        </w:rPr>
      </w:pPr>
    </w:p>
    <w:p>
      <w:pPr>
        <w:pStyle w:val="51"/>
        <w:ind w:firstLine="3150" w:firstLineChars="1500"/>
        <w:rPr>
          <w:rFonts w:ascii="宋体" w:hAnsi="宋体" w:cs="宋体"/>
          <w:szCs w:val="21"/>
          <w:highlight w:val="none"/>
          <w:lang w:val="zh-CN"/>
        </w:rPr>
      </w:pPr>
    </w:p>
    <w:p>
      <w:pPr>
        <w:rPr>
          <w:rFonts w:hint="eastAsia" w:ascii="宋体" w:hAnsi="宋体" w:cs="宋体"/>
          <w:b/>
          <w:bCs/>
          <w:sz w:val="28"/>
          <w:szCs w:val="28"/>
          <w:highlight w:val="none"/>
        </w:rPr>
      </w:pPr>
      <w:bookmarkStart w:id="103" w:name="_Toc27570"/>
      <w:bookmarkStart w:id="104" w:name="_Toc28933_WPSOffice_Level2"/>
      <w:r>
        <w:rPr>
          <w:rFonts w:hint="eastAsia" w:ascii="宋体" w:hAnsi="宋体" w:cs="宋体"/>
          <w:b/>
          <w:bCs/>
          <w:sz w:val="28"/>
          <w:szCs w:val="28"/>
          <w:highlight w:val="none"/>
        </w:rPr>
        <w:br w:type="page"/>
      </w:r>
    </w:p>
    <w:p>
      <w:pPr>
        <w:jc w:val="center"/>
        <w:outlineLvl w:val="1"/>
        <w:rPr>
          <w:rFonts w:ascii="宋体" w:hAnsi="宋体" w:cs="宋体"/>
          <w:b/>
          <w:bCs/>
          <w:sz w:val="28"/>
          <w:szCs w:val="28"/>
          <w:highlight w:val="none"/>
        </w:rPr>
      </w:pPr>
      <w:r>
        <w:rPr>
          <w:rFonts w:hint="eastAsia" w:ascii="宋体" w:hAnsi="宋体" w:cs="宋体"/>
          <w:b/>
          <w:bCs/>
          <w:sz w:val="28"/>
          <w:szCs w:val="28"/>
          <w:highlight w:val="none"/>
        </w:rPr>
        <w:t>二、法定代表人证明书</w:t>
      </w:r>
      <w:bookmarkEnd w:id="103"/>
      <w:bookmarkEnd w:id="104"/>
    </w:p>
    <w:p>
      <w:pPr>
        <w:spacing w:line="440" w:lineRule="exact"/>
        <w:rPr>
          <w:rFonts w:ascii="宋体" w:hAnsi="宋体" w:cs="宋体"/>
          <w:sz w:val="24"/>
          <w:szCs w:val="24"/>
          <w:highlight w:val="none"/>
        </w:rPr>
      </w:pPr>
    </w:p>
    <w:p>
      <w:pPr>
        <w:spacing w:line="360" w:lineRule="auto"/>
        <w:rPr>
          <w:color w:val="000000"/>
          <w:sz w:val="24"/>
          <w:szCs w:val="24"/>
          <w:highlight w:val="none"/>
        </w:rPr>
      </w:pPr>
      <w:r>
        <w:rPr>
          <w:rFonts w:hint="eastAsia"/>
          <w:color w:val="000000"/>
          <w:sz w:val="24"/>
          <w:szCs w:val="24"/>
          <w:highlight w:val="none"/>
        </w:rPr>
        <w:t>供应商</w:t>
      </w:r>
      <w:r>
        <w:rPr>
          <w:color w:val="000000"/>
          <w:sz w:val="24"/>
          <w:szCs w:val="24"/>
          <w:highlight w:val="none"/>
        </w:rPr>
        <w:t>名称：</w:t>
      </w:r>
      <w:r>
        <w:rPr>
          <w:color w:val="000000"/>
          <w:sz w:val="24"/>
          <w:szCs w:val="24"/>
          <w:highlight w:val="none"/>
          <w:u w:val="single"/>
        </w:rPr>
        <w:t xml:space="preserve">                            </w:t>
      </w:r>
      <w:r>
        <w:rPr>
          <w:color w:val="000000"/>
          <w:sz w:val="24"/>
          <w:szCs w:val="24"/>
          <w:highlight w:val="none"/>
        </w:rPr>
        <w:t xml:space="preserve"> </w:t>
      </w:r>
    </w:p>
    <w:p>
      <w:pPr>
        <w:spacing w:line="360" w:lineRule="auto"/>
        <w:rPr>
          <w:color w:val="000000"/>
          <w:sz w:val="24"/>
          <w:szCs w:val="24"/>
          <w:highlight w:val="none"/>
        </w:rPr>
      </w:pPr>
      <w:r>
        <w:rPr>
          <w:color w:val="000000"/>
          <w:sz w:val="24"/>
          <w:szCs w:val="24"/>
          <w:highlight w:val="none"/>
        </w:rPr>
        <w:t>单位性质：</w:t>
      </w:r>
      <w:r>
        <w:rPr>
          <w:color w:val="000000"/>
          <w:sz w:val="24"/>
          <w:szCs w:val="24"/>
          <w:highlight w:val="none"/>
          <w:u w:val="single"/>
        </w:rPr>
        <w:t xml:space="preserve">                               </w:t>
      </w:r>
      <w:r>
        <w:rPr>
          <w:color w:val="000000"/>
          <w:sz w:val="24"/>
          <w:szCs w:val="24"/>
          <w:highlight w:val="none"/>
        </w:rPr>
        <w:t xml:space="preserve"> </w:t>
      </w:r>
    </w:p>
    <w:p>
      <w:pPr>
        <w:spacing w:line="360" w:lineRule="auto"/>
        <w:rPr>
          <w:color w:val="000000"/>
          <w:sz w:val="24"/>
          <w:szCs w:val="24"/>
          <w:highlight w:val="none"/>
        </w:rPr>
      </w:pPr>
      <w:r>
        <w:rPr>
          <w:color w:val="000000"/>
          <w:sz w:val="24"/>
          <w:szCs w:val="24"/>
          <w:highlight w:val="none"/>
        </w:rPr>
        <w:t>地址：</w:t>
      </w:r>
      <w:r>
        <w:rPr>
          <w:color w:val="000000"/>
          <w:sz w:val="24"/>
          <w:szCs w:val="24"/>
          <w:highlight w:val="none"/>
          <w:u w:val="single"/>
        </w:rPr>
        <w:t xml:space="preserve">                                   </w:t>
      </w:r>
    </w:p>
    <w:p>
      <w:pPr>
        <w:spacing w:line="360" w:lineRule="auto"/>
        <w:rPr>
          <w:color w:val="000000"/>
          <w:sz w:val="24"/>
          <w:szCs w:val="24"/>
          <w:highlight w:val="none"/>
        </w:rPr>
      </w:pPr>
      <w:r>
        <w:rPr>
          <w:color w:val="000000"/>
          <w:sz w:val="24"/>
          <w:szCs w:val="24"/>
          <w:highlight w:val="none"/>
        </w:rPr>
        <w:t>成立时间：</w:t>
      </w:r>
      <w:r>
        <w:rPr>
          <w:color w:val="000000"/>
          <w:sz w:val="24"/>
          <w:szCs w:val="24"/>
          <w:highlight w:val="none"/>
          <w:u w:val="single"/>
        </w:rPr>
        <w:t xml:space="preserve">         </w:t>
      </w:r>
      <w:r>
        <w:rPr>
          <w:color w:val="000000"/>
          <w:sz w:val="24"/>
          <w:szCs w:val="24"/>
          <w:highlight w:val="none"/>
        </w:rPr>
        <w:t xml:space="preserve"> 年</w:t>
      </w:r>
      <w:r>
        <w:rPr>
          <w:color w:val="000000"/>
          <w:sz w:val="24"/>
          <w:szCs w:val="24"/>
          <w:highlight w:val="none"/>
          <w:u w:val="single"/>
        </w:rPr>
        <w:t xml:space="preserve">       </w:t>
      </w:r>
      <w:r>
        <w:rPr>
          <w:color w:val="000000"/>
          <w:sz w:val="24"/>
          <w:szCs w:val="24"/>
          <w:highlight w:val="none"/>
        </w:rPr>
        <w:t xml:space="preserve"> 月</w:t>
      </w:r>
      <w:r>
        <w:rPr>
          <w:color w:val="000000"/>
          <w:sz w:val="24"/>
          <w:szCs w:val="24"/>
          <w:highlight w:val="none"/>
          <w:u w:val="single"/>
        </w:rPr>
        <w:t xml:space="preserve">       </w:t>
      </w:r>
      <w:r>
        <w:rPr>
          <w:color w:val="000000"/>
          <w:sz w:val="24"/>
          <w:szCs w:val="24"/>
          <w:highlight w:val="none"/>
        </w:rPr>
        <w:t xml:space="preserve"> 日</w:t>
      </w:r>
    </w:p>
    <w:p>
      <w:pPr>
        <w:spacing w:line="360" w:lineRule="auto"/>
        <w:rPr>
          <w:color w:val="000000"/>
          <w:sz w:val="24"/>
          <w:szCs w:val="24"/>
          <w:highlight w:val="none"/>
        </w:rPr>
      </w:pPr>
      <w:r>
        <w:rPr>
          <w:color w:val="000000"/>
          <w:sz w:val="24"/>
          <w:szCs w:val="24"/>
          <w:highlight w:val="none"/>
        </w:rPr>
        <w:t>经营期限：</w:t>
      </w:r>
      <w:r>
        <w:rPr>
          <w:color w:val="000000"/>
          <w:sz w:val="24"/>
          <w:szCs w:val="24"/>
          <w:highlight w:val="none"/>
          <w:u w:val="single"/>
        </w:rPr>
        <w:t xml:space="preserve">                               </w:t>
      </w:r>
    </w:p>
    <w:p>
      <w:pPr>
        <w:spacing w:line="360" w:lineRule="auto"/>
        <w:rPr>
          <w:color w:val="000000"/>
          <w:sz w:val="24"/>
          <w:szCs w:val="24"/>
          <w:highlight w:val="none"/>
        </w:rPr>
      </w:pPr>
      <w:r>
        <w:rPr>
          <w:color w:val="000000"/>
          <w:sz w:val="24"/>
          <w:szCs w:val="24"/>
          <w:highlight w:val="none"/>
        </w:rPr>
        <w:t>姓名：</w:t>
      </w:r>
      <w:r>
        <w:rPr>
          <w:color w:val="000000"/>
          <w:sz w:val="24"/>
          <w:szCs w:val="24"/>
          <w:highlight w:val="none"/>
          <w:u w:val="single"/>
        </w:rPr>
        <w:t xml:space="preserve">  </w:t>
      </w:r>
      <w:r>
        <w:rPr>
          <w:rFonts w:hint="eastAsia"/>
          <w:bCs/>
          <w:color w:val="000000"/>
          <w:sz w:val="24"/>
          <w:szCs w:val="24"/>
          <w:highlight w:val="none"/>
          <w:u w:val="single"/>
        </w:rPr>
        <w:t xml:space="preserve">     </w:t>
      </w:r>
      <w:r>
        <w:rPr>
          <w:color w:val="000000"/>
          <w:sz w:val="24"/>
          <w:szCs w:val="24"/>
          <w:highlight w:val="none"/>
          <w:u w:val="single"/>
        </w:rPr>
        <w:t xml:space="preserve">  </w:t>
      </w:r>
      <w:r>
        <w:rPr>
          <w:color w:val="000000"/>
          <w:sz w:val="24"/>
          <w:szCs w:val="24"/>
          <w:highlight w:val="none"/>
        </w:rPr>
        <w:t xml:space="preserve"> 性别：</w:t>
      </w:r>
      <w:r>
        <w:rPr>
          <w:color w:val="000000"/>
          <w:sz w:val="24"/>
          <w:szCs w:val="24"/>
          <w:highlight w:val="none"/>
          <w:u w:val="single"/>
        </w:rPr>
        <w:t xml:space="preserve">     </w:t>
      </w:r>
      <w:r>
        <w:rPr>
          <w:color w:val="000000"/>
          <w:sz w:val="24"/>
          <w:szCs w:val="24"/>
          <w:highlight w:val="none"/>
        </w:rPr>
        <w:t xml:space="preserve"> 年龄：</w:t>
      </w:r>
      <w:r>
        <w:rPr>
          <w:color w:val="000000"/>
          <w:sz w:val="24"/>
          <w:szCs w:val="24"/>
          <w:highlight w:val="none"/>
          <w:u w:val="single"/>
        </w:rPr>
        <w:t xml:space="preserve">        </w:t>
      </w:r>
      <w:r>
        <w:rPr>
          <w:color w:val="000000"/>
          <w:sz w:val="24"/>
          <w:szCs w:val="24"/>
          <w:highlight w:val="none"/>
        </w:rPr>
        <w:t>职务：</w:t>
      </w:r>
      <w:r>
        <w:rPr>
          <w:color w:val="000000"/>
          <w:sz w:val="24"/>
          <w:szCs w:val="24"/>
          <w:highlight w:val="none"/>
          <w:u w:val="single"/>
        </w:rPr>
        <w:t xml:space="preserve">        </w:t>
      </w:r>
    </w:p>
    <w:p>
      <w:pPr>
        <w:spacing w:line="360" w:lineRule="auto"/>
        <w:rPr>
          <w:color w:val="000000"/>
          <w:sz w:val="24"/>
          <w:szCs w:val="24"/>
          <w:highlight w:val="none"/>
        </w:rPr>
      </w:pPr>
      <w:r>
        <w:rPr>
          <w:color w:val="000000"/>
          <w:sz w:val="24"/>
          <w:szCs w:val="24"/>
          <w:highlight w:val="none"/>
        </w:rPr>
        <w:t>系</w:t>
      </w:r>
      <w:r>
        <w:rPr>
          <w:color w:val="000000"/>
          <w:sz w:val="24"/>
          <w:szCs w:val="24"/>
          <w:highlight w:val="none"/>
          <w:u w:val="single"/>
        </w:rPr>
        <w:t xml:space="preserve">                             </w:t>
      </w:r>
      <w:r>
        <w:rPr>
          <w:color w:val="000000"/>
          <w:sz w:val="24"/>
          <w:szCs w:val="24"/>
          <w:highlight w:val="none"/>
        </w:rPr>
        <w:t xml:space="preserve"> (</w:t>
      </w:r>
      <w:r>
        <w:rPr>
          <w:rFonts w:hint="eastAsia"/>
          <w:color w:val="000000"/>
          <w:sz w:val="24"/>
          <w:szCs w:val="24"/>
          <w:highlight w:val="none"/>
        </w:rPr>
        <w:t>供应商</w:t>
      </w:r>
      <w:r>
        <w:rPr>
          <w:color w:val="000000"/>
          <w:sz w:val="24"/>
          <w:szCs w:val="24"/>
          <w:highlight w:val="none"/>
        </w:rPr>
        <w:t>名称)的法定代表人。</w:t>
      </w:r>
    </w:p>
    <w:p>
      <w:pPr>
        <w:spacing w:line="360" w:lineRule="auto"/>
        <w:ind w:firstLine="480" w:firstLineChars="200"/>
        <w:rPr>
          <w:color w:val="000000"/>
          <w:sz w:val="24"/>
          <w:szCs w:val="24"/>
          <w:highlight w:val="none"/>
        </w:rPr>
      </w:pPr>
      <w:r>
        <w:rPr>
          <w:color w:val="000000"/>
          <w:sz w:val="24"/>
          <w:szCs w:val="24"/>
          <w:highlight w:val="none"/>
        </w:rPr>
        <w:t>特此证明。</w:t>
      </w:r>
    </w:p>
    <w:p>
      <w:pPr>
        <w:spacing w:line="360" w:lineRule="auto"/>
        <w:rPr>
          <w:color w:val="000000"/>
          <w:sz w:val="24"/>
          <w:szCs w:val="24"/>
          <w:highlight w:val="none"/>
        </w:rPr>
      </w:pPr>
      <w:r>
        <w:rPr>
          <w:color w:val="000000"/>
          <w:sz w:val="24"/>
          <w:szCs w:val="24"/>
          <w:highlight w:val="none"/>
        </w:rPr>
        <w:t xml:space="preserve">                           </w:t>
      </w:r>
      <w:r>
        <w:rPr>
          <w:rFonts w:hint="eastAsia"/>
          <w:color w:val="000000"/>
          <w:sz w:val="24"/>
          <w:szCs w:val="24"/>
          <w:highlight w:val="none"/>
        </w:rPr>
        <w:t>供应商</w:t>
      </w:r>
      <w:r>
        <w:rPr>
          <w:color w:val="000000"/>
          <w:sz w:val="24"/>
          <w:szCs w:val="24"/>
          <w:highlight w:val="none"/>
        </w:rPr>
        <w:t>：</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color w:val="000000"/>
          <w:sz w:val="24"/>
          <w:szCs w:val="24"/>
          <w:highlight w:val="none"/>
        </w:rPr>
        <w:t>(盖章)</w:t>
      </w:r>
    </w:p>
    <w:p>
      <w:pPr>
        <w:spacing w:line="360" w:lineRule="auto"/>
        <w:ind w:firstLine="4418" w:firstLineChars="1841"/>
        <w:jc w:val="left"/>
        <w:rPr>
          <w:color w:val="000000"/>
          <w:sz w:val="24"/>
          <w:szCs w:val="24"/>
          <w:highlight w:val="none"/>
        </w:rPr>
      </w:pPr>
      <w:r>
        <w:rPr>
          <w:color w:val="000000"/>
          <w:sz w:val="24"/>
          <w:szCs w:val="24"/>
          <w:highlight w:val="none"/>
        </w:rPr>
        <w:t xml:space="preserve"> </w:t>
      </w:r>
      <w:r>
        <w:rPr>
          <w:color w:val="000000"/>
          <w:sz w:val="24"/>
          <w:szCs w:val="24"/>
          <w:highlight w:val="none"/>
          <w:u w:val="single"/>
        </w:rPr>
        <w:t xml:space="preserve">      </w:t>
      </w:r>
      <w:r>
        <w:rPr>
          <w:color w:val="000000"/>
          <w:sz w:val="24"/>
          <w:szCs w:val="24"/>
          <w:highlight w:val="none"/>
        </w:rPr>
        <w:t>年</w:t>
      </w:r>
      <w:r>
        <w:rPr>
          <w:color w:val="000000"/>
          <w:sz w:val="24"/>
          <w:szCs w:val="24"/>
          <w:highlight w:val="none"/>
          <w:u w:val="single"/>
        </w:rPr>
        <w:t xml:space="preserve">      </w:t>
      </w:r>
      <w:r>
        <w:rPr>
          <w:color w:val="000000"/>
          <w:sz w:val="24"/>
          <w:szCs w:val="24"/>
          <w:highlight w:val="none"/>
        </w:rPr>
        <w:t>月</w:t>
      </w:r>
      <w:r>
        <w:rPr>
          <w:color w:val="000000"/>
          <w:sz w:val="24"/>
          <w:szCs w:val="24"/>
          <w:highlight w:val="none"/>
          <w:u w:val="single"/>
        </w:rPr>
        <w:t xml:space="preserve">   </w:t>
      </w:r>
      <w:r>
        <w:rPr>
          <w:color w:val="000000"/>
          <w:sz w:val="24"/>
          <w:szCs w:val="24"/>
          <w:highlight w:val="none"/>
        </w:rPr>
        <w:t xml:space="preserve"> 日</w:t>
      </w:r>
    </w:p>
    <w:p>
      <w:pPr>
        <w:topLinePunct/>
        <w:spacing w:line="440" w:lineRule="exact"/>
        <w:rPr>
          <w:rFonts w:eastAsia="黑体"/>
          <w:color w:val="000000"/>
          <w:sz w:val="24"/>
          <w:szCs w:val="24"/>
          <w:highlight w:val="none"/>
        </w:rPr>
      </w:pPr>
    </w:p>
    <w:tbl>
      <w:tblPr>
        <w:tblStyle w:val="2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trPr>
        <w:tc>
          <w:tcPr>
            <w:tcW w:w="9300" w:type="dxa"/>
            <w:vAlign w:val="center"/>
          </w:tcPr>
          <w:p>
            <w:pPr>
              <w:overflowPunct w:val="0"/>
              <w:spacing w:line="360" w:lineRule="auto"/>
              <w:jc w:val="center"/>
              <w:rPr>
                <w:rFonts w:ascii="宋体" w:hAnsi="宋体" w:cs="宋体"/>
                <w:sz w:val="24"/>
                <w:szCs w:val="24"/>
                <w:highlight w:val="none"/>
              </w:rPr>
            </w:pPr>
            <w:r>
              <w:rPr>
                <w:rFonts w:hint="eastAsia" w:ascii="宋体" w:hAnsi="宋体" w:cs="宋体"/>
                <w:sz w:val="24"/>
                <w:szCs w:val="24"/>
                <w:highlight w:val="none"/>
              </w:rPr>
              <w:t>法定代表人身份证复印件</w:t>
            </w:r>
          </w:p>
          <w:p>
            <w:pPr>
              <w:topLinePunct/>
              <w:spacing w:line="440" w:lineRule="exact"/>
              <w:jc w:val="center"/>
              <w:rPr>
                <w:rFonts w:eastAsia="黑体"/>
                <w:color w:val="000000"/>
                <w:sz w:val="24"/>
                <w:szCs w:val="24"/>
                <w:highlight w:val="none"/>
              </w:rPr>
            </w:pPr>
            <w:r>
              <w:rPr>
                <w:rFonts w:hint="eastAsia" w:ascii="宋体" w:hAnsi="宋体" w:cs="宋体"/>
                <w:sz w:val="24"/>
                <w:szCs w:val="24"/>
                <w:highlight w:val="none"/>
              </w:rPr>
              <w:t>（正、反面）</w:t>
            </w:r>
          </w:p>
        </w:tc>
      </w:tr>
    </w:tbl>
    <w:p>
      <w:pPr>
        <w:topLinePunct/>
        <w:spacing w:line="440" w:lineRule="exact"/>
        <w:rPr>
          <w:rFonts w:ascii="宋体" w:hAnsi="宋体" w:cs="宋体"/>
          <w:sz w:val="24"/>
          <w:highlight w:val="none"/>
        </w:rPr>
      </w:pPr>
    </w:p>
    <w:p>
      <w:pPr>
        <w:overflowPunct w:val="0"/>
        <w:spacing w:line="360" w:lineRule="auto"/>
        <w:jc w:val="center"/>
        <w:outlineLvl w:val="1"/>
        <w:rPr>
          <w:rFonts w:ascii="宋体" w:hAnsi="宋体" w:cs="宋体"/>
          <w:b/>
          <w:bCs/>
          <w:sz w:val="28"/>
          <w:szCs w:val="28"/>
          <w:highlight w:val="none"/>
        </w:rPr>
      </w:pPr>
    </w:p>
    <w:p>
      <w:pPr>
        <w:overflowPunct w:val="0"/>
        <w:spacing w:line="360" w:lineRule="auto"/>
        <w:jc w:val="center"/>
        <w:outlineLvl w:val="1"/>
        <w:rPr>
          <w:rFonts w:ascii="宋体" w:hAnsi="宋体" w:cs="宋体"/>
          <w:b/>
          <w:bCs/>
          <w:sz w:val="28"/>
          <w:szCs w:val="28"/>
          <w:highlight w:val="none"/>
        </w:rPr>
      </w:pPr>
    </w:p>
    <w:p>
      <w:pPr>
        <w:rPr>
          <w:rFonts w:hint="eastAsia" w:ascii="宋体" w:hAnsi="宋体" w:cs="宋体"/>
          <w:b/>
          <w:bCs/>
          <w:sz w:val="28"/>
          <w:szCs w:val="28"/>
          <w:highlight w:val="none"/>
        </w:rPr>
      </w:pPr>
      <w:bookmarkStart w:id="105" w:name="_Toc16330"/>
      <w:r>
        <w:rPr>
          <w:rFonts w:hint="eastAsia" w:ascii="宋体" w:hAnsi="宋体" w:cs="宋体"/>
          <w:b/>
          <w:bCs/>
          <w:sz w:val="28"/>
          <w:szCs w:val="28"/>
          <w:highlight w:val="none"/>
        </w:rPr>
        <w:br w:type="page"/>
      </w:r>
    </w:p>
    <w:p>
      <w:pPr>
        <w:overflowPunct w:val="0"/>
        <w:spacing w:line="360" w:lineRule="auto"/>
        <w:jc w:val="center"/>
        <w:outlineLvl w:val="1"/>
        <w:rPr>
          <w:rFonts w:ascii="宋体" w:hAnsi="宋体" w:cs="宋体"/>
          <w:b/>
          <w:bCs/>
          <w:sz w:val="28"/>
          <w:szCs w:val="28"/>
          <w:highlight w:val="none"/>
        </w:rPr>
      </w:pPr>
      <w:r>
        <w:rPr>
          <w:rFonts w:hint="eastAsia" w:ascii="宋体" w:hAnsi="宋体" w:cs="宋体"/>
          <w:b/>
          <w:bCs/>
          <w:sz w:val="28"/>
          <w:szCs w:val="28"/>
          <w:highlight w:val="none"/>
        </w:rPr>
        <w:t>三、法人授权委托书</w:t>
      </w:r>
      <w:bookmarkEnd w:id="105"/>
    </w:p>
    <w:p>
      <w:pPr>
        <w:overflowPunct w:val="0"/>
        <w:spacing w:line="480" w:lineRule="auto"/>
        <w:ind w:left="109" w:leftChars="52" w:firstLine="600" w:firstLineChars="250"/>
        <w:rPr>
          <w:rFonts w:ascii="宋体" w:hAnsi="宋体" w:cs="宋体"/>
          <w:sz w:val="24"/>
          <w:szCs w:val="24"/>
          <w:highlight w:val="none"/>
        </w:rPr>
      </w:pPr>
      <w:r>
        <w:rPr>
          <w:rFonts w:hint="eastAsia" w:ascii="宋体" w:hAnsi="宋体" w:cs="宋体"/>
          <w:sz w:val="24"/>
          <w:szCs w:val="24"/>
          <w:highlight w:val="none"/>
        </w:rPr>
        <w:t>本授权委托书声明：我（法定代表人姓名）系注册于</w:t>
      </w:r>
      <w:r>
        <w:rPr>
          <w:rFonts w:hint="eastAsia" w:ascii="宋体" w:hAnsi="宋体" w:cs="宋体"/>
          <w:sz w:val="24"/>
          <w:szCs w:val="24"/>
          <w:highlight w:val="none"/>
          <w:u w:val="single"/>
        </w:rPr>
        <w:t xml:space="preserve">  （供应商地址）     </w:t>
      </w:r>
      <w:r>
        <w:rPr>
          <w:rFonts w:hint="eastAsia" w:ascii="宋体" w:hAnsi="宋体" w:cs="宋体"/>
          <w:sz w:val="24"/>
          <w:szCs w:val="24"/>
          <w:highlight w:val="none"/>
        </w:rPr>
        <w:t>的</w:t>
      </w:r>
      <w:r>
        <w:rPr>
          <w:rFonts w:hint="eastAsia" w:ascii="宋体" w:hAnsi="宋体" w:cs="宋体"/>
          <w:sz w:val="24"/>
          <w:szCs w:val="24"/>
          <w:highlight w:val="none"/>
          <w:u w:val="single"/>
        </w:rPr>
        <w:t xml:space="preserve">        （供应商名称）</w:t>
      </w:r>
      <w:r>
        <w:rPr>
          <w:rFonts w:hint="eastAsia" w:ascii="宋体" w:hAnsi="宋体" w:cs="宋体"/>
          <w:sz w:val="24"/>
          <w:szCs w:val="24"/>
          <w:highlight w:val="none"/>
        </w:rPr>
        <w:t>的法定代表人，现授权（被授权人姓名、职务）为我公司合法代理人，就签署</w:t>
      </w:r>
      <w:r>
        <w:rPr>
          <w:rFonts w:hint="eastAsia" w:ascii="宋体" w:hAnsi="宋体" w:cs="宋体"/>
          <w:sz w:val="24"/>
          <w:szCs w:val="24"/>
          <w:highlight w:val="none"/>
          <w:u w:val="single"/>
        </w:rPr>
        <w:t xml:space="preserve">  （项目名称）（采购编号）</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包号</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磋商活动相关文件及合同，以本公司名义处理一切与之有关的事宜。</w:t>
      </w:r>
    </w:p>
    <w:p>
      <w:pPr>
        <w:overflowPunct w:val="0"/>
        <w:spacing w:line="360" w:lineRule="auto"/>
        <w:ind w:left="109" w:leftChars="51" w:hanging="2"/>
        <w:rPr>
          <w:rFonts w:ascii="宋体" w:hAnsi="宋体" w:cs="宋体"/>
          <w:sz w:val="24"/>
          <w:szCs w:val="24"/>
          <w:highlight w:val="none"/>
        </w:rPr>
      </w:pPr>
      <w:r>
        <w:rPr>
          <w:rFonts w:hint="eastAsia" w:ascii="宋体" w:hAnsi="宋体" w:cs="宋体"/>
          <w:sz w:val="24"/>
          <w:szCs w:val="24"/>
          <w:highlight w:val="none"/>
        </w:rPr>
        <w:t xml:space="preserve">  代理人无转委托权，特此委托。</w:t>
      </w:r>
    </w:p>
    <w:p>
      <w:pPr>
        <w:overflowPunct w:val="0"/>
        <w:spacing w:line="480" w:lineRule="auto"/>
        <w:rPr>
          <w:rFonts w:ascii="宋体" w:hAnsi="宋体" w:cs="宋体"/>
          <w:sz w:val="24"/>
          <w:szCs w:val="24"/>
          <w:highlight w:val="none"/>
        </w:rPr>
      </w:pPr>
      <w:r>
        <w:rPr>
          <w:rFonts w:hint="eastAsia" w:ascii="宋体" w:hAnsi="宋体" w:cs="宋体"/>
          <w:sz w:val="24"/>
          <w:szCs w:val="24"/>
          <w:highlight w:val="none"/>
        </w:rPr>
        <w:t>法人代表（签字或盖章）：             被授权人（签字）：</w:t>
      </w:r>
    </w:p>
    <w:p>
      <w:pPr>
        <w:overflowPunct w:val="0"/>
        <w:spacing w:line="480" w:lineRule="auto"/>
        <w:rPr>
          <w:rFonts w:ascii="宋体" w:hAnsi="宋体" w:cs="宋体"/>
          <w:sz w:val="24"/>
          <w:szCs w:val="24"/>
          <w:highlight w:val="none"/>
        </w:rPr>
      </w:pPr>
      <w:r>
        <w:rPr>
          <w:rFonts w:hint="eastAsia" w:ascii="宋体" w:hAnsi="宋体" w:cs="宋体"/>
          <w:sz w:val="24"/>
          <w:szCs w:val="24"/>
          <w:highlight w:val="none"/>
        </w:rPr>
        <w:t>职    务：                           职    务：</w:t>
      </w:r>
    </w:p>
    <w:p>
      <w:pPr>
        <w:overflowPunct w:val="0"/>
        <w:spacing w:line="480" w:lineRule="auto"/>
        <w:rPr>
          <w:rFonts w:ascii="宋体" w:hAnsi="宋体" w:cs="宋体"/>
          <w:sz w:val="24"/>
          <w:szCs w:val="24"/>
          <w:highlight w:val="none"/>
        </w:rPr>
      </w:pPr>
      <w:r>
        <w:rPr>
          <w:rFonts w:hint="eastAsia" w:ascii="宋体" w:hAnsi="宋体" w:cs="宋体"/>
          <w:sz w:val="24"/>
          <w:szCs w:val="24"/>
          <w:highlight w:val="none"/>
        </w:rPr>
        <w:t>身份证号：                           身份证号：</w:t>
      </w:r>
    </w:p>
    <w:p>
      <w:pPr>
        <w:overflowPunct w:val="0"/>
        <w:spacing w:line="480" w:lineRule="auto"/>
        <w:ind w:firstLine="240" w:firstLineChars="100"/>
        <w:rPr>
          <w:rFonts w:ascii="宋体" w:hAnsi="宋体" w:cs="宋体"/>
          <w:bCs/>
          <w:sz w:val="24"/>
          <w:szCs w:val="24"/>
          <w:highlight w:val="none"/>
        </w:rPr>
      </w:pPr>
      <w:r>
        <w:rPr>
          <w:rFonts w:hint="eastAsia" w:ascii="宋体" w:hAnsi="宋体" w:cs="宋体"/>
          <w:sz w:val="24"/>
          <w:szCs w:val="24"/>
          <w:highlight w:val="none"/>
        </w:rPr>
        <w:t>附：法定代表人、被授权人身份证复印件。</w:t>
      </w:r>
    </w:p>
    <w:tbl>
      <w:tblPr>
        <w:tblStyle w:val="2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pPr>
              <w:overflowPunct w:val="0"/>
              <w:spacing w:line="360" w:lineRule="auto"/>
              <w:jc w:val="center"/>
              <w:rPr>
                <w:rFonts w:ascii="宋体" w:hAnsi="宋体" w:cs="宋体"/>
                <w:sz w:val="24"/>
                <w:szCs w:val="24"/>
                <w:highlight w:val="none"/>
              </w:rPr>
            </w:pPr>
            <w:r>
              <w:rPr>
                <w:rFonts w:hint="eastAsia" w:ascii="宋体" w:hAnsi="宋体" w:cs="宋体"/>
                <w:sz w:val="24"/>
                <w:szCs w:val="24"/>
                <w:highlight w:val="none"/>
              </w:rPr>
              <w:t>法定代表人身份证复印件</w:t>
            </w:r>
          </w:p>
          <w:p>
            <w:pPr>
              <w:overflowPunct w:val="0"/>
              <w:spacing w:line="360" w:lineRule="auto"/>
              <w:jc w:val="center"/>
              <w:rPr>
                <w:rFonts w:ascii="宋体" w:hAnsi="宋体" w:cs="宋体"/>
                <w:sz w:val="24"/>
                <w:szCs w:val="24"/>
                <w:highlight w:val="none"/>
              </w:rPr>
            </w:pPr>
            <w:r>
              <w:rPr>
                <w:rFonts w:hint="eastAsia" w:ascii="宋体" w:hAnsi="宋体" w:cs="宋体"/>
                <w:sz w:val="24"/>
                <w:szCs w:val="24"/>
                <w:highlight w:val="none"/>
              </w:rPr>
              <w:t>（正、反面）</w:t>
            </w:r>
          </w:p>
        </w:tc>
        <w:tc>
          <w:tcPr>
            <w:tcW w:w="4790" w:type="dxa"/>
            <w:tcBorders>
              <w:left w:val="single" w:color="auto" w:sz="4" w:space="0"/>
            </w:tcBorders>
            <w:vAlign w:val="center"/>
          </w:tcPr>
          <w:p>
            <w:pPr>
              <w:overflowPunct w:val="0"/>
              <w:spacing w:line="360" w:lineRule="auto"/>
              <w:jc w:val="center"/>
              <w:rPr>
                <w:rFonts w:ascii="宋体" w:hAnsi="宋体" w:cs="宋体"/>
                <w:sz w:val="24"/>
                <w:szCs w:val="24"/>
                <w:highlight w:val="none"/>
              </w:rPr>
            </w:pPr>
            <w:r>
              <w:rPr>
                <w:rFonts w:hint="eastAsia" w:ascii="宋体" w:hAnsi="宋体" w:cs="宋体"/>
                <w:sz w:val="24"/>
                <w:szCs w:val="24"/>
                <w:highlight w:val="none"/>
              </w:rPr>
              <w:t>被授权人身份证复印件</w:t>
            </w:r>
          </w:p>
          <w:p>
            <w:pPr>
              <w:overflowPunct w:val="0"/>
              <w:spacing w:line="360" w:lineRule="auto"/>
              <w:jc w:val="center"/>
              <w:rPr>
                <w:rFonts w:ascii="宋体" w:hAnsi="宋体" w:cs="宋体"/>
                <w:sz w:val="24"/>
                <w:szCs w:val="24"/>
                <w:highlight w:val="none"/>
              </w:rPr>
            </w:pPr>
            <w:r>
              <w:rPr>
                <w:rFonts w:hint="eastAsia" w:ascii="宋体" w:hAnsi="宋体" w:cs="宋体"/>
                <w:sz w:val="24"/>
                <w:szCs w:val="24"/>
                <w:highlight w:val="none"/>
              </w:rPr>
              <w:t>（正、反面）</w:t>
            </w:r>
          </w:p>
        </w:tc>
      </w:tr>
    </w:tbl>
    <w:p>
      <w:pPr>
        <w:overflowPunct w:val="0"/>
        <w:spacing w:line="360" w:lineRule="auto"/>
        <w:rPr>
          <w:rFonts w:ascii="宋体" w:hAnsi="宋体" w:cs="宋体"/>
          <w:sz w:val="24"/>
          <w:szCs w:val="24"/>
          <w:highlight w:val="none"/>
        </w:rPr>
      </w:pPr>
      <w:r>
        <w:rPr>
          <w:rFonts w:hint="eastAsia" w:ascii="宋体" w:hAnsi="宋体" w:cs="宋体"/>
          <w:sz w:val="24"/>
          <w:szCs w:val="24"/>
          <w:highlight w:val="none"/>
        </w:rPr>
        <w:t>（本授权的有效期为磋商之日起90个日历日）</w:t>
      </w:r>
    </w:p>
    <w:p>
      <w:pPr>
        <w:spacing w:line="480" w:lineRule="auto"/>
        <w:ind w:firstLine="3360" w:firstLineChars="1400"/>
        <w:rPr>
          <w:rFonts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（盖章）</w:t>
      </w:r>
    </w:p>
    <w:p>
      <w:pPr>
        <w:pStyle w:val="51"/>
        <w:spacing w:before="156" w:beforeLines="50"/>
        <w:ind w:firstLine="3360" w:firstLineChars="1400"/>
        <w:rPr>
          <w:rFonts w:ascii="宋体" w:hAnsi="宋体" w:cs="宋体"/>
          <w:sz w:val="28"/>
          <w:szCs w:val="28"/>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51"/>
        <w:ind w:firstLine="0" w:firstLineChars="0"/>
        <w:rPr>
          <w:rFonts w:ascii="宋体" w:hAnsi="宋体" w:cs="宋体"/>
          <w:szCs w:val="21"/>
          <w:highlight w:val="none"/>
        </w:rPr>
      </w:pPr>
    </w:p>
    <w:p>
      <w:pPr>
        <w:rPr>
          <w:rFonts w:ascii="宋体" w:hAnsi="宋体" w:cs="宋体"/>
          <w:b/>
          <w:bCs/>
          <w:sz w:val="28"/>
          <w:szCs w:val="28"/>
          <w:highlight w:val="none"/>
        </w:rPr>
      </w:pPr>
      <w:bookmarkStart w:id="106" w:name="_Toc14632_WPSOffice_Level2"/>
      <w:bookmarkStart w:id="107" w:name="_Toc25286_WPSOffice_Level2"/>
      <w:bookmarkStart w:id="108" w:name="_Toc11134_WPSOffice_Level2"/>
      <w:bookmarkStart w:id="109" w:name="_Toc14480_WPSOffice_Level2"/>
      <w:bookmarkStart w:id="110" w:name="_Toc17888_WPSOffice_Level2"/>
      <w:bookmarkStart w:id="111" w:name="_Toc22997_WPSOffice_Level2"/>
      <w:bookmarkStart w:id="112" w:name="_Toc13894_WPSOffice_Level2"/>
      <w:r>
        <w:rPr>
          <w:rFonts w:hint="eastAsia" w:ascii="宋体" w:hAnsi="宋体" w:cs="宋体"/>
          <w:b/>
          <w:bCs/>
          <w:sz w:val="28"/>
          <w:szCs w:val="28"/>
          <w:highlight w:val="none"/>
        </w:rPr>
        <w:br w:type="page"/>
      </w:r>
    </w:p>
    <w:p>
      <w:pPr>
        <w:overflowPunct w:val="0"/>
        <w:spacing w:line="360" w:lineRule="auto"/>
        <w:jc w:val="center"/>
        <w:outlineLvl w:val="1"/>
        <w:rPr>
          <w:rFonts w:hint="eastAsia" w:ascii="宋体" w:hAnsi="宋体" w:eastAsia="宋体" w:cs="宋体"/>
          <w:b/>
          <w:bCs/>
          <w:sz w:val="28"/>
          <w:szCs w:val="28"/>
          <w:highlight w:val="none"/>
          <w:lang w:eastAsia="zh-CN"/>
        </w:rPr>
      </w:pPr>
      <w:bookmarkStart w:id="113" w:name="_Toc30190"/>
      <w:r>
        <w:rPr>
          <w:rFonts w:hint="eastAsia" w:ascii="宋体" w:hAnsi="宋体" w:cs="宋体"/>
          <w:b/>
          <w:bCs/>
          <w:sz w:val="28"/>
          <w:szCs w:val="28"/>
          <w:highlight w:val="none"/>
        </w:rPr>
        <w:t>四、</w:t>
      </w:r>
      <w:bookmarkEnd w:id="106"/>
      <w:bookmarkEnd w:id="107"/>
      <w:bookmarkEnd w:id="108"/>
      <w:bookmarkEnd w:id="109"/>
      <w:bookmarkEnd w:id="110"/>
      <w:bookmarkEnd w:id="111"/>
      <w:bookmarkEnd w:id="112"/>
      <w:bookmarkEnd w:id="113"/>
      <w:bookmarkStart w:id="114" w:name="_Toc10990"/>
      <w:r>
        <w:rPr>
          <w:rFonts w:hint="eastAsia" w:ascii="宋体" w:hAnsi="宋体" w:cs="宋体"/>
          <w:b/>
          <w:bCs/>
          <w:sz w:val="28"/>
          <w:szCs w:val="28"/>
          <w:highlight w:val="none"/>
        </w:rPr>
        <w:t>报价表</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第一次</w:t>
      </w:r>
      <w:r>
        <w:rPr>
          <w:rFonts w:hint="eastAsia" w:ascii="宋体" w:hAnsi="宋体" w:cs="宋体"/>
          <w:b/>
          <w:bCs/>
          <w:sz w:val="28"/>
          <w:szCs w:val="28"/>
          <w:highlight w:val="none"/>
          <w:lang w:eastAsia="zh-CN"/>
        </w:rPr>
        <w:t>）</w:t>
      </w:r>
    </w:p>
    <w:p>
      <w:pPr>
        <w:overflowPunct w:val="0"/>
        <w:spacing w:line="360" w:lineRule="auto"/>
        <w:jc w:val="both"/>
        <w:rPr>
          <w:rFonts w:hint="default" w:ascii="仿宋" w:hAnsi="仿宋" w:eastAsia="仿宋" w:cs="仿宋"/>
          <w:sz w:val="24"/>
          <w:highlight w:val="none"/>
          <w:lang w:val="en-US" w:eastAsia="zh-CN"/>
        </w:rPr>
      </w:pPr>
      <w:r>
        <w:rPr>
          <w:rFonts w:hint="eastAsia" w:ascii="宋体" w:hAnsi="宋体" w:eastAsia="宋体" w:cs="宋体"/>
          <w:sz w:val="24"/>
          <w:highlight w:val="none"/>
          <w:lang w:eastAsia="zh-CN"/>
        </w:rPr>
        <w:t>合同包</w:t>
      </w:r>
      <w:r>
        <w:rPr>
          <w:rFonts w:hint="eastAsia" w:ascii="宋体" w:hAnsi="宋体" w:eastAsia="宋体" w:cs="宋体"/>
          <w:sz w:val="24"/>
          <w:highlight w:val="none"/>
          <w:lang w:val="en-US" w:eastAsia="zh-CN"/>
        </w:rPr>
        <w:t xml:space="preserve">1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874"/>
        <w:gridCol w:w="1153"/>
        <w:gridCol w:w="1350"/>
        <w:gridCol w:w="1583"/>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854" w:type="dxa"/>
            <w:noWrap w:val="0"/>
            <w:vAlign w:val="center"/>
          </w:tcPr>
          <w:p>
            <w:pPr>
              <w:widowControl/>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包</w:t>
            </w:r>
          </w:p>
        </w:tc>
        <w:tc>
          <w:tcPr>
            <w:tcW w:w="1874"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153"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350"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583"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（元/延米）</w:t>
            </w:r>
          </w:p>
        </w:tc>
        <w:tc>
          <w:tcPr>
            <w:tcW w:w="1443"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854" w:type="dxa"/>
            <w:noWrap w:val="0"/>
            <w:vAlign w:val="center"/>
          </w:tcPr>
          <w:p>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JC1</w:t>
            </w:r>
          </w:p>
        </w:tc>
        <w:tc>
          <w:tcPr>
            <w:tcW w:w="1874" w:type="dxa"/>
            <w:noWrap w:val="0"/>
            <w:vAlign w:val="center"/>
          </w:tcPr>
          <w:p>
            <w:pPr>
              <w:widowControl/>
              <w:jc w:val="both"/>
              <w:rPr>
                <w:rFonts w:hint="eastAsia" w:ascii="宋体" w:hAnsi="宋体" w:eastAsia="宋体" w:cs="宋体"/>
                <w:sz w:val="24"/>
                <w:szCs w:val="24"/>
                <w:highlight w:val="none"/>
                <w:lang w:val="en-US" w:eastAsia="zh-CN"/>
              </w:rPr>
            </w:pPr>
            <w:r>
              <w:rPr>
                <w:rFonts w:hint="eastAsia"/>
                <w:color w:val="333333"/>
                <w:sz w:val="24"/>
                <w:szCs w:val="24"/>
                <w:highlight w:val="none"/>
                <w:shd w:val="clear" w:color="auto" w:fill="FFFFFF"/>
                <w:lang w:val="en-US" w:eastAsia="zh-CN"/>
              </w:rPr>
              <w:t>西安、铜川、榆林、延安、渭南、韩城</w:t>
            </w:r>
          </w:p>
        </w:tc>
        <w:tc>
          <w:tcPr>
            <w:tcW w:w="1153"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座/</w:t>
            </w:r>
            <w:r>
              <w:rPr>
                <w:rFonts w:hint="eastAsia" w:ascii="宋体" w:hAnsi="宋体" w:eastAsia="宋体" w:cs="宋体"/>
                <w:sz w:val="24"/>
                <w:szCs w:val="24"/>
                <w:highlight w:val="none"/>
              </w:rPr>
              <w:t>延米</w:t>
            </w:r>
          </w:p>
        </w:tc>
        <w:tc>
          <w:tcPr>
            <w:tcW w:w="1350" w:type="dxa"/>
            <w:noWrap w:val="0"/>
            <w:vAlign w:val="center"/>
          </w:tcPr>
          <w:p>
            <w:pPr>
              <w:widowControl/>
              <w:jc w:val="center"/>
              <w:rPr>
                <w:rFonts w:hint="eastAsia" w:ascii="宋体" w:hAnsi="宋体" w:eastAsia="宋体" w:cs="宋体"/>
                <w:sz w:val="24"/>
                <w:szCs w:val="24"/>
                <w:highlight w:val="none"/>
                <w:lang w:val="en-US" w:eastAsia="zh-CN"/>
              </w:rPr>
            </w:pPr>
            <w:r>
              <w:rPr>
                <w:rFonts w:hint="eastAsia" w:cs="宋体"/>
                <w:i w:val="0"/>
                <w:iCs w:val="0"/>
                <w:caps w:val="0"/>
                <w:color w:val="333333"/>
                <w:spacing w:val="0"/>
                <w:sz w:val="24"/>
                <w:szCs w:val="24"/>
                <w:highlight w:val="none"/>
                <w:vertAlign w:val="baseline"/>
                <w:lang w:val="en-US" w:eastAsia="zh-CN"/>
              </w:rPr>
              <w:t>284</w:t>
            </w:r>
            <w:r>
              <w:rPr>
                <w:rFonts w:hint="eastAsia" w:ascii="宋体" w:hAnsi="宋体" w:eastAsia="宋体" w:cs="宋体"/>
                <w:i w:val="0"/>
                <w:iCs w:val="0"/>
                <w:caps w:val="0"/>
                <w:color w:val="333333"/>
                <w:spacing w:val="0"/>
                <w:sz w:val="24"/>
                <w:szCs w:val="24"/>
                <w:highlight w:val="none"/>
                <w:vertAlign w:val="baseline"/>
              </w:rPr>
              <w:t>/</w:t>
            </w:r>
            <w:r>
              <w:rPr>
                <w:rFonts w:hint="eastAsia" w:cs="宋体"/>
                <w:i w:val="0"/>
                <w:iCs w:val="0"/>
                <w:caps w:val="0"/>
                <w:color w:val="333333"/>
                <w:spacing w:val="0"/>
                <w:sz w:val="24"/>
                <w:szCs w:val="24"/>
                <w:highlight w:val="none"/>
                <w:vertAlign w:val="baseline"/>
                <w:lang w:val="en-US" w:eastAsia="zh-CN"/>
              </w:rPr>
              <w:t>12832</w:t>
            </w:r>
          </w:p>
        </w:tc>
        <w:tc>
          <w:tcPr>
            <w:tcW w:w="1583" w:type="dxa"/>
            <w:noWrap w:val="0"/>
            <w:vAlign w:val="center"/>
          </w:tcPr>
          <w:p>
            <w:pPr>
              <w:widowControl/>
              <w:jc w:val="center"/>
              <w:rPr>
                <w:rFonts w:hint="eastAsia" w:ascii="宋体" w:hAnsi="宋体" w:eastAsia="宋体" w:cs="宋体"/>
                <w:sz w:val="24"/>
                <w:szCs w:val="24"/>
                <w:highlight w:val="none"/>
              </w:rPr>
            </w:pPr>
          </w:p>
        </w:tc>
        <w:tc>
          <w:tcPr>
            <w:tcW w:w="1443" w:type="dxa"/>
            <w:noWrap w:val="0"/>
            <w:vAlign w:val="center"/>
          </w:tcPr>
          <w:p>
            <w:pPr>
              <w:widowControl/>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54"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总报价（元）</w:t>
            </w:r>
          </w:p>
        </w:tc>
        <w:tc>
          <w:tcPr>
            <w:tcW w:w="7403" w:type="dxa"/>
            <w:gridSpan w:val="5"/>
            <w:noWrap w:val="0"/>
            <w:vAlign w:val="center"/>
          </w:tcPr>
          <w:p>
            <w:pPr>
              <w:widowControl/>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widowControl/>
              <w:jc w:val="both"/>
              <w:rPr>
                <w:rFonts w:hint="eastAsia" w:ascii="宋体" w:hAnsi="宋体" w:eastAsia="宋体" w:cs="宋体"/>
                <w:sz w:val="24"/>
                <w:szCs w:val="24"/>
                <w:highlight w:val="none"/>
              </w:rPr>
            </w:pPr>
          </w:p>
          <w:p>
            <w:pPr>
              <w:widowControl/>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854"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c>
          <w:tcPr>
            <w:tcW w:w="7403" w:type="dxa"/>
            <w:gridSpan w:val="5"/>
            <w:noWrap w:val="0"/>
            <w:vAlign w:val="center"/>
          </w:tcPr>
          <w:p>
            <w:pPr>
              <w:widowControl/>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9257" w:type="dxa"/>
            <w:gridSpan w:val="6"/>
            <w:noWrap w:val="0"/>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1.本报价为供应商完成磋商项目所需的全部费用（包括劳务费、国家按现行税收政策征收的一切税费等）。</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2.磋商报价以元为单位，保留小数点后两位，大小写不一致时，以大写为准。</w:t>
            </w:r>
          </w:p>
        </w:tc>
      </w:tr>
    </w:tbl>
    <w:p>
      <w:pPr>
        <w:pStyle w:val="2"/>
        <w:rPr>
          <w:rFonts w:ascii="仿宋" w:hAnsi="仿宋" w:eastAsia="仿宋" w:cs="仿宋"/>
          <w:sz w:val="24"/>
          <w:highlight w:val="none"/>
        </w:rPr>
      </w:pPr>
    </w:p>
    <w:p>
      <w:pPr>
        <w:overflowPunct w:val="0"/>
        <w:spacing w:line="360" w:lineRule="auto"/>
        <w:jc w:val="center"/>
        <w:rPr>
          <w:rFonts w:ascii="仿宋" w:hAnsi="仿宋" w:eastAsia="仿宋" w:cs="仿宋"/>
          <w:sz w:val="24"/>
          <w:highlight w:val="none"/>
        </w:rPr>
      </w:pPr>
    </w:p>
    <w:p>
      <w:pPr>
        <w:overflowPunct w:val="0"/>
        <w:spacing w:line="360" w:lineRule="auto"/>
        <w:jc w:val="center"/>
        <w:rPr>
          <w:rFonts w:hint="eastAsia" w:ascii="宋体" w:hAnsi="宋体" w:eastAsia="宋体" w:cs="宋体"/>
          <w:sz w:val="24"/>
          <w:szCs w:val="24"/>
          <w:highlight w:val="none"/>
        </w:rPr>
      </w:pPr>
    </w:p>
    <w:p>
      <w:pPr>
        <w:spacing w:line="48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或委托代理人：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rPr>
        <w:t>签字或盖章</w:t>
      </w:r>
      <w:r>
        <w:rPr>
          <w:rFonts w:hint="eastAsia" w:ascii="宋体" w:hAnsi="宋体" w:eastAsia="宋体" w:cs="宋体"/>
          <w:sz w:val="24"/>
          <w:szCs w:val="24"/>
          <w:highlight w:val="none"/>
        </w:rPr>
        <w:t>)</w:t>
      </w:r>
    </w:p>
    <w:p>
      <w:pPr>
        <w:ind w:firstLine="3600" w:firstLineChars="1500"/>
        <w:rPr>
          <w:rFonts w:hint="eastAsia" w:ascii="宋体" w:hAnsi="宋体" w:eastAsia="宋体" w:cs="宋体"/>
          <w:b/>
          <w:bCs/>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51"/>
        <w:spacing w:before="156" w:beforeLines="50"/>
        <w:ind w:firstLine="2520" w:firstLineChars="900"/>
        <w:rPr>
          <w:rFonts w:ascii="宋体" w:hAnsi="宋体" w:cs="宋体"/>
          <w:color w:val="auto"/>
          <w:sz w:val="28"/>
          <w:szCs w:val="28"/>
          <w:highlight w:val="none"/>
        </w:rPr>
      </w:pPr>
    </w:p>
    <w:p>
      <w:pPr>
        <w:overflowPunct w:val="0"/>
        <w:spacing w:line="360" w:lineRule="auto"/>
        <w:jc w:val="center"/>
        <w:outlineLvl w:val="1"/>
        <w:rPr>
          <w:rFonts w:hint="eastAsia" w:ascii="宋体" w:hAnsi="宋体" w:cs="宋体"/>
          <w:b/>
          <w:bCs/>
          <w:sz w:val="28"/>
          <w:szCs w:val="28"/>
          <w:highlight w:val="none"/>
        </w:rPr>
      </w:pPr>
      <w:r>
        <w:rPr>
          <w:rFonts w:hint="eastAsia" w:ascii="宋体" w:hAnsi="宋体" w:cs="宋体"/>
          <w:b/>
          <w:bCs/>
          <w:sz w:val="28"/>
          <w:szCs w:val="28"/>
          <w:highlight w:val="none"/>
        </w:rPr>
        <w:br w:type="page"/>
      </w:r>
    </w:p>
    <w:p>
      <w:pPr>
        <w:overflowPunct w:val="0"/>
        <w:spacing w:line="360" w:lineRule="auto"/>
        <w:jc w:val="center"/>
        <w:rPr>
          <w:rFonts w:hint="default" w:ascii="宋体" w:hAnsi="宋体" w:eastAsia="宋体" w:cs="宋体"/>
          <w:sz w:val="24"/>
          <w:highlight w:val="none"/>
          <w:lang w:val="en-US" w:eastAsia="zh-CN"/>
        </w:rPr>
      </w:pPr>
      <w:r>
        <w:rPr>
          <w:rFonts w:hint="eastAsia" w:ascii="宋体" w:hAnsi="宋体" w:cs="宋体"/>
          <w:b/>
          <w:bCs/>
          <w:sz w:val="28"/>
          <w:szCs w:val="28"/>
          <w:highlight w:val="none"/>
          <w:lang w:val="en-US" w:eastAsia="zh-CN"/>
        </w:rPr>
        <w:t>报价表（第一次）</w:t>
      </w:r>
    </w:p>
    <w:p>
      <w:pPr>
        <w:overflowPunct w:val="0"/>
        <w:spacing w:line="360" w:lineRule="auto"/>
        <w:jc w:val="both"/>
        <w:rPr>
          <w:rFonts w:hint="default" w:ascii="仿宋" w:hAnsi="仿宋" w:eastAsia="仿宋" w:cs="仿宋"/>
          <w:sz w:val="24"/>
          <w:highlight w:val="none"/>
          <w:lang w:val="en-US" w:eastAsia="zh-CN"/>
        </w:rPr>
      </w:pPr>
      <w:r>
        <w:rPr>
          <w:rFonts w:hint="eastAsia" w:ascii="宋体" w:hAnsi="宋体" w:eastAsia="宋体" w:cs="宋体"/>
          <w:sz w:val="24"/>
          <w:highlight w:val="none"/>
          <w:lang w:eastAsia="zh-CN"/>
        </w:rPr>
        <w:t>合同包</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562"/>
        <w:gridCol w:w="1190"/>
        <w:gridCol w:w="1494"/>
        <w:gridCol w:w="151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846" w:type="dxa"/>
            <w:noWrap w:val="0"/>
            <w:vAlign w:val="center"/>
          </w:tcPr>
          <w:p>
            <w:pPr>
              <w:widowControl/>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包</w:t>
            </w:r>
          </w:p>
        </w:tc>
        <w:tc>
          <w:tcPr>
            <w:tcW w:w="1562"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190"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494"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511"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（元/延米）</w:t>
            </w:r>
          </w:p>
        </w:tc>
        <w:tc>
          <w:tcPr>
            <w:tcW w:w="1614"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846" w:type="dxa"/>
            <w:noWrap w:val="0"/>
            <w:vAlign w:val="center"/>
          </w:tcPr>
          <w:p>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JC2</w:t>
            </w:r>
          </w:p>
        </w:tc>
        <w:tc>
          <w:tcPr>
            <w:tcW w:w="1562" w:type="dxa"/>
            <w:noWrap w:val="0"/>
            <w:vAlign w:val="center"/>
          </w:tcPr>
          <w:p>
            <w:pPr>
              <w:widowControl/>
              <w:jc w:val="center"/>
              <w:rPr>
                <w:rFonts w:hint="eastAsia" w:ascii="宋体" w:hAnsi="宋体" w:eastAsia="宋体" w:cs="宋体"/>
                <w:sz w:val="24"/>
                <w:szCs w:val="24"/>
                <w:highlight w:val="none"/>
                <w:lang w:val="en-US" w:eastAsia="zh-CN"/>
              </w:rPr>
            </w:pPr>
            <w:r>
              <w:rPr>
                <w:rFonts w:hint="eastAsia"/>
                <w:color w:val="333333"/>
                <w:sz w:val="24"/>
                <w:szCs w:val="24"/>
                <w:highlight w:val="none"/>
                <w:shd w:val="clear" w:color="auto" w:fill="FFFFFF"/>
                <w:lang w:val="en-US" w:eastAsia="zh-CN"/>
              </w:rPr>
              <w:t>宝鸡、咸阳、汉中、安康、商洛</w:t>
            </w:r>
          </w:p>
        </w:tc>
        <w:tc>
          <w:tcPr>
            <w:tcW w:w="1190"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座/</w:t>
            </w:r>
            <w:r>
              <w:rPr>
                <w:rFonts w:hint="eastAsia" w:ascii="宋体" w:hAnsi="宋体" w:eastAsia="宋体" w:cs="宋体"/>
                <w:sz w:val="24"/>
                <w:szCs w:val="24"/>
                <w:highlight w:val="none"/>
              </w:rPr>
              <w:t>延米</w:t>
            </w:r>
          </w:p>
        </w:tc>
        <w:tc>
          <w:tcPr>
            <w:tcW w:w="1494" w:type="dxa"/>
            <w:noWrap w:val="0"/>
            <w:vAlign w:val="center"/>
          </w:tcPr>
          <w:p>
            <w:pPr>
              <w:widowControl/>
              <w:jc w:val="center"/>
              <w:rPr>
                <w:rFonts w:hint="eastAsia" w:ascii="宋体" w:hAnsi="宋体" w:eastAsia="宋体" w:cs="宋体"/>
                <w:sz w:val="24"/>
                <w:szCs w:val="24"/>
                <w:highlight w:val="none"/>
                <w:lang w:val="en-US" w:eastAsia="zh-CN"/>
              </w:rPr>
            </w:pPr>
            <w:r>
              <w:rPr>
                <w:rFonts w:hint="eastAsia" w:ascii="Times New Roman" w:hAnsi="Times New Roman" w:cs="宋体"/>
                <w:i w:val="0"/>
                <w:iCs w:val="0"/>
                <w:caps w:val="0"/>
                <w:color w:val="333333"/>
                <w:spacing w:val="0"/>
                <w:kern w:val="2"/>
                <w:sz w:val="24"/>
                <w:szCs w:val="24"/>
                <w:highlight w:val="none"/>
                <w:vertAlign w:val="baseline"/>
                <w:lang w:val="en-US" w:eastAsia="zh-CN" w:bidi="ar-SA"/>
              </w:rPr>
              <w:t>359</w:t>
            </w:r>
            <w:r>
              <w:rPr>
                <w:rFonts w:hint="eastAsia" w:ascii="Times New Roman" w:hAnsi="Times New Roman" w:eastAsia="宋体" w:cs="宋体"/>
                <w:i w:val="0"/>
                <w:iCs w:val="0"/>
                <w:caps w:val="0"/>
                <w:color w:val="333333"/>
                <w:spacing w:val="0"/>
                <w:kern w:val="2"/>
                <w:sz w:val="24"/>
                <w:szCs w:val="24"/>
                <w:highlight w:val="none"/>
                <w:vertAlign w:val="baseline"/>
                <w:lang w:val="en-US" w:eastAsia="zh-CN" w:bidi="ar-SA"/>
              </w:rPr>
              <w:t>/</w:t>
            </w:r>
            <w:r>
              <w:rPr>
                <w:rFonts w:hint="eastAsia" w:ascii="Times New Roman" w:hAnsi="Times New Roman" w:cs="宋体"/>
                <w:i w:val="0"/>
                <w:iCs w:val="0"/>
                <w:caps w:val="0"/>
                <w:color w:val="333333"/>
                <w:spacing w:val="0"/>
                <w:kern w:val="2"/>
                <w:sz w:val="24"/>
                <w:szCs w:val="24"/>
                <w:highlight w:val="none"/>
                <w:vertAlign w:val="baseline"/>
                <w:lang w:val="en-US" w:eastAsia="zh-CN" w:bidi="ar-SA"/>
              </w:rPr>
              <w:t>11707</w:t>
            </w:r>
          </w:p>
        </w:tc>
        <w:tc>
          <w:tcPr>
            <w:tcW w:w="1511" w:type="dxa"/>
            <w:noWrap w:val="0"/>
            <w:vAlign w:val="center"/>
          </w:tcPr>
          <w:p>
            <w:pPr>
              <w:widowControl/>
              <w:jc w:val="center"/>
              <w:rPr>
                <w:rFonts w:hint="eastAsia" w:ascii="宋体" w:hAnsi="宋体" w:eastAsia="宋体" w:cs="宋体"/>
                <w:sz w:val="24"/>
                <w:szCs w:val="24"/>
                <w:highlight w:val="none"/>
              </w:rPr>
            </w:pPr>
          </w:p>
        </w:tc>
        <w:tc>
          <w:tcPr>
            <w:tcW w:w="1614" w:type="dxa"/>
            <w:noWrap w:val="0"/>
            <w:vAlign w:val="center"/>
          </w:tcPr>
          <w:p>
            <w:pPr>
              <w:widowControl/>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846"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总报价（元）</w:t>
            </w:r>
          </w:p>
        </w:tc>
        <w:tc>
          <w:tcPr>
            <w:tcW w:w="7371" w:type="dxa"/>
            <w:gridSpan w:val="5"/>
            <w:noWrap w:val="0"/>
            <w:vAlign w:val="center"/>
          </w:tcPr>
          <w:p>
            <w:pPr>
              <w:widowControl/>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widowControl/>
              <w:jc w:val="both"/>
              <w:rPr>
                <w:rFonts w:hint="eastAsia" w:ascii="宋体" w:hAnsi="宋体" w:eastAsia="宋体" w:cs="宋体"/>
                <w:sz w:val="24"/>
                <w:szCs w:val="24"/>
                <w:highlight w:val="none"/>
              </w:rPr>
            </w:pPr>
          </w:p>
          <w:p>
            <w:pPr>
              <w:widowControl/>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846" w:type="dxa"/>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c>
          <w:tcPr>
            <w:tcW w:w="7371" w:type="dxa"/>
            <w:gridSpan w:val="5"/>
            <w:noWrap w:val="0"/>
            <w:vAlign w:val="center"/>
          </w:tcPr>
          <w:p>
            <w:pPr>
              <w:widowControl/>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217" w:type="dxa"/>
            <w:gridSpan w:val="6"/>
            <w:noWrap w:val="0"/>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1.本报价为供应商完成磋商项目所需的全部费用（包括劳务费、国家按现行税收政策征收的一切税费等）。</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2.磋商报价以元为单位，保留小数点后两位，大小写不一致时，以大写为准。</w:t>
            </w:r>
          </w:p>
        </w:tc>
      </w:tr>
    </w:tbl>
    <w:p>
      <w:pPr>
        <w:pStyle w:val="2"/>
        <w:rPr>
          <w:rFonts w:ascii="仿宋" w:hAnsi="仿宋" w:eastAsia="仿宋" w:cs="仿宋"/>
          <w:sz w:val="24"/>
          <w:highlight w:val="none"/>
        </w:rPr>
      </w:pPr>
    </w:p>
    <w:p>
      <w:pPr>
        <w:overflowPunct w:val="0"/>
        <w:spacing w:line="360" w:lineRule="auto"/>
        <w:jc w:val="center"/>
        <w:rPr>
          <w:rFonts w:ascii="仿宋" w:hAnsi="仿宋" w:eastAsia="仿宋" w:cs="仿宋"/>
          <w:sz w:val="24"/>
          <w:highlight w:val="none"/>
        </w:rPr>
      </w:pPr>
    </w:p>
    <w:p>
      <w:pPr>
        <w:overflowPunct w:val="0"/>
        <w:spacing w:line="360" w:lineRule="auto"/>
        <w:jc w:val="center"/>
        <w:rPr>
          <w:rFonts w:hint="eastAsia" w:ascii="宋体" w:hAnsi="宋体" w:eastAsia="宋体" w:cs="宋体"/>
          <w:sz w:val="24"/>
          <w:szCs w:val="24"/>
          <w:highlight w:val="none"/>
        </w:rPr>
      </w:pPr>
    </w:p>
    <w:p>
      <w:pPr>
        <w:spacing w:line="48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或委托代理人：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rPr>
        <w:t>签字或盖章</w:t>
      </w:r>
      <w:r>
        <w:rPr>
          <w:rFonts w:hint="eastAsia" w:ascii="宋体" w:hAnsi="宋体" w:eastAsia="宋体" w:cs="宋体"/>
          <w:sz w:val="24"/>
          <w:szCs w:val="24"/>
          <w:highlight w:val="none"/>
        </w:rPr>
        <w:t>)</w:t>
      </w:r>
    </w:p>
    <w:p>
      <w:pPr>
        <w:ind w:firstLine="3600" w:firstLineChars="1500"/>
        <w:rPr>
          <w:rFonts w:hint="eastAsia" w:ascii="宋体" w:hAnsi="宋体" w:eastAsia="宋体" w:cs="宋体"/>
          <w:b/>
          <w:bCs/>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ind w:firstLine="4578" w:firstLineChars="1900"/>
        <w:rPr>
          <w:rFonts w:hint="eastAsia" w:ascii="宋体" w:hAnsi="宋体" w:eastAsia="宋体" w:cs="宋体"/>
          <w:b/>
          <w:bCs/>
          <w:sz w:val="24"/>
          <w:szCs w:val="24"/>
          <w:highlight w:val="none"/>
        </w:rPr>
      </w:pPr>
    </w:p>
    <w:p>
      <w:pPr>
        <w:overflowPunct w:val="0"/>
        <w:spacing w:line="360" w:lineRule="auto"/>
        <w:jc w:val="center"/>
        <w:outlineLvl w:val="1"/>
        <w:rPr>
          <w:rFonts w:hint="eastAsia" w:ascii="宋体" w:hAnsi="宋体" w:cs="宋体"/>
          <w:b/>
          <w:bCs/>
          <w:sz w:val="28"/>
          <w:szCs w:val="28"/>
          <w:highlight w:val="none"/>
        </w:rPr>
      </w:pPr>
    </w:p>
    <w:p>
      <w:pPr>
        <w:overflowPunct w:val="0"/>
        <w:spacing w:line="360" w:lineRule="auto"/>
        <w:jc w:val="center"/>
        <w:outlineLvl w:val="1"/>
        <w:rPr>
          <w:rFonts w:hint="eastAsia" w:ascii="宋体" w:hAnsi="宋体" w:cs="宋体"/>
          <w:b/>
          <w:bCs/>
          <w:sz w:val="28"/>
          <w:szCs w:val="28"/>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pPr>
        <w:jc w:val="center"/>
        <w:outlineLvl w:val="1"/>
        <w:rPr>
          <w:rFonts w:ascii="宋体" w:hAnsi="宋体" w:cs="宋体"/>
          <w:b/>
          <w:bCs/>
          <w:sz w:val="28"/>
          <w:szCs w:val="28"/>
          <w:highlight w:val="none"/>
        </w:rPr>
      </w:pPr>
      <w:r>
        <w:rPr>
          <w:rFonts w:hint="eastAsia" w:ascii="宋体" w:hAnsi="宋体" w:cs="宋体"/>
          <w:b/>
          <w:bCs/>
          <w:sz w:val="28"/>
          <w:szCs w:val="28"/>
          <w:highlight w:val="none"/>
        </w:rPr>
        <w:t>五、近</w:t>
      </w:r>
      <w:r>
        <w:rPr>
          <w:rFonts w:hint="eastAsia" w:ascii="宋体" w:hAnsi="宋体" w:cs="宋体"/>
          <w:b/>
          <w:bCs/>
          <w:sz w:val="28"/>
          <w:szCs w:val="28"/>
          <w:highlight w:val="none"/>
          <w:lang w:val="en-US" w:eastAsia="zh-CN"/>
        </w:rPr>
        <w:t>三</w:t>
      </w:r>
      <w:r>
        <w:rPr>
          <w:rFonts w:hint="eastAsia" w:ascii="宋体" w:hAnsi="宋体" w:cs="宋体"/>
          <w:b/>
          <w:bCs/>
          <w:sz w:val="28"/>
          <w:szCs w:val="28"/>
          <w:highlight w:val="none"/>
        </w:rPr>
        <w:t>年承接的类似项目情况表</w:t>
      </w:r>
      <w:bookmarkEnd w:id="114"/>
    </w:p>
    <w:p>
      <w:pPr>
        <w:keepNext/>
        <w:keepLines/>
        <w:jc w:val="center"/>
        <w:rPr>
          <w:rFonts w:ascii="宋体" w:hAnsi="宋体" w:cs="宋体"/>
          <w:b/>
          <w:bCs/>
          <w:sz w:val="24"/>
          <w:szCs w:val="24"/>
          <w:highlight w:val="none"/>
        </w:rPr>
      </w:pPr>
      <w:r>
        <w:rPr>
          <w:rFonts w:hint="eastAsia" w:ascii="宋体" w:hAnsi="宋体" w:cs="宋体"/>
          <w:b/>
          <w:bCs/>
          <w:sz w:val="24"/>
          <w:szCs w:val="24"/>
          <w:highlight w:val="none"/>
        </w:rPr>
        <w:t>1、业绩统计表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43" w:type="dxa"/>
            <w:noWrap w:val="0"/>
            <w:vAlign w:val="center"/>
          </w:tcPr>
          <w:p>
            <w:pPr>
              <w:keepNext/>
              <w:keepLines/>
              <w:spacing w:line="416" w:lineRule="auto"/>
              <w:jc w:val="center"/>
              <w:rPr>
                <w:rFonts w:hint="eastAsia" w:ascii="宋体" w:hAnsi="宋体" w:eastAsia="宋体" w:cs="宋体"/>
                <w:sz w:val="24"/>
                <w:szCs w:val="24"/>
                <w:highlight w:val="none"/>
              </w:rPr>
            </w:pPr>
            <w:bookmarkStart w:id="115" w:name="_Toc11643"/>
            <w:r>
              <w:rPr>
                <w:rFonts w:hint="eastAsia" w:ascii="宋体" w:hAnsi="宋体" w:eastAsia="宋体" w:cs="宋体"/>
                <w:sz w:val="24"/>
                <w:szCs w:val="24"/>
                <w:highlight w:val="none"/>
              </w:rPr>
              <w:t>序号</w:t>
            </w:r>
            <w:bookmarkEnd w:id="115"/>
          </w:p>
        </w:tc>
        <w:tc>
          <w:tcPr>
            <w:tcW w:w="3316" w:type="dxa"/>
            <w:noWrap w:val="0"/>
            <w:vAlign w:val="center"/>
          </w:tcPr>
          <w:p>
            <w:pPr>
              <w:keepNext/>
              <w:keepLines/>
              <w:spacing w:line="416" w:lineRule="auto"/>
              <w:jc w:val="center"/>
              <w:rPr>
                <w:rFonts w:hint="eastAsia" w:ascii="宋体" w:hAnsi="宋体" w:eastAsia="宋体" w:cs="宋体"/>
                <w:sz w:val="24"/>
                <w:szCs w:val="24"/>
                <w:highlight w:val="none"/>
              </w:rPr>
            </w:pPr>
            <w:bookmarkStart w:id="116" w:name="_Toc8421"/>
            <w:r>
              <w:rPr>
                <w:rFonts w:hint="eastAsia" w:ascii="宋体" w:hAnsi="宋体" w:eastAsia="宋体" w:cs="宋体"/>
                <w:sz w:val="24"/>
                <w:szCs w:val="24"/>
                <w:highlight w:val="none"/>
              </w:rPr>
              <w:t>业绩名称</w:t>
            </w:r>
            <w:bookmarkEnd w:id="116"/>
          </w:p>
        </w:tc>
        <w:tc>
          <w:tcPr>
            <w:tcW w:w="2280" w:type="dxa"/>
            <w:noWrap w:val="0"/>
            <w:vAlign w:val="center"/>
          </w:tcPr>
          <w:p>
            <w:pPr>
              <w:keepNext/>
              <w:keepLines/>
              <w:spacing w:line="416" w:lineRule="auto"/>
              <w:jc w:val="center"/>
              <w:rPr>
                <w:rFonts w:hint="eastAsia" w:ascii="宋体" w:hAnsi="宋体" w:eastAsia="宋体" w:cs="宋体"/>
                <w:sz w:val="24"/>
                <w:szCs w:val="24"/>
                <w:highlight w:val="none"/>
              </w:rPr>
            </w:pPr>
            <w:bookmarkStart w:id="117" w:name="_Toc24868"/>
            <w:r>
              <w:rPr>
                <w:rFonts w:hint="eastAsia" w:ascii="宋体" w:hAnsi="宋体" w:eastAsia="宋体" w:cs="宋体"/>
                <w:sz w:val="24"/>
                <w:szCs w:val="24"/>
                <w:highlight w:val="none"/>
              </w:rPr>
              <w:t>执行时间</w:t>
            </w:r>
            <w:bookmarkEnd w:id="117"/>
          </w:p>
        </w:tc>
        <w:tc>
          <w:tcPr>
            <w:tcW w:w="2281" w:type="dxa"/>
            <w:noWrap w:val="0"/>
            <w:vAlign w:val="center"/>
          </w:tcPr>
          <w:p>
            <w:pPr>
              <w:keepNext/>
              <w:keepLines/>
              <w:spacing w:line="416" w:lineRule="auto"/>
              <w:jc w:val="center"/>
              <w:rPr>
                <w:rFonts w:hint="eastAsia" w:ascii="宋体" w:hAnsi="宋体" w:eastAsia="宋体" w:cs="宋体"/>
                <w:sz w:val="24"/>
                <w:szCs w:val="24"/>
                <w:highlight w:val="none"/>
              </w:rPr>
            </w:pPr>
            <w:bookmarkStart w:id="118" w:name="_Toc30689"/>
            <w:r>
              <w:rPr>
                <w:rFonts w:hint="eastAsia" w:ascii="宋体" w:hAnsi="宋体" w:eastAsia="宋体" w:cs="宋体"/>
                <w:sz w:val="24"/>
                <w:szCs w:val="24"/>
                <w:highlight w:val="none"/>
              </w:rPr>
              <w:t>备注</w:t>
            </w:r>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43" w:type="dxa"/>
            <w:noWrap w:val="0"/>
            <w:vAlign w:val="center"/>
          </w:tcPr>
          <w:p>
            <w:pPr>
              <w:keepNext/>
              <w:keepLines/>
              <w:spacing w:line="416" w:lineRule="auto"/>
              <w:rPr>
                <w:rFonts w:hint="eastAsia" w:ascii="宋体" w:hAnsi="宋体" w:eastAsia="宋体" w:cs="宋体"/>
                <w:sz w:val="24"/>
                <w:szCs w:val="24"/>
                <w:highlight w:val="none"/>
              </w:rPr>
            </w:pPr>
          </w:p>
        </w:tc>
        <w:tc>
          <w:tcPr>
            <w:tcW w:w="3316" w:type="dxa"/>
            <w:noWrap w:val="0"/>
            <w:vAlign w:val="center"/>
          </w:tcPr>
          <w:p>
            <w:pPr>
              <w:keepNext/>
              <w:keepLines/>
              <w:spacing w:line="416" w:lineRule="auto"/>
              <w:rPr>
                <w:rFonts w:hint="eastAsia" w:ascii="宋体" w:hAnsi="宋体" w:eastAsia="宋体" w:cs="宋体"/>
                <w:sz w:val="24"/>
                <w:szCs w:val="24"/>
                <w:highlight w:val="none"/>
              </w:rPr>
            </w:pPr>
          </w:p>
        </w:tc>
        <w:tc>
          <w:tcPr>
            <w:tcW w:w="2280" w:type="dxa"/>
            <w:noWrap w:val="0"/>
            <w:vAlign w:val="center"/>
          </w:tcPr>
          <w:p>
            <w:pPr>
              <w:keepNext/>
              <w:keepLines/>
              <w:spacing w:line="416" w:lineRule="auto"/>
              <w:rPr>
                <w:rFonts w:hint="eastAsia" w:ascii="宋体" w:hAnsi="宋体" w:eastAsia="宋体" w:cs="宋体"/>
                <w:sz w:val="24"/>
                <w:szCs w:val="24"/>
                <w:highlight w:val="none"/>
              </w:rPr>
            </w:pPr>
          </w:p>
        </w:tc>
        <w:tc>
          <w:tcPr>
            <w:tcW w:w="2281" w:type="dxa"/>
            <w:noWrap w:val="0"/>
            <w:vAlign w:val="center"/>
          </w:tcPr>
          <w:p>
            <w:pPr>
              <w:keepNext/>
              <w:keepLines/>
              <w:spacing w:line="416"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43" w:type="dxa"/>
            <w:noWrap w:val="0"/>
            <w:vAlign w:val="center"/>
          </w:tcPr>
          <w:p>
            <w:pPr>
              <w:keepNext/>
              <w:keepLines/>
              <w:spacing w:line="416" w:lineRule="auto"/>
              <w:rPr>
                <w:rFonts w:hint="eastAsia" w:ascii="宋体" w:hAnsi="宋体" w:eastAsia="宋体" w:cs="宋体"/>
                <w:sz w:val="24"/>
                <w:szCs w:val="24"/>
                <w:highlight w:val="none"/>
              </w:rPr>
            </w:pPr>
          </w:p>
        </w:tc>
        <w:tc>
          <w:tcPr>
            <w:tcW w:w="3316" w:type="dxa"/>
            <w:noWrap w:val="0"/>
            <w:vAlign w:val="center"/>
          </w:tcPr>
          <w:p>
            <w:pPr>
              <w:keepNext/>
              <w:keepLines/>
              <w:spacing w:line="416" w:lineRule="auto"/>
              <w:rPr>
                <w:rFonts w:hint="eastAsia" w:ascii="宋体" w:hAnsi="宋体" w:eastAsia="宋体" w:cs="宋体"/>
                <w:sz w:val="24"/>
                <w:szCs w:val="24"/>
                <w:highlight w:val="none"/>
              </w:rPr>
            </w:pPr>
          </w:p>
        </w:tc>
        <w:tc>
          <w:tcPr>
            <w:tcW w:w="2280" w:type="dxa"/>
            <w:noWrap w:val="0"/>
            <w:vAlign w:val="center"/>
          </w:tcPr>
          <w:p>
            <w:pPr>
              <w:keepNext/>
              <w:keepLines/>
              <w:spacing w:line="416" w:lineRule="auto"/>
              <w:rPr>
                <w:rFonts w:hint="eastAsia" w:ascii="宋体" w:hAnsi="宋体" w:eastAsia="宋体" w:cs="宋体"/>
                <w:sz w:val="24"/>
                <w:szCs w:val="24"/>
                <w:highlight w:val="none"/>
              </w:rPr>
            </w:pPr>
          </w:p>
        </w:tc>
        <w:tc>
          <w:tcPr>
            <w:tcW w:w="2281" w:type="dxa"/>
            <w:noWrap w:val="0"/>
            <w:vAlign w:val="center"/>
          </w:tcPr>
          <w:p>
            <w:pPr>
              <w:keepNext/>
              <w:keepLines/>
              <w:spacing w:line="416"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43" w:type="dxa"/>
            <w:noWrap w:val="0"/>
            <w:vAlign w:val="center"/>
          </w:tcPr>
          <w:p>
            <w:pPr>
              <w:keepNext/>
              <w:keepLines/>
              <w:spacing w:line="416" w:lineRule="auto"/>
              <w:rPr>
                <w:rFonts w:hint="eastAsia" w:ascii="宋体" w:hAnsi="宋体" w:eastAsia="宋体" w:cs="宋体"/>
                <w:sz w:val="24"/>
                <w:szCs w:val="24"/>
                <w:highlight w:val="none"/>
              </w:rPr>
            </w:pPr>
          </w:p>
        </w:tc>
        <w:tc>
          <w:tcPr>
            <w:tcW w:w="3316" w:type="dxa"/>
            <w:noWrap w:val="0"/>
            <w:vAlign w:val="center"/>
          </w:tcPr>
          <w:p>
            <w:pPr>
              <w:keepNext/>
              <w:keepLines/>
              <w:spacing w:line="416" w:lineRule="auto"/>
              <w:rPr>
                <w:rFonts w:hint="eastAsia" w:ascii="宋体" w:hAnsi="宋体" w:eastAsia="宋体" w:cs="宋体"/>
                <w:sz w:val="24"/>
                <w:szCs w:val="24"/>
                <w:highlight w:val="none"/>
              </w:rPr>
            </w:pPr>
          </w:p>
        </w:tc>
        <w:tc>
          <w:tcPr>
            <w:tcW w:w="2280" w:type="dxa"/>
            <w:noWrap w:val="0"/>
            <w:vAlign w:val="center"/>
          </w:tcPr>
          <w:p>
            <w:pPr>
              <w:keepNext/>
              <w:keepLines/>
              <w:spacing w:line="416" w:lineRule="auto"/>
              <w:rPr>
                <w:rFonts w:hint="eastAsia" w:ascii="宋体" w:hAnsi="宋体" w:eastAsia="宋体" w:cs="宋体"/>
                <w:sz w:val="24"/>
                <w:szCs w:val="24"/>
                <w:highlight w:val="none"/>
              </w:rPr>
            </w:pPr>
          </w:p>
        </w:tc>
        <w:tc>
          <w:tcPr>
            <w:tcW w:w="2281" w:type="dxa"/>
            <w:noWrap w:val="0"/>
            <w:vAlign w:val="center"/>
          </w:tcPr>
          <w:p>
            <w:pPr>
              <w:keepNext/>
              <w:keepLines/>
              <w:spacing w:line="416"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43" w:type="dxa"/>
            <w:noWrap w:val="0"/>
            <w:vAlign w:val="center"/>
          </w:tcPr>
          <w:p>
            <w:pPr>
              <w:keepNext/>
              <w:keepLines/>
              <w:spacing w:line="416" w:lineRule="auto"/>
              <w:rPr>
                <w:rFonts w:hint="eastAsia" w:ascii="宋体" w:hAnsi="宋体" w:eastAsia="宋体" w:cs="宋体"/>
                <w:sz w:val="24"/>
                <w:szCs w:val="24"/>
                <w:highlight w:val="none"/>
              </w:rPr>
            </w:pPr>
          </w:p>
        </w:tc>
        <w:tc>
          <w:tcPr>
            <w:tcW w:w="3316" w:type="dxa"/>
            <w:noWrap w:val="0"/>
            <w:vAlign w:val="center"/>
          </w:tcPr>
          <w:p>
            <w:pPr>
              <w:keepNext/>
              <w:keepLines/>
              <w:spacing w:line="416" w:lineRule="auto"/>
              <w:rPr>
                <w:rFonts w:hint="eastAsia" w:ascii="宋体" w:hAnsi="宋体" w:eastAsia="宋体" w:cs="宋体"/>
                <w:sz w:val="24"/>
                <w:szCs w:val="24"/>
                <w:highlight w:val="none"/>
              </w:rPr>
            </w:pPr>
          </w:p>
        </w:tc>
        <w:tc>
          <w:tcPr>
            <w:tcW w:w="2280" w:type="dxa"/>
            <w:noWrap w:val="0"/>
            <w:vAlign w:val="center"/>
          </w:tcPr>
          <w:p>
            <w:pPr>
              <w:keepNext/>
              <w:keepLines/>
              <w:spacing w:line="416" w:lineRule="auto"/>
              <w:rPr>
                <w:rFonts w:hint="eastAsia" w:ascii="宋体" w:hAnsi="宋体" w:eastAsia="宋体" w:cs="宋体"/>
                <w:sz w:val="24"/>
                <w:szCs w:val="24"/>
                <w:highlight w:val="none"/>
              </w:rPr>
            </w:pPr>
          </w:p>
        </w:tc>
        <w:tc>
          <w:tcPr>
            <w:tcW w:w="2281" w:type="dxa"/>
            <w:noWrap w:val="0"/>
            <w:vAlign w:val="center"/>
          </w:tcPr>
          <w:p>
            <w:pPr>
              <w:keepNext/>
              <w:keepLines/>
              <w:spacing w:line="416"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43" w:type="dxa"/>
            <w:noWrap w:val="0"/>
            <w:vAlign w:val="center"/>
          </w:tcPr>
          <w:p>
            <w:pPr>
              <w:keepNext/>
              <w:keepLines/>
              <w:spacing w:line="416" w:lineRule="auto"/>
              <w:rPr>
                <w:rFonts w:hint="eastAsia" w:ascii="宋体" w:hAnsi="宋体" w:eastAsia="宋体" w:cs="宋体"/>
                <w:sz w:val="24"/>
                <w:szCs w:val="24"/>
                <w:highlight w:val="none"/>
              </w:rPr>
            </w:pPr>
          </w:p>
        </w:tc>
        <w:tc>
          <w:tcPr>
            <w:tcW w:w="3316" w:type="dxa"/>
            <w:noWrap w:val="0"/>
            <w:vAlign w:val="center"/>
          </w:tcPr>
          <w:p>
            <w:pPr>
              <w:keepNext/>
              <w:keepLines/>
              <w:spacing w:line="416" w:lineRule="auto"/>
              <w:rPr>
                <w:rFonts w:hint="eastAsia" w:ascii="宋体" w:hAnsi="宋体" w:eastAsia="宋体" w:cs="宋体"/>
                <w:sz w:val="24"/>
                <w:szCs w:val="24"/>
                <w:highlight w:val="none"/>
              </w:rPr>
            </w:pPr>
          </w:p>
        </w:tc>
        <w:tc>
          <w:tcPr>
            <w:tcW w:w="2280" w:type="dxa"/>
            <w:noWrap w:val="0"/>
            <w:vAlign w:val="center"/>
          </w:tcPr>
          <w:p>
            <w:pPr>
              <w:keepNext/>
              <w:keepLines/>
              <w:spacing w:line="416" w:lineRule="auto"/>
              <w:rPr>
                <w:rFonts w:hint="eastAsia" w:ascii="宋体" w:hAnsi="宋体" w:eastAsia="宋体" w:cs="宋体"/>
                <w:sz w:val="24"/>
                <w:szCs w:val="24"/>
                <w:highlight w:val="none"/>
              </w:rPr>
            </w:pPr>
          </w:p>
        </w:tc>
        <w:tc>
          <w:tcPr>
            <w:tcW w:w="2281" w:type="dxa"/>
            <w:noWrap w:val="0"/>
            <w:vAlign w:val="center"/>
          </w:tcPr>
          <w:p>
            <w:pPr>
              <w:keepNext/>
              <w:keepLines/>
              <w:spacing w:line="416"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43" w:type="dxa"/>
            <w:noWrap w:val="0"/>
            <w:vAlign w:val="center"/>
          </w:tcPr>
          <w:p>
            <w:pPr>
              <w:keepNext/>
              <w:keepLines/>
              <w:spacing w:line="416" w:lineRule="auto"/>
              <w:rPr>
                <w:rFonts w:hint="eastAsia" w:ascii="宋体" w:hAnsi="宋体" w:eastAsia="宋体" w:cs="宋体"/>
                <w:sz w:val="24"/>
                <w:szCs w:val="24"/>
                <w:highlight w:val="none"/>
              </w:rPr>
            </w:pPr>
          </w:p>
        </w:tc>
        <w:tc>
          <w:tcPr>
            <w:tcW w:w="3316" w:type="dxa"/>
            <w:noWrap w:val="0"/>
            <w:vAlign w:val="center"/>
          </w:tcPr>
          <w:p>
            <w:pPr>
              <w:keepNext/>
              <w:keepLines/>
              <w:spacing w:line="416" w:lineRule="auto"/>
              <w:rPr>
                <w:rFonts w:hint="eastAsia" w:ascii="宋体" w:hAnsi="宋体" w:eastAsia="宋体" w:cs="宋体"/>
                <w:sz w:val="24"/>
                <w:szCs w:val="24"/>
                <w:highlight w:val="none"/>
              </w:rPr>
            </w:pPr>
          </w:p>
        </w:tc>
        <w:tc>
          <w:tcPr>
            <w:tcW w:w="2280" w:type="dxa"/>
            <w:noWrap w:val="0"/>
            <w:vAlign w:val="center"/>
          </w:tcPr>
          <w:p>
            <w:pPr>
              <w:keepNext/>
              <w:keepLines/>
              <w:spacing w:line="416" w:lineRule="auto"/>
              <w:rPr>
                <w:rFonts w:hint="eastAsia" w:ascii="宋体" w:hAnsi="宋体" w:eastAsia="宋体" w:cs="宋体"/>
                <w:sz w:val="24"/>
                <w:szCs w:val="24"/>
                <w:highlight w:val="none"/>
              </w:rPr>
            </w:pPr>
          </w:p>
        </w:tc>
        <w:tc>
          <w:tcPr>
            <w:tcW w:w="2281" w:type="dxa"/>
            <w:noWrap w:val="0"/>
            <w:vAlign w:val="center"/>
          </w:tcPr>
          <w:p>
            <w:pPr>
              <w:keepNext/>
              <w:keepLines/>
              <w:spacing w:line="416"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43" w:type="dxa"/>
            <w:noWrap w:val="0"/>
            <w:vAlign w:val="center"/>
          </w:tcPr>
          <w:p>
            <w:pPr>
              <w:keepNext/>
              <w:keepLines/>
              <w:spacing w:line="416" w:lineRule="auto"/>
              <w:rPr>
                <w:rFonts w:hint="eastAsia" w:ascii="宋体" w:hAnsi="宋体" w:eastAsia="宋体" w:cs="宋体"/>
                <w:sz w:val="24"/>
                <w:szCs w:val="24"/>
                <w:highlight w:val="none"/>
              </w:rPr>
            </w:pPr>
          </w:p>
        </w:tc>
        <w:tc>
          <w:tcPr>
            <w:tcW w:w="3316" w:type="dxa"/>
            <w:noWrap w:val="0"/>
            <w:vAlign w:val="center"/>
          </w:tcPr>
          <w:p>
            <w:pPr>
              <w:keepNext/>
              <w:keepLines/>
              <w:spacing w:line="416" w:lineRule="auto"/>
              <w:rPr>
                <w:rFonts w:hint="eastAsia" w:ascii="宋体" w:hAnsi="宋体" w:eastAsia="宋体" w:cs="宋体"/>
                <w:sz w:val="24"/>
                <w:szCs w:val="24"/>
                <w:highlight w:val="none"/>
              </w:rPr>
            </w:pPr>
          </w:p>
        </w:tc>
        <w:tc>
          <w:tcPr>
            <w:tcW w:w="2280" w:type="dxa"/>
            <w:noWrap w:val="0"/>
            <w:vAlign w:val="center"/>
          </w:tcPr>
          <w:p>
            <w:pPr>
              <w:keepNext/>
              <w:keepLines/>
              <w:spacing w:line="416" w:lineRule="auto"/>
              <w:rPr>
                <w:rFonts w:hint="eastAsia" w:ascii="宋体" w:hAnsi="宋体" w:eastAsia="宋体" w:cs="宋体"/>
                <w:sz w:val="24"/>
                <w:szCs w:val="24"/>
                <w:highlight w:val="none"/>
              </w:rPr>
            </w:pPr>
          </w:p>
        </w:tc>
        <w:tc>
          <w:tcPr>
            <w:tcW w:w="2281" w:type="dxa"/>
            <w:noWrap w:val="0"/>
            <w:vAlign w:val="center"/>
          </w:tcPr>
          <w:p>
            <w:pPr>
              <w:keepNext/>
              <w:keepLines/>
              <w:spacing w:line="416"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243" w:type="dxa"/>
            <w:noWrap w:val="0"/>
            <w:vAlign w:val="center"/>
          </w:tcPr>
          <w:p>
            <w:pPr>
              <w:keepNext/>
              <w:keepLines/>
              <w:spacing w:line="416" w:lineRule="auto"/>
              <w:rPr>
                <w:rFonts w:hint="eastAsia" w:ascii="宋体" w:hAnsi="宋体" w:eastAsia="宋体" w:cs="宋体"/>
                <w:sz w:val="24"/>
                <w:szCs w:val="24"/>
                <w:highlight w:val="none"/>
              </w:rPr>
            </w:pPr>
          </w:p>
        </w:tc>
        <w:tc>
          <w:tcPr>
            <w:tcW w:w="3316" w:type="dxa"/>
            <w:noWrap w:val="0"/>
            <w:vAlign w:val="center"/>
          </w:tcPr>
          <w:p>
            <w:pPr>
              <w:keepNext/>
              <w:keepLines/>
              <w:spacing w:line="416" w:lineRule="auto"/>
              <w:rPr>
                <w:rFonts w:hint="eastAsia" w:ascii="宋体" w:hAnsi="宋体" w:eastAsia="宋体" w:cs="宋体"/>
                <w:sz w:val="24"/>
                <w:szCs w:val="24"/>
                <w:highlight w:val="none"/>
              </w:rPr>
            </w:pPr>
          </w:p>
        </w:tc>
        <w:tc>
          <w:tcPr>
            <w:tcW w:w="2280" w:type="dxa"/>
            <w:noWrap w:val="0"/>
            <w:vAlign w:val="center"/>
          </w:tcPr>
          <w:p>
            <w:pPr>
              <w:keepNext/>
              <w:keepLines/>
              <w:spacing w:line="416" w:lineRule="auto"/>
              <w:rPr>
                <w:rFonts w:hint="eastAsia" w:ascii="宋体" w:hAnsi="宋体" w:eastAsia="宋体" w:cs="宋体"/>
                <w:sz w:val="24"/>
                <w:szCs w:val="24"/>
                <w:highlight w:val="none"/>
              </w:rPr>
            </w:pPr>
          </w:p>
        </w:tc>
        <w:tc>
          <w:tcPr>
            <w:tcW w:w="2281" w:type="dxa"/>
            <w:noWrap w:val="0"/>
            <w:vAlign w:val="center"/>
          </w:tcPr>
          <w:p>
            <w:pPr>
              <w:keepNext/>
              <w:keepLines/>
              <w:spacing w:line="416" w:lineRule="auto"/>
              <w:rPr>
                <w:rFonts w:hint="eastAsia" w:ascii="宋体" w:hAnsi="宋体" w:eastAsia="宋体" w:cs="宋体"/>
                <w:sz w:val="24"/>
                <w:szCs w:val="24"/>
                <w:highlight w:val="none"/>
              </w:rPr>
            </w:pPr>
          </w:p>
        </w:tc>
      </w:tr>
    </w:tbl>
    <w:p>
      <w:pPr>
        <w:pStyle w:val="5"/>
        <w:jc w:val="both"/>
        <w:rPr>
          <w:rFonts w:ascii="宋体" w:hAnsi="宋体" w:cs="宋体"/>
          <w:sz w:val="24"/>
          <w:szCs w:val="24"/>
          <w:highlight w:val="none"/>
        </w:rPr>
      </w:pPr>
    </w:p>
    <w:p>
      <w:pPr>
        <w:rPr>
          <w:rFonts w:ascii="宋体" w:hAnsi="宋体" w:cs="宋体"/>
          <w:sz w:val="24"/>
          <w:szCs w:val="24"/>
          <w:highlight w:val="none"/>
        </w:rPr>
      </w:pPr>
    </w:p>
    <w:p>
      <w:pPr>
        <w:spacing w:line="480" w:lineRule="auto"/>
        <w:ind w:firstLine="2520" w:firstLineChars="1050"/>
        <w:rPr>
          <w:rFonts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（盖章）</w:t>
      </w:r>
    </w:p>
    <w:p>
      <w:pPr>
        <w:spacing w:line="360" w:lineRule="auto"/>
        <w:ind w:firstLine="2520" w:firstLineChars="1050"/>
        <w:rPr>
          <w:rFonts w:ascii="宋体" w:hAnsi="宋体" w:cs="宋体"/>
          <w:sz w:val="24"/>
          <w:szCs w:val="24"/>
          <w:highlight w:val="none"/>
        </w:rPr>
      </w:pPr>
      <w:r>
        <w:rPr>
          <w:rFonts w:hint="eastAsia" w:ascii="宋体" w:hAnsi="宋体" w:cs="宋体"/>
          <w:sz w:val="24"/>
          <w:szCs w:val="24"/>
          <w:highlight w:val="none"/>
        </w:rPr>
        <w:t>法定代表人</w:t>
      </w:r>
    </w:p>
    <w:p>
      <w:pPr>
        <w:spacing w:line="360" w:lineRule="auto"/>
        <w:ind w:firstLine="2520" w:firstLineChars="1050"/>
        <w:rPr>
          <w:rFonts w:ascii="宋体" w:hAnsi="宋体" w:cs="宋体"/>
          <w:sz w:val="24"/>
          <w:szCs w:val="24"/>
          <w:highlight w:val="none"/>
        </w:rPr>
      </w:pPr>
      <w:r>
        <w:rPr>
          <w:rFonts w:hint="eastAsia" w:ascii="宋体" w:hAnsi="宋体" w:cs="宋体"/>
          <w:sz w:val="24"/>
          <w:szCs w:val="24"/>
          <w:highlight w:val="none"/>
        </w:rPr>
        <w:t>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pPr>
        <w:pStyle w:val="51"/>
        <w:spacing w:before="156" w:beforeLines="50"/>
        <w:ind w:firstLine="2520" w:firstLineChars="105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5"/>
        <w:rPr>
          <w:rFonts w:ascii="宋体" w:hAnsi="宋体" w:cs="宋体"/>
          <w:highlight w:val="none"/>
        </w:rPr>
      </w:pPr>
    </w:p>
    <w:p>
      <w:pPr>
        <w:rPr>
          <w:rFonts w:ascii="宋体" w:hAnsi="宋体" w:cs="宋体"/>
          <w:highlight w:val="none"/>
        </w:rPr>
      </w:pPr>
    </w:p>
    <w:p>
      <w:pPr>
        <w:jc w:val="center"/>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2、</w:t>
      </w:r>
      <w:r>
        <w:rPr>
          <w:rFonts w:hint="eastAsia" w:ascii="宋体" w:hAnsi="宋体" w:cs="宋体"/>
          <w:b/>
          <w:sz w:val="24"/>
          <w:highlight w:val="none"/>
          <w:lang w:val="en-US" w:eastAsia="zh-CN"/>
        </w:rPr>
        <w:t>业绩</w:t>
      </w:r>
      <w:r>
        <w:rPr>
          <w:rFonts w:hint="eastAsia" w:ascii="宋体" w:hAnsi="宋体" w:cs="宋体"/>
          <w:b/>
          <w:sz w:val="24"/>
          <w:highlight w:val="none"/>
        </w:rPr>
        <w:t>项目证明附表</w:t>
      </w:r>
    </w:p>
    <w:p>
      <w:pPr>
        <w:pStyle w:val="51"/>
        <w:spacing w:before="156" w:beforeLines="50"/>
        <w:rPr>
          <w:rFonts w:ascii="宋体" w:hAnsi="宋体" w:cs="宋体"/>
          <w:kern w:val="0"/>
          <w:szCs w:val="21"/>
          <w:highlight w:val="none"/>
        </w:rPr>
      </w:pPr>
    </w:p>
    <w:tbl>
      <w:tblPr>
        <w:tblStyle w:val="23"/>
        <w:tblpPr w:leftFromText="180" w:rightFromText="180" w:vertAnchor="text" w:horzAnchor="page" w:tblpX="1800" w:tblpY="-236"/>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项目名称</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项目所在地</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发包人名称</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发包人地址</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发包人联系电话</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合同价格</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项目执行日期</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承担的工作</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工程质量</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项目负责人</w:t>
            </w:r>
          </w:p>
        </w:tc>
        <w:tc>
          <w:tcPr>
            <w:tcW w:w="6105" w:type="dxa"/>
            <w:vAlign w:val="center"/>
          </w:tcPr>
          <w:p>
            <w:pPr>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414" w:type="dxa"/>
            <w:vAlign w:val="center"/>
          </w:tcPr>
          <w:p>
            <w:pPr>
              <w:jc w:val="center"/>
              <w:rPr>
                <w:rFonts w:ascii="宋体" w:hAnsi="宋体" w:cs="宋体"/>
                <w:sz w:val="24"/>
                <w:highlight w:val="none"/>
              </w:rPr>
            </w:pPr>
            <w:r>
              <w:rPr>
                <w:rFonts w:hint="eastAsia" w:ascii="宋体" w:hAnsi="宋体" w:cs="宋体"/>
                <w:sz w:val="24"/>
                <w:highlight w:val="none"/>
              </w:rPr>
              <w:t>备注</w:t>
            </w:r>
          </w:p>
        </w:tc>
        <w:tc>
          <w:tcPr>
            <w:tcW w:w="6105" w:type="dxa"/>
            <w:vAlign w:val="center"/>
          </w:tcPr>
          <w:p>
            <w:pPr>
              <w:jc w:val="left"/>
              <w:rPr>
                <w:rFonts w:ascii="宋体" w:hAnsi="宋体" w:cs="宋体"/>
                <w:sz w:val="24"/>
                <w:highlight w:val="none"/>
              </w:rPr>
            </w:pPr>
          </w:p>
        </w:tc>
      </w:tr>
    </w:tbl>
    <w:p>
      <w:pPr>
        <w:pStyle w:val="51"/>
        <w:spacing w:before="156" w:beforeLines="50"/>
        <w:rPr>
          <w:rFonts w:ascii="宋体" w:hAnsi="宋体" w:cs="宋体"/>
          <w:kern w:val="0"/>
          <w:szCs w:val="21"/>
          <w:highlight w:val="none"/>
        </w:rPr>
      </w:pPr>
      <w:r>
        <w:rPr>
          <w:rFonts w:hint="eastAsia" w:ascii="宋体" w:hAnsi="宋体" w:cs="宋体"/>
          <w:kern w:val="0"/>
          <w:szCs w:val="21"/>
          <w:highlight w:val="none"/>
        </w:rPr>
        <w:t>注：1、本表可复制，一个业绩附一张表。</w:t>
      </w:r>
    </w:p>
    <w:p>
      <w:pPr>
        <w:pStyle w:val="51"/>
        <w:spacing w:before="156" w:beforeLines="50"/>
        <w:rPr>
          <w:rFonts w:ascii="宋体" w:hAnsi="宋体" w:cs="宋体"/>
          <w:sz w:val="24"/>
          <w:highlight w:val="none"/>
        </w:rPr>
      </w:pPr>
      <w:r>
        <w:rPr>
          <w:rFonts w:hint="eastAsia" w:ascii="宋体" w:hAnsi="宋体" w:cs="宋体"/>
          <w:kern w:val="0"/>
          <w:szCs w:val="21"/>
          <w:highlight w:val="none"/>
        </w:rPr>
        <w:t>2、附合同或批复文件资料的复印件（加盖供应商公章）</w:t>
      </w:r>
    </w:p>
    <w:p>
      <w:pPr>
        <w:rPr>
          <w:rFonts w:ascii="宋体" w:hAnsi="宋体" w:cs="宋体"/>
          <w:b/>
          <w:bCs/>
          <w:sz w:val="28"/>
          <w:szCs w:val="28"/>
          <w:highlight w:val="none"/>
        </w:rPr>
      </w:pPr>
      <w:r>
        <w:rPr>
          <w:rFonts w:hint="eastAsia" w:ascii="宋体" w:hAnsi="宋体" w:cs="宋体"/>
          <w:b/>
          <w:bCs/>
          <w:sz w:val="28"/>
          <w:szCs w:val="28"/>
          <w:highlight w:val="none"/>
        </w:rPr>
        <w:br w:type="page"/>
      </w:r>
    </w:p>
    <w:p>
      <w:pPr>
        <w:pStyle w:val="11"/>
        <w:spacing w:before="120"/>
        <w:ind w:left="0" w:right="34"/>
        <w:jc w:val="center"/>
        <w:outlineLvl w:val="1"/>
        <w:rPr>
          <w:rFonts w:ascii="宋体" w:hAnsi="宋体" w:cs="宋体"/>
          <w:highlight w:val="none"/>
        </w:rPr>
      </w:pPr>
      <w:bookmarkStart w:id="119" w:name="_Toc31129"/>
      <w:r>
        <w:rPr>
          <w:rFonts w:hint="eastAsia" w:ascii="宋体" w:hAnsi="宋体" w:cs="宋体"/>
          <w:b/>
          <w:bCs/>
          <w:kern w:val="2"/>
          <w:sz w:val="28"/>
          <w:szCs w:val="28"/>
          <w:highlight w:val="none"/>
        </w:rPr>
        <w:t>六、技术组织方案</w:t>
      </w:r>
      <w:bookmarkEnd w:id="11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格式自定，参照磋商文件第五部分《评审办法》各条款的要求，结合第三部分《磋商要求及说明》编制磋商响应方案，包括但不限于以下内容：</w:t>
      </w:r>
    </w:p>
    <w:p>
      <w:pPr>
        <w:ind w:firstLine="480" w:firstLineChars="200"/>
        <w:rPr>
          <w:rFonts w:hint="eastAsia" w:ascii="宋体" w:hAnsi="宋体" w:eastAsia="宋体" w:cs="宋体"/>
          <w:kern w:val="2"/>
          <w:sz w:val="24"/>
          <w:highlight w:val="none"/>
          <w:lang w:val="en-US" w:eastAsia="zh-CN" w:bidi="ar-SA"/>
        </w:rPr>
      </w:pPr>
      <w:r>
        <w:rPr>
          <w:rFonts w:hint="eastAsia" w:ascii="宋体" w:hAnsi="宋体" w:eastAsia="宋体" w:cs="宋体"/>
          <w:color w:val="auto"/>
          <w:sz w:val="24"/>
          <w:szCs w:val="24"/>
          <w:highlight w:val="none"/>
        </w:rPr>
        <w:t>6.1</w:t>
      </w:r>
      <w:r>
        <w:rPr>
          <w:rFonts w:hint="eastAsia" w:ascii="宋体" w:hAnsi="宋体" w:eastAsia="宋体" w:cs="宋体"/>
          <w:kern w:val="2"/>
          <w:sz w:val="24"/>
          <w:highlight w:val="none"/>
          <w:lang w:val="en-US" w:eastAsia="zh-CN" w:bidi="ar-SA"/>
        </w:rPr>
        <w:t>对项目任务理解以及检测分析评价方法</w:t>
      </w:r>
    </w:p>
    <w:p>
      <w:pPr>
        <w:ind w:firstLine="480" w:firstLineChars="20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6.2各类桥梁主次部位及权重划分准确性</w:t>
      </w:r>
    </w:p>
    <w:p>
      <w:pPr>
        <w:ind w:firstLine="480" w:firstLineChars="20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6.3项目重点、难点理解及关键技术对策措施</w:t>
      </w:r>
    </w:p>
    <w:p>
      <w:pPr>
        <w:ind w:firstLine="480" w:firstLineChars="20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6.4工作进度计划合理性</w:t>
      </w:r>
    </w:p>
    <w:p>
      <w:pPr>
        <w:ind w:firstLine="480" w:firstLineChars="20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6.5项目组织机构及主要人员分工等安排合理性</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kern w:val="2"/>
          <w:sz w:val="24"/>
          <w:highlight w:val="none"/>
          <w:lang w:val="en-US" w:eastAsia="zh-CN" w:bidi="ar-SA"/>
        </w:rPr>
        <w:t>6.6质量安全保证措施针对性</w:t>
      </w:r>
    </w:p>
    <w:p>
      <w:pPr>
        <w:spacing w:line="360" w:lineRule="auto"/>
        <w:ind w:firstLine="448" w:firstLineChars="18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7人员配置</w:t>
      </w:r>
    </w:p>
    <w:p>
      <w:pPr>
        <w:spacing w:line="360" w:lineRule="auto"/>
        <w:ind w:firstLine="448" w:firstLineChars="1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其他有关本次采购的说明</w:t>
      </w:r>
    </w:p>
    <w:p>
      <w:pPr>
        <w:spacing w:line="360" w:lineRule="auto"/>
        <w:ind w:firstLine="448" w:firstLineChars="1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注意：供应商应确保上述材料的真实性、有效性及合法性，否则，由此引起的任何责任都由供应商自行承担。</w:t>
      </w:r>
    </w:p>
    <w:p>
      <w:pPr>
        <w:pStyle w:val="52"/>
        <w:ind w:firstLine="0" w:firstLineChars="0"/>
        <w:jc w:val="center"/>
        <w:rPr>
          <w:rFonts w:hint="eastAsia" w:ascii="宋体" w:hAnsi="宋体" w:eastAsia="宋体" w:cs="宋体"/>
          <w:b/>
          <w:bCs/>
          <w:sz w:val="28"/>
          <w:szCs w:val="28"/>
          <w:highlight w:val="none"/>
        </w:rPr>
      </w:pPr>
      <w:r>
        <w:rPr>
          <w:rFonts w:hint="eastAsia" w:cs="宋体"/>
          <w:highlight w:val="none"/>
        </w:rPr>
        <w:br w:type="page"/>
      </w:r>
      <w:r>
        <w:rPr>
          <w:rFonts w:hint="eastAsia" w:ascii="宋体" w:hAnsi="宋体" w:eastAsia="宋体" w:cs="宋体"/>
          <w:b/>
          <w:bCs/>
          <w:sz w:val="28"/>
          <w:szCs w:val="28"/>
          <w:highlight w:val="none"/>
        </w:rPr>
        <w:t>1.拟派项目负责人简历表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姓       名</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性       别</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restart"/>
            <w:noWrap w:val="0"/>
            <w:vAlign w:val="center"/>
          </w:tcPr>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年       龄</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职       务</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职       称</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毕 业 学 校</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毕 业 时 间</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工 作 年 限</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专业技术资格证书</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 系 电 话</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拟在本项目中</w:t>
            </w:r>
          </w:p>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担任主要工作</w:t>
            </w:r>
          </w:p>
        </w:tc>
        <w:tc>
          <w:tcPr>
            <w:tcW w:w="6858" w:type="dxa"/>
            <w:gridSpan w:val="2"/>
            <w:noWrap w:val="0"/>
            <w:vAlign w:val="center"/>
          </w:tcPr>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注：1.本表须附身份证、社会保险缴纳证明、学历证、注册证、职称、试验检测资格等证书复印件并加盖公章。</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所有试验检测人员资格证书，需在《公路水运工程试验检测管理信息系统》（www.jtsyjc.net）中能够有效查询，附截图。</w:t>
      </w:r>
    </w:p>
    <w:p>
      <w:pPr>
        <w:spacing w:line="360" w:lineRule="auto"/>
        <w:ind w:firstLine="3360" w:firstLineChars="1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供应商名称：</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（盖章）</w:t>
      </w:r>
    </w:p>
    <w:p>
      <w:pPr>
        <w:spacing w:line="360" w:lineRule="auto"/>
        <w:ind w:firstLine="3360" w:firstLineChars="1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法定代表人</w:t>
      </w:r>
    </w:p>
    <w:p>
      <w:pPr>
        <w:spacing w:line="360" w:lineRule="auto"/>
        <w:ind w:firstLine="3360" w:firstLineChars="1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或委托代理人：</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(签字)</w:t>
      </w:r>
    </w:p>
    <w:p>
      <w:pPr>
        <w:pStyle w:val="37"/>
        <w:spacing w:before="158" w:beforeLines="50"/>
        <w:ind w:firstLine="3360" w:firstLineChars="1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日        期：</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日</w:t>
      </w:r>
    </w:p>
    <w:p>
      <w:pPr>
        <w:pStyle w:val="52"/>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r>
        <w:rPr>
          <w:rFonts w:hint="eastAsia" w:ascii="宋体" w:hAnsi="宋体" w:eastAsia="宋体" w:cs="宋体"/>
          <w:b/>
          <w:bCs/>
          <w:sz w:val="28"/>
          <w:szCs w:val="28"/>
          <w:highlight w:val="none"/>
        </w:rPr>
        <w:t>2.拟派技术负责人简历表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姓       名</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性       别</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restart"/>
            <w:noWrap w:val="0"/>
            <w:vAlign w:val="center"/>
          </w:tcPr>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年       龄</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职       务</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职       称</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毕 业 学 校</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毕 业 时 间</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工 作 年 限</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专业技术资格证书</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 系 电 话</w:t>
            </w:r>
          </w:p>
        </w:tc>
        <w:tc>
          <w:tcPr>
            <w:tcW w:w="2340" w:type="dxa"/>
            <w:noWrap w:val="0"/>
            <w:vAlign w:val="center"/>
          </w:tcPr>
          <w:p>
            <w:pPr>
              <w:jc w:val="center"/>
              <w:rPr>
                <w:rFonts w:hint="eastAsia" w:ascii="宋体" w:hAnsi="宋体" w:eastAsia="宋体" w:cs="宋体"/>
                <w:b w:val="0"/>
                <w:bCs w:val="0"/>
                <w:sz w:val="24"/>
                <w:szCs w:val="24"/>
                <w:highlight w:val="none"/>
              </w:rPr>
            </w:pPr>
          </w:p>
        </w:tc>
        <w:tc>
          <w:tcPr>
            <w:tcW w:w="4518" w:type="dxa"/>
            <w:vMerge w:val="continue"/>
            <w:noWrap w:val="0"/>
            <w:vAlign w:val="center"/>
          </w:tcPr>
          <w:p>
            <w:pPr>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20" w:type="dxa"/>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拟在本项目中</w:t>
            </w:r>
          </w:p>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担任主要工作</w:t>
            </w:r>
          </w:p>
        </w:tc>
        <w:tc>
          <w:tcPr>
            <w:tcW w:w="6858" w:type="dxa"/>
            <w:gridSpan w:val="2"/>
            <w:noWrap w:val="0"/>
            <w:vAlign w:val="center"/>
          </w:tcPr>
          <w:p>
            <w:pPr>
              <w:jc w:val="center"/>
              <w:rPr>
                <w:rFonts w:hint="eastAsia" w:ascii="宋体" w:hAnsi="宋体" w:eastAsia="宋体" w:cs="宋体"/>
                <w:b w:val="0"/>
                <w:bCs w:val="0"/>
                <w:sz w:val="24"/>
                <w:szCs w:val="24"/>
                <w:highlight w:val="none"/>
              </w:rPr>
            </w:pPr>
          </w:p>
          <w:p>
            <w:pPr>
              <w:jc w:val="center"/>
              <w:rPr>
                <w:rFonts w:hint="eastAsia" w:ascii="宋体" w:hAnsi="宋体" w:eastAsia="宋体" w:cs="宋体"/>
                <w:b w:val="0"/>
                <w:bCs w:val="0"/>
                <w:sz w:val="24"/>
                <w:szCs w:val="24"/>
                <w:highlight w:val="none"/>
              </w:rPr>
            </w:pPr>
          </w:p>
        </w:tc>
      </w:tr>
    </w:tbl>
    <w:p>
      <w:pPr>
        <w:spacing w:line="360" w:lineRule="auto"/>
        <w:ind w:firstLine="470" w:firstLineChars="19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注：1.本表须附身份证、社会保险缴纳证明、学历证、注册证、职称、试验检测资格等证书复印件并加盖公章。</w:t>
      </w:r>
    </w:p>
    <w:p>
      <w:pPr>
        <w:spacing w:line="360" w:lineRule="auto"/>
        <w:ind w:firstLine="470" w:firstLineChars="19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2.所有试验检测人员资格证书，需在《公路水运工程试验检测管理信息系统》（www.jtsyjc.net）中能够有效查询，附截图。</w:t>
      </w:r>
    </w:p>
    <w:p>
      <w:pPr>
        <w:spacing w:line="480" w:lineRule="auto"/>
        <w:ind w:firstLine="3360" w:firstLineChars="1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供应商名称：</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（盖章）</w:t>
      </w:r>
    </w:p>
    <w:p>
      <w:pPr>
        <w:spacing w:line="360" w:lineRule="auto"/>
        <w:ind w:firstLine="3360" w:firstLineChars="1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法定代表人</w:t>
      </w:r>
    </w:p>
    <w:p>
      <w:pPr>
        <w:spacing w:line="360" w:lineRule="auto"/>
        <w:ind w:firstLine="3360" w:firstLineChars="1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或委托代理人：</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(签字)</w:t>
      </w:r>
    </w:p>
    <w:p>
      <w:pPr>
        <w:pStyle w:val="37"/>
        <w:spacing w:before="158" w:beforeLines="50"/>
        <w:ind w:firstLine="3360" w:firstLineChars="1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日        期：</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日</w:t>
      </w: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val="0"/>
          <w:bCs w:val="0"/>
          <w:sz w:val="24"/>
          <w:szCs w:val="24"/>
          <w:highlight w:val="none"/>
        </w:rPr>
        <w:br w:type="page"/>
      </w:r>
      <w:r>
        <w:rPr>
          <w:rFonts w:hint="eastAsia" w:ascii="宋体" w:hAnsi="宋体" w:eastAsia="宋体" w:cs="宋体"/>
          <w:b/>
          <w:bCs/>
          <w:sz w:val="28"/>
          <w:szCs w:val="28"/>
          <w:highlight w:val="none"/>
        </w:rPr>
        <w:t>3.拟派项目组人员一览表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945"/>
        <w:gridCol w:w="1050"/>
        <w:gridCol w:w="157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noWrap w:val="0"/>
            <w:vAlign w:val="center"/>
          </w:tcPr>
          <w:p>
            <w:pPr>
              <w:tabs>
                <w:tab w:val="left" w:pos="0"/>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1575" w:type="dxa"/>
            <w:noWrap w:val="0"/>
            <w:vAlign w:val="center"/>
          </w:tcPr>
          <w:p>
            <w:pPr>
              <w:tabs>
                <w:tab w:val="left" w:pos="0"/>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姓名</w:t>
            </w:r>
          </w:p>
        </w:tc>
        <w:tc>
          <w:tcPr>
            <w:tcW w:w="945" w:type="dxa"/>
            <w:noWrap w:val="0"/>
            <w:vAlign w:val="center"/>
          </w:tcPr>
          <w:p>
            <w:pPr>
              <w:tabs>
                <w:tab w:val="left" w:pos="0"/>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性别</w:t>
            </w:r>
          </w:p>
        </w:tc>
        <w:tc>
          <w:tcPr>
            <w:tcW w:w="945" w:type="dxa"/>
            <w:noWrap w:val="0"/>
            <w:vAlign w:val="center"/>
          </w:tcPr>
          <w:p>
            <w:pPr>
              <w:tabs>
                <w:tab w:val="left" w:pos="0"/>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工作年限</w:t>
            </w:r>
          </w:p>
        </w:tc>
        <w:tc>
          <w:tcPr>
            <w:tcW w:w="1050" w:type="dxa"/>
            <w:noWrap w:val="0"/>
            <w:vAlign w:val="center"/>
          </w:tcPr>
          <w:p>
            <w:pPr>
              <w:tabs>
                <w:tab w:val="left" w:pos="0"/>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专业</w:t>
            </w:r>
          </w:p>
        </w:tc>
        <w:tc>
          <w:tcPr>
            <w:tcW w:w="1575" w:type="dxa"/>
            <w:noWrap w:val="0"/>
            <w:vAlign w:val="center"/>
          </w:tcPr>
          <w:p>
            <w:pPr>
              <w:tabs>
                <w:tab w:val="left" w:pos="0"/>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职称或资格证书</w:t>
            </w:r>
          </w:p>
        </w:tc>
        <w:tc>
          <w:tcPr>
            <w:tcW w:w="2193" w:type="dxa"/>
            <w:noWrap w:val="0"/>
            <w:vAlign w:val="center"/>
          </w:tcPr>
          <w:p>
            <w:pPr>
              <w:tabs>
                <w:tab w:val="left" w:pos="0"/>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拟在本项目中担任的工作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94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050"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1575"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c>
          <w:tcPr>
            <w:tcW w:w="2193" w:type="dxa"/>
            <w:noWrap w:val="0"/>
            <w:vAlign w:val="top"/>
          </w:tcPr>
          <w:p>
            <w:pPr>
              <w:tabs>
                <w:tab w:val="left" w:pos="0"/>
              </w:tabs>
              <w:spacing w:line="360" w:lineRule="auto"/>
              <w:rPr>
                <w:rFonts w:hint="eastAsia" w:ascii="宋体" w:hAnsi="宋体" w:eastAsia="宋体" w:cs="宋体"/>
                <w:b w:val="0"/>
                <w:bCs w:val="0"/>
                <w:sz w:val="24"/>
                <w:szCs w:val="24"/>
                <w:highlight w:val="none"/>
              </w:rPr>
            </w:pPr>
          </w:p>
        </w:tc>
      </w:tr>
    </w:tbl>
    <w:p>
      <w:pPr>
        <w:spacing w:line="360" w:lineRule="auto"/>
        <w:ind w:firstLine="470" w:firstLineChars="196"/>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sz w:val="24"/>
          <w:szCs w:val="24"/>
          <w:highlight w:val="none"/>
        </w:rPr>
        <w:t>1.本表须附身份证、社会保险缴纳证明、学历证、注册证、职称、试验检测资格等证书复印件并加盖公章。</w:t>
      </w:r>
    </w:p>
    <w:p>
      <w:pPr>
        <w:spacing w:line="360" w:lineRule="auto"/>
        <w:ind w:firstLine="470" w:firstLineChars="19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2.所有试验检测人员资格证书，需在《公路水运工程试验检测管理信息系统》（www.jtsyjc.net）中能够有效查询，附截图。</w:t>
      </w:r>
    </w:p>
    <w:p>
      <w:pPr>
        <w:spacing w:line="360" w:lineRule="auto"/>
        <w:ind w:firstLine="470" w:firstLineChars="196"/>
        <w:rPr>
          <w:rFonts w:hint="eastAsia" w:ascii="宋体" w:hAnsi="宋体" w:eastAsia="宋体" w:cs="宋体"/>
          <w:b w:val="0"/>
          <w:bCs w:val="0"/>
          <w:color w:val="auto"/>
          <w:sz w:val="24"/>
          <w:szCs w:val="24"/>
          <w:highlight w:val="none"/>
          <w:lang w:val="en-US"/>
        </w:rPr>
      </w:pPr>
    </w:p>
    <w:p>
      <w:pPr>
        <w:spacing w:line="48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或委托代理人：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rPr>
        <w:t>签字或盖章</w:t>
      </w:r>
      <w:r>
        <w:rPr>
          <w:rFonts w:hint="eastAsia" w:ascii="宋体" w:hAnsi="宋体" w:eastAsia="宋体" w:cs="宋体"/>
          <w:sz w:val="24"/>
          <w:szCs w:val="24"/>
          <w:highlight w:val="none"/>
        </w:rPr>
        <w:t>)</w:t>
      </w:r>
    </w:p>
    <w:p>
      <w:pPr>
        <w:ind w:firstLine="3600" w:firstLineChars="1500"/>
        <w:rPr>
          <w:rFonts w:hint="eastAsia" w:ascii="宋体" w:hAnsi="宋体" w:eastAsia="宋体" w:cs="宋体"/>
          <w:b/>
          <w:bCs/>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overflowPunct w:val="0"/>
        <w:spacing w:line="360" w:lineRule="auto"/>
        <w:jc w:val="both"/>
        <w:outlineLvl w:val="1"/>
        <w:rPr>
          <w:rFonts w:ascii="宋体" w:hAnsi="宋体" w:cs="宋体"/>
          <w:sz w:val="24"/>
          <w:highlight w:val="none"/>
        </w:rPr>
      </w:pPr>
    </w:p>
    <w:p>
      <w:pPr>
        <w:spacing w:line="360" w:lineRule="auto"/>
        <w:jc w:val="center"/>
        <w:rPr>
          <w:rFonts w:hint="eastAsia" w:ascii="宋体" w:hAnsi="宋体" w:eastAsia="宋体" w:cs="宋体"/>
          <w:b/>
          <w:bCs/>
          <w:sz w:val="28"/>
          <w:szCs w:val="28"/>
          <w:highlight w:val="none"/>
        </w:rPr>
      </w:pPr>
      <w:bookmarkStart w:id="120" w:name="_Toc10437"/>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rPr>
        <w:t>拟投入关键仪器、设备</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3595"/>
        <w:gridCol w:w="1666"/>
        <w:gridCol w:w="1554"/>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1936" w:type="pct"/>
            <w:vAlign w:val="center"/>
          </w:tcPr>
          <w:p>
            <w:pPr>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仪器及设备名称</w:t>
            </w:r>
          </w:p>
        </w:tc>
        <w:tc>
          <w:tcPr>
            <w:tcW w:w="897" w:type="pct"/>
            <w:vAlign w:val="center"/>
          </w:tcPr>
          <w:p>
            <w:pPr>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设备型号</w:t>
            </w:r>
          </w:p>
        </w:tc>
        <w:tc>
          <w:tcPr>
            <w:tcW w:w="837" w:type="pct"/>
            <w:vAlign w:val="center"/>
          </w:tcPr>
          <w:p>
            <w:pPr>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拟投入设备数量</w:t>
            </w:r>
          </w:p>
        </w:tc>
        <w:tc>
          <w:tcPr>
            <w:tcW w:w="857" w:type="pct"/>
            <w:vAlign w:val="center"/>
          </w:tcPr>
          <w:p>
            <w:pPr>
              <w:spacing w:line="30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最低数量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36"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桥梁检测作业车</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936"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钢筋位置/保护层厚度测试仪</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936"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钢筋锈蚀测定仪</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936"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非金属超声波检测仪</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936"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裂缝宽度（深度）观测仪</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936"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混凝土回弹仪</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936"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混凝土碳化测试仪</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936"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水准仪</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936"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经纬仪（或全站仪）</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936"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隧道高空作业车</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w:t>
            </w:r>
          </w:p>
        </w:tc>
        <w:tc>
          <w:tcPr>
            <w:tcW w:w="1936" w:type="pct"/>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tcPr>
          <w:p>
            <w:pPr>
              <w:spacing w:line="30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1" w:type="pct"/>
            <w:vAlign w:val="center"/>
          </w:tcPr>
          <w:p>
            <w:pPr>
              <w:spacing w:line="300" w:lineRule="auto"/>
              <w:jc w:val="center"/>
              <w:rPr>
                <w:rFonts w:hint="eastAsia" w:ascii="宋体" w:hAnsi="宋体" w:eastAsia="宋体" w:cs="宋体"/>
                <w:sz w:val="24"/>
                <w:szCs w:val="24"/>
                <w:highlight w:val="none"/>
              </w:rPr>
            </w:pPr>
          </w:p>
        </w:tc>
        <w:tc>
          <w:tcPr>
            <w:tcW w:w="1936" w:type="pct"/>
            <w:vAlign w:val="center"/>
          </w:tcPr>
          <w:p>
            <w:pPr>
              <w:spacing w:line="300" w:lineRule="auto"/>
              <w:jc w:val="center"/>
              <w:rPr>
                <w:rFonts w:hint="eastAsia" w:ascii="宋体" w:hAnsi="宋体" w:eastAsia="宋体" w:cs="宋体"/>
                <w:sz w:val="24"/>
                <w:szCs w:val="24"/>
                <w:highlight w:val="none"/>
              </w:rPr>
            </w:pPr>
          </w:p>
        </w:tc>
        <w:tc>
          <w:tcPr>
            <w:tcW w:w="897" w:type="pct"/>
            <w:vAlign w:val="center"/>
          </w:tcPr>
          <w:p>
            <w:pPr>
              <w:spacing w:line="300" w:lineRule="auto"/>
              <w:jc w:val="center"/>
              <w:rPr>
                <w:rFonts w:hint="eastAsia" w:ascii="宋体" w:hAnsi="宋体" w:eastAsia="宋体" w:cs="宋体"/>
                <w:sz w:val="24"/>
                <w:szCs w:val="24"/>
                <w:highlight w:val="none"/>
              </w:rPr>
            </w:pPr>
          </w:p>
        </w:tc>
        <w:tc>
          <w:tcPr>
            <w:tcW w:w="837" w:type="pct"/>
            <w:vAlign w:val="center"/>
          </w:tcPr>
          <w:p>
            <w:pPr>
              <w:spacing w:line="300" w:lineRule="auto"/>
              <w:jc w:val="center"/>
              <w:rPr>
                <w:rFonts w:hint="eastAsia" w:ascii="宋体" w:hAnsi="宋体" w:eastAsia="宋体" w:cs="宋体"/>
                <w:sz w:val="24"/>
                <w:szCs w:val="24"/>
                <w:highlight w:val="none"/>
              </w:rPr>
            </w:pPr>
          </w:p>
        </w:tc>
        <w:tc>
          <w:tcPr>
            <w:tcW w:w="857" w:type="pct"/>
          </w:tcPr>
          <w:p>
            <w:pPr>
              <w:spacing w:line="300" w:lineRule="auto"/>
              <w:jc w:val="center"/>
              <w:rPr>
                <w:rFonts w:hint="eastAsia" w:ascii="宋体" w:hAnsi="宋体" w:eastAsia="宋体" w:cs="宋体"/>
                <w:sz w:val="24"/>
                <w:szCs w:val="24"/>
                <w:highlight w:val="none"/>
              </w:rPr>
            </w:pPr>
          </w:p>
        </w:tc>
      </w:tr>
    </w:tbl>
    <w:p>
      <w:pPr>
        <w:spacing w:line="240" w:lineRule="exact"/>
        <w:rPr>
          <w:rFonts w:ascii="仿宋" w:hAnsi="仿宋" w:eastAsia="仿宋" w:cs="仿宋"/>
          <w:sz w:val="28"/>
          <w:szCs w:val="28"/>
          <w:highlight w:val="none"/>
        </w:rPr>
      </w:pPr>
    </w:p>
    <w:p>
      <w:pPr>
        <w:overflowPunct w:val="0"/>
        <w:spacing w:line="360" w:lineRule="auto"/>
        <w:jc w:val="left"/>
        <w:rPr>
          <w:rFonts w:ascii="仿宋" w:hAnsi="仿宋" w:eastAsia="仿宋" w:cs="仿宋"/>
          <w:highlight w:val="none"/>
        </w:rPr>
      </w:pPr>
      <w:r>
        <w:rPr>
          <w:rFonts w:hint="eastAsia" w:ascii="宋体" w:hAnsi="宋体" w:eastAsia="宋体" w:cs="宋体"/>
          <w:b/>
          <w:bCs/>
          <w:highlight w:val="none"/>
        </w:rPr>
        <w:t>注：</w:t>
      </w:r>
      <w:r>
        <w:rPr>
          <w:rFonts w:hint="eastAsia" w:ascii="宋体" w:hAnsi="宋体" w:eastAsia="宋体" w:cs="宋体"/>
          <w:b/>
          <w:bCs/>
          <w:highlight w:val="none"/>
          <w:lang w:val="en-US" w:eastAsia="zh-CN"/>
        </w:rPr>
        <w:t>桥梁检测车须为自有设备并附相关设备购买发票</w:t>
      </w:r>
      <w:r>
        <w:rPr>
          <w:rFonts w:hint="eastAsia" w:ascii="宋体" w:hAnsi="宋体" w:eastAsia="宋体" w:cs="宋体"/>
          <w:highlight w:val="none"/>
        </w:rPr>
        <w:t>。</w:t>
      </w:r>
    </w:p>
    <w:p>
      <w:pPr>
        <w:snapToGrid w:val="0"/>
        <w:spacing w:line="300" w:lineRule="auto"/>
        <w:ind w:firstLine="2520" w:firstLineChars="1200"/>
        <w:rPr>
          <w:rFonts w:ascii="仿宋" w:hAnsi="仿宋" w:eastAsia="仿宋" w:cs="仿宋"/>
          <w:highlight w:val="none"/>
        </w:rPr>
      </w:pPr>
    </w:p>
    <w:p>
      <w:pPr>
        <w:spacing w:line="360" w:lineRule="auto"/>
        <w:jc w:val="center"/>
        <w:rPr>
          <w:rFonts w:ascii="仿宋" w:hAnsi="仿宋" w:eastAsia="仿宋" w:cs="仿宋"/>
          <w:highlight w:val="none"/>
        </w:rPr>
      </w:pP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rPr>
          <w:rFonts w:hint="eastAsia" w:ascii="宋体" w:hAnsi="宋体" w:cs="宋体"/>
          <w:b/>
          <w:bCs/>
          <w:sz w:val="28"/>
          <w:szCs w:val="28"/>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cs="宋体"/>
          <w:b/>
          <w:bCs/>
          <w:sz w:val="28"/>
          <w:szCs w:val="28"/>
          <w:highlight w:val="none"/>
        </w:rPr>
        <w:br w:type="page"/>
      </w:r>
    </w:p>
    <w:p>
      <w:pPr>
        <w:overflowPunct w:val="0"/>
        <w:spacing w:line="360" w:lineRule="auto"/>
        <w:jc w:val="center"/>
        <w:outlineLvl w:val="1"/>
        <w:rPr>
          <w:rFonts w:hint="eastAsia" w:ascii="宋体" w:hAnsi="宋体" w:eastAsia="宋体" w:cs="宋体"/>
          <w:sz w:val="24"/>
          <w:szCs w:val="24"/>
          <w:highlight w:val="none"/>
        </w:rPr>
      </w:pPr>
      <w:r>
        <w:rPr>
          <w:rFonts w:hint="eastAsia" w:ascii="宋体" w:hAnsi="宋体" w:cs="宋体"/>
          <w:b/>
          <w:bCs/>
          <w:sz w:val="28"/>
          <w:szCs w:val="28"/>
          <w:highlight w:val="none"/>
        </w:rPr>
        <w:t>七、技术和商务响应说明</w:t>
      </w:r>
      <w:bookmarkEnd w:id="120"/>
    </w:p>
    <w:p>
      <w:pPr>
        <w:pStyle w:val="11"/>
        <w:spacing w:before="120" w:line="360" w:lineRule="auto"/>
        <w:ind w:left="0" w:right="34"/>
        <w:jc w:val="center"/>
        <w:rPr>
          <w:rFonts w:hint="eastAsia" w:ascii="宋体" w:hAnsi="宋体" w:eastAsia="宋体" w:cs="宋体"/>
          <w:b/>
          <w:bCs w:val="0"/>
          <w:color w:val="auto"/>
          <w:sz w:val="24"/>
          <w:szCs w:val="24"/>
          <w:highlight w:val="none"/>
          <w:lang w:val="en-US" w:eastAsia="zh-CN"/>
        </w:rPr>
      </w:pPr>
      <w:bookmarkStart w:id="121" w:name="_Toc23847"/>
      <w:r>
        <w:rPr>
          <w:rFonts w:hint="eastAsia" w:ascii="宋体" w:hAnsi="宋体" w:eastAsia="宋体" w:cs="宋体"/>
          <w:b/>
          <w:bCs w:val="0"/>
          <w:color w:val="auto"/>
          <w:sz w:val="24"/>
          <w:szCs w:val="24"/>
          <w:highlight w:val="none"/>
          <w:lang w:val="en-US" w:eastAsia="zh-CN"/>
        </w:rPr>
        <w:t>1、商务偏离表</w:t>
      </w:r>
    </w:p>
    <w:tbl>
      <w:tblPr>
        <w:tblStyle w:val="2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887"/>
        <w:gridCol w:w="1888"/>
        <w:gridCol w:w="1888"/>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noWrap w:val="0"/>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887" w:type="dxa"/>
            <w:noWrap w:val="0"/>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要求</w:t>
            </w:r>
          </w:p>
        </w:tc>
        <w:tc>
          <w:tcPr>
            <w:tcW w:w="1888" w:type="dxa"/>
            <w:noWrap w:val="0"/>
            <w:vAlign w:val="center"/>
          </w:tcPr>
          <w:p>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磋商内容</w:t>
            </w:r>
          </w:p>
        </w:tc>
        <w:tc>
          <w:tcPr>
            <w:tcW w:w="1888" w:type="dxa"/>
            <w:noWrap w:val="0"/>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w:t>
            </w:r>
          </w:p>
        </w:tc>
        <w:tc>
          <w:tcPr>
            <w:tcW w:w="1888" w:type="dxa"/>
            <w:noWrap w:val="0"/>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noWrap w:val="0"/>
            <w:vAlign w:val="center"/>
          </w:tcPr>
          <w:p>
            <w:pPr>
              <w:spacing w:line="360" w:lineRule="auto"/>
              <w:jc w:val="center"/>
              <w:rPr>
                <w:rFonts w:hint="eastAsia" w:ascii="宋体" w:hAnsi="宋体" w:eastAsia="宋体" w:cs="宋体"/>
                <w:sz w:val="24"/>
                <w:szCs w:val="24"/>
                <w:highlight w:val="none"/>
              </w:rPr>
            </w:pPr>
          </w:p>
        </w:tc>
        <w:tc>
          <w:tcPr>
            <w:tcW w:w="1887" w:type="dxa"/>
            <w:noWrap w:val="0"/>
            <w:vAlign w:val="center"/>
          </w:tcPr>
          <w:p>
            <w:pPr>
              <w:spacing w:line="360" w:lineRule="auto"/>
              <w:jc w:val="center"/>
              <w:rPr>
                <w:rFonts w:hint="eastAsia" w:ascii="宋体" w:hAnsi="宋体" w:eastAsia="宋体" w:cs="宋体"/>
                <w:sz w:val="24"/>
                <w:szCs w:val="24"/>
                <w:highlight w:val="none"/>
              </w:rPr>
            </w:pPr>
          </w:p>
        </w:tc>
        <w:tc>
          <w:tcPr>
            <w:tcW w:w="1888" w:type="dxa"/>
            <w:noWrap w:val="0"/>
            <w:vAlign w:val="center"/>
          </w:tcPr>
          <w:p>
            <w:pPr>
              <w:spacing w:line="360" w:lineRule="auto"/>
              <w:jc w:val="center"/>
              <w:rPr>
                <w:rFonts w:hint="eastAsia" w:ascii="宋体" w:hAnsi="宋体" w:eastAsia="宋体" w:cs="宋体"/>
                <w:sz w:val="24"/>
                <w:szCs w:val="24"/>
                <w:highlight w:val="none"/>
              </w:rPr>
            </w:pPr>
          </w:p>
        </w:tc>
        <w:tc>
          <w:tcPr>
            <w:tcW w:w="1888" w:type="dxa"/>
            <w:noWrap w:val="0"/>
            <w:vAlign w:val="center"/>
          </w:tcPr>
          <w:p>
            <w:pPr>
              <w:spacing w:line="360" w:lineRule="auto"/>
              <w:jc w:val="center"/>
              <w:rPr>
                <w:rFonts w:hint="eastAsia" w:ascii="宋体" w:hAnsi="宋体" w:eastAsia="宋体" w:cs="宋体"/>
                <w:sz w:val="24"/>
                <w:szCs w:val="24"/>
                <w:highlight w:val="none"/>
              </w:rPr>
            </w:pPr>
          </w:p>
        </w:tc>
        <w:tc>
          <w:tcPr>
            <w:tcW w:w="1888"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noWrap w:val="0"/>
            <w:vAlign w:val="center"/>
          </w:tcPr>
          <w:p>
            <w:pPr>
              <w:spacing w:line="360" w:lineRule="auto"/>
              <w:jc w:val="center"/>
              <w:rPr>
                <w:rFonts w:hint="eastAsia" w:ascii="宋体" w:hAnsi="宋体" w:eastAsia="宋体" w:cs="宋体"/>
                <w:sz w:val="24"/>
                <w:szCs w:val="24"/>
                <w:highlight w:val="none"/>
              </w:rPr>
            </w:pPr>
          </w:p>
        </w:tc>
        <w:tc>
          <w:tcPr>
            <w:tcW w:w="1887" w:type="dxa"/>
            <w:noWrap w:val="0"/>
            <w:vAlign w:val="center"/>
          </w:tcPr>
          <w:p>
            <w:pPr>
              <w:spacing w:line="360" w:lineRule="auto"/>
              <w:jc w:val="center"/>
              <w:rPr>
                <w:rFonts w:hint="eastAsia" w:ascii="宋体" w:hAnsi="宋体" w:eastAsia="宋体" w:cs="宋体"/>
                <w:sz w:val="24"/>
                <w:szCs w:val="24"/>
                <w:highlight w:val="none"/>
              </w:rPr>
            </w:pPr>
          </w:p>
        </w:tc>
        <w:tc>
          <w:tcPr>
            <w:tcW w:w="1888" w:type="dxa"/>
            <w:noWrap w:val="0"/>
            <w:vAlign w:val="center"/>
          </w:tcPr>
          <w:p>
            <w:pPr>
              <w:spacing w:line="360" w:lineRule="auto"/>
              <w:jc w:val="center"/>
              <w:rPr>
                <w:rFonts w:hint="eastAsia" w:ascii="宋体" w:hAnsi="宋体" w:eastAsia="宋体" w:cs="宋体"/>
                <w:sz w:val="24"/>
                <w:szCs w:val="24"/>
                <w:highlight w:val="none"/>
              </w:rPr>
            </w:pPr>
          </w:p>
        </w:tc>
        <w:tc>
          <w:tcPr>
            <w:tcW w:w="1888" w:type="dxa"/>
            <w:noWrap w:val="0"/>
            <w:vAlign w:val="center"/>
          </w:tcPr>
          <w:p>
            <w:pPr>
              <w:spacing w:line="360" w:lineRule="auto"/>
              <w:jc w:val="center"/>
              <w:rPr>
                <w:rFonts w:hint="eastAsia" w:ascii="宋体" w:hAnsi="宋体" w:eastAsia="宋体" w:cs="宋体"/>
                <w:sz w:val="24"/>
                <w:szCs w:val="24"/>
                <w:highlight w:val="none"/>
              </w:rPr>
            </w:pPr>
          </w:p>
        </w:tc>
        <w:tc>
          <w:tcPr>
            <w:tcW w:w="1888"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7"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7"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bl>
    <w:p>
      <w:pPr>
        <w:pStyle w:val="11"/>
        <w:spacing w:before="120" w:line="360" w:lineRule="auto"/>
        <w:ind w:left="0" w:right="34"/>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1.供应商须按照磋商文件“第四部分  商务及合同主要条款”表格部分逐条填写。如实填写该表，如有隐瞒，后果由供应商自负。</w:t>
      </w:r>
    </w:p>
    <w:p>
      <w:pPr>
        <w:pStyle w:val="11"/>
        <w:spacing w:before="120" w:line="360" w:lineRule="auto"/>
        <w:ind w:left="0" w:right="34"/>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2.此表可增加，偏离内容填写“正偏离”、“负偏离”或“无偏离”。</w:t>
      </w:r>
    </w:p>
    <w:p>
      <w:pPr>
        <w:pStyle w:val="11"/>
        <w:spacing w:before="120" w:line="360" w:lineRule="auto"/>
        <w:ind w:left="0" w:right="34"/>
        <w:jc w:val="both"/>
        <w:rPr>
          <w:rFonts w:hint="eastAsia" w:ascii="宋体" w:hAnsi="宋体" w:eastAsia="宋体" w:cs="宋体"/>
          <w:bCs/>
          <w:color w:val="auto"/>
          <w:sz w:val="24"/>
          <w:szCs w:val="24"/>
          <w:highlight w:val="none"/>
        </w:rPr>
      </w:pPr>
    </w:p>
    <w:p>
      <w:pPr>
        <w:pStyle w:val="15"/>
        <w:spacing w:line="360" w:lineRule="auto"/>
        <w:rPr>
          <w:rFonts w:hint="eastAsia" w:ascii="宋体" w:hAnsi="宋体" w:eastAsia="宋体" w:cs="宋体"/>
          <w:color w:val="auto"/>
          <w:sz w:val="24"/>
          <w:szCs w:val="24"/>
          <w:highlight w:val="none"/>
        </w:rPr>
      </w:pP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keepLines/>
        <w:widowControl/>
        <w:tabs>
          <w:tab w:val="left" w:pos="720"/>
        </w:tabs>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both"/>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2、技术偏离表</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t>（格式自拟，可参考偏离表形式或文字形式表述）</w:t>
      </w:r>
    </w:p>
    <w:tbl>
      <w:tblPr>
        <w:tblStyle w:val="23"/>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2792"/>
        <w:gridCol w:w="2658"/>
        <w:gridCol w:w="26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jc w:val="center"/>
        </w:trPr>
        <w:tc>
          <w:tcPr>
            <w:tcW w:w="960"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792"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要求</w:t>
            </w:r>
          </w:p>
        </w:tc>
        <w:tc>
          <w:tcPr>
            <w:tcW w:w="2658"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响应</w:t>
            </w:r>
          </w:p>
        </w:tc>
        <w:tc>
          <w:tcPr>
            <w:tcW w:w="2628"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noWrap w:val="0"/>
            <w:vAlign w:val="top"/>
          </w:tcPr>
          <w:p>
            <w:pPr>
              <w:spacing w:line="360" w:lineRule="auto"/>
              <w:jc w:val="center"/>
              <w:rPr>
                <w:rFonts w:hint="eastAsia" w:ascii="宋体" w:hAnsi="宋体" w:eastAsia="宋体" w:cs="宋体"/>
                <w:color w:val="auto"/>
                <w:sz w:val="24"/>
                <w:szCs w:val="24"/>
                <w:highlight w:val="none"/>
              </w:rPr>
            </w:pPr>
          </w:p>
        </w:tc>
        <w:tc>
          <w:tcPr>
            <w:tcW w:w="2792" w:type="dxa"/>
            <w:noWrap w:val="0"/>
            <w:vAlign w:val="top"/>
          </w:tcPr>
          <w:p>
            <w:pPr>
              <w:spacing w:line="360" w:lineRule="auto"/>
              <w:jc w:val="center"/>
              <w:rPr>
                <w:rFonts w:hint="eastAsia" w:ascii="宋体" w:hAnsi="宋体" w:eastAsia="宋体" w:cs="宋体"/>
                <w:color w:val="auto"/>
                <w:sz w:val="24"/>
                <w:szCs w:val="24"/>
                <w:highlight w:val="none"/>
              </w:rPr>
            </w:pPr>
          </w:p>
        </w:tc>
        <w:tc>
          <w:tcPr>
            <w:tcW w:w="2658" w:type="dxa"/>
            <w:noWrap w:val="0"/>
            <w:vAlign w:val="top"/>
          </w:tcPr>
          <w:p>
            <w:pPr>
              <w:spacing w:line="360" w:lineRule="auto"/>
              <w:jc w:val="center"/>
              <w:rPr>
                <w:rFonts w:hint="eastAsia" w:ascii="宋体" w:hAnsi="宋体" w:eastAsia="宋体" w:cs="宋体"/>
                <w:color w:val="auto"/>
                <w:sz w:val="24"/>
                <w:szCs w:val="24"/>
                <w:highlight w:val="none"/>
              </w:rPr>
            </w:pPr>
          </w:p>
        </w:tc>
        <w:tc>
          <w:tcPr>
            <w:tcW w:w="2628" w:type="dxa"/>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noWrap w:val="0"/>
            <w:vAlign w:val="top"/>
          </w:tcPr>
          <w:p>
            <w:pPr>
              <w:spacing w:line="360" w:lineRule="auto"/>
              <w:jc w:val="center"/>
              <w:rPr>
                <w:rFonts w:hint="eastAsia" w:ascii="宋体" w:hAnsi="宋体" w:eastAsia="宋体" w:cs="宋体"/>
                <w:color w:val="auto"/>
                <w:sz w:val="24"/>
                <w:szCs w:val="24"/>
                <w:highlight w:val="none"/>
              </w:rPr>
            </w:pPr>
          </w:p>
        </w:tc>
        <w:tc>
          <w:tcPr>
            <w:tcW w:w="2792" w:type="dxa"/>
            <w:noWrap w:val="0"/>
            <w:vAlign w:val="top"/>
          </w:tcPr>
          <w:p>
            <w:pPr>
              <w:spacing w:line="360" w:lineRule="auto"/>
              <w:jc w:val="center"/>
              <w:rPr>
                <w:rFonts w:hint="eastAsia" w:ascii="宋体" w:hAnsi="宋体" w:eastAsia="宋体" w:cs="宋体"/>
                <w:color w:val="auto"/>
                <w:sz w:val="24"/>
                <w:szCs w:val="24"/>
                <w:highlight w:val="none"/>
              </w:rPr>
            </w:pPr>
          </w:p>
        </w:tc>
        <w:tc>
          <w:tcPr>
            <w:tcW w:w="2658" w:type="dxa"/>
            <w:noWrap w:val="0"/>
            <w:vAlign w:val="top"/>
          </w:tcPr>
          <w:p>
            <w:pPr>
              <w:spacing w:line="360" w:lineRule="auto"/>
              <w:jc w:val="center"/>
              <w:rPr>
                <w:rFonts w:hint="eastAsia" w:ascii="宋体" w:hAnsi="宋体" w:eastAsia="宋体" w:cs="宋体"/>
                <w:color w:val="auto"/>
                <w:sz w:val="24"/>
                <w:szCs w:val="24"/>
                <w:highlight w:val="none"/>
              </w:rPr>
            </w:pPr>
          </w:p>
        </w:tc>
        <w:tc>
          <w:tcPr>
            <w:tcW w:w="2628" w:type="dxa"/>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noWrap w:val="0"/>
            <w:vAlign w:val="top"/>
          </w:tcPr>
          <w:p>
            <w:pPr>
              <w:spacing w:line="360" w:lineRule="auto"/>
              <w:jc w:val="center"/>
              <w:rPr>
                <w:rFonts w:hint="eastAsia" w:ascii="宋体" w:hAnsi="宋体" w:eastAsia="宋体" w:cs="宋体"/>
                <w:color w:val="auto"/>
                <w:sz w:val="24"/>
                <w:szCs w:val="24"/>
                <w:highlight w:val="none"/>
              </w:rPr>
            </w:pPr>
          </w:p>
        </w:tc>
        <w:tc>
          <w:tcPr>
            <w:tcW w:w="2792" w:type="dxa"/>
            <w:noWrap w:val="0"/>
            <w:vAlign w:val="top"/>
          </w:tcPr>
          <w:p>
            <w:pPr>
              <w:spacing w:line="360" w:lineRule="auto"/>
              <w:jc w:val="center"/>
              <w:rPr>
                <w:rFonts w:hint="eastAsia" w:ascii="宋体" w:hAnsi="宋体" w:eastAsia="宋体" w:cs="宋体"/>
                <w:color w:val="auto"/>
                <w:sz w:val="24"/>
                <w:szCs w:val="24"/>
                <w:highlight w:val="none"/>
              </w:rPr>
            </w:pPr>
          </w:p>
        </w:tc>
        <w:tc>
          <w:tcPr>
            <w:tcW w:w="2658" w:type="dxa"/>
            <w:noWrap w:val="0"/>
            <w:vAlign w:val="top"/>
          </w:tcPr>
          <w:p>
            <w:pPr>
              <w:spacing w:line="360" w:lineRule="auto"/>
              <w:jc w:val="center"/>
              <w:rPr>
                <w:rFonts w:hint="eastAsia" w:ascii="宋体" w:hAnsi="宋体" w:eastAsia="宋体" w:cs="宋体"/>
                <w:color w:val="auto"/>
                <w:sz w:val="24"/>
                <w:szCs w:val="24"/>
                <w:highlight w:val="none"/>
              </w:rPr>
            </w:pPr>
          </w:p>
        </w:tc>
        <w:tc>
          <w:tcPr>
            <w:tcW w:w="2628" w:type="dxa"/>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noWrap w:val="0"/>
            <w:vAlign w:val="top"/>
          </w:tcPr>
          <w:p>
            <w:pPr>
              <w:spacing w:line="360" w:lineRule="auto"/>
              <w:jc w:val="center"/>
              <w:rPr>
                <w:rFonts w:hint="eastAsia" w:ascii="宋体" w:hAnsi="宋体" w:eastAsia="宋体" w:cs="宋体"/>
                <w:color w:val="auto"/>
                <w:sz w:val="24"/>
                <w:szCs w:val="24"/>
                <w:highlight w:val="none"/>
              </w:rPr>
            </w:pPr>
          </w:p>
        </w:tc>
        <w:tc>
          <w:tcPr>
            <w:tcW w:w="2792" w:type="dxa"/>
            <w:noWrap w:val="0"/>
            <w:vAlign w:val="top"/>
          </w:tcPr>
          <w:p>
            <w:pPr>
              <w:spacing w:line="360" w:lineRule="auto"/>
              <w:jc w:val="center"/>
              <w:rPr>
                <w:rFonts w:hint="eastAsia" w:ascii="宋体" w:hAnsi="宋体" w:eastAsia="宋体" w:cs="宋体"/>
                <w:color w:val="auto"/>
                <w:sz w:val="24"/>
                <w:szCs w:val="24"/>
                <w:highlight w:val="none"/>
              </w:rPr>
            </w:pPr>
          </w:p>
        </w:tc>
        <w:tc>
          <w:tcPr>
            <w:tcW w:w="2658" w:type="dxa"/>
            <w:noWrap w:val="0"/>
            <w:vAlign w:val="top"/>
          </w:tcPr>
          <w:p>
            <w:pPr>
              <w:spacing w:line="360" w:lineRule="auto"/>
              <w:jc w:val="center"/>
              <w:rPr>
                <w:rFonts w:hint="eastAsia" w:ascii="宋体" w:hAnsi="宋体" w:eastAsia="宋体" w:cs="宋体"/>
                <w:color w:val="auto"/>
                <w:sz w:val="24"/>
                <w:szCs w:val="24"/>
                <w:highlight w:val="none"/>
              </w:rPr>
            </w:pPr>
          </w:p>
        </w:tc>
        <w:tc>
          <w:tcPr>
            <w:tcW w:w="2628" w:type="dxa"/>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noWrap w:val="0"/>
            <w:vAlign w:val="top"/>
          </w:tcPr>
          <w:p>
            <w:pPr>
              <w:spacing w:line="360" w:lineRule="auto"/>
              <w:jc w:val="center"/>
              <w:rPr>
                <w:rFonts w:hint="eastAsia" w:ascii="宋体" w:hAnsi="宋体" w:eastAsia="宋体" w:cs="宋体"/>
                <w:color w:val="auto"/>
                <w:sz w:val="24"/>
                <w:szCs w:val="24"/>
                <w:highlight w:val="none"/>
              </w:rPr>
            </w:pPr>
          </w:p>
        </w:tc>
        <w:tc>
          <w:tcPr>
            <w:tcW w:w="2792" w:type="dxa"/>
            <w:noWrap w:val="0"/>
            <w:vAlign w:val="top"/>
          </w:tcPr>
          <w:p>
            <w:pPr>
              <w:spacing w:line="360" w:lineRule="auto"/>
              <w:jc w:val="center"/>
              <w:rPr>
                <w:rFonts w:hint="eastAsia" w:ascii="宋体" w:hAnsi="宋体" w:eastAsia="宋体" w:cs="宋体"/>
                <w:color w:val="auto"/>
                <w:sz w:val="24"/>
                <w:szCs w:val="24"/>
                <w:highlight w:val="none"/>
              </w:rPr>
            </w:pPr>
          </w:p>
        </w:tc>
        <w:tc>
          <w:tcPr>
            <w:tcW w:w="2658" w:type="dxa"/>
            <w:noWrap w:val="0"/>
            <w:vAlign w:val="top"/>
          </w:tcPr>
          <w:p>
            <w:pPr>
              <w:spacing w:line="360" w:lineRule="auto"/>
              <w:jc w:val="center"/>
              <w:rPr>
                <w:rFonts w:hint="eastAsia" w:ascii="宋体" w:hAnsi="宋体" w:eastAsia="宋体" w:cs="宋体"/>
                <w:color w:val="auto"/>
                <w:sz w:val="24"/>
                <w:szCs w:val="24"/>
                <w:highlight w:val="none"/>
              </w:rPr>
            </w:pPr>
          </w:p>
        </w:tc>
        <w:tc>
          <w:tcPr>
            <w:tcW w:w="2628" w:type="dxa"/>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noWrap w:val="0"/>
            <w:vAlign w:val="top"/>
          </w:tcPr>
          <w:p>
            <w:pPr>
              <w:spacing w:line="360" w:lineRule="auto"/>
              <w:jc w:val="center"/>
              <w:rPr>
                <w:rFonts w:hint="eastAsia" w:ascii="宋体" w:hAnsi="宋体" w:eastAsia="宋体" w:cs="宋体"/>
                <w:color w:val="auto"/>
                <w:sz w:val="24"/>
                <w:szCs w:val="24"/>
                <w:highlight w:val="none"/>
              </w:rPr>
            </w:pPr>
          </w:p>
        </w:tc>
        <w:tc>
          <w:tcPr>
            <w:tcW w:w="2792" w:type="dxa"/>
            <w:noWrap w:val="0"/>
            <w:vAlign w:val="top"/>
          </w:tcPr>
          <w:p>
            <w:pPr>
              <w:spacing w:line="360" w:lineRule="auto"/>
              <w:jc w:val="center"/>
              <w:rPr>
                <w:rFonts w:hint="eastAsia" w:ascii="宋体" w:hAnsi="宋体" w:eastAsia="宋体" w:cs="宋体"/>
                <w:color w:val="auto"/>
                <w:sz w:val="24"/>
                <w:szCs w:val="24"/>
                <w:highlight w:val="none"/>
              </w:rPr>
            </w:pPr>
          </w:p>
        </w:tc>
        <w:tc>
          <w:tcPr>
            <w:tcW w:w="2658" w:type="dxa"/>
            <w:noWrap w:val="0"/>
            <w:vAlign w:val="top"/>
          </w:tcPr>
          <w:p>
            <w:pPr>
              <w:spacing w:line="360" w:lineRule="auto"/>
              <w:jc w:val="center"/>
              <w:rPr>
                <w:rFonts w:hint="eastAsia" w:ascii="宋体" w:hAnsi="宋体" w:eastAsia="宋体" w:cs="宋体"/>
                <w:color w:val="auto"/>
                <w:sz w:val="24"/>
                <w:szCs w:val="24"/>
                <w:highlight w:val="none"/>
              </w:rPr>
            </w:pPr>
          </w:p>
        </w:tc>
        <w:tc>
          <w:tcPr>
            <w:tcW w:w="2628" w:type="dxa"/>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noWrap w:val="0"/>
            <w:vAlign w:val="top"/>
          </w:tcPr>
          <w:p>
            <w:pPr>
              <w:spacing w:line="360" w:lineRule="auto"/>
              <w:jc w:val="center"/>
              <w:rPr>
                <w:rFonts w:hint="eastAsia" w:ascii="宋体" w:hAnsi="宋体" w:eastAsia="宋体" w:cs="宋体"/>
                <w:color w:val="auto"/>
                <w:sz w:val="24"/>
                <w:szCs w:val="24"/>
                <w:highlight w:val="none"/>
              </w:rPr>
            </w:pPr>
          </w:p>
        </w:tc>
        <w:tc>
          <w:tcPr>
            <w:tcW w:w="2792" w:type="dxa"/>
            <w:noWrap w:val="0"/>
            <w:vAlign w:val="top"/>
          </w:tcPr>
          <w:p>
            <w:pPr>
              <w:spacing w:line="360" w:lineRule="auto"/>
              <w:jc w:val="center"/>
              <w:rPr>
                <w:rFonts w:hint="eastAsia" w:ascii="宋体" w:hAnsi="宋体" w:eastAsia="宋体" w:cs="宋体"/>
                <w:color w:val="auto"/>
                <w:sz w:val="24"/>
                <w:szCs w:val="24"/>
                <w:highlight w:val="none"/>
              </w:rPr>
            </w:pPr>
          </w:p>
        </w:tc>
        <w:tc>
          <w:tcPr>
            <w:tcW w:w="2658" w:type="dxa"/>
            <w:noWrap w:val="0"/>
            <w:vAlign w:val="top"/>
          </w:tcPr>
          <w:p>
            <w:pPr>
              <w:spacing w:line="360" w:lineRule="auto"/>
              <w:jc w:val="center"/>
              <w:rPr>
                <w:rFonts w:hint="eastAsia" w:ascii="宋体" w:hAnsi="宋体" w:eastAsia="宋体" w:cs="宋体"/>
                <w:color w:val="auto"/>
                <w:sz w:val="24"/>
                <w:szCs w:val="24"/>
                <w:highlight w:val="none"/>
              </w:rPr>
            </w:pPr>
          </w:p>
        </w:tc>
        <w:tc>
          <w:tcPr>
            <w:tcW w:w="2628" w:type="dxa"/>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jc w:val="center"/>
        </w:trPr>
        <w:tc>
          <w:tcPr>
            <w:tcW w:w="960" w:type="dxa"/>
            <w:noWrap w:val="0"/>
            <w:vAlign w:val="top"/>
          </w:tcPr>
          <w:p>
            <w:pPr>
              <w:spacing w:line="360" w:lineRule="auto"/>
              <w:jc w:val="center"/>
              <w:rPr>
                <w:rFonts w:hint="eastAsia" w:ascii="宋体" w:hAnsi="宋体" w:eastAsia="宋体" w:cs="宋体"/>
                <w:color w:val="auto"/>
                <w:sz w:val="24"/>
                <w:szCs w:val="24"/>
                <w:highlight w:val="none"/>
              </w:rPr>
            </w:pPr>
          </w:p>
        </w:tc>
        <w:tc>
          <w:tcPr>
            <w:tcW w:w="2792" w:type="dxa"/>
            <w:noWrap w:val="0"/>
            <w:vAlign w:val="top"/>
          </w:tcPr>
          <w:p>
            <w:pPr>
              <w:spacing w:line="360" w:lineRule="auto"/>
              <w:jc w:val="center"/>
              <w:rPr>
                <w:rFonts w:hint="eastAsia" w:ascii="宋体" w:hAnsi="宋体" w:eastAsia="宋体" w:cs="宋体"/>
                <w:color w:val="auto"/>
                <w:sz w:val="24"/>
                <w:szCs w:val="24"/>
                <w:highlight w:val="none"/>
              </w:rPr>
            </w:pPr>
          </w:p>
        </w:tc>
        <w:tc>
          <w:tcPr>
            <w:tcW w:w="2658" w:type="dxa"/>
            <w:noWrap w:val="0"/>
            <w:vAlign w:val="top"/>
          </w:tcPr>
          <w:p>
            <w:pPr>
              <w:spacing w:line="360" w:lineRule="auto"/>
              <w:jc w:val="center"/>
              <w:rPr>
                <w:rFonts w:hint="eastAsia" w:ascii="宋体" w:hAnsi="宋体" w:eastAsia="宋体" w:cs="宋体"/>
                <w:color w:val="auto"/>
                <w:sz w:val="24"/>
                <w:szCs w:val="24"/>
                <w:highlight w:val="none"/>
              </w:rPr>
            </w:pPr>
          </w:p>
        </w:tc>
        <w:tc>
          <w:tcPr>
            <w:tcW w:w="2628" w:type="dxa"/>
            <w:noWrap w:val="0"/>
            <w:vAlign w:val="top"/>
          </w:tcPr>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注：1、所有</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条款须列明偏离情况。对于有偏离的（包含正、负偏离）必须具体指出技术指标项目，无偏离条款须填写“无偏离”。正偏离需提供佐证材料并列明页码范围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视为有效</w:t>
      </w:r>
      <w:r>
        <w:rPr>
          <w:rFonts w:hint="eastAsia" w:ascii="宋体" w:hAnsi="宋体" w:eastAsia="宋体" w:cs="宋体"/>
          <w:color w:val="auto"/>
          <w:sz w:val="24"/>
          <w:szCs w:val="24"/>
          <w:highlight w:val="none"/>
          <w:lang w:eastAsia="zh-CN"/>
        </w:rPr>
        <w:t>。</w:t>
      </w:r>
    </w:p>
    <w:p>
      <w:pPr>
        <w:spacing w:line="360" w:lineRule="auto"/>
        <w:ind w:firstLine="3360" w:firstLineChars="1400"/>
        <w:rPr>
          <w:rFonts w:hint="eastAsia" w:ascii="宋体" w:hAnsi="宋体" w:eastAsia="宋体" w:cs="宋体"/>
          <w:color w:val="auto"/>
          <w:sz w:val="24"/>
          <w:szCs w:val="24"/>
          <w:highlight w:val="none"/>
        </w:rPr>
      </w:pP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keepLines/>
        <w:widowControl/>
        <w:tabs>
          <w:tab w:val="left" w:pos="720"/>
        </w:tabs>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仿宋" w:hAnsi="仿宋" w:eastAsia="仿宋" w:cs="仿宋"/>
          <w:b/>
          <w:bCs/>
          <w:sz w:val="28"/>
          <w:szCs w:val="28"/>
          <w:highlight w:val="none"/>
        </w:rPr>
      </w:pPr>
    </w:p>
    <w:p>
      <w:pPr>
        <w:rPr>
          <w:rFonts w:hint="eastAsia" w:ascii="宋体" w:hAnsi="宋体" w:cs="宋体"/>
          <w:b/>
          <w:bCs/>
          <w:sz w:val="28"/>
          <w:szCs w:val="28"/>
          <w:highlight w:val="none"/>
        </w:rPr>
      </w:pPr>
      <w:r>
        <w:rPr>
          <w:rFonts w:hint="eastAsia" w:ascii="宋体" w:hAnsi="宋体" w:cs="宋体"/>
          <w:b/>
          <w:bCs/>
          <w:sz w:val="28"/>
          <w:szCs w:val="28"/>
          <w:highlight w:val="none"/>
        </w:rPr>
        <w:br w:type="page"/>
      </w:r>
    </w:p>
    <w:p>
      <w:pPr>
        <w:overflowPunct w:val="0"/>
        <w:spacing w:line="360" w:lineRule="auto"/>
        <w:jc w:val="center"/>
        <w:outlineLvl w:val="1"/>
        <w:rPr>
          <w:rFonts w:ascii="宋体" w:hAnsi="宋体" w:cs="宋体"/>
          <w:highlight w:val="none"/>
        </w:rPr>
      </w:pPr>
      <w:r>
        <w:rPr>
          <w:rFonts w:hint="eastAsia" w:ascii="宋体" w:hAnsi="宋体" w:cs="宋体"/>
          <w:b/>
          <w:bCs/>
          <w:sz w:val="28"/>
          <w:szCs w:val="28"/>
          <w:highlight w:val="none"/>
        </w:rPr>
        <w:t>八、资格证明文件</w:t>
      </w:r>
      <w:bookmarkEnd w:id="121"/>
    </w:p>
    <w:p>
      <w:pPr>
        <w:overflowPunct w:val="0"/>
        <w:spacing w:line="360" w:lineRule="auto"/>
        <w:jc w:val="center"/>
        <w:rPr>
          <w:rFonts w:ascii="宋体" w:hAnsi="宋体" w:cs="宋体"/>
          <w:b/>
          <w:bCs/>
          <w:sz w:val="24"/>
          <w:highlight w:val="none"/>
        </w:rPr>
      </w:pPr>
      <w:r>
        <w:rPr>
          <w:rFonts w:hint="eastAsia" w:ascii="宋体" w:hAnsi="宋体" w:cs="宋体"/>
          <w:b/>
          <w:bCs/>
          <w:sz w:val="28"/>
          <w:szCs w:val="28"/>
          <w:highlight w:val="none"/>
        </w:rPr>
        <w:t>供应商情况表</w:t>
      </w:r>
    </w:p>
    <w:tbl>
      <w:tblPr>
        <w:tblStyle w:val="23"/>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644"/>
        <w:gridCol w:w="1294"/>
        <w:gridCol w:w="372"/>
        <w:gridCol w:w="968"/>
        <w:gridCol w:w="902"/>
        <w:gridCol w:w="361"/>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81"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单位名称</w:t>
            </w:r>
          </w:p>
        </w:tc>
        <w:tc>
          <w:tcPr>
            <w:tcW w:w="7051" w:type="dxa"/>
            <w:gridSpan w:val="7"/>
          </w:tcPr>
          <w:p>
            <w:pPr>
              <w:overflowPunct w:val="0"/>
              <w:spacing w:line="400" w:lineRule="atLeas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1"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营业执照编号</w:t>
            </w:r>
          </w:p>
        </w:tc>
        <w:tc>
          <w:tcPr>
            <w:tcW w:w="3310" w:type="dxa"/>
            <w:gridSpan w:val="3"/>
          </w:tcPr>
          <w:p>
            <w:pPr>
              <w:overflowPunct w:val="0"/>
              <w:spacing w:line="400" w:lineRule="atLeast"/>
              <w:jc w:val="center"/>
              <w:rPr>
                <w:rFonts w:ascii="宋体" w:hAnsi="宋体" w:cs="宋体"/>
                <w:sz w:val="24"/>
                <w:highlight w:val="none"/>
              </w:rPr>
            </w:pPr>
          </w:p>
        </w:tc>
        <w:tc>
          <w:tcPr>
            <w:tcW w:w="1870" w:type="dxa"/>
            <w:gridSpan w:val="2"/>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注册日期</w:t>
            </w:r>
          </w:p>
        </w:tc>
        <w:tc>
          <w:tcPr>
            <w:tcW w:w="1871" w:type="dxa"/>
            <w:gridSpan w:val="2"/>
          </w:tcPr>
          <w:p>
            <w:pPr>
              <w:overflowPunct w:val="0"/>
              <w:spacing w:line="400" w:lineRule="atLeas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81"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营业地址</w:t>
            </w:r>
          </w:p>
        </w:tc>
        <w:tc>
          <w:tcPr>
            <w:tcW w:w="3310" w:type="dxa"/>
            <w:gridSpan w:val="3"/>
          </w:tcPr>
          <w:p>
            <w:pPr>
              <w:overflowPunct w:val="0"/>
              <w:spacing w:line="400" w:lineRule="atLeast"/>
              <w:jc w:val="center"/>
              <w:rPr>
                <w:rFonts w:ascii="宋体" w:hAnsi="宋体" w:cs="宋体"/>
                <w:sz w:val="24"/>
                <w:highlight w:val="none"/>
              </w:rPr>
            </w:pPr>
          </w:p>
        </w:tc>
        <w:tc>
          <w:tcPr>
            <w:tcW w:w="1870" w:type="dxa"/>
            <w:gridSpan w:val="2"/>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注册资金</w:t>
            </w:r>
          </w:p>
        </w:tc>
        <w:tc>
          <w:tcPr>
            <w:tcW w:w="1871" w:type="dxa"/>
            <w:gridSpan w:val="2"/>
          </w:tcPr>
          <w:p>
            <w:pPr>
              <w:overflowPunct w:val="0"/>
              <w:spacing w:line="400" w:lineRule="atLeas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1"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法定代表人</w:t>
            </w:r>
          </w:p>
        </w:tc>
        <w:tc>
          <w:tcPr>
            <w:tcW w:w="1644" w:type="dxa"/>
          </w:tcPr>
          <w:p>
            <w:pPr>
              <w:overflowPunct w:val="0"/>
              <w:spacing w:line="400" w:lineRule="atLeast"/>
              <w:jc w:val="center"/>
              <w:rPr>
                <w:rFonts w:ascii="宋体" w:hAnsi="宋体" w:cs="宋体"/>
                <w:sz w:val="24"/>
                <w:highlight w:val="none"/>
              </w:rPr>
            </w:pPr>
          </w:p>
        </w:tc>
        <w:tc>
          <w:tcPr>
            <w:tcW w:w="1294"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手机</w:t>
            </w:r>
          </w:p>
        </w:tc>
        <w:tc>
          <w:tcPr>
            <w:tcW w:w="1340" w:type="dxa"/>
            <w:gridSpan w:val="2"/>
          </w:tcPr>
          <w:p>
            <w:pPr>
              <w:overflowPunct w:val="0"/>
              <w:spacing w:line="400" w:lineRule="atLeast"/>
              <w:jc w:val="center"/>
              <w:rPr>
                <w:rFonts w:ascii="宋体" w:hAnsi="宋体" w:cs="宋体"/>
                <w:sz w:val="24"/>
                <w:highlight w:val="none"/>
              </w:rPr>
            </w:pPr>
          </w:p>
        </w:tc>
        <w:tc>
          <w:tcPr>
            <w:tcW w:w="1263" w:type="dxa"/>
            <w:gridSpan w:val="2"/>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座机</w:t>
            </w:r>
          </w:p>
        </w:tc>
        <w:tc>
          <w:tcPr>
            <w:tcW w:w="1510" w:type="dxa"/>
          </w:tcPr>
          <w:p>
            <w:pPr>
              <w:overflowPunct w:val="0"/>
              <w:spacing w:line="400" w:lineRule="atLeas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1"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授权代表人</w:t>
            </w:r>
          </w:p>
        </w:tc>
        <w:tc>
          <w:tcPr>
            <w:tcW w:w="1644" w:type="dxa"/>
          </w:tcPr>
          <w:p>
            <w:pPr>
              <w:overflowPunct w:val="0"/>
              <w:spacing w:line="400" w:lineRule="atLeast"/>
              <w:jc w:val="center"/>
              <w:rPr>
                <w:rFonts w:ascii="宋体" w:hAnsi="宋体" w:cs="宋体"/>
                <w:sz w:val="24"/>
                <w:highlight w:val="none"/>
              </w:rPr>
            </w:pPr>
          </w:p>
        </w:tc>
        <w:tc>
          <w:tcPr>
            <w:tcW w:w="1294"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手机</w:t>
            </w:r>
          </w:p>
        </w:tc>
        <w:tc>
          <w:tcPr>
            <w:tcW w:w="1340" w:type="dxa"/>
            <w:gridSpan w:val="2"/>
          </w:tcPr>
          <w:p>
            <w:pPr>
              <w:overflowPunct w:val="0"/>
              <w:spacing w:line="400" w:lineRule="atLeast"/>
              <w:jc w:val="center"/>
              <w:rPr>
                <w:rFonts w:ascii="宋体" w:hAnsi="宋体" w:cs="宋体"/>
                <w:sz w:val="24"/>
                <w:highlight w:val="none"/>
              </w:rPr>
            </w:pPr>
          </w:p>
        </w:tc>
        <w:tc>
          <w:tcPr>
            <w:tcW w:w="1263" w:type="dxa"/>
            <w:gridSpan w:val="2"/>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座机</w:t>
            </w:r>
          </w:p>
        </w:tc>
        <w:tc>
          <w:tcPr>
            <w:tcW w:w="1510" w:type="dxa"/>
          </w:tcPr>
          <w:p>
            <w:pPr>
              <w:overflowPunct w:val="0"/>
              <w:spacing w:line="400" w:lineRule="atLeas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1"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企业基本户开户行</w:t>
            </w:r>
          </w:p>
        </w:tc>
        <w:tc>
          <w:tcPr>
            <w:tcW w:w="7051" w:type="dxa"/>
            <w:gridSpan w:val="7"/>
          </w:tcPr>
          <w:p>
            <w:pPr>
              <w:overflowPunct w:val="0"/>
              <w:spacing w:line="400" w:lineRule="atLeas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81" w:type="dxa"/>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账号</w:t>
            </w:r>
          </w:p>
        </w:tc>
        <w:tc>
          <w:tcPr>
            <w:tcW w:w="7051" w:type="dxa"/>
            <w:gridSpan w:val="7"/>
          </w:tcPr>
          <w:p>
            <w:pPr>
              <w:overflowPunct w:val="0"/>
              <w:spacing w:line="400" w:lineRule="atLeas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981" w:type="dxa"/>
            <w:vAlign w:val="center"/>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主要营业范围</w:t>
            </w:r>
          </w:p>
        </w:tc>
        <w:tc>
          <w:tcPr>
            <w:tcW w:w="7051" w:type="dxa"/>
            <w:gridSpan w:val="7"/>
          </w:tcPr>
          <w:p>
            <w:pPr>
              <w:overflowPunct w:val="0"/>
              <w:spacing w:line="400" w:lineRule="atLeas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1981" w:type="dxa"/>
            <w:vAlign w:val="center"/>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关联企业关系</w:t>
            </w:r>
          </w:p>
        </w:tc>
        <w:tc>
          <w:tcPr>
            <w:tcW w:w="7051" w:type="dxa"/>
            <w:gridSpan w:val="7"/>
            <w:vAlign w:val="center"/>
          </w:tcPr>
          <w:p>
            <w:pPr>
              <w:topLinePunct/>
              <w:spacing w:line="400" w:lineRule="atLeast"/>
              <w:jc w:val="left"/>
              <w:rPr>
                <w:rFonts w:ascii="宋体" w:hAnsi="宋体" w:cs="宋体"/>
                <w:sz w:val="24"/>
                <w:highlight w:val="none"/>
              </w:rPr>
            </w:pPr>
            <w:r>
              <w:rPr>
                <w:rFonts w:hint="eastAsia" w:ascii="宋体" w:hAnsi="宋体" w:cs="宋体"/>
                <w:sz w:val="24"/>
                <w:highlight w:val="none"/>
              </w:rPr>
              <w:t>供应商应提供关联企业情况，包括：</w:t>
            </w:r>
          </w:p>
          <w:p>
            <w:pPr>
              <w:topLinePunct/>
              <w:spacing w:line="400" w:lineRule="atLeast"/>
              <w:jc w:val="left"/>
              <w:rPr>
                <w:rFonts w:ascii="宋体" w:hAnsi="宋体" w:cs="宋体"/>
                <w:sz w:val="24"/>
                <w:highlight w:val="none"/>
              </w:rPr>
            </w:pPr>
            <w:r>
              <w:rPr>
                <w:rFonts w:hint="eastAsia" w:ascii="宋体" w:hAnsi="宋体" w:cs="宋体"/>
                <w:sz w:val="24"/>
                <w:highlight w:val="none"/>
              </w:rPr>
              <w:t>（1）供应商的所有股东名称及相应股权（出资额）比例；如供应商为上市公司，供应商应提供股权占公司股份总数5%以上的所有股东名称及相应股权比例；</w:t>
            </w:r>
          </w:p>
          <w:p>
            <w:pPr>
              <w:numPr>
                <w:ilvl w:val="0"/>
                <w:numId w:val="7"/>
              </w:numPr>
              <w:topLinePunct/>
              <w:spacing w:line="400" w:lineRule="atLeast"/>
              <w:jc w:val="left"/>
              <w:rPr>
                <w:rFonts w:ascii="宋体" w:hAnsi="宋体" w:cs="宋体"/>
                <w:sz w:val="24"/>
                <w:highlight w:val="none"/>
              </w:rPr>
            </w:pPr>
            <w:r>
              <w:rPr>
                <w:rFonts w:hint="eastAsia" w:ascii="宋体" w:hAnsi="宋体" w:cs="宋体"/>
                <w:sz w:val="24"/>
                <w:highlight w:val="none"/>
              </w:rPr>
              <w:t>供应商投资（控股）或管理的下属企业名称、持有股权（出资额）比例；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981" w:type="dxa"/>
            <w:vAlign w:val="center"/>
          </w:tcPr>
          <w:p>
            <w:pPr>
              <w:overflowPunct w:val="0"/>
              <w:spacing w:line="400" w:lineRule="atLeast"/>
              <w:jc w:val="center"/>
              <w:rPr>
                <w:rFonts w:ascii="宋体" w:hAnsi="宋体" w:cs="宋体"/>
                <w:sz w:val="24"/>
                <w:highlight w:val="none"/>
              </w:rPr>
            </w:pPr>
            <w:r>
              <w:rPr>
                <w:rFonts w:hint="eastAsia" w:ascii="宋体" w:hAnsi="宋体" w:cs="宋体"/>
                <w:sz w:val="24"/>
                <w:highlight w:val="none"/>
              </w:rPr>
              <w:t>备注</w:t>
            </w:r>
          </w:p>
        </w:tc>
        <w:tc>
          <w:tcPr>
            <w:tcW w:w="7051" w:type="dxa"/>
            <w:gridSpan w:val="7"/>
          </w:tcPr>
          <w:p>
            <w:pPr>
              <w:overflowPunct w:val="0"/>
              <w:spacing w:line="400" w:lineRule="atLeast"/>
              <w:jc w:val="center"/>
              <w:rPr>
                <w:rFonts w:ascii="宋体" w:hAnsi="宋体" w:cs="宋体"/>
                <w:sz w:val="24"/>
                <w:highlight w:val="none"/>
              </w:rPr>
            </w:pPr>
          </w:p>
        </w:tc>
      </w:tr>
    </w:tbl>
    <w:p>
      <w:pPr>
        <w:overflowPunct w:val="0"/>
        <w:spacing w:line="360" w:lineRule="auto"/>
        <w:rPr>
          <w:rFonts w:ascii="宋体" w:hAnsi="宋体" w:cs="宋体"/>
          <w:highlight w:val="none"/>
        </w:rPr>
      </w:pPr>
      <w:r>
        <w:rPr>
          <w:rFonts w:hint="eastAsia" w:ascii="宋体" w:hAnsi="宋体" w:cs="宋体"/>
          <w:highlight w:val="none"/>
        </w:rPr>
        <w:t>后附资料：</w:t>
      </w:r>
    </w:p>
    <w:p>
      <w:pPr>
        <w:pStyle w:val="20"/>
        <w:shd w:val="clear" w:color="auto" w:fill="FFFFFF"/>
        <w:spacing w:beforeAutospacing="0" w:afterAutospacing="0" w:line="360" w:lineRule="auto"/>
        <w:rPr>
          <w:b/>
          <w:bCs/>
          <w:highlight w:val="none"/>
        </w:rPr>
      </w:pPr>
      <w:r>
        <w:rPr>
          <w:rFonts w:hint="eastAsia"/>
          <w:b/>
          <w:bCs/>
          <w:highlight w:val="none"/>
        </w:rPr>
        <w:t>（1）基本资格条件证明资料：</w:t>
      </w:r>
    </w:p>
    <w:p>
      <w:pPr>
        <w:pStyle w:val="20"/>
        <w:shd w:val="clear" w:color="auto" w:fill="FFFFFF"/>
        <w:spacing w:beforeAutospacing="0" w:afterAutospacing="0" w:line="360" w:lineRule="auto"/>
        <w:ind w:firstLine="420"/>
        <w:rPr>
          <w:highlight w:val="none"/>
        </w:rPr>
      </w:pPr>
      <w:r>
        <w:rPr>
          <w:rFonts w:hint="eastAsia"/>
          <w:highlight w:val="none"/>
        </w:rPr>
        <w:t xml:space="preserve">1、具有独立承担民事责任能力的法人、其他组织或自然人，提供合法有效的统一社会信用代码营业执照（事业单位提供事业单位法人证书，自然人提供身份证明）； </w:t>
      </w:r>
    </w:p>
    <w:p>
      <w:pPr>
        <w:pStyle w:val="20"/>
        <w:shd w:val="clear" w:color="auto" w:fill="FFFFFF"/>
        <w:spacing w:beforeAutospacing="0" w:afterAutospacing="0" w:line="360" w:lineRule="auto"/>
        <w:ind w:firstLine="420"/>
        <w:rPr>
          <w:rFonts w:hint="eastAsia"/>
          <w:highlight w:val="none"/>
          <w:lang w:eastAsia="zh-CN"/>
        </w:rPr>
      </w:pPr>
      <w:r>
        <w:rPr>
          <w:rFonts w:hint="eastAsia"/>
          <w:highlight w:val="none"/>
        </w:rPr>
        <w:t>2、财务状况报告：</w:t>
      </w:r>
      <w:r>
        <w:rPr>
          <w:rFonts w:hint="eastAsia"/>
          <w:highlight w:val="none"/>
          <w:lang w:eastAsia="zh-CN"/>
        </w:rPr>
        <w:t>提供具有财务审计资质单位出具的2021年度财务报告或</w:t>
      </w:r>
      <w:r>
        <w:rPr>
          <w:rFonts w:hint="eastAsia"/>
          <w:highlight w:val="none"/>
          <w:lang w:val="en-US" w:eastAsia="zh-CN"/>
        </w:rPr>
        <w:t>2022年度</w:t>
      </w:r>
      <w:r>
        <w:rPr>
          <w:rFonts w:hint="eastAsia"/>
          <w:highlight w:val="none"/>
          <w:lang w:eastAsia="zh-CN"/>
        </w:rPr>
        <w:t>财务报告</w:t>
      </w:r>
      <w:r>
        <w:rPr>
          <w:rFonts w:hint="eastAsia"/>
          <w:highlight w:val="none"/>
          <w:lang w:val="en-US" w:eastAsia="zh-CN"/>
        </w:rPr>
        <w:t>或</w:t>
      </w:r>
      <w:r>
        <w:rPr>
          <w:rFonts w:hint="eastAsia"/>
          <w:highlight w:val="none"/>
          <w:lang w:eastAsia="zh-CN"/>
        </w:rPr>
        <w:t>2022年7月1日至今其基本账户银行出具的资信证明，其他组织和自然人提供银行出具的资信证明或财务报表；</w:t>
      </w:r>
    </w:p>
    <w:p>
      <w:pPr>
        <w:pStyle w:val="20"/>
        <w:shd w:val="clear" w:color="auto" w:fill="FFFFFF"/>
        <w:spacing w:beforeAutospacing="0" w:afterAutospacing="0" w:line="360" w:lineRule="auto"/>
        <w:ind w:firstLine="420"/>
        <w:rPr>
          <w:highlight w:val="none"/>
        </w:rPr>
      </w:pPr>
      <w:r>
        <w:rPr>
          <w:rFonts w:hint="eastAsia"/>
          <w:highlight w:val="none"/>
        </w:rPr>
        <w:t xml:space="preserve">3、 社会保障资金缴纳证明：提供开标前六个月内任意时段已缴存的社会保障资金缴存单据或社保机构开具的社会保险参保缴费情况证明；依法不需要缴纳社会保障资金的应提供相关文件证明； </w:t>
      </w:r>
    </w:p>
    <w:p>
      <w:pPr>
        <w:pStyle w:val="20"/>
        <w:shd w:val="clear" w:color="auto" w:fill="FFFFFF"/>
        <w:spacing w:beforeAutospacing="0" w:afterAutospacing="0" w:line="360" w:lineRule="auto"/>
        <w:ind w:firstLine="420"/>
        <w:rPr>
          <w:highlight w:val="none"/>
        </w:rPr>
      </w:pPr>
      <w:r>
        <w:rPr>
          <w:rFonts w:hint="eastAsia"/>
          <w:highlight w:val="none"/>
        </w:rPr>
        <w:t>4、 税收缴纳证明：提供开标前六个月内任意时段已缴纳的完税凭证或税务机关开具的完税证明（任意税种）；依法免税的应提供相关文件证明，零纳税的提供申报表；</w:t>
      </w:r>
    </w:p>
    <w:p>
      <w:pPr>
        <w:pStyle w:val="20"/>
        <w:shd w:val="clear" w:color="auto" w:fill="FFFFFF"/>
        <w:spacing w:beforeAutospacing="0" w:afterAutospacing="0" w:line="360" w:lineRule="auto"/>
        <w:ind w:firstLine="420"/>
        <w:rPr>
          <w:highlight w:val="none"/>
        </w:rPr>
      </w:pPr>
      <w:r>
        <w:rPr>
          <w:rFonts w:hint="eastAsia"/>
          <w:highlight w:val="none"/>
        </w:rPr>
        <w:t>5、 提供具有履行本合同所必需的专业技术能力的声明；</w:t>
      </w:r>
    </w:p>
    <w:p>
      <w:pPr>
        <w:pStyle w:val="20"/>
        <w:shd w:val="clear" w:color="auto" w:fill="FFFFFF"/>
        <w:spacing w:beforeAutospacing="0" w:afterAutospacing="0" w:line="360" w:lineRule="auto"/>
        <w:ind w:firstLine="420"/>
        <w:rPr>
          <w:highlight w:val="none"/>
        </w:rPr>
      </w:pPr>
      <w:r>
        <w:rPr>
          <w:rFonts w:hint="eastAsia"/>
          <w:highlight w:val="none"/>
        </w:rPr>
        <w:t>6、 参加本次政府采购活动前3年内在经营活动中没有重大违纪的声明；</w:t>
      </w:r>
    </w:p>
    <w:p>
      <w:pPr>
        <w:pStyle w:val="20"/>
        <w:shd w:val="clear" w:color="auto" w:fill="FFFFFF"/>
        <w:spacing w:beforeAutospacing="0" w:afterAutospacing="0" w:line="360" w:lineRule="auto"/>
        <w:rPr>
          <w:b/>
          <w:bCs/>
          <w:highlight w:val="none"/>
        </w:rPr>
      </w:pPr>
      <w:r>
        <w:rPr>
          <w:rFonts w:hint="eastAsia"/>
          <w:b/>
          <w:bCs/>
          <w:highlight w:val="none"/>
        </w:rPr>
        <w:t>（2）特定资格条件证明资料：</w:t>
      </w:r>
    </w:p>
    <w:p>
      <w:pPr>
        <w:pStyle w:val="20"/>
        <w:shd w:val="clear" w:color="auto" w:fill="FFFFFF"/>
        <w:spacing w:beforeAutospacing="0" w:afterAutospacing="0" w:line="360" w:lineRule="auto"/>
        <w:ind w:firstLine="420"/>
        <w:rPr>
          <w:highlight w:val="none"/>
        </w:rPr>
      </w:pPr>
      <w:r>
        <w:rPr>
          <w:rFonts w:hint="eastAsia"/>
          <w:highlight w:val="none"/>
        </w:rPr>
        <w:t>7、法定代表人直接参加磋商的，须出具法定代表人身份证明书及身份证；授权代表参加磋商的，须出具法定代表人授权书及授权代表身份证；</w:t>
      </w:r>
    </w:p>
    <w:p>
      <w:pPr>
        <w:pStyle w:val="20"/>
        <w:shd w:val="clear" w:color="auto" w:fill="FFFFFF"/>
        <w:spacing w:beforeAutospacing="0" w:afterAutospacing="0" w:line="360" w:lineRule="auto"/>
        <w:ind w:firstLine="420"/>
        <w:rPr>
          <w:highlight w:val="none"/>
        </w:rPr>
      </w:pPr>
      <w:r>
        <w:rPr>
          <w:rFonts w:hint="eastAsia"/>
          <w:highlight w:val="none"/>
        </w:rPr>
        <w:t>8、磋商保证金缴纳凭证或担保机构出具的保函；</w:t>
      </w:r>
    </w:p>
    <w:p>
      <w:pPr>
        <w:pStyle w:val="20"/>
        <w:shd w:val="clear" w:color="auto" w:fill="FFFFFF"/>
        <w:spacing w:beforeAutospacing="0" w:afterAutospacing="0" w:line="360" w:lineRule="auto"/>
        <w:ind w:firstLine="420"/>
        <w:rPr>
          <w:rFonts w:hint="eastAsia" w:cs="宋体"/>
          <w:color w:val="333333"/>
          <w:highlight w:val="none"/>
          <w:shd w:val="clear" w:color="auto" w:fill="FFFFFF"/>
          <w:lang w:eastAsia="zh-CN"/>
        </w:rPr>
      </w:pPr>
      <w:r>
        <w:rPr>
          <w:rFonts w:hint="eastAsia"/>
          <w:highlight w:val="none"/>
        </w:rPr>
        <w:t>9、</w:t>
      </w:r>
      <w:r>
        <w:rPr>
          <w:rFonts w:hint="eastAsia" w:cs="宋体"/>
          <w:color w:val="333333"/>
          <w:highlight w:val="none"/>
          <w:shd w:val="clear" w:color="auto" w:fill="FFFFFF"/>
          <w:lang w:val="en-US" w:eastAsia="zh-CN"/>
        </w:rPr>
        <w:t>供应商须</w:t>
      </w:r>
      <w:r>
        <w:rPr>
          <w:rFonts w:hint="eastAsia" w:cs="宋体"/>
          <w:color w:val="333333"/>
          <w:highlight w:val="none"/>
          <w:shd w:val="clear" w:color="auto" w:fill="FFFFFF"/>
          <w:lang w:eastAsia="zh-CN"/>
        </w:rPr>
        <w:t>具有交通运输部质量监督机构颁发的公路工程试验检测综合甲级资质</w:t>
      </w:r>
      <w:r>
        <w:rPr>
          <w:rFonts w:hint="eastAsia" w:cs="宋体"/>
          <w:color w:val="333333"/>
          <w:highlight w:val="none"/>
          <w:shd w:val="clear" w:color="auto" w:fill="FFFFFF"/>
          <w:lang w:val="en-US" w:eastAsia="zh-CN"/>
        </w:rPr>
        <w:t>或桥梁工程试验检测专项类资质。同时供应商须具备有效的</w:t>
      </w:r>
      <w:r>
        <w:rPr>
          <w:rFonts w:hint="eastAsia" w:cs="宋体"/>
          <w:color w:val="333333"/>
          <w:highlight w:val="none"/>
          <w:shd w:val="clear" w:color="auto" w:fill="FFFFFF"/>
          <w:lang w:eastAsia="zh-CN"/>
        </w:rPr>
        <w:t>国家质量技术监督部门颁发的</w:t>
      </w:r>
      <w:r>
        <w:rPr>
          <w:rFonts w:hint="eastAsia" w:cs="宋体"/>
          <w:color w:val="333333"/>
          <w:highlight w:val="none"/>
          <w:shd w:val="clear" w:color="auto" w:fill="FFFFFF"/>
          <w:lang w:val="en-US" w:eastAsia="zh-CN"/>
        </w:rPr>
        <w:t>省部级以上</w:t>
      </w:r>
      <w:r>
        <w:rPr>
          <w:rFonts w:hint="eastAsia" w:cs="宋体"/>
          <w:color w:val="333333"/>
          <w:highlight w:val="none"/>
          <w:shd w:val="clear" w:color="auto" w:fill="FFFFFF"/>
          <w:lang w:eastAsia="zh-CN"/>
        </w:rPr>
        <w:t>计量认证CMA合格证书（具有</w:t>
      </w:r>
      <w:r>
        <w:rPr>
          <w:rFonts w:hint="eastAsia" w:cs="宋体"/>
          <w:color w:val="333333"/>
          <w:highlight w:val="none"/>
          <w:shd w:val="clear" w:color="auto" w:fill="FFFFFF"/>
          <w:lang w:val="en-US" w:eastAsia="zh-CN"/>
        </w:rPr>
        <w:t>桥梁、隧道检测能力</w:t>
      </w:r>
      <w:r>
        <w:rPr>
          <w:rFonts w:hint="eastAsia" w:cs="宋体"/>
          <w:color w:val="333333"/>
          <w:highlight w:val="none"/>
          <w:shd w:val="clear" w:color="auto" w:fill="FFFFFF"/>
          <w:lang w:eastAsia="zh-CN"/>
        </w:rPr>
        <w:t>），上述证书均须在有效期内。</w:t>
      </w:r>
    </w:p>
    <w:p>
      <w:pPr>
        <w:pStyle w:val="20"/>
        <w:shd w:val="clear" w:color="auto" w:fill="FFFFFF"/>
        <w:spacing w:beforeAutospacing="0" w:afterAutospacing="0" w:line="360" w:lineRule="auto"/>
        <w:ind w:firstLine="420"/>
        <w:rPr>
          <w:highlight w:val="none"/>
        </w:rPr>
      </w:pPr>
      <w:r>
        <w:rPr>
          <w:rFonts w:hint="eastAsia" w:cs="宋体"/>
          <w:color w:val="333333"/>
          <w:highlight w:val="none"/>
          <w:shd w:val="clear" w:color="auto" w:fill="FFFFFF"/>
          <w:lang w:val="en-US" w:eastAsia="zh-CN"/>
        </w:rPr>
        <w:t>10、</w:t>
      </w:r>
      <w:r>
        <w:rPr>
          <w:rFonts w:hint="eastAsia"/>
          <w:highlight w:val="none"/>
        </w:rPr>
        <w:t>供应商未被“信用中国”网站（www.creditchina.gov.cn）中列入失信被执行人和税收违法</w:t>
      </w:r>
      <w:r>
        <w:rPr>
          <w:rFonts w:hint="eastAsia"/>
          <w:highlight w:val="none"/>
          <w:lang w:val="en-US" w:eastAsia="zh-CN"/>
        </w:rPr>
        <w:t>黑</w:t>
      </w:r>
      <w:r>
        <w:rPr>
          <w:rFonts w:hint="eastAsia"/>
          <w:highlight w:val="none"/>
        </w:rPr>
        <w:t>名单，在中国政府采购网（www.ccgp.gov.cn）政府采购严重违法失信行为记录名单中未被财政部门禁止参加政府采购活动的供应商，未被省级及以上交通运输主管部门限制进入公路建养市场，且</w:t>
      </w:r>
      <w:r>
        <w:rPr>
          <w:rFonts w:hint="eastAsia"/>
          <w:highlight w:val="none"/>
          <w:lang w:val="en-US" w:eastAsia="zh-CN"/>
        </w:rPr>
        <w:t>不</w:t>
      </w:r>
      <w:r>
        <w:rPr>
          <w:rFonts w:hint="eastAsia"/>
          <w:highlight w:val="none"/>
        </w:rPr>
        <w:t xml:space="preserve">在处罚有效期内； </w:t>
      </w:r>
    </w:p>
    <w:p>
      <w:pPr>
        <w:pStyle w:val="20"/>
        <w:shd w:val="clear" w:color="auto" w:fill="FFFFFF"/>
        <w:spacing w:beforeAutospacing="0" w:afterAutospacing="0" w:line="360" w:lineRule="auto"/>
        <w:ind w:firstLine="482" w:firstLineChars="200"/>
        <w:rPr>
          <w:rFonts w:hint="eastAsia"/>
          <w:b/>
          <w:bCs/>
          <w:highlight w:val="none"/>
        </w:rPr>
      </w:pPr>
      <w:r>
        <w:rPr>
          <w:rFonts w:hint="eastAsia"/>
          <w:b/>
          <w:bCs/>
          <w:highlight w:val="none"/>
        </w:rPr>
        <w:t>注：1、根据财库（2019）38号文件规定，以上资料通过互联网或者相关信息系统查询的，供应商可以不提供复印件，但须说明查询方法及查询地址；资料原件采购人有权备查，若不提供，其资格审查不通过；</w:t>
      </w:r>
    </w:p>
    <w:p>
      <w:pPr>
        <w:pStyle w:val="20"/>
        <w:shd w:val="clear" w:color="auto" w:fill="FFFFFF"/>
        <w:spacing w:beforeAutospacing="0" w:afterAutospacing="0" w:line="360" w:lineRule="auto"/>
        <w:ind w:firstLine="482" w:firstLineChars="200"/>
        <w:rPr>
          <w:rFonts w:hint="eastAsia"/>
          <w:b/>
          <w:bCs/>
          <w:highlight w:val="none"/>
        </w:rPr>
      </w:pPr>
      <w:r>
        <w:rPr>
          <w:rFonts w:hint="eastAsia"/>
          <w:b/>
          <w:bCs/>
          <w:highlight w:val="none"/>
        </w:rPr>
        <w:t>2、分公司参与磋商，须提供总公司针对分公司参与本项目磋商的唯一授权函，否则按无效响应处理；</w:t>
      </w:r>
    </w:p>
    <w:p>
      <w:pPr>
        <w:pStyle w:val="20"/>
        <w:shd w:val="clear" w:color="auto" w:fill="FFFFFF"/>
        <w:spacing w:beforeAutospacing="0" w:afterAutospacing="0" w:line="360" w:lineRule="auto"/>
        <w:ind w:firstLine="482" w:firstLineChars="200"/>
        <w:rPr>
          <w:highlight w:val="none"/>
        </w:rPr>
      </w:pPr>
      <w:r>
        <w:rPr>
          <w:rFonts w:hint="eastAsia"/>
          <w:b/>
          <w:bCs/>
          <w:highlight w:val="none"/>
        </w:rPr>
        <w:t>3、以上资料有1项不符合要求，资格审查不通过；</w:t>
      </w:r>
      <w:r>
        <w:rPr>
          <w:rFonts w:hint="eastAsia"/>
          <w:highlight w:val="none"/>
        </w:rPr>
        <w:br w:type="page"/>
      </w:r>
      <w:r>
        <w:rPr>
          <w:rFonts w:hint="eastAsia"/>
          <w:bCs/>
          <w:highlight w:val="none"/>
        </w:rPr>
        <w:t>附</w:t>
      </w:r>
      <w:r>
        <w:rPr>
          <w:rFonts w:hint="eastAsia"/>
          <w:highlight w:val="none"/>
        </w:rPr>
        <w:t>件</w:t>
      </w:r>
      <w:r>
        <w:rPr>
          <w:rFonts w:hint="eastAsia"/>
          <w:bCs/>
          <w:highlight w:val="none"/>
        </w:rPr>
        <w:t>1：</w:t>
      </w:r>
    </w:p>
    <w:p>
      <w:pPr>
        <w:widowControl/>
        <w:spacing w:before="156" w:beforeLines="50" w:after="156" w:afterLines="50" w:line="500" w:lineRule="exact"/>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w:t>
      </w:r>
    </w:p>
    <w:p>
      <w:pPr>
        <w:widowControl/>
        <w:spacing w:before="156" w:beforeLines="50" w:after="156" w:afterLines="50" w:line="500" w:lineRule="exact"/>
        <w:jc w:val="center"/>
        <w:rPr>
          <w:rFonts w:ascii="宋体" w:hAnsi="宋体" w:cs="宋体"/>
          <w:b/>
          <w:kern w:val="0"/>
          <w:sz w:val="24"/>
          <w:szCs w:val="24"/>
          <w:highlight w:val="none"/>
        </w:rPr>
      </w:pPr>
      <w:r>
        <w:rPr>
          <w:rFonts w:hint="eastAsia" w:ascii="宋体" w:hAnsi="宋体" w:cs="宋体"/>
          <w:b/>
          <w:kern w:val="0"/>
          <w:sz w:val="24"/>
          <w:szCs w:val="24"/>
          <w:highlight w:val="none"/>
        </w:rPr>
        <w:t>没有重大违法纪录的书面声明</w:t>
      </w:r>
    </w:p>
    <w:p>
      <w:pPr>
        <w:pStyle w:val="20"/>
        <w:wordWrap w:val="0"/>
        <w:spacing w:beforeAutospacing="0" w:afterAutospacing="0" w:line="560" w:lineRule="exact"/>
        <w:ind w:firstLine="420"/>
        <w:rPr>
          <w:sz w:val="24"/>
          <w:szCs w:val="24"/>
          <w:highlight w:val="none"/>
          <w:u w:val="single"/>
          <w:shd w:val="clear" w:color="auto" w:fill="FFFFFF"/>
        </w:rPr>
      </w:pPr>
      <w:r>
        <w:rPr>
          <w:rFonts w:hint="eastAsia"/>
          <w:sz w:val="24"/>
          <w:szCs w:val="24"/>
          <w:highlight w:val="none"/>
          <w:u w:val="single"/>
          <w:shd w:val="clear" w:color="auto" w:fill="FFFFFF"/>
        </w:rPr>
        <w:t xml:space="preserve">      （采购人）           ：</w:t>
      </w:r>
    </w:p>
    <w:p>
      <w:pPr>
        <w:pStyle w:val="20"/>
        <w:wordWrap w:val="0"/>
        <w:spacing w:beforeAutospacing="0" w:afterAutospacing="0" w:line="560" w:lineRule="exact"/>
        <w:ind w:firstLine="420"/>
        <w:rPr>
          <w:sz w:val="24"/>
          <w:szCs w:val="24"/>
          <w:highlight w:val="none"/>
        </w:rPr>
      </w:pPr>
      <w:r>
        <w:rPr>
          <w:rFonts w:hint="eastAsia"/>
          <w:sz w:val="24"/>
          <w:szCs w:val="24"/>
          <w:highlight w:val="none"/>
          <w:shd w:val="clear" w:color="auto" w:fill="FFFFFF"/>
        </w:rPr>
        <w:t>我方作为项目名称</w:t>
      </w:r>
      <w:r>
        <w:rPr>
          <w:rFonts w:hint="eastAsia"/>
          <w:sz w:val="24"/>
          <w:szCs w:val="24"/>
          <w:highlight w:val="none"/>
          <w:u w:val="single"/>
          <w:shd w:val="clear" w:color="auto" w:fill="FFFFFF"/>
        </w:rPr>
        <w:t xml:space="preserve">             </w:t>
      </w:r>
      <w:r>
        <w:rPr>
          <w:rFonts w:hint="eastAsia"/>
          <w:sz w:val="24"/>
          <w:szCs w:val="24"/>
          <w:highlight w:val="none"/>
          <w:shd w:val="clear" w:color="auto" w:fill="FFFFFF"/>
        </w:rPr>
        <w:t>（项目编号：</w:t>
      </w:r>
      <w:r>
        <w:rPr>
          <w:rFonts w:hint="eastAsia"/>
          <w:i/>
          <w:iCs/>
          <w:sz w:val="24"/>
          <w:szCs w:val="24"/>
          <w:highlight w:val="none"/>
          <w:u w:val="single"/>
          <w:shd w:val="clear" w:color="auto" w:fill="FFFFFF"/>
        </w:rPr>
        <w:t xml:space="preserve">          </w:t>
      </w:r>
      <w:r>
        <w:rPr>
          <w:rFonts w:hint="eastAsia"/>
          <w:sz w:val="24"/>
          <w:szCs w:val="24"/>
          <w:highlight w:val="none"/>
          <w:shd w:val="clear" w:color="auto" w:fill="FFFFFF"/>
        </w:rPr>
        <w:t xml:space="preserve">）的供应商，在此郑重声明： </w:t>
      </w:r>
    </w:p>
    <w:p>
      <w:pPr>
        <w:pStyle w:val="20"/>
        <w:wordWrap w:val="0"/>
        <w:spacing w:beforeAutospacing="0" w:afterAutospacing="0" w:line="560" w:lineRule="exact"/>
        <w:ind w:firstLine="720" w:firstLineChars="300"/>
        <w:rPr>
          <w:sz w:val="24"/>
          <w:szCs w:val="24"/>
          <w:highlight w:val="none"/>
        </w:rPr>
      </w:pPr>
      <w:r>
        <w:rPr>
          <w:rFonts w:hint="eastAsia"/>
          <w:sz w:val="24"/>
          <w:szCs w:val="24"/>
          <w:highlight w:val="none"/>
          <w:shd w:val="clear" w:color="auto" w:fill="FFFFFF"/>
        </w:rPr>
        <w:t>在参加本次政府采购活动前3年内的经营活动中</w:t>
      </w:r>
      <w:r>
        <w:rPr>
          <w:rFonts w:hint="eastAsia"/>
          <w:sz w:val="24"/>
          <w:szCs w:val="24"/>
          <w:highlight w:val="none"/>
          <w:u w:val="single"/>
          <w:shd w:val="clear" w:color="auto" w:fill="FFFFFF"/>
        </w:rPr>
        <w:t xml:space="preserve">          </w:t>
      </w:r>
      <w:r>
        <w:rPr>
          <w:rFonts w:hint="eastAsia"/>
          <w:sz w:val="24"/>
          <w:szCs w:val="24"/>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20"/>
        <w:wordWrap w:val="0"/>
        <w:spacing w:beforeAutospacing="0" w:afterAutospacing="0" w:line="560" w:lineRule="exact"/>
        <w:ind w:firstLine="420"/>
        <w:rPr>
          <w:sz w:val="24"/>
          <w:szCs w:val="24"/>
          <w:highlight w:val="none"/>
        </w:rPr>
      </w:pPr>
      <w:r>
        <w:rPr>
          <w:rFonts w:hint="eastAsia"/>
          <w:sz w:val="24"/>
          <w:szCs w:val="24"/>
          <w:highlight w:val="none"/>
          <w:shd w:val="clear" w:color="auto" w:fill="FFFFFF"/>
        </w:rPr>
        <w:t xml:space="preserve">如有不实，我方将无条件地退出本项目的采购活动，并遵照《政府采购法》有关“提供虚假材料的规定”接受处罚。 </w:t>
      </w:r>
    </w:p>
    <w:p>
      <w:pPr>
        <w:pStyle w:val="20"/>
        <w:wordWrap w:val="0"/>
        <w:spacing w:beforeAutospacing="0" w:afterAutospacing="0" w:line="560" w:lineRule="exact"/>
        <w:ind w:firstLine="420"/>
        <w:rPr>
          <w:sz w:val="24"/>
          <w:szCs w:val="24"/>
          <w:highlight w:val="none"/>
          <w:shd w:val="clear" w:color="auto" w:fill="FFFFFF"/>
        </w:rPr>
      </w:pPr>
      <w:r>
        <w:rPr>
          <w:rFonts w:hint="eastAsia"/>
          <w:sz w:val="24"/>
          <w:szCs w:val="24"/>
          <w:highlight w:val="none"/>
          <w:shd w:val="clear" w:color="auto" w:fill="FFFFFF"/>
        </w:rPr>
        <w:t>特此声明！</w:t>
      </w:r>
    </w:p>
    <w:p>
      <w:pPr>
        <w:spacing w:line="480" w:lineRule="auto"/>
        <w:ind w:firstLine="3360" w:firstLineChars="1400"/>
        <w:rPr>
          <w:rFonts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（盖章）</w:t>
      </w:r>
    </w:p>
    <w:p>
      <w:pPr>
        <w:spacing w:line="360" w:lineRule="auto"/>
        <w:ind w:firstLine="3360" w:firstLineChars="1400"/>
        <w:rPr>
          <w:rFonts w:ascii="宋体" w:hAnsi="宋体" w:cs="宋体"/>
          <w:sz w:val="24"/>
          <w:szCs w:val="24"/>
          <w:highlight w:val="none"/>
        </w:rPr>
      </w:pPr>
      <w:r>
        <w:rPr>
          <w:rFonts w:hint="eastAsia" w:ascii="宋体" w:hAnsi="宋体" w:cs="宋体"/>
          <w:sz w:val="24"/>
          <w:szCs w:val="24"/>
          <w:highlight w:val="none"/>
        </w:rPr>
        <w:t>法定代表人</w:t>
      </w:r>
    </w:p>
    <w:p>
      <w:pPr>
        <w:spacing w:line="360" w:lineRule="auto"/>
        <w:ind w:firstLine="3360" w:firstLineChars="1400"/>
        <w:rPr>
          <w:rFonts w:ascii="宋体" w:hAnsi="宋体" w:cs="宋体"/>
          <w:sz w:val="24"/>
          <w:szCs w:val="24"/>
          <w:highlight w:val="none"/>
        </w:rPr>
      </w:pPr>
      <w:r>
        <w:rPr>
          <w:rFonts w:hint="eastAsia" w:ascii="宋体" w:hAnsi="宋体" w:cs="宋体"/>
          <w:sz w:val="24"/>
          <w:szCs w:val="24"/>
          <w:highlight w:val="none"/>
        </w:rPr>
        <w:t>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pPr>
        <w:pStyle w:val="51"/>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11"/>
        <w:overflowPunct w:val="0"/>
        <w:spacing w:before="120"/>
        <w:ind w:left="2167" w:right="1470" w:hanging="697"/>
        <w:jc w:val="center"/>
        <w:rPr>
          <w:rFonts w:ascii="宋体" w:hAnsi="宋体" w:cs="宋体"/>
          <w:sz w:val="24"/>
          <w:szCs w:val="24"/>
          <w:highlight w:val="none"/>
        </w:rPr>
      </w:pPr>
    </w:p>
    <w:p>
      <w:pPr>
        <w:rPr>
          <w:rFonts w:ascii="宋体" w:hAnsi="宋体" w:cs="宋体"/>
          <w:bCs/>
          <w:sz w:val="24"/>
          <w:highlight w:val="none"/>
        </w:rPr>
      </w:pPr>
      <w:r>
        <w:rPr>
          <w:rFonts w:hint="eastAsia" w:ascii="宋体" w:hAnsi="宋体" w:cs="宋体"/>
          <w:bCs/>
          <w:sz w:val="24"/>
          <w:highlight w:val="none"/>
        </w:rPr>
        <w:br w:type="page"/>
      </w:r>
    </w:p>
    <w:p>
      <w:pPr>
        <w:overflowPunct w:val="0"/>
        <w:adjustRightInd w:val="0"/>
        <w:snapToGrid w:val="0"/>
        <w:spacing w:line="440" w:lineRule="exact"/>
        <w:jc w:val="left"/>
        <w:rPr>
          <w:rFonts w:ascii="宋体" w:hAnsi="宋体" w:cs="宋体"/>
          <w:sz w:val="24"/>
          <w:highlight w:val="none"/>
        </w:rPr>
      </w:pPr>
      <w:r>
        <w:rPr>
          <w:rFonts w:hint="eastAsia" w:ascii="宋体" w:hAnsi="宋体" w:cs="宋体"/>
          <w:bCs/>
          <w:sz w:val="24"/>
          <w:highlight w:val="none"/>
        </w:rPr>
        <w:t>附</w:t>
      </w:r>
      <w:r>
        <w:rPr>
          <w:rFonts w:hint="eastAsia" w:ascii="宋体" w:hAnsi="宋体" w:cs="宋体"/>
          <w:sz w:val="24"/>
          <w:highlight w:val="none"/>
        </w:rPr>
        <w:t>件</w:t>
      </w:r>
      <w:r>
        <w:rPr>
          <w:rFonts w:hint="eastAsia" w:ascii="宋体" w:hAnsi="宋体" w:cs="宋体"/>
          <w:bCs/>
          <w:sz w:val="24"/>
          <w:highlight w:val="none"/>
        </w:rPr>
        <w:t>2：</w:t>
      </w:r>
    </w:p>
    <w:p>
      <w:pPr>
        <w:spacing w:line="480" w:lineRule="auto"/>
        <w:jc w:val="center"/>
        <w:rPr>
          <w:rFonts w:ascii="宋体" w:hAnsi="宋体" w:cs="宋体"/>
          <w:b/>
          <w:sz w:val="24"/>
          <w:szCs w:val="24"/>
          <w:highlight w:val="none"/>
        </w:rPr>
      </w:pPr>
      <w:r>
        <w:rPr>
          <w:rFonts w:hint="eastAsia" w:ascii="宋体" w:hAnsi="宋体" w:cs="宋体"/>
          <w:b/>
          <w:sz w:val="24"/>
          <w:szCs w:val="24"/>
          <w:highlight w:val="none"/>
        </w:rPr>
        <w:t>拒绝商业贿赂承诺书</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为响应党中央、国务院关于治理政府采购领域商业贿赂行为的号召，我公司在此庄严承诺：</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1、在参与政府采购活动中遵纪守法、诚信经营、公平竞标。</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2、不向政府采购人、采购代理机构和政府采购评审专家进行任何形式的商业贿赂以谋取交易机会。</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3、不向政府采购代理机构和采购人提供虚假资质证明文件或采用虚假应标方式参与政府采购市场竞争并谋取成交、成交。</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4、不采取“围标、陪标”等商业欺诈手段获得政府采购订单。</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5、不采取不正当手段诋毁、排挤其他供应商。</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6、不在提供商品和服务时“偷梁换柱、以次充好”损害采购人的合法权益。</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7、不与采购人、采购代理机构、政府采购评审专家或其它供应商恶意串通，进行质疑和投诉，维护政府采购市场秩序。</w:t>
      </w:r>
    </w:p>
    <w:p>
      <w:pPr>
        <w:overflowPunct w:val="0"/>
        <w:spacing w:line="48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8、尊重和接受政府采购监督管理部门的监督和政府采购代理机构招标采购要求，承担因违约行为给采购人造成的损失。</w:t>
      </w:r>
    </w:p>
    <w:p>
      <w:pPr>
        <w:overflowPunct w:val="0"/>
        <w:spacing w:line="480" w:lineRule="auto"/>
        <w:ind w:firstLine="496" w:firstLineChars="200"/>
        <w:rPr>
          <w:rFonts w:ascii="宋体" w:hAnsi="宋体" w:cs="宋体"/>
          <w:b/>
          <w:bCs/>
          <w:sz w:val="24"/>
          <w:szCs w:val="24"/>
          <w:highlight w:val="none"/>
        </w:rPr>
      </w:pPr>
      <w:r>
        <w:rPr>
          <w:rFonts w:hint="eastAsia" w:ascii="宋体" w:hAnsi="宋体" w:cs="宋体"/>
          <w:spacing w:val="4"/>
          <w:sz w:val="24"/>
          <w:szCs w:val="24"/>
          <w:highlight w:val="none"/>
        </w:rPr>
        <w:t>9、不发生其他有悖于政府采购公开、公平、公正和诚信原则的行为。</w:t>
      </w:r>
    </w:p>
    <w:p>
      <w:pPr>
        <w:overflowPunct w:val="0"/>
        <w:spacing w:line="360" w:lineRule="auto"/>
        <w:jc w:val="center"/>
        <w:outlineLvl w:val="0"/>
        <w:rPr>
          <w:rFonts w:ascii="宋体" w:hAnsi="宋体" w:cs="宋体"/>
          <w:b/>
          <w:bCs/>
          <w:sz w:val="24"/>
          <w:szCs w:val="24"/>
          <w:highlight w:val="none"/>
        </w:rPr>
      </w:pPr>
    </w:p>
    <w:p>
      <w:pPr>
        <w:spacing w:line="480" w:lineRule="auto"/>
        <w:ind w:firstLine="3360" w:firstLineChars="1400"/>
        <w:rPr>
          <w:rFonts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（盖章）</w:t>
      </w:r>
    </w:p>
    <w:p>
      <w:pPr>
        <w:spacing w:line="360" w:lineRule="auto"/>
        <w:ind w:firstLine="3360" w:firstLineChars="1400"/>
        <w:rPr>
          <w:rFonts w:ascii="宋体" w:hAnsi="宋体" w:cs="宋体"/>
          <w:sz w:val="24"/>
          <w:szCs w:val="24"/>
          <w:highlight w:val="none"/>
        </w:rPr>
      </w:pPr>
      <w:r>
        <w:rPr>
          <w:rFonts w:hint="eastAsia" w:ascii="宋体" w:hAnsi="宋体" w:cs="宋体"/>
          <w:sz w:val="24"/>
          <w:szCs w:val="24"/>
          <w:highlight w:val="none"/>
        </w:rPr>
        <w:t>法定代表人</w:t>
      </w:r>
    </w:p>
    <w:p>
      <w:pPr>
        <w:spacing w:line="360" w:lineRule="auto"/>
        <w:ind w:firstLine="3360" w:firstLineChars="1400"/>
        <w:rPr>
          <w:rFonts w:ascii="宋体" w:hAnsi="宋体" w:cs="宋体"/>
          <w:sz w:val="24"/>
          <w:szCs w:val="24"/>
          <w:highlight w:val="none"/>
        </w:rPr>
      </w:pPr>
      <w:r>
        <w:rPr>
          <w:rFonts w:hint="eastAsia" w:ascii="宋体" w:hAnsi="宋体" w:cs="宋体"/>
          <w:sz w:val="24"/>
          <w:szCs w:val="24"/>
          <w:highlight w:val="none"/>
        </w:rPr>
        <w:t>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pPr>
        <w:pStyle w:val="51"/>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51"/>
        <w:ind w:firstLine="0" w:firstLineChars="0"/>
        <w:rPr>
          <w:rFonts w:ascii="宋体" w:hAnsi="宋体" w:cs="宋体"/>
          <w:sz w:val="24"/>
          <w:highlight w:val="none"/>
        </w:rPr>
      </w:pPr>
      <w:r>
        <w:rPr>
          <w:rFonts w:hint="eastAsia" w:ascii="宋体" w:hAnsi="宋体" w:cs="宋体"/>
          <w:b/>
          <w:sz w:val="44"/>
          <w:szCs w:val="44"/>
          <w:highlight w:val="none"/>
        </w:rPr>
        <w:br w:type="page"/>
      </w:r>
      <w:r>
        <w:rPr>
          <w:rFonts w:hint="eastAsia" w:ascii="宋体" w:hAnsi="宋体" w:cs="宋体"/>
          <w:sz w:val="24"/>
          <w:highlight w:val="none"/>
        </w:rPr>
        <w:t>附件3</w:t>
      </w:r>
    </w:p>
    <w:p>
      <w:pPr>
        <w:adjustRightInd w:val="0"/>
        <w:snapToGrid w:val="0"/>
        <w:spacing w:line="360" w:lineRule="auto"/>
        <w:jc w:val="center"/>
        <w:rPr>
          <w:rFonts w:ascii="宋体" w:hAnsi="宋体" w:cs="宋体"/>
          <w:b/>
          <w:sz w:val="24"/>
          <w:szCs w:val="24"/>
          <w:highlight w:val="none"/>
        </w:rPr>
      </w:pPr>
      <w:bookmarkStart w:id="122" w:name="_Toc18229_WPSOffice_Level2"/>
      <w:bookmarkStart w:id="123" w:name="_Toc28871_WPSOffice_Level3"/>
      <w:bookmarkStart w:id="124" w:name="_Toc29320_WPSOffice_Level2"/>
      <w:r>
        <w:rPr>
          <w:rFonts w:hint="eastAsia" w:ascii="宋体" w:hAnsi="宋体" w:cs="宋体"/>
          <w:b/>
          <w:sz w:val="24"/>
          <w:szCs w:val="24"/>
          <w:highlight w:val="none"/>
        </w:rPr>
        <w:t>履行合同所必需的设备和专业技术能力的说明及承诺</w:t>
      </w:r>
      <w:bookmarkEnd w:id="122"/>
      <w:bookmarkEnd w:id="123"/>
      <w:bookmarkEnd w:id="124"/>
    </w:p>
    <w:p>
      <w:pPr>
        <w:pStyle w:val="12"/>
        <w:adjustRightInd w:val="0"/>
        <w:snapToGrid w:val="0"/>
        <w:spacing w:line="720" w:lineRule="exact"/>
        <w:jc w:val="center"/>
        <w:rPr>
          <w:rFonts w:hAnsi="宋体" w:cs="宋体"/>
          <w:b/>
          <w:sz w:val="24"/>
          <w:szCs w:val="24"/>
          <w:highlight w:val="none"/>
        </w:rPr>
      </w:pPr>
    </w:p>
    <w:p>
      <w:pPr>
        <w:spacing w:line="720" w:lineRule="exact"/>
        <w:rPr>
          <w:rFonts w:ascii="宋体" w:hAnsi="宋体" w:cs="宋体"/>
          <w:spacing w:val="4"/>
          <w:sz w:val="24"/>
          <w:szCs w:val="24"/>
          <w:highlight w:val="none"/>
          <w:u w:val="single"/>
        </w:rPr>
      </w:pPr>
      <w:r>
        <w:rPr>
          <w:rFonts w:hint="eastAsia" w:ascii="宋体" w:hAnsi="宋体" w:cs="宋体"/>
          <w:spacing w:val="4"/>
          <w:sz w:val="24"/>
          <w:szCs w:val="24"/>
          <w:highlight w:val="none"/>
          <w:u w:val="single"/>
        </w:rPr>
        <w:t xml:space="preserve">     （采购人名称）    ：</w:t>
      </w:r>
    </w:p>
    <w:p>
      <w:pPr>
        <w:pStyle w:val="12"/>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，营业（生产经营）面积为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 xml:space="preserve"> ，现有员工数量为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，其中与履行本合同相关的专业技术人员有（</w:t>
      </w:r>
      <w:r>
        <w:rPr>
          <w:rFonts w:hint="eastAsia" w:hAnsi="宋体" w:cs="宋体"/>
          <w:spacing w:val="4"/>
          <w:sz w:val="24"/>
          <w:szCs w:val="24"/>
          <w:highlight w:val="none"/>
          <w:u w:val="single"/>
        </w:rPr>
        <w:t xml:space="preserve">             专业能力、数量        </w:t>
      </w:r>
      <w:r>
        <w:rPr>
          <w:rFonts w:hint="eastAsia" w:hAnsi="宋体" w:cs="宋体"/>
          <w:spacing w:val="4"/>
          <w:sz w:val="24"/>
          <w:szCs w:val="24"/>
          <w:highlight w:val="none"/>
        </w:rPr>
        <w:t>），拟投入本合同相关的主要设备有（</w:t>
      </w:r>
      <w:r>
        <w:rPr>
          <w:rFonts w:hint="eastAsia" w:hAnsi="宋体" w:cs="宋体"/>
          <w:spacing w:val="4"/>
          <w:sz w:val="24"/>
          <w:szCs w:val="24"/>
          <w:highlight w:val="none"/>
          <w:u w:val="single"/>
        </w:rPr>
        <w:t xml:space="preserve">             设备型号、数量        </w:t>
      </w:r>
      <w:r>
        <w:rPr>
          <w:rFonts w:hint="eastAsia" w:hAnsi="宋体" w:cs="宋体"/>
          <w:spacing w:val="4"/>
          <w:sz w:val="24"/>
          <w:szCs w:val="24"/>
          <w:highlight w:val="none"/>
        </w:rPr>
        <w:t>）。</w:t>
      </w:r>
    </w:p>
    <w:p>
      <w:pPr>
        <w:pStyle w:val="12"/>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pPr>
        <w:pStyle w:val="12"/>
        <w:adjustRightInd w:val="0"/>
        <w:snapToGrid w:val="0"/>
        <w:spacing w:line="720" w:lineRule="exact"/>
        <w:rPr>
          <w:rFonts w:hAnsi="宋体" w:cs="宋体"/>
          <w:spacing w:val="4"/>
          <w:sz w:val="24"/>
          <w:szCs w:val="24"/>
          <w:highlight w:val="none"/>
        </w:rPr>
      </w:pPr>
    </w:p>
    <w:p>
      <w:pPr>
        <w:spacing w:line="480" w:lineRule="auto"/>
        <w:ind w:firstLine="3360" w:firstLineChars="1400"/>
        <w:rPr>
          <w:rFonts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（盖章）</w:t>
      </w:r>
    </w:p>
    <w:p>
      <w:pPr>
        <w:spacing w:line="360" w:lineRule="auto"/>
        <w:ind w:firstLine="3360" w:firstLineChars="1400"/>
        <w:rPr>
          <w:rFonts w:ascii="宋体" w:hAnsi="宋体" w:cs="宋体"/>
          <w:sz w:val="24"/>
          <w:szCs w:val="24"/>
          <w:highlight w:val="none"/>
        </w:rPr>
      </w:pPr>
      <w:r>
        <w:rPr>
          <w:rFonts w:hint="eastAsia" w:ascii="宋体" w:hAnsi="宋体" w:cs="宋体"/>
          <w:sz w:val="24"/>
          <w:szCs w:val="24"/>
          <w:highlight w:val="none"/>
        </w:rPr>
        <w:t>法定代表人</w:t>
      </w:r>
    </w:p>
    <w:p>
      <w:pPr>
        <w:spacing w:line="360" w:lineRule="auto"/>
        <w:ind w:firstLine="3360" w:firstLineChars="1400"/>
        <w:rPr>
          <w:rFonts w:ascii="宋体" w:hAnsi="宋体" w:cs="宋体"/>
          <w:sz w:val="24"/>
          <w:szCs w:val="24"/>
          <w:highlight w:val="none"/>
        </w:rPr>
      </w:pPr>
      <w:r>
        <w:rPr>
          <w:rFonts w:hint="eastAsia" w:ascii="宋体" w:hAnsi="宋体" w:cs="宋体"/>
          <w:sz w:val="24"/>
          <w:szCs w:val="24"/>
          <w:highlight w:val="none"/>
        </w:rPr>
        <w:t>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pPr>
        <w:pStyle w:val="51"/>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51"/>
        <w:spacing w:before="156" w:beforeLines="50"/>
        <w:ind w:firstLine="3360" w:firstLineChars="1400"/>
        <w:rPr>
          <w:rFonts w:ascii="宋体" w:hAnsi="宋体" w:cs="宋体"/>
          <w:sz w:val="24"/>
          <w:highlight w:val="none"/>
        </w:rPr>
      </w:pPr>
      <w:r>
        <w:rPr>
          <w:rFonts w:hint="eastAsia" w:ascii="宋体" w:hAnsi="宋体" w:cs="宋体"/>
          <w:sz w:val="24"/>
          <w:highlight w:val="none"/>
        </w:rPr>
        <w:br w:type="page"/>
      </w:r>
    </w:p>
    <w:p>
      <w:pPr>
        <w:pStyle w:val="51"/>
        <w:spacing w:before="156" w:beforeLines="50"/>
        <w:ind w:firstLine="0" w:firstLineChars="0"/>
        <w:rPr>
          <w:rFonts w:ascii="宋体" w:hAnsi="宋体" w:cs="宋体"/>
          <w:sz w:val="24"/>
          <w:highlight w:val="none"/>
        </w:rPr>
      </w:pPr>
      <w:r>
        <w:rPr>
          <w:rFonts w:hint="eastAsia" w:ascii="宋体" w:hAnsi="宋体" w:cs="宋体"/>
          <w:sz w:val="24"/>
          <w:highlight w:val="none"/>
        </w:rPr>
        <w:t>附件4</w:t>
      </w:r>
    </w:p>
    <w:p>
      <w:pPr>
        <w:pStyle w:val="51"/>
        <w:spacing w:before="156" w:beforeLines="50"/>
        <w:ind w:firstLine="0" w:firstLineChars="0"/>
        <w:jc w:val="center"/>
        <w:rPr>
          <w:rFonts w:ascii="宋体" w:hAnsi="宋体" w:cs="宋体"/>
          <w:b/>
          <w:bCs/>
          <w:sz w:val="32"/>
          <w:szCs w:val="32"/>
          <w:highlight w:val="none"/>
        </w:rPr>
      </w:pPr>
      <w:r>
        <w:rPr>
          <w:rFonts w:hint="eastAsia" w:ascii="宋体" w:hAnsi="宋体" w:cs="宋体"/>
          <w:b/>
          <w:bCs/>
          <w:sz w:val="32"/>
          <w:szCs w:val="32"/>
          <w:highlight w:val="none"/>
        </w:rPr>
        <w:t>无围标、串标行为承诺书</w:t>
      </w:r>
    </w:p>
    <w:p>
      <w:pPr>
        <w:pStyle w:val="51"/>
        <w:spacing w:line="600" w:lineRule="exact"/>
        <w:ind w:firstLine="480"/>
        <w:rPr>
          <w:rFonts w:ascii="宋体" w:hAnsi="宋体" w:cs="宋体"/>
          <w:sz w:val="24"/>
          <w:highlight w:val="none"/>
        </w:rPr>
      </w:pPr>
      <w:r>
        <w:rPr>
          <w:rFonts w:hint="eastAsia" w:ascii="宋体" w:hAnsi="宋体" w:cs="宋体"/>
          <w:sz w:val="24"/>
          <w:highlight w:val="none"/>
        </w:rPr>
        <w:t>本公司郑董承诺：我公司自觉遵守《中华人民共和国政府采购法》、《中华人民共和国政府采购法实施条例》、《中华人民共和国招标投标法》和《中华人民共和国招标投标法实施条例》以及政府采购、招投标管理的有关规定。我公司在参加本次项目（项目名称：</w:t>
      </w:r>
      <w:r>
        <w:rPr>
          <w:rFonts w:hint="eastAsia" w:ascii="宋体" w:hAnsi="宋体" w:cs="宋体"/>
          <w:sz w:val="24"/>
          <w:highlight w:val="none"/>
          <w:u w:val="single"/>
        </w:rPr>
        <w:t xml:space="preserve">      </w:t>
      </w:r>
      <w:r>
        <w:rPr>
          <w:rFonts w:hint="eastAsia" w:ascii="宋体" w:hAnsi="宋体" w:cs="宋体"/>
          <w:sz w:val="24"/>
          <w:highlight w:val="none"/>
        </w:rPr>
        <w:t>，项目编号：</w:t>
      </w:r>
      <w:r>
        <w:rPr>
          <w:rFonts w:hint="eastAsia" w:ascii="宋体" w:hAnsi="宋体" w:cs="宋体"/>
          <w:sz w:val="24"/>
          <w:highlight w:val="none"/>
          <w:u w:val="single"/>
        </w:rPr>
        <w:t xml:space="preserve">        </w:t>
      </w:r>
      <w:r>
        <w:rPr>
          <w:rFonts w:hint="eastAsia" w:ascii="宋体" w:hAnsi="宋体" w:cs="宋体"/>
          <w:sz w:val="24"/>
          <w:highlight w:val="none"/>
        </w:rPr>
        <w:t>）活动中，无以下围标、串标行为：</w:t>
      </w:r>
    </w:p>
    <w:p>
      <w:pPr>
        <w:pStyle w:val="51"/>
        <w:spacing w:line="600" w:lineRule="exact"/>
        <w:ind w:firstLineChars="175"/>
        <w:rPr>
          <w:rFonts w:ascii="宋体" w:hAnsi="宋体" w:cs="宋体"/>
          <w:sz w:val="24"/>
          <w:highlight w:val="none"/>
        </w:rPr>
      </w:pPr>
      <w:r>
        <w:rPr>
          <w:rFonts w:hint="eastAsia" w:ascii="宋体" w:hAnsi="宋体" w:cs="宋体"/>
          <w:sz w:val="24"/>
          <w:highlight w:val="none"/>
        </w:rPr>
        <w:t>1）不同供应商的投标（响应）文件由同一单位或者个人编制；</w:t>
      </w:r>
    </w:p>
    <w:p>
      <w:pPr>
        <w:pStyle w:val="51"/>
        <w:spacing w:line="600" w:lineRule="exact"/>
        <w:ind w:firstLineChars="175"/>
        <w:rPr>
          <w:rFonts w:ascii="宋体" w:hAnsi="宋体" w:cs="宋体"/>
          <w:sz w:val="24"/>
          <w:highlight w:val="none"/>
        </w:rPr>
      </w:pPr>
      <w:r>
        <w:rPr>
          <w:rFonts w:hint="eastAsia" w:ascii="宋体" w:hAnsi="宋体" w:cs="宋体"/>
          <w:sz w:val="24"/>
          <w:highlight w:val="none"/>
        </w:rPr>
        <w:t>2）不同供应商委托同一单位或者个人办理投标（谈判、磋商）事宜；</w:t>
      </w:r>
    </w:p>
    <w:p>
      <w:pPr>
        <w:pStyle w:val="51"/>
        <w:spacing w:line="600" w:lineRule="exact"/>
        <w:ind w:firstLineChars="175"/>
        <w:rPr>
          <w:rFonts w:ascii="宋体" w:hAnsi="宋体" w:cs="宋体"/>
          <w:sz w:val="24"/>
          <w:highlight w:val="none"/>
        </w:rPr>
      </w:pPr>
      <w:r>
        <w:rPr>
          <w:rFonts w:hint="eastAsia" w:ascii="宋体" w:hAnsi="宋体" w:cs="宋体"/>
          <w:sz w:val="24"/>
          <w:highlight w:val="none"/>
        </w:rPr>
        <w:t>3）不同供应商的投标（响应）文件载明的项目管理成员或者联系人员为同一人；</w:t>
      </w:r>
    </w:p>
    <w:p>
      <w:pPr>
        <w:pStyle w:val="51"/>
        <w:spacing w:line="600" w:lineRule="exact"/>
        <w:ind w:firstLineChars="175"/>
        <w:rPr>
          <w:rFonts w:ascii="宋体" w:hAnsi="宋体" w:cs="宋体"/>
          <w:sz w:val="24"/>
          <w:highlight w:val="none"/>
        </w:rPr>
      </w:pPr>
      <w:r>
        <w:rPr>
          <w:rFonts w:hint="eastAsia" w:ascii="宋体" w:hAnsi="宋体" w:cs="宋体"/>
          <w:sz w:val="24"/>
          <w:highlight w:val="none"/>
        </w:rPr>
        <w:t>4）不同供应商的投标（响应）文件异常一致或者投标（响应）报价呈规律性差异；</w:t>
      </w:r>
    </w:p>
    <w:p>
      <w:pPr>
        <w:pStyle w:val="51"/>
        <w:spacing w:line="600" w:lineRule="exact"/>
        <w:ind w:firstLineChars="175"/>
        <w:rPr>
          <w:rFonts w:ascii="宋体" w:hAnsi="宋体" w:cs="宋体"/>
          <w:sz w:val="24"/>
          <w:highlight w:val="none"/>
        </w:rPr>
      </w:pPr>
      <w:r>
        <w:rPr>
          <w:rFonts w:hint="eastAsia" w:ascii="宋体" w:hAnsi="宋体" w:cs="宋体"/>
          <w:sz w:val="24"/>
          <w:highlight w:val="none"/>
        </w:rPr>
        <w:t>5）不同供应商的投标（响应）文件相互混装；</w:t>
      </w:r>
    </w:p>
    <w:p>
      <w:pPr>
        <w:pStyle w:val="51"/>
        <w:spacing w:line="600" w:lineRule="exact"/>
        <w:ind w:firstLineChars="175"/>
        <w:rPr>
          <w:rFonts w:ascii="宋体" w:hAnsi="宋体" w:cs="宋体"/>
          <w:sz w:val="24"/>
          <w:highlight w:val="none"/>
        </w:rPr>
      </w:pPr>
      <w:r>
        <w:rPr>
          <w:rFonts w:hint="eastAsia" w:ascii="宋体" w:hAnsi="宋体" w:cs="宋体"/>
          <w:sz w:val="24"/>
          <w:highlight w:val="none"/>
        </w:rPr>
        <w:t>6）不同供应商的投标（谈判、磋商）保证金从同一单位或者个人的账户转出；</w:t>
      </w:r>
    </w:p>
    <w:p>
      <w:pPr>
        <w:pStyle w:val="51"/>
        <w:spacing w:line="600" w:lineRule="exact"/>
        <w:ind w:firstLineChars="175"/>
        <w:rPr>
          <w:rFonts w:ascii="宋体" w:hAnsi="宋体" w:cs="宋体"/>
          <w:sz w:val="24"/>
          <w:highlight w:val="none"/>
        </w:rPr>
      </w:pPr>
      <w:r>
        <w:rPr>
          <w:rFonts w:hint="eastAsia" w:ascii="宋体" w:hAnsi="宋体" w:cs="宋体"/>
          <w:sz w:val="24"/>
          <w:highlight w:val="none"/>
        </w:rPr>
        <w:t>7）不同供应商的单位负责人为同一人或者存在直接控股、管理关系的不同供应商，参加同一合同项下的政府采购活动；</w:t>
      </w:r>
    </w:p>
    <w:p>
      <w:pPr>
        <w:pStyle w:val="51"/>
        <w:spacing w:line="600" w:lineRule="exact"/>
        <w:ind w:firstLineChars="175"/>
        <w:rPr>
          <w:rFonts w:ascii="宋体" w:hAnsi="宋体" w:cs="宋体"/>
          <w:sz w:val="24"/>
          <w:highlight w:val="none"/>
        </w:rPr>
      </w:pPr>
      <w:r>
        <w:rPr>
          <w:rFonts w:hint="eastAsia" w:ascii="宋体" w:hAnsi="宋体" w:cs="宋体"/>
          <w:sz w:val="24"/>
          <w:highlight w:val="none"/>
        </w:rPr>
        <w:t>8）法律法规界定的其他围标串标行为。</w:t>
      </w:r>
    </w:p>
    <w:p>
      <w:pPr>
        <w:pStyle w:val="51"/>
        <w:spacing w:line="600" w:lineRule="exact"/>
        <w:ind w:firstLine="0" w:firstLineChars="0"/>
        <w:rPr>
          <w:rFonts w:ascii="宋体" w:hAnsi="宋体" w:cs="宋体"/>
          <w:sz w:val="24"/>
          <w:highlight w:val="none"/>
        </w:rPr>
      </w:pPr>
      <w:r>
        <w:rPr>
          <w:rFonts w:hint="eastAsia" w:ascii="宋体" w:hAnsi="宋体" w:cs="宋体"/>
          <w:sz w:val="24"/>
          <w:highlight w:val="none"/>
        </w:rPr>
        <w:t>如有发现我公司存在围标、串标行为，我公司愿承担一切法律责任。</w:t>
      </w:r>
    </w:p>
    <w:p>
      <w:pPr>
        <w:pStyle w:val="51"/>
        <w:spacing w:line="600" w:lineRule="exact"/>
        <w:ind w:firstLine="0" w:firstLineChars="0"/>
        <w:rPr>
          <w:rFonts w:ascii="宋体" w:hAnsi="宋体" w:cs="宋体"/>
          <w:sz w:val="24"/>
          <w:highlight w:val="none"/>
        </w:rPr>
      </w:pPr>
      <w:r>
        <w:rPr>
          <w:rFonts w:hint="eastAsia" w:ascii="宋体" w:hAnsi="宋体" w:cs="宋体"/>
          <w:sz w:val="24"/>
          <w:highlight w:val="none"/>
        </w:rPr>
        <w:t>特此承诺！</w:t>
      </w:r>
    </w:p>
    <w:p>
      <w:pPr>
        <w:pStyle w:val="51"/>
        <w:spacing w:line="600" w:lineRule="exact"/>
        <w:ind w:firstLine="0" w:firstLineChars="0"/>
        <w:rPr>
          <w:rFonts w:ascii="宋体" w:hAnsi="宋体" w:cs="宋体"/>
          <w:sz w:val="24"/>
          <w:highlight w:val="none"/>
        </w:rPr>
      </w:pPr>
      <w:r>
        <w:rPr>
          <w:rFonts w:hint="eastAsia" w:ascii="宋体" w:hAnsi="宋体" w:cs="宋体"/>
          <w:sz w:val="24"/>
          <w:highlight w:val="none"/>
        </w:rPr>
        <w:t>注：以上格式不得修改。</w:t>
      </w:r>
    </w:p>
    <w:p>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spacing w:line="360" w:lineRule="auto"/>
        <w:ind w:firstLine="3360" w:firstLineChars="1400"/>
        <w:rPr>
          <w:rFonts w:ascii="宋体" w:hAnsi="宋体" w:cs="宋体"/>
          <w:sz w:val="24"/>
          <w:highlight w:val="none"/>
        </w:rPr>
      </w:pPr>
      <w:r>
        <w:rPr>
          <w:rFonts w:hint="eastAsia" w:ascii="宋体" w:hAnsi="宋体" w:cs="宋体"/>
          <w:sz w:val="24"/>
          <w:highlight w:val="none"/>
        </w:rPr>
        <w:t>法定代表人</w:t>
      </w:r>
    </w:p>
    <w:p>
      <w:pPr>
        <w:spacing w:line="360" w:lineRule="auto"/>
        <w:ind w:firstLine="3360" w:firstLineChars="1400"/>
        <w:rPr>
          <w:rFonts w:ascii="宋体" w:hAnsi="宋体" w:cs="宋体"/>
          <w:sz w:val="24"/>
          <w:highlight w:val="none"/>
        </w:rPr>
      </w:pPr>
      <w:r>
        <w:rPr>
          <w:rFonts w:hint="eastAsia" w:ascii="宋体" w:hAnsi="宋体" w:cs="宋体"/>
          <w:sz w:val="24"/>
          <w:highlight w:val="none"/>
        </w:rPr>
        <w:t>或委托代理人：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pStyle w:val="51"/>
        <w:spacing w:before="156" w:beforeLines="50"/>
        <w:ind w:firstLine="3360" w:firstLineChars="140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rPr>
          <w:rFonts w:ascii="宋体" w:hAnsi="宋体" w:cs="宋体"/>
          <w:sz w:val="24"/>
          <w:highlight w:val="none"/>
        </w:rPr>
      </w:pPr>
      <w:r>
        <w:rPr>
          <w:rFonts w:hint="eastAsia" w:ascii="宋体" w:hAnsi="宋体" w:cs="宋体"/>
          <w:sz w:val="24"/>
          <w:highlight w:val="none"/>
        </w:rPr>
        <w:br w:type="page"/>
      </w:r>
    </w:p>
    <w:p>
      <w:pPr>
        <w:pStyle w:val="51"/>
        <w:spacing w:before="156" w:beforeLines="50"/>
        <w:ind w:firstLine="0" w:firstLineChars="0"/>
        <w:rPr>
          <w:rFonts w:ascii="宋体" w:hAnsi="宋体" w:cs="宋体"/>
          <w:sz w:val="24"/>
          <w:highlight w:val="none"/>
        </w:rPr>
      </w:pPr>
      <w:r>
        <w:rPr>
          <w:rFonts w:hint="eastAsia" w:ascii="宋体" w:hAnsi="宋体" w:cs="宋体"/>
          <w:sz w:val="24"/>
          <w:highlight w:val="none"/>
        </w:rPr>
        <w:t>附件5</w:t>
      </w:r>
    </w:p>
    <w:p>
      <w:pPr>
        <w:pStyle w:val="51"/>
        <w:spacing w:before="156" w:beforeLines="50" w:after="156" w:afterLines="50"/>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未被省级及以上交通运输主管部门</w:t>
      </w:r>
    </w:p>
    <w:p>
      <w:pPr>
        <w:pStyle w:val="51"/>
        <w:spacing w:before="156" w:beforeLines="50" w:after="156" w:afterLines="50"/>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限制进入公路建养市场承诺</w:t>
      </w:r>
    </w:p>
    <w:p>
      <w:pPr>
        <w:pStyle w:val="51"/>
        <w:spacing w:before="156" w:beforeLines="50"/>
        <w:ind w:firstLine="560"/>
        <w:rPr>
          <w:rFonts w:ascii="宋体" w:hAnsi="宋体" w:cs="宋体"/>
          <w:sz w:val="24"/>
          <w:szCs w:val="24"/>
          <w:highlight w:val="none"/>
        </w:rPr>
      </w:pPr>
      <w:r>
        <w:rPr>
          <w:rFonts w:hint="eastAsia" w:ascii="宋体" w:hAnsi="宋体" w:cs="宋体"/>
          <w:sz w:val="24"/>
          <w:szCs w:val="24"/>
          <w:highlight w:val="none"/>
        </w:rPr>
        <w:t>根据本项目特定资格条件要求，我单位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（有/无）被省级及以上交通运输主管部门限制进入公路建养市场；目前处于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（限制/未限制）进入公路建养市场状态。</w:t>
      </w:r>
    </w:p>
    <w:p>
      <w:pPr>
        <w:pStyle w:val="51"/>
        <w:spacing w:before="156" w:beforeLines="50"/>
        <w:ind w:firstLine="560"/>
        <w:rPr>
          <w:rFonts w:ascii="宋体" w:hAnsi="宋体" w:cs="宋体"/>
          <w:sz w:val="24"/>
          <w:szCs w:val="24"/>
          <w:highlight w:val="none"/>
        </w:rPr>
      </w:pPr>
      <w:r>
        <w:rPr>
          <w:rFonts w:hint="eastAsia" w:ascii="宋体" w:hAnsi="宋体" w:cs="宋体"/>
          <w:sz w:val="24"/>
          <w:szCs w:val="24"/>
          <w:highlight w:val="none"/>
          <w:shd w:val="clear" w:color="auto" w:fill="FFFFFF"/>
        </w:rPr>
        <w:t>如有不实，我方将无条件地退出本项目的采购活动，无条件赔偿对采购人造成的损失，并遵照《政府采购法》有关“提供虚假材料的规定”接受处罚。</w:t>
      </w:r>
    </w:p>
    <w:p>
      <w:pPr>
        <w:pStyle w:val="51"/>
        <w:spacing w:before="156" w:beforeLines="50"/>
        <w:ind w:firstLine="560"/>
        <w:rPr>
          <w:rFonts w:ascii="宋体" w:hAnsi="宋体" w:cs="宋体"/>
          <w:sz w:val="24"/>
          <w:szCs w:val="24"/>
          <w:highlight w:val="none"/>
        </w:rPr>
      </w:pPr>
      <w:r>
        <w:rPr>
          <w:rFonts w:hint="eastAsia" w:ascii="宋体" w:hAnsi="宋体" w:cs="宋体"/>
          <w:sz w:val="24"/>
          <w:szCs w:val="24"/>
          <w:highlight w:val="none"/>
        </w:rPr>
        <w:t>特此承诺。</w:t>
      </w:r>
    </w:p>
    <w:p>
      <w:pPr>
        <w:spacing w:line="480" w:lineRule="auto"/>
        <w:ind w:firstLine="2707" w:firstLineChars="1128"/>
        <w:rPr>
          <w:rFonts w:ascii="宋体" w:hAnsi="宋体" w:cs="宋体"/>
          <w:sz w:val="24"/>
          <w:szCs w:val="24"/>
          <w:highlight w:val="none"/>
        </w:rPr>
      </w:pPr>
    </w:p>
    <w:p>
      <w:pPr>
        <w:spacing w:line="480" w:lineRule="auto"/>
        <w:ind w:firstLine="2707" w:firstLineChars="1128"/>
        <w:rPr>
          <w:rFonts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（盖章）</w:t>
      </w:r>
    </w:p>
    <w:p>
      <w:pPr>
        <w:spacing w:line="360" w:lineRule="auto"/>
        <w:ind w:firstLine="2707" w:firstLineChars="1128"/>
        <w:rPr>
          <w:rFonts w:ascii="宋体" w:hAnsi="宋体" w:cs="宋体"/>
          <w:sz w:val="24"/>
          <w:szCs w:val="24"/>
          <w:highlight w:val="none"/>
        </w:rPr>
      </w:pPr>
      <w:r>
        <w:rPr>
          <w:rFonts w:hint="eastAsia" w:ascii="宋体" w:hAnsi="宋体" w:cs="宋体"/>
          <w:sz w:val="24"/>
          <w:szCs w:val="24"/>
          <w:highlight w:val="none"/>
        </w:rPr>
        <w:t>法定代表人</w:t>
      </w:r>
    </w:p>
    <w:p>
      <w:pPr>
        <w:spacing w:line="360" w:lineRule="auto"/>
        <w:ind w:firstLine="2707" w:firstLineChars="1128"/>
        <w:rPr>
          <w:rFonts w:ascii="宋体" w:hAnsi="宋体" w:cs="宋体"/>
          <w:sz w:val="24"/>
          <w:szCs w:val="24"/>
          <w:highlight w:val="none"/>
        </w:rPr>
      </w:pPr>
      <w:r>
        <w:rPr>
          <w:rFonts w:hint="eastAsia" w:ascii="宋体" w:hAnsi="宋体" w:cs="宋体"/>
          <w:sz w:val="24"/>
          <w:szCs w:val="24"/>
          <w:highlight w:val="none"/>
        </w:rPr>
        <w:t>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pPr>
        <w:pStyle w:val="51"/>
        <w:spacing w:before="156" w:beforeLines="50"/>
        <w:ind w:firstLine="2707" w:firstLineChars="1128"/>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rPr>
          <w:rFonts w:ascii="宋体" w:hAnsi="宋体" w:cs="宋体"/>
          <w:b/>
          <w:bCs/>
          <w:sz w:val="28"/>
          <w:szCs w:val="28"/>
          <w:highlight w:val="none"/>
        </w:rPr>
      </w:pPr>
    </w:p>
    <w:p>
      <w:pPr>
        <w:rPr>
          <w:highlight w:val="none"/>
        </w:rPr>
      </w:pPr>
      <w:r>
        <w:rPr>
          <w:rFonts w:hint="eastAsia" w:ascii="宋体" w:hAnsi="宋体" w:cs="宋体"/>
          <w:b/>
          <w:bCs/>
          <w:sz w:val="28"/>
          <w:szCs w:val="28"/>
          <w:highlight w:val="none"/>
        </w:rPr>
        <w:br w:type="page"/>
      </w:r>
    </w:p>
    <w:p>
      <w:pPr>
        <w:pStyle w:val="11"/>
        <w:spacing w:before="120"/>
        <w:ind w:left="0" w:right="34"/>
        <w:jc w:val="center"/>
        <w:outlineLvl w:val="1"/>
        <w:rPr>
          <w:rFonts w:ascii="宋体" w:hAnsi="宋体" w:cs="宋体"/>
          <w:b/>
          <w:bCs/>
          <w:kern w:val="2"/>
          <w:sz w:val="28"/>
          <w:szCs w:val="28"/>
          <w:highlight w:val="none"/>
        </w:rPr>
      </w:pPr>
      <w:bookmarkStart w:id="125" w:name="_Toc1"/>
      <w:r>
        <w:rPr>
          <w:rFonts w:hint="eastAsia" w:ascii="宋体" w:hAnsi="宋体" w:cs="宋体"/>
          <w:b/>
          <w:bCs/>
          <w:kern w:val="2"/>
          <w:sz w:val="28"/>
          <w:szCs w:val="28"/>
          <w:highlight w:val="none"/>
        </w:rPr>
        <w:t>九、其他资料</w:t>
      </w:r>
      <w:bookmarkEnd w:id="125"/>
    </w:p>
    <w:p>
      <w:pPr>
        <w:pStyle w:val="11"/>
        <w:spacing w:line="360" w:lineRule="auto"/>
        <w:ind w:left="0" w:right="34" w:firstLine="480" w:firstLineChars="200"/>
        <w:rPr>
          <w:rFonts w:ascii="宋体" w:hAnsi="宋体" w:cs="宋体"/>
          <w:bCs/>
          <w:highlight w:val="none"/>
        </w:rPr>
      </w:pPr>
      <w:bookmarkStart w:id="126" w:name="_Toc19196"/>
      <w:r>
        <w:rPr>
          <w:rFonts w:hint="eastAsia" w:ascii="宋体" w:hAnsi="宋体" w:cs="宋体"/>
          <w:highlight w:val="none"/>
        </w:rPr>
        <w:t>凡</w:t>
      </w:r>
      <w:r>
        <w:rPr>
          <w:rFonts w:hint="eastAsia" w:ascii="宋体" w:hAnsi="宋体" w:cs="宋体"/>
          <w:bCs/>
          <w:highlight w:val="none"/>
        </w:rPr>
        <w:t>满足政府采购相关优惠政策的供应商自行根据相关政策规定提供相应声明函或品目范围内产品有效认证证书，如供应商不符合要求无需提供。</w:t>
      </w:r>
    </w:p>
    <w:p>
      <w:pPr>
        <w:spacing w:line="360" w:lineRule="auto"/>
        <w:jc w:val="left"/>
        <w:rPr>
          <w:rFonts w:ascii="宋体" w:hAnsi="宋体" w:cs="宋体"/>
          <w:sz w:val="28"/>
          <w:szCs w:val="28"/>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督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w:t>
      </w:r>
      <w:r>
        <w:rPr>
          <w:rFonts w:hint="eastAsia" w:ascii="宋体" w:hAnsi="宋体" w:cs="宋体"/>
          <w:b/>
          <w:bCs/>
          <w:sz w:val="36"/>
          <w:szCs w:val="36"/>
          <w:highlight w:val="none"/>
        </w:rPr>
        <w:br w:type="page"/>
      </w:r>
      <w:r>
        <w:rPr>
          <w:rFonts w:hint="eastAsia" w:ascii="宋体" w:hAnsi="宋体" w:cs="宋体"/>
          <w:sz w:val="24"/>
          <w:highlight w:val="none"/>
        </w:rPr>
        <w:t>附件6：</w:t>
      </w:r>
    </w:p>
    <w:p>
      <w:pPr>
        <w:jc w:val="center"/>
        <w:rPr>
          <w:rFonts w:ascii="宋体" w:hAnsi="宋体" w:cs="宋体"/>
          <w:b/>
          <w:bCs/>
          <w:sz w:val="30"/>
          <w:szCs w:val="30"/>
          <w:highlight w:val="none"/>
        </w:rPr>
      </w:pPr>
      <w:bookmarkStart w:id="127" w:name="OLE_LINK14"/>
      <w:bookmarkStart w:id="128" w:name="OLE_LINK13"/>
      <w:r>
        <w:rPr>
          <w:rFonts w:hint="eastAsia" w:ascii="宋体" w:hAnsi="宋体" w:cs="宋体"/>
          <w:b/>
          <w:bCs/>
          <w:sz w:val="30"/>
          <w:szCs w:val="30"/>
          <w:highlight w:val="none"/>
        </w:rPr>
        <w:t>中小企业声明函（服务）</w:t>
      </w:r>
    </w:p>
    <w:p>
      <w:pPr>
        <w:pStyle w:val="8"/>
        <w:ind w:firstLine="0"/>
        <w:jc w:val="center"/>
        <w:rPr>
          <w:rFonts w:ascii="宋体" w:hAnsi="宋体" w:cs="宋体"/>
          <w:spacing w:val="6"/>
          <w:sz w:val="24"/>
          <w:szCs w:val="24"/>
          <w:highlight w:val="none"/>
        </w:rPr>
      </w:pPr>
      <w:r>
        <w:rPr>
          <w:rFonts w:hint="eastAsia" w:ascii="宋体" w:hAnsi="宋体" w:cs="宋体"/>
          <w:b/>
          <w:bCs/>
          <w:sz w:val="24"/>
          <w:szCs w:val="24"/>
          <w:highlight w:val="none"/>
        </w:rPr>
        <w:t>（注：符合中小企业划型标准的企业请提供本函，不符合的不提供本函）</w:t>
      </w:r>
    </w:p>
    <w:p>
      <w:pPr>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w:t>
      </w:r>
      <w:r>
        <w:rPr>
          <w:rStyle w:val="33"/>
          <w:rFonts w:hint="eastAsia" w:ascii="宋体" w:hAnsi="宋体" w:cs="宋体"/>
          <w:sz w:val="24"/>
          <w:szCs w:val="24"/>
          <w:highlight w:val="none"/>
        </w:rPr>
        <w:footnoteReference w:id="0"/>
      </w:r>
      <w:r>
        <w:rPr>
          <w:rFonts w:hint="eastAsia" w:ascii="宋体" w:hAnsi="宋体" w:cs="宋体"/>
          <w:sz w:val="24"/>
          <w:szCs w:val="24"/>
          <w:highlight w:val="none"/>
        </w:rPr>
        <w:t>，资产总额为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pPr>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 xml:space="preserve"> ，属于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pPr>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pPr>
        <w:ind w:firstLine="480" w:firstLineChars="200"/>
        <w:rPr>
          <w:rFonts w:ascii="宋体" w:hAnsi="宋体" w:cs="宋体"/>
          <w:sz w:val="24"/>
          <w:szCs w:val="24"/>
          <w:highlight w:val="none"/>
        </w:rPr>
      </w:pPr>
      <w:r>
        <w:rPr>
          <w:rFonts w:hint="eastAsia" w:ascii="宋体" w:hAnsi="宋体" w:cs="宋体"/>
          <w:sz w:val="24"/>
          <w:szCs w:val="24"/>
          <w:highlight w:val="none"/>
        </w:rPr>
        <w:t xml:space="preserve">以上企业，不属于大企业的分支机构，不存在控股股东 为大企业的情形，也不存在与大企业的负责人为同一人的情 形。 </w:t>
      </w:r>
    </w:p>
    <w:p>
      <w:pPr>
        <w:ind w:firstLine="480" w:firstLineChars="200"/>
        <w:rPr>
          <w:rFonts w:ascii="宋体" w:hAnsi="宋体" w:cs="宋体"/>
          <w:sz w:val="24"/>
          <w:szCs w:val="24"/>
          <w:highlight w:val="none"/>
        </w:rPr>
      </w:pPr>
      <w:r>
        <w:rPr>
          <w:rFonts w:hint="eastAsia" w:ascii="宋体" w:hAnsi="宋体" w:cs="宋体"/>
          <w:sz w:val="24"/>
          <w:szCs w:val="24"/>
          <w:highlight w:val="none"/>
        </w:rPr>
        <w:t xml:space="preserve">本企业对上述声明内容的真实性负责。如有虚假，将依 法承担相应责任。 </w:t>
      </w:r>
    </w:p>
    <w:p>
      <w:pPr>
        <w:ind w:firstLine="3600" w:firstLineChars="1500"/>
        <w:rPr>
          <w:rFonts w:ascii="宋体" w:hAnsi="宋体" w:cs="宋体"/>
          <w:sz w:val="24"/>
          <w:szCs w:val="24"/>
          <w:highlight w:val="none"/>
        </w:rPr>
      </w:pPr>
      <w:r>
        <w:rPr>
          <w:rFonts w:hint="eastAsia" w:ascii="宋体" w:hAnsi="宋体" w:cs="宋体"/>
          <w:sz w:val="24"/>
          <w:szCs w:val="24"/>
          <w:highlight w:val="none"/>
        </w:rPr>
        <w:t xml:space="preserve">企业名称（盖章）： </w:t>
      </w:r>
    </w:p>
    <w:p>
      <w:pPr>
        <w:ind w:firstLine="3600" w:firstLineChars="1500"/>
        <w:rPr>
          <w:rFonts w:ascii="宋体" w:hAnsi="宋体" w:cs="宋体"/>
          <w:sz w:val="24"/>
          <w:szCs w:val="24"/>
          <w:highlight w:val="none"/>
        </w:rPr>
      </w:pPr>
      <w:r>
        <w:rPr>
          <w:rFonts w:hint="eastAsia" w:ascii="宋体" w:hAnsi="宋体" w:cs="宋体"/>
          <w:sz w:val="24"/>
          <w:szCs w:val="24"/>
          <w:highlight w:val="none"/>
        </w:rPr>
        <w:t xml:space="preserve">日 期： </w:t>
      </w:r>
    </w:p>
    <w:p>
      <w:pPr>
        <w:spacing w:line="360" w:lineRule="auto"/>
        <w:jc w:val="left"/>
        <w:rPr>
          <w:rFonts w:ascii="宋体" w:hAnsi="宋体" w:cs="宋体"/>
          <w:sz w:val="30"/>
          <w:szCs w:val="30"/>
          <w:highlight w:val="none"/>
        </w:rPr>
      </w:pPr>
      <w:r>
        <w:rPr>
          <w:rFonts w:hint="eastAsia" w:ascii="宋体" w:hAnsi="宋体" w:cs="宋体"/>
          <w:sz w:val="28"/>
          <w:szCs w:val="28"/>
          <w:highlight w:val="none"/>
        </w:rPr>
        <w:br w:type="page"/>
      </w:r>
      <w:r>
        <w:rPr>
          <w:rFonts w:hint="eastAsia" w:ascii="宋体" w:hAnsi="宋体" w:cs="宋体"/>
          <w:sz w:val="24"/>
          <w:highlight w:val="none"/>
        </w:rPr>
        <w:t>附件7：</w:t>
      </w:r>
    </w:p>
    <w:p>
      <w:pPr>
        <w:spacing w:before="156" w:beforeLines="50" w:after="156" w:afterLines="50" w:line="500" w:lineRule="exact"/>
        <w:jc w:val="center"/>
        <w:rPr>
          <w:rFonts w:ascii="宋体" w:hAnsi="宋体" w:cs="宋体"/>
          <w:b/>
          <w:spacing w:val="6"/>
          <w:sz w:val="30"/>
          <w:szCs w:val="30"/>
          <w:highlight w:val="none"/>
        </w:rPr>
      </w:pPr>
      <w:r>
        <w:rPr>
          <w:rFonts w:hint="eastAsia" w:ascii="宋体" w:hAnsi="宋体" w:cs="宋体"/>
          <w:b/>
          <w:spacing w:val="6"/>
          <w:sz w:val="30"/>
          <w:szCs w:val="30"/>
          <w:highlight w:val="none"/>
        </w:rPr>
        <w:t>残疾人福利性单位声明函</w:t>
      </w:r>
    </w:p>
    <w:bookmarkEnd w:id="127"/>
    <w:bookmarkEnd w:id="128"/>
    <w:p>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本单位郑重声明，根据《财政部 民政部 中国残疾人联合会关于促进残疾人就业政府采购政策的通知》（财库</w:t>
      </w:r>
      <w:r>
        <w:rPr>
          <w:rFonts w:hint="eastAsia" w:ascii="宋体" w:hAnsi="宋体" w:cs="宋体"/>
          <w:sz w:val="24"/>
          <w:szCs w:val="24"/>
          <w:highlight w:val="none"/>
        </w:rPr>
        <w:t>〔2017〕 141</w:t>
      </w:r>
      <w:r>
        <w:rPr>
          <w:rFonts w:hint="eastAsia" w:ascii="宋体" w:hAnsi="宋体" w:cs="宋体"/>
          <w:spacing w:val="6"/>
          <w:sz w:val="24"/>
          <w:szCs w:val="24"/>
          <w:highlight w:val="none"/>
        </w:rPr>
        <w:t>号）的规定，本单位为符合条件的残疾人福利性单位，且本单位参加</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单位的</w:t>
      </w:r>
      <w:r>
        <w:rPr>
          <w:rFonts w:hint="eastAsia" w:ascii="宋体" w:hAnsi="宋体" w:cs="宋体"/>
          <w:spacing w:val="6"/>
          <w:sz w:val="24"/>
          <w:szCs w:val="24"/>
          <w:highlight w:val="none"/>
          <w:u w:val="single"/>
        </w:rPr>
        <w:t>______</w:t>
      </w:r>
      <w:r>
        <w:rPr>
          <w:rFonts w:hint="eastAsia" w:ascii="宋体" w:hAnsi="宋体" w:cs="宋体"/>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本单位对上述声明的真实性负责。如有虚假，将依法承担相应责任。</w:t>
      </w:r>
    </w:p>
    <w:p>
      <w:pPr>
        <w:spacing w:line="336"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 xml:space="preserve">              </w:t>
      </w:r>
    </w:p>
    <w:p>
      <w:pPr>
        <w:pStyle w:val="8"/>
        <w:rPr>
          <w:rFonts w:ascii="宋体" w:hAnsi="宋体" w:cs="宋体"/>
          <w:spacing w:val="6"/>
          <w:sz w:val="24"/>
          <w:szCs w:val="24"/>
          <w:highlight w:val="none"/>
        </w:rPr>
      </w:pPr>
    </w:p>
    <w:p>
      <w:pPr>
        <w:pStyle w:val="8"/>
        <w:rPr>
          <w:rFonts w:ascii="宋体" w:hAnsi="宋体" w:cs="宋体"/>
          <w:spacing w:val="6"/>
          <w:sz w:val="24"/>
          <w:szCs w:val="24"/>
          <w:highlight w:val="none"/>
        </w:rPr>
      </w:pPr>
    </w:p>
    <w:p>
      <w:pPr>
        <w:spacing w:line="500" w:lineRule="exact"/>
        <w:ind w:firstLine="2640" w:firstLineChars="1100"/>
        <w:rPr>
          <w:rFonts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（盖章）</w:t>
      </w:r>
    </w:p>
    <w:p>
      <w:pPr>
        <w:pStyle w:val="51"/>
        <w:spacing w:line="500" w:lineRule="exact"/>
        <w:ind w:firstLine="2640" w:firstLineChars="11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336" w:lineRule="auto"/>
        <w:ind w:firstLine="480" w:firstLineChars="200"/>
        <w:rPr>
          <w:rFonts w:ascii="宋体" w:hAnsi="宋体" w:cs="宋体"/>
          <w:sz w:val="24"/>
          <w:szCs w:val="24"/>
          <w:highlight w:val="none"/>
        </w:rPr>
      </w:pPr>
    </w:p>
    <w:p>
      <w:pPr>
        <w:pStyle w:val="8"/>
        <w:ind w:firstLine="0"/>
        <w:rPr>
          <w:rFonts w:ascii="宋体" w:hAnsi="宋体" w:cs="宋体"/>
          <w:sz w:val="24"/>
          <w:szCs w:val="24"/>
          <w:highlight w:val="none"/>
        </w:rPr>
      </w:pPr>
    </w:p>
    <w:p>
      <w:pPr>
        <w:spacing w:line="336" w:lineRule="auto"/>
        <w:ind w:firstLine="480" w:firstLineChars="200"/>
        <w:rPr>
          <w:rFonts w:ascii="宋体" w:hAnsi="宋体" w:cs="宋体"/>
          <w:sz w:val="24"/>
          <w:szCs w:val="24"/>
          <w:highlight w:val="none"/>
        </w:rPr>
      </w:pPr>
      <w:r>
        <w:rPr>
          <w:rFonts w:hint="eastAsia" w:ascii="宋体" w:hAnsi="宋体" w:cs="宋体"/>
          <w:sz w:val="24"/>
          <w:szCs w:val="24"/>
          <w:highlight w:val="none"/>
        </w:rPr>
        <w:t>备注：1.填写前请认真阅读《财政部民政部中国残疾人联合会关于促进残疾人就业政府采购政采的通知》(财库〔2017〕141号)相关规定。</w:t>
      </w:r>
      <w:bookmarkEnd w:id="126"/>
    </w:p>
    <w:p>
      <w:pPr>
        <w:pStyle w:val="7"/>
        <w:rPr>
          <w:rFonts w:ascii="宋体" w:hAnsi="宋体" w:eastAsia="宋体" w:cs="宋体"/>
          <w:sz w:val="24"/>
          <w:szCs w:val="24"/>
          <w:highlight w:val="none"/>
        </w:rPr>
        <w:sectPr>
          <w:type w:val="continuous"/>
          <w:pgSz w:w="11906" w:h="16838"/>
          <w:pgMar w:top="1417" w:right="1417" w:bottom="1417" w:left="1417" w:header="850" w:footer="992" w:gutter="0"/>
          <w:pgNumType w:fmt="decimal"/>
          <w:cols w:space="0" w:num="1"/>
          <w:docGrid w:type="lines" w:linePitch="312" w:charSpace="0"/>
        </w:sectPr>
      </w:pPr>
    </w:p>
    <w:p>
      <w:pPr>
        <w:pStyle w:val="7"/>
        <w:rPr>
          <w:rFonts w:ascii="宋体" w:hAnsi="宋体" w:eastAsia="宋体" w:cs="宋体"/>
          <w:sz w:val="24"/>
          <w:szCs w:val="24"/>
          <w:highlight w:val="none"/>
        </w:rPr>
      </w:pPr>
    </w:p>
    <w:p>
      <w:pPr>
        <w:pStyle w:val="7"/>
        <w:rPr>
          <w:rFonts w:ascii="宋体" w:hAnsi="宋体" w:eastAsia="宋体" w:cs="宋体"/>
          <w:highlight w:val="none"/>
        </w:rPr>
      </w:pPr>
    </w:p>
    <w:sectPr>
      <w:type w:val="continuous"/>
      <w:pgSz w:w="11906" w:h="16838"/>
      <w:pgMar w:top="1417" w:right="1417" w:bottom="1417" w:left="1417" w:header="850"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enlo">
    <w:altName w:val="Courier New"/>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24" w:lineRule="auto"/>
      </w:pPr>
      <w:r>
        <w:separator/>
      </w:r>
    </w:p>
  </w:footnote>
  <w:footnote w:type="continuationSeparator" w:id="3">
    <w:p>
      <w:pPr>
        <w:spacing w:line="324" w:lineRule="auto"/>
      </w:pPr>
      <w:r>
        <w:continuationSeparator/>
      </w:r>
    </w:p>
  </w:footnote>
  <w:footnote w:id="0">
    <w:p>
      <w:pPr>
        <w:pStyle w:val="18"/>
        <w:rPr>
          <w:rFonts w:ascii="宋体" w:hAnsi="宋体" w:cs="宋体"/>
          <w:sz w:val="21"/>
          <w:szCs w:val="21"/>
        </w:rPr>
      </w:pPr>
      <w:r>
        <w:rPr>
          <w:rStyle w:val="33"/>
          <w:rFonts w:hint="eastAsia" w:ascii="宋体" w:hAnsi="宋体" w:cs="宋体"/>
          <w:sz w:val="21"/>
          <w:szCs w:val="21"/>
        </w:rPr>
        <w:footnoteRef/>
      </w:r>
      <w:r>
        <w:rPr>
          <w:rFonts w:hint="eastAsia" w:ascii="宋体" w:hAnsi="宋体" w:cs="宋体"/>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rPr>
        <w:rFonts w:hint="eastAsia" w:eastAsia="宋体"/>
        <w:sz w:val="21"/>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-267335</wp:posOffset>
              </wp:positionV>
              <wp:extent cx="377190" cy="280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77190"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20</w:t>
                          </w:r>
                          <w:r>
                            <w:rPr>
                              <w:rFonts w:hint="eastAsia" w:ascii="宋体" w:hAnsi="宋体" w:cs="宋体"/>
                              <w:sz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1.05pt;height:22.1pt;width:29.7pt;mso-position-horizontal:outside;mso-position-horizontal-relative:margin;z-index:251659264;mso-width-relative:page;mso-height-relative:page;" filled="f" stroked="f" coordsize="21600,21600" o:gfxdata="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53KS1AAAAAUBAAAPAAAAAAAAAAEAIAAAACIAAABkcnMvZG93bnJldi54bWxQSwEC&#10;FAAUAAAACACHTuJAxXwBvTECAABVBAAADgAAAAAAAAABACAAAAAjAQAAZHJzL2Uyb0RvYy54bWxQ&#10;SwUGAAAAAAYABgBZAQAAxgUAAAAA&#10;">
              <v:fill on="f" focussize="0,0"/>
              <v:stroke on="f" weight="0.5pt"/>
              <v:imagedata o:title=""/>
              <o:lock v:ext="edit" aspectratio="f"/>
              <v:textbox inset="0mm,0mm,0mm,0mm">
                <w:txbxContent>
                  <w:p>
                    <w:pPr>
                      <w:jc w:val="center"/>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20</w:t>
                    </w:r>
                    <w:r>
                      <w:rPr>
                        <w:rFonts w:hint="eastAsia" w:ascii="宋体" w:hAnsi="宋体" w:cs="宋体"/>
                        <w:sz w:val="24"/>
                      </w:rPr>
                      <w:fldChar w:fldCharType="end"/>
                    </w:r>
                  </w:p>
                </w:txbxContent>
              </v:textbox>
            </v:shape>
          </w:pict>
        </mc:Fallback>
      </mc:AlternateContent>
    </w:r>
    <w:r>
      <w:rPr>
        <w:rFonts w:hint="eastAsia"/>
        <w:sz w:val="21"/>
        <w:lang w:eastAsia="zh-CN"/>
      </w:rPr>
      <w:t>陕西省公路局新增普通省道危旧桥梁（隧) 技术状况评定项目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rFonts w:hint="eastAsia" w:eastAsia="宋体"/>
        <w:lang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-267335</wp:posOffset>
              </wp:positionV>
              <wp:extent cx="377190" cy="2806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7190"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cs="宋体"/>
                              <w:sz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1.05pt;height:22.1pt;width:29.7pt;mso-position-horizontal:outside;mso-position-horizontal-relative:margin;z-index:251660288;mso-width-relative:page;mso-height-relative:page;" filled="f" stroked="f" coordsize="21600,21600" o:gfxdata="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OdyktQAAAAFAQAADwAAAAAAAAABACAAAAAiAAAAZHJzL2Rvd25yZXYueG1sUEsB&#10;AhQAFAAAAAgAh07iQNcRBDoyAgAAVQQAAA4AAAAAAAAAAQAgAAAAIwEAAGRycy9lMm9Eb2MueG1s&#10;UEsFBgAAAAAGAAYAWQEAAMcFAAAAAA==&#10;">
              <v:fill on="f" focussize="0,0"/>
              <v:stroke on="f" weight="0.5pt"/>
              <v:imagedata o:title=""/>
              <o:lock v:ext="edit" aspectratio="f"/>
              <v:textbox inset="0mm,0mm,0mm,0mm">
                <w:txbxContent>
                  <w:p>
                    <w:pPr>
                      <w:jc w:val="center"/>
                      <w:rPr>
                        <w:rFonts w:ascii="宋体" w:hAnsi="宋体" w:cs="宋体"/>
                        <w:sz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1C095"/>
    <w:multiLevelType w:val="singleLevel"/>
    <w:tmpl w:val="A091C095"/>
    <w:lvl w:ilvl="0" w:tentative="0">
      <w:start w:val="1"/>
      <w:numFmt w:val="decimal"/>
      <w:suff w:val="nothing"/>
      <w:lvlText w:val="%1、"/>
      <w:lvlJc w:val="left"/>
    </w:lvl>
  </w:abstractNum>
  <w:abstractNum w:abstractNumId="1">
    <w:nsid w:val="BAF19013"/>
    <w:multiLevelType w:val="singleLevel"/>
    <w:tmpl w:val="BAF19013"/>
    <w:lvl w:ilvl="0" w:tentative="0">
      <w:start w:val="3"/>
      <w:numFmt w:val="chineseCounting"/>
      <w:suff w:val="space"/>
      <w:lvlText w:val="第%1部分"/>
      <w:lvlJc w:val="left"/>
      <w:rPr>
        <w:rFonts w:hint="eastAsia"/>
      </w:rPr>
    </w:lvl>
  </w:abstractNum>
  <w:abstractNum w:abstractNumId="2">
    <w:nsid w:val="DC79730A"/>
    <w:multiLevelType w:val="singleLevel"/>
    <w:tmpl w:val="DC79730A"/>
    <w:lvl w:ilvl="0" w:tentative="0">
      <w:start w:val="1"/>
      <w:numFmt w:val="decimal"/>
      <w:suff w:val="nothing"/>
      <w:lvlText w:val="%1、"/>
      <w:lvlJc w:val="left"/>
    </w:lvl>
  </w:abstractNum>
  <w:abstractNum w:abstractNumId="3">
    <w:nsid w:val="E554838F"/>
    <w:multiLevelType w:val="singleLevel"/>
    <w:tmpl w:val="E554838F"/>
    <w:lvl w:ilvl="0" w:tentative="0">
      <w:start w:val="2"/>
      <w:numFmt w:val="decimal"/>
      <w:lvlText w:val="%1."/>
      <w:lvlJc w:val="left"/>
      <w:pPr>
        <w:tabs>
          <w:tab w:val="left" w:pos="312"/>
        </w:tabs>
      </w:p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FE5E24B"/>
    <w:multiLevelType w:val="singleLevel"/>
    <w:tmpl w:val="7FE5E24B"/>
    <w:lvl w:ilvl="0" w:tentative="0">
      <w:start w:val="2"/>
      <w:numFmt w:val="decimal"/>
      <w:suff w:val="nothing"/>
      <w:lvlText w:val="（%1）"/>
      <w:lvlJc w:val="left"/>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NmEwODUxZTlhY2U2ZTM0OTI0ZDY1ZmQzYTAyZjYifQ=="/>
  </w:docVars>
  <w:rsids>
    <w:rsidRoot w:val="1D430C9A"/>
    <w:rsid w:val="000606E0"/>
    <w:rsid w:val="00064D80"/>
    <w:rsid w:val="000663EB"/>
    <w:rsid w:val="000B09F1"/>
    <w:rsid w:val="000B45EB"/>
    <w:rsid w:val="000D6B6D"/>
    <w:rsid w:val="00181808"/>
    <w:rsid w:val="001D558E"/>
    <w:rsid w:val="00270737"/>
    <w:rsid w:val="00273A5E"/>
    <w:rsid w:val="002E467B"/>
    <w:rsid w:val="00302431"/>
    <w:rsid w:val="00313DE3"/>
    <w:rsid w:val="00314786"/>
    <w:rsid w:val="00316D72"/>
    <w:rsid w:val="00354C98"/>
    <w:rsid w:val="003751BF"/>
    <w:rsid w:val="003879B7"/>
    <w:rsid w:val="003904F5"/>
    <w:rsid w:val="003A629C"/>
    <w:rsid w:val="003C133E"/>
    <w:rsid w:val="003D113E"/>
    <w:rsid w:val="003D2BA4"/>
    <w:rsid w:val="003F273A"/>
    <w:rsid w:val="0046206D"/>
    <w:rsid w:val="004806A7"/>
    <w:rsid w:val="00494AC7"/>
    <w:rsid w:val="004C7800"/>
    <w:rsid w:val="00503216"/>
    <w:rsid w:val="00524F09"/>
    <w:rsid w:val="00530F4F"/>
    <w:rsid w:val="005358A0"/>
    <w:rsid w:val="005813A7"/>
    <w:rsid w:val="005843C1"/>
    <w:rsid w:val="006109F6"/>
    <w:rsid w:val="006110DA"/>
    <w:rsid w:val="00633E10"/>
    <w:rsid w:val="00642AA2"/>
    <w:rsid w:val="0068087E"/>
    <w:rsid w:val="006F33C1"/>
    <w:rsid w:val="006F47BE"/>
    <w:rsid w:val="00720FDA"/>
    <w:rsid w:val="0078389E"/>
    <w:rsid w:val="00795D84"/>
    <w:rsid w:val="007D4D45"/>
    <w:rsid w:val="00801FE0"/>
    <w:rsid w:val="00823515"/>
    <w:rsid w:val="008363EB"/>
    <w:rsid w:val="00844BCE"/>
    <w:rsid w:val="00862354"/>
    <w:rsid w:val="00867C2E"/>
    <w:rsid w:val="008C00D2"/>
    <w:rsid w:val="008E2A73"/>
    <w:rsid w:val="008E2EC1"/>
    <w:rsid w:val="008E4834"/>
    <w:rsid w:val="00930D4C"/>
    <w:rsid w:val="009B2E73"/>
    <w:rsid w:val="009B63DC"/>
    <w:rsid w:val="009D2D4F"/>
    <w:rsid w:val="009F237B"/>
    <w:rsid w:val="00A80990"/>
    <w:rsid w:val="00A8105F"/>
    <w:rsid w:val="00A81212"/>
    <w:rsid w:val="00AD29BF"/>
    <w:rsid w:val="00AD7564"/>
    <w:rsid w:val="00AE34B8"/>
    <w:rsid w:val="00AF17AF"/>
    <w:rsid w:val="00B011D4"/>
    <w:rsid w:val="00B1290A"/>
    <w:rsid w:val="00B64C47"/>
    <w:rsid w:val="00B70EC8"/>
    <w:rsid w:val="00B74EDA"/>
    <w:rsid w:val="00B761EE"/>
    <w:rsid w:val="00B8708B"/>
    <w:rsid w:val="00BB2BEC"/>
    <w:rsid w:val="00C22657"/>
    <w:rsid w:val="00C42CB2"/>
    <w:rsid w:val="00C46873"/>
    <w:rsid w:val="00C615DB"/>
    <w:rsid w:val="00CA7EEA"/>
    <w:rsid w:val="00CD015E"/>
    <w:rsid w:val="00CD2094"/>
    <w:rsid w:val="00CF799D"/>
    <w:rsid w:val="00D23BA1"/>
    <w:rsid w:val="00D34EAF"/>
    <w:rsid w:val="00DD641D"/>
    <w:rsid w:val="00E77A02"/>
    <w:rsid w:val="00F377F5"/>
    <w:rsid w:val="00FC3CC6"/>
    <w:rsid w:val="01045447"/>
    <w:rsid w:val="01252ACE"/>
    <w:rsid w:val="01536131"/>
    <w:rsid w:val="01866D85"/>
    <w:rsid w:val="01AA08C4"/>
    <w:rsid w:val="01C56903"/>
    <w:rsid w:val="01CC7B1A"/>
    <w:rsid w:val="02192CFC"/>
    <w:rsid w:val="023B3A91"/>
    <w:rsid w:val="02A46CD8"/>
    <w:rsid w:val="02F73FA3"/>
    <w:rsid w:val="02FC0103"/>
    <w:rsid w:val="02FD43A7"/>
    <w:rsid w:val="03237D8F"/>
    <w:rsid w:val="037A05EF"/>
    <w:rsid w:val="03845953"/>
    <w:rsid w:val="03A046E8"/>
    <w:rsid w:val="03F4586D"/>
    <w:rsid w:val="04360B53"/>
    <w:rsid w:val="04453AE7"/>
    <w:rsid w:val="04AF3BCC"/>
    <w:rsid w:val="04ED2BAF"/>
    <w:rsid w:val="056A57AD"/>
    <w:rsid w:val="057F0951"/>
    <w:rsid w:val="058B3AC1"/>
    <w:rsid w:val="05BF7430"/>
    <w:rsid w:val="05F01481"/>
    <w:rsid w:val="06146A1E"/>
    <w:rsid w:val="061A36C4"/>
    <w:rsid w:val="061B7265"/>
    <w:rsid w:val="06210052"/>
    <w:rsid w:val="06290185"/>
    <w:rsid w:val="063C1F3F"/>
    <w:rsid w:val="065C6C3B"/>
    <w:rsid w:val="06B724C4"/>
    <w:rsid w:val="06F10667"/>
    <w:rsid w:val="070126B0"/>
    <w:rsid w:val="074F5961"/>
    <w:rsid w:val="075158F5"/>
    <w:rsid w:val="07A05BC5"/>
    <w:rsid w:val="07AA1A95"/>
    <w:rsid w:val="07C43454"/>
    <w:rsid w:val="0811405C"/>
    <w:rsid w:val="081D70C4"/>
    <w:rsid w:val="08260B6D"/>
    <w:rsid w:val="08A12645"/>
    <w:rsid w:val="08B76218"/>
    <w:rsid w:val="08DB2E5F"/>
    <w:rsid w:val="08FC1C91"/>
    <w:rsid w:val="09516158"/>
    <w:rsid w:val="095430D3"/>
    <w:rsid w:val="096663B9"/>
    <w:rsid w:val="0980761B"/>
    <w:rsid w:val="099E501D"/>
    <w:rsid w:val="09A339B8"/>
    <w:rsid w:val="09D60E05"/>
    <w:rsid w:val="0A113632"/>
    <w:rsid w:val="0A4C1215"/>
    <w:rsid w:val="0A546A76"/>
    <w:rsid w:val="0A704F8E"/>
    <w:rsid w:val="0AD86877"/>
    <w:rsid w:val="0AF44D83"/>
    <w:rsid w:val="0B455BC1"/>
    <w:rsid w:val="0B5249B2"/>
    <w:rsid w:val="0B621497"/>
    <w:rsid w:val="0B7871AD"/>
    <w:rsid w:val="0B926209"/>
    <w:rsid w:val="0BBC4E0D"/>
    <w:rsid w:val="0BE67401"/>
    <w:rsid w:val="0C177D5B"/>
    <w:rsid w:val="0C1F42D9"/>
    <w:rsid w:val="0C2B6FA8"/>
    <w:rsid w:val="0C3B6140"/>
    <w:rsid w:val="0CF372A7"/>
    <w:rsid w:val="0D4A4E78"/>
    <w:rsid w:val="0DBA7538"/>
    <w:rsid w:val="0E351FFE"/>
    <w:rsid w:val="0E4C7D38"/>
    <w:rsid w:val="0E643FFC"/>
    <w:rsid w:val="0EAF45E2"/>
    <w:rsid w:val="0EE95AC5"/>
    <w:rsid w:val="0F071505"/>
    <w:rsid w:val="0F47375F"/>
    <w:rsid w:val="0F8137F3"/>
    <w:rsid w:val="0FA22032"/>
    <w:rsid w:val="0FCF699F"/>
    <w:rsid w:val="0FD915EF"/>
    <w:rsid w:val="0FE3250F"/>
    <w:rsid w:val="0FF93F24"/>
    <w:rsid w:val="102F2198"/>
    <w:rsid w:val="10434B08"/>
    <w:rsid w:val="106F2BD6"/>
    <w:rsid w:val="10AD317A"/>
    <w:rsid w:val="10EB7046"/>
    <w:rsid w:val="116A615C"/>
    <w:rsid w:val="11757BC4"/>
    <w:rsid w:val="11A85B1E"/>
    <w:rsid w:val="11BD496A"/>
    <w:rsid w:val="11BF21FB"/>
    <w:rsid w:val="11EA0C9B"/>
    <w:rsid w:val="11FC3C7B"/>
    <w:rsid w:val="1247009D"/>
    <w:rsid w:val="1266777C"/>
    <w:rsid w:val="128F0A11"/>
    <w:rsid w:val="12AC7FC8"/>
    <w:rsid w:val="1302412A"/>
    <w:rsid w:val="13024558"/>
    <w:rsid w:val="13087347"/>
    <w:rsid w:val="139167AE"/>
    <w:rsid w:val="139E1399"/>
    <w:rsid w:val="13D81F3E"/>
    <w:rsid w:val="13FA1DFA"/>
    <w:rsid w:val="14205579"/>
    <w:rsid w:val="14C22DEA"/>
    <w:rsid w:val="14CB3EEF"/>
    <w:rsid w:val="14D15D6E"/>
    <w:rsid w:val="15170E24"/>
    <w:rsid w:val="1531100D"/>
    <w:rsid w:val="15354668"/>
    <w:rsid w:val="15555CD1"/>
    <w:rsid w:val="15656FD9"/>
    <w:rsid w:val="15717DF8"/>
    <w:rsid w:val="157F25D9"/>
    <w:rsid w:val="15945CD9"/>
    <w:rsid w:val="15C50A2D"/>
    <w:rsid w:val="15C5684D"/>
    <w:rsid w:val="15F454D1"/>
    <w:rsid w:val="163D6558"/>
    <w:rsid w:val="16B66ABA"/>
    <w:rsid w:val="16D27B4D"/>
    <w:rsid w:val="171544FC"/>
    <w:rsid w:val="172B1713"/>
    <w:rsid w:val="172D673C"/>
    <w:rsid w:val="17442198"/>
    <w:rsid w:val="1758228A"/>
    <w:rsid w:val="1784546E"/>
    <w:rsid w:val="179F3595"/>
    <w:rsid w:val="17E3707E"/>
    <w:rsid w:val="182C617B"/>
    <w:rsid w:val="185D08B0"/>
    <w:rsid w:val="187F1E74"/>
    <w:rsid w:val="1892264A"/>
    <w:rsid w:val="18C5462B"/>
    <w:rsid w:val="18D24B4F"/>
    <w:rsid w:val="18F0290D"/>
    <w:rsid w:val="19554ADE"/>
    <w:rsid w:val="19917C33"/>
    <w:rsid w:val="1A03288D"/>
    <w:rsid w:val="1A5D7BED"/>
    <w:rsid w:val="1A683EC9"/>
    <w:rsid w:val="1B412DDB"/>
    <w:rsid w:val="1B4B3E74"/>
    <w:rsid w:val="1B574CFA"/>
    <w:rsid w:val="1B5F0E5F"/>
    <w:rsid w:val="1BE62635"/>
    <w:rsid w:val="1C1510D9"/>
    <w:rsid w:val="1C470F4E"/>
    <w:rsid w:val="1CC911A4"/>
    <w:rsid w:val="1D0F777A"/>
    <w:rsid w:val="1D430C9A"/>
    <w:rsid w:val="1D626E2E"/>
    <w:rsid w:val="1D700F6F"/>
    <w:rsid w:val="1D93532D"/>
    <w:rsid w:val="1DB45A97"/>
    <w:rsid w:val="1DE22D7E"/>
    <w:rsid w:val="1DED215B"/>
    <w:rsid w:val="1DF52E86"/>
    <w:rsid w:val="1E6D231E"/>
    <w:rsid w:val="1E951529"/>
    <w:rsid w:val="1EBA0A28"/>
    <w:rsid w:val="1EC4435D"/>
    <w:rsid w:val="1EFA1067"/>
    <w:rsid w:val="1F1D7EFB"/>
    <w:rsid w:val="1F671D94"/>
    <w:rsid w:val="203524B2"/>
    <w:rsid w:val="20E71860"/>
    <w:rsid w:val="20EF01BF"/>
    <w:rsid w:val="210C3CF1"/>
    <w:rsid w:val="21520F3D"/>
    <w:rsid w:val="220F6AD4"/>
    <w:rsid w:val="224A0A05"/>
    <w:rsid w:val="22537328"/>
    <w:rsid w:val="22554CE2"/>
    <w:rsid w:val="22F86123"/>
    <w:rsid w:val="233F461F"/>
    <w:rsid w:val="23400765"/>
    <w:rsid w:val="23E510A8"/>
    <w:rsid w:val="23E76108"/>
    <w:rsid w:val="24DC2D42"/>
    <w:rsid w:val="250110FD"/>
    <w:rsid w:val="25050C41"/>
    <w:rsid w:val="25081C09"/>
    <w:rsid w:val="25222626"/>
    <w:rsid w:val="25805C98"/>
    <w:rsid w:val="258069C4"/>
    <w:rsid w:val="26B10EEC"/>
    <w:rsid w:val="27206FF3"/>
    <w:rsid w:val="272E63C0"/>
    <w:rsid w:val="27362A0D"/>
    <w:rsid w:val="27C07A36"/>
    <w:rsid w:val="27C36125"/>
    <w:rsid w:val="27EA5975"/>
    <w:rsid w:val="27EE00B2"/>
    <w:rsid w:val="280A30D8"/>
    <w:rsid w:val="28130531"/>
    <w:rsid w:val="283A7439"/>
    <w:rsid w:val="285E2188"/>
    <w:rsid w:val="29B81AC5"/>
    <w:rsid w:val="29E024EF"/>
    <w:rsid w:val="29FB2613"/>
    <w:rsid w:val="2A083926"/>
    <w:rsid w:val="2A3D5D1D"/>
    <w:rsid w:val="2A504E9E"/>
    <w:rsid w:val="2A5D4C10"/>
    <w:rsid w:val="2A6515E9"/>
    <w:rsid w:val="2A742AF1"/>
    <w:rsid w:val="2A897471"/>
    <w:rsid w:val="2AAE1CEF"/>
    <w:rsid w:val="2AAE3BA5"/>
    <w:rsid w:val="2AB13026"/>
    <w:rsid w:val="2B2433BC"/>
    <w:rsid w:val="2B4D20BD"/>
    <w:rsid w:val="2B4D6442"/>
    <w:rsid w:val="2B646BD3"/>
    <w:rsid w:val="2B7011CC"/>
    <w:rsid w:val="2B7D5E3F"/>
    <w:rsid w:val="2B94011A"/>
    <w:rsid w:val="2BAB2DF3"/>
    <w:rsid w:val="2BAD3446"/>
    <w:rsid w:val="2BF41C0F"/>
    <w:rsid w:val="2C2D11D9"/>
    <w:rsid w:val="2C93440D"/>
    <w:rsid w:val="2D46629B"/>
    <w:rsid w:val="2DA02AEE"/>
    <w:rsid w:val="2DA2364E"/>
    <w:rsid w:val="2E065AC9"/>
    <w:rsid w:val="2E3B6CE1"/>
    <w:rsid w:val="2E714C76"/>
    <w:rsid w:val="2E8631C7"/>
    <w:rsid w:val="2EB96873"/>
    <w:rsid w:val="2EDC4A29"/>
    <w:rsid w:val="2F36384D"/>
    <w:rsid w:val="2FCF34F1"/>
    <w:rsid w:val="2FEA4960"/>
    <w:rsid w:val="30C84F69"/>
    <w:rsid w:val="3147679F"/>
    <w:rsid w:val="316A69FC"/>
    <w:rsid w:val="317D2139"/>
    <w:rsid w:val="31B03F69"/>
    <w:rsid w:val="31B460C7"/>
    <w:rsid w:val="31DE3D94"/>
    <w:rsid w:val="3203390A"/>
    <w:rsid w:val="32F06D78"/>
    <w:rsid w:val="336F172F"/>
    <w:rsid w:val="33F81AD3"/>
    <w:rsid w:val="34265336"/>
    <w:rsid w:val="346577B1"/>
    <w:rsid w:val="34787B3C"/>
    <w:rsid w:val="34B6433D"/>
    <w:rsid w:val="34D03D1A"/>
    <w:rsid w:val="352A0698"/>
    <w:rsid w:val="35520842"/>
    <w:rsid w:val="35780DDC"/>
    <w:rsid w:val="35D6489B"/>
    <w:rsid w:val="363140B7"/>
    <w:rsid w:val="3636283A"/>
    <w:rsid w:val="363C697E"/>
    <w:rsid w:val="366C6368"/>
    <w:rsid w:val="36790645"/>
    <w:rsid w:val="36E623F3"/>
    <w:rsid w:val="36E717E3"/>
    <w:rsid w:val="36F80606"/>
    <w:rsid w:val="370E39E7"/>
    <w:rsid w:val="37144EF0"/>
    <w:rsid w:val="37805DBC"/>
    <w:rsid w:val="37994E74"/>
    <w:rsid w:val="37C37E07"/>
    <w:rsid w:val="37CB12D1"/>
    <w:rsid w:val="37DA47BD"/>
    <w:rsid w:val="37F13918"/>
    <w:rsid w:val="382349FC"/>
    <w:rsid w:val="383C50A7"/>
    <w:rsid w:val="3840288C"/>
    <w:rsid w:val="386C3059"/>
    <w:rsid w:val="387146B2"/>
    <w:rsid w:val="38AE6905"/>
    <w:rsid w:val="38E37C94"/>
    <w:rsid w:val="390D1203"/>
    <w:rsid w:val="393C48A6"/>
    <w:rsid w:val="395064D7"/>
    <w:rsid w:val="395C54B3"/>
    <w:rsid w:val="39792763"/>
    <w:rsid w:val="399702D7"/>
    <w:rsid w:val="39C741EF"/>
    <w:rsid w:val="39CD5D7A"/>
    <w:rsid w:val="39FF76A3"/>
    <w:rsid w:val="3A075AB2"/>
    <w:rsid w:val="3A957CCA"/>
    <w:rsid w:val="3A971EE4"/>
    <w:rsid w:val="3AA041F3"/>
    <w:rsid w:val="3AB94708"/>
    <w:rsid w:val="3AD05471"/>
    <w:rsid w:val="3AD1309B"/>
    <w:rsid w:val="3B3311D2"/>
    <w:rsid w:val="3B3427EC"/>
    <w:rsid w:val="3B776E20"/>
    <w:rsid w:val="3B8842BA"/>
    <w:rsid w:val="3BC57165"/>
    <w:rsid w:val="3BE36EDC"/>
    <w:rsid w:val="3C2459F9"/>
    <w:rsid w:val="3C2D6CC3"/>
    <w:rsid w:val="3C5454E9"/>
    <w:rsid w:val="3C607FBD"/>
    <w:rsid w:val="3CCC53D6"/>
    <w:rsid w:val="3CFA2005"/>
    <w:rsid w:val="3D034652"/>
    <w:rsid w:val="3D143CBF"/>
    <w:rsid w:val="3D3A68F6"/>
    <w:rsid w:val="3D9E2D68"/>
    <w:rsid w:val="3DD746E6"/>
    <w:rsid w:val="3E377C01"/>
    <w:rsid w:val="3E993BCD"/>
    <w:rsid w:val="3EB84C95"/>
    <w:rsid w:val="3ED6383C"/>
    <w:rsid w:val="3F2F44DC"/>
    <w:rsid w:val="3F5044B0"/>
    <w:rsid w:val="3F5C3CA3"/>
    <w:rsid w:val="3F7E1CC5"/>
    <w:rsid w:val="3F7F61DD"/>
    <w:rsid w:val="3F8A16A0"/>
    <w:rsid w:val="3FC43048"/>
    <w:rsid w:val="414E03CA"/>
    <w:rsid w:val="418A03E7"/>
    <w:rsid w:val="41973A76"/>
    <w:rsid w:val="420B77E3"/>
    <w:rsid w:val="421E3C19"/>
    <w:rsid w:val="423510C4"/>
    <w:rsid w:val="423D4533"/>
    <w:rsid w:val="42BD5C6F"/>
    <w:rsid w:val="433E3844"/>
    <w:rsid w:val="4351680C"/>
    <w:rsid w:val="43922F17"/>
    <w:rsid w:val="43AC52D1"/>
    <w:rsid w:val="43D07720"/>
    <w:rsid w:val="44006FBE"/>
    <w:rsid w:val="440E3056"/>
    <w:rsid w:val="441A73E3"/>
    <w:rsid w:val="44327881"/>
    <w:rsid w:val="44585ECD"/>
    <w:rsid w:val="446B2A68"/>
    <w:rsid w:val="44D91B57"/>
    <w:rsid w:val="44DF26CC"/>
    <w:rsid w:val="44E071F1"/>
    <w:rsid w:val="44E14F36"/>
    <w:rsid w:val="453552AE"/>
    <w:rsid w:val="456478DF"/>
    <w:rsid w:val="45701BBB"/>
    <w:rsid w:val="45F54868"/>
    <w:rsid w:val="45F6538F"/>
    <w:rsid w:val="461C2E4C"/>
    <w:rsid w:val="46355639"/>
    <w:rsid w:val="4636795A"/>
    <w:rsid w:val="46374AB3"/>
    <w:rsid w:val="468E1525"/>
    <w:rsid w:val="46C22735"/>
    <w:rsid w:val="46C4187D"/>
    <w:rsid w:val="46C600EE"/>
    <w:rsid w:val="46CC4CFB"/>
    <w:rsid w:val="46CE4EDF"/>
    <w:rsid w:val="46F8572A"/>
    <w:rsid w:val="47262AD8"/>
    <w:rsid w:val="47743CD8"/>
    <w:rsid w:val="477C2CCF"/>
    <w:rsid w:val="478B76C7"/>
    <w:rsid w:val="47B74F96"/>
    <w:rsid w:val="47F13651"/>
    <w:rsid w:val="482F6CA4"/>
    <w:rsid w:val="4897520F"/>
    <w:rsid w:val="48A12EDF"/>
    <w:rsid w:val="48B41C37"/>
    <w:rsid w:val="48B86779"/>
    <w:rsid w:val="4905004E"/>
    <w:rsid w:val="49180694"/>
    <w:rsid w:val="495908CE"/>
    <w:rsid w:val="496A5C71"/>
    <w:rsid w:val="496B0798"/>
    <w:rsid w:val="4A08418E"/>
    <w:rsid w:val="4A2E6630"/>
    <w:rsid w:val="4A3A55A8"/>
    <w:rsid w:val="4A996BF8"/>
    <w:rsid w:val="4AD31DBF"/>
    <w:rsid w:val="4AEE5522"/>
    <w:rsid w:val="4AFC34C3"/>
    <w:rsid w:val="4B02570D"/>
    <w:rsid w:val="4B0C351D"/>
    <w:rsid w:val="4B3A4DAF"/>
    <w:rsid w:val="4B5111B0"/>
    <w:rsid w:val="4BB40900"/>
    <w:rsid w:val="4BC0726E"/>
    <w:rsid w:val="4BC55554"/>
    <w:rsid w:val="4C0716A5"/>
    <w:rsid w:val="4C3C5605"/>
    <w:rsid w:val="4C632680"/>
    <w:rsid w:val="4C67533C"/>
    <w:rsid w:val="4C943D65"/>
    <w:rsid w:val="4C9D4D06"/>
    <w:rsid w:val="4CCF375F"/>
    <w:rsid w:val="4D106251"/>
    <w:rsid w:val="4D1C2DE8"/>
    <w:rsid w:val="4D4D4043"/>
    <w:rsid w:val="4D4D44BF"/>
    <w:rsid w:val="4D52254E"/>
    <w:rsid w:val="4DAB1B4C"/>
    <w:rsid w:val="4DF93962"/>
    <w:rsid w:val="4E0D5706"/>
    <w:rsid w:val="4E2B2C34"/>
    <w:rsid w:val="4E570FA1"/>
    <w:rsid w:val="4E5E3842"/>
    <w:rsid w:val="4EA23BF2"/>
    <w:rsid w:val="4EDB6F5A"/>
    <w:rsid w:val="4F3A5808"/>
    <w:rsid w:val="4FDE5E7E"/>
    <w:rsid w:val="507F5F46"/>
    <w:rsid w:val="50EA2BC8"/>
    <w:rsid w:val="50F71FCA"/>
    <w:rsid w:val="50FA633D"/>
    <w:rsid w:val="51333673"/>
    <w:rsid w:val="515E3B4B"/>
    <w:rsid w:val="523D6C6C"/>
    <w:rsid w:val="5257393D"/>
    <w:rsid w:val="52BA6C4D"/>
    <w:rsid w:val="533A528D"/>
    <w:rsid w:val="534C096F"/>
    <w:rsid w:val="53C453D6"/>
    <w:rsid w:val="5427146D"/>
    <w:rsid w:val="54361AD5"/>
    <w:rsid w:val="546C7D98"/>
    <w:rsid w:val="54FC59F8"/>
    <w:rsid w:val="55125CF2"/>
    <w:rsid w:val="55CC50AA"/>
    <w:rsid w:val="55F612F8"/>
    <w:rsid w:val="5603730B"/>
    <w:rsid w:val="563F385F"/>
    <w:rsid w:val="566A6B44"/>
    <w:rsid w:val="5706326E"/>
    <w:rsid w:val="57212C51"/>
    <w:rsid w:val="57CE56E8"/>
    <w:rsid w:val="58496195"/>
    <w:rsid w:val="58B232E7"/>
    <w:rsid w:val="59390302"/>
    <w:rsid w:val="59CC60BF"/>
    <w:rsid w:val="59D625D1"/>
    <w:rsid w:val="59E051FD"/>
    <w:rsid w:val="5A09543B"/>
    <w:rsid w:val="5A3F1FDF"/>
    <w:rsid w:val="5A780072"/>
    <w:rsid w:val="5ADE40E2"/>
    <w:rsid w:val="5B3A26EB"/>
    <w:rsid w:val="5B3A5FDD"/>
    <w:rsid w:val="5BB259B9"/>
    <w:rsid w:val="5BE807A6"/>
    <w:rsid w:val="5BF67614"/>
    <w:rsid w:val="5C094C0A"/>
    <w:rsid w:val="5C720C3B"/>
    <w:rsid w:val="5CD6233D"/>
    <w:rsid w:val="5CEA44E5"/>
    <w:rsid w:val="5CEF513D"/>
    <w:rsid w:val="5D207216"/>
    <w:rsid w:val="5D2E7461"/>
    <w:rsid w:val="5D382A54"/>
    <w:rsid w:val="5D861A03"/>
    <w:rsid w:val="5E2809D3"/>
    <w:rsid w:val="5E954298"/>
    <w:rsid w:val="5F6E1D89"/>
    <w:rsid w:val="5F935322"/>
    <w:rsid w:val="5FA849EA"/>
    <w:rsid w:val="603E5D5C"/>
    <w:rsid w:val="604D2254"/>
    <w:rsid w:val="60666BBA"/>
    <w:rsid w:val="606747BD"/>
    <w:rsid w:val="60AE7E03"/>
    <w:rsid w:val="61383147"/>
    <w:rsid w:val="6147550C"/>
    <w:rsid w:val="615118C0"/>
    <w:rsid w:val="615A79AD"/>
    <w:rsid w:val="615D312C"/>
    <w:rsid w:val="61975710"/>
    <w:rsid w:val="619F5FF9"/>
    <w:rsid w:val="61A31705"/>
    <w:rsid w:val="61B572D3"/>
    <w:rsid w:val="61BB2E6F"/>
    <w:rsid w:val="61DD03AC"/>
    <w:rsid w:val="621815F3"/>
    <w:rsid w:val="62207580"/>
    <w:rsid w:val="622B0EBC"/>
    <w:rsid w:val="62F40771"/>
    <w:rsid w:val="642B3000"/>
    <w:rsid w:val="647F6BFD"/>
    <w:rsid w:val="649232E4"/>
    <w:rsid w:val="64944067"/>
    <w:rsid w:val="65287273"/>
    <w:rsid w:val="653410AB"/>
    <w:rsid w:val="655E7374"/>
    <w:rsid w:val="6583387D"/>
    <w:rsid w:val="65DC088D"/>
    <w:rsid w:val="65E41CD6"/>
    <w:rsid w:val="66661763"/>
    <w:rsid w:val="666912EA"/>
    <w:rsid w:val="66B95412"/>
    <w:rsid w:val="66BE109A"/>
    <w:rsid w:val="66E33546"/>
    <w:rsid w:val="672D4B02"/>
    <w:rsid w:val="67556203"/>
    <w:rsid w:val="675D0D3E"/>
    <w:rsid w:val="67C023A9"/>
    <w:rsid w:val="684F144A"/>
    <w:rsid w:val="69441F59"/>
    <w:rsid w:val="69595145"/>
    <w:rsid w:val="69F64CA2"/>
    <w:rsid w:val="6A074548"/>
    <w:rsid w:val="6A202E0E"/>
    <w:rsid w:val="6A5D04A6"/>
    <w:rsid w:val="6A9E0AB3"/>
    <w:rsid w:val="6AC16BAF"/>
    <w:rsid w:val="6AD24D53"/>
    <w:rsid w:val="6AFC3351"/>
    <w:rsid w:val="6B240CF9"/>
    <w:rsid w:val="6B432C95"/>
    <w:rsid w:val="6BE925E5"/>
    <w:rsid w:val="6CA83EC1"/>
    <w:rsid w:val="6CD27A01"/>
    <w:rsid w:val="6CFA7BA6"/>
    <w:rsid w:val="6D2F2079"/>
    <w:rsid w:val="6D535020"/>
    <w:rsid w:val="6DB2482E"/>
    <w:rsid w:val="6E4D364C"/>
    <w:rsid w:val="6E8B5C0E"/>
    <w:rsid w:val="6EAF6FD4"/>
    <w:rsid w:val="6EDF2CCA"/>
    <w:rsid w:val="6EE72A81"/>
    <w:rsid w:val="6F0B544B"/>
    <w:rsid w:val="6F704FDC"/>
    <w:rsid w:val="7046087A"/>
    <w:rsid w:val="706C2349"/>
    <w:rsid w:val="70E43D4B"/>
    <w:rsid w:val="70F70F4B"/>
    <w:rsid w:val="7108272D"/>
    <w:rsid w:val="710E7B69"/>
    <w:rsid w:val="711406A9"/>
    <w:rsid w:val="71204960"/>
    <w:rsid w:val="715D62AC"/>
    <w:rsid w:val="7163412E"/>
    <w:rsid w:val="717F15BA"/>
    <w:rsid w:val="71BB412E"/>
    <w:rsid w:val="72091DAC"/>
    <w:rsid w:val="720C12DE"/>
    <w:rsid w:val="723759E0"/>
    <w:rsid w:val="73D40D51"/>
    <w:rsid w:val="742B26F7"/>
    <w:rsid w:val="7468094B"/>
    <w:rsid w:val="750077C1"/>
    <w:rsid w:val="754A0558"/>
    <w:rsid w:val="7579478F"/>
    <w:rsid w:val="75886F6D"/>
    <w:rsid w:val="75E547A4"/>
    <w:rsid w:val="75E714D5"/>
    <w:rsid w:val="75F6249E"/>
    <w:rsid w:val="76A25F20"/>
    <w:rsid w:val="76CD0850"/>
    <w:rsid w:val="76CE56FD"/>
    <w:rsid w:val="7721755F"/>
    <w:rsid w:val="777D3A5E"/>
    <w:rsid w:val="77F91913"/>
    <w:rsid w:val="787E02EC"/>
    <w:rsid w:val="78822A3D"/>
    <w:rsid w:val="789B2DF1"/>
    <w:rsid w:val="78BB362A"/>
    <w:rsid w:val="78C80574"/>
    <w:rsid w:val="78DF5D86"/>
    <w:rsid w:val="79382EFB"/>
    <w:rsid w:val="793C0D53"/>
    <w:rsid w:val="794618FB"/>
    <w:rsid w:val="796B01E8"/>
    <w:rsid w:val="799704B7"/>
    <w:rsid w:val="79C8172F"/>
    <w:rsid w:val="7A011395"/>
    <w:rsid w:val="7A6C0DDC"/>
    <w:rsid w:val="7A7C5C0E"/>
    <w:rsid w:val="7B496CAD"/>
    <w:rsid w:val="7B906736"/>
    <w:rsid w:val="7BD1147B"/>
    <w:rsid w:val="7BE50D46"/>
    <w:rsid w:val="7BE66B0D"/>
    <w:rsid w:val="7C015B92"/>
    <w:rsid w:val="7C0A5428"/>
    <w:rsid w:val="7C117F2D"/>
    <w:rsid w:val="7C320D82"/>
    <w:rsid w:val="7C4107AB"/>
    <w:rsid w:val="7C546423"/>
    <w:rsid w:val="7C6856F9"/>
    <w:rsid w:val="7CA41372"/>
    <w:rsid w:val="7CE9797D"/>
    <w:rsid w:val="7D35612F"/>
    <w:rsid w:val="7D4A535C"/>
    <w:rsid w:val="7D6E49BA"/>
    <w:rsid w:val="7D7A5AF0"/>
    <w:rsid w:val="7E1846B6"/>
    <w:rsid w:val="7E610324"/>
    <w:rsid w:val="7EE95625"/>
    <w:rsid w:val="7F732E24"/>
    <w:rsid w:val="7F8B2B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jc w:val="center"/>
      <w:outlineLvl w:val="0"/>
    </w:pPr>
    <w:rPr>
      <w:b/>
      <w:bCs/>
      <w:kern w:val="44"/>
      <w:sz w:val="30"/>
      <w:szCs w:val="44"/>
    </w:rPr>
  </w:style>
  <w:style w:type="paragraph" w:styleId="5">
    <w:name w:val="heading 2"/>
    <w:basedOn w:val="1"/>
    <w:next w:val="1"/>
    <w:unhideWhenUsed/>
    <w:qFormat/>
    <w:uiPriority w:val="0"/>
    <w:pPr>
      <w:keepNext/>
      <w:keepLines/>
      <w:spacing w:line="360" w:lineRule="auto"/>
      <w:jc w:val="center"/>
      <w:outlineLvl w:val="1"/>
    </w:pPr>
    <w:rPr>
      <w:rFonts w:ascii="Arial" w:hAnsi="Arial"/>
      <w:b/>
      <w:bCs/>
      <w:sz w:val="28"/>
      <w:szCs w:val="32"/>
    </w:rPr>
  </w:style>
  <w:style w:type="paragraph" w:styleId="6">
    <w:name w:val="heading 3"/>
    <w:basedOn w:val="1"/>
    <w:next w:val="1"/>
    <w:qFormat/>
    <w:uiPriority w:val="0"/>
    <w:pPr>
      <w:keepNext/>
      <w:keepLines/>
      <w:widowControl/>
      <w:tabs>
        <w:tab w:val="left" w:pos="3229"/>
      </w:tabs>
      <w:spacing w:before="120" w:after="120" w:line="360" w:lineRule="auto"/>
      <w:ind w:left="3229" w:hanging="709"/>
      <w:jc w:val="center"/>
      <w:outlineLvl w:val="2"/>
    </w:pPr>
    <w:rPr>
      <w:b/>
      <w:kern w:val="0"/>
      <w:sz w:val="32"/>
      <w:szCs w:val="20"/>
    </w:rPr>
  </w:style>
  <w:style w:type="paragraph" w:styleId="7">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color w:val="993300"/>
      <w:sz w:val="24"/>
    </w:rPr>
  </w:style>
  <w:style w:type="paragraph" w:styleId="3">
    <w:name w:val="toc 9"/>
    <w:basedOn w:val="1"/>
    <w:next w:val="1"/>
    <w:qFormat/>
    <w:uiPriority w:val="0"/>
    <w:pPr>
      <w:wordWrap w:val="0"/>
      <w:ind w:left="2975"/>
    </w:pPr>
    <w:rPr>
      <w:rFonts w:ascii="Times New Roman" w:hAnsi="Times New Roman"/>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qFormat/>
    <w:uiPriority w:val="0"/>
    <w:pPr>
      <w:tabs>
        <w:tab w:val="left" w:pos="8640"/>
      </w:tabs>
      <w:ind w:firstLine="420"/>
    </w:pPr>
    <w:rPr>
      <w:rFonts w:ascii="楷体_GB2312" w:eastAsia="楷体_GB2312"/>
      <w:color w:val="000000"/>
      <w:sz w:val="28"/>
    </w:rPr>
  </w:style>
  <w:style w:type="paragraph" w:styleId="11">
    <w:name w:val="Block Text"/>
    <w:basedOn w:val="1"/>
    <w:qFormat/>
    <w:uiPriority w:val="0"/>
    <w:pPr>
      <w:adjustRightInd w:val="0"/>
      <w:ind w:left="420" w:right="33"/>
      <w:jc w:val="left"/>
      <w:textAlignment w:val="baseline"/>
    </w:pPr>
    <w:rPr>
      <w:kern w:val="0"/>
      <w:sz w:val="24"/>
    </w:rPr>
  </w:style>
  <w:style w:type="paragraph" w:styleId="12">
    <w:name w:val="Plain Text"/>
    <w:basedOn w:val="1"/>
    <w:next w:val="1"/>
    <w:link w:val="38"/>
    <w:qFormat/>
    <w:uiPriority w:val="0"/>
    <w:rPr>
      <w:rFonts w:ascii="宋体" w:hAnsi="Courier New" w:cs="Courier New"/>
      <w:szCs w:val="21"/>
    </w:rPr>
  </w:style>
  <w:style w:type="paragraph" w:styleId="13">
    <w:name w:val="Date"/>
    <w:basedOn w:val="1"/>
    <w:next w:val="1"/>
    <w:qFormat/>
    <w:uiPriority w:val="0"/>
    <w:rPr>
      <w:sz w:val="24"/>
      <w:szCs w:val="20"/>
    </w:rPr>
  </w:style>
  <w:style w:type="paragraph" w:styleId="14">
    <w:name w:val="Balloon Text"/>
    <w:basedOn w:val="1"/>
    <w:link w:val="55"/>
    <w:qFormat/>
    <w:uiPriority w:val="0"/>
    <w:pPr>
      <w:spacing w:line="240" w:lineRule="auto"/>
    </w:pPr>
    <w:rPr>
      <w:sz w:val="18"/>
      <w:szCs w:val="18"/>
    </w:rPr>
  </w:style>
  <w:style w:type="paragraph" w:styleId="15">
    <w:name w:val="footer"/>
    <w:basedOn w:val="1"/>
    <w:next w:val="2"/>
    <w:link w:val="56"/>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39"/>
  </w:style>
  <w:style w:type="paragraph" w:styleId="18">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Autospacing="1" w:afterAutospacing="1" w:line="240" w:lineRule="auto"/>
      <w:jc w:val="left"/>
    </w:pPr>
    <w:rPr>
      <w:rFonts w:ascii="宋体" w:hAnsi="宋体" w:cs="宋体"/>
      <w:kern w:val="0"/>
      <w:sz w:val="24"/>
    </w:rPr>
  </w:style>
  <w:style w:type="paragraph" w:styleId="21">
    <w:name w:val="Body Text First Indent"/>
    <w:basedOn w:val="2"/>
    <w:qFormat/>
    <w:uiPriority w:val="99"/>
    <w:pPr>
      <w:ind w:firstLine="420" w:firstLineChars="100"/>
    </w:pPr>
  </w:style>
  <w:style w:type="paragraph" w:styleId="22">
    <w:name w:val="Body Text First Indent 2"/>
    <w:basedOn w:val="10"/>
    <w:next w:val="1"/>
    <w:qFormat/>
    <w:uiPriority w:val="0"/>
    <w:pPr>
      <w:ind w:firstLine="20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555555"/>
      <w:u w:val="none"/>
    </w:rPr>
  </w:style>
  <w:style w:type="character" w:styleId="29">
    <w:name w:val="Emphasis"/>
    <w:basedOn w:val="25"/>
    <w:qFormat/>
    <w:uiPriority w:val="0"/>
  </w:style>
  <w:style w:type="character" w:styleId="30">
    <w:name w:val="HTML Definition"/>
    <w:basedOn w:val="25"/>
    <w:qFormat/>
    <w:uiPriority w:val="0"/>
    <w:rPr>
      <w:i/>
    </w:rPr>
  </w:style>
  <w:style w:type="character" w:styleId="31">
    <w:name w:val="Hyperlink"/>
    <w:basedOn w:val="25"/>
    <w:qFormat/>
    <w:uiPriority w:val="99"/>
    <w:rPr>
      <w:rFonts w:hint="eastAsia" w:ascii="宋体" w:hAnsi="宋体" w:eastAsia="宋体" w:cs="宋体"/>
      <w:color w:val="000000"/>
      <w:sz w:val="18"/>
      <w:szCs w:val="18"/>
      <w:u w:val="none"/>
    </w:rPr>
  </w:style>
  <w:style w:type="character" w:styleId="32">
    <w:name w:val="HTML Code"/>
    <w:basedOn w:val="25"/>
    <w:qFormat/>
    <w:uiPriority w:val="0"/>
    <w:rPr>
      <w:rFonts w:hint="default" w:ascii="Menlo" w:hAnsi="Menlo" w:eastAsia="Menlo" w:cs="Menlo"/>
      <w:color w:val="C7254E"/>
      <w:sz w:val="21"/>
      <w:szCs w:val="21"/>
      <w:shd w:val="clear" w:color="auto" w:fill="F9F2F4"/>
    </w:rPr>
  </w:style>
  <w:style w:type="character" w:styleId="33">
    <w:name w:val="footnote reference"/>
    <w:basedOn w:val="25"/>
    <w:qFormat/>
    <w:uiPriority w:val="0"/>
    <w:rPr>
      <w:vertAlign w:val="superscript"/>
    </w:rPr>
  </w:style>
  <w:style w:type="character" w:styleId="34">
    <w:name w:val="HTML Keyboard"/>
    <w:basedOn w:val="25"/>
    <w:qFormat/>
    <w:uiPriority w:val="0"/>
    <w:rPr>
      <w:rFonts w:ascii="Menlo" w:hAnsi="Menlo" w:eastAsia="Menlo" w:cs="Menlo"/>
      <w:color w:val="FFFFFF"/>
      <w:sz w:val="21"/>
      <w:szCs w:val="21"/>
      <w:shd w:val="clear" w:color="auto" w:fill="333333"/>
    </w:rPr>
  </w:style>
  <w:style w:type="character" w:styleId="35">
    <w:name w:val="HTML Sample"/>
    <w:basedOn w:val="25"/>
    <w:qFormat/>
    <w:uiPriority w:val="0"/>
    <w:rPr>
      <w:rFonts w:hint="default" w:ascii="Menlo" w:hAnsi="Menlo" w:eastAsia="Menlo" w:cs="Menlo"/>
      <w:sz w:val="21"/>
      <w:szCs w:val="21"/>
    </w:rPr>
  </w:style>
  <w:style w:type="paragraph" w:customStyle="1" w:styleId="3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7">
    <w:name w:val="列出段落1"/>
    <w:basedOn w:val="1"/>
    <w:qFormat/>
    <w:uiPriority w:val="34"/>
    <w:pPr>
      <w:ind w:firstLine="420" w:firstLineChars="200"/>
    </w:pPr>
  </w:style>
  <w:style w:type="character" w:customStyle="1" w:styleId="38">
    <w:name w:val="纯文本 Char"/>
    <w:link w:val="12"/>
    <w:qFormat/>
    <w:locked/>
    <w:uiPriority w:val="0"/>
    <w:rPr>
      <w:rFonts w:ascii="宋体" w:hAnsi="Courier New" w:cs="Courier New"/>
      <w:kern w:val="2"/>
      <w:sz w:val="21"/>
      <w:szCs w:val="21"/>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hour_am"/>
    <w:basedOn w:val="25"/>
    <w:qFormat/>
    <w:uiPriority w:val="0"/>
  </w:style>
  <w:style w:type="character" w:customStyle="1" w:styleId="42">
    <w:name w:val="old"/>
    <w:basedOn w:val="25"/>
    <w:qFormat/>
    <w:uiPriority w:val="0"/>
    <w:rPr>
      <w:color w:val="999999"/>
    </w:rPr>
  </w:style>
  <w:style w:type="character" w:customStyle="1" w:styleId="43">
    <w:name w:val="tmpztreemove_arrow"/>
    <w:basedOn w:val="25"/>
    <w:qFormat/>
    <w:uiPriority w:val="0"/>
    <w:rPr>
      <w:shd w:val="clear" w:color="auto" w:fill="FFFFFF"/>
    </w:rPr>
  </w:style>
  <w:style w:type="character" w:customStyle="1" w:styleId="44">
    <w:name w:val="hover3"/>
    <w:basedOn w:val="25"/>
    <w:qFormat/>
    <w:uiPriority w:val="0"/>
    <w:rPr>
      <w:shd w:val="clear" w:color="auto" w:fill="EEEEEE"/>
    </w:rPr>
  </w:style>
  <w:style w:type="character" w:customStyle="1" w:styleId="45">
    <w:name w:val="glyphicon4"/>
    <w:basedOn w:val="25"/>
    <w:qFormat/>
    <w:uiPriority w:val="0"/>
  </w:style>
  <w:style w:type="character" w:customStyle="1" w:styleId="46">
    <w:name w:val="hour_pm"/>
    <w:basedOn w:val="25"/>
    <w:qFormat/>
    <w:uiPriority w:val="0"/>
  </w:style>
  <w:style w:type="character" w:customStyle="1" w:styleId="47">
    <w:name w:val="button"/>
    <w:basedOn w:val="25"/>
    <w:qFormat/>
    <w:uiPriority w:val="0"/>
  </w:style>
  <w:style w:type="paragraph" w:customStyle="1" w:styleId="48">
    <w:name w:val="样式1"/>
    <w:basedOn w:val="1"/>
    <w:qFormat/>
    <w:uiPriority w:val="0"/>
    <w:pPr>
      <w:adjustRightInd w:val="0"/>
      <w:textAlignment w:val="baseline"/>
    </w:pPr>
    <w:rPr>
      <w:rFonts w:ascii="宋体" w:hAnsi="宋体"/>
      <w:kern w:val="0"/>
      <w:szCs w:val="21"/>
    </w:rPr>
  </w:style>
  <w:style w:type="character" w:customStyle="1" w:styleId="49">
    <w:name w:val="indent"/>
    <w:basedOn w:val="25"/>
    <w:qFormat/>
    <w:uiPriority w:val="0"/>
  </w:style>
  <w:style w:type="paragraph" w:customStyle="1" w:styleId="50">
    <w:name w:val="p0"/>
    <w:basedOn w:val="1"/>
    <w:qFormat/>
    <w:uiPriority w:val="0"/>
    <w:pPr>
      <w:widowControl/>
    </w:pPr>
    <w:rPr>
      <w:kern w:val="0"/>
      <w:szCs w:val="21"/>
    </w:rPr>
  </w:style>
  <w:style w:type="paragraph" w:customStyle="1" w:styleId="51">
    <w:name w:val="列出段落11"/>
    <w:basedOn w:val="1"/>
    <w:qFormat/>
    <w:uiPriority w:val="34"/>
    <w:pPr>
      <w:ind w:firstLine="420" w:firstLineChars="200"/>
    </w:pPr>
    <w:rPr>
      <w:rFonts w:ascii="Calibri" w:hAnsi="Calibri"/>
      <w:szCs w:val="22"/>
    </w:rPr>
  </w:style>
  <w:style w:type="paragraph" w:customStyle="1" w:styleId="52">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title1"/>
    <w:basedOn w:val="1"/>
    <w:qFormat/>
    <w:uiPriority w:val="0"/>
    <w:pPr>
      <w:spacing w:before="150"/>
      <w:jc w:val="left"/>
    </w:pPr>
    <w:rPr>
      <w:b/>
      <w:kern w:val="0"/>
      <w:sz w:val="22"/>
      <w:szCs w:val="22"/>
    </w:rPr>
  </w:style>
  <w:style w:type="character" w:customStyle="1" w:styleId="55">
    <w:name w:val="批注框文本 Char"/>
    <w:basedOn w:val="25"/>
    <w:link w:val="14"/>
    <w:qFormat/>
    <w:uiPriority w:val="0"/>
    <w:rPr>
      <w:kern w:val="2"/>
      <w:sz w:val="18"/>
      <w:szCs w:val="18"/>
    </w:rPr>
  </w:style>
  <w:style w:type="character" w:customStyle="1" w:styleId="56">
    <w:name w:val="页脚 Char"/>
    <w:link w:val="1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C33C9-7B87-48F4-B9DA-6A807A2BA3B4}">
  <ds:schemaRefs/>
</ds:datastoreItem>
</file>

<file path=docProps/app.xml><?xml version="1.0" encoding="utf-8"?>
<Properties xmlns="http://schemas.openxmlformats.org/officeDocument/2006/extended-properties" xmlns:vt="http://schemas.openxmlformats.org/officeDocument/2006/docPropsVTypes">
  <Template>0</Template>
  <Pages>88</Pages>
  <Words>45944</Words>
  <Characters>48799</Characters>
  <Lines>376</Lines>
  <Paragraphs>106</Paragraphs>
  <TotalTime>1</TotalTime>
  <ScaleCrop>false</ScaleCrop>
  <LinksUpToDate>false</LinksUpToDate>
  <CharactersWithSpaces>51726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2021-07-06T08:20:00Z</dcterms:created>
  <dc:creator>不言、不语</dc:creator>
  <cp:lastModifiedBy>晓 </cp:lastModifiedBy>
  <cp:lastPrinted>2021-07-08T07:31:00Z</cp:lastPrinted>
  <dcterms:modified xsi:type="dcterms:W3CDTF">2023-07-05T08:25:22Z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C240E774300E4D70B3AD158385FE5449_13</vt:lpwstr>
  </property>
</Properties>
</file>