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jc w:val="center"/>
        <w:outlineLvl w:val="0"/>
        <w:rPr>
          <w:rFonts w:hint="eastAsia" w:ascii="仿宋" w:hAnsi="仿宋" w:eastAsia="仿宋" w:cs="仿宋"/>
          <w:b/>
          <w:bCs/>
          <w:color w:val="auto"/>
          <w:kern w:val="2"/>
          <w:sz w:val="36"/>
          <w:szCs w:val="36"/>
          <w:highlight w:val="none"/>
          <w:lang w:val="en-US" w:eastAsia="zh-CN" w:bidi="ar-SA"/>
        </w:rPr>
      </w:pPr>
      <w:bookmarkStart w:id="1" w:name="_GoBack"/>
      <w:bookmarkEnd w:id="1"/>
      <w:bookmarkStart w:id="0" w:name="_Toc18877"/>
      <w:r>
        <w:rPr>
          <w:rFonts w:hint="eastAsia" w:ascii="仿宋" w:hAnsi="仿宋" w:eastAsia="仿宋" w:cs="仿宋"/>
          <w:b/>
          <w:bCs/>
          <w:color w:val="auto"/>
          <w:kern w:val="2"/>
          <w:sz w:val="36"/>
          <w:szCs w:val="36"/>
          <w:highlight w:val="none"/>
          <w:lang w:val="en-US" w:eastAsia="zh-CN" w:bidi="ar-SA"/>
        </w:rPr>
        <w:t>磋商要求及说明</w:t>
      </w:r>
      <w:bookmarkEnd w:id="0"/>
    </w:p>
    <w:p>
      <w:pPr>
        <w:pStyle w:val="5"/>
        <w:spacing w:line="360" w:lineRule="auto"/>
        <w:rPr>
          <w:rFonts w:hint="default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1.磋商内容</w:t>
      </w:r>
    </w:p>
    <w:p>
      <w:pPr>
        <w:pStyle w:val="5"/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陕西省交通运输厅2023年度高速公路工可研技术审查（第一批）共有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个项目（其中高速公路项目1个，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高速公路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新增立交项目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个）。本次招标分为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个合同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包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各项目概况如下：</w:t>
      </w:r>
    </w:p>
    <w:tbl>
      <w:tblPr>
        <w:tblStyle w:val="3"/>
        <w:tblW w:w="9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1849"/>
        <w:gridCol w:w="6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highlight w:val="none"/>
              </w:rPr>
              <w:t>合同</w:t>
            </w: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包</w:t>
            </w: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highlight w:val="none"/>
              </w:rPr>
              <w:t>号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highlight w:val="none"/>
              </w:rPr>
              <w:t>项目概况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8" w:hRule="atLeast"/>
          <w:jc w:val="center"/>
        </w:trPr>
        <w:tc>
          <w:tcPr>
            <w:tcW w:w="14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合同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包1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澄商线华阴至洛南高速公路</w:t>
            </w:r>
          </w:p>
        </w:tc>
        <w:tc>
          <w:tcPr>
            <w:tcW w:w="6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全线采用四车道高速公路标准新建，全长约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7公里，设计速度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80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公里/小时，设互通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立交6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座，桥隧比约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48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%。项目主要位于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黄土台塬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区和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河谷阶地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区，地形地质条件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较复杂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，项目估算总投资约为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120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亿元。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  <w:jc w:val="center"/>
        </w:trPr>
        <w:tc>
          <w:tcPr>
            <w:tcW w:w="14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高速公路新增立交项目</w:t>
            </w:r>
          </w:p>
        </w:tc>
        <w:tc>
          <w:tcPr>
            <w:tcW w:w="6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G65包茂高速镇安北立交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估算投资2.8亿元。</w:t>
            </w:r>
          </w:p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G65包茂高速五里立交，估算投资0.4亿元。</w:t>
            </w:r>
          </w:p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G30连霍高速宝鸡港务区立交，估算投资3.3亿元。</w:t>
            </w:r>
          </w:p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G30连霍高速沣西立交，估算投资4.8亿元。</w:t>
            </w:r>
          </w:p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G6522延西高速耀州立交，估算投资3.0亿元。</w:t>
            </w:r>
          </w:p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S25麟绛高速扶风南立交，估算投资1.2亿元。</w:t>
            </w:r>
          </w:p>
        </w:tc>
      </w:tr>
    </w:tbl>
    <w:p>
      <w:pPr>
        <w:pStyle w:val="5"/>
        <w:spacing w:line="360" w:lineRule="auto"/>
        <w:rPr>
          <w:rFonts w:hint="default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2.服务要求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2.1总体要求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成交供应商应根据采购人关于合同段内项目的技术咨询任务安排，明确相应的技术咨询部门，以及足够的、相对固定的技术人员，作为完成本次技术咨询任务的基本力量，建立明确的内部管理模式，建立健全质量保证体系，保证审查工作质量和进度。参与技术咨询任务的审查人员应当遵守国家法律法规，坚持原则，恪守职业道德，客观公正，责任心强，专业素质高，技术能力强，掌握现行相关标准、规范和政策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2.2质量要求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成交供应商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需按照现行有关规范标准和政策要求，负责对合同段内项目可研报告开展技术咨询审查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评估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服务相关工作，出具项目可研技术审查咨询（评估）意见，以及需满足的质量、服务、安全、时限等要求。各合同段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内项目的咨询审查内容包括但不限于项目建设的必要性和建设时机、标准规模的适应性，技术方案可行性和经济合理性、实施的可能性，基础资料的真实性及可靠性，以及可行性研究报告的编制工作深度等。</w:t>
      </w:r>
    </w:p>
    <w:p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技术咨询审查（评估）应充分了解项目情况和各方意见，结合项目的实际提出明确的审查（评估）意见。应对项目可行性研究报告文件的依据文件和资料、建设需求、必要性和建设方案等主要内容进行审核，把握项目是否有重大技术问题和依据疏失，同时审核送审文件的质量是否满足相关要求等。咨询审查（评估）报告应当重点突出、数据翔实、观点鲜明、结论明确，重大方案意见应在报告中反映并有结论性建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3NzBlMWMyMGMxMGQzNWRiNmE0NWM5YjYxOGE2OGMifQ=="/>
  </w:docVars>
  <w:rsids>
    <w:rsidRoot w:val="00000000"/>
    <w:rsid w:val="1B5D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color w:val="993300"/>
      <w:sz w:val="24"/>
    </w:rPr>
  </w:style>
  <w:style w:type="paragraph" w:customStyle="1" w:styleId="5">
    <w:name w:val="正文模式"/>
    <w:basedOn w:val="1"/>
    <w:qFormat/>
    <w:uiPriority w:val="0"/>
    <w:pPr>
      <w:spacing w:line="360" w:lineRule="auto"/>
      <w:ind w:firstLine="480" w:firstLineChars="200"/>
    </w:pPr>
    <w:rPr>
      <w:rFonts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2023-07-12T08:54:13Z</dcterms:created>
  <dc:creator>DELL</dc:creator>
  <cp:lastModifiedBy>123</cp:lastModifiedBy>
  <dcterms:modified xsi:type="dcterms:W3CDTF">2023-07-12T08:54:19Z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D6FA5E503FD54378B1A89F9214722C79_12</vt:lpwstr>
  </property>
</Properties>
</file>