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6"/>
          <w:szCs w:val="36"/>
        </w:rPr>
      </w:pPr>
      <w:r>
        <w:rPr>
          <w:rFonts w:hint="eastAsia" w:ascii="宋体" w:hAnsi="宋体" w:cs="宋体"/>
          <w:sz w:val="36"/>
          <w:szCs w:val="36"/>
        </w:rPr>
        <w:t xml:space="preserve"> </w:t>
      </w:r>
      <w:r>
        <w:rPr>
          <w:rFonts w:hint="eastAsia" w:ascii="宋体" w:hAnsi="宋体" w:eastAsia="宋体" w:cs="宋体"/>
          <w:sz w:val="36"/>
          <w:szCs w:val="36"/>
          <w:lang w:eastAsia="zh-CN"/>
        </w:rPr>
        <w:t>工程内容</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kern w:val="2"/>
          <w:sz w:val="24"/>
          <w:szCs w:val="24"/>
          <w:highlight w:val="none"/>
          <w:lang w:val="zh-CN" w:eastAsia="zh-CN" w:bidi="ar-SA"/>
        </w:rPr>
      </w:pPr>
      <w:r>
        <w:rPr>
          <w:rFonts w:hint="eastAsia" w:ascii="宋体" w:hAnsi="宋体" w:cs="宋体"/>
          <w:b/>
          <w:bCs/>
          <w:snapToGrid w:val="0"/>
          <w:kern w:val="2"/>
          <w:sz w:val="24"/>
          <w:szCs w:val="24"/>
          <w:highlight w:val="none"/>
          <w:lang w:val="en-US" w:eastAsia="zh-CN" w:bidi="ar-SA"/>
        </w:rPr>
        <w:t>一</w:t>
      </w:r>
      <w:r>
        <w:rPr>
          <w:rFonts w:hint="eastAsia" w:ascii="宋体" w:hAnsi="宋体" w:eastAsia="宋体" w:cs="宋体"/>
          <w:b/>
          <w:bCs/>
          <w:snapToGrid w:val="0"/>
          <w:kern w:val="2"/>
          <w:sz w:val="24"/>
          <w:szCs w:val="24"/>
          <w:highlight w:val="none"/>
          <w:lang w:val="zh-CN" w:eastAsia="zh-CN" w:bidi="ar-SA"/>
        </w:rPr>
        <w:t>、工程概况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本项目实验室建址位于太白校区运动场东北位篮球场，场地长60米、宽15米，共计900平方米，建筑有效层高4.2米。结构形式为门式钢架结构（临时建筑），基础形式根据设计需求选定。依据实验室要求，需对原两个篮球场地进行拆除，在拆除原址进行实验室建设，经研究建设工程应包含的内容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1.拆除原有篮球</w:t>
      </w:r>
      <w:r>
        <w:rPr>
          <w:rFonts w:hint="eastAsia" w:ascii="宋体" w:hAnsi="宋体" w:eastAsia="宋体" w:cs="宋体"/>
          <w:b w:val="0"/>
          <w:bCs w:val="0"/>
          <w:snapToGrid w:val="0"/>
          <w:color w:val="auto"/>
          <w:kern w:val="2"/>
          <w:sz w:val="24"/>
          <w:szCs w:val="24"/>
          <w:highlight w:val="none"/>
          <w:lang w:val="en-US" w:eastAsia="zh-CN" w:bidi="ar-SA"/>
        </w:rPr>
        <w:t>场</w:t>
      </w:r>
      <w:r>
        <w:rPr>
          <w:rFonts w:hint="eastAsia" w:ascii="宋体" w:hAnsi="宋体" w:cs="宋体"/>
          <w:b w:val="0"/>
          <w:bCs w:val="0"/>
          <w:snapToGrid w:val="0"/>
          <w:color w:val="auto"/>
          <w:kern w:val="2"/>
          <w:sz w:val="24"/>
          <w:szCs w:val="24"/>
          <w:highlight w:val="none"/>
          <w:lang w:val="en-US" w:eastAsia="zh-CN" w:bidi="ar-SA"/>
        </w:rPr>
        <w:t>，</w:t>
      </w:r>
      <w:r>
        <w:rPr>
          <w:rFonts w:hint="eastAsia"/>
          <w:b w:val="0"/>
          <w:bCs w:val="0"/>
          <w:color w:val="auto"/>
          <w:spacing w:val="-3"/>
          <w:sz w:val="24"/>
          <w:szCs w:val="24"/>
          <w:highlight w:val="none"/>
          <w:lang w:eastAsia="zh-CN"/>
        </w:rPr>
        <w:t>移至校区指定位置，保证安全</w:t>
      </w:r>
      <w:r>
        <w:rPr>
          <w:rFonts w:hint="eastAsia" w:ascii="宋体" w:hAnsi="宋体" w:eastAsia="宋体" w:cs="宋体"/>
          <w:b w:val="0"/>
          <w:bCs w:val="0"/>
          <w:snapToGrid w:val="0"/>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2.进行实验室地基基础施工；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3.进行实验室主体结构施工；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4.进行实验室水、电施工；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5.其他不可预见建设。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宋体" w:hAnsi="宋体" w:cs="宋体"/>
          <w:w w:val="105"/>
          <w:sz w:val="24"/>
          <w:szCs w:val="24"/>
          <w:highlight w:val="none"/>
          <w:lang w:val="en-US" w:eastAsia="zh-CN"/>
        </w:rPr>
      </w:pPr>
      <w:r>
        <w:rPr>
          <w:rFonts w:hint="eastAsia" w:ascii="宋体" w:hAnsi="宋体" w:cs="宋体"/>
          <w:w w:val="105"/>
          <w:sz w:val="24"/>
          <w:szCs w:val="24"/>
          <w:highlight w:val="none"/>
          <w:lang w:val="en-US" w:eastAsia="zh-CN"/>
        </w:rPr>
        <w:t>1.</w:t>
      </w:r>
      <w:r>
        <w:rPr>
          <w:rFonts w:hint="default" w:ascii="宋体" w:hAnsi="宋体" w:cs="宋体"/>
          <w:w w:val="105"/>
          <w:sz w:val="24"/>
          <w:szCs w:val="24"/>
          <w:highlight w:val="none"/>
          <w:lang w:val="en-US" w:eastAsia="zh-CN"/>
        </w:rPr>
        <w:t>本工程的施工过程和成果必须符合国家有关工程建设标准强制性条文和国家或有关部门关于工程施工方面现行的标准、规范、规程、定额、办法、示例，以及陕西省关于工程施工方面的文件、规定。</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宋体" w:hAnsi="宋体" w:cs="宋体"/>
          <w:w w:val="105"/>
          <w:sz w:val="24"/>
          <w:szCs w:val="24"/>
          <w:highlight w:val="none"/>
          <w:lang w:val="en-US" w:eastAsia="zh-CN"/>
        </w:rPr>
      </w:pPr>
      <w:r>
        <w:rPr>
          <w:rFonts w:hint="eastAsia" w:ascii="宋体" w:hAnsi="宋体" w:cs="宋体"/>
          <w:w w:val="105"/>
          <w:sz w:val="24"/>
          <w:szCs w:val="24"/>
          <w:highlight w:val="none"/>
          <w:lang w:val="en-US" w:eastAsia="zh-CN"/>
        </w:rPr>
        <w:t>2.投标单位</w:t>
      </w:r>
      <w:r>
        <w:rPr>
          <w:rFonts w:hint="default" w:ascii="宋体" w:hAnsi="宋体" w:cs="宋体"/>
          <w:w w:val="105"/>
          <w:sz w:val="24"/>
          <w:szCs w:val="24"/>
          <w:highlight w:val="none"/>
          <w:lang w:val="en-US" w:eastAsia="zh-CN"/>
        </w:rPr>
        <w:t>在施工过程中使用或参考上述标准、规范以外的技术标准、规范时，应征得</w:t>
      </w:r>
      <w:r>
        <w:rPr>
          <w:rFonts w:hint="eastAsia" w:ascii="宋体" w:hAnsi="宋体" w:cs="宋体"/>
          <w:w w:val="105"/>
          <w:sz w:val="24"/>
          <w:szCs w:val="24"/>
          <w:highlight w:val="none"/>
          <w:lang w:val="en-US" w:eastAsia="zh-CN"/>
        </w:rPr>
        <w:t>招标人</w:t>
      </w:r>
      <w:r>
        <w:rPr>
          <w:rFonts w:hint="default" w:ascii="宋体" w:hAnsi="宋体" w:cs="宋体"/>
          <w:w w:val="105"/>
          <w:sz w:val="24"/>
          <w:szCs w:val="24"/>
          <w:highlight w:val="none"/>
          <w:lang w:val="en-US" w:eastAsia="zh-CN"/>
        </w:rPr>
        <w:t>的同意。</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宋体" w:hAnsi="宋体" w:cs="宋体"/>
          <w:w w:val="105"/>
          <w:sz w:val="24"/>
          <w:szCs w:val="24"/>
          <w:highlight w:val="none"/>
          <w:lang w:val="en-US" w:eastAsia="zh-CN"/>
        </w:rPr>
      </w:pPr>
      <w:r>
        <w:rPr>
          <w:rFonts w:hint="eastAsia" w:ascii="宋体" w:hAnsi="宋体" w:cs="宋体"/>
          <w:w w:val="105"/>
          <w:sz w:val="24"/>
          <w:szCs w:val="24"/>
          <w:highlight w:val="none"/>
          <w:lang w:val="en-US" w:eastAsia="zh-CN"/>
        </w:rPr>
        <w:t>3.</w:t>
      </w:r>
      <w:r>
        <w:rPr>
          <w:rFonts w:hint="default" w:ascii="宋体" w:hAnsi="宋体" w:cs="宋体"/>
          <w:w w:val="105"/>
          <w:sz w:val="24"/>
          <w:szCs w:val="24"/>
          <w:highlight w:val="none"/>
          <w:lang w:val="en-US" w:eastAsia="zh-CN"/>
        </w:rPr>
        <w:t>在施工过程中，如果国家或有关部门颁布了新的技术标准或规范，则</w:t>
      </w:r>
      <w:r>
        <w:rPr>
          <w:rFonts w:hint="eastAsia" w:ascii="宋体" w:hAnsi="宋体" w:cs="宋体"/>
          <w:w w:val="105"/>
          <w:sz w:val="24"/>
          <w:szCs w:val="24"/>
          <w:highlight w:val="none"/>
          <w:lang w:val="en-US" w:eastAsia="zh-CN"/>
        </w:rPr>
        <w:t>投标单位</w:t>
      </w:r>
      <w:r>
        <w:rPr>
          <w:rFonts w:hint="default" w:ascii="宋体" w:hAnsi="宋体" w:cs="宋体"/>
          <w:w w:val="105"/>
          <w:sz w:val="24"/>
          <w:szCs w:val="24"/>
          <w:highlight w:val="none"/>
          <w:lang w:val="en-US" w:eastAsia="zh-CN"/>
        </w:rPr>
        <w:t>应采用新的标准或规范进行施工。</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宋体" w:hAnsi="宋体" w:cs="宋体"/>
          <w:w w:val="105"/>
          <w:sz w:val="24"/>
          <w:szCs w:val="24"/>
          <w:highlight w:val="none"/>
          <w:lang w:val="en-US" w:eastAsia="zh-CN"/>
        </w:rPr>
      </w:pPr>
      <w:r>
        <w:rPr>
          <w:rFonts w:hint="eastAsia" w:ascii="宋体" w:hAnsi="宋体" w:cs="宋体"/>
          <w:w w:val="105"/>
          <w:sz w:val="24"/>
          <w:szCs w:val="24"/>
          <w:highlight w:val="none"/>
          <w:lang w:val="en-US" w:eastAsia="zh-CN"/>
        </w:rPr>
        <w:t>4.招标人</w:t>
      </w:r>
      <w:r>
        <w:rPr>
          <w:rFonts w:hint="default" w:ascii="宋体" w:hAnsi="宋体" w:cs="宋体"/>
          <w:w w:val="105"/>
          <w:sz w:val="24"/>
          <w:szCs w:val="24"/>
          <w:highlight w:val="none"/>
          <w:lang w:val="en-US" w:eastAsia="zh-CN"/>
        </w:rPr>
        <w:t>提供工程的施工图纸和相关技术文件，是</w:t>
      </w:r>
      <w:r>
        <w:rPr>
          <w:rFonts w:hint="eastAsia" w:ascii="宋体" w:hAnsi="宋体" w:cs="宋体"/>
          <w:w w:val="105"/>
          <w:sz w:val="24"/>
          <w:szCs w:val="24"/>
          <w:highlight w:val="none"/>
          <w:lang w:val="en-US" w:eastAsia="zh-CN"/>
        </w:rPr>
        <w:t>招标人</w:t>
      </w:r>
      <w:r>
        <w:rPr>
          <w:rFonts w:hint="default" w:ascii="宋体" w:hAnsi="宋体" w:cs="宋体"/>
          <w:w w:val="105"/>
          <w:sz w:val="24"/>
          <w:szCs w:val="24"/>
          <w:highlight w:val="none"/>
          <w:lang w:val="en-US" w:eastAsia="zh-CN"/>
        </w:rPr>
        <w:t>现有的能被</w:t>
      </w:r>
      <w:r>
        <w:rPr>
          <w:rFonts w:hint="eastAsia" w:ascii="宋体" w:hAnsi="宋体" w:cs="宋体"/>
          <w:w w:val="105"/>
          <w:sz w:val="24"/>
          <w:szCs w:val="24"/>
          <w:highlight w:val="none"/>
          <w:lang w:val="en-US" w:eastAsia="zh-CN"/>
        </w:rPr>
        <w:t>投标单位</w:t>
      </w:r>
      <w:r>
        <w:rPr>
          <w:rFonts w:hint="default" w:ascii="宋体" w:hAnsi="宋体" w:cs="宋体"/>
          <w:w w:val="105"/>
          <w:sz w:val="24"/>
          <w:szCs w:val="24"/>
          <w:highlight w:val="none"/>
          <w:lang w:val="en-US" w:eastAsia="zh-CN"/>
        </w:rPr>
        <w:t>利用的资料，</w:t>
      </w:r>
      <w:r>
        <w:rPr>
          <w:rFonts w:hint="eastAsia" w:ascii="宋体" w:hAnsi="宋体" w:cs="宋体"/>
          <w:w w:val="105"/>
          <w:sz w:val="24"/>
          <w:szCs w:val="24"/>
          <w:highlight w:val="none"/>
          <w:lang w:val="en-US" w:eastAsia="zh-CN"/>
        </w:rPr>
        <w:t>招标人</w:t>
      </w:r>
      <w:r>
        <w:rPr>
          <w:rFonts w:hint="default" w:ascii="宋体" w:hAnsi="宋体" w:cs="宋体"/>
          <w:w w:val="105"/>
          <w:sz w:val="24"/>
          <w:szCs w:val="24"/>
          <w:highlight w:val="none"/>
          <w:lang w:val="en-US" w:eastAsia="zh-CN"/>
        </w:rPr>
        <w:t>对</w:t>
      </w:r>
      <w:r>
        <w:rPr>
          <w:rFonts w:hint="eastAsia" w:ascii="宋体" w:hAnsi="宋体" w:cs="宋体"/>
          <w:w w:val="105"/>
          <w:sz w:val="24"/>
          <w:szCs w:val="24"/>
          <w:highlight w:val="none"/>
          <w:lang w:val="en-US" w:eastAsia="zh-CN"/>
        </w:rPr>
        <w:t>投标单位</w:t>
      </w:r>
      <w:r>
        <w:rPr>
          <w:rFonts w:hint="default" w:ascii="宋体" w:hAnsi="宋体" w:cs="宋体"/>
          <w:w w:val="105"/>
          <w:sz w:val="24"/>
          <w:szCs w:val="24"/>
          <w:highlight w:val="none"/>
          <w:lang w:val="en-US" w:eastAsia="zh-CN"/>
        </w:rPr>
        <w:t>做出的任何推论、理解均不负责任。</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宋体" w:hAnsi="宋体" w:cs="宋体"/>
          <w:w w:val="105"/>
          <w:sz w:val="24"/>
          <w:szCs w:val="24"/>
          <w:highlight w:val="none"/>
          <w:lang w:val="en-US" w:eastAsia="zh-CN"/>
        </w:rPr>
      </w:pPr>
      <w:r>
        <w:rPr>
          <w:rFonts w:hint="eastAsia" w:ascii="宋体" w:hAnsi="宋体" w:cs="宋体"/>
          <w:w w:val="105"/>
          <w:sz w:val="24"/>
          <w:szCs w:val="24"/>
          <w:highlight w:val="none"/>
          <w:lang w:val="en-US" w:eastAsia="zh-CN"/>
        </w:rPr>
        <w:t>5.投标单位</w:t>
      </w:r>
      <w:r>
        <w:rPr>
          <w:rFonts w:hint="default" w:ascii="宋体" w:hAnsi="宋体" w:cs="宋体"/>
          <w:w w:val="105"/>
          <w:sz w:val="24"/>
          <w:szCs w:val="24"/>
          <w:highlight w:val="none"/>
          <w:lang w:val="en-US" w:eastAsia="zh-CN"/>
        </w:rPr>
        <w:t>应充分了解</w:t>
      </w:r>
      <w:r>
        <w:rPr>
          <w:rFonts w:hint="eastAsia" w:ascii="宋体" w:hAnsi="宋体" w:cs="宋体"/>
          <w:w w:val="105"/>
          <w:sz w:val="24"/>
          <w:szCs w:val="24"/>
          <w:highlight w:val="none"/>
          <w:lang w:val="en-US" w:eastAsia="zh-CN"/>
        </w:rPr>
        <w:t>施工</w:t>
      </w:r>
      <w:r>
        <w:rPr>
          <w:rFonts w:hint="default" w:ascii="宋体" w:hAnsi="宋体" w:cs="宋体"/>
          <w:w w:val="105"/>
          <w:sz w:val="24"/>
          <w:szCs w:val="24"/>
          <w:highlight w:val="none"/>
          <w:lang w:val="en-US" w:eastAsia="zh-CN"/>
        </w:rPr>
        <w:t>位置、地质情况、进出场道路、储存空间、行车干扰及任何其它足以影响价格的情况，了解施工规范、标准以及施工现场实际等情况，并应考虑现有人、材、机市场水平和供应、投标风险、不利的施工因素等，任何因忽视或误解工地情况而导致的索赔或工期延长申请将不获批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TBjZWRiMmI4ZWUwYWJkNzU1ZTY5OTRjYjVmOGEifQ=="/>
  </w:docVars>
  <w:rsids>
    <w:rsidRoot w:val="59E829E8"/>
    <w:rsid w:val="59E82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adjustRightInd w:val="0"/>
      <w:snapToGrid w:val="0"/>
      <w:spacing w:line="360" w:lineRule="auto"/>
      <w:jc w:val="center"/>
      <w:outlineLvl w:val="0"/>
    </w:pPr>
    <w:rPr>
      <w:b/>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2023-09-15T09:09:00Z</dcterms:created>
  <dc:creator>樱桃小晨子 </dc:creator>
  <cp:lastModifiedBy>樱桃小晨子 </cp:lastModifiedBy>
  <dcterms:modified xsi:type="dcterms:W3CDTF">2023-09-15T09:10:08Z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2721DC05B4934A36BD7DFABEB81F89CF_11</vt:lpwstr>
  </property>
</Properties>
</file>