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注：本合同为示范文本，具体条款内容由采购人和中标人协商确定，但不得改变招标文件、投标文件、中标通知书里的实质性内容。）</w:t>
      </w:r>
    </w:p>
    <w:p>
      <w:pPr>
        <w:pStyle w:val="12"/>
        <w:spacing w:line="360" w:lineRule="auto"/>
        <w:ind w:firstLine="480" w:firstLineChars="200"/>
        <w:rPr>
          <w:rFonts w:hint="eastAsia" w:ascii="仿宋" w:hAnsi="仿宋" w:eastAsia="仿宋" w:cs="仿宋"/>
          <w:color w:val="auto"/>
          <w:highlight w:val="none"/>
        </w:rPr>
      </w:pPr>
    </w:p>
    <w:p>
      <w:pPr>
        <w:pStyle w:val="12"/>
        <w:spacing w:line="360" w:lineRule="auto"/>
        <w:ind w:firstLine="480" w:firstLineChars="200"/>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rPr>
        <w:t>签订地点：</w:t>
      </w:r>
      <w:r>
        <w:rPr>
          <w:rFonts w:hint="eastAsia" w:ascii="仿宋" w:hAnsi="仿宋" w:eastAsia="仿宋" w:cs="仿宋"/>
          <w:color w:val="auto"/>
          <w:highlight w:val="none"/>
          <w:u w:val="single"/>
          <w:lang w:val="en-US" w:eastAsia="zh-CN"/>
        </w:rPr>
        <w:t xml:space="preserve">                </w:t>
      </w:r>
    </w:p>
    <w:p>
      <w:pPr>
        <w:pStyle w:val="12"/>
        <w:spacing w:line="360" w:lineRule="auto"/>
        <w:ind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签订时间：</w:t>
      </w:r>
      <w:r>
        <w:rPr>
          <w:rFonts w:hint="eastAsia" w:ascii="仿宋" w:hAnsi="仿宋" w:eastAsia="仿宋" w:cs="仿宋"/>
          <w:color w:val="auto"/>
          <w:highlight w:val="none"/>
          <w:u w:val="single"/>
          <w:lang w:val="en-US" w:eastAsia="zh-CN"/>
        </w:rPr>
        <w:t xml:space="preserve">                 </w:t>
      </w:r>
    </w:p>
    <w:p>
      <w:pPr>
        <w:pStyle w:val="1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pPr>
        <w:pStyle w:val="12"/>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（中标人）</w:t>
      </w:r>
    </w:p>
    <w:p>
      <w:pPr>
        <w:pStyle w:val="12"/>
        <w:spacing w:line="360" w:lineRule="auto"/>
        <w:ind w:left="420" w:leftChars="200"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根据《中华人民共和国政府采购法》及实施条例、《中华人民共和国民法典》和甲方</w:t>
      </w:r>
      <w:r>
        <w:rPr>
          <w:rFonts w:hint="eastAsia" w:ascii="仿宋" w:hAnsi="仿宋" w:eastAsia="仿宋" w:cs="仿宋"/>
          <w:color w:val="auto"/>
          <w:highlight w:val="none"/>
          <w:u w:val="single"/>
          <w:lang w:val="en-US" w:eastAsia="zh-CN"/>
        </w:rPr>
        <w:t>陕西省戒毒管理局统一移动应用平台密码应用升级改造项目</w:t>
      </w:r>
      <w:r>
        <w:rPr>
          <w:rFonts w:hint="eastAsia" w:ascii="仿宋" w:hAnsi="仿宋" w:eastAsia="仿宋" w:cs="仿宋"/>
          <w:color w:val="auto"/>
          <w:kern w:val="0"/>
          <w:sz w:val="24"/>
          <w:szCs w:val="24"/>
          <w:u w:val="none"/>
          <w:lang w:val="en-US" w:eastAsia="zh-CN" w:bidi="ar-SA"/>
        </w:rPr>
        <w:t>采</w:t>
      </w:r>
      <w:r>
        <w:rPr>
          <w:rFonts w:hint="eastAsia" w:ascii="仿宋" w:hAnsi="仿宋" w:eastAsia="仿宋" w:cs="仿宋"/>
          <w:color w:val="auto"/>
          <w:kern w:val="0"/>
          <w:sz w:val="24"/>
          <w:szCs w:val="24"/>
          <w:lang w:val="en-US" w:eastAsia="zh-CN" w:bidi="ar-SA"/>
        </w:rPr>
        <w:t>（</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lang w:eastAsia="zh-CN"/>
        </w:rPr>
        <w:t>TZZB-Z-20231</w:t>
      </w:r>
      <w:r>
        <w:rPr>
          <w:rFonts w:hint="eastAsia" w:ascii="仿宋" w:hAnsi="仿宋" w:eastAsia="仿宋" w:cs="仿宋"/>
          <w:color w:val="auto"/>
          <w:highlight w:val="none"/>
          <w:u w:val="single"/>
          <w:lang w:val="en-US" w:eastAsia="zh-CN"/>
        </w:rPr>
        <w:t>73</w:t>
      </w:r>
      <w:r>
        <w:rPr>
          <w:rFonts w:hint="eastAsia" w:ascii="仿宋" w:hAnsi="仿宋" w:eastAsia="仿宋" w:cs="仿宋"/>
          <w:color w:val="auto"/>
          <w:highlight w:val="none"/>
          <w:u w:val="single"/>
          <w:lang w:eastAsia="zh-CN"/>
        </w:rPr>
        <w:t>C</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）的招标文件、投标文件等有关规定，为确保甲方采购项目的顺利实施，甲、乙双方在平等自愿原则下签订本合同，并共同遵守如下条款：</w:t>
      </w:r>
    </w:p>
    <w:p>
      <w:pPr>
        <w:pStyle w:val="12"/>
        <w:spacing w:line="360" w:lineRule="auto"/>
        <w:outlineLvl w:val="1"/>
        <w:rPr>
          <w:rFonts w:hint="eastAsia" w:ascii="仿宋" w:hAnsi="仿宋" w:eastAsia="仿宋" w:cs="仿宋"/>
          <w:b/>
          <w:color w:val="auto"/>
          <w:highlight w:val="none"/>
        </w:rPr>
      </w:pPr>
      <w:bookmarkStart w:id="0" w:name="_Toc8686"/>
      <w:bookmarkStart w:id="1" w:name="_Toc3373"/>
      <w:bookmarkStart w:id="2" w:name="_Toc18934"/>
      <w:r>
        <w:rPr>
          <w:rFonts w:hint="eastAsia" w:ascii="仿宋" w:hAnsi="仿宋" w:eastAsia="仿宋" w:cs="仿宋"/>
          <w:b/>
          <w:color w:val="auto"/>
          <w:highlight w:val="none"/>
        </w:rPr>
        <w:t>第一条 合同标的及数量</w:t>
      </w:r>
      <w:bookmarkEnd w:id="0"/>
      <w:bookmarkEnd w:id="1"/>
      <w:bookmarkEnd w:id="2"/>
    </w:p>
    <w:p>
      <w:pPr>
        <w:pStyle w:val="12"/>
        <w:spacing w:line="360" w:lineRule="auto"/>
        <w:ind w:firstLine="480" w:firstLineChars="200"/>
        <w:outlineLvl w:val="9"/>
        <w:rPr>
          <w:rFonts w:hint="eastAsia" w:ascii="仿宋" w:hAnsi="仿宋" w:eastAsia="仿宋" w:cs="仿宋"/>
          <w:b/>
          <w:color w:val="auto"/>
          <w:highlight w:val="none"/>
        </w:rPr>
      </w:pPr>
      <w:r>
        <w:rPr>
          <w:rFonts w:hint="eastAsia" w:ascii="仿宋" w:hAnsi="仿宋" w:eastAsia="仿宋" w:cs="仿宋"/>
          <w:color w:val="auto"/>
          <w:highlight w:val="none"/>
        </w:rPr>
        <w:t>乙方向甲方提供下列货物（产品）</w:t>
      </w:r>
      <w:r>
        <w:rPr>
          <w:rFonts w:hint="eastAsia" w:ascii="仿宋" w:hAnsi="仿宋" w:eastAsia="仿宋" w:cs="仿宋"/>
          <w:color w:val="auto"/>
          <w:highlight w:val="none"/>
          <w:lang w:val="en-US" w:eastAsia="zh-CN"/>
        </w:rPr>
        <w:t>及相关服务</w:t>
      </w:r>
      <w:r>
        <w:rPr>
          <w:rFonts w:hint="eastAsia" w:ascii="仿宋" w:hAnsi="仿宋" w:eastAsia="仿宋" w:cs="仿宋"/>
          <w:color w:val="auto"/>
          <w:highlight w:val="none"/>
        </w:rPr>
        <w:t>：</w:t>
      </w:r>
    </w:p>
    <w:p>
      <w:pPr>
        <w:pStyle w:val="6"/>
        <w:spacing w:line="360" w:lineRule="auto"/>
        <w:ind w:firstLine="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货物（产品）及相关服务一览表</w:t>
      </w:r>
    </w:p>
    <w:tbl>
      <w:tblPr>
        <w:tblStyle w:val="10"/>
        <w:tblpPr w:leftFromText="180" w:rightFromText="180" w:vertAnchor="text" w:horzAnchor="margin" w:tblpY="309"/>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61"/>
        <w:gridCol w:w="1623"/>
        <w:gridCol w:w="832"/>
        <w:gridCol w:w="822"/>
        <w:gridCol w:w="514"/>
        <w:gridCol w:w="1162"/>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01" w:type="dxa"/>
            <w:vAlign w:val="center"/>
          </w:tcPr>
          <w:p>
            <w:pPr>
              <w:outlineLvl w:val="9"/>
              <w:rPr>
                <w:rFonts w:hint="eastAsia" w:ascii="仿宋" w:hAnsi="仿宋" w:eastAsia="仿宋" w:cs="仿宋"/>
                <w:color w:val="auto"/>
                <w:sz w:val="24"/>
                <w:szCs w:val="24"/>
                <w:highlight w:val="none"/>
              </w:rPr>
            </w:pPr>
            <w:bookmarkStart w:id="3" w:name="_Toc21343"/>
            <w:bookmarkStart w:id="4" w:name="_Toc7471"/>
            <w:bookmarkStart w:id="5" w:name="_Toc31400"/>
            <w:bookmarkStart w:id="6" w:name="_Toc26294"/>
            <w:bookmarkStart w:id="7" w:name="_Toc1631"/>
            <w:r>
              <w:rPr>
                <w:rFonts w:hint="eastAsia" w:ascii="仿宋" w:hAnsi="仿宋" w:eastAsia="仿宋" w:cs="仿宋"/>
                <w:color w:val="auto"/>
                <w:sz w:val="24"/>
                <w:szCs w:val="24"/>
                <w:highlight w:val="none"/>
              </w:rPr>
              <w:t>序号</w:t>
            </w:r>
            <w:bookmarkEnd w:id="3"/>
            <w:bookmarkEnd w:id="4"/>
            <w:bookmarkEnd w:id="5"/>
            <w:bookmarkEnd w:id="6"/>
            <w:bookmarkEnd w:id="7"/>
          </w:p>
        </w:tc>
        <w:tc>
          <w:tcPr>
            <w:tcW w:w="1461" w:type="dxa"/>
            <w:vAlign w:val="center"/>
          </w:tcPr>
          <w:p>
            <w:pPr>
              <w:outlineLvl w:val="9"/>
              <w:rPr>
                <w:rFonts w:hint="eastAsia" w:ascii="仿宋" w:hAnsi="仿宋" w:eastAsia="仿宋" w:cs="仿宋"/>
                <w:color w:val="auto"/>
                <w:sz w:val="24"/>
                <w:szCs w:val="24"/>
                <w:highlight w:val="none"/>
              </w:rPr>
            </w:pPr>
            <w:bookmarkStart w:id="8" w:name="_Toc6445"/>
            <w:bookmarkStart w:id="9" w:name="_Toc3968"/>
            <w:bookmarkStart w:id="10" w:name="_Toc678"/>
            <w:bookmarkStart w:id="11" w:name="_Toc22389"/>
            <w:bookmarkStart w:id="12" w:name="_Toc23183"/>
            <w:r>
              <w:rPr>
                <w:rFonts w:hint="eastAsia" w:ascii="仿宋" w:hAnsi="仿宋" w:eastAsia="仿宋" w:cs="仿宋"/>
                <w:color w:val="auto"/>
                <w:sz w:val="24"/>
                <w:szCs w:val="24"/>
                <w:highlight w:val="none"/>
              </w:rPr>
              <w:t>名称</w:t>
            </w:r>
            <w:bookmarkEnd w:id="8"/>
            <w:bookmarkEnd w:id="9"/>
            <w:bookmarkEnd w:id="10"/>
            <w:bookmarkEnd w:id="11"/>
            <w:bookmarkEnd w:id="12"/>
          </w:p>
        </w:tc>
        <w:tc>
          <w:tcPr>
            <w:tcW w:w="1623" w:type="dxa"/>
            <w:vAlign w:val="center"/>
          </w:tcPr>
          <w:p>
            <w:pPr>
              <w:outlineLvl w:val="9"/>
              <w:rPr>
                <w:rFonts w:hint="eastAsia" w:ascii="仿宋" w:hAnsi="仿宋" w:eastAsia="仿宋" w:cs="仿宋"/>
                <w:color w:val="auto"/>
                <w:sz w:val="24"/>
                <w:szCs w:val="24"/>
                <w:highlight w:val="none"/>
              </w:rPr>
            </w:pPr>
            <w:bookmarkStart w:id="13" w:name="_Toc13493"/>
            <w:bookmarkStart w:id="14" w:name="_Toc6213"/>
            <w:bookmarkStart w:id="15" w:name="_Toc5820"/>
            <w:bookmarkStart w:id="16" w:name="_Toc16370"/>
            <w:bookmarkStart w:id="17" w:name="_Toc31540"/>
            <w:r>
              <w:rPr>
                <w:rFonts w:hint="eastAsia" w:ascii="仿宋" w:hAnsi="仿宋" w:eastAsia="仿宋" w:cs="仿宋"/>
                <w:color w:val="auto"/>
                <w:sz w:val="24"/>
                <w:szCs w:val="24"/>
                <w:highlight w:val="none"/>
              </w:rPr>
              <w:t>品牌/型号</w:t>
            </w:r>
            <w:bookmarkEnd w:id="13"/>
            <w:bookmarkEnd w:id="14"/>
            <w:bookmarkEnd w:id="15"/>
            <w:bookmarkEnd w:id="16"/>
            <w:bookmarkEnd w:id="17"/>
          </w:p>
        </w:tc>
        <w:tc>
          <w:tcPr>
            <w:tcW w:w="832" w:type="dxa"/>
            <w:vAlign w:val="center"/>
          </w:tcPr>
          <w:p>
            <w:pPr>
              <w:outlineLvl w:val="9"/>
              <w:rPr>
                <w:rFonts w:hint="eastAsia" w:ascii="仿宋" w:hAnsi="仿宋" w:eastAsia="仿宋" w:cs="仿宋"/>
                <w:color w:val="auto"/>
                <w:sz w:val="24"/>
                <w:szCs w:val="24"/>
                <w:highlight w:val="none"/>
              </w:rPr>
            </w:pPr>
            <w:bookmarkStart w:id="18" w:name="_Toc3931"/>
            <w:bookmarkStart w:id="19" w:name="_Toc5177"/>
            <w:bookmarkStart w:id="20" w:name="_Toc21205"/>
            <w:bookmarkStart w:id="21" w:name="_Toc15931"/>
            <w:bookmarkStart w:id="22" w:name="_Toc3362"/>
            <w:r>
              <w:rPr>
                <w:rFonts w:hint="eastAsia" w:ascii="仿宋" w:hAnsi="仿宋" w:eastAsia="仿宋" w:cs="仿宋"/>
                <w:color w:val="auto"/>
                <w:sz w:val="24"/>
                <w:szCs w:val="24"/>
                <w:highlight w:val="none"/>
              </w:rPr>
              <w:t>规格</w:t>
            </w:r>
            <w:bookmarkEnd w:id="18"/>
            <w:bookmarkEnd w:id="19"/>
            <w:bookmarkEnd w:id="20"/>
            <w:bookmarkEnd w:id="21"/>
            <w:bookmarkEnd w:id="22"/>
          </w:p>
        </w:tc>
        <w:tc>
          <w:tcPr>
            <w:tcW w:w="822" w:type="dxa"/>
            <w:vAlign w:val="center"/>
          </w:tcPr>
          <w:p>
            <w:pPr>
              <w:outlineLvl w:val="9"/>
              <w:rPr>
                <w:rFonts w:hint="eastAsia" w:ascii="仿宋" w:hAnsi="仿宋" w:eastAsia="仿宋" w:cs="仿宋"/>
                <w:color w:val="auto"/>
                <w:sz w:val="24"/>
                <w:szCs w:val="24"/>
                <w:highlight w:val="none"/>
              </w:rPr>
            </w:pPr>
            <w:bookmarkStart w:id="23" w:name="_Toc8364"/>
            <w:bookmarkStart w:id="24" w:name="_Toc18669"/>
            <w:bookmarkStart w:id="25" w:name="_Toc16004"/>
            <w:bookmarkStart w:id="26" w:name="_Toc30791"/>
            <w:bookmarkStart w:id="27" w:name="_Toc13801"/>
            <w:r>
              <w:rPr>
                <w:rFonts w:hint="eastAsia" w:ascii="仿宋" w:hAnsi="仿宋" w:eastAsia="仿宋" w:cs="仿宋"/>
                <w:color w:val="auto"/>
                <w:sz w:val="24"/>
                <w:szCs w:val="24"/>
                <w:highlight w:val="none"/>
              </w:rPr>
              <w:t>计量单位</w:t>
            </w:r>
            <w:bookmarkEnd w:id="23"/>
            <w:bookmarkEnd w:id="24"/>
            <w:bookmarkEnd w:id="25"/>
            <w:bookmarkEnd w:id="26"/>
            <w:bookmarkEnd w:id="27"/>
          </w:p>
        </w:tc>
        <w:tc>
          <w:tcPr>
            <w:tcW w:w="514" w:type="dxa"/>
            <w:vAlign w:val="center"/>
          </w:tcPr>
          <w:p>
            <w:pPr>
              <w:outlineLvl w:val="9"/>
              <w:rPr>
                <w:rFonts w:hint="eastAsia" w:ascii="仿宋" w:hAnsi="仿宋" w:eastAsia="仿宋" w:cs="仿宋"/>
                <w:color w:val="auto"/>
                <w:sz w:val="24"/>
                <w:szCs w:val="24"/>
                <w:highlight w:val="none"/>
              </w:rPr>
            </w:pPr>
            <w:bookmarkStart w:id="28" w:name="_Toc19134"/>
            <w:bookmarkStart w:id="29" w:name="_Toc9231"/>
            <w:bookmarkStart w:id="30" w:name="_Toc24569"/>
            <w:bookmarkStart w:id="31" w:name="_Toc609"/>
            <w:bookmarkStart w:id="32" w:name="_Toc29871"/>
            <w:r>
              <w:rPr>
                <w:rFonts w:hint="eastAsia" w:ascii="仿宋" w:hAnsi="仿宋" w:eastAsia="仿宋" w:cs="仿宋"/>
                <w:color w:val="auto"/>
                <w:sz w:val="24"/>
                <w:szCs w:val="24"/>
                <w:highlight w:val="none"/>
              </w:rPr>
              <w:t>数量</w:t>
            </w:r>
            <w:bookmarkEnd w:id="28"/>
            <w:bookmarkEnd w:id="29"/>
            <w:bookmarkEnd w:id="30"/>
            <w:bookmarkEnd w:id="31"/>
            <w:bookmarkEnd w:id="32"/>
          </w:p>
        </w:tc>
        <w:tc>
          <w:tcPr>
            <w:tcW w:w="1162" w:type="dxa"/>
            <w:vAlign w:val="center"/>
          </w:tcPr>
          <w:p>
            <w:pPr>
              <w:outlineLvl w:val="9"/>
              <w:rPr>
                <w:rFonts w:hint="eastAsia" w:ascii="仿宋" w:hAnsi="仿宋" w:eastAsia="仿宋" w:cs="仿宋"/>
                <w:color w:val="auto"/>
                <w:sz w:val="24"/>
                <w:szCs w:val="24"/>
                <w:highlight w:val="none"/>
              </w:rPr>
            </w:pPr>
            <w:bookmarkStart w:id="33" w:name="_Toc23932"/>
            <w:bookmarkStart w:id="34" w:name="_Toc1373"/>
            <w:bookmarkStart w:id="35" w:name="_Toc5020"/>
            <w:bookmarkStart w:id="36" w:name="_Toc29589"/>
            <w:bookmarkStart w:id="37" w:name="_Toc22269"/>
            <w:r>
              <w:rPr>
                <w:rFonts w:hint="eastAsia" w:ascii="仿宋" w:hAnsi="仿宋" w:eastAsia="仿宋" w:cs="仿宋"/>
                <w:color w:val="auto"/>
                <w:sz w:val="24"/>
                <w:szCs w:val="24"/>
                <w:highlight w:val="none"/>
              </w:rPr>
              <w:t>单价（元）</w:t>
            </w:r>
            <w:bookmarkEnd w:id="33"/>
            <w:bookmarkEnd w:id="34"/>
            <w:bookmarkEnd w:id="35"/>
            <w:bookmarkEnd w:id="36"/>
            <w:bookmarkEnd w:id="37"/>
          </w:p>
        </w:tc>
        <w:tc>
          <w:tcPr>
            <w:tcW w:w="1601" w:type="dxa"/>
            <w:vAlign w:val="center"/>
          </w:tcPr>
          <w:p>
            <w:pPr>
              <w:ind w:left="236" w:hanging="235" w:hangingChars="98"/>
              <w:outlineLvl w:val="9"/>
              <w:rPr>
                <w:rFonts w:hint="eastAsia" w:ascii="仿宋" w:hAnsi="仿宋" w:eastAsia="仿宋" w:cs="仿宋"/>
                <w:color w:val="auto"/>
                <w:sz w:val="24"/>
                <w:szCs w:val="24"/>
                <w:highlight w:val="none"/>
              </w:rPr>
            </w:pPr>
            <w:bookmarkStart w:id="38" w:name="_Toc26062"/>
            <w:bookmarkStart w:id="39" w:name="_Toc23619"/>
            <w:bookmarkStart w:id="40" w:name="_Toc17545"/>
            <w:bookmarkStart w:id="41" w:name="_Toc14510"/>
            <w:bookmarkStart w:id="42" w:name="_Toc32579"/>
            <w:r>
              <w:rPr>
                <w:rFonts w:hint="eastAsia" w:ascii="仿宋" w:hAnsi="仿宋" w:eastAsia="仿宋" w:cs="仿宋"/>
                <w:color w:val="auto"/>
                <w:sz w:val="24"/>
                <w:szCs w:val="24"/>
                <w:highlight w:val="none"/>
              </w:rPr>
              <w:t>金额 (元)</w:t>
            </w:r>
            <w:bookmarkEnd w:id="38"/>
            <w:bookmarkEnd w:id="39"/>
            <w:bookmarkEnd w:id="40"/>
            <w:bookmarkEnd w:id="41"/>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pPr>
              <w:outlineLvl w:val="9"/>
              <w:rPr>
                <w:rFonts w:hint="eastAsia" w:ascii="仿宋" w:hAnsi="仿宋" w:eastAsia="仿宋" w:cs="仿宋"/>
                <w:color w:val="auto"/>
                <w:sz w:val="24"/>
                <w:szCs w:val="24"/>
                <w:highlight w:val="none"/>
              </w:rPr>
            </w:pPr>
          </w:p>
        </w:tc>
        <w:tc>
          <w:tcPr>
            <w:tcW w:w="1461" w:type="dxa"/>
          </w:tcPr>
          <w:p>
            <w:pPr>
              <w:outlineLvl w:val="9"/>
              <w:rPr>
                <w:rFonts w:hint="eastAsia" w:ascii="仿宋" w:hAnsi="仿宋" w:eastAsia="仿宋" w:cs="仿宋"/>
                <w:color w:val="auto"/>
                <w:sz w:val="24"/>
                <w:szCs w:val="24"/>
                <w:highlight w:val="none"/>
              </w:rPr>
            </w:pPr>
          </w:p>
        </w:tc>
        <w:tc>
          <w:tcPr>
            <w:tcW w:w="1623" w:type="dxa"/>
          </w:tcPr>
          <w:p>
            <w:pPr>
              <w:outlineLvl w:val="9"/>
              <w:rPr>
                <w:rFonts w:hint="eastAsia" w:ascii="仿宋" w:hAnsi="仿宋" w:eastAsia="仿宋" w:cs="仿宋"/>
                <w:color w:val="auto"/>
                <w:sz w:val="24"/>
                <w:szCs w:val="24"/>
                <w:highlight w:val="none"/>
              </w:rPr>
            </w:pPr>
          </w:p>
        </w:tc>
        <w:tc>
          <w:tcPr>
            <w:tcW w:w="832" w:type="dxa"/>
          </w:tcPr>
          <w:p>
            <w:pPr>
              <w:outlineLvl w:val="9"/>
              <w:rPr>
                <w:rFonts w:hint="eastAsia" w:ascii="仿宋" w:hAnsi="仿宋" w:eastAsia="仿宋" w:cs="仿宋"/>
                <w:color w:val="auto"/>
                <w:sz w:val="24"/>
                <w:szCs w:val="24"/>
                <w:highlight w:val="none"/>
              </w:rPr>
            </w:pPr>
          </w:p>
        </w:tc>
        <w:tc>
          <w:tcPr>
            <w:tcW w:w="822" w:type="dxa"/>
          </w:tcPr>
          <w:p>
            <w:pPr>
              <w:outlineLvl w:val="9"/>
              <w:rPr>
                <w:rFonts w:hint="eastAsia" w:ascii="仿宋" w:hAnsi="仿宋" w:eastAsia="仿宋" w:cs="仿宋"/>
                <w:color w:val="auto"/>
                <w:sz w:val="24"/>
                <w:szCs w:val="24"/>
                <w:highlight w:val="none"/>
              </w:rPr>
            </w:pPr>
          </w:p>
        </w:tc>
        <w:tc>
          <w:tcPr>
            <w:tcW w:w="514" w:type="dxa"/>
          </w:tcPr>
          <w:p>
            <w:pPr>
              <w:outlineLvl w:val="9"/>
              <w:rPr>
                <w:rFonts w:hint="eastAsia" w:ascii="仿宋" w:hAnsi="仿宋" w:eastAsia="仿宋" w:cs="仿宋"/>
                <w:color w:val="auto"/>
                <w:sz w:val="24"/>
                <w:szCs w:val="24"/>
                <w:highlight w:val="none"/>
              </w:rPr>
            </w:pPr>
          </w:p>
        </w:tc>
        <w:tc>
          <w:tcPr>
            <w:tcW w:w="1162" w:type="dxa"/>
          </w:tcPr>
          <w:p>
            <w:pPr>
              <w:outlineLvl w:val="9"/>
              <w:rPr>
                <w:rFonts w:hint="eastAsia" w:ascii="仿宋" w:hAnsi="仿宋" w:eastAsia="仿宋" w:cs="仿宋"/>
                <w:color w:val="auto"/>
                <w:sz w:val="24"/>
                <w:szCs w:val="24"/>
                <w:highlight w:val="none"/>
              </w:rPr>
            </w:pPr>
          </w:p>
        </w:tc>
        <w:tc>
          <w:tcPr>
            <w:tcW w:w="1601" w:type="dxa"/>
          </w:tcPr>
          <w:p>
            <w:pPr>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pPr>
              <w:outlineLvl w:val="9"/>
              <w:rPr>
                <w:rFonts w:hint="eastAsia" w:ascii="仿宋" w:hAnsi="仿宋" w:eastAsia="仿宋" w:cs="仿宋"/>
                <w:color w:val="auto"/>
                <w:sz w:val="24"/>
                <w:szCs w:val="24"/>
                <w:highlight w:val="none"/>
              </w:rPr>
            </w:pPr>
          </w:p>
        </w:tc>
        <w:tc>
          <w:tcPr>
            <w:tcW w:w="1461" w:type="dxa"/>
          </w:tcPr>
          <w:p>
            <w:pPr>
              <w:outlineLvl w:val="9"/>
              <w:rPr>
                <w:rFonts w:hint="eastAsia" w:ascii="仿宋" w:hAnsi="仿宋" w:eastAsia="仿宋" w:cs="仿宋"/>
                <w:color w:val="auto"/>
                <w:sz w:val="24"/>
                <w:szCs w:val="24"/>
                <w:highlight w:val="none"/>
              </w:rPr>
            </w:pPr>
          </w:p>
        </w:tc>
        <w:tc>
          <w:tcPr>
            <w:tcW w:w="1623" w:type="dxa"/>
          </w:tcPr>
          <w:p>
            <w:pPr>
              <w:outlineLvl w:val="9"/>
              <w:rPr>
                <w:rFonts w:hint="eastAsia" w:ascii="仿宋" w:hAnsi="仿宋" w:eastAsia="仿宋" w:cs="仿宋"/>
                <w:color w:val="auto"/>
                <w:sz w:val="24"/>
                <w:szCs w:val="24"/>
                <w:highlight w:val="none"/>
              </w:rPr>
            </w:pPr>
          </w:p>
        </w:tc>
        <w:tc>
          <w:tcPr>
            <w:tcW w:w="832" w:type="dxa"/>
          </w:tcPr>
          <w:p>
            <w:pPr>
              <w:outlineLvl w:val="9"/>
              <w:rPr>
                <w:rFonts w:hint="eastAsia" w:ascii="仿宋" w:hAnsi="仿宋" w:eastAsia="仿宋" w:cs="仿宋"/>
                <w:color w:val="auto"/>
                <w:sz w:val="24"/>
                <w:szCs w:val="24"/>
                <w:highlight w:val="none"/>
              </w:rPr>
            </w:pPr>
          </w:p>
        </w:tc>
        <w:tc>
          <w:tcPr>
            <w:tcW w:w="822" w:type="dxa"/>
          </w:tcPr>
          <w:p>
            <w:pPr>
              <w:outlineLvl w:val="9"/>
              <w:rPr>
                <w:rFonts w:hint="eastAsia" w:ascii="仿宋" w:hAnsi="仿宋" w:eastAsia="仿宋" w:cs="仿宋"/>
                <w:color w:val="auto"/>
                <w:sz w:val="24"/>
                <w:szCs w:val="24"/>
                <w:highlight w:val="none"/>
              </w:rPr>
            </w:pPr>
          </w:p>
        </w:tc>
        <w:tc>
          <w:tcPr>
            <w:tcW w:w="514" w:type="dxa"/>
          </w:tcPr>
          <w:p>
            <w:pPr>
              <w:outlineLvl w:val="9"/>
              <w:rPr>
                <w:rFonts w:hint="eastAsia" w:ascii="仿宋" w:hAnsi="仿宋" w:eastAsia="仿宋" w:cs="仿宋"/>
                <w:color w:val="auto"/>
                <w:sz w:val="24"/>
                <w:szCs w:val="24"/>
                <w:highlight w:val="none"/>
              </w:rPr>
            </w:pPr>
          </w:p>
        </w:tc>
        <w:tc>
          <w:tcPr>
            <w:tcW w:w="1162" w:type="dxa"/>
          </w:tcPr>
          <w:p>
            <w:pPr>
              <w:outlineLvl w:val="9"/>
              <w:rPr>
                <w:rFonts w:hint="eastAsia" w:ascii="仿宋" w:hAnsi="仿宋" w:eastAsia="仿宋" w:cs="仿宋"/>
                <w:color w:val="auto"/>
                <w:sz w:val="24"/>
                <w:szCs w:val="24"/>
                <w:highlight w:val="none"/>
              </w:rPr>
            </w:pPr>
          </w:p>
        </w:tc>
        <w:tc>
          <w:tcPr>
            <w:tcW w:w="1601" w:type="dxa"/>
          </w:tcPr>
          <w:p>
            <w:pPr>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pPr>
              <w:outlineLvl w:val="9"/>
              <w:rPr>
                <w:rFonts w:hint="eastAsia" w:ascii="仿宋" w:hAnsi="仿宋" w:eastAsia="仿宋" w:cs="仿宋"/>
                <w:color w:val="auto"/>
                <w:sz w:val="24"/>
                <w:szCs w:val="24"/>
                <w:highlight w:val="none"/>
              </w:rPr>
            </w:pPr>
          </w:p>
        </w:tc>
        <w:tc>
          <w:tcPr>
            <w:tcW w:w="1461" w:type="dxa"/>
          </w:tcPr>
          <w:p>
            <w:pPr>
              <w:outlineLvl w:val="9"/>
              <w:rPr>
                <w:rFonts w:hint="eastAsia" w:ascii="仿宋" w:hAnsi="仿宋" w:eastAsia="仿宋" w:cs="仿宋"/>
                <w:color w:val="auto"/>
                <w:sz w:val="24"/>
                <w:szCs w:val="24"/>
                <w:highlight w:val="none"/>
              </w:rPr>
            </w:pPr>
          </w:p>
        </w:tc>
        <w:tc>
          <w:tcPr>
            <w:tcW w:w="1623" w:type="dxa"/>
          </w:tcPr>
          <w:p>
            <w:pPr>
              <w:outlineLvl w:val="9"/>
              <w:rPr>
                <w:rFonts w:hint="eastAsia" w:ascii="仿宋" w:hAnsi="仿宋" w:eastAsia="仿宋" w:cs="仿宋"/>
                <w:color w:val="auto"/>
                <w:sz w:val="24"/>
                <w:szCs w:val="24"/>
                <w:highlight w:val="none"/>
              </w:rPr>
            </w:pPr>
          </w:p>
        </w:tc>
        <w:tc>
          <w:tcPr>
            <w:tcW w:w="832" w:type="dxa"/>
          </w:tcPr>
          <w:p>
            <w:pPr>
              <w:outlineLvl w:val="9"/>
              <w:rPr>
                <w:rFonts w:hint="eastAsia" w:ascii="仿宋" w:hAnsi="仿宋" w:eastAsia="仿宋" w:cs="仿宋"/>
                <w:color w:val="auto"/>
                <w:sz w:val="24"/>
                <w:szCs w:val="24"/>
                <w:highlight w:val="none"/>
              </w:rPr>
            </w:pPr>
          </w:p>
        </w:tc>
        <w:tc>
          <w:tcPr>
            <w:tcW w:w="822" w:type="dxa"/>
          </w:tcPr>
          <w:p>
            <w:pPr>
              <w:outlineLvl w:val="9"/>
              <w:rPr>
                <w:rFonts w:hint="eastAsia" w:ascii="仿宋" w:hAnsi="仿宋" w:eastAsia="仿宋" w:cs="仿宋"/>
                <w:color w:val="auto"/>
                <w:sz w:val="24"/>
                <w:szCs w:val="24"/>
                <w:highlight w:val="none"/>
              </w:rPr>
            </w:pPr>
          </w:p>
        </w:tc>
        <w:tc>
          <w:tcPr>
            <w:tcW w:w="514" w:type="dxa"/>
          </w:tcPr>
          <w:p>
            <w:pPr>
              <w:outlineLvl w:val="9"/>
              <w:rPr>
                <w:rFonts w:hint="eastAsia" w:ascii="仿宋" w:hAnsi="仿宋" w:eastAsia="仿宋" w:cs="仿宋"/>
                <w:color w:val="auto"/>
                <w:sz w:val="24"/>
                <w:szCs w:val="24"/>
                <w:highlight w:val="none"/>
              </w:rPr>
            </w:pPr>
          </w:p>
        </w:tc>
        <w:tc>
          <w:tcPr>
            <w:tcW w:w="1162" w:type="dxa"/>
          </w:tcPr>
          <w:p>
            <w:pPr>
              <w:outlineLvl w:val="9"/>
              <w:rPr>
                <w:rFonts w:hint="eastAsia" w:ascii="仿宋" w:hAnsi="仿宋" w:eastAsia="仿宋" w:cs="仿宋"/>
                <w:color w:val="auto"/>
                <w:sz w:val="24"/>
                <w:szCs w:val="24"/>
                <w:highlight w:val="none"/>
              </w:rPr>
            </w:pPr>
          </w:p>
        </w:tc>
        <w:tc>
          <w:tcPr>
            <w:tcW w:w="1601" w:type="dxa"/>
          </w:tcPr>
          <w:p>
            <w:pPr>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85" w:type="dxa"/>
            <w:gridSpan w:val="3"/>
          </w:tcPr>
          <w:p>
            <w:pPr>
              <w:outlineLvl w:val="9"/>
              <w:rPr>
                <w:rFonts w:hint="eastAsia" w:ascii="仿宋" w:hAnsi="仿宋" w:eastAsia="仿宋" w:cs="仿宋"/>
                <w:color w:val="auto"/>
                <w:sz w:val="24"/>
                <w:szCs w:val="24"/>
                <w:highlight w:val="none"/>
              </w:rPr>
            </w:pPr>
            <w:bookmarkStart w:id="43" w:name="_Toc16401"/>
            <w:bookmarkStart w:id="44" w:name="_Toc10934"/>
            <w:bookmarkStart w:id="45" w:name="_Toc15703"/>
            <w:bookmarkStart w:id="46" w:name="_Toc18746"/>
            <w:bookmarkStart w:id="47" w:name="_Toc25107"/>
            <w:r>
              <w:rPr>
                <w:rFonts w:hint="eastAsia" w:ascii="仿宋" w:hAnsi="仿宋" w:eastAsia="仿宋" w:cs="仿宋"/>
                <w:color w:val="auto"/>
                <w:sz w:val="24"/>
                <w:szCs w:val="24"/>
                <w:highlight w:val="none"/>
              </w:rPr>
              <w:t>合计</w:t>
            </w:r>
            <w:bookmarkEnd w:id="43"/>
            <w:bookmarkEnd w:id="44"/>
            <w:bookmarkEnd w:id="45"/>
            <w:bookmarkEnd w:id="46"/>
            <w:bookmarkEnd w:id="47"/>
          </w:p>
        </w:tc>
        <w:tc>
          <w:tcPr>
            <w:tcW w:w="4931" w:type="dxa"/>
            <w:gridSpan w:val="5"/>
          </w:tcPr>
          <w:p>
            <w:pPr>
              <w:outlineLvl w:val="9"/>
              <w:rPr>
                <w:rFonts w:hint="eastAsia" w:ascii="仿宋" w:hAnsi="仿宋" w:eastAsia="仿宋" w:cs="仿宋"/>
                <w:color w:val="auto"/>
                <w:sz w:val="24"/>
                <w:szCs w:val="24"/>
                <w:highlight w:val="none"/>
              </w:rPr>
            </w:pPr>
            <w:bookmarkStart w:id="48" w:name="_Toc31431"/>
            <w:bookmarkStart w:id="49" w:name="_Toc3316"/>
            <w:bookmarkStart w:id="50" w:name="_Toc9771"/>
            <w:bookmarkStart w:id="51" w:name="_Toc18304"/>
            <w:bookmarkStart w:id="52" w:name="_Toc10002"/>
            <w:r>
              <w:rPr>
                <w:rFonts w:hint="eastAsia" w:ascii="仿宋" w:hAnsi="仿宋" w:eastAsia="仿宋" w:cs="仿宋"/>
                <w:color w:val="auto"/>
                <w:sz w:val="24"/>
                <w:szCs w:val="24"/>
                <w:highlight w:val="none"/>
              </w:rPr>
              <w:t>¥</w:t>
            </w:r>
            <w:bookmarkEnd w:id="48"/>
            <w:bookmarkEnd w:id="49"/>
            <w:bookmarkEnd w:id="50"/>
            <w:bookmarkEnd w:id="51"/>
            <w:bookmarkEnd w:id="52"/>
          </w:p>
        </w:tc>
      </w:tr>
    </w:tbl>
    <w:p>
      <w:pPr>
        <w:pStyle w:val="5"/>
        <w:spacing w:line="360" w:lineRule="auto"/>
        <w:jc w:val="both"/>
        <w:rPr>
          <w:rFonts w:hint="eastAsia" w:ascii="仿宋" w:hAnsi="仿宋" w:eastAsia="仿宋" w:cs="仿宋"/>
          <w:color w:val="auto"/>
          <w:sz w:val="24"/>
          <w:szCs w:val="24"/>
          <w:highlight w:val="none"/>
        </w:rPr>
      </w:pPr>
      <w:bookmarkStart w:id="53" w:name="_Toc6586"/>
      <w:bookmarkStart w:id="54" w:name="_Toc14881"/>
      <w:bookmarkStart w:id="55" w:name="_Toc28512"/>
      <w:r>
        <w:rPr>
          <w:rFonts w:hint="eastAsia" w:ascii="仿宋" w:hAnsi="仿宋" w:eastAsia="仿宋" w:cs="仿宋"/>
          <w:color w:val="auto"/>
          <w:sz w:val="24"/>
          <w:szCs w:val="24"/>
          <w:highlight w:val="none"/>
        </w:rPr>
        <w:t>第二条 合同价款</w:t>
      </w:r>
      <w:bookmarkEnd w:id="53"/>
      <w:bookmarkEnd w:id="54"/>
      <w:bookmarkEnd w:id="55"/>
    </w:p>
    <w:p>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1.合同总价：人民币（大写）</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元，（￥</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w:t>
      </w:r>
    </w:p>
    <w:p>
      <w:pPr>
        <w:spacing w:line="360" w:lineRule="auto"/>
        <w:ind w:firstLine="480" w:firstLineChars="200"/>
        <w:jc w:val="left"/>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2.本合同总价是产品、</w:t>
      </w:r>
      <w:r>
        <w:rPr>
          <w:rFonts w:hint="eastAsia" w:ascii="仿宋" w:hAnsi="仿宋" w:eastAsia="仿宋" w:cs="仿宋"/>
          <w:b w:val="0"/>
          <w:color w:val="auto"/>
          <w:sz w:val="24"/>
          <w:szCs w:val="24"/>
          <w:highlight w:val="none"/>
          <w:lang w:val="en-US" w:eastAsia="zh-CN"/>
        </w:rPr>
        <w:t>辅材</w:t>
      </w:r>
      <w:r>
        <w:rPr>
          <w:rFonts w:hint="eastAsia" w:ascii="仿宋" w:hAnsi="仿宋" w:eastAsia="仿宋" w:cs="仿宋"/>
          <w:b w:val="0"/>
          <w:color w:val="auto"/>
          <w:sz w:val="24"/>
          <w:szCs w:val="24"/>
          <w:highlight w:val="none"/>
        </w:rPr>
        <w:t>、制造、包装、运输、安装、调试、检测、验收合格交付使用之前及保修期内保修服务与备用物件等其他有关各项的含税费用。</w:t>
      </w:r>
    </w:p>
    <w:p>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3.本合同总价还包含乙方应当提供的伴随服务和售后服务费用。</w:t>
      </w:r>
    </w:p>
    <w:p>
      <w:pPr>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4.本合同执行期间合同总价不变，甲方无须另向乙方支付本合同规定之外的其他任何费用。</w:t>
      </w:r>
      <w:bookmarkStart w:id="56" w:name="_Toc31924"/>
    </w:p>
    <w:p>
      <w:pPr>
        <w:pStyle w:val="5"/>
        <w:spacing w:line="360" w:lineRule="auto"/>
        <w:ind w:firstLine="241" w:firstLineChars="100"/>
        <w:jc w:val="both"/>
        <w:rPr>
          <w:rFonts w:hint="default" w:eastAsia="仿宋"/>
          <w:lang w:val="en-US" w:eastAsia="zh-CN"/>
        </w:rPr>
      </w:pPr>
      <w:bookmarkStart w:id="57" w:name="_Toc2721"/>
      <w:bookmarkStart w:id="58" w:name="_Toc14426"/>
      <w:r>
        <w:rPr>
          <w:rFonts w:hint="eastAsia" w:ascii="仿宋" w:hAnsi="仿宋" w:eastAsia="仿宋" w:cs="仿宋"/>
          <w:color w:val="auto"/>
          <w:sz w:val="24"/>
          <w:szCs w:val="24"/>
          <w:highlight w:val="none"/>
        </w:rPr>
        <w:t xml:space="preserve">第三条 </w:t>
      </w:r>
      <w:r>
        <w:rPr>
          <w:rFonts w:hint="eastAsia" w:ascii="仿宋" w:hAnsi="仿宋" w:eastAsia="仿宋" w:cs="仿宋"/>
          <w:color w:val="auto"/>
          <w:sz w:val="24"/>
          <w:szCs w:val="24"/>
          <w:highlight w:val="none"/>
          <w:lang w:val="en-US" w:eastAsia="zh-CN"/>
        </w:rPr>
        <w:t>合同价款</w:t>
      </w:r>
      <w:r>
        <w:rPr>
          <w:rFonts w:hint="eastAsia" w:ascii="仿宋" w:hAnsi="仿宋" w:eastAsia="仿宋" w:cs="仿宋"/>
          <w:color w:val="auto"/>
          <w:sz w:val="24"/>
          <w:szCs w:val="24"/>
          <w:highlight w:val="none"/>
        </w:rPr>
        <w:t>支付</w:t>
      </w:r>
      <w:bookmarkEnd w:id="56"/>
      <w:bookmarkEnd w:id="57"/>
      <w:bookmarkEnd w:id="58"/>
    </w:p>
    <w:p>
      <w:pPr>
        <w:pStyle w:val="8"/>
        <w:spacing w:line="360" w:lineRule="auto"/>
        <w:ind w:firstLine="480" w:firstLineChars="200"/>
        <w:rPr>
          <w:rFonts w:hint="eastAsia" w:ascii="仿宋" w:hAnsi="仿宋" w:eastAsia="仿宋" w:cs="仿宋"/>
          <w:sz w:val="24"/>
          <w:lang w:val="en-US" w:eastAsia="zh-CN"/>
        </w:rPr>
      </w:pPr>
      <w:bookmarkStart w:id="59" w:name="_Toc24977"/>
      <w:bookmarkStart w:id="60" w:name="_Toc7176"/>
      <w:bookmarkStart w:id="61" w:name="_Toc7450"/>
      <w:r>
        <w:rPr>
          <w:rFonts w:hint="eastAsia" w:ascii="仿宋" w:hAnsi="仿宋" w:eastAsia="仿宋" w:cs="仿宋"/>
          <w:sz w:val="24"/>
          <w:lang w:val="en-US" w:eastAsia="zh-CN"/>
        </w:rPr>
        <w:t>1.合同签订后 ，达到付款条件起 30 日内，支付合同总金额的 40.00%</w:t>
      </w:r>
    </w:p>
    <w:p>
      <w:pPr>
        <w:pStyle w:val="8"/>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2.设备全部到场后 ，达到付款条件起 30 日内，支付合同总金额的 30.00%</w:t>
      </w:r>
    </w:p>
    <w:p>
      <w:pPr>
        <w:pStyle w:val="8"/>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3.项目初验通过后 ，达到付款条件起 30 日内，支付合同总金额的 15.00%</w:t>
      </w:r>
    </w:p>
    <w:p>
      <w:pPr>
        <w:pStyle w:val="8"/>
        <w:spacing w:line="360" w:lineRule="auto"/>
        <w:ind w:firstLine="480" w:firstLineChars="200"/>
        <w:rPr>
          <w:rFonts w:ascii="仿宋" w:hAnsi="仿宋" w:eastAsia="仿宋" w:cs="仿宋"/>
          <w:sz w:val="24"/>
          <w:highlight w:val="none"/>
        </w:rPr>
      </w:pPr>
      <w:r>
        <w:rPr>
          <w:rFonts w:hint="eastAsia" w:ascii="仿宋" w:hAnsi="仿宋" w:eastAsia="仿宋" w:cs="仿宋"/>
          <w:sz w:val="24"/>
          <w:lang w:val="en-US" w:eastAsia="zh-CN"/>
        </w:rPr>
        <w:t>4.项目竣工验收后 ，达到付款条件起 30 日内，支付合同总金额的 15.00%</w:t>
      </w:r>
      <w:r>
        <w:rPr>
          <w:rFonts w:hint="eastAsia" w:ascii="仿宋" w:hAnsi="仿宋" w:eastAsia="仿宋" w:cs="仿宋"/>
          <w:sz w:val="24"/>
          <w:highlight w:val="none"/>
        </w:rPr>
        <w:t xml:space="preserve"> </w:t>
      </w:r>
    </w:p>
    <w:p>
      <w:pPr>
        <w:pStyle w:val="12"/>
        <w:numPr>
          <w:ilvl w:val="0"/>
          <w:numId w:val="1"/>
        </w:numPr>
        <w:spacing w:line="360" w:lineRule="auto"/>
        <w:outlineLvl w:val="1"/>
        <w:rPr>
          <w:rFonts w:hint="eastAsia" w:ascii="仿宋" w:hAnsi="仿宋" w:eastAsia="仿宋" w:cs="仿宋"/>
          <w:b/>
          <w:color w:val="auto"/>
          <w:highlight w:val="none"/>
          <w:lang w:val="en-US" w:eastAsia="zh-CN"/>
        </w:rPr>
      </w:pPr>
      <w:r>
        <w:rPr>
          <w:rFonts w:hint="eastAsia" w:ascii="仿宋" w:hAnsi="仿宋" w:eastAsia="仿宋" w:cs="仿宋"/>
          <w:b/>
          <w:color w:val="auto"/>
          <w:highlight w:val="none"/>
        </w:rPr>
        <w:t>交</w:t>
      </w:r>
      <w:r>
        <w:rPr>
          <w:rFonts w:hint="eastAsia" w:ascii="仿宋" w:hAnsi="仿宋" w:eastAsia="仿宋" w:cs="仿宋"/>
          <w:b/>
          <w:color w:val="auto"/>
          <w:highlight w:val="none"/>
          <w:lang w:val="en-US" w:eastAsia="zh-CN"/>
        </w:rPr>
        <w:t>货期限</w:t>
      </w:r>
      <w:bookmarkEnd w:id="59"/>
      <w:bookmarkEnd w:id="60"/>
      <w:bookmarkEnd w:id="61"/>
    </w:p>
    <w:p>
      <w:pPr>
        <w:pStyle w:val="12"/>
        <w:numPr>
          <w:ilvl w:val="0"/>
          <w:numId w:val="0"/>
        </w:numPr>
        <w:spacing w:line="360" w:lineRule="auto"/>
        <w:outlineLvl w:val="1"/>
        <w:rPr>
          <w:rFonts w:hint="default" w:ascii="仿宋" w:hAnsi="仿宋" w:eastAsia="仿宋" w:cs="仿宋"/>
          <w:b w:val="0"/>
          <w:bCs/>
          <w:color w:val="auto"/>
          <w:highlight w:val="none"/>
          <w:u w:val="none"/>
          <w:lang w:val="en-US" w:eastAsia="zh-CN"/>
        </w:rPr>
      </w:pPr>
      <w:r>
        <w:rPr>
          <w:rFonts w:hint="eastAsia" w:ascii="仿宋" w:hAnsi="仿宋" w:eastAsia="仿宋" w:cs="仿宋"/>
          <w:b w:val="0"/>
          <w:bCs/>
          <w:color w:val="auto"/>
          <w:highlight w:val="none"/>
          <w:lang w:val="en-US" w:eastAsia="zh-CN"/>
        </w:rPr>
        <w:t xml:space="preserve">   自本合同签订后</w:t>
      </w:r>
      <w:r>
        <w:rPr>
          <w:rFonts w:hint="eastAsia" w:ascii="仿宋" w:hAnsi="仿宋" w:eastAsia="仿宋" w:cs="仿宋"/>
          <w:b w:val="0"/>
          <w:bCs/>
          <w:color w:val="auto"/>
          <w:highlight w:val="none"/>
          <w:u w:val="single"/>
          <w:lang w:val="en-US" w:eastAsia="zh-CN"/>
        </w:rPr>
        <w:t xml:space="preserve">      </w:t>
      </w:r>
      <w:r>
        <w:rPr>
          <w:rFonts w:hint="eastAsia" w:ascii="仿宋" w:hAnsi="仿宋" w:eastAsia="仿宋" w:cs="仿宋"/>
          <w:b w:val="0"/>
          <w:bCs/>
          <w:color w:val="auto"/>
          <w:highlight w:val="none"/>
          <w:u w:val="none"/>
          <w:lang w:val="en-US" w:eastAsia="zh-CN"/>
        </w:rPr>
        <w:t>天交货</w:t>
      </w:r>
    </w:p>
    <w:p>
      <w:pPr>
        <w:pStyle w:val="12"/>
        <w:numPr>
          <w:ilvl w:val="0"/>
          <w:numId w:val="2"/>
        </w:numPr>
        <w:spacing w:line="360" w:lineRule="auto"/>
        <w:outlineLvl w:val="1"/>
        <w:rPr>
          <w:rFonts w:hint="default" w:ascii="仿宋" w:hAnsi="仿宋" w:eastAsia="仿宋" w:cs="仿宋"/>
          <w:b/>
          <w:color w:val="auto"/>
          <w:highlight w:val="none"/>
          <w:lang w:val="en-US"/>
        </w:rPr>
      </w:pPr>
      <w:bookmarkStart w:id="62" w:name="_Toc8595"/>
      <w:r>
        <w:rPr>
          <w:rFonts w:hint="eastAsia" w:ascii="仿宋" w:hAnsi="仿宋" w:eastAsia="仿宋" w:cs="仿宋"/>
          <w:b/>
          <w:color w:val="auto"/>
          <w:highlight w:val="none"/>
          <w:lang w:val="en-US" w:eastAsia="zh-CN"/>
        </w:rPr>
        <w:t xml:space="preserve"> </w:t>
      </w:r>
      <w:bookmarkStart w:id="63" w:name="_Toc2774"/>
      <w:bookmarkStart w:id="64" w:name="_Toc18347"/>
      <w:r>
        <w:rPr>
          <w:rFonts w:hint="eastAsia" w:ascii="仿宋" w:hAnsi="仿宋" w:eastAsia="仿宋" w:cs="仿宋"/>
          <w:b/>
          <w:color w:val="auto"/>
          <w:highlight w:val="none"/>
        </w:rPr>
        <w:t>质</w:t>
      </w:r>
      <w:bookmarkEnd w:id="62"/>
      <w:r>
        <w:rPr>
          <w:rFonts w:hint="eastAsia" w:ascii="仿宋" w:hAnsi="仿宋" w:eastAsia="仿宋" w:cs="仿宋"/>
          <w:b/>
          <w:color w:val="auto"/>
          <w:highlight w:val="none"/>
          <w:lang w:val="en-US" w:eastAsia="zh-CN"/>
        </w:rPr>
        <w:t>保</w:t>
      </w:r>
      <w:bookmarkEnd w:id="63"/>
      <w:bookmarkEnd w:id="64"/>
      <w:r>
        <w:rPr>
          <w:rFonts w:hint="eastAsia" w:ascii="仿宋" w:hAnsi="仿宋" w:eastAsia="仿宋" w:cs="仿宋"/>
          <w:b/>
          <w:color w:val="auto"/>
          <w:highlight w:val="none"/>
          <w:lang w:val="en-US" w:eastAsia="zh-CN"/>
        </w:rPr>
        <w:t>保证</w:t>
      </w:r>
    </w:p>
    <w:p>
      <w:pPr>
        <w:pStyle w:val="8"/>
        <w:spacing w:line="360" w:lineRule="auto"/>
        <w:ind w:firstLine="480" w:firstLineChars="200"/>
        <w:rPr>
          <w:rFonts w:ascii="仿宋" w:hAnsi="仿宋" w:eastAsia="仿宋" w:cs="仿宋"/>
          <w:sz w:val="24"/>
        </w:rPr>
      </w:pPr>
      <w:bookmarkStart w:id="65" w:name="_Toc5147"/>
      <w:bookmarkStart w:id="66" w:name="_Toc26000"/>
      <w:bookmarkStart w:id="67" w:name="_Toc23635"/>
      <w:r>
        <w:rPr>
          <w:rFonts w:hint="eastAsia" w:ascii="仿宋" w:hAnsi="仿宋" w:eastAsia="仿宋" w:cs="仿宋"/>
          <w:sz w:val="24"/>
          <w:lang w:val="en-US" w:eastAsia="zh-CN"/>
        </w:rPr>
        <w:t>1.</w:t>
      </w:r>
      <w:r>
        <w:rPr>
          <w:rFonts w:hint="eastAsia" w:ascii="仿宋" w:hAnsi="仿宋" w:eastAsia="仿宋" w:cs="仿宋"/>
          <w:sz w:val="24"/>
        </w:rPr>
        <w:t>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乙方提供的设备及配套产品必须等同于或优于合同技术指标要求，并能按国家标准供应、检测、调试，确保产品技术指标满足使用要求。</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rPr>
        <w:t>产品质量保证期为甲方最终设备验收合格后</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月</w:t>
      </w:r>
      <w:r>
        <w:rPr>
          <w:rFonts w:hint="eastAsia" w:ascii="仿宋" w:hAnsi="仿宋" w:eastAsia="仿宋" w:cs="仿宋"/>
          <w:sz w:val="24"/>
        </w:rPr>
        <w:t>。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pPr>
        <w:pStyle w:val="12"/>
        <w:spacing w:line="360" w:lineRule="auto"/>
        <w:outlineLvl w:val="1"/>
        <w:rPr>
          <w:rFonts w:hint="eastAsia" w:ascii="仿宋" w:hAnsi="仿宋" w:eastAsia="仿宋" w:cs="仿宋"/>
          <w:b/>
          <w:color w:val="auto"/>
          <w:highlight w:val="none"/>
        </w:rPr>
      </w:pPr>
      <w:r>
        <w:rPr>
          <w:rFonts w:hint="eastAsia" w:ascii="仿宋" w:hAnsi="仿宋" w:eastAsia="仿宋" w:cs="仿宋"/>
          <w:b/>
          <w:color w:val="auto"/>
          <w:highlight w:val="none"/>
        </w:rPr>
        <w:t>第六条 权利保证</w:t>
      </w:r>
      <w:bookmarkEnd w:id="65"/>
      <w:bookmarkEnd w:id="66"/>
      <w:bookmarkEnd w:id="67"/>
    </w:p>
    <w:p>
      <w:pPr>
        <w:pStyle w:val="1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1.乙方保证对其出售的货物享有合法的权利。</w:t>
      </w:r>
    </w:p>
    <w:p>
      <w:pPr>
        <w:pStyle w:val="1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2.乙方保证对其出售的货物上不存在任何未曾向甲方透露的担保物权，如抵押权、质押权、留置权。</w:t>
      </w:r>
    </w:p>
    <w:p>
      <w:pPr>
        <w:pStyle w:val="1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3.乙方保证对其出售的货物或其任何一部分没有侵犯第三方的专利权、版权、商标权或其他权利。</w:t>
      </w:r>
    </w:p>
    <w:p>
      <w:pPr>
        <w:pStyle w:val="12"/>
        <w:spacing w:line="360" w:lineRule="auto"/>
        <w:ind w:firstLine="480" w:firstLineChars="200"/>
        <w:rPr>
          <w:rFonts w:hint="eastAsia" w:ascii="仿宋" w:hAnsi="仿宋" w:eastAsia="仿宋" w:cs="仿宋"/>
          <w:b/>
          <w:color w:val="auto"/>
          <w:highlight w:val="none"/>
        </w:rPr>
      </w:pPr>
      <w:r>
        <w:rPr>
          <w:rFonts w:hint="eastAsia" w:ascii="仿宋" w:hAnsi="仿宋" w:eastAsia="仿宋" w:cs="仿宋"/>
          <w:color w:val="auto"/>
          <w:highlight w:val="none"/>
        </w:rPr>
        <w:t>4.如甲方在使用该货物构成上述侵权的，则由乙方承担全部责任。</w:t>
      </w:r>
    </w:p>
    <w:p>
      <w:pPr>
        <w:pStyle w:val="12"/>
        <w:spacing w:line="360" w:lineRule="auto"/>
        <w:outlineLvl w:val="1"/>
        <w:rPr>
          <w:rFonts w:hint="default" w:ascii="仿宋" w:hAnsi="仿宋" w:eastAsia="仿宋" w:cs="仿宋"/>
          <w:b/>
          <w:color w:val="auto"/>
          <w:highlight w:val="none"/>
          <w:lang w:val="en-US" w:eastAsia="zh-CN"/>
        </w:rPr>
      </w:pPr>
      <w:bookmarkStart w:id="68" w:name="_Toc31505"/>
      <w:bookmarkStart w:id="69" w:name="_Toc18410"/>
      <w:bookmarkStart w:id="70" w:name="_Toc31476"/>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七</w:t>
      </w:r>
      <w:r>
        <w:rPr>
          <w:rFonts w:hint="eastAsia" w:ascii="仿宋" w:hAnsi="仿宋" w:eastAsia="仿宋" w:cs="仿宋"/>
          <w:b/>
          <w:color w:val="auto"/>
          <w:highlight w:val="none"/>
        </w:rPr>
        <w:t>条 售后服务</w:t>
      </w:r>
      <w:bookmarkEnd w:id="68"/>
      <w:bookmarkEnd w:id="69"/>
      <w:bookmarkEnd w:id="70"/>
      <w:r>
        <w:rPr>
          <w:rFonts w:hint="eastAsia" w:ascii="仿宋" w:hAnsi="仿宋" w:eastAsia="仿宋" w:cs="仿宋"/>
          <w:b/>
          <w:color w:val="auto"/>
          <w:highlight w:val="none"/>
          <w:lang w:val="en-US" w:eastAsia="zh-CN"/>
        </w:rPr>
        <w:t>及培训</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1.</w:t>
      </w:r>
      <w:r>
        <w:rPr>
          <w:rFonts w:hint="eastAsia" w:ascii="仿宋" w:hAnsi="仿宋" w:eastAsia="仿宋" w:cs="仿宋"/>
          <w:color w:val="auto"/>
          <w:kern w:val="0"/>
          <w:highlight w:val="none"/>
        </w:rPr>
        <w:t>乙方应按照国家有关法律法规以及招标文件要求和投标文件的</w:t>
      </w:r>
      <w:r>
        <w:rPr>
          <w:rFonts w:hint="eastAsia" w:ascii="仿宋" w:hAnsi="仿宋" w:eastAsia="仿宋" w:cs="仿宋"/>
          <w:color w:val="auto"/>
          <w:kern w:val="0"/>
          <w:highlight w:val="none"/>
          <w:lang w:val="en-US" w:eastAsia="zh-CN"/>
        </w:rPr>
        <w:t>售后方案</w:t>
      </w:r>
      <w:r>
        <w:rPr>
          <w:rFonts w:hint="eastAsia" w:ascii="仿宋" w:hAnsi="仿宋" w:eastAsia="仿宋" w:cs="仿宋"/>
          <w:color w:val="auto"/>
          <w:kern w:val="0"/>
          <w:highlight w:val="none"/>
        </w:rPr>
        <w:t>提供服务。</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2.</w:t>
      </w:r>
      <w:r>
        <w:rPr>
          <w:rFonts w:hint="eastAsia" w:ascii="仿宋" w:hAnsi="仿宋" w:eastAsia="仿宋" w:cs="仿宋"/>
          <w:color w:val="auto"/>
          <w:kern w:val="0"/>
          <w:highlight w:val="none"/>
        </w:rPr>
        <w:t>乙方负责提供仪器设备相应的技术资料，包括产品合格证、产品保修单、安装使用及维护说明书以及运输装箱清单等,并对所有技术材料的真实性、准确性、先进性、完整性负责。</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3.</w:t>
      </w:r>
      <w:r>
        <w:rPr>
          <w:rFonts w:hint="eastAsia" w:ascii="仿宋" w:hAnsi="仿宋" w:eastAsia="仿宋" w:cs="仿宋"/>
          <w:color w:val="auto"/>
          <w:kern w:val="0"/>
          <w:highlight w:val="none"/>
        </w:rPr>
        <w:t>人员培训：乙方终身免费为甲方培训设备使用人员，培训内容包括：设备操作、维护、简单维修等。</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4.</w:t>
      </w:r>
      <w:r>
        <w:rPr>
          <w:rFonts w:hint="eastAsia" w:ascii="仿宋" w:hAnsi="仿宋" w:eastAsia="仿宋" w:cs="仿宋"/>
          <w:color w:val="auto"/>
          <w:kern w:val="0"/>
          <w:highlight w:val="none"/>
        </w:rPr>
        <w:t>售后服务：质保期内乙方对甲方提出的服务响应不得超出</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小时。</w:t>
      </w:r>
    </w:p>
    <w:p>
      <w:pPr>
        <w:pStyle w:val="12"/>
        <w:spacing w:line="360" w:lineRule="auto"/>
        <w:outlineLvl w:val="1"/>
        <w:rPr>
          <w:rFonts w:hint="eastAsia" w:ascii="仿宋" w:hAnsi="仿宋" w:eastAsia="仿宋" w:cs="仿宋"/>
          <w:b/>
          <w:color w:val="auto"/>
          <w:highlight w:val="none"/>
        </w:rPr>
      </w:pPr>
      <w:bookmarkStart w:id="71" w:name="_Toc3711"/>
      <w:bookmarkStart w:id="72" w:name="_Toc28698"/>
      <w:bookmarkStart w:id="73" w:name="_Toc3919"/>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八</w:t>
      </w:r>
      <w:r>
        <w:rPr>
          <w:rFonts w:hint="eastAsia" w:ascii="仿宋" w:hAnsi="仿宋" w:eastAsia="仿宋" w:cs="仿宋"/>
          <w:b/>
          <w:color w:val="auto"/>
          <w:highlight w:val="none"/>
        </w:rPr>
        <w:t>条 违约责任</w:t>
      </w:r>
      <w:bookmarkEnd w:id="71"/>
      <w:bookmarkEnd w:id="72"/>
      <w:bookmarkEnd w:id="73"/>
    </w:p>
    <w:p>
      <w:pPr>
        <w:pStyle w:val="12"/>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1.甲方违约责任</w:t>
      </w:r>
    </w:p>
    <w:p>
      <w:pPr>
        <w:pStyle w:val="1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（1）甲方无正当理由拒收货物的，甲方应偿付合同总价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w:t>
      </w:r>
    </w:p>
    <w:p>
      <w:pPr>
        <w:pStyle w:val="1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（2）甲方逾期支付货款的，除应及时付足货款外，应向乙方每天支付欠款总额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的滞纳金；但累计滞纳金总额不超过欠款总额的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pPr>
        <w:pStyle w:val="12"/>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2.乙方违约责任</w:t>
      </w:r>
    </w:p>
    <w:p>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（1）如乙方不能交付货物，甲方有权扣留全部履约保证金；同时乙方应向甲方支付合同总价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w:t>
      </w:r>
    </w:p>
    <w:p>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（2）乙方逾期交付货物的，每逾期1天，乙方向甲方偿付逾期交付部分货款总额的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lang w:val="en-US" w:eastAsia="zh-CN"/>
        </w:rPr>
        <w:t>%</w:t>
      </w:r>
      <w:r>
        <w:rPr>
          <w:rFonts w:hint="eastAsia" w:ascii="仿宋" w:hAnsi="仿宋" w:eastAsia="仿宋" w:cs="仿宋"/>
          <w:color w:val="auto"/>
          <w:kern w:val="0"/>
          <w:sz w:val="24"/>
          <w:szCs w:val="24"/>
          <w:highlight w:val="none"/>
        </w:rPr>
        <w:t>的滞纳金。如乙方逾期交付达</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天，甲方有权解除合同，解除合同的通知自到达乙方时生效，乙方应向甲方支付合同总价的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%违约金，违约金不足以弥补甲方损失的，由乙方另行支付；</w:t>
      </w:r>
    </w:p>
    <w:p>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（3）乙方所交付的货物品种、型号、规格不符合合同规定的，甲方有权拒收。甲方拒收的，乙方应向甲方支付货款总额</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%的违约金，并按甲方要求予以免费更换；</w:t>
      </w:r>
    </w:p>
    <w:p>
      <w:pPr>
        <w:pStyle w:val="1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（4）乙方货物经甲方送交具有法定资格条件的质量技术监督机构检测后，如检测结果认定货物质量不符合本合同规定标准的，则视为乙方没有按时交付而违约，乙方须在</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天内无条件更换合格的货物，如逾期不能更换合格的货物，甲方有权解除本合同，合同自书面解除通知到达乙方之日起解除，乙方应另向甲方支付货款总额的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%的违约金，违约金不足以弥补甲方损失的，由乙方另行支付；</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（6）乙方未按本合同的规定和</w:t>
      </w:r>
      <w:r>
        <w:rPr>
          <w:rFonts w:hint="eastAsia" w:ascii="仿宋" w:hAnsi="仿宋" w:eastAsia="仿宋" w:cs="仿宋"/>
          <w:color w:val="auto"/>
          <w:kern w:val="0"/>
          <w:highlight w:val="none"/>
          <w:lang w:val="en-US" w:eastAsia="zh-CN"/>
        </w:rPr>
        <w:t>售后服务方案</w:t>
      </w:r>
      <w:r>
        <w:rPr>
          <w:rFonts w:hint="eastAsia" w:ascii="仿宋" w:hAnsi="仿宋" w:eastAsia="仿宋" w:cs="仿宋"/>
          <w:color w:val="auto"/>
          <w:kern w:val="0"/>
          <w:highlight w:val="none"/>
        </w:rPr>
        <w:t>提供伴随服务/售后服务的，应按合同总价款的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%向甲方承担违约责任；</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（7）乙方在承担上述1-7款一项或多项违约责任后，仍应继续履行合同规定的义务（甲方解除合同的除外）。甲方未能及时追究乙方的任何一项违约责任并不表明甲方放弃追究乙方该项或其他违约责任；</w:t>
      </w:r>
    </w:p>
    <w:p>
      <w:pPr>
        <w:pStyle w:val="1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（8）乙方偿付的违约金不足以弥补甲方损失的，还应按甲方损失尚未弥补的部分，支付赔偿金给甲方。</w:t>
      </w:r>
    </w:p>
    <w:p>
      <w:pPr>
        <w:widowControl/>
        <w:spacing w:line="360" w:lineRule="auto"/>
        <w:jc w:val="left"/>
        <w:outlineLvl w:val="1"/>
        <w:rPr>
          <w:rFonts w:hint="eastAsia" w:ascii="仿宋" w:hAnsi="仿宋" w:eastAsia="仿宋" w:cs="仿宋"/>
          <w:color w:val="auto"/>
          <w:kern w:val="0"/>
          <w:sz w:val="24"/>
          <w:szCs w:val="24"/>
          <w:highlight w:val="none"/>
        </w:rPr>
      </w:pPr>
      <w:bookmarkStart w:id="74" w:name="_Toc13805"/>
      <w:bookmarkStart w:id="75" w:name="_Toc27557"/>
      <w:bookmarkStart w:id="76" w:name="_Toc17126"/>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bookmarkEnd w:id="74"/>
      <w:bookmarkEnd w:id="75"/>
      <w:bookmarkEnd w:id="76"/>
    </w:p>
    <w:p>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p>
    <w:p>
      <w:pPr>
        <w:widowControl/>
        <w:spacing w:line="360" w:lineRule="auto"/>
        <w:jc w:val="left"/>
        <w:outlineLvl w:val="1"/>
        <w:rPr>
          <w:rFonts w:hint="eastAsia" w:ascii="仿宋" w:hAnsi="仿宋" w:eastAsia="仿宋" w:cs="仿宋"/>
          <w:b/>
          <w:color w:val="auto"/>
          <w:kern w:val="0"/>
          <w:sz w:val="24"/>
          <w:szCs w:val="24"/>
          <w:highlight w:val="none"/>
        </w:rPr>
      </w:pPr>
      <w:bookmarkStart w:id="77" w:name="_Toc29986"/>
      <w:bookmarkStart w:id="78" w:name="_Toc13338"/>
      <w:bookmarkStart w:id="79" w:name="_Toc16869"/>
      <w:r>
        <w:rPr>
          <w:rFonts w:hint="eastAsia" w:ascii="仿宋" w:hAnsi="仿宋" w:eastAsia="仿宋" w:cs="仿宋"/>
          <w:b/>
          <w:color w:val="auto"/>
          <w:kern w:val="0"/>
          <w:sz w:val="24"/>
          <w:szCs w:val="24"/>
          <w:highlight w:val="none"/>
        </w:rPr>
        <w:t>第十条 争议的解决</w:t>
      </w:r>
      <w:bookmarkEnd w:id="77"/>
      <w:bookmarkEnd w:id="78"/>
      <w:bookmarkEnd w:id="79"/>
    </w:p>
    <w:p>
      <w:pPr>
        <w:pStyle w:val="1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1.因货物的质量问题发生争议，由质量技术监督部门或其指定的质量鉴定机构进行质量鉴定。货物符合标准的，鉴定费由甲方承担；货物不符合质量标准的，鉴定费由乙方承担。</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2.因履行本合同引起的或与本合同有关的争议，甲、乙双方应首先通过友好协商解决，如果协商不成，则采取以下第</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种方式解决争议：</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（1）向甲方所在地有管辖权的人民法院提起诉讼；</w:t>
      </w:r>
    </w:p>
    <w:p>
      <w:pPr>
        <w:pStyle w:val="12"/>
        <w:spacing w:line="360" w:lineRule="auto"/>
        <w:ind w:firstLine="480" w:firstLineChars="200"/>
        <w:rPr>
          <w:rFonts w:hint="eastAsia" w:ascii="仿宋" w:hAnsi="仿宋" w:eastAsia="仿宋" w:cs="仿宋"/>
          <w:color w:val="auto"/>
          <w:kern w:val="0"/>
          <w:highlight w:val="none"/>
          <w:lang w:eastAsia="zh-CN"/>
        </w:rPr>
      </w:pPr>
      <w:r>
        <w:rPr>
          <w:rFonts w:hint="eastAsia" w:ascii="仿宋" w:hAnsi="仿宋" w:eastAsia="仿宋" w:cs="仿宋"/>
          <w:color w:val="auto"/>
          <w:kern w:val="0"/>
          <w:highlight w:val="none"/>
        </w:rPr>
        <w:t>（2）向</w:t>
      </w:r>
      <w:r>
        <w:rPr>
          <w:rFonts w:hint="eastAsia" w:ascii="仿宋" w:hAnsi="仿宋" w:eastAsia="仿宋" w:cs="仿宋"/>
          <w:color w:val="auto"/>
          <w:kern w:val="0"/>
          <w:highlight w:val="none"/>
          <w:u w:val="single"/>
          <w:lang w:val="en-US" w:eastAsia="zh-CN"/>
        </w:rPr>
        <w:t xml:space="preserve"> 汉中 </w:t>
      </w:r>
      <w:r>
        <w:rPr>
          <w:rFonts w:hint="eastAsia" w:ascii="仿宋" w:hAnsi="仿宋" w:eastAsia="仿宋" w:cs="仿宋"/>
          <w:color w:val="auto"/>
          <w:kern w:val="0"/>
          <w:highlight w:val="none"/>
        </w:rPr>
        <w:t>仲裁委员会按其仲裁规则申请仲裁</w:t>
      </w:r>
      <w:r>
        <w:rPr>
          <w:rFonts w:hint="eastAsia" w:ascii="仿宋" w:hAnsi="仿宋" w:eastAsia="仿宋" w:cs="仿宋"/>
          <w:color w:val="auto"/>
          <w:kern w:val="0"/>
          <w:highlight w:val="none"/>
          <w:lang w:eastAsia="zh-CN"/>
        </w:rPr>
        <w:t>；</w:t>
      </w:r>
    </w:p>
    <w:p>
      <w:pPr>
        <w:pStyle w:val="12"/>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3.在诉讼期间，本合同应继续履行。</w:t>
      </w:r>
    </w:p>
    <w:p>
      <w:pPr>
        <w:snapToGrid w:val="0"/>
        <w:spacing w:line="360" w:lineRule="auto"/>
        <w:textAlignment w:val="baseline"/>
        <w:outlineLvl w:val="1"/>
        <w:rPr>
          <w:rFonts w:hint="eastAsia" w:ascii="仿宋" w:hAnsi="仿宋" w:eastAsia="仿宋" w:cs="仿宋"/>
          <w:b/>
          <w:color w:val="auto"/>
          <w:sz w:val="24"/>
          <w:szCs w:val="24"/>
          <w:highlight w:val="none"/>
        </w:rPr>
      </w:pPr>
      <w:bookmarkStart w:id="80" w:name="_Toc24039"/>
      <w:bookmarkStart w:id="81" w:name="_Toc6911"/>
      <w:bookmarkStart w:id="82" w:name="_Toc26051"/>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一条</w:t>
      </w:r>
      <w:r>
        <w:rPr>
          <w:rFonts w:hint="eastAsia" w:ascii="仿宋" w:hAnsi="仿宋" w:eastAsia="仿宋" w:cs="仿宋"/>
          <w:color w:val="auto"/>
          <w:sz w:val="24"/>
          <w:szCs w:val="24"/>
          <w:highlight w:val="none"/>
        </w:rPr>
        <w:t xml:space="preserve"> </w:t>
      </w:r>
      <w:r>
        <w:rPr>
          <w:rFonts w:hint="eastAsia" w:ascii="仿宋" w:hAnsi="仿宋" w:eastAsia="仿宋" w:cs="仿宋"/>
          <w:b/>
          <w:color w:val="auto"/>
          <w:sz w:val="24"/>
          <w:szCs w:val="24"/>
          <w:highlight w:val="none"/>
        </w:rPr>
        <w:t>合同文件</w:t>
      </w:r>
      <w:bookmarkEnd w:id="80"/>
      <w:bookmarkEnd w:id="81"/>
      <w:bookmarkEnd w:id="82"/>
    </w:p>
    <w:p>
      <w:pPr>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2.中标通知书</w:t>
      </w:r>
      <w:r>
        <w:rPr>
          <w:rFonts w:hint="eastAsia" w:ascii="仿宋" w:hAnsi="仿宋" w:eastAsia="仿宋" w:cs="仿宋"/>
          <w:color w:val="auto"/>
          <w:sz w:val="24"/>
          <w:szCs w:val="24"/>
          <w:highlight w:val="none"/>
        </w:rPr>
        <w:tab/>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3.协议</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4.招标文件(含澄清或者修改文件)</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w:t>
      </w:r>
    </w:p>
    <w:p>
      <w:pPr>
        <w:snapToGrid w:val="0"/>
        <w:spacing w:line="360" w:lineRule="auto"/>
        <w:outlineLvl w:val="1"/>
        <w:rPr>
          <w:rFonts w:hint="eastAsia" w:ascii="仿宋" w:hAnsi="仿宋" w:eastAsia="仿宋" w:cs="仿宋"/>
          <w:b/>
          <w:color w:val="auto"/>
          <w:kern w:val="0"/>
          <w:sz w:val="24"/>
          <w:szCs w:val="24"/>
          <w:highlight w:val="none"/>
        </w:rPr>
      </w:pPr>
      <w:bookmarkStart w:id="83" w:name="_Toc1382"/>
      <w:bookmarkStart w:id="84" w:name="_Toc32342"/>
      <w:bookmarkStart w:id="85" w:name="_Toc1384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合同生效及其他</w:t>
      </w:r>
      <w:bookmarkEnd w:id="83"/>
      <w:bookmarkEnd w:id="84"/>
      <w:bookmarkEnd w:id="85"/>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rPr>
        <w:t>如有未尽事宜，由双方依法订立补充合同，补充合同与本合同效力一致。</w:t>
      </w:r>
    </w:p>
    <w:p>
      <w:pPr>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2.本合同自双方签字、盖章之日起生效。</w:t>
      </w:r>
    </w:p>
    <w:p>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3.本合同一式___份，具有同等法律效力，甲乙双方各执____份。</w:t>
      </w:r>
    </w:p>
    <w:p>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4.合同附件：技术协议、招标文件、投标文件、中标通知书</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乙方：   （盖章）</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                         账    号：</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    年  月  日           签约日期：    年  月  日</w:t>
      </w:r>
    </w:p>
    <w:p>
      <w:pPr>
        <w:rPr>
          <w:rFonts w:hint="eastAsia" w:ascii="仿宋" w:hAnsi="仿宋" w:eastAsia="仿宋" w:cs="仿宋"/>
          <w:sz w:val="36"/>
          <w:szCs w:val="36"/>
        </w:rPr>
      </w:pPr>
      <w:r>
        <w:rPr>
          <w:rFonts w:hint="eastAsia" w:ascii="仿宋" w:hAnsi="仿宋" w:eastAsia="仿宋" w:cs="仿宋"/>
          <w:sz w:val="36"/>
          <w:szCs w:val="36"/>
        </w:rPr>
        <w:br w:type="page"/>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附件：技术协议</w:t>
      </w:r>
    </w:p>
    <w:p>
      <w:pPr>
        <w:pStyle w:val="8"/>
        <w:spacing w:line="360" w:lineRule="auto"/>
        <w:ind w:firstLine="480" w:firstLineChars="200"/>
        <w:rPr>
          <w:rFonts w:ascii="仿宋" w:hAnsi="仿宋" w:eastAsia="仿宋" w:cs="仿宋"/>
          <w:sz w:val="24"/>
        </w:rPr>
      </w:pPr>
      <w:bookmarkStart w:id="86" w:name="_Toc390360542"/>
      <w:bookmarkStart w:id="87" w:name="_Toc390373038"/>
      <w:r>
        <w:rPr>
          <w:rFonts w:hint="eastAsia" w:ascii="仿宋" w:hAnsi="仿宋" w:eastAsia="仿宋" w:cs="仿宋"/>
          <w:sz w:val="24"/>
        </w:rPr>
        <w:t>1.中标产品技术参数明细</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我公司承诺：合同中数列产品均满足标书及使用要求，无任何负偏离。并与所供产品完全一致。</w:t>
      </w:r>
    </w:p>
    <w:bookmarkEnd w:id="86"/>
    <w:bookmarkEnd w:id="87"/>
    <w:p>
      <w:pPr>
        <w:pStyle w:val="8"/>
        <w:spacing w:line="360" w:lineRule="auto"/>
        <w:ind w:firstLine="480" w:firstLineChars="200"/>
        <w:rPr>
          <w:rFonts w:ascii="仿宋" w:hAnsi="仿宋" w:eastAsia="仿宋" w:cs="仿宋"/>
          <w:sz w:val="24"/>
        </w:rPr>
      </w:pPr>
      <w:r>
        <w:rPr>
          <w:rFonts w:hint="eastAsia" w:ascii="仿宋" w:hAnsi="仿宋" w:eastAsia="仿宋" w:cs="仿宋"/>
          <w:sz w:val="24"/>
        </w:rPr>
        <w:t>1.1设备特性</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1.2设备用途</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1.3设备主要参数指标</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1.4质量要求与安全要求</w:t>
      </w:r>
    </w:p>
    <w:p>
      <w:pPr>
        <w:pStyle w:val="8"/>
        <w:spacing w:line="360" w:lineRule="auto"/>
        <w:ind w:firstLine="480" w:firstLineChars="200"/>
        <w:rPr>
          <w:rFonts w:ascii="仿宋" w:hAnsi="仿宋" w:eastAsia="仿宋" w:cs="仿宋"/>
          <w:sz w:val="24"/>
        </w:rPr>
      </w:pP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2.售后服务内容</w:t>
      </w:r>
      <w:bookmarkStart w:id="88" w:name="_Toc390373053"/>
      <w:bookmarkStart w:id="89" w:name="_Toc390360557"/>
      <w:bookmarkStart w:id="90" w:name="_Toc373263358"/>
    </w:p>
    <w:bookmarkEnd w:id="88"/>
    <w:bookmarkEnd w:id="89"/>
    <w:bookmarkEnd w:id="90"/>
    <w:p>
      <w:pPr>
        <w:pStyle w:val="8"/>
        <w:spacing w:line="360" w:lineRule="auto"/>
        <w:ind w:firstLine="480" w:firstLineChars="200"/>
        <w:rPr>
          <w:rFonts w:ascii="仿宋" w:hAnsi="仿宋" w:eastAsia="仿宋" w:cs="仿宋"/>
          <w:sz w:val="24"/>
        </w:rPr>
      </w:pPr>
      <w:bookmarkStart w:id="91" w:name="_Toc390360558"/>
      <w:bookmarkStart w:id="92" w:name="_Toc390373054"/>
      <w:bookmarkStart w:id="93" w:name="_Toc373263359"/>
      <w:r>
        <w:rPr>
          <w:rFonts w:hint="eastAsia" w:ascii="仿宋" w:hAnsi="仿宋" w:eastAsia="仿宋" w:cs="仿宋"/>
          <w:sz w:val="24"/>
        </w:rPr>
        <w:t>2.1技术服务、售后服务体系、故障响应时间、应急维修措施</w:t>
      </w:r>
      <w:bookmarkEnd w:id="91"/>
      <w:bookmarkEnd w:id="92"/>
      <w:bookmarkEnd w:id="93"/>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2.1.1技术服务措施</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2.1.2售后服务体系</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质保期内服务</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质保期外服务</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2.1.3故障响应时间</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2.1.4应急维修措施</w:t>
      </w:r>
      <w:bookmarkStart w:id="94" w:name="_Toc390373055"/>
      <w:bookmarkStart w:id="95" w:name="_Toc373263360"/>
      <w:bookmarkStart w:id="96" w:name="_Toc390360559"/>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2.1.5易损件、备件的供应</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2.1.6质保期以外技术支持或技术服务</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2.1.7制定切实可行的操作规程和使用指南</w:t>
      </w:r>
    </w:p>
    <w:p>
      <w:pPr>
        <w:pStyle w:val="8"/>
        <w:spacing w:line="360" w:lineRule="auto"/>
        <w:ind w:firstLine="480" w:firstLineChars="200"/>
        <w:rPr>
          <w:rFonts w:ascii="仿宋" w:hAnsi="仿宋" w:eastAsia="仿宋" w:cs="仿宋"/>
          <w:sz w:val="24"/>
        </w:rPr>
      </w:pP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3.培训服务内容</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3.1培训方案</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培训目标和要求</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3.2培训对象</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3.3培训方式</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3.3.1系统使用培训：</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3.3.2培训课程及培训人数：</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3.3.3培训时间安排</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3.3.5培训及安全保证</w:t>
      </w: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bookmarkEnd w:id="94"/>
    <w:bookmarkEnd w:id="95"/>
    <w:bookmarkEnd w:id="96"/>
    <w:p>
      <w:pPr>
        <w:pStyle w:val="8"/>
        <w:spacing w:line="360" w:lineRule="auto"/>
        <w:ind w:firstLine="480" w:firstLineChars="200"/>
        <w:rPr>
          <w:rFonts w:ascii="仿宋" w:hAnsi="仿宋" w:eastAsia="仿宋" w:cs="仿宋"/>
          <w:sz w:val="24"/>
        </w:rPr>
      </w:pPr>
    </w:p>
    <w:p>
      <w:pPr>
        <w:pStyle w:val="8"/>
        <w:spacing w:line="360" w:lineRule="auto"/>
        <w:ind w:firstLine="480" w:firstLineChars="200"/>
        <w:rPr>
          <w:rFonts w:ascii="仿宋" w:hAnsi="仿宋" w:eastAsia="仿宋" w:cs="仿宋"/>
          <w:sz w:val="24"/>
        </w:rPr>
      </w:pPr>
    </w:p>
    <w:p>
      <w:pPr>
        <w:pStyle w:val="8"/>
        <w:spacing w:line="360" w:lineRule="auto"/>
        <w:ind w:firstLine="480" w:firstLineChars="200"/>
        <w:rPr>
          <w:rFonts w:ascii="仿宋" w:hAnsi="仿宋" w:eastAsia="仿宋" w:cs="仿宋"/>
          <w:sz w:val="24"/>
        </w:rPr>
      </w:pPr>
    </w:p>
    <w:p>
      <w:pPr>
        <w:pStyle w:val="8"/>
        <w:spacing w:line="360" w:lineRule="auto"/>
        <w:rPr>
          <w:rFonts w:ascii="仿宋" w:hAnsi="仿宋" w:eastAsia="仿宋" w:cs="仿宋"/>
          <w:sz w:val="24"/>
        </w:rPr>
      </w:pPr>
    </w:p>
    <w:p>
      <w:pPr>
        <w:pStyle w:val="8"/>
        <w:spacing w:line="360" w:lineRule="auto"/>
        <w:ind w:firstLine="480" w:firstLineChars="200"/>
        <w:rPr>
          <w:rFonts w:ascii="仿宋" w:hAnsi="仿宋" w:eastAsia="仿宋" w:cs="仿宋"/>
          <w:sz w:val="24"/>
        </w:rPr>
      </w:pPr>
      <w:r>
        <w:rPr>
          <w:rFonts w:hint="eastAsia" w:ascii="仿宋" w:hAnsi="仿宋" w:eastAsia="仿宋" w:cs="仿宋"/>
          <w:sz w:val="24"/>
        </w:rPr>
        <w:t>甲方使用单位：</w:t>
      </w:r>
      <w:r>
        <w:rPr>
          <w:rFonts w:hint="eastAsia" w:ascii="仿宋" w:hAnsi="仿宋" w:eastAsia="仿宋" w:cs="仿宋"/>
          <w:sz w:val="24"/>
          <w:lang w:val="en-US" w:eastAsia="zh-CN"/>
        </w:rPr>
        <w:t xml:space="preserve">陕西省戒毒管理局 </w:t>
      </w:r>
      <w:bookmarkStart w:id="97" w:name="_GoBack"/>
      <w:bookmarkEnd w:id="97"/>
      <w:r>
        <w:rPr>
          <w:rFonts w:hint="eastAsia" w:ascii="仿宋" w:hAnsi="仿宋" w:eastAsia="仿宋" w:cs="仿宋"/>
          <w:sz w:val="24"/>
        </w:rPr>
        <w:t xml:space="preserve">       乙方： </w:t>
      </w:r>
    </w:p>
    <w:p>
      <w:pPr>
        <w:pStyle w:val="8"/>
        <w:spacing w:line="360" w:lineRule="auto"/>
        <w:ind w:firstLine="480" w:firstLineChars="200"/>
        <w:rPr>
          <w:rFonts w:ascii="仿宋" w:hAnsi="仿宋" w:eastAsia="仿宋" w:cs="仿宋"/>
          <w:sz w:val="24"/>
        </w:rPr>
      </w:pPr>
    </w:p>
    <w:p>
      <w:pPr>
        <w:ind w:firstLine="720" w:firstLineChars="300"/>
      </w:pPr>
      <w:r>
        <w:rPr>
          <w:rFonts w:hint="eastAsia" w:ascii="仿宋" w:hAnsi="仿宋" w:eastAsia="仿宋" w:cs="仿宋"/>
          <w:sz w:val="24"/>
        </w:rPr>
        <w:t xml:space="preserve">负责人：                      </w:t>
      </w:r>
      <w:r>
        <w:rPr>
          <w:rFonts w:hint="eastAsia" w:ascii="仿宋" w:hAnsi="仿宋" w:eastAsia="仿宋" w:cs="仿宋"/>
          <w:sz w:val="24"/>
          <w:lang w:val="en-US" w:eastAsia="zh-CN"/>
        </w:rPr>
        <w:t xml:space="preserve">       </w:t>
      </w:r>
      <w:r>
        <w:rPr>
          <w:rFonts w:hint="eastAsia" w:ascii="仿宋" w:hAnsi="仿宋" w:eastAsia="仿宋" w:cs="仿宋"/>
          <w:sz w:val="24"/>
        </w:rPr>
        <w:t>负责人：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AE9CA5E-20F5-4851-98B9-DEAF8F11FF53}"/>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85F12615-F60A-4FDD-A5E8-4FD4B7D4FB38}"/>
  </w:font>
  <w:font w:name="仿宋">
    <w:panose1 w:val="02010609060101010101"/>
    <w:charset w:val="86"/>
    <w:family w:val="modern"/>
    <w:pitch w:val="default"/>
    <w:sig w:usb0="800002BF" w:usb1="38CF7CFA" w:usb2="00000016" w:usb3="00000000" w:csb0="00040001" w:csb1="00000000"/>
    <w:embedRegular r:id="rId3" w:fontKey="{5AD3A2EF-C53E-4067-85D8-EB27D7F7D02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FC741"/>
    <w:multiLevelType w:val="singleLevel"/>
    <w:tmpl w:val="028FC741"/>
    <w:lvl w:ilvl="0" w:tentative="0">
      <w:start w:val="4"/>
      <w:numFmt w:val="chineseCounting"/>
      <w:suff w:val="space"/>
      <w:lvlText w:val="第%1条"/>
      <w:lvlJc w:val="left"/>
      <w:rPr>
        <w:rFonts w:hint="eastAsia"/>
      </w:rPr>
    </w:lvl>
  </w:abstractNum>
  <w:abstractNum w:abstractNumId="1">
    <w:nsid w:val="23484E31"/>
    <w:multiLevelType w:val="singleLevel"/>
    <w:tmpl w:val="23484E31"/>
    <w:lvl w:ilvl="0" w:tentative="0">
      <w:start w:val="5"/>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38E42B80"/>
    <w:rsid w:val="020E02AA"/>
    <w:rsid w:val="07E51AAD"/>
    <w:rsid w:val="0B1A04DC"/>
    <w:rsid w:val="0C0544CC"/>
    <w:rsid w:val="123F625E"/>
    <w:rsid w:val="17E72CD8"/>
    <w:rsid w:val="180B4E43"/>
    <w:rsid w:val="263C4B36"/>
    <w:rsid w:val="264913D7"/>
    <w:rsid w:val="2A7C59B7"/>
    <w:rsid w:val="321150C9"/>
    <w:rsid w:val="33613CE8"/>
    <w:rsid w:val="354F3848"/>
    <w:rsid w:val="38E42B80"/>
    <w:rsid w:val="397078B6"/>
    <w:rsid w:val="3D0A09CF"/>
    <w:rsid w:val="4FB97F09"/>
    <w:rsid w:val="56881917"/>
    <w:rsid w:val="59F42A57"/>
    <w:rsid w:val="643B2AF7"/>
    <w:rsid w:val="6BF95CAB"/>
    <w:rsid w:val="70427DDE"/>
    <w:rsid w:val="70695446"/>
    <w:rsid w:val="73920EBF"/>
    <w:rsid w:val="759A04FF"/>
    <w:rsid w:val="7A6723E9"/>
    <w:rsid w:val="7A6C1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4">
    <w:name w:val="heading 1"/>
    <w:basedOn w:val="1"/>
    <w:next w:val="1"/>
    <w:qFormat/>
    <w:uiPriority w:val="0"/>
    <w:pPr>
      <w:jc w:val="center"/>
      <w:outlineLvl w:val="0"/>
    </w:pPr>
    <w:rPr>
      <w:rFonts w:ascii="宋体" w:hAnsi="宋体"/>
      <w:b/>
      <w:sz w:val="36"/>
    </w:rPr>
  </w:style>
  <w:style w:type="paragraph" w:styleId="5">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rPr>
      <w:b/>
      <w:color w:val="000000"/>
      <w:kern w:val="0"/>
      <w:sz w:val="24"/>
      <w:szCs w:val="24"/>
    </w:rPr>
  </w:style>
  <w:style w:type="paragraph" w:styleId="3">
    <w:name w:val="envelope return"/>
    <w:basedOn w:val="1"/>
    <w:qFormat/>
    <w:uiPriority w:val="0"/>
    <w:pPr>
      <w:snapToGrid w:val="0"/>
    </w:pPr>
    <w:rPr>
      <w:rFonts w:ascii="Arial" w:hAnsi="Arial"/>
    </w:rPr>
  </w:style>
  <w:style w:type="paragraph" w:styleId="6">
    <w:name w:val="Normal Indent"/>
    <w:basedOn w:val="1"/>
    <w:next w:val="1"/>
    <w:qFormat/>
    <w:uiPriority w:val="0"/>
    <w:pPr>
      <w:adjustRightInd w:val="0"/>
      <w:spacing w:line="312" w:lineRule="atLeast"/>
      <w:ind w:firstLine="420"/>
      <w:textAlignment w:val="baseline"/>
    </w:pPr>
    <w:rPr>
      <w:rFonts w:ascii="宋体"/>
      <w:kern w:val="0"/>
    </w:rPr>
  </w:style>
  <w:style w:type="paragraph" w:styleId="7">
    <w:name w:val="Body Text"/>
    <w:basedOn w:val="1"/>
    <w:next w:val="1"/>
    <w:qFormat/>
    <w:uiPriority w:val="0"/>
    <w:pPr>
      <w:spacing w:after="120"/>
    </w:pPr>
    <w:rPr>
      <w:rFonts w:ascii="Times New Roman" w:hAnsi="Times New Roman"/>
    </w:rPr>
  </w:style>
  <w:style w:type="paragraph" w:styleId="8">
    <w:name w:val="footer"/>
    <w:basedOn w:val="1"/>
    <w:qFormat/>
    <w:uiPriority w:val="0"/>
    <w:pPr>
      <w:tabs>
        <w:tab w:val="center" w:pos="4140"/>
        <w:tab w:val="right" w:pos="8300"/>
      </w:tabs>
      <w:snapToGrid w:val="0"/>
      <w:jc w:val="left"/>
    </w:pPr>
    <w:rPr>
      <w:rFonts w:ascii="Times New Roman" w:hAnsi="Times New Roman" w:cs="Times New Roman"/>
      <w:sz w:val="18"/>
    </w:rPr>
  </w:style>
  <w:style w:type="paragraph" w:styleId="9">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customStyle="1" w:styleId="12">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3">
    <w:name w:val="标题 41"/>
    <w:basedOn w:val="1"/>
    <w:qFormat/>
    <w:uiPriority w:val="1"/>
    <w:pPr>
      <w:ind w:left="1745"/>
      <w:jc w:val="left"/>
      <w:outlineLvl w:val="4"/>
    </w:pPr>
    <w:rPr>
      <w:rFonts w:ascii="宋体" w:hAnsi="宋体"/>
      <w:kern w:val="0"/>
      <w:sz w:val="26"/>
      <w:szCs w:val="26"/>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懛鰦</cp:lastModifiedBy>
  <dcterms:modified xsi:type="dcterms:W3CDTF">2023-09-15T03:49:33Z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1CCEC583AA234E7190960739386B8EF1_11</vt:lpwstr>
  </property>
</Properties>
</file>