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hint="eastAsia"/>
          <w:color w:val="auto"/>
        </w:rPr>
      </w:pPr>
      <w:r>
        <w:rPr>
          <w:rFonts w:hint="eastAsia"/>
          <w:color w:val="auto"/>
        </w:rPr>
        <w:t>技术/商务响应与偏离表</w:t>
      </w:r>
    </w:p>
    <w:p>
      <w:pPr>
        <w:adjustRightInd w:val="0"/>
        <w:snapToGrid w:val="0"/>
        <w:ind w:left="-88" w:leftChars="-42" w:firstLine="315" w:firstLineChars="150"/>
        <w:rPr>
          <w:rFonts w:hint="eastAsia" w:ascii="宋体" w:hAnsi="宋体"/>
          <w:color w:val="auto"/>
          <w:szCs w:val="21"/>
          <w:u w:val="single"/>
        </w:rPr>
      </w:pPr>
    </w:p>
    <w:tbl>
      <w:tblPr>
        <w:tblStyle w:val="5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34"/>
        <w:gridCol w:w="1685"/>
        <w:gridCol w:w="1948"/>
        <w:gridCol w:w="2600"/>
        <w:gridCol w:w="1517"/>
        <w:gridCol w:w="1119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4" w:hRule="atLeast"/>
          <w:jc w:val="center"/>
        </w:trPr>
        <w:tc>
          <w:tcPr>
            <w:tcW w:w="634" w:type="dxa"/>
            <w:noWrap w:val="0"/>
            <w:vAlign w:val="center"/>
          </w:tcPr>
          <w:p>
            <w:pPr>
              <w:adjustRightInd w:val="0"/>
              <w:snapToGrid w:val="0"/>
              <w:ind w:left="-88" w:leftChars="-42"/>
              <w:jc w:val="center"/>
              <w:rPr>
                <w:rFonts w:hint="eastAsia" w:ascii="宋体" w:hAnsi="宋体"/>
                <w:bCs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序号</w:t>
            </w:r>
          </w:p>
        </w:tc>
        <w:tc>
          <w:tcPr>
            <w:tcW w:w="1685" w:type="dxa"/>
            <w:noWrap w:val="0"/>
            <w:vAlign w:val="center"/>
          </w:tcPr>
          <w:p>
            <w:pPr>
              <w:adjustRightInd w:val="0"/>
              <w:snapToGrid w:val="0"/>
              <w:ind w:left="-88" w:leftChars="-42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文件条目号</w:t>
            </w:r>
          </w:p>
        </w:tc>
        <w:tc>
          <w:tcPr>
            <w:tcW w:w="1948" w:type="dxa"/>
            <w:noWrap w:val="0"/>
            <w:vAlign w:val="center"/>
          </w:tcPr>
          <w:p>
            <w:pPr>
              <w:adjustRightInd w:val="0"/>
              <w:snapToGrid w:val="0"/>
              <w:ind w:left="-88" w:leftChars="-42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采购规格/商务条款</w:t>
            </w:r>
          </w:p>
        </w:tc>
        <w:tc>
          <w:tcPr>
            <w:tcW w:w="2600" w:type="dxa"/>
            <w:noWrap w:val="0"/>
            <w:vAlign w:val="center"/>
          </w:tcPr>
          <w:p>
            <w:pPr>
              <w:adjustRightInd w:val="0"/>
              <w:snapToGrid w:val="0"/>
              <w:ind w:left="-88" w:leftChars="-42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响应文件的规格/商务条款</w:t>
            </w:r>
          </w:p>
        </w:tc>
        <w:tc>
          <w:tcPr>
            <w:tcW w:w="1517" w:type="dxa"/>
            <w:noWrap w:val="0"/>
            <w:vAlign w:val="center"/>
          </w:tcPr>
          <w:p>
            <w:pPr>
              <w:adjustRightInd w:val="0"/>
              <w:snapToGrid w:val="0"/>
              <w:ind w:left="-88" w:leftChars="-42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响应与偏离</w:t>
            </w:r>
          </w:p>
        </w:tc>
        <w:tc>
          <w:tcPr>
            <w:tcW w:w="1119" w:type="dxa"/>
            <w:noWrap w:val="0"/>
            <w:vAlign w:val="center"/>
          </w:tcPr>
          <w:p>
            <w:pPr>
              <w:adjustRightInd w:val="0"/>
              <w:snapToGrid w:val="0"/>
              <w:ind w:left="-88" w:leftChars="-42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说明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634" w:type="dxa"/>
            <w:noWrap w:val="0"/>
            <w:vAlign w:val="top"/>
          </w:tcPr>
          <w:p>
            <w:pPr>
              <w:adjustRightInd w:val="0"/>
              <w:snapToGrid w:val="0"/>
              <w:ind w:left="-88" w:leftChars="-42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685" w:type="dxa"/>
            <w:noWrap w:val="0"/>
            <w:vAlign w:val="center"/>
          </w:tcPr>
          <w:p>
            <w:pPr>
              <w:adjustRightInd w:val="0"/>
              <w:snapToGrid w:val="0"/>
              <w:ind w:left="-88" w:leftChars="-42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948" w:type="dxa"/>
            <w:noWrap w:val="0"/>
            <w:vAlign w:val="center"/>
          </w:tcPr>
          <w:p>
            <w:pPr>
              <w:adjustRightInd w:val="0"/>
              <w:snapToGrid w:val="0"/>
              <w:ind w:left="-88" w:leftChars="-42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600" w:type="dxa"/>
            <w:noWrap w:val="0"/>
            <w:vAlign w:val="center"/>
          </w:tcPr>
          <w:p>
            <w:pPr>
              <w:adjustRightInd w:val="0"/>
              <w:snapToGrid w:val="0"/>
              <w:ind w:left="-88" w:leftChars="-42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517" w:type="dxa"/>
            <w:noWrap w:val="0"/>
            <w:vAlign w:val="center"/>
          </w:tcPr>
          <w:p>
            <w:pPr>
              <w:adjustRightInd w:val="0"/>
              <w:snapToGrid w:val="0"/>
              <w:ind w:left="-88" w:leftChars="-42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119" w:type="dxa"/>
            <w:noWrap w:val="0"/>
            <w:vAlign w:val="center"/>
          </w:tcPr>
          <w:p>
            <w:pPr>
              <w:adjustRightInd w:val="0"/>
              <w:snapToGrid w:val="0"/>
              <w:ind w:left="-88" w:leftChars="-42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634" w:type="dxa"/>
            <w:noWrap w:val="0"/>
            <w:vAlign w:val="top"/>
          </w:tcPr>
          <w:p>
            <w:pPr>
              <w:adjustRightInd w:val="0"/>
              <w:snapToGrid w:val="0"/>
              <w:ind w:left="-88" w:leftChars="-42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685" w:type="dxa"/>
            <w:noWrap w:val="0"/>
            <w:vAlign w:val="center"/>
          </w:tcPr>
          <w:p>
            <w:pPr>
              <w:adjustRightInd w:val="0"/>
              <w:snapToGrid w:val="0"/>
              <w:ind w:left="-88" w:leftChars="-42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948" w:type="dxa"/>
            <w:noWrap w:val="0"/>
            <w:vAlign w:val="center"/>
          </w:tcPr>
          <w:p>
            <w:pPr>
              <w:adjustRightInd w:val="0"/>
              <w:snapToGrid w:val="0"/>
              <w:ind w:left="-88" w:leftChars="-42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600" w:type="dxa"/>
            <w:noWrap w:val="0"/>
            <w:vAlign w:val="center"/>
          </w:tcPr>
          <w:p>
            <w:pPr>
              <w:adjustRightInd w:val="0"/>
              <w:snapToGrid w:val="0"/>
              <w:ind w:left="-88" w:leftChars="-42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517" w:type="dxa"/>
            <w:noWrap w:val="0"/>
            <w:vAlign w:val="center"/>
          </w:tcPr>
          <w:p>
            <w:pPr>
              <w:adjustRightInd w:val="0"/>
              <w:snapToGrid w:val="0"/>
              <w:ind w:left="-88" w:leftChars="-42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119" w:type="dxa"/>
            <w:noWrap w:val="0"/>
            <w:vAlign w:val="center"/>
          </w:tcPr>
          <w:p>
            <w:pPr>
              <w:adjustRightInd w:val="0"/>
              <w:snapToGrid w:val="0"/>
              <w:ind w:left="-88" w:leftChars="-42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634" w:type="dxa"/>
            <w:noWrap w:val="0"/>
            <w:vAlign w:val="top"/>
          </w:tcPr>
          <w:p>
            <w:pPr>
              <w:adjustRightInd w:val="0"/>
              <w:snapToGrid w:val="0"/>
              <w:ind w:left="-88" w:leftChars="-42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685" w:type="dxa"/>
            <w:noWrap w:val="0"/>
            <w:vAlign w:val="center"/>
          </w:tcPr>
          <w:p>
            <w:pPr>
              <w:adjustRightInd w:val="0"/>
              <w:snapToGrid w:val="0"/>
              <w:ind w:left="-88" w:leftChars="-42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948" w:type="dxa"/>
            <w:noWrap w:val="0"/>
            <w:vAlign w:val="center"/>
          </w:tcPr>
          <w:p>
            <w:pPr>
              <w:adjustRightInd w:val="0"/>
              <w:snapToGrid w:val="0"/>
              <w:ind w:left="-88" w:leftChars="-42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600" w:type="dxa"/>
            <w:noWrap w:val="0"/>
            <w:vAlign w:val="center"/>
          </w:tcPr>
          <w:p>
            <w:pPr>
              <w:adjustRightInd w:val="0"/>
              <w:snapToGrid w:val="0"/>
              <w:ind w:left="-88" w:leftChars="-42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517" w:type="dxa"/>
            <w:noWrap w:val="0"/>
            <w:vAlign w:val="center"/>
          </w:tcPr>
          <w:p>
            <w:pPr>
              <w:adjustRightInd w:val="0"/>
              <w:snapToGrid w:val="0"/>
              <w:ind w:left="-88" w:leftChars="-42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119" w:type="dxa"/>
            <w:noWrap w:val="0"/>
            <w:vAlign w:val="center"/>
          </w:tcPr>
          <w:p>
            <w:pPr>
              <w:adjustRightInd w:val="0"/>
              <w:snapToGrid w:val="0"/>
              <w:ind w:left="-88" w:leftChars="-42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634" w:type="dxa"/>
            <w:noWrap w:val="0"/>
            <w:vAlign w:val="top"/>
          </w:tcPr>
          <w:p>
            <w:pPr>
              <w:adjustRightInd w:val="0"/>
              <w:snapToGrid w:val="0"/>
              <w:ind w:left="-88" w:leftChars="-42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685" w:type="dxa"/>
            <w:noWrap w:val="0"/>
            <w:vAlign w:val="center"/>
          </w:tcPr>
          <w:p>
            <w:pPr>
              <w:adjustRightInd w:val="0"/>
              <w:snapToGrid w:val="0"/>
              <w:ind w:left="-88" w:leftChars="-42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948" w:type="dxa"/>
            <w:noWrap w:val="0"/>
            <w:vAlign w:val="center"/>
          </w:tcPr>
          <w:p>
            <w:pPr>
              <w:adjustRightInd w:val="0"/>
              <w:snapToGrid w:val="0"/>
              <w:ind w:left="-88" w:leftChars="-42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600" w:type="dxa"/>
            <w:noWrap w:val="0"/>
            <w:vAlign w:val="center"/>
          </w:tcPr>
          <w:p>
            <w:pPr>
              <w:adjustRightInd w:val="0"/>
              <w:snapToGrid w:val="0"/>
              <w:ind w:left="-88" w:leftChars="-42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517" w:type="dxa"/>
            <w:noWrap w:val="0"/>
            <w:vAlign w:val="center"/>
          </w:tcPr>
          <w:p>
            <w:pPr>
              <w:adjustRightInd w:val="0"/>
              <w:snapToGrid w:val="0"/>
              <w:ind w:left="-88" w:leftChars="-42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119" w:type="dxa"/>
            <w:noWrap w:val="0"/>
            <w:vAlign w:val="center"/>
          </w:tcPr>
          <w:p>
            <w:pPr>
              <w:adjustRightInd w:val="0"/>
              <w:snapToGrid w:val="0"/>
              <w:ind w:left="-88" w:leftChars="-42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634" w:type="dxa"/>
            <w:noWrap w:val="0"/>
            <w:vAlign w:val="top"/>
          </w:tcPr>
          <w:p>
            <w:pPr>
              <w:adjustRightInd w:val="0"/>
              <w:snapToGrid w:val="0"/>
              <w:ind w:left="-88" w:leftChars="-42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685" w:type="dxa"/>
            <w:noWrap w:val="0"/>
            <w:vAlign w:val="center"/>
          </w:tcPr>
          <w:p>
            <w:pPr>
              <w:adjustRightInd w:val="0"/>
              <w:snapToGrid w:val="0"/>
              <w:ind w:left="-88" w:leftChars="-42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948" w:type="dxa"/>
            <w:noWrap w:val="0"/>
            <w:vAlign w:val="center"/>
          </w:tcPr>
          <w:p>
            <w:pPr>
              <w:adjustRightInd w:val="0"/>
              <w:snapToGrid w:val="0"/>
              <w:ind w:left="-88" w:leftChars="-42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600" w:type="dxa"/>
            <w:noWrap w:val="0"/>
            <w:vAlign w:val="center"/>
          </w:tcPr>
          <w:p>
            <w:pPr>
              <w:adjustRightInd w:val="0"/>
              <w:snapToGrid w:val="0"/>
              <w:ind w:left="-88" w:leftChars="-42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517" w:type="dxa"/>
            <w:noWrap w:val="0"/>
            <w:vAlign w:val="center"/>
          </w:tcPr>
          <w:p>
            <w:pPr>
              <w:adjustRightInd w:val="0"/>
              <w:snapToGrid w:val="0"/>
              <w:ind w:left="-88" w:leftChars="-42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119" w:type="dxa"/>
            <w:noWrap w:val="0"/>
            <w:vAlign w:val="center"/>
          </w:tcPr>
          <w:p>
            <w:pPr>
              <w:adjustRightInd w:val="0"/>
              <w:snapToGrid w:val="0"/>
              <w:ind w:left="-88" w:leftChars="-42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</w:tbl>
    <w:p>
      <w:pPr>
        <w:jc w:val="left"/>
        <w:rPr>
          <w:rFonts w:hint="eastAsia"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备注：1.“采购规格/商务条款”指供应商应按照</w:t>
      </w:r>
      <w:r>
        <w:rPr>
          <w:rFonts w:hint="eastAsia" w:ascii="宋体" w:hAnsi="宋体" w:cs="宋体"/>
          <w:color w:val="auto"/>
          <w:lang w:val="en-US" w:eastAsia="zh-CN"/>
        </w:rPr>
        <w:t>单一来源采购</w:t>
      </w:r>
      <w:r>
        <w:rPr>
          <w:rFonts w:hint="eastAsia" w:ascii="宋体" w:hAnsi="宋体" w:cs="宋体"/>
          <w:color w:val="auto"/>
        </w:rPr>
        <w:t>文件中的“</w:t>
      </w:r>
      <w:r>
        <w:rPr>
          <w:rFonts w:hint="eastAsia" w:ascii="宋体" w:hAnsi="宋体"/>
          <w:color w:val="auto"/>
          <w:szCs w:val="21"/>
          <w:lang w:val="en-US" w:eastAsia="zh-CN"/>
        </w:rPr>
        <w:t>第三章</w:t>
      </w:r>
      <w:r>
        <w:rPr>
          <w:rFonts w:hint="eastAsia" w:ascii="宋体" w:hAnsi="宋体"/>
          <w:color w:val="auto"/>
          <w:szCs w:val="21"/>
        </w:rPr>
        <w:t>采购项目技术、服务、商务及其他要</w:t>
      </w:r>
      <w:r>
        <w:rPr>
          <w:rFonts w:hint="eastAsia" w:ascii="宋体" w:hAnsi="宋体"/>
          <w:color w:val="auto"/>
          <w:szCs w:val="21"/>
          <w:lang w:val="en-US" w:eastAsia="zh-CN"/>
        </w:rPr>
        <w:t>求</w:t>
      </w:r>
      <w:r>
        <w:rPr>
          <w:rFonts w:hint="eastAsia" w:ascii="宋体" w:hAnsi="宋体" w:cs="宋体"/>
          <w:color w:val="auto"/>
        </w:rPr>
        <w:t>”逐条抄写。</w:t>
      </w:r>
    </w:p>
    <w:p>
      <w:pPr>
        <w:jc w:val="left"/>
        <w:rPr>
          <w:rFonts w:hint="eastAsia"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2.“响应文件的规格/商务条款”指供应商拟提供的技术响应文件方案具体内容/商务条款，供应商应逐条如实填写。</w:t>
      </w:r>
    </w:p>
    <w:p>
      <w:pPr>
        <w:jc w:val="left"/>
        <w:rPr>
          <w:rFonts w:hint="eastAsia"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3.“响应/偏离”栏应注明“响应”或“偏离</w:t>
      </w:r>
      <w:bookmarkStart w:id="0" w:name="_GoBack"/>
      <w:bookmarkEnd w:id="0"/>
      <w:r>
        <w:rPr>
          <w:rFonts w:hint="eastAsia" w:ascii="宋体" w:hAnsi="宋体" w:cs="宋体"/>
          <w:color w:val="auto"/>
        </w:rPr>
        <w:t>”。</w:t>
      </w:r>
    </w:p>
    <w:p>
      <w:pPr>
        <w:adjustRightInd w:val="0"/>
        <w:snapToGrid w:val="0"/>
        <w:spacing w:line="360" w:lineRule="auto"/>
        <w:ind w:left="-88" w:leftChars="-42"/>
        <w:rPr>
          <w:rFonts w:hint="eastAsia" w:ascii="仿宋_GB2312" w:hAnsi="宋体" w:eastAsia="仿宋_GB2312"/>
          <w:color w:val="auto"/>
          <w:szCs w:val="21"/>
        </w:rPr>
      </w:pPr>
      <w:r>
        <w:rPr>
          <w:rFonts w:hint="eastAsia" w:ascii="仿宋_GB2312" w:hAnsi="宋体" w:eastAsia="仿宋_GB2312"/>
          <w:color w:val="auto"/>
          <w:szCs w:val="21"/>
        </w:rPr>
        <w:t xml:space="preserve">     </w:t>
      </w:r>
    </w:p>
    <w:p>
      <w:pPr>
        <w:pStyle w:val="4"/>
        <w:adjustRightInd w:val="0"/>
        <w:snapToGrid w:val="0"/>
        <w:spacing w:line="360" w:lineRule="auto"/>
        <w:rPr>
          <w:rFonts w:hint="eastAsia" w:ascii="宋体" w:hAnsi="宋体"/>
          <w:color w:val="auto"/>
          <w:sz w:val="21"/>
          <w:szCs w:val="21"/>
        </w:rPr>
      </w:pPr>
    </w:p>
    <w:p>
      <w:pPr>
        <w:pStyle w:val="4"/>
        <w:adjustRightInd w:val="0"/>
        <w:snapToGrid w:val="0"/>
        <w:spacing w:line="700" w:lineRule="exact"/>
        <w:rPr>
          <w:rFonts w:hint="eastAsia" w:ascii="宋体" w:hAnsi="宋体"/>
          <w:bCs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供应商名称：</w:t>
      </w:r>
      <w:r>
        <w:rPr>
          <w:rFonts w:hint="eastAsia" w:ascii="宋体" w:hAnsi="宋体"/>
          <w:color w:val="auto"/>
          <w:sz w:val="21"/>
          <w:szCs w:val="21"/>
          <w:u w:val="single"/>
        </w:rPr>
        <w:t xml:space="preserve">                   </w:t>
      </w:r>
    </w:p>
    <w:p>
      <w:pPr>
        <w:adjustRightInd w:val="0"/>
        <w:snapToGrid w:val="0"/>
        <w:spacing w:line="700" w:lineRule="exac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法定代表人或其委托代理人(签字或盖章)：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 </w:t>
      </w:r>
    </w:p>
    <w:p>
      <w:pPr>
        <w:adjustRightInd w:val="0"/>
        <w:snapToGrid w:val="0"/>
        <w:spacing w:line="700" w:lineRule="exac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 xml:space="preserve">日期： </w:t>
      </w:r>
      <w:r>
        <w:rPr>
          <w:rFonts w:hint="eastAsia" w:ascii="宋体" w:hAnsi="宋体"/>
          <w:color w:val="auto"/>
          <w:szCs w:val="21"/>
          <w:u w:val="single"/>
        </w:rPr>
        <w:t xml:space="preserve">     </w:t>
      </w:r>
      <w:r>
        <w:rPr>
          <w:rFonts w:hint="eastAsia" w:ascii="宋体" w:hAnsi="宋体"/>
          <w:color w:val="auto"/>
          <w:szCs w:val="21"/>
        </w:rPr>
        <w:t>年</w:t>
      </w:r>
      <w:r>
        <w:rPr>
          <w:rFonts w:hint="eastAsia" w:ascii="宋体" w:hAnsi="宋体"/>
          <w:color w:val="auto"/>
          <w:szCs w:val="21"/>
          <w:u w:val="single"/>
        </w:rPr>
        <w:t xml:space="preserve">     </w:t>
      </w:r>
      <w:r>
        <w:rPr>
          <w:rFonts w:hint="eastAsia" w:ascii="宋体" w:hAnsi="宋体"/>
          <w:color w:val="auto"/>
          <w:szCs w:val="21"/>
        </w:rPr>
        <w:t>月</w:t>
      </w:r>
      <w:r>
        <w:rPr>
          <w:rFonts w:hint="eastAsia" w:ascii="宋体" w:hAnsi="宋体"/>
          <w:color w:val="auto"/>
          <w:szCs w:val="21"/>
          <w:u w:val="single"/>
        </w:rPr>
        <w:t xml:space="preserve">     </w:t>
      </w:r>
      <w:r>
        <w:rPr>
          <w:rFonts w:hint="eastAsia" w:ascii="宋体" w:hAnsi="宋体"/>
          <w:color w:val="auto"/>
          <w:szCs w:val="21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yODA1NzVmZjE3MGY3NjdmYzkwOGUyYmIxYThlNWIifQ=="/>
  </w:docVars>
  <w:rsids>
    <w:rsidRoot w:val="7C793C05"/>
    <w:rsid w:val="43712E3C"/>
    <w:rsid w:val="7C793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 w:eastAsia="黑体"/>
      <w:b/>
      <w:bCs/>
      <w:sz w:val="30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Date"/>
    <w:basedOn w:val="1"/>
    <w:next w:val="1"/>
    <w:uiPriority w:val="0"/>
    <w:rPr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2023-09-26T08:40:00Z</dcterms:created>
  <dc:creator>罗杨</dc:creator>
  <cp:lastModifiedBy>罗杨</cp:lastModifiedBy>
  <dcterms:modified xsi:type="dcterms:W3CDTF">2023-09-26T08:42:37Z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022AFB48055941AF9A2A73B132F58875_11</vt:lpwstr>
  </property>
</Properties>
</file>