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宋体" w:hAnsi="宋体" w:cs="宋体"/>
        </w:rPr>
      </w:pPr>
      <w:bookmarkStart w:id="0" w:name="_Toc1032"/>
      <w:bookmarkStart w:id="1" w:name="_Toc26575"/>
      <w:r>
        <w:rPr>
          <w:rFonts w:hint="eastAsia" w:ascii="宋体" w:hAnsi="宋体" w:cs="宋体"/>
        </w:rPr>
        <w:t>第一部分 竞争性谈判公告</w:t>
      </w:r>
      <w:bookmarkEnd w:id="0"/>
      <w:bookmarkEnd w:id="1"/>
    </w:p>
    <w:p>
      <w:pPr>
        <w:widowControl/>
        <w:wordWrap w:val="0"/>
        <w:snapToGrid w:val="0"/>
        <w:spacing w:line="312"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陕西万泽招标有限公司受</w:t>
      </w:r>
      <w:r>
        <w:rPr>
          <w:rFonts w:hint="eastAsia" w:ascii="宋体" w:hAnsi="宋体" w:eastAsia="宋体" w:cs="宋体"/>
          <w:kern w:val="0"/>
          <w:sz w:val="24"/>
          <w:szCs w:val="24"/>
          <w:lang w:eastAsia="zh-CN"/>
        </w:rPr>
        <w:t>西安医学院</w:t>
      </w:r>
      <w:r>
        <w:rPr>
          <w:rFonts w:hint="eastAsia" w:ascii="宋体" w:hAnsi="宋体" w:eastAsia="宋体" w:cs="宋体"/>
          <w:kern w:val="0"/>
          <w:sz w:val="24"/>
          <w:szCs w:val="24"/>
        </w:rPr>
        <w:t>的委托，根据政府采购流程，按照政府采购程序，就</w:t>
      </w:r>
      <w:r>
        <w:rPr>
          <w:rFonts w:hint="eastAsia" w:ascii="宋体" w:hAnsi="宋体" w:eastAsia="宋体" w:cs="宋体"/>
          <w:kern w:val="0"/>
          <w:sz w:val="24"/>
          <w:szCs w:val="24"/>
          <w:lang w:eastAsia="zh-CN"/>
        </w:rPr>
        <w:t>西安医学院动力维修材料采购项目</w:t>
      </w:r>
      <w:r>
        <w:rPr>
          <w:rFonts w:hint="eastAsia" w:ascii="宋体" w:hAnsi="宋体" w:eastAsia="宋体" w:cs="宋体"/>
          <w:kern w:val="0"/>
          <w:sz w:val="24"/>
          <w:szCs w:val="24"/>
        </w:rPr>
        <w:t>进行竞争性谈判，欢迎符合资格条件的、有能力提供本项目所需货物、服务的供应商参加谈判。</w:t>
      </w:r>
    </w:p>
    <w:p>
      <w:pPr>
        <w:widowControl/>
        <w:numPr>
          <w:ilvl w:val="0"/>
          <w:numId w:val="1"/>
        </w:numPr>
        <w:wordWrap w:val="0"/>
        <w:snapToGrid w:val="0"/>
        <w:spacing w:line="312"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项目名称：</w:t>
      </w:r>
      <w:r>
        <w:rPr>
          <w:rFonts w:hint="eastAsia" w:ascii="宋体" w:hAnsi="宋体" w:eastAsia="宋体" w:cs="宋体"/>
          <w:kern w:val="0"/>
          <w:sz w:val="24"/>
          <w:szCs w:val="24"/>
          <w:lang w:eastAsia="zh-CN"/>
        </w:rPr>
        <w:t>西安医学院动力维修材料采购项目</w:t>
      </w:r>
    </w:p>
    <w:p>
      <w:pPr>
        <w:widowControl/>
        <w:numPr>
          <w:ilvl w:val="0"/>
          <w:numId w:val="1"/>
        </w:numPr>
        <w:wordWrap w:val="0"/>
        <w:snapToGrid w:val="0"/>
        <w:spacing w:line="312"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项目编号：</w:t>
      </w:r>
      <w:bookmarkStart w:id="2" w:name="OLE_LINK2"/>
      <w:r>
        <w:rPr>
          <w:rFonts w:hint="eastAsia" w:ascii="宋体" w:hAnsi="宋体" w:eastAsia="宋体" w:cs="宋体"/>
          <w:kern w:val="0"/>
          <w:sz w:val="24"/>
          <w:szCs w:val="24"/>
          <w:lang w:eastAsia="zh-CN"/>
        </w:rPr>
        <w:t>SXWZ2023ZB-YXY-317</w:t>
      </w:r>
    </w:p>
    <w:p>
      <w:pPr>
        <w:widowControl/>
        <w:numPr>
          <w:ilvl w:val="0"/>
          <w:numId w:val="1"/>
        </w:numPr>
        <w:wordWrap w:val="0"/>
        <w:snapToGrid w:val="0"/>
        <w:spacing w:line="312"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采购人名称：</w:t>
      </w:r>
      <w:r>
        <w:rPr>
          <w:rFonts w:hint="eastAsia" w:ascii="宋体" w:hAnsi="宋体" w:eastAsia="宋体" w:cs="宋体"/>
          <w:kern w:val="0"/>
          <w:sz w:val="24"/>
          <w:szCs w:val="24"/>
          <w:lang w:eastAsia="zh-CN"/>
        </w:rPr>
        <w:t>西安医学院</w:t>
      </w:r>
    </w:p>
    <w:p>
      <w:pPr>
        <w:widowControl/>
        <w:tabs>
          <w:tab w:val="left" w:pos="0"/>
        </w:tabs>
        <w:wordWrap w:val="0"/>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联系地址：</w:t>
      </w:r>
      <w:r>
        <w:rPr>
          <w:rFonts w:hint="eastAsia" w:ascii="宋体" w:hAnsi="宋体" w:cs="宋体"/>
          <w:kern w:val="0"/>
          <w:sz w:val="24"/>
          <w:szCs w:val="24"/>
          <w:lang w:eastAsia="zh-CN"/>
        </w:rPr>
        <w:t xml:space="preserve"> 西安市未央区辛王路1号</w:t>
      </w:r>
    </w:p>
    <w:p>
      <w:pPr>
        <w:widowControl/>
        <w:wordWrap w:val="0"/>
        <w:snapToGrid w:val="0"/>
        <w:spacing w:line="312"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联系方式：</w:t>
      </w:r>
      <w:r>
        <w:rPr>
          <w:rFonts w:hint="eastAsia" w:ascii="宋体" w:hAnsi="宋体" w:cs="宋体"/>
          <w:kern w:val="0"/>
          <w:sz w:val="24"/>
          <w:szCs w:val="24"/>
          <w:highlight w:val="none"/>
          <w:lang w:val="en-US" w:eastAsia="zh-CN"/>
        </w:rPr>
        <w:t>029-86177468</w:t>
      </w:r>
    </w:p>
    <w:bookmarkEnd w:id="2"/>
    <w:p>
      <w:pPr>
        <w:widowControl/>
        <w:numPr>
          <w:ilvl w:val="0"/>
          <w:numId w:val="1"/>
        </w:numPr>
        <w:tabs>
          <w:tab w:val="left" w:pos="1620"/>
        </w:tabs>
        <w:wordWrap w:val="0"/>
        <w:snapToGrid w:val="0"/>
        <w:spacing w:line="312"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采购代理机构名称：陕西万泽招标有限公司</w:t>
      </w:r>
    </w:p>
    <w:p>
      <w:pPr>
        <w:widowControl/>
        <w:wordWrap w:val="0"/>
        <w:snapToGrid w:val="0"/>
        <w:spacing w:line="312"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地址：西安市莲湖区西关正街英达大厦1507室</w:t>
      </w:r>
    </w:p>
    <w:p>
      <w:pPr>
        <w:widowControl/>
        <w:wordWrap w:val="0"/>
        <w:snapToGrid w:val="0"/>
        <w:spacing w:line="312"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联系方式：029-88319689</w:t>
      </w:r>
    </w:p>
    <w:p>
      <w:pPr>
        <w:widowControl/>
        <w:numPr>
          <w:ilvl w:val="0"/>
          <w:numId w:val="1"/>
        </w:numPr>
        <w:tabs>
          <w:tab w:val="left" w:pos="1620"/>
        </w:tabs>
        <w:wordWrap w:val="0"/>
        <w:snapToGrid w:val="0"/>
        <w:spacing w:line="312"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采购内容和要求：</w:t>
      </w:r>
    </w:p>
    <w:tbl>
      <w:tblPr>
        <w:tblStyle w:val="8"/>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622"/>
        <w:gridCol w:w="1055"/>
        <w:gridCol w:w="1623"/>
        <w:gridCol w:w="1105"/>
        <w:gridCol w:w="1417"/>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44" w:type="dxa"/>
            <w:vAlign w:val="center"/>
          </w:tcPr>
          <w:p>
            <w:pPr>
              <w:widowControl/>
              <w:tabs>
                <w:tab w:val="left" w:pos="1620"/>
              </w:tabs>
              <w:wordWrap w:val="0"/>
              <w:snapToGrid w:val="0"/>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lang w:eastAsia="zh-CN"/>
              </w:rPr>
              <w:t>序号</w:t>
            </w:r>
          </w:p>
        </w:tc>
        <w:tc>
          <w:tcPr>
            <w:tcW w:w="1622" w:type="dxa"/>
            <w:vAlign w:val="center"/>
          </w:tcPr>
          <w:p>
            <w:pPr>
              <w:widowControl/>
              <w:tabs>
                <w:tab w:val="left" w:pos="1620"/>
              </w:tabs>
              <w:wordWrap w:val="0"/>
              <w:snapToGrid w:val="0"/>
              <w:spacing w:line="360" w:lineRule="auto"/>
              <w:jc w:val="center"/>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rPr>
              <w:t>采购内容</w:t>
            </w:r>
          </w:p>
        </w:tc>
        <w:tc>
          <w:tcPr>
            <w:tcW w:w="1055" w:type="dxa"/>
            <w:vAlign w:val="center"/>
          </w:tcPr>
          <w:p>
            <w:pPr>
              <w:widowControl/>
              <w:tabs>
                <w:tab w:val="left" w:pos="1620"/>
              </w:tabs>
              <w:wordWrap w:val="0"/>
              <w:snapToGrid w:val="0"/>
              <w:spacing w:line="360" w:lineRule="auto"/>
              <w:jc w:val="center"/>
              <w:rPr>
                <w:rFonts w:hint="default" w:ascii="宋体" w:hAnsi="宋体" w:cs="宋体" w:eastAsiaTheme="minorEastAsia"/>
                <w:kern w:val="0"/>
                <w:sz w:val="21"/>
                <w:szCs w:val="21"/>
                <w:highlight w:val="none"/>
                <w:lang w:val="en-US" w:eastAsia="zh-CN"/>
              </w:rPr>
            </w:pPr>
            <w:r>
              <w:rPr>
                <w:rFonts w:hint="eastAsia" w:ascii="宋体" w:hAnsi="宋体" w:cs="宋体"/>
                <w:kern w:val="0"/>
                <w:sz w:val="21"/>
                <w:szCs w:val="21"/>
                <w:highlight w:val="none"/>
                <w:lang w:val="en-US" w:eastAsia="zh-CN"/>
              </w:rPr>
              <w:t>数量</w:t>
            </w:r>
          </w:p>
        </w:tc>
        <w:tc>
          <w:tcPr>
            <w:tcW w:w="1623" w:type="dxa"/>
            <w:vAlign w:val="center"/>
          </w:tcPr>
          <w:p>
            <w:pPr>
              <w:widowControl/>
              <w:tabs>
                <w:tab w:val="left" w:pos="1620"/>
              </w:tabs>
              <w:wordWrap w:val="0"/>
              <w:snapToGrid w:val="0"/>
              <w:spacing w:line="360" w:lineRule="auto"/>
              <w:jc w:val="center"/>
              <w:rPr>
                <w:rFonts w:hint="eastAsia" w:ascii="宋体" w:hAnsi="宋体" w:cs="宋体"/>
                <w:kern w:val="0"/>
                <w:sz w:val="21"/>
                <w:szCs w:val="21"/>
                <w:highlight w:val="none"/>
              </w:rPr>
            </w:pPr>
            <w:r>
              <w:rPr>
                <w:rFonts w:hint="eastAsia" w:ascii="宋体" w:hAnsi="宋体" w:cs="宋体"/>
                <w:kern w:val="0"/>
                <w:sz w:val="21"/>
                <w:szCs w:val="21"/>
                <w:highlight w:val="none"/>
              </w:rPr>
              <w:t>采购预金额</w:t>
            </w:r>
          </w:p>
          <w:p>
            <w:pPr>
              <w:widowControl/>
              <w:tabs>
                <w:tab w:val="left" w:pos="1620"/>
              </w:tabs>
              <w:wordWrap w:val="0"/>
              <w:snapToGrid w:val="0"/>
              <w:spacing w:line="360" w:lineRule="auto"/>
              <w:jc w:val="center"/>
              <w:rPr>
                <w:rFonts w:hint="default" w:ascii="宋体" w:hAnsi="宋体" w:cs="宋体" w:eastAsiaTheme="minorEastAsia"/>
                <w:kern w:val="0"/>
                <w:sz w:val="21"/>
                <w:szCs w:val="21"/>
                <w:highlight w:val="none"/>
                <w:lang w:val="en-US" w:eastAsia="zh-CN"/>
              </w:rPr>
            </w:pPr>
            <w:r>
              <w:rPr>
                <w:rFonts w:hint="eastAsia" w:ascii="宋体" w:hAnsi="宋体" w:cs="宋体"/>
                <w:kern w:val="0"/>
                <w:sz w:val="21"/>
                <w:szCs w:val="21"/>
                <w:highlight w:val="none"/>
                <w:lang w:eastAsia="zh-CN"/>
              </w:rPr>
              <w:t>（元）</w:t>
            </w:r>
          </w:p>
        </w:tc>
        <w:tc>
          <w:tcPr>
            <w:tcW w:w="1105" w:type="dxa"/>
            <w:vAlign w:val="center"/>
          </w:tcPr>
          <w:p>
            <w:pPr>
              <w:widowControl/>
              <w:tabs>
                <w:tab w:val="left" w:pos="1620"/>
              </w:tabs>
              <w:wordWrap w:val="0"/>
              <w:snapToGrid w:val="0"/>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rPr>
              <w:t>项目用途</w:t>
            </w:r>
          </w:p>
        </w:tc>
        <w:tc>
          <w:tcPr>
            <w:tcW w:w="1417" w:type="dxa"/>
            <w:vAlign w:val="center"/>
          </w:tcPr>
          <w:p>
            <w:pPr>
              <w:widowControl/>
              <w:tabs>
                <w:tab w:val="left" w:pos="1620"/>
              </w:tabs>
              <w:wordWrap w:val="0"/>
              <w:snapToGrid w:val="0"/>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rPr>
              <w:t>项目性质</w:t>
            </w:r>
          </w:p>
        </w:tc>
        <w:tc>
          <w:tcPr>
            <w:tcW w:w="1612" w:type="dxa"/>
            <w:vAlign w:val="center"/>
          </w:tcPr>
          <w:p>
            <w:pPr>
              <w:widowControl/>
              <w:tabs>
                <w:tab w:val="left" w:pos="1620"/>
              </w:tabs>
              <w:wordWrap w:val="0"/>
              <w:snapToGrid w:val="0"/>
              <w:spacing w:line="360" w:lineRule="auto"/>
              <w:jc w:val="center"/>
              <w:rPr>
                <w:rFonts w:hint="eastAsia" w:ascii="宋体" w:hAnsi="宋体" w:cs="宋体" w:eastAsiaTheme="minorEastAsia"/>
                <w:kern w:val="0"/>
                <w:sz w:val="21"/>
                <w:szCs w:val="21"/>
                <w:highlight w:val="none"/>
                <w:lang w:eastAsia="zh-CN"/>
              </w:rPr>
            </w:pPr>
            <w:r>
              <w:rPr>
                <w:rFonts w:hint="eastAsia" w:ascii="宋体" w:hAnsi="宋体" w:cs="宋体"/>
                <w:kern w:val="0"/>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644" w:type="dxa"/>
            <w:vAlign w:val="center"/>
          </w:tcPr>
          <w:p>
            <w:pPr>
              <w:widowControl/>
              <w:tabs>
                <w:tab w:val="left" w:pos="1620"/>
              </w:tabs>
              <w:wordWrap w:val="0"/>
              <w:snapToGrid w:val="0"/>
              <w:spacing w:line="360" w:lineRule="auto"/>
              <w:jc w:val="center"/>
              <w:rPr>
                <w:rFonts w:hint="eastAsia" w:ascii="宋体" w:hAnsi="宋体" w:cs="宋体" w:eastAsiaTheme="minorEastAsia"/>
                <w:kern w:val="0"/>
                <w:sz w:val="21"/>
                <w:szCs w:val="21"/>
                <w:highlight w:val="none"/>
                <w:lang w:val="en-US" w:eastAsia="zh-CN"/>
              </w:rPr>
            </w:pPr>
            <w:r>
              <w:rPr>
                <w:rFonts w:hint="eastAsia" w:ascii="宋体" w:hAnsi="宋体" w:eastAsia="宋体" w:cs="宋体"/>
                <w:kern w:val="0"/>
                <w:sz w:val="21"/>
                <w:szCs w:val="21"/>
                <w:highlight w:val="none"/>
                <w:lang w:val="en-US" w:eastAsia="zh-CN"/>
              </w:rPr>
              <w:t>1</w:t>
            </w:r>
          </w:p>
        </w:tc>
        <w:tc>
          <w:tcPr>
            <w:tcW w:w="1622" w:type="dxa"/>
            <w:vAlign w:val="center"/>
          </w:tcPr>
          <w:p>
            <w:pPr>
              <w:widowControl/>
              <w:tabs>
                <w:tab w:val="left" w:pos="1620"/>
              </w:tabs>
              <w:wordWrap w:val="0"/>
              <w:snapToGrid w:val="0"/>
              <w:spacing w:line="360" w:lineRule="auto"/>
              <w:jc w:val="center"/>
              <w:rPr>
                <w:rFonts w:hint="eastAsia" w:ascii="宋体" w:hAnsi="宋体" w:cs="宋体" w:eastAsiaTheme="minorEastAsia"/>
                <w:kern w:val="0"/>
                <w:sz w:val="21"/>
                <w:szCs w:val="21"/>
                <w:highlight w:val="none"/>
                <w:lang w:val="en-US" w:eastAsia="zh-CN"/>
              </w:rPr>
            </w:pPr>
            <w:r>
              <w:rPr>
                <w:rFonts w:hint="eastAsia" w:ascii="宋体" w:hAnsi="宋体" w:cs="宋体" w:eastAsiaTheme="minorEastAsia"/>
                <w:kern w:val="0"/>
                <w:sz w:val="21"/>
                <w:szCs w:val="21"/>
                <w:highlight w:val="none"/>
                <w:lang w:val="en-US" w:eastAsia="zh-CN"/>
              </w:rPr>
              <w:t>动力维修材料</w:t>
            </w:r>
          </w:p>
        </w:tc>
        <w:tc>
          <w:tcPr>
            <w:tcW w:w="1055" w:type="dxa"/>
            <w:vAlign w:val="center"/>
          </w:tcPr>
          <w:p>
            <w:pPr>
              <w:widowControl/>
              <w:tabs>
                <w:tab w:val="left" w:pos="1620"/>
              </w:tabs>
              <w:wordWrap w:val="0"/>
              <w:snapToGrid w:val="0"/>
              <w:spacing w:line="360" w:lineRule="auto"/>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1批</w:t>
            </w:r>
          </w:p>
        </w:tc>
        <w:tc>
          <w:tcPr>
            <w:tcW w:w="1623" w:type="dxa"/>
            <w:vAlign w:val="center"/>
          </w:tcPr>
          <w:p>
            <w:pPr>
              <w:widowControl/>
              <w:tabs>
                <w:tab w:val="left" w:pos="1620"/>
              </w:tabs>
              <w:wordWrap w:val="0"/>
              <w:snapToGrid w:val="0"/>
              <w:spacing w:line="360" w:lineRule="auto"/>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1000000.00</w:t>
            </w:r>
          </w:p>
        </w:tc>
        <w:tc>
          <w:tcPr>
            <w:tcW w:w="1105" w:type="dxa"/>
            <w:vAlign w:val="center"/>
          </w:tcPr>
          <w:p>
            <w:pPr>
              <w:widowControl/>
              <w:tabs>
                <w:tab w:val="left" w:pos="1620"/>
              </w:tabs>
              <w:wordWrap w:val="0"/>
              <w:snapToGrid w:val="0"/>
              <w:spacing w:line="360" w:lineRule="auto"/>
              <w:jc w:val="center"/>
              <w:rPr>
                <w:rFonts w:hint="eastAsia" w:ascii="宋体" w:hAnsi="宋体" w:cs="宋体"/>
                <w:kern w:val="0"/>
                <w:sz w:val="21"/>
                <w:szCs w:val="21"/>
                <w:highlight w:val="none"/>
              </w:rPr>
            </w:pPr>
            <w:r>
              <w:rPr>
                <w:rFonts w:hint="eastAsia" w:ascii="宋体" w:hAnsi="宋体" w:cs="宋体"/>
                <w:kern w:val="0"/>
                <w:sz w:val="21"/>
                <w:szCs w:val="21"/>
                <w:highlight w:val="none"/>
              </w:rPr>
              <w:t>自用</w:t>
            </w:r>
          </w:p>
        </w:tc>
        <w:tc>
          <w:tcPr>
            <w:tcW w:w="1417" w:type="dxa"/>
            <w:shd w:val="clear" w:color="auto" w:fill="FFFFFF" w:themeFill="background1"/>
            <w:vAlign w:val="center"/>
          </w:tcPr>
          <w:p>
            <w:pPr>
              <w:widowControl/>
              <w:wordWrap w:val="0"/>
              <w:snapToGrid w:val="0"/>
              <w:spacing w:line="360" w:lineRule="auto"/>
              <w:jc w:val="center"/>
              <w:rPr>
                <w:rFonts w:hint="eastAsia" w:ascii="宋体" w:hAnsi="宋体" w:cs="宋体"/>
                <w:kern w:val="0"/>
                <w:sz w:val="21"/>
                <w:szCs w:val="21"/>
                <w:highlight w:val="none"/>
                <w:shd w:val="clear" w:color="auto" w:fill="auto"/>
                <w:lang w:val="en-US" w:eastAsia="zh-CN"/>
              </w:rPr>
            </w:pPr>
          </w:p>
          <w:p>
            <w:pPr>
              <w:widowControl/>
              <w:wordWrap w:val="0"/>
              <w:snapToGrid w:val="0"/>
              <w:spacing w:line="360" w:lineRule="auto"/>
              <w:jc w:val="center"/>
              <w:rPr>
                <w:rFonts w:hint="eastAsia" w:ascii="宋体" w:hAnsi="宋体" w:cs="宋体"/>
                <w:kern w:val="0"/>
                <w:sz w:val="21"/>
                <w:szCs w:val="21"/>
                <w:highlight w:val="none"/>
                <w:shd w:val="clear" w:color="auto" w:fill="auto"/>
                <w:lang w:val="en-US" w:eastAsia="zh-CN"/>
              </w:rPr>
            </w:pPr>
            <w:r>
              <w:rPr>
                <w:rFonts w:hint="eastAsia" w:ascii="宋体" w:hAnsi="宋体" w:cs="宋体"/>
                <w:kern w:val="0"/>
                <w:sz w:val="21"/>
                <w:szCs w:val="21"/>
                <w:highlight w:val="none"/>
                <w:shd w:val="clear" w:color="auto" w:fill="auto"/>
                <w:lang w:val="en-US" w:eastAsia="zh-CN"/>
              </w:rPr>
              <w:t>财政资金</w:t>
            </w:r>
          </w:p>
          <w:p>
            <w:pPr>
              <w:widowControl/>
              <w:wordWrap w:val="0"/>
              <w:snapToGrid w:val="0"/>
              <w:spacing w:line="360" w:lineRule="auto"/>
              <w:jc w:val="center"/>
              <w:rPr>
                <w:rFonts w:hint="eastAsia" w:ascii="宋体" w:hAnsi="宋体" w:cs="宋体"/>
                <w:kern w:val="0"/>
                <w:sz w:val="21"/>
                <w:szCs w:val="21"/>
                <w:highlight w:val="yellow"/>
                <w:shd w:val="clear" w:color="auto" w:fill="auto"/>
                <w:lang w:val="en-US" w:eastAsia="zh-CN"/>
              </w:rPr>
            </w:pPr>
          </w:p>
        </w:tc>
        <w:tc>
          <w:tcPr>
            <w:tcW w:w="1612" w:type="dxa"/>
            <w:vAlign w:val="center"/>
          </w:tcPr>
          <w:p>
            <w:pPr>
              <w:widowControl/>
              <w:wordWrap w:val="0"/>
              <w:snapToGrid w:val="0"/>
              <w:spacing w:line="360" w:lineRule="auto"/>
              <w:jc w:val="center"/>
              <w:rPr>
                <w:rFonts w:hint="default"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具体要求详见第五部分采购要求</w:t>
            </w:r>
          </w:p>
        </w:tc>
      </w:tr>
    </w:tbl>
    <w:p>
      <w:pPr>
        <w:widowControl/>
        <w:numPr>
          <w:ilvl w:val="0"/>
          <w:numId w:val="1"/>
        </w:numPr>
        <w:tabs>
          <w:tab w:val="left" w:pos="1620"/>
        </w:tabs>
        <w:wordWrap w:val="0"/>
        <w:snapToGrid w:val="0"/>
        <w:spacing w:line="312"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供应商资质要求：</w:t>
      </w:r>
    </w:p>
    <w:p>
      <w:pPr>
        <w:snapToGrid w:val="0"/>
        <w:spacing w:line="300" w:lineRule="auto"/>
        <w:ind w:left="567"/>
        <w:jc w:val="left"/>
        <w:rPr>
          <w:rFonts w:hint="eastAsia" w:ascii="宋体" w:hAnsi="宋体" w:eastAsia="宋体" w:cs="宋体"/>
          <w:sz w:val="24"/>
          <w:szCs w:val="24"/>
        </w:rPr>
      </w:pPr>
      <w:r>
        <w:rPr>
          <w:rFonts w:hint="eastAsia" w:ascii="宋体" w:hAnsi="宋体" w:eastAsia="宋体" w:cs="宋体"/>
          <w:bCs/>
          <w:kern w:val="0"/>
          <w:sz w:val="24"/>
          <w:szCs w:val="24"/>
        </w:rPr>
        <w:t>符合《中华人民共和国政府采购法》第二十二条规定，并提供以下材料：</w:t>
      </w:r>
    </w:p>
    <w:p>
      <w:pPr>
        <w:numPr>
          <w:ilvl w:val="0"/>
          <w:numId w:val="2"/>
        </w:numPr>
        <w:snapToGrid w:val="0"/>
        <w:spacing w:line="360" w:lineRule="auto"/>
        <w:ind w:left="-147" w:leftChars="0" w:firstLine="567" w:firstLineChars="0"/>
        <w:jc w:val="left"/>
        <w:rPr>
          <w:rFonts w:ascii="宋体" w:cs="宋体"/>
          <w:bCs/>
          <w:kern w:val="0"/>
          <w:sz w:val="24"/>
          <w:szCs w:val="24"/>
        </w:rPr>
      </w:pPr>
      <w:r>
        <w:rPr>
          <w:rFonts w:hint="eastAsia" w:ascii="宋体" w:hAnsi="宋体" w:cs="宋体"/>
          <w:bCs/>
          <w:kern w:val="0"/>
          <w:sz w:val="24"/>
          <w:szCs w:val="24"/>
        </w:rPr>
        <w:t>提供合格有效的法人或其他组织的营业执照等证明文件，自然人参与的提供其身份证原件；</w:t>
      </w:r>
      <w:r>
        <w:rPr>
          <w:rFonts w:ascii="宋体" w:hAnsi="宋体" w:cs="宋体"/>
          <w:bCs/>
          <w:kern w:val="0"/>
          <w:sz w:val="24"/>
          <w:szCs w:val="24"/>
        </w:rPr>
        <w:t xml:space="preserve">  </w:t>
      </w:r>
    </w:p>
    <w:p>
      <w:pPr>
        <w:numPr>
          <w:ilvl w:val="0"/>
          <w:numId w:val="2"/>
        </w:numPr>
        <w:snapToGrid w:val="0"/>
        <w:spacing w:line="360" w:lineRule="auto"/>
        <w:ind w:left="-147" w:leftChars="0" w:firstLine="567" w:firstLineChars="0"/>
        <w:jc w:val="left"/>
        <w:rPr>
          <w:rFonts w:ascii="宋体" w:hAnsi="宋体" w:cs="宋体"/>
          <w:bCs/>
          <w:kern w:val="0"/>
          <w:sz w:val="24"/>
          <w:szCs w:val="24"/>
        </w:rPr>
      </w:pPr>
      <w:r>
        <w:rPr>
          <w:rFonts w:hint="eastAsia" w:ascii="宋体" w:hAnsi="宋体" w:cs="宋体"/>
          <w:bCs/>
          <w:kern w:val="0"/>
          <w:sz w:val="24"/>
          <w:szCs w:val="24"/>
        </w:rPr>
        <w:t>社会保障资金缴纳证明：提供202</w:t>
      </w:r>
      <w:r>
        <w:rPr>
          <w:rFonts w:hint="eastAsia" w:ascii="宋体" w:hAnsi="宋体" w:cs="宋体"/>
          <w:bCs/>
          <w:kern w:val="0"/>
          <w:sz w:val="24"/>
          <w:szCs w:val="24"/>
          <w:lang w:val="en-US" w:eastAsia="zh-CN"/>
        </w:rPr>
        <w:t>3</w:t>
      </w:r>
      <w:r>
        <w:rPr>
          <w:rFonts w:hint="eastAsia" w:ascii="宋体" w:hAnsi="宋体" w:cs="宋体"/>
          <w:bCs/>
          <w:kern w:val="0"/>
          <w:sz w:val="24"/>
          <w:szCs w:val="24"/>
        </w:rPr>
        <w:t>年</w:t>
      </w:r>
      <w:r>
        <w:rPr>
          <w:rFonts w:hint="eastAsia" w:ascii="宋体" w:hAnsi="宋体" w:cs="宋体"/>
          <w:bCs/>
          <w:kern w:val="0"/>
          <w:sz w:val="24"/>
          <w:szCs w:val="24"/>
          <w:lang w:val="en-US" w:eastAsia="zh-CN"/>
        </w:rPr>
        <w:t>1</w:t>
      </w:r>
      <w:r>
        <w:rPr>
          <w:rFonts w:hint="eastAsia" w:ascii="宋体" w:hAnsi="宋体" w:cs="宋体"/>
          <w:bCs/>
          <w:kern w:val="0"/>
          <w:sz w:val="24"/>
          <w:szCs w:val="24"/>
        </w:rPr>
        <w:t>月至今已缴存的至少一个月的社会保障资金缴存单据或社保机构开具的社会保险参保缴费情况证明，单据或证明上应有社保机构或代收机构的公章；依法不需要缴纳社会保障资金的</w:t>
      </w:r>
      <w:r>
        <w:rPr>
          <w:rFonts w:hint="eastAsia" w:ascii="宋体" w:hAnsi="宋体" w:cs="宋体"/>
          <w:bCs/>
          <w:kern w:val="0"/>
          <w:sz w:val="24"/>
          <w:szCs w:val="24"/>
          <w:lang w:eastAsia="zh-CN"/>
        </w:rPr>
        <w:t>投标人</w:t>
      </w:r>
      <w:r>
        <w:rPr>
          <w:rFonts w:hint="eastAsia" w:ascii="宋体" w:hAnsi="宋体" w:cs="宋体"/>
          <w:bCs/>
          <w:kern w:val="0"/>
          <w:sz w:val="24"/>
          <w:szCs w:val="24"/>
        </w:rPr>
        <w:t>应提供相关文件证明；</w:t>
      </w:r>
    </w:p>
    <w:p>
      <w:pPr>
        <w:numPr>
          <w:ilvl w:val="0"/>
          <w:numId w:val="2"/>
        </w:numPr>
        <w:snapToGrid w:val="0"/>
        <w:spacing w:line="360" w:lineRule="auto"/>
        <w:ind w:left="-147" w:leftChars="0" w:firstLine="567" w:firstLineChars="0"/>
        <w:jc w:val="left"/>
        <w:rPr>
          <w:rFonts w:ascii="宋体" w:hAnsi="宋体" w:cs="宋体"/>
          <w:bCs/>
          <w:kern w:val="0"/>
          <w:sz w:val="24"/>
          <w:szCs w:val="24"/>
        </w:rPr>
      </w:pPr>
      <w:r>
        <w:rPr>
          <w:rFonts w:hint="eastAsia" w:ascii="宋体" w:hAnsi="宋体" w:cs="宋体"/>
          <w:bCs/>
          <w:kern w:val="0"/>
          <w:sz w:val="24"/>
          <w:szCs w:val="24"/>
        </w:rPr>
        <w:t>税收缴纳证明：提供202</w:t>
      </w:r>
      <w:r>
        <w:rPr>
          <w:rFonts w:hint="eastAsia" w:ascii="宋体" w:hAnsi="宋体" w:cs="宋体"/>
          <w:bCs/>
          <w:kern w:val="0"/>
          <w:sz w:val="24"/>
          <w:szCs w:val="24"/>
          <w:lang w:val="en-US" w:eastAsia="zh-CN"/>
        </w:rPr>
        <w:t>3</w:t>
      </w:r>
      <w:r>
        <w:rPr>
          <w:rFonts w:hint="eastAsia" w:ascii="宋体" w:hAnsi="宋体" w:cs="宋体"/>
          <w:bCs/>
          <w:kern w:val="0"/>
          <w:sz w:val="24"/>
          <w:szCs w:val="24"/>
        </w:rPr>
        <w:t>年1月至今已缴纳的至少一个月的纳税证明或完税证明；依法免税的单位应提供相关证明材料；</w:t>
      </w:r>
    </w:p>
    <w:p>
      <w:pPr>
        <w:numPr>
          <w:ilvl w:val="0"/>
          <w:numId w:val="2"/>
        </w:numPr>
        <w:snapToGrid w:val="0"/>
        <w:spacing w:line="360" w:lineRule="auto"/>
        <w:ind w:left="-147" w:leftChars="0" w:firstLine="567" w:firstLineChars="0"/>
        <w:jc w:val="left"/>
        <w:rPr>
          <w:rFonts w:ascii="宋体" w:hAnsi="宋体" w:cs="宋体"/>
          <w:bCs/>
          <w:kern w:val="0"/>
          <w:sz w:val="24"/>
          <w:szCs w:val="24"/>
        </w:rPr>
      </w:pPr>
      <w:r>
        <w:rPr>
          <w:rFonts w:hint="eastAsia" w:ascii="宋体" w:hAnsi="宋体" w:cs="宋体"/>
          <w:bCs/>
          <w:kern w:val="0"/>
          <w:sz w:val="24"/>
          <w:szCs w:val="24"/>
        </w:rPr>
        <w:t>财务状况证明：提供经会计师事务所审计的20</w:t>
      </w:r>
      <w:r>
        <w:rPr>
          <w:rFonts w:hint="eastAsia" w:ascii="宋体" w:hAnsi="宋体" w:cs="宋体"/>
          <w:bCs/>
          <w:kern w:val="0"/>
          <w:sz w:val="24"/>
          <w:szCs w:val="24"/>
          <w:lang w:val="en-US" w:eastAsia="zh-CN"/>
        </w:rPr>
        <w:t>22</w:t>
      </w:r>
      <w:r>
        <w:rPr>
          <w:rFonts w:hint="eastAsia" w:ascii="宋体" w:hAnsi="宋体" w:cs="宋体"/>
          <w:bCs/>
          <w:kern w:val="0"/>
          <w:sz w:val="24"/>
          <w:szCs w:val="24"/>
        </w:rPr>
        <w:t>年财务审计报告，或在开标日期前六个月内其基本开户银行出具的资信证明；</w:t>
      </w:r>
    </w:p>
    <w:p>
      <w:pPr>
        <w:numPr>
          <w:ilvl w:val="0"/>
          <w:numId w:val="2"/>
        </w:numPr>
        <w:snapToGrid w:val="0"/>
        <w:spacing w:line="360" w:lineRule="auto"/>
        <w:ind w:left="-147" w:leftChars="0" w:firstLine="567" w:firstLineChars="0"/>
        <w:jc w:val="left"/>
        <w:rPr>
          <w:rFonts w:ascii="宋体" w:hAnsi="宋体" w:cs="宋体"/>
          <w:bCs/>
          <w:kern w:val="0"/>
          <w:sz w:val="24"/>
          <w:szCs w:val="24"/>
        </w:rPr>
      </w:pPr>
      <w:r>
        <w:rPr>
          <w:rFonts w:hint="eastAsia" w:ascii="宋体" w:hAnsi="宋体" w:cs="宋体"/>
          <w:bCs/>
          <w:kern w:val="0"/>
          <w:sz w:val="24"/>
          <w:szCs w:val="24"/>
          <w:lang w:val="en-US" w:eastAsia="zh-CN"/>
        </w:rPr>
        <w:t>供应商</w:t>
      </w:r>
      <w:r>
        <w:rPr>
          <w:rFonts w:hint="eastAsia" w:ascii="宋体" w:hAnsi="宋体" w:cs="宋体"/>
          <w:bCs/>
          <w:kern w:val="0"/>
          <w:sz w:val="24"/>
          <w:szCs w:val="24"/>
        </w:rPr>
        <w:t>信誉证明：提供在参加政府采购活动前3年内在经营活动中没有重大违法记录，</w:t>
      </w:r>
      <w:r>
        <w:rPr>
          <w:rFonts w:hint="eastAsia" w:ascii="宋体" w:hAnsi="宋体" w:cs="宋体"/>
          <w:kern w:val="0"/>
          <w:sz w:val="24"/>
        </w:rPr>
        <w:t>未被信用中国网（www.creditchina.gov.cn）列入失信被执行人、重大税收违法案件当事人名单，未被中国政府采购网（www.ccgp.gov.cn）列入政府采购严重违法失信行为记录名单的书面声明</w:t>
      </w:r>
      <w:r>
        <w:rPr>
          <w:rFonts w:hint="eastAsia" w:ascii="宋体" w:hAnsi="宋体" w:cs="宋体"/>
          <w:bCs/>
          <w:kern w:val="0"/>
          <w:sz w:val="24"/>
          <w:szCs w:val="24"/>
        </w:rPr>
        <w:t xml:space="preserve">； </w:t>
      </w:r>
    </w:p>
    <w:p>
      <w:pPr>
        <w:numPr>
          <w:ilvl w:val="0"/>
          <w:numId w:val="2"/>
        </w:numPr>
        <w:snapToGrid w:val="0"/>
        <w:spacing w:line="360" w:lineRule="auto"/>
        <w:ind w:left="-147" w:leftChars="0" w:firstLine="567" w:firstLineChars="0"/>
        <w:jc w:val="left"/>
        <w:rPr>
          <w:rFonts w:ascii="宋体" w:hAnsi="宋体" w:cs="宋体"/>
          <w:bCs/>
          <w:kern w:val="0"/>
          <w:sz w:val="24"/>
          <w:szCs w:val="24"/>
        </w:rPr>
      </w:pPr>
      <w:r>
        <w:rPr>
          <w:rFonts w:hint="eastAsia" w:ascii="宋体" w:hAnsi="宋体" w:cs="宋体"/>
          <w:bCs/>
          <w:kern w:val="0"/>
          <w:sz w:val="24"/>
          <w:szCs w:val="24"/>
        </w:rPr>
        <w:t>非法定代表人参加</w:t>
      </w:r>
      <w:r>
        <w:rPr>
          <w:rFonts w:hint="eastAsia" w:ascii="宋体" w:hAnsi="宋体" w:cs="宋体"/>
          <w:bCs/>
          <w:kern w:val="0"/>
          <w:sz w:val="24"/>
          <w:szCs w:val="24"/>
          <w:lang w:val="en-US" w:eastAsia="zh-CN"/>
        </w:rPr>
        <w:t>谈判</w:t>
      </w:r>
      <w:r>
        <w:rPr>
          <w:rFonts w:hint="eastAsia" w:ascii="宋体" w:hAnsi="宋体" w:cs="宋体"/>
          <w:bCs/>
          <w:kern w:val="0"/>
          <w:sz w:val="24"/>
          <w:szCs w:val="24"/>
        </w:rPr>
        <w:t>的，须提供法定代表人授权委托书及被授权人身份证原件；法定代表人参加</w:t>
      </w:r>
      <w:r>
        <w:rPr>
          <w:rFonts w:hint="eastAsia" w:ascii="宋体" w:hAnsi="宋体" w:cs="宋体"/>
          <w:bCs/>
          <w:kern w:val="0"/>
          <w:sz w:val="24"/>
          <w:szCs w:val="24"/>
          <w:lang w:val="en-US" w:eastAsia="zh-CN"/>
        </w:rPr>
        <w:t>谈判</w:t>
      </w:r>
      <w:r>
        <w:rPr>
          <w:rFonts w:hint="eastAsia" w:ascii="宋体" w:hAnsi="宋体" w:cs="宋体"/>
          <w:bCs/>
          <w:kern w:val="0"/>
          <w:sz w:val="24"/>
          <w:szCs w:val="24"/>
        </w:rPr>
        <w:t>时,只须提供法定代表人身份证原件；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Cs/>
          <w:kern w:val="0"/>
          <w:sz w:val="24"/>
          <w:szCs w:val="24"/>
          <w:lang w:val="en-US" w:eastAsia="zh-CN"/>
        </w:rPr>
      </w:pPr>
      <w:r>
        <w:rPr>
          <w:rFonts w:hint="eastAsia" w:ascii="宋体" w:hAnsi="宋体" w:eastAsia="宋体" w:cs="宋体"/>
          <w:sz w:val="24"/>
          <w:szCs w:val="24"/>
          <w:highlight w:val="none"/>
          <w:lang w:val="en-US" w:eastAsia="zh-CN" w:bidi="ar-SA"/>
        </w:rPr>
        <w:t>7、</w:t>
      </w:r>
      <w:r>
        <w:rPr>
          <w:rFonts w:hint="eastAsia" w:ascii="宋体" w:hAnsi="宋体" w:eastAsia="宋体" w:cs="宋体"/>
          <w:bCs/>
          <w:kern w:val="0"/>
          <w:sz w:val="24"/>
          <w:szCs w:val="24"/>
        </w:rPr>
        <w:t>本项目不接受联合体</w:t>
      </w:r>
      <w:r>
        <w:rPr>
          <w:rFonts w:hint="eastAsia" w:ascii="宋体" w:hAnsi="宋体" w:eastAsia="宋体" w:cs="宋体"/>
          <w:bCs/>
          <w:kern w:val="0"/>
          <w:sz w:val="24"/>
          <w:szCs w:val="24"/>
          <w:lang w:val="en-US" w:eastAsia="zh-CN"/>
        </w:rPr>
        <w:t>谈判</w:t>
      </w:r>
      <w:r>
        <w:rPr>
          <w:rFonts w:hint="eastAsia" w:ascii="宋体" w:hAnsi="宋体" w:eastAsia="宋体" w:cs="宋体"/>
          <w:bCs/>
          <w:kern w:val="0"/>
          <w:sz w:val="24"/>
          <w:szCs w:val="24"/>
        </w:rPr>
        <w:t>。</w:t>
      </w:r>
    </w:p>
    <w:p>
      <w:pPr>
        <w:widowControl/>
        <w:numPr>
          <w:ilvl w:val="0"/>
          <w:numId w:val="1"/>
        </w:numPr>
        <w:tabs>
          <w:tab w:val="left" w:pos="1620"/>
        </w:tabs>
        <w:wordWrap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采购项目需要落实的政府采购政策：</w:t>
      </w:r>
    </w:p>
    <w:p>
      <w:pPr>
        <w:snapToGrid w:val="0"/>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本次采购若符合政府强制</w:t>
      </w:r>
      <w:r>
        <w:rPr>
          <w:rFonts w:hint="eastAsia" w:ascii="宋体" w:hAnsi="宋体" w:cs="宋体"/>
          <w:kern w:val="0"/>
          <w:sz w:val="24"/>
          <w:szCs w:val="24"/>
        </w:rPr>
        <w:t>采购节能产品、鼓励环保产品、促进残疾人就业、扶持福利企业、支持中小微企业、支持监狱和戒毒企业、限制采购进口产品等政策，将落实相关政策，具体详见招标文</w:t>
      </w:r>
      <w:r>
        <w:rPr>
          <w:rFonts w:hint="eastAsia" w:ascii="宋体" w:hAnsi="宋体" w:cs="宋体"/>
          <w:bCs/>
          <w:kern w:val="0"/>
          <w:sz w:val="24"/>
          <w:szCs w:val="24"/>
        </w:rPr>
        <w:t>件。</w:t>
      </w:r>
    </w:p>
    <w:p>
      <w:pPr>
        <w:snapToGrid w:val="0"/>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（1）《政府采购促进中小企业发展管理办法》财库〔2020〕46号；</w:t>
      </w:r>
    </w:p>
    <w:p>
      <w:pPr>
        <w:snapToGrid w:val="0"/>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（2）《关于进一步加大政府采购支持中小企业力度的通知》（财库〔2022〕19号）；</w:t>
      </w:r>
    </w:p>
    <w:p>
      <w:pPr>
        <w:snapToGrid w:val="0"/>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（3）《财政部司法部关于政府采购支持监狱企业发展有关问题的通知》财库[2014]68号；</w:t>
      </w:r>
    </w:p>
    <w:p>
      <w:pPr>
        <w:snapToGrid w:val="0"/>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（4）《三部门联合发布关于促进残疾人就业政府采购政策的通知》（财库[2017]141号）；</w:t>
      </w:r>
    </w:p>
    <w:p>
      <w:pPr>
        <w:snapToGrid w:val="0"/>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（5）《财政部发展改革委生态环境部市场监管总局关于调整优化节能产品、环境标志产品政府采购执行机制的通知》（财库〔2019〕9号）；</w:t>
      </w:r>
    </w:p>
    <w:p>
      <w:pPr>
        <w:snapToGrid w:val="0"/>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（6）《财政部国家发展改革委关于印发〈节能产品政府采购实施意见〉的通知》（财库[2004]185号）；</w:t>
      </w:r>
    </w:p>
    <w:p>
      <w:pPr>
        <w:snapToGrid w:val="0"/>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（7）《财政部环保总局关于环境标志产品政府采购实施的意见》财库[2006]90号；</w:t>
      </w:r>
    </w:p>
    <w:p>
      <w:pPr>
        <w:snapToGrid w:val="0"/>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（8）《陕西省中小企业政府采购信用融资办法》（陕财办采〔2018〕23号）；</w:t>
      </w:r>
    </w:p>
    <w:p>
      <w:pPr>
        <w:snapToGrid w:val="0"/>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（9）《国务院办公厅关于建立政府强制采购节能产品制度的通知》（国办发〔2007〕51号）；</w:t>
      </w:r>
    </w:p>
    <w:p>
      <w:pPr>
        <w:snapToGrid w:val="0"/>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（10）《财政部农业农村部国家乡村振兴局关于运用政府采购政策支持乡村产业振兴的通知》（财库〔2021〕19 号）；</w:t>
      </w:r>
    </w:p>
    <w:p>
      <w:pPr>
        <w:snapToGrid w:val="0"/>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（11）《财政部住房城乡建设部工业和信息化部关于扩大政府采购绿色建材促进建筑品质提升政策实施范围的通知》（财库〔2022〕35号）；</w:t>
      </w:r>
    </w:p>
    <w:p>
      <w:pPr>
        <w:snapToGrid w:val="0"/>
        <w:spacing w:line="360" w:lineRule="auto"/>
        <w:ind w:firstLine="480" w:firstLineChars="200"/>
        <w:jc w:val="left"/>
        <w:rPr>
          <w:rFonts w:ascii="宋体" w:hAnsi="宋体" w:eastAsia="宋体" w:cs="宋体"/>
          <w:bCs/>
          <w:kern w:val="0"/>
          <w:sz w:val="24"/>
          <w:szCs w:val="24"/>
        </w:rPr>
      </w:pPr>
      <w:r>
        <w:rPr>
          <w:rFonts w:hint="eastAsia" w:ascii="宋体" w:hAnsi="宋体" w:cs="宋体"/>
          <w:bCs/>
          <w:kern w:val="0"/>
          <w:sz w:val="24"/>
          <w:szCs w:val="24"/>
        </w:rPr>
        <w:t>（12）其他需要落实的政府采购政策；</w:t>
      </w:r>
    </w:p>
    <w:p>
      <w:pPr>
        <w:widowControl/>
        <w:numPr>
          <w:ilvl w:val="0"/>
          <w:numId w:val="1"/>
        </w:numPr>
        <w:shd w:val="clear"/>
        <w:tabs>
          <w:tab w:val="left" w:pos="1620"/>
        </w:tabs>
        <w:wordWrap w:val="0"/>
        <w:snapToGrid w:val="0"/>
        <w:spacing w:line="312"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竞争性谈判文件</w:t>
      </w:r>
      <w:r>
        <w:rPr>
          <w:rFonts w:hint="eastAsia" w:ascii="宋体" w:hAnsi="宋体" w:eastAsia="宋体" w:cs="宋体"/>
          <w:color w:val="auto"/>
          <w:kern w:val="0"/>
          <w:sz w:val="24"/>
          <w:szCs w:val="24"/>
          <w:highlight w:val="none"/>
          <w:lang w:val="en-US" w:eastAsia="zh-CN"/>
        </w:rPr>
        <w:t>售卖</w:t>
      </w:r>
      <w:r>
        <w:rPr>
          <w:rFonts w:hint="eastAsia" w:ascii="宋体" w:hAnsi="宋体" w:eastAsia="宋体" w:cs="宋体"/>
          <w:color w:val="auto"/>
          <w:kern w:val="0"/>
          <w:sz w:val="24"/>
          <w:szCs w:val="24"/>
          <w:highlight w:val="none"/>
        </w:rPr>
        <w:t>：</w:t>
      </w:r>
    </w:p>
    <w:p>
      <w:pPr>
        <w:widowControl/>
        <w:shd w:val="clear"/>
        <w:wordWrap w:val="0"/>
        <w:snapToGrid w:val="0"/>
        <w:spacing w:line="300" w:lineRule="auto"/>
        <w:ind w:firstLine="720" w:firstLineChars="3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售卖</w:t>
      </w:r>
      <w:r>
        <w:rPr>
          <w:rFonts w:hint="eastAsia" w:ascii="宋体" w:hAnsi="宋体" w:eastAsia="宋体" w:cs="宋体"/>
          <w:color w:val="auto"/>
          <w:sz w:val="24"/>
          <w:szCs w:val="24"/>
          <w:highlight w:val="none"/>
        </w:rPr>
        <w:t>时间：</w:t>
      </w:r>
      <w:r>
        <w:rPr>
          <w:rFonts w:hint="eastAsia" w:ascii="宋体" w:hAnsi="宋体" w:eastAsia="宋体" w:cs="宋体"/>
          <w:b/>
          <w:bCs/>
          <w:color w:val="auto"/>
          <w:sz w:val="24"/>
          <w:szCs w:val="24"/>
          <w:highlight w:val="none"/>
        </w:rPr>
        <w:t>20</w:t>
      </w:r>
      <w:r>
        <w:rPr>
          <w:rFonts w:hint="eastAsia" w:ascii="宋体" w:hAnsi="宋体" w:eastAsia="宋体" w:cs="宋体"/>
          <w:b/>
          <w:bCs/>
          <w:color w:val="auto"/>
          <w:sz w:val="24"/>
          <w:szCs w:val="24"/>
          <w:highlight w:val="none"/>
          <w:lang w:val="en-US" w:eastAsia="zh-CN"/>
        </w:rPr>
        <w:t>24</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01</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04日</w:t>
      </w:r>
      <w:r>
        <w:rPr>
          <w:rFonts w:hint="eastAsia" w:ascii="宋体" w:hAnsi="宋体" w:eastAsia="宋体" w:cs="宋体"/>
          <w:b/>
          <w:bCs/>
          <w:color w:val="auto"/>
          <w:sz w:val="24"/>
          <w:szCs w:val="24"/>
          <w:highlight w:val="none"/>
        </w:rPr>
        <w:t>至20</w:t>
      </w:r>
      <w:r>
        <w:rPr>
          <w:rFonts w:hint="eastAsia" w:ascii="宋体" w:hAnsi="宋体" w:eastAsia="宋体" w:cs="宋体"/>
          <w:b/>
          <w:bCs/>
          <w:color w:val="auto"/>
          <w:sz w:val="24"/>
          <w:szCs w:val="24"/>
          <w:highlight w:val="none"/>
          <w:lang w:val="en-US" w:eastAsia="zh-CN"/>
        </w:rPr>
        <w:t>24</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01</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09</w:t>
      </w:r>
      <w:r>
        <w:rPr>
          <w:rFonts w:hint="eastAsia" w:ascii="宋体" w:hAnsi="宋体" w:eastAsia="宋体" w:cs="宋体"/>
          <w:b/>
          <w:bCs/>
          <w:color w:val="auto"/>
          <w:sz w:val="24"/>
          <w:szCs w:val="24"/>
          <w:highlight w:val="none"/>
        </w:rPr>
        <w:t>日</w:t>
      </w:r>
      <w:r>
        <w:rPr>
          <w:rFonts w:hint="eastAsia" w:ascii="宋体" w:hAnsi="宋体" w:eastAsia="宋体" w:cs="宋体"/>
          <w:color w:val="auto"/>
          <w:sz w:val="24"/>
          <w:szCs w:val="24"/>
          <w:highlight w:val="none"/>
        </w:rPr>
        <w:t>止。</w:t>
      </w:r>
    </w:p>
    <w:p>
      <w:pPr>
        <w:widowControl/>
        <w:shd w:val="clear"/>
        <w:wordWrap w:val="0"/>
        <w:snapToGrid w:val="0"/>
        <w:spacing w:line="300" w:lineRule="auto"/>
        <w:ind w:firstLine="480" w:firstLineChars="200"/>
        <w:jc w:val="left"/>
        <w:rPr>
          <w:rFonts w:asciiTheme="minorEastAsia" w:hAnsiTheme="minorEastAsia" w:cstheme="minorEastAsia"/>
          <w:color w:val="auto"/>
          <w:sz w:val="24"/>
          <w:szCs w:val="24"/>
          <w:highlight w:val="none"/>
        </w:rPr>
      </w:pPr>
      <w:r>
        <w:rPr>
          <w:rFonts w:hint="eastAsia" w:ascii="宋体" w:hAnsi="宋体" w:eastAsia="宋体" w:cs="宋体"/>
          <w:color w:val="auto"/>
          <w:kern w:val="0"/>
          <w:sz w:val="24"/>
          <w:szCs w:val="24"/>
          <w:highlight w:val="none"/>
        </w:rPr>
        <w:t>（上午09:00～12:00，下午14:00～17:00发售,法定节假日除外）。</w:t>
      </w:r>
    </w:p>
    <w:p>
      <w:pPr>
        <w:widowControl/>
        <w:shd w:val="clear"/>
        <w:wordWrap w:val="0"/>
        <w:snapToGrid w:val="0"/>
        <w:spacing w:line="360" w:lineRule="auto"/>
        <w:ind w:firstLine="720" w:firstLineChars="300"/>
        <w:jc w:val="left"/>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2、</w:t>
      </w:r>
      <w:r>
        <w:rPr>
          <w:rFonts w:hint="eastAsia" w:asciiTheme="minorEastAsia" w:hAnsiTheme="minorEastAsia" w:cstheme="minorEastAsia"/>
          <w:color w:val="auto"/>
          <w:kern w:val="0"/>
          <w:sz w:val="24"/>
          <w:szCs w:val="24"/>
          <w:highlight w:val="none"/>
          <w:lang w:eastAsia="zh-CN"/>
        </w:rPr>
        <w:t>领取</w:t>
      </w:r>
      <w:r>
        <w:rPr>
          <w:rFonts w:hint="eastAsia" w:asciiTheme="minorEastAsia" w:hAnsiTheme="minorEastAsia" w:cstheme="minorEastAsia"/>
          <w:color w:val="auto"/>
          <w:kern w:val="0"/>
          <w:sz w:val="24"/>
          <w:szCs w:val="24"/>
          <w:highlight w:val="none"/>
        </w:rPr>
        <w:t>地点：西安市莲湖区西关正街英达大厦1507室</w:t>
      </w:r>
    </w:p>
    <w:p>
      <w:pPr>
        <w:widowControl/>
        <w:shd w:val="clear"/>
        <w:wordWrap w:val="0"/>
        <w:snapToGrid w:val="0"/>
        <w:spacing w:line="360" w:lineRule="auto"/>
        <w:ind w:firstLine="720" w:firstLineChars="300"/>
        <w:jc w:val="left"/>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3、文件售价：¥</w:t>
      </w:r>
      <w:r>
        <w:rPr>
          <w:rFonts w:hint="eastAsia" w:asciiTheme="minorEastAsia" w:hAnsiTheme="minorEastAsia" w:cstheme="minorEastAsia"/>
          <w:color w:val="auto"/>
          <w:kern w:val="0"/>
          <w:sz w:val="24"/>
          <w:szCs w:val="24"/>
          <w:highlight w:val="none"/>
          <w:lang w:val="en-US" w:eastAsia="zh-CN"/>
        </w:rPr>
        <w:t>50</w:t>
      </w:r>
      <w:r>
        <w:rPr>
          <w:rFonts w:hint="eastAsia" w:asciiTheme="minorEastAsia" w:hAnsiTheme="minorEastAsia" w:cstheme="minorEastAsia"/>
          <w:color w:val="auto"/>
          <w:kern w:val="0"/>
          <w:sz w:val="24"/>
          <w:szCs w:val="24"/>
          <w:highlight w:val="none"/>
        </w:rPr>
        <w:t>0元/套。谢绝邮寄。</w:t>
      </w:r>
    </w:p>
    <w:p>
      <w:pPr>
        <w:widowControl/>
        <w:shd w:val="clear"/>
        <w:tabs>
          <w:tab w:val="left" w:pos="1620"/>
        </w:tabs>
        <w:wordWrap w:val="0"/>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cstheme="minorEastAsia"/>
          <w:color w:val="auto"/>
          <w:kern w:val="0"/>
          <w:sz w:val="24"/>
          <w:szCs w:val="24"/>
          <w:highlight w:val="none"/>
        </w:rPr>
        <w:t>注：（1）</w:t>
      </w:r>
      <w:r>
        <w:rPr>
          <w:rFonts w:hint="eastAsia" w:asciiTheme="minorEastAsia" w:hAnsiTheme="minorEastAsia" w:cstheme="minorEastAsia"/>
          <w:color w:val="auto"/>
          <w:kern w:val="0"/>
          <w:sz w:val="24"/>
          <w:szCs w:val="24"/>
          <w:highlight w:val="none"/>
          <w:lang w:eastAsia="zh-CN"/>
        </w:rPr>
        <w:t>供应商</w:t>
      </w:r>
      <w:r>
        <w:rPr>
          <w:rFonts w:hint="eastAsia" w:asciiTheme="minorEastAsia" w:hAnsiTheme="minorEastAsia" w:cstheme="minorEastAsia"/>
          <w:color w:val="auto"/>
          <w:kern w:val="0"/>
          <w:sz w:val="24"/>
          <w:szCs w:val="24"/>
          <w:highlight w:val="none"/>
        </w:rPr>
        <w:t>领取标书时，请携带单位介绍信及经办人身份证原件及复印件加盖公章；（2）请</w:t>
      </w:r>
      <w:r>
        <w:rPr>
          <w:rFonts w:hint="eastAsia" w:asciiTheme="minorEastAsia" w:hAnsiTheme="minorEastAsia" w:cstheme="minorEastAsia"/>
          <w:color w:val="auto"/>
          <w:kern w:val="0"/>
          <w:sz w:val="24"/>
          <w:szCs w:val="24"/>
          <w:highlight w:val="none"/>
          <w:lang w:eastAsia="zh-CN"/>
        </w:rPr>
        <w:t>供应商</w:t>
      </w:r>
      <w:r>
        <w:rPr>
          <w:rFonts w:hint="eastAsia" w:asciiTheme="minorEastAsia" w:hAnsiTheme="minorEastAsia" w:cstheme="minorEastAsia"/>
          <w:color w:val="auto"/>
          <w:kern w:val="0"/>
          <w:sz w:val="24"/>
          <w:szCs w:val="24"/>
          <w:highlight w:val="none"/>
        </w:rPr>
        <w:t>按照《陕西省财政厅关于政府采购供应商注册登记有关事项的通知》中的要求，通过陕西省政府采购网（http://www.ccgp-shaanxi.gov.cn/）注册登记加入陕西省政府采购供应商库。</w:t>
      </w:r>
    </w:p>
    <w:p>
      <w:pPr>
        <w:widowControl/>
        <w:numPr>
          <w:ilvl w:val="0"/>
          <w:numId w:val="1"/>
        </w:numPr>
        <w:shd w:val="clear"/>
        <w:tabs>
          <w:tab w:val="left" w:pos="1620"/>
        </w:tabs>
        <w:wordWrap w:val="0"/>
        <w:snapToGrid w:val="0"/>
        <w:spacing w:line="360" w:lineRule="auto"/>
        <w:ind w:firstLine="480" w:firstLineChars="200"/>
        <w:jc w:val="left"/>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投标文件递交截止时间及开标时间和地点：</w:t>
      </w:r>
    </w:p>
    <w:p>
      <w:pPr>
        <w:widowControl/>
        <w:shd w:val="clear"/>
        <w:tabs>
          <w:tab w:val="left" w:pos="0"/>
        </w:tabs>
        <w:wordWrap w:val="0"/>
        <w:snapToGrid w:val="0"/>
        <w:spacing w:line="312"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1、谈判响应文件递交截止时间：</w:t>
      </w:r>
      <w:r>
        <w:rPr>
          <w:rFonts w:hint="eastAsia" w:ascii="宋体" w:hAnsi="宋体" w:eastAsia="宋体" w:cs="宋体"/>
          <w:b/>
          <w:bCs/>
          <w:color w:val="auto"/>
          <w:kern w:val="0"/>
          <w:sz w:val="24"/>
          <w:szCs w:val="24"/>
          <w:highlight w:val="none"/>
        </w:rPr>
        <w:t>20</w:t>
      </w:r>
      <w:r>
        <w:rPr>
          <w:rFonts w:hint="eastAsia" w:ascii="宋体" w:hAnsi="宋体" w:eastAsia="宋体" w:cs="宋体"/>
          <w:b/>
          <w:bCs/>
          <w:color w:val="auto"/>
          <w:kern w:val="0"/>
          <w:sz w:val="24"/>
          <w:szCs w:val="24"/>
          <w:highlight w:val="none"/>
          <w:lang w:val="en-US" w:eastAsia="zh-CN"/>
        </w:rPr>
        <w:t>24</w:t>
      </w:r>
      <w:r>
        <w:rPr>
          <w:rFonts w:hint="eastAsia" w:ascii="宋体" w:hAnsi="宋体" w:eastAsia="宋体" w:cs="宋体"/>
          <w:b/>
          <w:bCs/>
          <w:color w:val="auto"/>
          <w:kern w:val="0"/>
          <w:sz w:val="24"/>
          <w:szCs w:val="24"/>
          <w:highlight w:val="none"/>
        </w:rPr>
        <w:t>年</w:t>
      </w:r>
      <w:r>
        <w:rPr>
          <w:rFonts w:hint="eastAsia" w:ascii="宋体" w:hAnsi="宋体" w:eastAsia="宋体" w:cs="宋体"/>
          <w:b/>
          <w:bCs/>
          <w:color w:val="auto"/>
          <w:sz w:val="24"/>
          <w:szCs w:val="24"/>
          <w:highlight w:val="none"/>
          <w:lang w:val="en-US" w:eastAsia="zh-CN"/>
        </w:rPr>
        <w:t>01</w:t>
      </w:r>
      <w:r>
        <w:rPr>
          <w:rFonts w:hint="eastAsia" w:ascii="宋体" w:hAnsi="宋体" w:eastAsia="宋体" w:cs="宋体"/>
          <w:b/>
          <w:bCs/>
          <w:color w:val="auto"/>
          <w:kern w:val="0"/>
          <w:sz w:val="24"/>
          <w:szCs w:val="24"/>
          <w:highlight w:val="none"/>
        </w:rPr>
        <w:t>月</w:t>
      </w:r>
      <w:r>
        <w:rPr>
          <w:rFonts w:hint="eastAsia" w:ascii="宋体" w:hAnsi="宋体" w:eastAsia="宋体" w:cs="宋体"/>
          <w:b/>
          <w:bCs/>
          <w:color w:val="auto"/>
          <w:kern w:val="0"/>
          <w:sz w:val="24"/>
          <w:szCs w:val="24"/>
          <w:highlight w:val="none"/>
          <w:lang w:val="en-US" w:eastAsia="zh-CN"/>
        </w:rPr>
        <w:t>17</w:t>
      </w:r>
      <w:r>
        <w:rPr>
          <w:rFonts w:hint="eastAsia" w:ascii="宋体" w:hAnsi="宋体" w:eastAsia="宋体" w:cs="宋体"/>
          <w:b/>
          <w:bCs/>
          <w:color w:val="auto"/>
          <w:kern w:val="0"/>
          <w:sz w:val="24"/>
          <w:szCs w:val="24"/>
          <w:highlight w:val="none"/>
        </w:rPr>
        <w:t>日</w:t>
      </w:r>
      <w:r>
        <w:rPr>
          <w:rFonts w:hint="eastAsia" w:ascii="宋体" w:hAnsi="宋体" w:eastAsia="宋体" w:cs="宋体"/>
          <w:b/>
          <w:bCs/>
          <w:color w:val="auto"/>
          <w:kern w:val="0"/>
          <w:sz w:val="24"/>
          <w:szCs w:val="24"/>
          <w:highlight w:val="none"/>
          <w:lang w:val="en-US" w:eastAsia="zh-CN"/>
        </w:rPr>
        <w:t>09：</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0</w:t>
      </w:r>
    </w:p>
    <w:p>
      <w:pPr>
        <w:widowControl/>
        <w:shd w:val="clear"/>
        <w:tabs>
          <w:tab w:val="left" w:pos="1620"/>
        </w:tabs>
        <w:wordWrap w:val="0"/>
        <w:snapToGrid w:val="0"/>
        <w:spacing w:line="312" w:lineRule="auto"/>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rPr>
        <w:t>2、谈判时间：</w:t>
      </w:r>
      <w:r>
        <w:rPr>
          <w:rFonts w:hint="eastAsia" w:ascii="宋体" w:hAnsi="宋体" w:eastAsia="宋体" w:cs="宋体"/>
          <w:b/>
          <w:bCs/>
          <w:color w:val="auto"/>
          <w:kern w:val="0"/>
          <w:sz w:val="24"/>
          <w:szCs w:val="24"/>
          <w:highlight w:val="none"/>
        </w:rPr>
        <w:t>20</w:t>
      </w:r>
      <w:r>
        <w:rPr>
          <w:rFonts w:hint="eastAsia" w:ascii="宋体" w:hAnsi="宋体" w:eastAsia="宋体" w:cs="宋体"/>
          <w:b/>
          <w:bCs/>
          <w:color w:val="auto"/>
          <w:kern w:val="0"/>
          <w:sz w:val="24"/>
          <w:szCs w:val="24"/>
          <w:highlight w:val="none"/>
          <w:lang w:val="en-US" w:eastAsia="zh-CN"/>
        </w:rPr>
        <w:t>24</w:t>
      </w:r>
      <w:r>
        <w:rPr>
          <w:rFonts w:hint="eastAsia" w:ascii="宋体" w:hAnsi="宋体" w:eastAsia="宋体" w:cs="宋体"/>
          <w:b/>
          <w:bCs/>
          <w:color w:val="auto"/>
          <w:kern w:val="0"/>
          <w:sz w:val="24"/>
          <w:szCs w:val="24"/>
          <w:highlight w:val="none"/>
        </w:rPr>
        <w:t>年</w:t>
      </w:r>
      <w:r>
        <w:rPr>
          <w:rFonts w:hint="eastAsia" w:ascii="宋体" w:hAnsi="宋体" w:eastAsia="宋体" w:cs="宋体"/>
          <w:b/>
          <w:bCs/>
          <w:color w:val="auto"/>
          <w:kern w:val="0"/>
          <w:sz w:val="24"/>
          <w:szCs w:val="24"/>
          <w:highlight w:val="none"/>
          <w:lang w:val="en-US" w:eastAsia="zh-CN"/>
        </w:rPr>
        <w:t>01</w:t>
      </w:r>
      <w:r>
        <w:rPr>
          <w:rFonts w:hint="eastAsia" w:ascii="宋体" w:hAnsi="宋体" w:eastAsia="宋体" w:cs="宋体"/>
          <w:b/>
          <w:bCs/>
          <w:color w:val="auto"/>
          <w:kern w:val="0"/>
          <w:sz w:val="24"/>
          <w:szCs w:val="24"/>
          <w:highlight w:val="none"/>
        </w:rPr>
        <w:t>月</w:t>
      </w:r>
      <w:r>
        <w:rPr>
          <w:rFonts w:hint="eastAsia" w:ascii="宋体" w:hAnsi="宋体" w:eastAsia="宋体" w:cs="宋体"/>
          <w:b/>
          <w:bCs/>
          <w:color w:val="auto"/>
          <w:kern w:val="0"/>
          <w:sz w:val="24"/>
          <w:szCs w:val="24"/>
          <w:highlight w:val="none"/>
          <w:lang w:val="en-US" w:eastAsia="zh-CN"/>
        </w:rPr>
        <w:t>17</w:t>
      </w:r>
      <w:r>
        <w:rPr>
          <w:rFonts w:hint="eastAsia" w:ascii="宋体" w:hAnsi="宋体" w:eastAsia="宋体" w:cs="宋体"/>
          <w:b/>
          <w:bCs/>
          <w:color w:val="auto"/>
          <w:kern w:val="0"/>
          <w:sz w:val="24"/>
          <w:szCs w:val="24"/>
          <w:highlight w:val="none"/>
        </w:rPr>
        <w:t>日</w:t>
      </w:r>
      <w:r>
        <w:rPr>
          <w:rFonts w:hint="eastAsia" w:ascii="宋体" w:hAnsi="宋体" w:eastAsia="宋体" w:cs="宋体"/>
          <w:b/>
          <w:bCs/>
          <w:color w:val="auto"/>
          <w:kern w:val="0"/>
          <w:sz w:val="24"/>
          <w:szCs w:val="24"/>
          <w:highlight w:val="none"/>
          <w:lang w:val="en-US" w:eastAsia="zh-CN"/>
        </w:rPr>
        <w:t>09</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0</w:t>
      </w:r>
    </w:p>
    <w:p>
      <w:pPr>
        <w:widowControl/>
        <w:shd w:val="clear"/>
        <w:tabs>
          <w:tab w:val="left" w:pos="1620"/>
        </w:tabs>
        <w:wordWrap w:val="0"/>
        <w:snapToGrid w:val="0"/>
        <w:spacing w:line="312"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3、谈判地点：西安市莲湖区西关正街英达大厦1503会议室。</w:t>
      </w:r>
    </w:p>
    <w:p>
      <w:pPr>
        <w:widowControl/>
        <w:numPr>
          <w:ilvl w:val="0"/>
          <w:numId w:val="1"/>
        </w:numPr>
        <w:shd w:val="clear"/>
        <w:tabs>
          <w:tab w:val="left" w:pos="1620"/>
        </w:tabs>
        <w:wordWrap w:val="0"/>
        <w:snapToGrid w:val="0"/>
        <w:spacing w:line="312"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其它应说明的事项：</w:t>
      </w:r>
    </w:p>
    <w:p>
      <w:pPr>
        <w:widowControl/>
        <w:shd w:val="clear"/>
        <w:wordWrap w:val="0"/>
        <w:snapToGrid w:val="0"/>
        <w:spacing w:line="312"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1、采购项目联系人：</w:t>
      </w:r>
      <w:r>
        <w:rPr>
          <w:rFonts w:hint="eastAsia" w:ascii="宋体" w:hAnsi="宋体" w:eastAsia="宋体" w:cs="宋体"/>
          <w:color w:val="auto"/>
          <w:kern w:val="0"/>
          <w:sz w:val="24"/>
          <w:szCs w:val="24"/>
          <w:highlight w:val="none"/>
          <w:lang w:val="en-US" w:eastAsia="zh-CN"/>
        </w:rPr>
        <w:t>崔方明</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许芳芳 陈晓航</w:t>
      </w:r>
    </w:p>
    <w:p>
      <w:pPr>
        <w:widowControl/>
        <w:shd w:val="clear"/>
        <w:wordWrap w:val="0"/>
        <w:snapToGrid w:val="0"/>
        <w:spacing w:line="312" w:lineRule="auto"/>
        <w:ind w:firstLine="720" w:firstLineChars="3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联系方式（电话/传真）：029-88319689-804/811</w:t>
      </w:r>
    </w:p>
    <w:p>
      <w:pPr>
        <w:widowControl/>
        <w:shd w:val="clear"/>
        <w:wordWrap w:val="0"/>
        <w:snapToGrid w:val="0"/>
        <w:spacing w:line="312"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2、采购代理机构开户名称：陕西万泽招标有限公司</w:t>
      </w:r>
    </w:p>
    <w:p>
      <w:pPr>
        <w:widowControl/>
        <w:shd w:val="clear"/>
        <w:wordWrap w:val="0"/>
        <w:snapToGrid w:val="0"/>
        <w:spacing w:line="312"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3、开户行名称：西安银行朝阳门支行</w:t>
      </w:r>
    </w:p>
    <w:p>
      <w:pPr>
        <w:widowControl/>
        <w:shd w:val="clear"/>
        <w:tabs>
          <w:tab w:val="left" w:pos="0"/>
        </w:tabs>
        <w:wordWrap w:val="0"/>
        <w:snapToGrid w:val="0"/>
        <w:spacing w:line="312" w:lineRule="auto"/>
        <w:ind w:firstLine="720" w:firstLineChars="3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账      号：211011580000015489</w:t>
      </w:r>
    </w:p>
    <w:p>
      <w:pPr>
        <w:widowControl/>
        <w:shd w:val="clear"/>
        <w:tabs>
          <w:tab w:val="left" w:pos="1620"/>
        </w:tabs>
        <w:snapToGrid w:val="0"/>
        <w:spacing w:line="312" w:lineRule="auto"/>
        <w:ind w:firstLine="420" w:firstLineChars="175"/>
        <w:jc w:val="right"/>
        <w:rPr>
          <w:rFonts w:hint="eastAsia" w:ascii="宋体" w:hAnsi="宋体" w:eastAsia="宋体" w:cs="宋体"/>
          <w:color w:val="auto"/>
          <w:kern w:val="0"/>
          <w:sz w:val="24"/>
          <w:szCs w:val="24"/>
          <w:highlight w:val="none"/>
        </w:rPr>
      </w:pPr>
    </w:p>
    <w:p>
      <w:pPr>
        <w:widowControl/>
        <w:shd w:val="clear"/>
        <w:tabs>
          <w:tab w:val="left" w:pos="1620"/>
        </w:tabs>
        <w:snapToGrid w:val="0"/>
        <w:spacing w:line="312" w:lineRule="auto"/>
        <w:ind w:firstLine="420" w:firstLineChars="175"/>
        <w:jc w:val="right"/>
        <w:rPr>
          <w:rFonts w:hint="eastAsia" w:ascii="宋体" w:hAnsi="宋体" w:eastAsia="宋体" w:cs="宋体"/>
          <w:color w:val="auto"/>
          <w:kern w:val="0"/>
          <w:sz w:val="24"/>
          <w:szCs w:val="24"/>
          <w:highlight w:val="none"/>
        </w:rPr>
      </w:pPr>
    </w:p>
    <w:p>
      <w:pPr>
        <w:widowControl/>
        <w:shd w:val="clear"/>
        <w:tabs>
          <w:tab w:val="left" w:pos="1620"/>
        </w:tabs>
        <w:snapToGrid w:val="0"/>
        <w:spacing w:line="312" w:lineRule="auto"/>
        <w:ind w:firstLine="420" w:firstLineChars="175"/>
        <w:jc w:val="right"/>
        <w:rPr>
          <w:rFonts w:hint="eastAsia" w:ascii="宋体" w:hAnsi="宋体" w:eastAsia="宋体" w:cs="宋体"/>
          <w:color w:val="auto"/>
          <w:kern w:val="0"/>
          <w:sz w:val="24"/>
          <w:szCs w:val="24"/>
          <w:highlight w:val="none"/>
        </w:rPr>
      </w:pPr>
    </w:p>
    <w:p>
      <w:pPr>
        <w:widowControl/>
        <w:shd w:val="clear"/>
        <w:tabs>
          <w:tab w:val="left" w:pos="1620"/>
        </w:tabs>
        <w:snapToGrid w:val="0"/>
        <w:spacing w:line="312" w:lineRule="auto"/>
        <w:ind w:firstLine="420" w:firstLineChars="175"/>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陕西万泽招标有限公司</w:t>
      </w:r>
    </w:p>
    <w:p>
      <w:pPr>
        <w:widowControl/>
        <w:shd w:val="clear"/>
        <w:tabs>
          <w:tab w:val="left" w:pos="1620"/>
        </w:tabs>
        <w:snapToGrid w:val="0"/>
        <w:spacing w:line="312" w:lineRule="auto"/>
        <w:ind w:firstLine="420" w:firstLineChars="175"/>
        <w:jc w:val="right"/>
        <w:rPr>
          <w:rFonts w:hint="default"/>
          <w:lang w:val="en-US" w:eastAsia="zh-CN"/>
        </w:rPr>
        <w:sectPr>
          <w:footerReference r:id="rId3" w:type="default"/>
          <w:pgSz w:w="11906" w:h="16838"/>
          <w:pgMar w:top="1440" w:right="1803" w:bottom="1440" w:left="1803" w:header="851" w:footer="992" w:gutter="0"/>
          <w:cols w:space="0" w:num="1"/>
          <w:docGrid w:type="lines" w:linePitch="317" w:charSpace="0"/>
        </w:sectPr>
      </w:pPr>
      <w:r>
        <w:rPr>
          <w:rFonts w:hint="eastAsia" w:ascii="宋体" w:hAnsi="宋体" w:eastAsia="宋体" w:cs="宋体"/>
          <w:color w:val="auto"/>
          <w:kern w:val="0"/>
          <w:sz w:val="24"/>
          <w:szCs w:val="24"/>
          <w:highlight w:val="none"/>
        </w:rPr>
        <w:t xml:space="preserve"> 20</w:t>
      </w:r>
      <w:r>
        <w:rPr>
          <w:rFonts w:hint="eastAsia" w:ascii="宋体" w:hAnsi="宋体" w:eastAsia="宋体" w:cs="宋体"/>
          <w:color w:val="auto"/>
          <w:kern w:val="0"/>
          <w:sz w:val="24"/>
          <w:szCs w:val="24"/>
          <w:highlight w:val="none"/>
          <w:lang w:val="en-US" w:eastAsia="zh-CN"/>
        </w:rPr>
        <w:t>24</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01</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04日</w:t>
      </w:r>
    </w:p>
    <w:p>
      <w:pPr>
        <w:bidi w:val="0"/>
        <w:rPr>
          <w:rFonts w:hint="eastAsia"/>
        </w:rPr>
      </w:pPr>
      <w:bookmarkStart w:id="3" w:name="_GoBack"/>
    </w:p>
    <w:bookmarkEnd w:i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rPr>
                            <w:t xml:space="preserve">第 </w:t>
                          </w:r>
                          <w:r>
                            <w:fldChar w:fldCharType="begin"/>
                          </w:r>
                          <w:r>
                            <w:instrText xml:space="preserve"> PAGE  \* MERGEFORMAT </w:instrText>
                          </w:r>
                          <w:r>
                            <w:fldChar w:fldCharType="separate"/>
                          </w:r>
                          <w:r>
                            <w:t>3</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pStyle w:val="6"/>
                    </w:pPr>
                    <w:r>
                      <w:rPr>
                        <w:rFonts w:hint="eastAsia"/>
                      </w:rPr>
                      <w:t xml:space="preserve">第 </w:t>
                    </w:r>
                    <w:r>
                      <w:fldChar w:fldCharType="begin"/>
                    </w:r>
                    <w:r>
                      <w:instrText xml:space="preserve"> PAGE  \* MERGEFORMAT </w:instrText>
                    </w:r>
                    <w:r>
                      <w:fldChar w:fldCharType="separate"/>
                    </w:r>
                    <w:r>
                      <w:t>3</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v:textbox>
            </v:shape>
          </w:pict>
        </mc:Fallback>
      </mc:AlternateContent>
    </w:r>
    <w:r>
      <w:rPr>
        <w:rFonts w:hint="eastAsia" w:ascii="宋体" w:hAnsi="宋体" w:cs="宋体"/>
      </w:rPr>
      <w:t>陕西万泽招标有限公司</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30B97F"/>
    <w:multiLevelType w:val="singleLevel"/>
    <w:tmpl w:val="5530B97F"/>
    <w:lvl w:ilvl="0" w:tentative="0">
      <w:start w:val="1"/>
      <w:numFmt w:val="chineseCounting"/>
      <w:suff w:val="nothing"/>
      <w:lvlText w:val="%1、"/>
      <w:lvlJc w:val="left"/>
    </w:lvl>
  </w:abstractNum>
  <w:abstractNum w:abstractNumId="1">
    <w:nsid w:val="58BFC878"/>
    <w:multiLevelType w:val="singleLevel"/>
    <w:tmpl w:val="58BFC878"/>
    <w:lvl w:ilvl="0" w:tentative="0">
      <w:start w:val="1"/>
      <w:numFmt w:val="decimal"/>
      <w:suff w:val="nothing"/>
      <w:lvlText w:val="%1、"/>
      <w:lvlJc w:val="left"/>
      <w:pPr>
        <w:ind w:left="0" w:firstLine="4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3Y2M4ZjMxNDk3YzQwZDk4MmY4ODAzMDhhNGVkMGIifQ=="/>
  </w:docVars>
  <w:rsids>
    <w:rsidRoot w:val="3B1734E5"/>
    <w:rsid w:val="3B173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keepLines/>
      <w:spacing w:line="576" w:lineRule="auto"/>
      <w:jc w:val="center"/>
      <w:outlineLvl w:val="0"/>
    </w:pPr>
    <w:rPr>
      <w:rFonts w:ascii="Times New Roman" w:hAnsi="Times New Roman" w:eastAsia="宋体"/>
      <w:b/>
      <w:kern w:val="44"/>
      <w:sz w:val="32"/>
    </w:rPr>
  </w:style>
  <w:style w:type="character" w:default="1" w:styleId="9">
    <w:name w:val="Default Paragraph Font"/>
    <w:autoRedefine/>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next w:val="1"/>
    <w:unhideWhenUsed/>
    <w:qFormat/>
    <w:uiPriority w:val="99"/>
    <w:pPr>
      <w:ind w:firstLine="420" w:firstLineChars="100"/>
    </w:pPr>
    <w:rPr>
      <w:rFonts w:ascii="Times New Roman" w:hAnsi="Times New Roman"/>
      <w:sz w:val="18"/>
      <w:szCs w:val="18"/>
    </w:rPr>
  </w:style>
  <w:style w:type="paragraph" w:styleId="3">
    <w:name w:val="Body Text"/>
    <w:basedOn w:val="1"/>
    <w:next w:val="4"/>
    <w:qFormat/>
    <w:uiPriority w:val="99"/>
  </w:style>
  <w:style w:type="paragraph" w:customStyle="1" w:styleId="4">
    <w:name w:val="标题 2 Char1"/>
    <w:basedOn w:val="1"/>
    <w:autoRedefine/>
    <w:qFormat/>
    <w:uiPriority w:val="99"/>
    <w:rPr>
      <w:rFonts w:cs="Calibri"/>
    </w:rPr>
  </w:style>
  <w:style w:type="paragraph" w:styleId="6">
    <w:name w:val="footer"/>
    <w:basedOn w:val="1"/>
    <w:qFormat/>
    <w:uiPriority w:val="0"/>
    <w:pPr>
      <w:tabs>
        <w:tab w:val="center" w:pos="4153"/>
        <w:tab w:val="right" w:pos="8306"/>
      </w:tabs>
      <w:snapToGrid w:val="0"/>
      <w:jc w:val="left"/>
    </w:pPr>
    <w:rPr>
      <w:sz w:val="18"/>
      <w:szCs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2024-01-04T08:13:00Z</dcterms:created>
  <dc:creator>许芳芳</dc:creator>
  <cp:lastModifiedBy>许芳芳</cp:lastModifiedBy>
  <dcterms:modified xsi:type="dcterms:W3CDTF">2024-01-04T08:15:39Z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B1C3DEB1EA6D44F7891AECDBAFDD8F27_11</vt:lpwstr>
  </property>
</Properties>
</file>