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供应商应提交的相关资格证明材料</w:t>
      </w:r>
    </w:p>
    <w:p>
      <w:pPr>
        <w:pStyle w:val="4"/>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
        <w:gridCol w:w="1192"/>
        <w:gridCol w:w="6342"/>
        <w:gridCol w:w="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0" w:type="pct"/>
            <w:noWrap w:val="0"/>
            <w:vAlign w:val="center"/>
          </w:tcPr>
          <w:p>
            <w:pPr>
              <w:pStyle w:val="4"/>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0"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关于财务会计制度的证明材料｛注：①可提供2021或2022年度经审计的财务报告（包含审计报告和审计报告中所涉及的财务报表和报表附注），②可提供2021或2022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0"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0"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提交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r>
              <w:rPr>
                <w:rFonts w:hint="eastAsia" w:ascii="仿宋" w:hAnsi="仿宋" w:eastAsia="仿宋" w:cs="仿宋"/>
                <w:b w:val="0"/>
                <w:bCs/>
                <w:color w:val="auto"/>
                <w:sz w:val="24"/>
                <w:szCs w:val="24"/>
                <w:highlight w:val="none"/>
                <w:lang w:eastAsia="zh-CN"/>
              </w:rPr>
              <w:t>。</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0"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color w:val="auto"/>
              </w:rPr>
              <w:t>提交竞争性磋商响应文件截止时间前一年内至少一个月的纳税证明或完税证明（增值税、营业税、企业所得税至少提供一种），纳税证明或完税证明上应有代收机构或税务机关的公章或业务专用章。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pPr>
              <w:pStyle w:val="4"/>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0" w:type="pct"/>
            <w:noWrap w:val="0"/>
            <w:vAlign w:val="center"/>
          </w:tcPr>
          <w:p>
            <w:pPr>
              <w:pStyle w:val="4"/>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pPr>
              <w:pStyle w:val="4"/>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资质要求</w:t>
            </w:r>
          </w:p>
        </w:tc>
        <w:tc>
          <w:tcPr>
            <w:tcW w:w="3720" w:type="pct"/>
            <w:noWrap w:val="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供应商需具备相关行政主管部门颁发的文物保护工程勘察设计资质乙级（含乙级）以上资质。且在有效期内；供应商需在项目电子化交易系统中按要求上传相应证明文件并进行电子签章。</w:t>
            </w:r>
          </w:p>
        </w:tc>
        <w:tc>
          <w:tcPr>
            <w:tcW w:w="298" w:type="pct"/>
            <w:noWrap w:val="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拟派设计负责人资质及要求</w:t>
            </w:r>
          </w:p>
        </w:tc>
        <w:tc>
          <w:tcPr>
            <w:tcW w:w="3720"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设计负责人需具备在国家文物局备案的全国性文物保护行业协会颁发的在有效期内的文物保护工程责任设计师证书。供应商需在项目电子化交易系统中按要求上传相应证明文件并进行电子签章。</w:t>
            </w:r>
          </w:p>
        </w:tc>
        <w:tc>
          <w:tcPr>
            <w:tcW w:w="298"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2" w:type="pct"/>
            <w:noWrap w:val="0"/>
            <w:vAlign w:val="center"/>
          </w:tcPr>
          <w:p>
            <w:pPr>
              <w:pStyle w:val="4"/>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8</w:t>
            </w:r>
          </w:p>
        </w:tc>
        <w:tc>
          <w:tcPr>
            <w:tcW w:w="699" w:type="pct"/>
            <w:noWrap w:val="0"/>
            <w:vAlign w:val="center"/>
          </w:tcPr>
          <w:p>
            <w:pPr>
              <w:pStyle w:val="4"/>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0"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供应商不得为“信用中国”网站（www.creditchina.gov.cn）中列入失</w:t>
            </w:r>
            <w:bookmarkStart w:id="0" w:name="_GoBack"/>
            <w:bookmarkEnd w:id="0"/>
            <w:r>
              <w:rPr>
                <w:rFonts w:hint="eastAsia" w:ascii="仿宋" w:hAnsi="仿宋" w:eastAsia="仿宋" w:cs="仿宋"/>
                <w:i w:val="0"/>
                <w:caps w:val="0"/>
                <w:color w:val="auto"/>
                <w:spacing w:val="0"/>
                <w:sz w:val="24"/>
                <w:szCs w:val="24"/>
                <w:shd w:val="clear" w:color="auto" w:fill="FFFFFF"/>
                <w:lang w:val="en-US" w:eastAsia="zh-CN"/>
              </w:rPr>
              <w:t>信被执行人和重大税收违法失信主体名单的供应商，不得为中国政府采购网（www.ccgp.gov.cn）政府采购严重违法失信行为记录名单中被财政部门禁止参加政府采购活动的供应商，由代理机构开标现场查询。</w:t>
            </w:r>
          </w:p>
        </w:tc>
        <w:tc>
          <w:tcPr>
            <w:tcW w:w="298" w:type="pct"/>
            <w:noWrap w:val="0"/>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bl>
    <w:p>
      <w:pPr>
        <w:rPr>
          <w:rFonts w:hint="default"/>
          <w:lang w:val="en-US" w:eastAsia="zh-CN"/>
        </w:rPr>
      </w:pPr>
      <w:r>
        <w:rPr>
          <w:rFonts w:hint="default"/>
          <w:lang w:val="en-US" w:eastAsia="zh-CN"/>
        </w:rPr>
        <w:br w:type="page"/>
      </w:r>
    </w:p>
    <w:p>
      <w:pPr>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附件一</w:t>
      </w:r>
    </w:p>
    <w:p>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时，提供法定代表人（主要负责人）委托授权书；法定代表人（主要负责人）亲自参加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pPr>
        <w:spacing w:line="360" w:lineRule="auto"/>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代表我方参加贵中心组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pPr>
        <w:pStyle w:val="2"/>
        <w:rPr>
          <w:rFonts w:hint="eastAsia" w:ascii="仿宋" w:hAnsi="仿宋" w:eastAsia="仿宋" w:cs="仿宋"/>
          <w:sz w:val="24"/>
          <w:szCs w:val="24"/>
          <w:lang w:val="en-US" w:eastAsia="zh-CN"/>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5E27A84"/>
    <w:rsid w:val="06936FD0"/>
    <w:rsid w:val="08C07E24"/>
    <w:rsid w:val="0A110938"/>
    <w:rsid w:val="0C2B1A59"/>
    <w:rsid w:val="0D2546FA"/>
    <w:rsid w:val="0D3F37F4"/>
    <w:rsid w:val="11382C4E"/>
    <w:rsid w:val="119B31DD"/>
    <w:rsid w:val="143A6CDD"/>
    <w:rsid w:val="16AE1DDF"/>
    <w:rsid w:val="18397A05"/>
    <w:rsid w:val="18A46E1B"/>
    <w:rsid w:val="1AA72BF2"/>
    <w:rsid w:val="1BA15893"/>
    <w:rsid w:val="1BA62EAA"/>
    <w:rsid w:val="1BFD0D1C"/>
    <w:rsid w:val="1F3D3866"/>
    <w:rsid w:val="20A51982"/>
    <w:rsid w:val="215F5FD5"/>
    <w:rsid w:val="25B12B77"/>
    <w:rsid w:val="261E020C"/>
    <w:rsid w:val="26C30DB4"/>
    <w:rsid w:val="27DF39CB"/>
    <w:rsid w:val="290D4568"/>
    <w:rsid w:val="29220014"/>
    <w:rsid w:val="29932CBF"/>
    <w:rsid w:val="29AF561F"/>
    <w:rsid w:val="2BEC4909"/>
    <w:rsid w:val="2E0E3854"/>
    <w:rsid w:val="2ECD27D0"/>
    <w:rsid w:val="304A60A2"/>
    <w:rsid w:val="30BD6874"/>
    <w:rsid w:val="31BF4BC7"/>
    <w:rsid w:val="34B51FB0"/>
    <w:rsid w:val="36341386"/>
    <w:rsid w:val="376C4B50"/>
    <w:rsid w:val="3A4122C4"/>
    <w:rsid w:val="3B077069"/>
    <w:rsid w:val="3E817133"/>
    <w:rsid w:val="3E9C3F6D"/>
    <w:rsid w:val="40E1210B"/>
    <w:rsid w:val="43C57AC2"/>
    <w:rsid w:val="460A3EB2"/>
    <w:rsid w:val="46B362F7"/>
    <w:rsid w:val="46F32B98"/>
    <w:rsid w:val="48AE4FC8"/>
    <w:rsid w:val="4A34774F"/>
    <w:rsid w:val="4C2F6420"/>
    <w:rsid w:val="4C455C43"/>
    <w:rsid w:val="4C7E2F03"/>
    <w:rsid w:val="4D155616"/>
    <w:rsid w:val="4E1E674C"/>
    <w:rsid w:val="4E2A50F1"/>
    <w:rsid w:val="4E30647F"/>
    <w:rsid w:val="4F1F277C"/>
    <w:rsid w:val="504306EC"/>
    <w:rsid w:val="516E1798"/>
    <w:rsid w:val="52A03BD4"/>
    <w:rsid w:val="53BF62DB"/>
    <w:rsid w:val="54907C78"/>
    <w:rsid w:val="55BA31FE"/>
    <w:rsid w:val="57C245EC"/>
    <w:rsid w:val="57D4431F"/>
    <w:rsid w:val="59611BE3"/>
    <w:rsid w:val="59A87812"/>
    <w:rsid w:val="5AF70A51"/>
    <w:rsid w:val="5BDD40E9"/>
    <w:rsid w:val="5D8D11F8"/>
    <w:rsid w:val="5DA622BA"/>
    <w:rsid w:val="5EB34C8F"/>
    <w:rsid w:val="60F03F78"/>
    <w:rsid w:val="61371BA7"/>
    <w:rsid w:val="62DB2A06"/>
    <w:rsid w:val="63304B00"/>
    <w:rsid w:val="65711400"/>
    <w:rsid w:val="65C15EE3"/>
    <w:rsid w:val="670F0ED0"/>
    <w:rsid w:val="69EA2D3A"/>
    <w:rsid w:val="6B1765A5"/>
    <w:rsid w:val="6B2C2051"/>
    <w:rsid w:val="6D4573FA"/>
    <w:rsid w:val="6E9C74ED"/>
    <w:rsid w:val="6F2474E3"/>
    <w:rsid w:val="6FFD220E"/>
    <w:rsid w:val="70716758"/>
    <w:rsid w:val="7258197D"/>
    <w:rsid w:val="75A90742"/>
    <w:rsid w:val="7725204A"/>
    <w:rsid w:val="797177C8"/>
    <w:rsid w:val="79D33FDF"/>
    <w:rsid w:val="7BB35E76"/>
    <w:rsid w:val="7C5C02BC"/>
    <w:rsid w:val="7C63164A"/>
    <w:rsid w:val="7D16490F"/>
    <w:rsid w:val="7EAB72D9"/>
    <w:rsid w:val="7EB919F5"/>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pPr>
    <w:rPr>
      <w:rFonts w:ascii="Times New Roman"/>
      <w:kern w:val="2"/>
      <w:sz w:val="21"/>
    </w:rPr>
  </w:style>
  <w:style w:type="paragraph" w:customStyle="1" w:styleId="3">
    <w:name w:val="正文1"/>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Normal (Web)"/>
    <w:basedOn w:val="1"/>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2023-11-22T10:07:46Z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CE456365DFD145FEBE566E233193EA92_11</vt:lpwstr>
  </property>
</Properties>
</file>