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分项报价表</w:t>
      </w:r>
    </w:p>
    <w:p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项目编号：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必须按“分项报价表”的格式详细报出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总报价的各个组成部分的报价，否则作无效响应处理；报价精确到小数点后两位； 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2、本表各分项报价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计应当与“报价一览表”总报价相等；如果按单价计算的结果与报价不一致时，以单价为准修正报价与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如果不提供详细分项报价将视为没有实质性响应招标文件。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供应商可适当调整该表格式，但不得减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少信息内容。</w:t>
      </w:r>
    </w:p>
    <w:p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4444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2023-11-22T06:58:55Z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2754556479D44075A9957B4216D0805F_11</vt:lpwstr>
  </property>
</Properties>
</file>