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542"/>
      <w:bookmarkStart w:id="1" w:name="_Toc475451789"/>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8"/>
        <w:rPr>
          <w:highlight w:val="none"/>
        </w:rPr>
      </w:pPr>
    </w:p>
    <w:p>
      <w:pPr>
        <w:rPr>
          <w:highlight w:val="none"/>
        </w:rPr>
      </w:pPr>
    </w:p>
    <w:p>
      <w:pPr>
        <w:pStyle w:val="18"/>
        <w:rPr>
          <w:highlight w:val="none"/>
        </w:rPr>
      </w:pPr>
    </w:p>
    <w:p>
      <w:pPr>
        <w:pStyle w:val="16"/>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（包7：手术室设备1）</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14831"/>
      <w:bookmarkStart w:id="4" w:name="_Toc29992"/>
      <w:bookmarkStart w:id="5" w:name="_Toc31669"/>
      <w:bookmarkStart w:id="6" w:name="_Toc1267"/>
      <w:bookmarkStart w:id="7" w:name="_Toc24408"/>
      <w:bookmarkStart w:id="8" w:name="_Toc4194"/>
      <w:bookmarkStart w:id="9" w:name="_Toc9482"/>
      <w:bookmarkStart w:id="10" w:name="_Toc2899"/>
      <w:bookmarkStart w:id="11" w:name="_Toc19086"/>
      <w:bookmarkStart w:id="12" w:name="_Toc12002"/>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44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51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53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54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56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59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60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61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62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64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67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72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74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75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76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79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80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81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84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85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widowControl w:val="0"/>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投标人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4.请投标人务必及时下载招标文件并做好备份，否则会影响投标文件编制及后续投标活动。</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6.按照陕西省财政厅《关于政府采购投标人注册登记有关事项的通知》中的要求，投标人应通过陕西省政府采购网（http://www.ccgp-shaanxi.gov.cn/）注册登记，加入陕西省政府采购投标人库。</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7.因投标人自身设施故障或自身原因导致无法完成签到、解密或投标的，由投标人自行承担后果。</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8.执行的其他政府采购政策：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（1）《政府采购促进中小企业发展管理办法》财库〔2020〕46号、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（2）《关于进一步加大政府采购支持中小企业力度的通知》（财库〔2022〕19号）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（3）《财政部 司法部关于政府采购支持监狱企业发展有关问题的通知》财库[2014]68号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（4）《三部门联合发布关于促进残疾人就业政府采购政策的通知》（财库[2017]141号）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（5）《财政部 发展改革委 生态环境部 市场监管总局关于调整优化节能产品、环境标志产品政府采购执行机制的通知》（财库〔2019〕9号）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（6）《财政部 国家发展改革委关于印发〈节能产品政府采购实施意见〉的通知》（财库[2004]185号）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（7）《财政部环保总局关于环境标志产品政府采购实施的意见》财库[2006]90号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（8）《陕西省中小企业政府采购信用融资办法》（陕财办采〔2018〕23号）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（11）《财政部住房城乡建设部工业和信息化部关于扩大政府采购绿色建材促进建筑品质提升政策实施范围的通知》（财库〔2022〕35号）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（12）其他需要落实的政府采购政策。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9、投标文件中凡是需要法定代表人盖章之处，非法人单位的负责人均参照执行。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6011"/>
      <w:bookmarkStart w:id="17" w:name="_Toc11232"/>
      <w:bookmarkStart w:id="18" w:name="_Toc11354"/>
      <w:bookmarkStart w:id="19" w:name="_Toc4673"/>
      <w:bookmarkStart w:id="20" w:name="_Toc23465"/>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 xml:space="preserve">包7：手术室设备1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6496"/>
      <w:bookmarkStart w:id="22" w:name="_Toc1844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17989"/>
      <w:bookmarkStart w:id="24" w:name="_Toc4062"/>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6"/>
        <w:spacing w:before="0" w:beforeLines="0" w:after="0" w:afterLines="0" w:line="360" w:lineRule="auto"/>
        <w:ind w:firstLine="482"/>
        <w:outlineLvl w:val="2"/>
        <w:rPr>
          <w:rFonts w:ascii="仿宋" w:eastAsia="仿宋" w:cs="仿宋"/>
          <w:sz w:val="24"/>
          <w:szCs w:val="24"/>
          <w:highlight w:val="none"/>
        </w:rPr>
      </w:pPr>
      <w:bookmarkStart w:id="25" w:name="_Toc19111"/>
      <w:bookmarkStart w:id="26" w:name="_Toc3197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6"/>
        <w:spacing w:before="0" w:beforeLines="0" w:after="0" w:afterLines="0" w:line="360" w:lineRule="auto"/>
        <w:ind w:firstLine="482"/>
        <w:outlineLvl w:val="2"/>
        <w:rPr>
          <w:rFonts w:ascii="仿宋" w:eastAsia="仿宋" w:cs="仿宋"/>
          <w:sz w:val="24"/>
          <w:szCs w:val="24"/>
          <w:highlight w:val="none"/>
        </w:rPr>
      </w:pPr>
      <w:bookmarkStart w:id="27" w:name="_Toc17309"/>
      <w:bookmarkStart w:id="28" w:name="_Toc26826"/>
      <w:r>
        <w:rPr>
          <w:rFonts w:hint="eastAsia" w:ascii="仿宋" w:eastAsia="仿宋" w:cs="仿宋"/>
          <w:sz w:val="24"/>
          <w:szCs w:val="24"/>
          <w:highlight w:val="none"/>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highlight w:val="none"/>
        </w:rPr>
      </w:pPr>
      <w:bookmarkStart w:id="29" w:name="_Toc8176"/>
      <w:bookmarkStart w:id="30" w:name="_Toc4266"/>
      <w:bookmarkStart w:id="31" w:name="_Toc31963"/>
      <w:bookmarkStart w:id="32" w:name="_Toc31671"/>
      <w:bookmarkStart w:id="33" w:name="_Toc16420"/>
      <w:bookmarkStart w:id="34" w:name="_Toc24293"/>
      <w:bookmarkStart w:id="35" w:name="_Toc336"/>
      <w:bookmarkStart w:id="36" w:name="_Toc12184"/>
      <w:bookmarkStart w:id="37" w:name="_Toc30046"/>
      <w:bookmarkStart w:id="38" w:name="_Toc22932"/>
      <w:bookmarkStart w:id="39" w:name="_Toc15287"/>
      <w:bookmarkStart w:id="40" w:name="_Toc23653"/>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5"/>
        <w:spacing w:line="360" w:lineRule="auto"/>
        <w:ind w:firstLine="482" w:firstLineChars="200"/>
        <w:jc w:val="both"/>
        <w:outlineLvl w:val="3"/>
        <w:rPr>
          <w:rFonts w:ascii="仿宋" w:eastAsia="仿宋" w:cs="仿宋"/>
          <w:b/>
          <w:bCs/>
          <w:sz w:val="24"/>
          <w:szCs w:val="24"/>
          <w:highlight w:val="none"/>
        </w:rPr>
      </w:pPr>
      <w:bookmarkStart w:id="41" w:name="_Toc16482"/>
      <w:bookmarkStart w:id="42" w:name="_Toc3534"/>
      <w:bookmarkStart w:id="43" w:name="_Toc15950"/>
      <w:bookmarkStart w:id="44" w:name="_Toc17978"/>
      <w:bookmarkStart w:id="45" w:name="_Toc19623"/>
      <w:bookmarkStart w:id="46" w:name="_Toc25507"/>
      <w:bookmarkStart w:id="47" w:name="_Toc2959"/>
      <w:bookmarkStart w:id="48" w:name="_Toc32258"/>
      <w:bookmarkStart w:id="49" w:name="_Toc5904"/>
      <w:bookmarkStart w:id="50" w:name="_Toc1524"/>
      <w:bookmarkStart w:id="51" w:name="_Toc13436"/>
      <w:bookmarkStart w:id="52" w:name="_Toc4806"/>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3"/>
          <w:rFonts w:hint="eastAsia" w:ascii="仿宋" w:hAnsi="仿宋" w:eastAsia="仿宋" w:cs="仿宋"/>
          <w:color w:val="auto"/>
          <w:highlight w:val="none"/>
          <w:u w:val="none"/>
        </w:rPr>
        <w:t>http://download.ccgp.gov.cn/2018/zhiyihanfanben.zip</w:t>
      </w:r>
      <w:r>
        <w:rPr>
          <w:rStyle w:val="43"/>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highlight w:val="none"/>
        </w:rPr>
      </w:pPr>
      <w:bookmarkStart w:id="53" w:name="_Toc23255"/>
      <w:bookmarkStart w:id="54" w:name="_Toc26229"/>
      <w:bookmarkStart w:id="55" w:name="_Toc10919"/>
      <w:bookmarkStart w:id="56" w:name="_Toc1554"/>
      <w:bookmarkStart w:id="57" w:name="_Toc27092"/>
      <w:bookmarkStart w:id="58" w:name="_Toc17088"/>
      <w:bookmarkStart w:id="59" w:name="_Toc7861"/>
      <w:bookmarkStart w:id="60" w:name="_Toc25162"/>
      <w:bookmarkStart w:id="61" w:name="_Toc32391"/>
      <w:bookmarkStart w:id="62" w:name="_Toc1034"/>
      <w:bookmarkStart w:id="63" w:name="_Toc1865"/>
      <w:bookmarkStart w:id="64" w:name="_Toc3727"/>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highlight w:val="none"/>
        </w:rPr>
      </w:pPr>
      <w:bookmarkStart w:id="65" w:name="_Toc15085"/>
      <w:bookmarkStart w:id="66" w:name="_Toc29661"/>
      <w:bookmarkStart w:id="67" w:name="_Toc29970"/>
      <w:bookmarkStart w:id="68" w:name="_Toc24710"/>
      <w:bookmarkStart w:id="69" w:name="_Toc24295"/>
      <w:bookmarkStart w:id="70" w:name="_Toc24135"/>
      <w:bookmarkStart w:id="71" w:name="_Toc27015"/>
      <w:bookmarkStart w:id="72" w:name="_Toc1146"/>
      <w:bookmarkStart w:id="73" w:name="_Toc21266"/>
      <w:bookmarkStart w:id="74" w:name="_Toc7415"/>
      <w:bookmarkStart w:id="75" w:name="_Toc13217"/>
      <w:bookmarkStart w:id="76" w:name="_Toc14601"/>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highlight w:val="none"/>
        </w:rPr>
      </w:pPr>
      <w:bookmarkStart w:id="77" w:name="_Toc21846"/>
      <w:bookmarkStart w:id="78" w:name="_Toc8214"/>
      <w:r>
        <w:rPr>
          <w:rFonts w:hint="eastAsia" w:ascii="仿宋" w:eastAsia="仿宋" w:cs="仿宋"/>
          <w:sz w:val="24"/>
          <w:szCs w:val="24"/>
          <w:highlight w:val="none"/>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highlight w:val="none"/>
        </w:rPr>
      </w:pPr>
      <w:bookmarkStart w:id="79" w:name="_Toc907"/>
      <w:bookmarkStart w:id="80" w:name="_Toc26952"/>
      <w:bookmarkStart w:id="81" w:name="_Toc28580"/>
      <w:bookmarkStart w:id="82" w:name="_Toc15336"/>
      <w:bookmarkStart w:id="83" w:name="_Toc11381"/>
      <w:bookmarkStart w:id="84" w:name="_Toc6598"/>
      <w:bookmarkStart w:id="85" w:name="_Toc31261"/>
      <w:bookmarkStart w:id="86" w:name="_Toc8190"/>
      <w:bookmarkStart w:id="87" w:name="_Toc21429"/>
      <w:bookmarkStart w:id="88" w:name="_Toc15225"/>
      <w:bookmarkStart w:id="89" w:name="_Toc2174"/>
      <w:bookmarkStart w:id="90" w:name="_Toc1957"/>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highlight w:val="none"/>
        </w:rPr>
      </w:pPr>
      <w:bookmarkStart w:id="91" w:name="_Toc27651"/>
      <w:bookmarkStart w:id="92" w:name="_Toc7484"/>
      <w:bookmarkStart w:id="93" w:name="_Toc28245"/>
      <w:bookmarkStart w:id="94" w:name="_Toc14390"/>
      <w:bookmarkStart w:id="95" w:name="_Toc8345"/>
      <w:bookmarkStart w:id="96" w:name="_Toc10160"/>
      <w:bookmarkStart w:id="97" w:name="_Toc29146"/>
      <w:bookmarkStart w:id="98" w:name="_Toc18269"/>
      <w:bookmarkStart w:id="99" w:name="_Toc10574"/>
      <w:bookmarkStart w:id="100" w:name="_Toc32569"/>
      <w:bookmarkStart w:id="101" w:name="_Toc18896"/>
      <w:bookmarkStart w:id="102" w:name="_Toc1002"/>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5"/>
        <w:spacing w:line="360" w:lineRule="auto"/>
        <w:ind w:firstLine="482" w:firstLineChars="200"/>
        <w:jc w:val="both"/>
        <w:outlineLvl w:val="3"/>
        <w:rPr>
          <w:rFonts w:ascii="仿宋" w:eastAsia="仿宋" w:cs="仿宋"/>
          <w:b/>
          <w:bCs/>
          <w:sz w:val="24"/>
          <w:szCs w:val="24"/>
          <w:highlight w:val="none"/>
        </w:rPr>
      </w:pPr>
      <w:bookmarkStart w:id="103" w:name="_Toc18758"/>
      <w:bookmarkStart w:id="104" w:name="_Toc7054"/>
      <w:bookmarkStart w:id="105" w:name="_Toc12225"/>
      <w:bookmarkStart w:id="106" w:name="_Toc26013"/>
      <w:bookmarkStart w:id="107" w:name="_Toc10821"/>
      <w:bookmarkStart w:id="108" w:name="_Toc15963"/>
      <w:bookmarkStart w:id="109" w:name="_Toc9029"/>
      <w:bookmarkStart w:id="110" w:name="_Toc30141"/>
      <w:bookmarkStart w:id="111" w:name="_Toc13951"/>
      <w:bookmarkStart w:id="112" w:name="_Toc14985"/>
      <w:bookmarkStart w:id="113" w:name="_Toc29314"/>
      <w:bookmarkStart w:id="114" w:name="_Toc32527"/>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highlight w:val="none"/>
        </w:rPr>
      </w:pPr>
      <w:bookmarkStart w:id="117" w:name="_Toc13574"/>
      <w:bookmarkStart w:id="118" w:name="_Toc21243"/>
      <w:bookmarkStart w:id="119" w:name="_Toc26829"/>
      <w:bookmarkStart w:id="120" w:name="_Toc8853"/>
      <w:bookmarkStart w:id="121" w:name="_Toc898"/>
      <w:bookmarkStart w:id="122" w:name="_Toc31703"/>
      <w:bookmarkStart w:id="123" w:name="_Toc14"/>
      <w:bookmarkStart w:id="124" w:name="_Toc24773"/>
      <w:bookmarkStart w:id="125" w:name="_Toc9498"/>
      <w:bookmarkStart w:id="126" w:name="_Toc11519"/>
      <w:bookmarkStart w:id="127" w:name="_Toc3688"/>
      <w:bookmarkStart w:id="128" w:name="_Toc25894"/>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highlight w:val="none"/>
        </w:rPr>
      </w:pPr>
      <w:bookmarkStart w:id="129" w:name="_Toc29773"/>
      <w:bookmarkStart w:id="130" w:name="_Toc132"/>
      <w:bookmarkStart w:id="131" w:name="_Toc14898"/>
      <w:bookmarkStart w:id="132" w:name="_Toc11005"/>
      <w:bookmarkStart w:id="133" w:name="_Toc8450"/>
      <w:bookmarkStart w:id="134" w:name="_Toc8940"/>
      <w:bookmarkStart w:id="135" w:name="_Toc1819"/>
      <w:bookmarkStart w:id="136" w:name="_Toc6544"/>
      <w:bookmarkStart w:id="137" w:name="_Toc13412"/>
      <w:bookmarkStart w:id="138" w:name="_Toc17610"/>
      <w:bookmarkStart w:id="139" w:name="_Toc22573"/>
      <w:bookmarkStart w:id="140" w:name="_Toc28510"/>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highlight w:val="none"/>
        </w:rPr>
      </w:pPr>
      <w:bookmarkStart w:id="141" w:name="_Toc3796"/>
      <w:bookmarkStart w:id="142" w:name="_Toc21407"/>
      <w:bookmarkStart w:id="143" w:name="_Toc8596"/>
      <w:bookmarkStart w:id="144" w:name="_Toc182"/>
      <w:bookmarkStart w:id="145" w:name="_Toc19650"/>
      <w:bookmarkStart w:id="146" w:name="_Toc13027"/>
      <w:bookmarkStart w:id="147" w:name="_Toc18793"/>
      <w:bookmarkStart w:id="148" w:name="_Toc31297"/>
      <w:bookmarkStart w:id="149" w:name="_Toc13460"/>
      <w:bookmarkStart w:id="150" w:name="_Toc3189"/>
      <w:bookmarkStart w:id="151" w:name="_Toc23853"/>
      <w:bookmarkStart w:id="152" w:name="_Toc3799"/>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highlight w:val="none"/>
        </w:rPr>
      </w:pPr>
      <w:bookmarkStart w:id="153" w:name="_Toc8387"/>
      <w:bookmarkStart w:id="154" w:name="_Toc7731"/>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6"/>
        <w:spacing w:before="0" w:beforeLines="0" w:after="0" w:afterLines="0" w:line="360" w:lineRule="auto"/>
        <w:ind w:firstLine="482"/>
        <w:outlineLvl w:val="2"/>
        <w:rPr>
          <w:rFonts w:ascii="仿宋" w:eastAsia="仿宋" w:cs="仿宋"/>
          <w:sz w:val="24"/>
          <w:szCs w:val="24"/>
          <w:highlight w:val="none"/>
        </w:rPr>
      </w:pPr>
      <w:bookmarkStart w:id="155" w:name="_Toc12926"/>
      <w:bookmarkStart w:id="156" w:name="_Toc30207"/>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highlight w:val="none"/>
        </w:rPr>
      </w:pPr>
      <w:bookmarkStart w:id="157" w:name="_Toc15666"/>
      <w:bookmarkStart w:id="158" w:name="_Toc8103"/>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3"/>
          <w:rFonts w:hint="eastAsia" w:ascii="仿宋" w:hAnsi="仿宋" w:eastAsia="仿宋" w:cs="仿宋"/>
          <w:color w:val="auto"/>
          <w:highlight w:val="none"/>
          <w:u w:val="none"/>
        </w:rPr>
        <w:t>https://www.creditchina.gov.cn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3"/>
          <w:rFonts w:hint="eastAsia" w:ascii="仿宋" w:hAnsi="仿宋" w:eastAsia="仿宋" w:cs="仿宋"/>
          <w:color w:val="auto"/>
          <w:highlight w:val="none"/>
          <w:u w:val="none"/>
        </w:rPr>
        <w:t>http://www.ccgp.gov.cn/）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6783"/>
      <w:bookmarkStart w:id="160" w:name="_Toc1840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6"/>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1114"/>
      <w:bookmarkStart w:id="165" w:name="_Toc4990"/>
      <w:r>
        <w:rPr>
          <w:rFonts w:hint="eastAsia" w:ascii="仿宋" w:hAnsi="仿宋" w:eastAsia="仿宋" w:cs="仿宋"/>
          <w:b/>
          <w:bCs/>
          <w:sz w:val="24"/>
          <w:szCs w:val="24"/>
          <w:highlight w:val="none"/>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highlight w:val="none"/>
        </w:rPr>
      </w:pPr>
      <w:bookmarkStart w:id="166" w:name="_Toc15925"/>
      <w:bookmarkStart w:id="167" w:name="_Toc1264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highlight w:val="none"/>
        </w:rPr>
      </w:pPr>
      <w:bookmarkStart w:id="168" w:name="_Toc20642"/>
      <w:bookmarkStart w:id="169" w:name="_Toc24830"/>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6"/>
        <w:spacing w:before="0" w:beforeLines="0" w:after="0" w:afterLines="0" w:line="360" w:lineRule="auto"/>
        <w:ind w:firstLine="482"/>
        <w:outlineLvl w:val="2"/>
        <w:rPr>
          <w:rFonts w:ascii="仿宋" w:eastAsia="仿宋" w:cs="仿宋"/>
          <w:sz w:val="24"/>
          <w:szCs w:val="24"/>
          <w:highlight w:val="none"/>
        </w:rPr>
      </w:pPr>
      <w:bookmarkStart w:id="170" w:name="_Toc24451"/>
      <w:bookmarkStart w:id="171" w:name="_Toc25985"/>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3"/>
          <w:rFonts w:hint="eastAsia" w:ascii="仿宋" w:hAnsi="仿宋" w:eastAsia="仿宋" w:cs="仿宋"/>
          <w:color w:val="auto"/>
          <w:highlight w:val="none"/>
          <w:u w:val="none"/>
        </w:rPr>
        <w:t>全国公共资源交易网（陕西省·西安市）</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3"/>
          <w:rFonts w:hint="eastAsia" w:ascii="仿宋" w:hAnsi="仿宋" w:eastAsia="仿宋" w:cs="仿宋"/>
          <w:color w:val="auto"/>
          <w:highlight w:val="none"/>
          <w:u w:val="none"/>
        </w:rPr>
        <w:t>http://sxggzyjy.xa.gov.cn/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5689"/>
      <w:bookmarkStart w:id="175" w:name="_Toc25107"/>
      <w:r>
        <w:rPr>
          <w:rFonts w:hint="eastAsia" w:ascii="仿宋" w:hAnsi="仿宋" w:eastAsia="仿宋" w:cs="仿宋"/>
          <w:b/>
          <w:bCs/>
          <w:sz w:val="24"/>
          <w:szCs w:val="24"/>
          <w:highlight w:val="none"/>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highlight w:val="none"/>
        </w:rPr>
      </w:pPr>
      <w:bookmarkStart w:id="176" w:name="_Toc17437"/>
      <w:bookmarkStart w:id="177" w:name="_Toc4972"/>
      <w:r>
        <w:rPr>
          <w:rFonts w:hint="eastAsia" w:ascii="仿宋" w:eastAsia="仿宋" w:cs="仿宋"/>
          <w:sz w:val="24"/>
          <w:szCs w:val="24"/>
          <w:highlight w:val="none"/>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highlight w:val="none"/>
        </w:rPr>
      </w:pPr>
      <w:bookmarkStart w:id="178" w:name="_Toc15008"/>
      <w:bookmarkStart w:id="179" w:name="_Toc32318"/>
      <w:bookmarkStart w:id="180" w:name="_Toc27080"/>
      <w:bookmarkStart w:id="181" w:name="_Toc8678"/>
      <w:bookmarkStart w:id="182" w:name="_Toc27743"/>
      <w:bookmarkStart w:id="183" w:name="_Toc17948"/>
      <w:bookmarkStart w:id="184" w:name="_Toc29669"/>
      <w:bookmarkStart w:id="185" w:name="_Toc23397"/>
      <w:bookmarkStart w:id="186" w:name="_Toc11528"/>
      <w:bookmarkStart w:id="187" w:name="_Toc5505"/>
      <w:bookmarkStart w:id="188" w:name="_Toc4076"/>
      <w:bookmarkStart w:id="189" w:name="_Toc29947"/>
      <w:bookmarkStart w:id="190" w:name="_Toc30470"/>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highlight w:val="none"/>
        </w:rPr>
      </w:pPr>
      <w:bookmarkStart w:id="191" w:name="_Toc13674"/>
      <w:bookmarkStart w:id="192" w:name="_Toc1363"/>
      <w:bookmarkStart w:id="193" w:name="_Toc25123"/>
      <w:bookmarkStart w:id="194" w:name="_Toc7221"/>
      <w:bookmarkStart w:id="195" w:name="_Toc5804"/>
      <w:bookmarkStart w:id="196" w:name="_Toc11993"/>
      <w:bookmarkStart w:id="197" w:name="_Toc19980"/>
      <w:bookmarkStart w:id="198" w:name="_Toc18630"/>
      <w:bookmarkStart w:id="199" w:name="_Toc12431"/>
      <w:bookmarkStart w:id="200" w:name="_Toc27450"/>
      <w:bookmarkStart w:id="201" w:name="_Toc28186"/>
      <w:bookmarkStart w:id="202" w:name="_Toc10244"/>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highlight w:val="none"/>
        </w:rPr>
      </w:pPr>
      <w:bookmarkStart w:id="203" w:name="_Toc5232"/>
      <w:bookmarkStart w:id="204" w:name="_Toc32489"/>
      <w:bookmarkStart w:id="205" w:name="_Toc27340"/>
      <w:bookmarkStart w:id="206" w:name="_Toc29446"/>
      <w:bookmarkStart w:id="207" w:name="_Toc17671"/>
      <w:bookmarkStart w:id="208" w:name="_Toc19044"/>
      <w:bookmarkStart w:id="209" w:name="_Toc27447"/>
      <w:bookmarkStart w:id="210" w:name="_Toc31506"/>
      <w:bookmarkStart w:id="211" w:name="_Toc22186"/>
      <w:bookmarkStart w:id="212" w:name="_Toc3501"/>
      <w:bookmarkStart w:id="213" w:name="_Toc10000"/>
      <w:bookmarkStart w:id="214" w:name="_Toc27099"/>
      <w:bookmarkStart w:id="215" w:name="_Toc31310"/>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highlight w:val="none"/>
        </w:rPr>
      </w:pPr>
      <w:bookmarkStart w:id="216" w:name="_Toc10396"/>
      <w:bookmarkStart w:id="217" w:name="_Toc2327"/>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highlight w:val="none"/>
        </w:rPr>
      </w:pPr>
      <w:bookmarkStart w:id="218" w:name="_Toc12303"/>
      <w:bookmarkStart w:id="219" w:name="_Toc3341"/>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6"/>
        <w:spacing w:before="0" w:beforeLines="0" w:after="0" w:afterLines="0" w:line="360" w:lineRule="auto"/>
        <w:ind w:firstLine="482"/>
        <w:outlineLvl w:val="2"/>
        <w:rPr>
          <w:rFonts w:ascii="仿宋" w:eastAsia="仿宋" w:cs="仿宋"/>
          <w:sz w:val="24"/>
          <w:szCs w:val="24"/>
          <w:highlight w:val="none"/>
        </w:rPr>
      </w:pPr>
      <w:bookmarkStart w:id="220" w:name="_Toc28026"/>
      <w:bookmarkStart w:id="221" w:name="_Toc14492"/>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highlight w:val="none"/>
        </w:rPr>
      </w:pPr>
      <w:bookmarkStart w:id="222" w:name="_Toc25639"/>
      <w:bookmarkStart w:id="223" w:name="_Toc2502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highlight w:val="none"/>
        </w:rPr>
      </w:pPr>
      <w:bookmarkStart w:id="224" w:name="_Toc13492"/>
      <w:bookmarkStart w:id="225" w:name="_Toc11337"/>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highlight w:val="none"/>
        </w:rPr>
      </w:pPr>
      <w:bookmarkStart w:id="226" w:name="_Toc28674"/>
      <w:bookmarkStart w:id="227" w:name="_Toc3958"/>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highlight w:val="none"/>
        </w:rPr>
      </w:pPr>
      <w:bookmarkStart w:id="228" w:name="_Toc8119"/>
      <w:bookmarkStart w:id="229" w:name="_Toc5924"/>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31690"/>
      <w:bookmarkStart w:id="231" w:name="_Toc1403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highlight w:val="none"/>
        </w:rPr>
      </w:pPr>
      <w:bookmarkStart w:id="232" w:name="_Toc30734"/>
      <w:bookmarkStart w:id="233" w:name="_Toc21118"/>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6"/>
        <w:spacing w:before="0" w:beforeLines="0" w:after="0" w:afterLines="0" w:line="360" w:lineRule="auto"/>
        <w:ind w:firstLine="482"/>
        <w:outlineLvl w:val="2"/>
        <w:rPr>
          <w:rFonts w:ascii="仿宋" w:eastAsia="仿宋" w:cs="仿宋"/>
          <w:sz w:val="24"/>
          <w:szCs w:val="24"/>
          <w:highlight w:val="none"/>
        </w:rPr>
      </w:pPr>
      <w:bookmarkStart w:id="234" w:name="_Toc6469"/>
      <w:bookmarkStart w:id="235" w:name="_Toc30025"/>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highlight w:val="none"/>
        </w:rPr>
      </w:pPr>
      <w:bookmarkStart w:id="236" w:name="_Toc5529"/>
      <w:bookmarkStart w:id="237" w:name="_Toc314"/>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32177"/>
      <w:bookmarkStart w:id="239" w:name="_Toc7121"/>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eastAsia" w:ascii="仿宋" w:hAnsi="仿宋" w:eastAsia="仿宋" w:cs="仿宋"/>
                <w:spacing w:val="-5"/>
                <w:sz w:val="22"/>
                <w:szCs w:val="22"/>
                <w:highlight w:val="none"/>
              </w:rPr>
            </w:pPr>
            <w:r>
              <w:rPr>
                <w:rFonts w:hint="eastAsia" w:ascii="仿宋" w:hAnsi="仿宋" w:eastAsia="仿宋" w:cs="仿宋"/>
                <w:spacing w:val="-5"/>
                <w:sz w:val="22"/>
                <w:szCs w:val="22"/>
                <w:highlight w:val="none"/>
                <w:lang w:val="en-US" w:eastAsia="zh-CN"/>
              </w:rPr>
              <w:t>1.投标产品属于医疗器械管理的</w:t>
            </w:r>
            <w:r>
              <w:rPr>
                <w:rFonts w:hint="eastAsia" w:ascii="仿宋" w:hAnsi="仿宋" w:eastAsia="仿宋" w:cs="仿宋"/>
                <w:spacing w:val="-5"/>
                <w:sz w:val="22"/>
                <w:szCs w:val="22"/>
                <w:highlight w:val="none"/>
              </w:rPr>
              <w:t>须提供所投产品的《医疗器械产品注册证》</w:t>
            </w:r>
            <w:r>
              <w:rPr>
                <w:rFonts w:hint="eastAsia" w:ascii="仿宋" w:hAnsi="仿宋" w:eastAsia="仿宋" w:cs="仿宋"/>
                <w:spacing w:val="-5"/>
                <w:sz w:val="22"/>
                <w:szCs w:val="22"/>
                <w:highlight w:val="none"/>
                <w:lang w:eastAsia="zh-CN"/>
              </w:rPr>
              <w:t>或《医疗器械产品备案凭证》</w:t>
            </w:r>
            <w:r>
              <w:rPr>
                <w:rFonts w:hint="eastAsia" w:ascii="仿宋" w:hAnsi="仿宋" w:eastAsia="仿宋" w:cs="仿宋"/>
                <w:spacing w:val="-5"/>
                <w:sz w:val="22"/>
                <w:szCs w:val="22"/>
                <w:highlight w:val="none"/>
              </w:rPr>
              <w:t>；</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eastAsia" w:ascii="仿宋" w:hAnsi="仿宋" w:eastAsia="仿宋" w:cs="仿宋"/>
                <w:spacing w:val="-5"/>
                <w:sz w:val="22"/>
                <w:szCs w:val="22"/>
                <w:highlight w:val="none"/>
              </w:rPr>
              <w:t>投标人为生产厂家的须提供《医疗器械生产许可证》，投标人为代理商的</w:t>
            </w:r>
            <w:r>
              <w:rPr>
                <w:rFonts w:hint="eastAsia" w:ascii="仿宋" w:hAnsi="仿宋" w:eastAsia="仿宋" w:cs="仿宋"/>
                <w:spacing w:val="-5"/>
                <w:sz w:val="22"/>
                <w:szCs w:val="22"/>
                <w:highlight w:val="none"/>
                <w:lang w:val="en-US" w:eastAsia="zh-CN"/>
              </w:rPr>
              <w:t>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highlight w:val="none"/>
        </w:rPr>
      </w:pPr>
      <w:bookmarkStart w:id="243" w:name="_Toc5644"/>
      <w:bookmarkStart w:id="244" w:name="_Toc30996"/>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6"/>
        <w:spacing w:before="0" w:beforeLines="0" w:after="0" w:afterLines="0" w:line="360" w:lineRule="auto"/>
        <w:ind w:firstLine="482"/>
        <w:outlineLvl w:val="2"/>
        <w:rPr>
          <w:rFonts w:ascii="仿宋" w:eastAsia="仿宋" w:cs="仿宋"/>
          <w:sz w:val="24"/>
          <w:szCs w:val="24"/>
          <w:highlight w:val="none"/>
        </w:rPr>
      </w:pPr>
      <w:bookmarkStart w:id="245" w:name="_Toc21957"/>
      <w:bookmarkStart w:id="246" w:name="_Toc20625"/>
      <w:r>
        <w:rPr>
          <w:rFonts w:hint="eastAsia" w:ascii="仿宋" w:eastAsia="仿宋" w:cs="仿宋"/>
          <w:sz w:val="24"/>
          <w:szCs w:val="24"/>
          <w:highlight w:val="none"/>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highlight w:val="none"/>
        </w:rPr>
      </w:pPr>
      <w:bookmarkStart w:id="247" w:name="_Toc13586"/>
      <w:bookmarkStart w:id="248" w:name="_Toc820"/>
      <w:bookmarkStart w:id="249" w:name="_Toc11120"/>
      <w:bookmarkStart w:id="250" w:name="_Toc11267"/>
      <w:bookmarkStart w:id="251" w:name="_Toc31836"/>
      <w:bookmarkStart w:id="252" w:name="_Toc13438"/>
      <w:bookmarkStart w:id="253" w:name="_Toc15514"/>
      <w:bookmarkStart w:id="254" w:name="_Toc18594"/>
      <w:bookmarkStart w:id="255" w:name="_Toc3718"/>
      <w:bookmarkStart w:id="256" w:name="_Toc6278"/>
      <w:bookmarkStart w:id="257" w:name="_Toc20918"/>
      <w:bookmarkStart w:id="258" w:name="_Toc10010"/>
      <w:bookmarkStart w:id="259" w:name="_Toc18092"/>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highlight w:val="none"/>
        </w:rPr>
      </w:pPr>
      <w:bookmarkStart w:id="260" w:name="_Toc19246"/>
      <w:bookmarkStart w:id="261" w:name="_Toc24650"/>
      <w:bookmarkStart w:id="262" w:name="_Toc8659"/>
      <w:bookmarkStart w:id="263" w:name="_Toc24088"/>
      <w:bookmarkStart w:id="264" w:name="_Toc28864"/>
      <w:bookmarkStart w:id="265" w:name="_Toc30825"/>
      <w:bookmarkStart w:id="266" w:name="_Toc23266"/>
      <w:bookmarkStart w:id="267" w:name="_Toc24097"/>
      <w:bookmarkStart w:id="268" w:name="_Toc29006"/>
      <w:bookmarkStart w:id="269" w:name="_Toc24825"/>
      <w:bookmarkStart w:id="270" w:name="_Toc499"/>
      <w:bookmarkStart w:id="271" w:name="_Toc8461"/>
      <w:bookmarkStart w:id="272" w:name="_Toc30717"/>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69"/>
      <w:bookmarkStart w:id="274" w:name="_Toc5660"/>
      <w:bookmarkStart w:id="275" w:name="_Toc13754"/>
      <w:bookmarkStart w:id="276" w:name="_Toc21675"/>
      <w:bookmarkStart w:id="277" w:name="_Toc13966"/>
      <w:bookmarkStart w:id="278" w:name="_Toc27388"/>
      <w:bookmarkStart w:id="279" w:name="_Toc14375"/>
      <w:bookmarkStart w:id="280" w:name="_Toc32034"/>
      <w:bookmarkStart w:id="281" w:name="_Toc28484"/>
      <w:bookmarkStart w:id="282" w:name="_Toc1743"/>
      <w:bookmarkStart w:id="283" w:name="_Toc13712"/>
      <w:bookmarkStart w:id="284" w:name="_Toc31840"/>
      <w:bookmarkStart w:id="285" w:name="_Toc32551"/>
      <w:bookmarkStart w:id="286" w:name="_Toc16822"/>
      <w:bookmarkStart w:id="287" w:name="_Toc2589"/>
      <w:bookmarkStart w:id="288" w:name="_Toc22434"/>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20662"/>
            <w:bookmarkStart w:id="290" w:name="_Toc14869"/>
            <w:bookmarkStart w:id="291" w:name="_Toc19596"/>
            <w:bookmarkStart w:id="292" w:name="_Toc24826"/>
            <w:bookmarkStart w:id="293" w:name="_Toc23880"/>
            <w:bookmarkStart w:id="294" w:name="_Toc29929"/>
            <w:bookmarkStart w:id="295" w:name="_Toc19933"/>
            <w:bookmarkStart w:id="296" w:name="_Toc485"/>
            <w:bookmarkStart w:id="297" w:name="_Toc27090"/>
            <w:bookmarkStart w:id="298" w:name="_Toc28252"/>
            <w:bookmarkStart w:id="299" w:name="_Toc20698"/>
            <w:bookmarkStart w:id="300" w:name="_Toc26683"/>
            <w:bookmarkStart w:id="301" w:name="_Toc6869"/>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保障</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w:t>
            </w:r>
          </w:p>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highlight w:val="none"/>
        </w:rPr>
      </w:pPr>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5"/>
        <w:spacing w:line="360" w:lineRule="auto"/>
        <w:ind w:firstLine="482" w:firstLineChars="200"/>
        <w:jc w:val="both"/>
        <w:outlineLvl w:val="3"/>
        <w:rPr>
          <w:rFonts w:ascii="仿宋" w:eastAsia="仿宋" w:cs="仿宋"/>
          <w:b/>
          <w:bCs/>
          <w:sz w:val="24"/>
          <w:szCs w:val="24"/>
          <w:highlight w:val="none"/>
        </w:rPr>
      </w:pPr>
      <w:bookmarkStart w:id="302" w:name="_Toc28187"/>
      <w:bookmarkStart w:id="303" w:name="_Toc17918"/>
      <w:bookmarkStart w:id="304" w:name="_Toc18755"/>
      <w:bookmarkStart w:id="305" w:name="_Toc24909"/>
      <w:bookmarkStart w:id="306" w:name="_Toc15099"/>
      <w:bookmarkStart w:id="307" w:name="_Toc6487"/>
      <w:bookmarkStart w:id="308" w:name="_Toc136"/>
      <w:bookmarkStart w:id="309" w:name="_Toc14218"/>
      <w:bookmarkStart w:id="310" w:name="_Toc9669"/>
      <w:bookmarkStart w:id="311" w:name="_Toc18667"/>
      <w:bookmarkStart w:id="312" w:name="_Toc24102"/>
      <w:bookmarkStart w:id="313" w:name="_Toc10673"/>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highlight w:val="none"/>
        </w:rPr>
      </w:pPr>
      <w:bookmarkStart w:id="314" w:name="_Toc1169"/>
      <w:bookmarkStart w:id="315" w:name="_Toc1035"/>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highlight w:val="none"/>
        </w:rPr>
      </w:pPr>
      <w:bookmarkStart w:id="316" w:name="_Toc19388"/>
      <w:bookmarkStart w:id="317" w:name="_Toc8805"/>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highlight w:val="none"/>
        </w:rPr>
      </w:pPr>
      <w:bookmarkStart w:id="318" w:name="_Toc25739"/>
      <w:bookmarkStart w:id="319" w:name="_Toc1992"/>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4730"/>
      <w:bookmarkStart w:id="321" w:name="_Toc2595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392"/>
      <w:bookmarkStart w:id="323" w:name="_Toc32403"/>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324" w:name="_Toc10136"/>
      <w:bookmarkStart w:id="325" w:name="_Toc10762"/>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highlight w:val="none"/>
        </w:rPr>
      </w:pPr>
      <w:bookmarkStart w:id="326" w:name="_Toc21317"/>
      <w:bookmarkStart w:id="327" w:name="_Toc142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highlight w:val="none"/>
        </w:rPr>
      </w:pPr>
      <w:bookmarkStart w:id="328" w:name="_Toc27623"/>
      <w:bookmarkStart w:id="329" w:name="_Toc9210"/>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highlight w:val="none"/>
        </w:rPr>
      </w:pPr>
      <w:bookmarkStart w:id="330" w:name="_Toc11037"/>
      <w:bookmarkStart w:id="331" w:name="_Toc21162"/>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25429"/>
      <w:bookmarkStart w:id="333" w:name="_Toc7379"/>
      <w:bookmarkStart w:id="334" w:name="_Toc14567"/>
      <w:bookmarkStart w:id="335" w:name="_Toc26884"/>
      <w:bookmarkStart w:id="336" w:name="_Toc495681517"/>
      <w:bookmarkStart w:id="337" w:name="_Toc18466"/>
      <w:bookmarkStart w:id="338" w:name="_Toc19"/>
      <w:bookmarkStart w:id="339" w:name="_Toc7570"/>
      <w:bookmarkStart w:id="340" w:name="_Toc495908035"/>
      <w:bookmarkStart w:id="341" w:name="_Toc20679"/>
      <w:bookmarkStart w:id="342" w:name="_Toc495681390"/>
      <w:bookmarkStart w:id="343" w:name="_Toc495681236"/>
      <w:bookmarkStart w:id="344" w:name="_Toc18844"/>
      <w:bookmarkStart w:id="345" w:name="_Toc7638"/>
      <w:bookmarkStart w:id="346" w:name="_Toc24838"/>
      <w:bookmarkStart w:id="347" w:name="_Toc22334"/>
      <w:bookmarkStart w:id="348" w:name="_Toc20008"/>
      <w:bookmarkStart w:id="349" w:name="_Toc29351"/>
      <w:bookmarkStart w:id="350" w:name="_Toc20127"/>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19369"/>
      <w:bookmarkStart w:id="353" w:name="_Toc3893"/>
      <w:bookmarkStart w:id="354" w:name="_Toc2887"/>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0219614"/>
      <w:bookmarkStart w:id="356" w:name="_Toc10743"/>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bookmarkStart w:id="357" w:name="_Toc100219615"/>
      <w:r>
        <w:rPr>
          <w:rFonts w:hint="eastAsia" w:ascii="仿宋" w:hAnsi="仿宋" w:eastAsia="仿宋" w:cs="仿宋"/>
          <w:b/>
          <w:bCs/>
          <w:i w:val="0"/>
          <w:iCs w:val="0"/>
          <w:color w:val="000000"/>
          <w:kern w:val="0"/>
          <w:sz w:val="24"/>
          <w:szCs w:val="24"/>
          <w:highlight w:val="none"/>
          <w:u w:val="none"/>
          <w:lang w:val="en-US" w:eastAsia="zh-CN" w:bidi="ar"/>
        </w:rPr>
        <w:t>包7：手术室设备1</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核心产品：双灯头手术无影灯</w:t>
      </w:r>
    </w:p>
    <w:p>
      <w:pPr>
        <w:bidi w:val="0"/>
        <w:spacing w:line="360" w:lineRule="auto"/>
        <w:jc w:val="center"/>
        <w:rPr>
          <w:rFonts w:hint="eastAsia" w:ascii="仿宋" w:hAnsi="仿宋" w:eastAsia="仿宋" w:cs="仿宋"/>
          <w:b/>
          <w:bCs/>
        </w:rPr>
      </w:pPr>
      <w:r>
        <w:rPr>
          <w:rFonts w:hint="eastAsia" w:ascii="仿宋" w:hAnsi="仿宋" w:eastAsia="仿宋" w:cs="仿宋"/>
          <w:b/>
          <w:bCs/>
        </w:rPr>
        <w:t>第一部分   产品明细表</w:t>
      </w:r>
    </w:p>
    <w:tbl>
      <w:tblPr>
        <w:tblStyle w:val="36"/>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4607"/>
        <w:gridCol w:w="1418"/>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设备名称</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机械双臂吊塔</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机械麻醉单臂吊塔</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双灯头手术无影灯</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多功能手术床</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5</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体位垫</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腿架，肩架，腰架等</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bl>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第二部分   技术参数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第一、</w:t>
      </w:r>
      <w:r>
        <w:rPr>
          <w:rFonts w:hint="eastAsia" w:ascii="仿宋" w:hAnsi="仿宋" w:eastAsia="仿宋" w:cs="仿宋"/>
          <w:b/>
          <w:bCs/>
          <w:color w:val="000000"/>
          <w:sz w:val="24"/>
          <w:szCs w:val="24"/>
        </w:rPr>
        <w:t>机械双臂吊塔</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color w:val="000000"/>
          <w:sz w:val="24"/>
          <w:szCs w:val="24"/>
        </w:rPr>
        <w:t>机械双臂吊塔</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二、设备数量：叁套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（一）吊塔技术要求：</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吊塔主体材料为铝合金，方形全封闭式设计，材料防腐蚀，便于清洗，表面喷塑</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吊塔旋转≥340度，且具有良好的限位系统；</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须配有良好的机械刹车系统；</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气电箱上气体终端及强弱电终端位于箱体同侧同面</w:t>
      </w:r>
      <w:r>
        <w:rPr>
          <w:rFonts w:hint="eastAsia" w:ascii="仿宋" w:hAnsi="仿宋" w:eastAsia="仿宋" w:cs="仿宋"/>
          <w:sz w:val="24"/>
          <w:szCs w:val="24"/>
          <w:lang w:eastAsia="zh-CN"/>
        </w:rPr>
        <w:t>；</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吊塔采用气电分离式设计</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吊塔防护等级</w:t>
      </w:r>
      <w:r>
        <w:rPr>
          <w:rFonts w:hint="eastAsia" w:ascii="仿宋" w:hAnsi="仿宋" w:eastAsia="仿宋" w:cs="仿宋"/>
          <w:sz w:val="24"/>
          <w:szCs w:val="24"/>
          <w:lang w:eastAsia="zh-CN"/>
        </w:rPr>
        <w:t>≥</w:t>
      </w:r>
      <w:r>
        <w:rPr>
          <w:rFonts w:hint="eastAsia" w:ascii="仿宋" w:hAnsi="仿宋" w:eastAsia="仿宋" w:cs="仿宋"/>
          <w:sz w:val="24"/>
          <w:szCs w:val="24"/>
        </w:rPr>
        <w:t>IP20</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气体插座为不同颜色和不同形状。</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气体终端符合ENISO 9170-1标准，医用气体软管符合ENISO 5359标准</w:t>
      </w:r>
    </w:p>
    <w:p>
      <w:pPr>
        <w:pStyle w:val="131"/>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转接支架稳定，荷载≥4500N</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kern w:val="0"/>
          <w:sz w:val="24"/>
          <w:szCs w:val="24"/>
          <w:lang w:eastAsia="zh-CN"/>
        </w:rPr>
      </w:pPr>
      <w:r>
        <w:rPr>
          <w:rFonts w:hint="eastAsia" w:ascii="仿宋" w:hAnsi="仿宋" w:eastAsia="仿宋" w:cs="仿宋"/>
          <w:b/>
          <w:kern w:val="0"/>
          <w:sz w:val="24"/>
          <w:szCs w:val="24"/>
          <w:lang w:eastAsia="zh-CN"/>
        </w:rPr>
        <w:t>（二）</w:t>
      </w:r>
      <w:r>
        <w:rPr>
          <w:rFonts w:hint="eastAsia" w:ascii="仿宋" w:hAnsi="仿宋" w:eastAsia="仿宋" w:cs="仿宋"/>
          <w:b/>
          <w:kern w:val="0"/>
          <w:sz w:val="24"/>
          <w:szCs w:val="24"/>
        </w:rPr>
        <w:t>吊塔配置要求</w:t>
      </w:r>
      <w:r>
        <w:rPr>
          <w:rFonts w:hint="eastAsia" w:ascii="仿宋" w:hAnsi="仿宋" w:eastAsia="仿宋" w:cs="仿宋"/>
          <w:b/>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双臂吊柱型</w:t>
      </w:r>
      <w:r>
        <w:rPr>
          <w:rFonts w:hint="eastAsia" w:ascii="仿宋" w:hAnsi="仿宋" w:eastAsia="仿宋" w:cs="仿宋"/>
          <w:b w:val="0"/>
          <w:bCs w:val="0"/>
          <w:sz w:val="24"/>
          <w:szCs w:val="24"/>
          <w:lang w:eastAsia="zh-CN"/>
        </w:rPr>
        <w:t>：吊塔</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kern w:val="0"/>
          <w:sz w:val="24"/>
          <w:szCs w:val="24"/>
        </w:rPr>
        <w:t>竖式气电箱长度</w:t>
      </w:r>
      <w:r>
        <w:rPr>
          <w:rFonts w:hint="eastAsia" w:ascii="仿宋" w:hAnsi="仿宋" w:eastAsia="仿宋" w:cs="仿宋"/>
          <w:sz w:val="24"/>
          <w:szCs w:val="24"/>
        </w:rPr>
        <w:t>≥800mm</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气电箱旋转角度≥340°</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双臂旋转半径总长≥1500mm</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净负载能力≥120Kg</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附件配置： 标准气体插座（氧气2个，空气2个，负压吸引2个，二氧化碳2个）</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电源插座10个、16A电源插座1个、网络接口 3个、等电位</w:t>
      </w:r>
      <w:r>
        <w:rPr>
          <w:rFonts w:hint="eastAsia" w:ascii="仿宋" w:hAnsi="仿宋" w:eastAsia="仿宋" w:cs="仿宋"/>
          <w:sz w:val="24"/>
          <w:szCs w:val="24"/>
          <w:lang w:eastAsia="zh-CN"/>
        </w:rPr>
        <w:t>柱</w:t>
      </w:r>
      <w:r>
        <w:rPr>
          <w:rFonts w:hint="eastAsia" w:ascii="仿宋" w:hAnsi="仿宋" w:eastAsia="仿宋" w:cs="仿宋"/>
          <w:sz w:val="24"/>
          <w:szCs w:val="24"/>
        </w:rPr>
        <w:t>2个</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二层设备托盘，其中一个带抽屉</w:t>
      </w:r>
    </w:p>
    <w:p>
      <w:pPr>
        <w:pStyle w:val="82"/>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网篮一个、输液架一个、集线器一套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第二、</w:t>
      </w:r>
      <w:r>
        <w:rPr>
          <w:rFonts w:hint="eastAsia" w:ascii="仿宋" w:hAnsi="仿宋" w:eastAsia="仿宋" w:cs="仿宋"/>
          <w:b/>
          <w:bCs/>
          <w:color w:val="000000"/>
          <w:sz w:val="24"/>
          <w:szCs w:val="24"/>
        </w:rPr>
        <w:t>机械麻醉单臂吊塔</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color w:val="000000"/>
          <w:sz w:val="24"/>
          <w:szCs w:val="24"/>
        </w:rPr>
        <w:t>机械麻醉单臂吊塔</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二、设备数量：叁套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（一）吊塔技术要求：</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吊塔主体材料为铝合金，方形全封闭式设计，材料防腐蚀，便于清洗，表面喷塑</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吊塔旋转≥340度，且具有良好的限位系统；</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配有良好的机械刹车系统；</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气电箱上气体终端及强弱电终端位于箱体同侧同面</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吊塔采用气电分离式设计</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吊塔防护等级≥IP20</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气体插座为不同颜色和不同形状。</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气体终端符合ENISO 9170-1标准，医用气体软管符合ENISO 5359标准</w:t>
      </w:r>
    </w:p>
    <w:p>
      <w:pPr>
        <w:pStyle w:val="131"/>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转接支架稳定，荷载≥4500N</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kern w:val="0"/>
          <w:sz w:val="24"/>
          <w:szCs w:val="24"/>
          <w:lang w:eastAsia="zh-CN"/>
        </w:rPr>
      </w:pPr>
      <w:r>
        <w:rPr>
          <w:rFonts w:hint="eastAsia" w:ascii="仿宋" w:hAnsi="仿宋" w:eastAsia="仿宋" w:cs="仿宋"/>
          <w:b/>
          <w:kern w:val="0"/>
          <w:sz w:val="24"/>
          <w:szCs w:val="24"/>
          <w:lang w:eastAsia="zh-CN"/>
        </w:rPr>
        <w:t>（二）</w:t>
      </w:r>
      <w:r>
        <w:rPr>
          <w:rFonts w:hint="eastAsia" w:ascii="仿宋" w:hAnsi="仿宋" w:eastAsia="仿宋" w:cs="仿宋"/>
          <w:b/>
          <w:kern w:val="0"/>
          <w:sz w:val="24"/>
          <w:szCs w:val="24"/>
        </w:rPr>
        <w:t>吊塔配置要求</w:t>
      </w:r>
      <w:r>
        <w:rPr>
          <w:rFonts w:hint="eastAsia" w:ascii="仿宋" w:hAnsi="仿宋" w:eastAsia="仿宋" w:cs="仿宋"/>
          <w:b/>
          <w:kern w:val="0"/>
          <w:sz w:val="24"/>
          <w:szCs w:val="24"/>
          <w:lang w:eastAsia="zh-CN"/>
        </w:rPr>
        <w:t>：</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吊塔单臂：吊柱塔</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kern w:val="0"/>
          <w:sz w:val="24"/>
          <w:szCs w:val="24"/>
        </w:rPr>
        <w:t>竖式气电箱长度</w:t>
      </w:r>
      <w:r>
        <w:rPr>
          <w:rFonts w:hint="eastAsia" w:ascii="仿宋" w:hAnsi="仿宋" w:eastAsia="仿宋" w:cs="仿宋"/>
          <w:sz w:val="24"/>
          <w:szCs w:val="24"/>
        </w:rPr>
        <w:t>≥800mm</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气电箱旋转角度≥340°</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吊臂长度旋转半径总长≥750mm，</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净负载能力≥120Kg</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附件配置： </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标准气体插座（氧气2个，空气2个，负压吸引2个，麻醉废气1个）</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电源插座10个、16A电源插座1个、6类网络接口 3个、等电位</w:t>
      </w:r>
      <w:r>
        <w:rPr>
          <w:rFonts w:hint="eastAsia" w:ascii="仿宋" w:hAnsi="仿宋" w:eastAsia="仿宋" w:cs="仿宋"/>
          <w:sz w:val="24"/>
          <w:szCs w:val="24"/>
          <w:lang w:eastAsia="zh-CN"/>
        </w:rPr>
        <w:t>柱</w:t>
      </w:r>
      <w:r>
        <w:rPr>
          <w:rFonts w:hint="eastAsia" w:ascii="仿宋" w:hAnsi="仿宋" w:eastAsia="仿宋" w:cs="仿宋"/>
          <w:sz w:val="24"/>
          <w:szCs w:val="24"/>
        </w:rPr>
        <w:t>2个</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二层设备托盘，其中一个带抽屉</w:t>
      </w:r>
    </w:p>
    <w:p>
      <w:pPr>
        <w:pStyle w:val="82"/>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网篮一个、输液架一个、集线器一套</w:t>
      </w:r>
    </w:p>
    <w:p>
      <w:pPr>
        <w:pStyle w:val="131"/>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center"/>
        <w:textAlignment w:val="auto"/>
        <w:rPr>
          <w:rFonts w:hint="eastAsia" w:ascii="仿宋" w:hAnsi="仿宋" w:eastAsia="仿宋" w:cs="仿宋"/>
          <w:b/>
          <w:sz w:val="24"/>
          <w:szCs w:val="24"/>
        </w:rPr>
      </w:pPr>
      <w:r>
        <w:rPr>
          <w:rFonts w:hint="eastAsia" w:ascii="仿宋" w:hAnsi="仿宋" w:eastAsia="仿宋" w:cs="仿宋"/>
          <w:b/>
          <w:kern w:val="2"/>
          <w:sz w:val="24"/>
          <w:szCs w:val="24"/>
          <w:lang w:val="en-US" w:eastAsia="zh-CN" w:bidi="ar-SA"/>
        </w:rPr>
        <w:t>第三、</w:t>
      </w:r>
      <w:r>
        <w:rPr>
          <w:rFonts w:hint="eastAsia" w:ascii="仿宋" w:hAnsi="仿宋" w:eastAsia="仿宋" w:cs="仿宋"/>
          <w:b/>
          <w:sz w:val="24"/>
          <w:szCs w:val="24"/>
        </w:rPr>
        <w:t>双灯头手术无影灯</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sz w:val="24"/>
          <w:szCs w:val="24"/>
        </w:rPr>
        <w:t>双灯头手术无影灯</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二、设备数量：叁套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sz w:val="24"/>
          <w:szCs w:val="24"/>
        </w:rPr>
      </w:pPr>
      <w:r>
        <w:rPr>
          <w:rFonts w:hint="eastAsia" w:ascii="仿宋" w:hAnsi="仿宋" w:eastAsia="仿宋" w:cs="仿宋"/>
          <w:b/>
          <w:bCs/>
          <w:kern w:val="0"/>
          <w:sz w:val="24"/>
          <w:szCs w:val="24"/>
        </w:rPr>
        <w:t>三、技术</w:t>
      </w:r>
      <w:r>
        <w:rPr>
          <w:rFonts w:hint="eastAsia" w:ascii="仿宋" w:hAnsi="仿宋" w:eastAsia="仿宋" w:cs="仿宋"/>
          <w:b/>
          <w:bCs/>
          <w:kern w:val="0"/>
          <w:sz w:val="24"/>
          <w:szCs w:val="24"/>
          <w:lang w:eastAsia="zh-CN"/>
        </w:rPr>
        <w:t>要求及</w:t>
      </w:r>
      <w:r>
        <w:rPr>
          <w:rFonts w:hint="eastAsia" w:ascii="仿宋" w:hAnsi="仿宋" w:eastAsia="仿宋" w:cs="仿宋"/>
          <w:b/>
          <w:bCs/>
          <w:kern w:val="0"/>
          <w:sz w:val="24"/>
          <w:szCs w:val="24"/>
        </w:rPr>
        <w:t>参数：</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采用LED冷光技术，每组LED光源都有单独的透镜聚光</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母灯中心照度≥160,000Lx，子灯中心照度≥160,000Lx。</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光斑直径可以调节，母灯及子灯最小光斑140mm，最大光斑直径为300mm</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光斑均匀性：d50/d10为60%。</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母灯深腔照明率100%，子灯深腔照明率100%。</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单遮板无影率：≥60%。</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双遮板无影率：≥56%。</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偏置单遮板无影率：≥76%。</w:t>
      </w:r>
    </w:p>
    <w:p>
      <w:pPr>
        <w:keepNext w:val="0"/>
        <w:keepLines w:val="0"/>
        <w:pageBreakBefore w:val="0"/>
        <w:widowControl/>
        <w:numPr>
          <w:ilvl w:val="1"/>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显色指数Ra：≥99。</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显色指数R9：≥97。</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具备色温可调功能，可调范围≥3500K-5000K，≥5级可调。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光源功率≤40W。辐照度/中心照度≤3.5 mW/(</w:t>
      </w:r>
      <w:r>
        <w:rPr>
          <w:rFonts w:hint="eastAsia" w:ascii="仿宋" w:hAnsi="仿宋" w:eastAsia="仿宋" w:cs="仿宋"/>
          <w:sz w:val="24"/>
          <w:szCs w:val="24"/>
          <w:lang w:eastAsia="zh-CN"/>
        </w:rPr>
        <w:t>㎡</w:t>
      </w:r>
      <w:r>
        <w:rPr>
          <w:rFonts w:hint="eastAsia" w:ascii="仿宋" w:hAnsi="仿宋" w:eastAsia="仿宋" w:cs="仿宋"/>
          <w:sz w:val="24"/>
          <w:szCs w:val="24"/>
        </w:rPr>
        <w:t>·lx)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支持无线摄像，≥8倍光学变焦（提供证明文件）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无线摄像与多功能手柄</w:t>
      </w:r>
      <w:r>
        <w:rPr>
          <w:rFonts w:hint="eastAsia" w:ascii="仿宋" w:hAnsi="仿宋" w:eastAsia="仿宋" w:cs="仿宋"/>
          <w:sz w:val="24"/>
          <w:szCs w:val="24"/>
          <w:lang w:eastAsia="zh-CN"/>
        </w:rPr>
        <w:t>可切换可拆卸</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lang w:eastAsia="zh-CN"/>
        </w:rPr>
        <w:t>★</w:t>
      </w:r>
      <w:r>
        <w:rPr>
          <w:rFonts w:hint="eastAsia" w:ascii="仿宋" w:hAnsi="仿宋" w:eastAsia="仿宋" w:cs="仿宋"/>
          <w:sz w:val="24"/>
          <w:szCs w:val="24"/>
        </w:rPr>
        <w:t>小C臂绕大C臂旋转范围：无限位，且灯头绕C臂旋转范围：无限位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lang w:eastAsia="zh-CN"/>
        </w:rPr>
        <w:t>★</w:t>
      </w:r>
      <w:r>
        <w:rPr>
          <w:rFonts w:hint="eastAsia" w:ascii="仿宋" w:hAnsi="仿宋" w:eastAsia="仿宋" w:cs="仿宋"/>
          <w:sz w:val="24"/>
          <w:szCs w:val="24"/>
        </w:rPr>
        <w:t>手术灯具备可远程控制功能，满足远程一键预设手术灯光斑、照度等功能。</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17.</w:t>
      </w:r>
      <w:r>
        <w:rPr>
          <w:rFonts w:hint="eastAsia" w:ascii="仿宋" w:hAnsi="仿宋" w:eastAsia="仿宋" w:cs="仿宋"/>
          <w:sz w:val="24"/>
          <w:szCs w:val="24"/>
          <w:lang w:eastAsia="zh-CN"/>
        </w:rPr>
        <w:t>★</w:t>
      </w:r>
      <w:r>
        <w:rPr>
          <w:rFonts w:hint="eastAsia" w:ascii="仿宋" w:hAnsi="仿宋" w:eastAsia="仿宋" w:cs="仿宋"/>
          <w:sz w:val="24"/>
          <w:szCs w:val="24"/>
        </w:rPr>
        <w:t>三套无影灯需配备二套摄像系统、三套显示器支臂、三套显示器。</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val="0"/>
          <w:sz w:val="24"/>
          <w:szCs w:val="24"/>
        </w:rPr>
      </w:pPr>
      <w:r>
        <w:rPr>
          <w:rFonts w:hint="eastAsia" w:ascii="仿宋" w:hAnsi="仿宋" w:eastAsia="仿宋" w:cs="仿宋"/>
          <w:b/>
          <w:bCs w:val="0"/>
          <w:kern w:val="2"/>
          <w:sz w:val="24"/>
          <w:szCs w:val="24"/>
          <w:lang w:val="en-US" w:eastAsia="zh-CN" w:bidi="ar-SA"/>
        </w:rPr>
        <w:t>第四、</w:t>
      </w:r>
      <w:r>
        <w:rPr>
          <w:rFonts w:hint="eastAsia" w:ascii="仿宋" w:hAnsi="仿宋" w:eastAsia="仿宋" w:cs="仿宋"/>
          <w:b/>
          <w:bCs w:val="0"/>
          <w:sz w:val="24"/>
          <w:szCs w:val="24"/>
        </w:rPr>
        <w:t>多功能手术床</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val="0"/>
          <w:sz w:val="24"/>
          <w:szCs w:val="24"/>
        </w:rPr>
        <w:t>多功能手术床</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二、设备数量：叁套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sz w:val="24"/>
          <w:szCs w:val="24"/>
        </w:rPr>
      </w:pPr>
      <w:r>
        <w:rPr>
          <w:rFonts w:hint="eastAsia" w:ascii="仿宋" w:hAnsi="仿宋" w:eastAsia="仿宋" w:cs="仿宋"/>
          <w:b/>
          <w:bCs/>
          <w:kern w:val="0"/>
          <w:sz w:val="24"/>
          <w:szCs w:val="24"/>
        </w:rPr>
        <w:t>三、技术</w:t>
      </w:r>
      <w:r>
        <w:rPr>
          <w:rFonts w:hint="eastAsia" w:ascii="仿宋" w:hAnsi="仿宋" w:eastAsia="仿宋" w:cs="仿宋"/>
          <w:b/>
          <w:bCs/>
          <w:kern w:val="0"/>
          <w:sz w:val="24"/>
          <w:szCs w:val="24"/>
          <w:lang w:eastAsia="zh-CN"/>
        </w:rPr>
        <w:t>要求及</w:t>
      </w:r>
      <w:r>
        <w:rPr>
          <w:rFonts w:hint="eastAsia" w:ascii="仿宋" w:hAnsi="仿宋" w:eastAsia="仿宋" w:cs="仿宋"/>
          <w:b/>
          <w:bCs/>
          <w:kern w:val="0"/>
          <w:sz w:val="24"/>
          <w:szCs w:val="24"/>
        </w:rPr>
        <w:t>参数：</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ab/>
      </w:r>
      <w:r>
        <w:rPr>
          <w:rFonts w:hint="eastAsia" w:ascii="仿宋" w:hAnsi="仿宋" w:eastAsia="仿宋" w:cs="仿宋"/>
          <w:sz w:val="24"/>
          <w:szCs w:val="24"/>
        </w:rPr>
        <w:t>手术床为电动液压驱动机制，电动调节床面</w:t>
      </w:r>
      <w:r>
        <w:rPr>
          <w:rFonts w:hint="eastAsia" w:ascii="仿宋" w:hAnsi="仿宋" w:eastAsia="仿宋" w:cs="仿宋"/>
          <w:sz w:val="24"/>
          <w:szCs w:val="24"/>
          <w:lang w:eastAsia="zh-CN"/>
        </w:rPr>
        <w:t>具有</w:t>
      </w:r>
      <w:r>
        <w:rPr>
          <w:rFonts w:hint="eastAsia" w:ascii="仿宋" w:hAnsi="仿宋" w:eastAsia="仿宋" w:cs="仿宋"/>
          <w:sz w:val="24"/>
          <w:szCs w:val="24"/>
        </w:rPr>
        <w:t>升降、前后倾、左右倾、背板升降、刹车</w:t>
      </w:r>
      <w:r>
        <w:rPr>
          <w:rFonts w:hint="eastAsia" w:ascii="仿宋" w:hAnsi="仿宋" w:eastAsia="仿宋" w:cs="仿宋"/>
          <w:sz w:val="24"/>
          <w:szCs w:val="24"/>
          <w:lang w:eastAsia="zh-CN"/>
        </w:rPr>
        <w:t>等功能</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ab/>
      </w:r>
      <w:r>
        <w:rPr>
          <w:rFonts w:hint="eastAsia" w:ascii="仿宋" w:hAnsi="仿宋" w:eastAsia="仿宋" w:cs="仿宋"/>
          <w:sz w:val="24"/>
          <w:szCs w:val="24"/>
        </w:rPr>
        <w:t>手术床具备电动平移功能，平移功能由独立的液压缸驱动动作</w:t>
      </w:r>
      <w:r>
        <w:rPr>
          <w:rFonts w:hint="eastAsia" w:ascii="仿宋" w:hAnsi="仿宋" w:eastAsia="仿宋" w:cs="仿宋"/>
          <w:sz w:val="24"/>
          <w:szCs w:val="24"/>
          <w:lang w:eastAsia="zh-CN"/>
        </w:rPr>
        <w:t>完成</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ab/>
      </w:r>
      <w:r>
        <w:rPr>
          <w:rFonts w:hint="eastAsia" w:ascii="仿宋" w:hAnsi="仿宋" w:eastAsia="仿宋" w:cs="仿宋"/>
          <w:sz w:val="24"/>
          <w:szCs w:val="24"/>
        </w:rPr>
        <w:t>手术床具备腰桥功能，腰桥为隐藏式双螺纹套杆结构，通过腰桥把手在床体两侧操作。</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ab/>
      </w:r>
      <w:r>
        <w:rPr>
          <w:rFonts w:hint="eastAsia" w:ascii="仿宋" w:hAnsi="仿宋" w:eastAsia="仿宋" w:cs="仿宋"/>
          <w:sz w:val="24"/>
          <w:szCs w:val="24"/>
        </w:rPr>
        <w:t>手术床配有充电电池，满足</w:t>
      </w:r>
      <w:r>
        <w:rPr>
          <w:rFonts w:hint="eastAsia" w:ascii="仿宋" w:hAnsi="仿宋" w:eastAsia="仿宋" w:cs="仿宋"/>
          <w:sz w:val="24"/>
          <w:szCs w:val="24"/>
          <w:lang w:eastAsia="zh-CN"/>
        </w:rPr>
        <w:t>≥</w:t>
      </w:r>
      <w:r>
        <w:rPr>
          <w:rFonts w:hint="eastAsia" w:ascii="仿宋" w:hAnsi="仿宋" w:eastAsia="仿宋" w:cs="仿宋"/>
          <w:sz w:val="24"/>
          <w:szCs w:val="24"/>
        </w:rPr>
        <w:t>1周手术需要。同时具有交流电源供电功能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ab/>
      </w:r>
      <w:r>
        <w:rPr>
          <w:rFonts w:hint="eastAsia" w:ascii="仿宋" w:hAnsi="仿宋" w:eastAsia="仿宋" w:cs="仿宋"/>
          <w:sz w:val="24"/>
          <w:szCs w:val="24"/>
        </w:rPr>
        <w:t>手术床控制必须满足手持有线控制器和床身立柱应急控制面板，且两套控制方式相互独立。</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ab/>
      </w:r>
      <w:r>
        <w:rPr>
          <w:rFonts w:hint="eastAsia" w:ascii="仿宋" w:hAnsi="仿宋" w:eastAsia="仿宋" w:cs="仿宋"/>
          <w:sz w:val="24"/>
          <w:szCs w:val="24"/>
          <w:lang w:eastAsia="zh-CN"/>
        </w:rPr>
        <w:t>★</w:t>
      </w:r>
      <w:r>
        <w:rPr>
          <w:rFonts w:hint="eastAsia" w:ascii="仿宋" w:hAnsi="仿宋" w:eastAsia="仿宋" w:cs="仿宋"/>
          <w:sz w:val="24"/>
          <w:szCs w:val="24"/>
        </w:rPr>
        <w:t>手术床承重≥350kg。</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rPr>
        <w:tab/>
      </w:r>
      <w:r>
        <w:rPr>
          <w:rFonts w:hint="eastAsia" w:ascii="仿宋" w:hAnsi="仿宋" w:eastAsia="仿宋" w:cs="仿宋"/>
          <w:sz w:val="24"/>
          <w:szCs w:val="24"/>
        </w:rPr>
        <w:t>手术床床垫由双层记忆海绵整体制成，厚度≥75mm。床垫接缝处采用无缝烫接技术，防水透气易清洗，防静电。</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rPr>
        <w:tab/>
      </w:r>
      <w:r>
        <w:rPr>
          <w:rFonts w:hint="eastAsia" w:ascii="仿宋" w:hAnsi="仿宋" w:eastAsia="仿宋" w:cs="仿宋"/>
          <w:sz w:val="24"/>
          <w:szCs w:val="24"/>
        </w:rPr>
        <w:t xml:space="preserve">手术床床板由头板、背板、臀板及可分开式腿板等五部分组成。头板可拆卸；腿板可拆卸、可分叉，可在+20°/-90°范围内任意上下折；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w:t>
      </w:r>
      <w:r>
        <w:rPr>
          <w:rFonts w:hint="eastAsia" w:ascii="仿宋" w:hAnsi="仿宋" w:eastAsia="仿宋" w:cs="仿宋"/>
          <w:sz w:val="24"/>
          <w:szCs w:val="24"/>
        </w:rPr>
        <w:tab/>
      </w:r>
      <w:r>
        <w:rPr>
          <w:rFonts w:hint="eastAsia" w:ascii="仿宋" w:hAnsi="仿宋" w:eastAsia="仿宋" w:cs="仿宋"/>
          <w:sz w:val="24"/>
          <w:szCs w:val="24"/>
        </w:rPr>
        <w:t>噪声</w:t>
      </w:r>
      <w:r>
        <w:rPr>
          <w:rFonts w:hint="eastAsia" w:ascii="仿宋" w:hAnsi="仿宋" w:eastAsia="仿宋" w:cs="仿宋"/>
          <w:sz w:val="24"/>
          <w:szCs w:val="24"/>
          <w:lang w:eastAsia="zh-CN"/>
        </w:rPr>
        <w:t>≤</w:t>
      </w:r>
      <w:r>
        <w:rPr>
          <w:rFonts w:hint="eastAsia" w:ascii="仿宋" w:hAnsi="仿宋" w:eastAsia="仿宋" w:cs="仿宋"/>
          <w:sz w:val="24"/>
          <w:szCs w:val="24"/>
        </w:rPr>
        <w:t>60db</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10.同时具有一键形成屈曲、反屈曲体位，一键复位</w:t>
      </w:r>
      <w:r>
        <w:rPr>
          <w:rFonts w:hint="eastAsia" w:ascii="仿宋" w:hAnsi="仿宋" w:eastAsia="仿宋" w:cs="仿宋"/>
          <w:sz w:val="24"/>
          <w:szCs w:val="24"/>
          <w:lang w:eastAsia="zh-CN"/>
        </w:rPr>
        <w:t>等</w:t>
      </w:r>
      <w:r>
        <w:rPr>
          <w:rFonts w:hint="eastAsia" w:ascii="仿宋" w:hAnsi="仿宋" w:eastAsia="仿宋" w:cs="仿宋"/>
          <w:sz w:val="24"/>
          <w:szCs w:val="24"/>
        </w:rPr>
        <w:t>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11.床面和床垫选用能透过X射线的材料制成，便于透视摄像。</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12.手术床台面最低高度≤600mm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.技术参数：</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手术床长度≥2040 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手术床宽度≥520 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手术床升降行程≥350mm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台面前后倾角度：±25°</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台面左右倾角度：±20°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背板折转角度：+80°/-40°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腿板折转角度：+20°/-90°，外折角度≥90°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头板折转角度：+40°/-85°</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台面平移距离≥300mm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内置腰桥升距≥120mm</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15.基本配置：电动手术床主床, 配床垫，头板，分体式腿板，主机（包含背板，臀板），台柱应急控制面板，遥控器，托手架一对，麻醉屏架一个，其中一台手术床配托腿架一对，支身架一对、支肩架一对、马镫型多功能腿架一套。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sz w:val="24"/>
          <w:szCs w:val="24"/>
        </w:rPr>
        <w:t>第五、体位垫</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体位垫</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w:t>
      </w:r>
      <w:r>
        <w:rPr>
          <w:rFonts w:hint="eastAsia" w:ascii="仿宋" w:hAnsi="仿宋" w:eastAsia="仿宋" w:cs="仿宋"/>
          <w:b/>
          <w:bCs/>
          <w:kern w:val="0"/>
          <w:sz w:val="24"/>
          <w:szCs w:val="24"/>
          <w:lang w:val="en-US" w:eastAsia="zh-CN"/>
        </w:rPr>
        <w:t>壹</w:t>
      </w:r>
      <w:r>
        <w:rPr>
          <w:rFonts w:hint="eastAsia" w:ascii="仿宋" w:hAnsi="仿宋" w:eastAsia="仿宋" w:cs="仿宋"/>
          <w:b/>
          <w:bCs/>
          <w:kern w:val="0"/>
          <w:sz w:val="24"/>
          <w:szCs w:val="24"/>
        </w:rPr>
        <w:t>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sz w:val="24"/>
          <w:szCs w:val="24"/>
        </w:rPr>
      </w:pPr>
      <w:r>
        <w:rPr>
          <w:rFonts w:hint="eastAsia" w:ascii="仿宋" w:hAnsi="仿宋" w:eastAsia="仿宋" w:cs="仿宋"/>
          <w:b/>
          <w:bCs/>
          <w:kern w:val="0"/>
          <w:sz w:val="24"/>
          <w:szCs w:val="24"/>
        </w:rPr>
        <w:t>三、技术</w:t>
      </w:r>
      <w:r>
        <w:rPr>
          <w:rFonts w:hint="eastAsia" w:ascii="仿宋" w:hAnsi="仿宋" w:eastAsia="仿宋" w:cs="仿宋"/>
          <w:b/>
          <w:bCs/>
          <w:kern w:val="0"/>
          <w:sz w:val="24"/>
          <w:szCs w:val="24"/>
          <w:lang w:eastAsia="zh-CN"/>
        </w:rPr>
        <w:t>要求及</w:t>
      </w:r>
      <w:r>
        <w:rPr>
          <w:rFonts w:hint="eastAsia" w:ascii="仿宋" w:hAnsi="仿宋" w:eastAsia="仿宋" w:cs="仿宋"/>
          <w:b/>
          <w:bCs/>
          <w:kern w:val="0"/>
          <w:sz w:val="24"/>
          <w:szCs w:val="24"/>
        </w:rPr>
        <w:t>参数：</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隧道垫1套：(64cmX46cmX25cm，侧卧位手术时保护下方大腿不受压，材质为pu海绵)</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开放式头圈5套：(20cmX7cmX7cm，侧卧位手术时支撑头部，材质为凝胶)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凹形体位垫4套：(40cmX15cmX4cm，侧卧位手术时放置在侧卧手架上，支撑保护手臂，材质为凝胶)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体部固定带1套:(64cmX46cmX25cm，术中用于紧固患者身体，分体式设计，材质为聚酯纤维)</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半圆型体位垫1套：(50cmX15cmX7cm，用于平卧位手术时保护膝踝部，以及侧卧位手术时腋下保护，材质为凝胶)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通用方垫2套：(50cmX30cmX1.5cm，截石位手术时保护腘窝，配合手术床托腿架使用；侧卧位手术时保护肩髋部，材质为凝胶)</w:t>
      </w:r>
      <w:r>
        <w:rPr>
          <w:rFonts w:hint="eastAsia" w:ascii="仿宋" w:hAnsi="仿宋" w:eastAsia="仿宋" w:cs="仿宋"/>
          <w:sz w:val="24"/>
          <w:szCs w:val="24"/>
        </w:rPr>
        <w:tab/>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跟骨垫2套：(18cmX10cmX7cm，仰卧位手术时保护足跟，完美悬空式保护，材质为凝胶)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通用臀垫1套：(50cmX40cmX1.5cm，仰卧位手术时保护骶尾部，材质为凝胶)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侧卧位垫1套：(72cmX46cmX15cm,侧卧位手术时支撑患者躯干，配合背板下折和开放式头圈使用，材质为凝胶)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柱型体位垫1套：（40cmX12cmX10cm，平卧位手术时保护膝踝部及肩部支撑）</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斜型垫1套：（30cmX18cmX7/3cm，用于平卧位手术时腰部、肝区的支撑和保护，充分暴露手术野）</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俯卧位垫1套:（63cmXx46cmX15CM，用于胸腰椎及颈椎、腰椎手术，材质为凝胶）</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俯卧位头垫1套（25cm×20cm×10cm，用于眼科手术患者术后恢复使用，材质为凝胶）</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textAlignment w:val="auto"/>
        <w:rPr>
          <w:rFonts w:hint="eastAsia" w:ascii="仿宋" w:hAnsi="仿宋" w:eastAsia="仿宋" w:cs="仿宋"/>
          <w:b/>
          <w:bCs/>
          <w:kern w:val="0"/>
          <w:sz w:val="24"/>
          <w:szCs w:val="24"/>
          <w:lang w:eastAsia="zh-CN"/>
        </w:rPr>
      </w:pPr>
      <w:r>
        <w:rPr>
          <w:rFonts w:hint="eastAsia" w:ascii="仿宋" w:hAnsi="仿宋" w:eastAsia="仿宋" w:cs="仿宋"/>
          <w:b/>
          <w:bCs/>
          <w:sz w:val="24"/>
          <w:szCs w:val="24"/>
        </w:rPr>
        <w:t>第六、腿架，肩架，腰架</w:t>
      </w:r>
      <w:r>
        <w:rPr>
          <w:rFonts w:hint="eastAsia" w:ascii="仿宋" w:hAnsi="仿宋" w:eastAsia="仿宋" w:cs="仿宋"/>
          <w:b/>
          <w:bCs/>
          <w:sz w:val="24"/>
          <w:szCs w:val="24"/>
          <w:lang w:eastAsia="zh-CN"/>
        </w:rPr>
        <w:t>等</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lang w:eastAsia="zh-CN"/>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腿架，肩架，腰架</w:t>
      </w:r>
      <w:r>
        <w:rPr>
          <w:rFonts w:hint="eastAsia" w:ascii="仿宋" w:hAnsi="仿宋" w:eastAsia="仿宋" w:cs="仿宋"/>
          <w:b/>
          <w:bCs/>
          <w:sz w:val="24"/>
          <w:szCs w:val="24"/>
          <w:lang w:eastAsia="zh-CN"/>
        </w:rPr>
        <w:t>等</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kern w:val="0"/>
          <w:sz w:val="24"/>
          <w:szCs w:val="24"/>
        </w:rPr>
        <w:t>二、数量：</w:t>
      </w:r>
      <w:r>
        <w:rPr>
          <w:rFonts w:hint="eastAsia" w:ascii="仿宋" w:hAnsi="仿宋" w:eastAsia="仿宋" w:cs="仿宋"/>
          <w:b/>
          <w:bCs/>
          <w:kern w:val="0"/>
          <w:sz w:val="24"/>
          <w:szCs w:val="24"/>
          <w:lang w:val="en-US" w:eastAsia="zh-CN"/>
        </w:rPr>
        <w:t>两</w:t>
      </w:r>
      <w:r>
        <w:rPr>
          <w:rFonts w:hint="eastAsia" w:ascii="仿宋" w:hAnsi="仿宋" w:eastAsia="仿宋" w:cs="仿宋"/>
          <w:b/>
          <w:bCs/>
          <w:kern w:val="0"/>
          <w:sz w:val="24"/>
          <w:szCs w:val="24"/>
        </w:rPr>
        <w:t>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sz w:val="24"/>
          <w:szCs w:val="24"/>
        </w:rPr>
      </w:pPr>
      <w:r>
        <w:rPr>
          <w:rFonts w:hint="eastAsia" w:ascii="仿宋" w:hAnsi="仿宋" w:eastAsia="仿宋" w:cs="仿宋"/>
          <w:b/>
          <w:bCs/>
          <w:kern w:val="0"/>
          <w:sz w:val="24"/>
          <w:szCs w:val="24"/>
          <w:lang w:eastAsia="zh-CN"/>
        </w:rPr>
        <w:t>二</w:t>
      </w:r>
      <w:r>
        <w:rPr>
          <w:rFonts w:hint="eastAsia" w:ascii="仿宋" w:hAnsi="仿宋" w:eastAsia="仿宋" w:cs="仿宋"/>
          <w:b/>
          <w:bCs/>
          <w:kern w:val="0"/>
          <w:sz w:val="24"/>
          <w:szCs w:val="24"/>
        </w:rPr>
        <w:t>、</w:t>
      </w:r>
      <w:r>
        <w:rPr>
          <w:rFonts w:hint="eastAsia" w:ascii="仿宋" w:hAnsi="仿宋" w:eastAsia="仿宋" w:cs="仿宋"/>
          <w:b/>
          <w:bCs/>
          <w:kern w:val="0"/>
          <w:sz w:val="24"/>
          <w:szCs w:val="24"/>
          <w:lang w:eastAsia="zh-CN"/>
        </w:rPr>
        <w:t>每套技术要求</w:t>
      </w:r>
      <w:r>
        <w:rPr>
          <w:rFonts w:hint="eastAsia" w:ascii="仿宋" w:hAnsi="仿宋" w:eastAsia="仿宋" w:cs="仿宋"/>
          <w:b/>
          <w:bCs/>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1、支肩架二套：术中用于支撑患者肩部可抽拉结构，垫子为多层减压材质，含夹持器2个。</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2、支身架二套：术中用于支撑患者腰、背部及耻骨联合部，保持手术体位多关节设计。垫子为多层减压材质，含夹持器2个。</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3、托腿架二套：支撑、固定患者腿部</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垫子</w:t>
      </w:r>
      <w:r>
        <w:rPr>
          <w:rFonts w:hint="eastAsia" w:ascii="仿宋" w:hAnsi="仿宋" w:eastAsia="仿宋" w:cs="仿宋"/>
          <w:bCs/>
          <w:sz w:val="24"/>
          <w:szCs w:val="24"/>
          <w:lang w:eastAsia="zh-CN"/>
        </w:rPr>
        <w:t>，</w:t>
      </w:r>
      <w:r>
        <w:rPr>
          <w:rFonts w:hint="eastAsia" w:ascii="仿宋" w:hAnsi="仿宋" w:eastAsia="仿宋" w:cs="仿宋"/>
          <w:bCs/>
          <w:sz w:val="24"/>
          <w:szCs w:val="24"/>
        </w:rPr>
        <w:t>为具有中空结构的多层减压材质，含夹持器2个。</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 xml:space="preserve">第三部分   </w:t>
      </w:r>
      <w:r>
        <w:rPr>
          <w:rFonts w:hint="eastAsia" w:ascii="仿宋" w:hAnsi="仿宋" w:eastAsia="仿宋" w:cs="仿宋"/>
          <w:b/>
          <w:bCs/>
          <w:sz w:val="24"/>
          <w:szCs w:val="24"/>
          <w:lang w:eastAsia="zh-CN"/>
        </w:rPr>
        <w:t>售后</w:t>
      </w:r>
      <w:r>
        <w:rPr>
          <w:rFonts w:hint="eastAsia" w:ascii="仿宋" w:hAnsi="仿宋" w:eastAsia="仿宋" w:cs="仿宋"/>
          <w:b/>
          <w:bCs/>
          <w:sz w:val="24"/>
          <w:szCs w:val="24"/>
        </w:rPr>
        <w:t>服务</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1、现场免费培训操作人员，达到我院工作人员独立使用操作熟练。</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2、负责设备的安装调试并正常运行。</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3、如设备出现故障, 2小时内响应，12小时到达用户现场，解决问题。</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4、整机质保三年。</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5、厂家工程师每季度巡检设备一次。</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6、开机正常率≥98%</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以全年365天计）</w:t>
      </w:r>
      <w:r>
        <w:rPr>
          <w:rFonts w:hint="eastAsia" w:ascii="仿宋" w:hAnsi="仿宋" w:eastAsia="仿宋" w:cs="仿宋"/>
          <w:sz w:val="24"/>
          <w:szCs w:val="24"/>
        </w:rPr>
        <w:t>。</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58"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59" w:name="_Toc100219616"/>
      <w:r>
        <w:rPr>
          <w:rFonts w:hint="eastAsia" w:ascii="仿宋" w:eastAsia="仿宋" w:cs="仿宋"/>
          <w:b/>
          <w:kern w:val="2"/>
          <w:sz w:val="32"/>
          <w:szCs w:val="32"/>
          <w:highlight w:val="none"/>
          <w:lang w:val="zh-CN"/>
        </w:rPr>
        <w:t>合同主要条款及格式</w:t>
      </w:r>
      <w:bookmarkEnd w:id="358"/>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7</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b/>
          <w:spacing w:val="-20"/>
          <w:sz w:val="24"/>
          <w:szCs w:val="24"/>
        </w:rPr>
      </w:pPr>
      <w:r>
        <w:rPr>
          <w:rFonts w:hint="eastAsia" w:ascii="仿宋" w:hAnsi="仿宋" w:eastAsia="仿宋" w:cs="仿宋"/>
          <w:sz w:val="28"/>
          <w:szCs w:val="28"/>
        </w:rPr>
        <w:t>中国   西安</w:t>
      </w: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0"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59"/>
      <w:bookmarkEnd w:id="360"/>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4"/>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4"/>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4"/>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 xml:space="preserve">包7：手术室设备1 </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4"/>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1" w:name="_Toc452"/>
      <w:bookmarkStart w:id="362" w:name="_Toc5100"/>
      <w:bookmarkStart w:id="363" w:name="_Toc8181"/>
      <w:bookmarkStart w:id="364" w:name="_Toc14636"/>
      <w:bookmarkStart w:id="365" w:name="_Toc31172"/>
      <w:bookmarkStart w:id="366" w:name="_Toc25930"/>
      <w:bookmarkStart w:id="367" w:name="_Toc3821"/>
      <w:bookmarkStart w:id="368" w:name="_Toc26458"/>
      <w:r>
        <w:rPr>
          <w:rFonts w:hint="eastAsia" w:ascii="仿宋" w:hAnsi="仿宋" w:eastAsia="仿宋" w:cs="仿宋"/>
          <w:b/>
          <w:bCs/>
          <w:sz w:val="32"/>
          <w:szCs w:val="15"/>
          <w:highlight w:val="none"/>
          <w:lang w:val="zh-CN"/>
        </w:rPr>
        <w:t>一、投标函</w:t>
      </w:r>
      <w:bookmarkEnd w:id="361"/>
      <w:bookmarkEnd w:id="362"/>
      <w:bookmarkEnd w:id="363"/>
      <w:bookmarkEnd w:id="364"/>
      <w:bookmarkEnd w:id="365"/>
      <w:bookmarkEnd w:id="366"/>
      <w:bookmarkEnd w:id="367"/>
      <w:bookmarkEnd w:id="368"/>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69" w:name="_Toc7105"/>
      <w:bookmarkStart w:id="370" w:name="_Toc7809"/>
      <w:bookmarkStart w:id="371" w:name="_Toc10991"/>
      <w:bookmarkStart w:id="372" w:name="_Toc4521"/>
      <w:bookmarkStart w:id="373" w:name="_Toc19367"/>
      <w:bookmarkStart w:id="374" w:name="_Toc12106"/>
      <w:bookmarkStart w:id="375" w:name="_Toc30144"/>
      <w:bookmarkStart w:id="376" w:name="_Toc6838"/>
      <w:bookmarkStart w:id="377" w:name="_Toc22952"/>
      <w:bookmarkStart w:id="378" w:name="_Toc15696"/>
      <w:bookmarkStart w:id="379" w:name="_Toc473056004"/>
      <w:bookmarkStart w:id="380" w:name="_Toc475451801"/>
      <w:bookmarkStart w:id="381" w:name="_Toc475451554"/>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 xml:space="preserve">西安市第八医院新院区基础医疗设备采购项目，包7：手术室设备1 </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2" w:name="_Toc11305"/>
      <w:r>
        <w:rPr>
          <w:rFonts w:hint="eastAsia" w:ascii="仿宋" w:hAnsi="仿宋" w:eastAsia="仿宋" w:cs="仿宋"/>
          <w:b/>
          <w:bCs/>
          <w:sz w:val="32"/>
          <w:szCs w:val="15"/>
          <w:highlight w:val="none"/>
          <w:lang w:val="zh-CN"/>
        </w:rPr>
        <w:t>二、开标一览表</w:t>
      </w:r>
      <w:bookmarkEnd w:id="369"/>
      <w:bookmarkEnd w:id="370"/>
      <w:bookmarkEnd w:id="371"/>
      <w:bookmarkEnd w:id="372"/>
      <w:bookmarkEnd w:id="373"/>
      <w:bookmarkEnd w:id="374"/>
      <w:bookmarkEnd w:id="375"/>
      <w:bookmarkEnd w:id="376"/>
      <w:bookmarkEnd w:id="377"/>
      <w:bookmarkEnd w:id="378"/>
      <w:bookmarkEnd w:id="382"/>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 xml:space="preserve">包7：手术室设备1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3" w:name="_Toc11427"/>
      <w:bookmarkStart w:id="384" w:name="_Toc8284"/>
      <w:bookmarkStart w:id="385" w:name="_Toc16973"/>
      <w:bookmarkStart w:id="386" w:name="_Toc17040"/>
      <w:bookmarkStart w:id="387" w:name="_Toc32414"/>
      <w:bookmarkStart w:id="388" w:name="_Toc28835"/>
      <w:bookmarkStart w:id="389" w:name="_Toc5122"/>
      <w:bookmarkStart w:id="390" w:name="_Toc27212"/>
      <w:bookmarkStart w:id="391" w:name="_Toc5579"/>
      <w:bookmarkStart w:id="392" w:name="_Toc23870"/>
      <w:bookmarkStart w:id="393" w:name="_Toc27541"/>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3"/>
      <w:bookmarkEnd w:id="384"/>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3"/>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4" w:name="_Toc23762"/>
    </w:p>
    <w:p>
      <w:pPr>
        <w:pageBreakBefore/>
        <w:spacing w:line="360" w:lineRule="auto"/>
        <w:jc w:val="center"/>
        <w:outlineLvl w:val="1"/>
        <w:rPr>
          <w:rFonts w:ascii="仿宋" w:hAnsi="仿宋" w:eastAsia="仿宋" w:cs="仿宋"/>
          <w:b/>
          <w:bCs/>
          <w:sz w:val="32"/>
          <w:szCs w:val="15"/>
          <w:highlight w:val="none"/>
          <w:lang w:val="zh-CN"/>
        </w:rPr>
      </w:pPr>
      <w:bookmarkStart w:id="395" w:name="_Toc4690"/>
      <w:r>
        <w:rPr>
          <w:rFonts w:hint="eastAsia" w:ascii="仿宋" w:hAnsi="仿宋" w:eastAsia="仿宋" w:cs="仿宋"/>
          <w:b/>
          <w:bCs/>
          <w:sz w:val="32"/>
          <w:szCs w:val="15"/>
          <w:highlight w:val="none"/>
          <w:lang w:val="zh-CN"/>
        </w:rPr>
        <w:t>四、投标人资格证明文件</w:t>
      </w:r>
      <w:bookmarkEnd w:id="394"/>
      <w:bookmarkEnd w:id="395"/>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en-US" w:eastAsia="zh-CN"/>
        </w:rPr>
        <w:t>3、投标产品属于医疗器械管理的</w:t>
      </w:r>
      <w:r>
        <w:rPr>
          <w:rFonts w:hint="eastAsia" w:ascii="仿宋" w:hAnsi="仿宋" w:eastAsia="仿宋" w:cs="仿宋"/>
          <w:highlight w:val="none"/>
          <w:lang w:val="zh-CN"/>
        </w:rPr>
        <w:t>须提供所投产品的《医疗器械产品注册证》</w:t>
      </w:r>
      <w:r>
        <w:rPr>
          <w:rFonts w:hint="eastAsia" w:ascii="仿宋" w:hAnsi="仿宋" w:eastAsia="仿宋" w:cs="仿宋"/>
          <w:highlight w:val="none"/>
          <w:lang w:val="zh-CN" w:eastAsia="zh-CN"/>
        </w:rPr>
        <w:t>或《医疗器械产品备案凭证》</w:t>
      </w:r>
      <w:r>
        <w:rPr>
          <w:rFonts w:hint="eastAsia" w:ascii="仿宋" w:hAnsi="仿宋" w:eastAsia="仿宋" w:cs="仿宋"/>
          <w:highlight w:val="none"/>
          <w:lang w:val="zh-CN"/>
        </w:rPr>
        <w:t>；</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highlight w:val="none"/>
          <w:lang w:val="zh-CN"/>
        </w:rPr>
        <w:t>投标人为生产厂家的须提供《医疗器械生产许可证》，投标人为代理商的</w:t>
      </w:r>
      <w:r>
        <w:rPr>
          <w:rFonts w:hint="eastAsia" w:ascii="仿宋" w:hAnsi="仿宋" w:eastAsia="仿宋" w:cs="仿宋"/>
          <w:highlight w:val="none"/>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7"/>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6" w:name="_Toc495671262"/>
      <w:bookmarkStart w:id="397" w:name="_Toc31488"/>
      <w:bookmarkStart w:id="398" w:name="_Toc32473"/>
      <w:bookmarkStart w:id="399" w:name="_Toc9183"/>
      <w:bookmarkStart w:id="400" w:name="_Toc495681405"/>
      <w:bookmarkStart w:id="401" w:name="_Toc495908047"/>
      <w:bookmarkStart w:id="402" w:name="_Toc27035"/>
      <w:bookmarkStart w:id="403" w:name="_Toc495681532"/>
      <w:bookmarkStart w:id="404" w:name="_Toc32232"/>
      <w:bookmarkStart w:id="405" w:name="_Toc495681251"/>
      <w:bookmarkStart w:id="406" w:name="_Toc495671271"/>
      <w:bookmarkStart w:id="407" w:name="_Toc495681260"/>
      <w:bookmarkStart w:id="408" w:name="_Toc495681541"/>
      <w:bookmarkStart w:id="409" w:name="_Toc495681414"/>
      <w:bookmarkStart w:id="410" w:name="_Toc495908056"/>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6"/>
      <w:bookmarkEnd w:id="397"/>
      <w:bookmarkEnd w:id="398"/>
      <w:bookmarkEnd w:id="399"/>
      <w:bookmarkEnd w:id="400"/>
      <w:bookmarkEnd w:id="401"/>
      <w:bookmarkEnd w:id="402"/>
      <w:bookmarkEnd w:id="403"/>
      <w:bookmarkEnd w:id="404"/>
      <w:bookmarkEnd w:id="405"/>
      <w:bookmarkStart w:id="411"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5"/>
        <w:rPr>
          <w:rFonts w:hint="eastAsia"/>
          <w:highlight w:val="none"/>
        </w:rPr>
      </w:pPr>
    </w:p>
    <w:p>
      <w:pPr>
        <w:keepNext w:val="0"/>
        <w:keepLines w:val="0"/>
        <w:pageBreakBefore/>
        <w:widowControl w:val="0"/>
        <w:numPr>
          <w:ilvl w:val="0"/>
          <w:numId w:val="7"/>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2" w:name="_Toc7775"/>
      <w:bookmarkStart w:id="413" w:name="_Toc17786"/>
      <w:bookmarkStart w:id="414" w:name="_Toc32670"/>
      <w:r>
        <w:rPr>
          <w:rFonts w:hint="eastAsia" w:ascii="仿宋" w:hAnsi="仿宋" w:eastAsia="仿宋" w:cs="仿宋"/>
          <w:b/>
          <w:bCs/>
          <w:color w:val="auto"/>
          <w:sz w:val="28"/>
          <w:szCs w:val="28"/>
          <w:highlight w:val="none"/>
        </w:rPr>
        <w:t>财务状况报告</w:t>
      </w:r>
      <w:bookmarkEnd w:id="412"/>
      <w:bookmarkEnd w:id="413"/>
      <w:bookmarkEnd w:id="41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7"/>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5" w:name="_Toc7286"/>
      <w:bookmarkStart w:id="416" w:name="_Toc32270"/>
      <w:bookmarkStart w:id="417" w:name="_Toc29340"/>
      <w:r>
        <w:rPr>
          <w:rFonts w:hint="eastAsia" w:ascii="仿宋" w:hAnsi="仿宋" w:eastAsia="仿宋" w:cs="仿宋"/>
          <w:b/>
          <w:color w:val="auto"/>
          <w:sz w:val="28"/>
          <w:szCs w:val="28"/>
          <w:highlight w:val="none"/>
        </w:rPr>
        <w:t>税收缴纳证明</w:t>
      </w:r>
      <w:bookmarkEnd w:id="415"/>
      <w:bookmarkEnd w:id="416"/>
      <w:bookmarkEnd w:id="417"/>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18" w:name="_Toc10923"/>
      <w:bookmarkStart w:id="419" w:name="_Toc17181"/>
      <w:bookmarkStart w:id="420" w:name="_Toc8355"/>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18"/>
      <w:bookmarkEnd w:id="419"/>
      <w:bookmarkEnd w:id="420"/>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1" w:name="_Toc11008"/>
      <w:bookmarkStart w:id="422" w:name="_Toc29820"/>
      <w:bookmarkStart w:id="423" w:name="_Toc12754"/>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1"/>
      <w:bookmarkEnd w:id="422"/>
      <w:bookmarkEnd w:id="423"/>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4" w:name="_Toc977"/>
      <w:bookmarkStart w:id="425" w:name="_Toc18002"/>
      <w:bookmarkStart w:id="426" w:name="_Toc1093"/>
      <w:bookmarkStart w:id="427" w:name="_Toc25982"/>
      <w:bookmarkStart w:id="428"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4"/>
      <w:bookmarkEnd w:id="425"/>
      <w:bookmarkEnd w:id="426"/>
      <w:bookmarkEnd w:id="427"/>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6"/>
      <w:bookmarkEnd w:id="407"/>
      <w:bookmarkEnd w:id="408"/>
      <w:bookmarkEnd w:id="409"/>
      <w:bookmarkEnd w:id="410"/>
      <w:bookmarkEnd w:id="411"/>
      <w:bookmarkEnd w:id="428"/>
    </w:p>
    <w:p>
      <w:pPr>
        <w:pageBreakBefore/>
        <w:spacing w:line="360" w:lineRule="auto"/>
        <w:jc w:val="center"/>
        <w:outlineLvl w:val="2"/>
        <w:rPr>
          <w:rFonts w:ascii="仿宋" w:hAnsi="仿宋" w:eastAsia="仿宋" w:cs="仿宋"/>
          <w:b/>
          <w:sz w:val="28"/>
          <w:szCs w:val="28"/>
          <w:highlight w:val="none"/>
          <w:lang w:val="zh-CN"/>
        </w:rPr>
      </w:pPr>
      <w:bookmarkStart w:id="429" w:name="_Toc5061"/>
      <w:bookmarkStart w:id="430" w:name="_Toc3871"/>
      <w:bookmarkStart w:id="431" w:name="_Toc1010"/>
      <w:bookmarkStart w:id="432" w:name="_Toc17057"/>
      <w:bookmarkStart w:id="433" w:name="_Toc29473"/>
      <w:r>
        <w:rPr>
          <w:rFonts w:hint="eastAsia" w:ascii="仿宋" w:hAnsi="仿宋" w:eastAsia="仿宋" w:cs="仿宋"/>
          <w:b/>
          <w:sz w:val="28"/>
          <w:szCs w:val="28"/>
          <w:highlight w:val="none"/>
          <w:lang w:val="zh-CN"/>
        </w:rPr>
        <w:t>（七）特定资格要求</w:t>
      </w:r>
      <w:bookmarkEnd w:id="429"/>
      <w:bookmarkEnd w:id="430"/>
      <w:bookmarkEnd w:id="431"/>
      <w:bookmarkEnd w:id="432"/>
      <w:bookmarkEnd w:id="433"/>
    </w:p>
    <w:p>
      <w:pPr>
        <w:adjustRightInd w:val="0"/>
        <w:snapToGrid w:val="0"/>
        <w:spacing w:line="360" w:lineRule="auto"/>
        <w:jc w:val="center"/>
        <w:outlineLvl w:val="3"/>
        <w:rPr>
          <w:rFonts w:ascii="仿宋" w:hAnsi="仿宋" w:eastAsia="仿宋" w:cs="仿宋"/>
          <w:b/>
          <w:highlight w:val="none"/>
        </w:rPr>
      </w:pPr>
      <w:bookmarkStart w:id="434" w:name="_Toc18742"/>
      <w:bookmarkStart w:id="435" w:name="_Toc495681533"/>
      <w:bookmarkStart w:id="436" w:name="_Toc495681252"/>
      <w:bookmarkStart w:id="437" w:name="_Toc495671263"/>
      <w:bookmarkStart w:id="438" w:name="_Toc495681406"/>
      <w:bookmarkStart w:id="439" w:name="_Toc495908048"/>
      <w:bookmarkStart w:id="440" w:name="_Toc32662"/>
      <w:bookmarkStart w:id="441" w:name="_Toc1610"/>
      <w:r>
        <w:rPr>
          <w:rFonts w:hint="eastAsia" w:ascii="仿宋" w:hAnsi="仿宋" w:eastAsia="仿宋" w:cs="仿宋"/>
          <w:b/>
          <w:highlight w:val="none"/>
        </w:rPr>
        <w:t>1、法定代表人身份证明</w:t>
      </w:r>
      <w:bookmarkEnd w:id="434"/>
      <w:bookmarkEnd w:id="435"/>
      <w:bookmarkEnd w:id="436"/>
      <w:bookmarkEnd w:id="437"/>
      <w:bookmarkEnd w:id="438"/>
      <w:bookmarkEnd w:id="439"/>
      <w:bookmarkEnd w:id="440"/>
      <w:bookmarkEnd w:id="441"/>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2" w:name="_Toc495681534"/>
      <w:bookmarkStart w:id="443" w:name="_Toc18921"/>
      <w:bookmarkStart w:id="444" w:name="_Toc495671264"/>
      <w:bookmarkStart w:id="445" w:name="_Toc495908049"/>
      <w:bookmarkStart w:id="446" w:name="_Toc495681407"/>
      <w:bookmarkStart w:id="447" w:name="_Toc495681253"/>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48" w:name="_Toc29369"/>
      <w:bookmarkStart w:id="449" w:name="_Toc32169"/>
      <w:r>
        <w:rPr>
          <w:rFonts w:hint="eastAsia" w:ascii="仿宋" w:hAnsi="仿宋" w:eastAsia="仿宋" w:cs="仿宋"/>
          <w:b/>
          <w:highlight w:val="none"/>
        </w:rPr>
        <w:t>2、法定代表人授权书</w:t>
      </w:r>
      <w:bookmarkEnd w:id="442"/>
      <w:bookmarkEnd w:id="443"/>
      <w:bookmarkEnd w:id="444"/>
      <w:bookmarkEnd w:id="445"/>
      <w:bookmarkEnd w:id="446"/>
      <w:bookmarkEnd w:id="447"/>
      <w:bookmarkEnd w:id="448"/>
      <w:bookmarkEnd w:id="449"/>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0" w:name="_Toc25082"/>
      <w:bookmarkStart w:id="451" w:name="_Toc10845"/>
      <w:bookmarkStart w:id="452" w:name="_Toc10643"/>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lang w:val="en-US" w:eastAsia="zh-CN"/>
        </w:rPr>
      </w:pPr>
      <w:r>
        <w:rPr>
          <w:rFonts w:hint="eastAsia" w:ascii="仿宋" w:hAnsi="仿宋" w:eastAsia="仿宋" w:cs="仿宋"/>
          <w:b/>
          <w:highlight w:val="none"/>
          <w:lang w:val="en-US" w:eastAsia="zh-CN"/>
        </w:rPr>
        <w:t>3、投标产品属于医疗器械管理的须提供所投产品的《医疗器械产品注册证》或《医疗器械产品备案凭证》；</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4、投标人为生产厂家的须提供《医疗器械生产许可证》，投标人为代理商的须提供《医疗器械经营许可证》或《医疗器械经营备案证》及生产厂家的《医疗器械生产许可证》。</w:t>
      </w:r>
      <w:bookmarkStart w:id="542" w:name="_GoBack"/>
      <w:bookmarkEnd w:id="542"/>
    </w:p>
    <w:p>
      <w:pPr>
        <w:pStyle w:val="3"/>
        <w:keepNext w:val="0"/>
        <w:keepLines w:val="0"/>
        <w:pageBreakBefore/>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highlight w:val="none"/>
          <w:lang w:val="zh-CN"/>
        </w:rPr>
      </w:pPr>
      <w:bookmarkStart w:id="453" w:name="_Toc9841"/>
      <w:r>
        <w:rPr>
          <w:rFonts w:hint="eastAsia" w:ascii="仿宋" w:hAnsi="仿宋" w:eastAsia="仿宋" w:cs="仿宋"/>
          <w:b/>
          <w:bCs/>
          <w:highlight w:val="none"/>
          <w:lang w:val="zh-CN"/>
        </w:rPr>
        <w:t>五、提供政府采购政策等证明材料</w:t>
      </w:r>
      <w:bookmarkEnd w:id="450"/>
      <w:bookmarkEnd w:id="451"/>
      <w:bookmarkEnd w:id="452"/>
      <w:bookmarkEnd w:id="453"/>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8"/>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4" w:name="_Toc15669"/>
      <w:bookmarkStart w:id="455" w:name="_Toc16852"/>
      <w:r>
        <w:rPr>
          <w:rFonts w:hint="eastAsia" w:ascii="仿宋" w:hAnsi="仿宋" w:eastAsia="仿宋" w:cs="仿宋"/>
          <w:b/>
          <w:bCs/>
          <w:sz w:val="32"/>
          <w:szCs w:val="15"/>
          <w:highlight w:val="none"/>
          <w:lang w:val="zh-CN"/>
        </w:rPr>
        <w:t>六、合同主要条款偏离表</w:t>
      </w:r>
      <w:bookmarkEnd w:id="379"/>
      <w:bookmarkEnd w:id="380"/>
      <w:bookmarkEnd w:id="381"/>
      <w:bookmarkEnd w:id="385"/>
      <w:bookmarkEnd w:id="386"/>
      <w:bookmarkEnd w:id="387"/>
      <w:bookmarkEnd w:id="388"/>
      <w:bookmarkEnd w:id="389"/>
      <w:bookmarkEnd w:id="390"/>
      <w:bookmarkEnd w:id="391"/>
      <w:bookmarkEnd w:id="392"/>
      <w:bookmarkEnd w:id="393"/>
      <w:bookmarkEnd w:id="454"/>
      <w:bookmarkEnd w:id="455"/>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6" w:name="_Toc473056006"/>
      <w:bookmarkStart w:id="457" w:name="_Toc475451556"/>
      <w:bookmarkStart w:id="458" w:name="_Toc475451803"/>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59" w:name="_Toc11930"/>
    </w:p>
    <w:bookmarkEnd w:id="456"/>
    <w:bookmarkEnd w:id="457"/>
    <w:bookmarkEnd w:id="458"/>
    <w:bookmarkEnd w:id="459"/>
    <w:p>
      <w:pPr>
        <w:pageBreakBefore/>
        <w:adjustRightInd w:val="0"/>
        <w:snapToGrid w:val="0"/>
        <w:spacing w:line="360" w:lineRule="auto"/>
        <w:jc w:val="center"/>
        <w:outlineLvl w:val="1"/>
        <w:rPr>
          <w:rStyle w:val="49"/>
          <w:rFonts w:hint="eastAsia" w:ascii="仿宋" w:hAnsi="仿宋" w:eastAsia="仿宋" w:cs="仿宋"/>
          <w:color w:val="auto"/>
          <w:sz w:val="32"/>
          <w:szCs w:val="21"/>
          <w:highlight w:val="none"/>
          <w:lang w:eastAsia="zh-CN"/>
        </w:rPr>
      </w:pPr>
      <w:bookmarkStart w:id="460" w:name="_Toc13042"/>
      <w:bookmarkStart w:id="461" w:name="_Toc3327"/>
      <w:bookmarkStart w:id="462" w:name="_Toc518"/>
      <w:bookmarkStart w:id="463" w:name="_Toc8297"/>
      <w:bookmarkStart w:id="464" w:name="_Toc22966"/>
      <w:bookmarkStart w:id="465" w:name="_Toc4764"/>
      <w:bookmarkStart w:id="466" w:name="_Toc21194"/>
      <w:bookmarkStart w:id="467" w:name="_Toc4404"/>
      <w:bookmarkStart w:id="468" w:name="_Toc300"/>
      <w:bookmarkStart w:id="469" w:name="_Toc31212"/>
      <w:bookmarkStart w:id="470" w:name="_Toc370"/>
      <w:bookmarkStart w:id="471" w:name="_Toc8261"/>
      <w:bookmarkStart w:id="472" w:name="_Toc14308"/>
      <w:bookmarkStart w:id="473" w:name="_Toc17011"/>
      <w:bookmarkStart w:id="474" w:name="_Toc4501"/>
      <w:bookmarkStart w:id="475" w:name="_Toc3451"/>
      <w:bookmarkStart w:id="476" w:name="_Toc18224"/>
      <w:bookmarkStart w:id="477" w:name="_Toc31326"/>
      <w:bookmarkStart w:id="478" w:name="_Toc9217"/>
      <w:bookmarkStart w:id="479" w:name="_Toc26734"/>
      <w:bookmarkStart w:id="480" w:name="_Toc13495"/>
      <w:bookmarkStart w:id="481" w:name="_Toc31471"/>
      <w:bookmarkStart w:id="482" w:name="_Toc26791"/>
      <w:bookmarkStart w:id="483" w:name="_Toc3056"/>
      <w:r>
        <w:rPr>
          <w:rStyle w:val="49"/>
          <w:rFonts w:hint="eastAsia" w:ascii="仿宋" w:hAnsi="仿宋" w:eastAsia="仿宋" w:cs="仿宋"/>
          <w:sz w:val="32"/>
          <w:szCs w:val="21"/>
          <w:highlight w:val="none"/>
          <w:lang w:val="en-US" w:eastAsia="zh-CN"/>
        </w:rPr>
        <w:t>七</w:t>
      </w:r>
      <w:r>
        <w:rPr>
          <w:rStyle w:val="49"/>
          <w:rFonts w:hint="eastAsia" w:ascii="仿宋" w:hAnsi="仿宋" w:eastAsia="仿宋" w:cs="仿宋"/>
          <w:sz w:val="32"/>
          <w:szCs w:val="21"/>
          <w:highlight w:val="none"/>
          <w:lang w:val="zh-CN"/>
        </w:rPr>
        <w:t>、</w:t>
      </w:r>
      <w:bookmarkEnd w:id="460"/>
      <w:bookmarkStart w:id="484" w:name="_Toc24533"/>
      <w:bookmarkStart w:id="485" w:name="_Toc13348"/>
      <w:bookmarkStart w:id="486" w:name="_Toc9136"/>
      <w:bookmarkStart w:id="487" w:name="_Toc11833"/>
      <w:bookmarkStart w:id="488" w:name="_Toc7263"/>
      <w:r>
        <w:rPr>
          <w:rStyle w:val="49"/>
          <w:rFonts w:hint="eastAsia" w:ascii="仿宋" w:hAnsi="仿宋" w:eastAsia="仿宋" w:cs="仿宋"/>
          <w:color w:val="auto"/>
          <w:sz w:val="32"/>
          <w:szCs w:val="21"/>
          <w:highlight w:val="none"/>
        </w:rPr>
        <w:t>节能环保、环境标志产品明细表</w:t>
      </w:r>
      <w:r>
        <w:rPr>
          <w:rStyle w:val="49"/>
          <w:rFonts w:hint="eastAsia" w:ascii="仿宋" w:hAnsi="仿宋" w:eastAsia="仿宋" w:cs="仿宋"/>
          <w:color w:val="auto"/>
          <w:sz w:val="32"/>
          <w:szCs w:val="21"/>
          <w:highlight w:val="none"/>
          <w:lang w:eastAsia="zh-CN"/>
        </w:rPr>
        <w:t>（若有）</w:t>
      </w:r>
      <w:bookmarkEnd w:id="461"/>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9"/>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89" w:name="_Toc11986"/>
      <w:r>
        <w:rPr>
          <w:rStyle w:val="49"/>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89"/>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8"/>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8"/>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8"/>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0" w:name="_Toc28019"/>
      <w:r>
        <w:rPr>
          <w:rFonts w:hint="eastAsia" w:ascii="仿宋" w:hAnsi="仿宋" w:eastAsia="仿宋" w:cs="仿宋"/>
          <w:b/>
          <w:kern w:val="0"/>
          <w:sz w:val="32"/>
          <w:szCs w:val="21"/>
          <w:highlight w:val="none"/>
          <w:lang w:val="en-US" w:eastAsia="zh-CN" w:bidi="ar-SA"/>
        </w:rPr>
        <w:t>九、</w:t>
      </w:r>
      <w:r>
        <w:rPr>
          <w:rStyle w:val="49"/>
          <w:rFonts w:hint="eastAsia" w:ascii="仿宋" w:hAnsi="仿宋" w:eastAsia="仿宋" w:cs="仿宋"/>
          <w:sz w:val="32"/>
          <w:szCs w:val="21"/>
          <w:highlight w:val="none"/>
          <w:lang w:eastAsia="zh-CN"/>
        </w:rPr>
        <w:t>设备供应方案</w:t>
      </w:r>
      <w:bookmarkEnd w:id="490"/>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1" w:name="_Toc32308"/>
      <w:r>
        <w:rPr>
          <w:rStyle w:val="49"/>
          <w:rFonts w:hint="eastAsia" w:ascii="仿宋" w:hAnsi="仿宋" w:eastAsia="仿宋" w:cs="仿宋"/>
          <w:sz w:val="32"/>
          <w:szCs w:val="21"/>
          <w:highlight w:val="none"/>
          <w:lang w:eastAsia="zh-CN"/>
        </w:rPr>
        <w:t>十、实施方案</w:t>
      </w:r>
      <w:bookmarkEnd w:id="491"/>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9"/>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9"/>
          <w:rFonts w:hint="eastAsia" w:ascii="仿宋" w:hAnsi="仿宋" w:eastAsia="仿宋" w:cs="仿宋"/>
          <w:sz w:val="28"/>
          <w:szCs w:val="20"/>
          <w:highlight w:val="none"/>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9"/>
          <w:rFonts w:ascii="仿宋" w:hAnsi="仿宋" w:eastAsia="仿宋" w:cs="仿宋"/>
          <w:sz w:val="28"/>
          <w:szCs w:val="20"/>
          <w:highlight w:val="none"/>
        </w:rPr>
      </w:pPr>
      <w:bookmarkStart w:id="492" w:name="_Toc32133"/>
      <w:bookmarkStart w:id="493" w:name="_Toc27006"/>
      <w:r>
        <w:rPr>
          <w:rStyle w:val="49"/>
          <w:rFonts w:hint="eastAsia" w:ascii="仿宋" w:hAnsi="仿宋" w:eastAsia="仿宋" w:cs="仿宋"/>
          <w:sz w:val="28"/>
          <w:szCs w:val="20"/>
          <w:highlight w:val="none"/>
          <w:lang w:eastAsia="zh-CN"/>
        </w:rPr>
        <w:t>附件二：</w:t>
      </w:r>
      <w:r>
        <w:rPr>
          <w:rStyle w:val="49"/>
          <w:rFonts w:hint="eastAsia" w:ascii="仿宋" w:hAnsi="仿宋" w:eastAsia="仿宋" w:cs="仿宋"/>
          <w:sz w:val="28"/>
          <w:szCs w:val="20"/>
          <w:highlight w:val="none"/>
        </w:rPr>
        <w:t>参与本项目人员表</w:t>
      </w:r>
      <w:bookmarkEnd w:id="492"/>
      <w:bookmarkEnd w:id="493"/>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9"/>
          <w:rFonts w:hint="eastAsia" w:ascii="仿宋" w:hAnsi="仿宋" w:eastAsia="仿宋" w:cs="仿宋"/>
          <w:sz w:val="32"/>
          <w:szCs w:val="21"/>
          <w:highlight w:val="none"/>
          <w:lang w:eastAsia="zh-CN"/>
        </w:rPr>
      </w:pPr>
      <w:r>
        <w:rPr>
          <w:rStyle w:val="49"/>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9"/>
          <w:rFonts w:hint="eastAsia" w:ascii="仿宋" w:hAnsi="仿宋" w:eastAsia="仿宋" w:cs="仿宋"/>
          <w:sz w:val="32"/>
          <w:szCs w:val="21"/>
          <w:highlight w:val="none"/>
          <w:lang w:eastAsia="zh-CN"/>
        </w:rPr>
      </w:pPr>
      <w:bookmarkStart w:id="494" w:name="_Toc31542"/>
      <w:r>
        <w:rPr>
          <w:rFonts w:hint="eastAsia" w:ascii="仿宋" w:hAnsi="仿宋" w:eastAsia="仿宋" w:cs="仿宋"/>
          <w:b/>
          <w:kern w:val="0"/>
          <w:sz w:val="32"/>
          <w:szCs w:val="21"/>
          <w:highlight w:val="none"/>
          <w:lang w:val="en-US" w:eastAsia="zh-CN" w:bidi="ar-SA"/>
        </w:rPr>
        <w:t>十一、</w:t>
      </w:r>
      <w:r>
        <w:rPr>
          <w:rStyle w:val="49"/>
          <w:rFonts w:hint="eastAsia" w:ascii="仿宋" w:hAnsi="仿宋" w:eastAsia="仿宋" w:cs="仿宋"/>
          <w:sz w:val="32"/>
          <w:szCs w:val="21"/>
          <w:highlight w:val="none"/>
          <w:lang w:eastAsia="zh-CN"/>
        </w:rPr>
        <w:t>保障措施</w:t>
      </w:r>
      <w:bookmarkEnd w:id="494"/>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5" w:name="_Toc30415"/>
      <w:r>
        <w:rPr>
          <w:rFonts w:hint="eastAsia" w:ascii="仿宋" w:hAnsi="仿宋" w:eastAsia="仿宋" w:cs="仿宋"/>
          <w:b/>
          <w:kern w:val="0"/>
          <w:sz w:val="32"/>
          <w:szCs w:val="21"/>
          <w:highlight w:val="none"/>
          <w:lang w:val="en-US" w:eastAsia="zh-CN" w:bidi="ar-SA"/>
        </w:rPr>
        <w:t>十二、应急措施</w:t>
      </w:r>
      <w:bookmarkEnd w:id="495"/>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6" w:name="_Toc27349"/>
      <w:bookmarkStart w:id="497" w:name="_Toc9723"/>
      <w:bookmarkStart w:id="498" w:name="_Toc17895"/>
      <w:bookmarkStart w:id="499" w:name="_Toc30152"/>
      <w:bookmarkStart w:id="500" w:name="_Toc31908"/>
      <w:bookmarkStart w:id="501" w:name="_Toc6448"/>
      <w:bookmarkStart w:id="502" w:name="_Toc15935"/>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6"/>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8"/>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7"/>
    <w:bookmarkEnd w:id="498"/>
    <w:bookmarkEnd w:id="499"/>
    <w:bookmarkEnd w:id="500"/>
    <w:bookmarkEnd w:id="501"/>
    <w:bookmarkEnd w:id="502"/>
    <w:p>
      <w:pPr>
        <w:pageBreakBefore/>
        <w:spacing w:line="360" w:lineRule="auto"/>
        <w:jc w:val="center"/>
        <w:outlineLvl w:val="1"/>
        <w:rPr>
          <w:rFonts w:ascii="仿宋" w:hAnsi="仿宋" w:eastAsia="仿宋" w:cs="仿宋"/>
          <w:b/>
          <w:sz w:val="44"/>
          <w:szCs w:val="44"/>
          <w:highlight w:val="none"/>
        </w:rPr>
      </w:pPr>
      <w:bookmarkStart w:id="503" w:name="_Toc13774"/>
      <w:bookmarkStart w:id="504" w:name="_Toc10131"/>
      <w:bookmarkStart w:id="505" w:name="_Toc473056008"/>
      <w:bookmarkStart w:id="506" w:name="_Toc19696"/>
      <w:bookmarkStart w:id="507" w:name="_Toc475451804"/>
      <w:bookmarkStart w:id="508" w:name="_Toc18055"/>
      <w:bookmarkStart w:id="509" w:name="_Toc8020"/>
      <w:bookmarkStart w:id="510" w:name="_Toc475451557"/>
      <w:bookmarkStart w:id="511" w:name="_Toc8031"/>
      <w:bookmarkStart w:id="512" w:name="_Toc23271"/>
      <w:bookmarkStart w:id="513" w:name="_Toc24129"/>
      <w:bookmarkStart w:id="514" w:name="_Toc18031"/>
      <w:bookmarkStart w:id="515" w:name="_Toc6638"/>
      <w:bookmarkStart w:id="516" w:name="_Toc27139"/>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7" w:name="_Toc18141"/>
      <w:bookmarkStart w:id="518" w:name="_Toc5549"/>
      <w:bookmarkStart w:id="519" w:name="_Toc18863"/>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7"/>
      <w:bookmarkEnd w:id="518"/>
      <w:bookmarkEnd w:id="519"/>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4"/>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0" w:name="_Toc2681"/>
      <w:bookmarkStart w:id="521" w:name="_Toc12844"/>
      <w:bookmarkStart w:id="522" w:name="_Toc19643"/>
      <w:bookmarkStart w:id="523" w:name="_Toc2180"/>
      <w:bookmarkStart w:id="524" w:name="_Toc5082"/>
      <w:bookmarkStart w:id="525" w:name="_Toc13565"/>
      <w:bookmarkStart w:id="526" w:name="_Toc22976"/>
      <w:bookmarkStart w:id="527" w:name="_Toc8931"/>
      <w:bookmarkStart w:id="528" w:name="_Toc19579"/>
      <w:bookmarkStart w:id="529" w:name="_Toc31226"/>
      <w:bookmarkStart w:id="530" w:name="_Toc7562"/>
      <w:bookmarkStart w:id="531" w:name="_Toc28697"/>
      <w:bookmarkStart w:id="532" w:name="_Toc26328"/>
      <w:bookmarkStart w:id="533" w:name="_Toc25981"/>
      <w:bookmarkStart w:id="534" w:name="_Toc14521"/>
      <w:bookmarkStart w:id="535" w:name="_Toc7489"/>
      <w:bookmarkStart w:id="536" w:name="_Toc7233"/>
      <w:bookmarkStart w:id="537" w:name="_Toc4983"/>
      <w:bookmarkStart w:id="538" w:name="_Toc25138"/>
      <w:bookmarkStart w:id="539" w:name="_Toc1644"/>
      <w:bookmarkStart w:id="540" w:name="_Toc4293"/>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0"/>
      <w:bookmarkEnd w:id="521"/>
      <w:bookmarkEnd w:id="522"/>
      <w:bookmarkEnd w:id="523"/>
      <w:bookmarkEnd w:id="524"/>
      <w:bookmarkEnd w:id="525"/>
      <w:bookmarkEnd w:id="526"/>
      <w:bookmarkEnd w:id="527"/>
      <w:bookmarkEnd w:id="528"/>
      <w:bookmarkEnd w:id="529"/>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1"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0"/>
      <w:bookmarkEnd w:id="531"/>
      <w:bookmarkEnd w:id="532"/>
      <w:bookmarkEnd w:id="533"/>
      <w:bookmarkEnd w:id="534"/>
      <w:bookmarkEnd w:id="535"/>
      <w:bookmarkEnd w:id="536"/>
      <w:bookmarkEnd w:id="537"/>
      <w:bookmarkEnd w:id="538"/>
      <w:bookmarkEnd w:id="539"/>
      <w:bookmarkEnd w:id="540"/>
      <w:bookmarkEnd w:id="541"/>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B508F370"/>
    <w:multiLevelType w:val="multilevel"/>
    <w:tmpl w:val="B508F370"/>
    <w:lvl w:ilvl="0" w:tentative="0">
      <w:start w:val="1"/>
      <w:numFmt w:val="decimal"/>
      <w:lvlText w:val="%1."/>
      <w:lvlJc w:val="left"/>
      <w:pPr>
        <w:ind w:left="420" w:hanging="420"/>
      </w:pPr>
      <w:rPr>
        <w:rFonts w:hint="default"/>
        <w:b w:val="0"/>
        <w:color w:val="auto"/>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8AE0472"/>
    <w:multiLevelType w:val="singleLevel"/>
    <w:tmpl w:val="D8AE0472"/>
    <w:lvl w:ilvl="0" w:tentative="0">
      <w:start w:val="1"/>
      <w:numFmt w:val="decimal"/>
      <w:suff w:val="nothing"/>
      <w:lvlText w:val="%1、"/>
      <w:lvlJc w:val="left"/>
    </w:lvl>
  </w:abstractNum>
  <w:abstractNum w:abstractNumId="3">
    <w:nsid w:val="0710F9EC"/>
    <w:multiLevelType w:val="singleLevel"/>
    <w:tmpl w:val="0710F9EC"/>
    <w:lvl w:ilvl="0" w:tentative="0">
      <w:start w:val="1"/>
      <w:numFmt w:val="decimal"/>
      <w:lvlText w:val="%1."/>
      <w:lvlJc w:val="left"/>
      <w:pPr>
        <w:ind w:left="425" w:hanging="425"/>
      </w:pPr>
      <w:rPr>
        <w:rFonts w:hint="default"/>
      </w:rPr>
    </w:lvl>
  </w:abstractNum>
  <w:abstractNum w:abstractNumId="4">
    <w:nsid w:val="2D4F6A93"/>
    <w:multiLevelType w:val="multilevel"/>
    <w:tmpl w:val="2D4F6A93"/>
    <w:lvl w:ilvl="0" w:tentative="0">
      <w:start w:val="1"/>
      <w:numFmt w:val="decimal"/>
      <w:lvlText w:val="%1."/>
      <w:lvlJc w:val="left"/>
      <w:pPr>
        <w:ind w:left="420" w:hanging="420"/>
      </w:pPr>
      <w:rPr>
        <w:rFonts w:hint="default"/>
        <w:b w:val="0"/>
        <w:color w:val="auto"/>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08017E7"/>
    <w:multiLevelType w:val="singleLevel"/>
    <w:tmpl w:val="408017E7"/>
    <w:lvl w:ilvl="0" w:tentative="0">
      <w:start w:val="1"/>
      <w:numFmt w:val="chineseCounting"/>
      <w:suff w:val="nothing"/>
      <w:lvlText w:val="（%1）"/>
      <w:lvlJc w:val="left"/>
      <w:rPr>
        <w:rFonts w:hint="eastAsia"/>
      </w:rPr>
    </w:lvl>
  </w:abstractNum>
  <w:abstractNum w:abstractNumId="6">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7">
    <w:nsid w:val="72364F1B"/>
    <w:multiLevelType w:val="multilevel"/>
    <w:tmpl w:val="72364F1B"/>
    <w:lvl w:ilvl="0" w:tentative="0">
      <w:start w:val="5"/>
      <w:numFmt w:val="decimal"/>
      <w:lvlText w:val="%1"/>
      <w:lvlJc w:val="left"/>
      <w:pPr>
        <w:ind w:left="360" w:hanging="360"/>
      </w:pPr>
      <w:rPr>
        <w:rFonts w:hint="default"/>
      </w:rPr>
    </w:lvl>
    <w:lvl w:ilvl="1" w:tentative="0">
      <w:start w:val="1"/>
      <w:numFmt w:val="decimal"/>
      <w:lvlText w:val="%2."/>
      <w:lvlJc w:val="left"/>
      <w:pPr>
        <w:ind w:left="360" w:hanging="360"/>
      </w:pPr>
      <w:rPr>
        <w:rFonts w:hint="eastAsia"/>
        <w:color w:val="00000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6"/>
  </w:num>
  <w:num w:numId="2">
    <w:abstractNumId w:val="4"/>
  </w:num>
  <w:num w:numId="3">
    <w:abstractNumId w:val="1"/>
  </w:num>
  <w:num w:numId="4">
    <w:abstractNumId w:val="3"/>
  </w:num>
  <w:num w:numId="5">
    <w:abstractNumId w:val="7"/>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YjBkMDE0MDUwZWU1MDYzY2M0YTJiMmIyMWQyNDY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2545337"/>
    <w:rsid w:val="02943B76"/>
    <w:rsid w:val="03067533"/>
    <w:rsid w:val="03366F2E"/>
    <w:rsid w:val="03433A17"/>
    <w:rsid w:val="03CE5F09"/>
    <w:rsid w:val="03E13B99"/>
    <w:rsid w:val="04473600"/>
    <w:rsid w:val="044F63DD"/>
    <w:rsid w:val="045B70AB"/>
    <w:rsid w:val="04E70F3D"/>
    <w:rsid w:val="04F117E7"/>
    <w:rsid w:val="04F9190C"/>
    <w:rsid w:val="050A565A"/>
    <w:rsid w:val="055E0075"/>
    <w:rsid w:val="05F45B9A"/>
    <w:rsid w:val="065B1B7A"/>
    <w:rsid w:val="065B7491"/>
    <w:rsid w:val="065D6150"/>
    <w:rsid w:val="068C7ABB"/>
    <w:rsid w:val="06CF097B"/>
    <w:rsid w:val="06DA3A8A"/>
    <w:rsid w:val="070251B5"/>
    <w:rsid w:val="07682690"/>
    <w:rsid w:val="076B66BB"/>
    <w:rsid w:val="07756429"/>
    <w:rsid w:val="077F3595"/>
    <w:rsid w:val="079C09E9"/>
    <w:rsid w:val="07CC4A4E"/>
    <w:rsid w:val="080153D7"/>
    <w:rsid w:val="082E6CB9"/>
    <w:rsid w:val="082F4AD6"/>
    <w:rsid w:val="08625C0E"/>
    <w:rsid w:val="0882284B"/>
    <w:rsid w:val="089D30BD"/>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9242C9"/>
    <w:rsid w:val="0FB50E2A"/>
    <w:rsid w:val="0FBD4E9D"/>
    <w:rsid w:val="0FED2F07"/>
    <w:rsid w:val="0FF15A65"/>
    <w:rsid w:val="10801A33"/>
    <w:rsid w:val="10B1408D"/>
    <w:rsid w:val="113E4DF9"/>
    <w:rsid w:val="118D3B9B"/>
    <w:rsid w:val="1193257A"/>
    <w:rsid w:val="11976CA6"/>
    <w:rsid w:val="119F5F2F"/>
    <w:rsid w:val="12154D3D"/>
    <w:rsid w:val="12B10F0A"/>
    <w:rsid w:val="131916C8"/>
    <w:rsid w:val="1467771D"/>
    <w:rsid w:val="146814E3"/>
    <w:rsid w:val="148D166A"/>
    <w:rsid w:val="148D5D51"/>
    <w:rsid w:val="14A222B6"/>
    <w:rsid w:val="14C90DDD"/>
    <w:rsid w:val="14FC0436"/>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E093B57"/>
    <w:rsid w:val="1E0C1B7D"/>
    <w:rsid w:val="1E5F1B35"/>
    <w:rsid w:val="1E9D0C6D"/>
    <w:rsid w:val="1EF158F8"/>
    <w:rsid w:val="1F4B6B94"/>
    <w:rsid w:val="1F897135"/>
    <w:rsid w:val="1FB32D72"/>
    <w:rsid w:val="20067F72"/>
    <w:rsid w:val="20296F02"/>
    <w:rsid w:val="206E3AAB"/>
    <w:rsid w:val="21835F24"/>
    <w:rsid w:val="219E1CFE"/>
    <w:rsid w:val="21D07D7F"/>
    <w:rsid w:val="227A789C"/>
    <w:rsid w:val="22EA651D"/>
    <w:rsid w:val="231D220C"/>
    <w:rsid w:val="234D7605"/>
    <w:rsid w:val="23693C6E"/>
    <w:rsid w:val="238D3B0E"/>
    <w:rsid w:val="243A262C"/>
    <w:rsid w:val="248D427C"/>
    <w:rsid w:val="24F72D22"/>
    <w:rsid w:val="2509389C"/>
    <w:rsid w:val="25657932"/>
    <w:rsid w:val="26844E74"/>
    <w:rsid w:val="27116469"/>
    <w:rsid w:val="272E506B"/>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D34458"/>
    <w:rsid w:val="36D8170A"/>
    <w:rsid w:val="36F4770C"/>
    <w:rsid w:val="376F1E40"/>
    <w:rsid w:val="385C4BC4"/>
    <w:rsid w:val="38B21D00"/>
    <w:rsid w:val="38B6737D"/>
    <w:rsid w:val="38C36AAA"/>
    <w:rsid w:val="38EF3C8A"/>
    <w:rsid w:val="39236DE6"/>
    <w:rsid w:val="393F419F"/>
    <w:rsid w:val="39FC75C0"/>
    <w:rsid w:val="3A2A6565"/>
    <w:rsid w:val="3A4E08BC"/>
    <w:rsid w:val="3A6366DE"/>
    <w:rsid w:val="3AEA11D1"/>
    <w:rsid w:val="3AF73132"/>
    <w:rsid w:val="3AF9127F"/>
    <w:rsid w:val="3B9B69A9"/>
    <w:rsid w:val="3BA6033C"/>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406A75"/>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26D13"/>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0C7AE4"/>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78063F"/>
    <w:rsid w:val="52895DB7"/>
    <w:rsid w:val="52D240C6"/>
    <w:rsid w:val="533709DC"/>
    <w:rsid w:val="542D6A75"/>
    <w:rsid w:val="543633EF"/>
    <w:rsid w:val="545977B8"/>
    <w:rsid w:val="546724CF"/>
    <w:rsid w:val="55711857"/>
    <w:rsid w:val="55EA626F"/>
    <w:rsid w:val="55EE6F74"/>
    <w:rsid w:val="55FB2F36"/>
    <w:rsid w:val="56414E67"/>
    <w:rsid w:val="56535401"/>
    <w:rsid w:val="565E5325"/>
    <w:rsid w:val="567877A1"/>
    <w:rsid w:val="568633C7"/>
    <w:rsid w:val="56B06A24"/>
    <w:rsid w:val="56E53929"/>
    <w:rsid w:val="56EA3B26"/>
    <w:rsid w:val="570D3802"/>
    <w:rsid w:val="57E103E8"/>
    <w:rsid w:val="58265D9B"/>
    <w:rsid w:val="583E1941"/>
    <w:rsid w:val="58676474"/>
    <w:rsid w:val="58782EFD"/>
    <w:rsid w:val="58DA7713"/>
    <w:rsid w:val="59735B16"/>
    <w:rsid w:val="59791922"/>
    <w:rsid w:val="59C355A9"/>
    <w:rsid w:val="59F62BA1"/>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137C66"/>
    <w:rsid w:val="615B3405"/>
    <w:rsid w:val="61CB0541"/>
    <w:rsid w:val="61DD3D7C"/>
    <w:rsid w:val="61EB037A"/>
    <w:rsid w:val="62036471"/>
    <w:rsid w:val="62493703"/>
    <w:rsid w:val="628C62CF"/>
    <w:rsid w:val="62950887"/>
    <w:rsid w:val="62964CA1"/>
    <w:rsid w:val="62A109BE"/>
    <w:rsid w:val="62C6367A"/>
    <w:rsid w:val="62EF6DE0"/>
    <w:rsid w:val="633F4E2D"/>
    <w:rsid w:val="63695E69"/>
    <w:rsid w:val="637F1F15"/>
    <w:rsid w:val="63A53511"/>
    <w:rsid w:val="63D026D5"/>
    <w:rsid w:val="63D76992"/>
    <w:rsid w:val="646B0815"/>
    <w:rsid w:val="647267C2"/>
    <w:rsid w:val="64805613"/>
    <w:rsid w:val="64A44F3B"/>
    <w:rsid w:val="64DA5057"/>
    <w:rsid w:val="650A1AF3"/>
    <w:rsid w:val="651942DA"/>
    <w:rsid w:val="65326B1A"/>
    <w:rsid w:val="65570171"/>
    <w:rsid w:val="659B71FD"/>
    <w:rsid w:val="65C7483E"/>
    <w:rsid w:val="65FC1B81"/>
    <w:rsid w:val="65FE28F6"/>
    <w:rsid w:val="661F0E5C"/>
    <w:rsid w:val="68337384"/>
    <w:rsid w:val="68925968"/>
    <w:rsid w:val="68BB0096"/>
    <w:rsid w:val="68C57216"/>
    <w:rsid w:val="68EC6A87"/>
    <w:rsid w:val="690378E5"/>
    <w:rsid w:val="692A37F7"/>
    <w:rsid w:val="69A17C70"/>
    <w:rsid w:val="69FB0FEF"/>
    <w:rsid w:val="6A0049AD"/>
    <w:rsid w:val="6A2D7FEB"/>
    <w:rsid w:val="6A955B90"/>
    <w:rsid w:val="6AAB0F10"/>
    <w:rsid w:val="6AFB55ED"/>
    <w:rsid w:val="6B1E664C"/>
    <w:rsid w:val="6BA64C36"/>
    <w:rsid w:val="6C7F70EA"/>
    <w:rsid w:val="6CBE0F49"/>
    <w:rsid w:val="6D3849DD"/>
    <w:rsid w:val="6D7C5B1F"/>
    <w:rsid w:val="6D891A5A"/>
    <w:rsid w:val="6DD238FB"/>
    <w:rsid w:val="6DE82246"/>
    <w:rsid w:val="6E174F53"/>
    <w:rsid w:val="6EB95052"/>
    <w:rsid w:val="6F363872"/>
    <w:rsid w:val="6F6C5CF4"/>
    <w:rsid w:val="6F710989"/>
    <w:rsid w:val="6F7E1B58"/>
    <w:rsid w:val="6F883393"/>
    <w:rsid w:val="706349B0"/>
    <w:rsid w:val="707C637B"/>
    <w:rsid w:val="70D711A8"/>
    <w:rsid w:val="7102696F"/>
    <w:rsid w:val="716878B4"/>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D234DD"/>
    <w:rsid w:val="764B777E"/>
    <w:rsid w:val="76CF6524"/>
    <w:rsid w:val="770D7A4F"/>
    <w:rsid w:val="771667E8"/>
    <w:rsid w:val="77187745"/>
    <w:rsid w:val="77543038"/>
    <w:rsid w:val="777A31F5"/>
    <w:rsid w:val="77DA2E34"/>
    <w:rsid w:val="78003A8A"/>
    <w:rsid w:val="780C6AB8"/>
    <w:rsid w:val="781A6F51"/>
    <w:rsid w:val="781E2C43"/>
    <w:rsid w:val="786C3B6A"/>
    <w:rsid w:val="79197E84"/>
    <w:rsid w:val="79A1473F"/>
    <w:rsid w:val="79BD6BED"/>
    <w:rsid w:val="79F96996"/>
    <w:rsid w:val="7A4E5B69"/>
    <w:rsid w:val="7A6354A7"/>
    <w:rsid w:val="7AF64A28"/>
    <w:rsid w:val="7AFA39D1"/>
    <w:rsid w:val="7B0C006A"/>
    <w:rsid w:val="7BCA5898"/>
    <w:rsid w:val="7BD50079"/>
    <w:rsid w:val="7C044221"/>
    <w:rsid w:val="7C09049A"/>
    <w:rsid w:val="7C442433"/>
    <w:rsid w:val="7C6901CD"/>
    <w:rsid w:val="7C7A4C2F"/>
    <w:rsid w:val="7C9670FF"/>
    <w:rsid w:val="7CA23518"/>
    <w:rsid w:val="7D2538DC"/>
    <w:rsid w:val="7D5E77CF"/>
    <w:rsid w:val="7D751B04"/>
    <w:rsid w:val="7DC73E5B"/>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7"/>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5"/>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6"/>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48"/>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jc w:val="left"/>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kern w:val="0"/>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2 Char1"/>
    <w:basedOn w:val="38"/>
    <w:link w:val="3"/>
    <w:qFormat/>
    <w:uiPriority w:val="9"/>
    <w:rPr>
      <w:rFonts w:ascii="楷体" w:hAnsi="楷体" w:eastAsia="黑体"/>
      <w:sz w:val="32"/>
      <w:szCs w:val="32"/>
    </w:rPr>
  </w:style>
  <w:style w:type="character" w:customStyle="1" w:styleId="46">
    <w:name w:val="标题 3 Char"/>
    <w:basedOn w:val="38"/>
    <w:link w:val="4"/>
    <w:qFormat/>
    <w:uiPriority w:val="9"/>
    <w:rPr>
      <w:rFonts w:ascii="方正小标宋_GBK" w:hAnsi="仿宋" w:eastAsia="方正小标宋_GBK"/>
      <w:sz w:val="36"/>
      <w:szCs w:val="36"/>
    </w:rPr>
  </w:style>
  <w:style w:type="character" w:customStyle="1" w:styleId="47">
    <w:name w:val="标题 1 Char"/>
    <w:basedOn w:val="38"/>
    <w:link w:val="2"/>
    <w:qFormat/>
    <w:uiPriority w:val="9"/>
    <w:rPr>
      <w:rFonts w:ascii="方正小标宋_GBK" w:hAnsi="仿宋" w:eastAsia="方正小标宋_GBK"/>
      <w:sz w:val="44"/>
      <w:szCs w:val="44"/>
    </w:rPr>
  </w:style>
  <w:style w:type="character" w:customStyle="1" w:styleId="48">
    <w:name w:val="标题 4 Char"/>
    <w:basedOn w:val="38"/>
    <w:link w:val="5"/>
    <w:semiHidden/>
    <w:qFormat/>
    <w:uiPriority w:val="9"/>
    <w:rPr>
      <w:rFonts w:cstheme="majorBidi"/>
      <w:b/>
      <w:bCs/>
      <w:sz w:val="28"/>
      <w:szCs w:val="28"/>
    </w:rPr>
  </w:style>
  <w:style w:type="character" w:customStyle="1" w:styleId="49">
    <w:name w:val="标题 2 Char"/>
    <w:qFormat/>
    <w:uiPriority w:val="0"/>
    <w:rPr>
      <w:rFonts w:ascii="黑体" w:hAnsi="黑体"/>
      <w:b/>
      <w:kern w:val="0"/>
      <w:sz w:val="44"/>
    </w:rPr>
  </w:style>
  <w:style w:type="paragraph" w:customStyle="1" w:styleId="50">
    <w:name w:val="font5"/>
    <w:basedOn w:val="1"/>
    <w:qFormat/>
    <w:uiPriority w:val="0"/>
    <w:pPr>
      <w:spacing w:before="100" w:beforeAutospacing="1" w:after="100" w:afterAutospacing="1"/>
    </w:pPr>
    <w:rPr>
      <w:rFonts w:hint="eastAsia" w:ascii="宋体" w:hAnsi="宋体"/>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Char"/>
    <w:basedOn w:val="38"/>
    <w:link w:val="22"/>
    <w:semiHidden/>
    <w:qFormat/>
    <w:uiPriority w:val="99"/>
    <w:rPr>
      <w:rFonts w:ascii="华文仿宋" w:hAnsi="华文仿宋" w:eastAsia="华文仿宋"/>
      <w:sz w:val="28"/>
      <w:szCs w:val="28"/>
    </w:rPr>
  </w:style>
  <w:style w:type="character" w:customStyle="1" w:styleId="72">
    <w:name w:val="页眉 Char"/>
    <w:basedOn w:val="38"/>
    <w:link w:val="26"/>
    <w:qFormat/>
    <w:uiPriority w:val="0"/>
    <w:rPr>
      <w:rFonts w:ascii="华文仿宋" w:hAnsi="华文仿宋" w:eastAsia="华文仿宋"/>
      <w:sz w:val="18"/>
      <w:szCs w:val="18"/>
    </w:rPr>
  </w:style>
  <w:style w:type="character" w:customStyle="1" w:styleId="73">
    <w:name w:val="页脚 Char"/>
    <w:basedOn w:val="38"/>
    <w:link w:val="24"/>
    <w:qFormat/>
    <w:uiPriority w:val="99"/>
    <w:rPr>
      <w:rFonts w:ascii="华文仿宋" w:hAnsi="华文仿宋" w:eastAsia="华文仿宋"/>
      <w:sz w:val="18"/>
      <w:szCs w:val="18"/>
    </w:rPr>
  </w:style>
  <w:style w:type="character" w:customStyle="1" w:styleId="74">
    <w:name w:val="标题 5 Char"/>
    <w:basedOn w:val="38"/>
    <w:link w:val="6"/>
    <w:semiHidden/>
    <w:qFormat/>
    <w:uiPriority w:val="9"/>
    <w:rPr>
      <w:b/>
      <w:bCs/>
      <w:i/>
      <w:iCs/>
      <w:sz w:val="26"/>
      <w:szCs w:val="26"/>
    </w:rPr>
  </w:style>
  <w:style w:type="character" w:customStyle="1" w:styleId="75">
    <w:name w:val="标题 6 Char"/>
    <w:basedOn w:val="38"/>
    <w:link w:val="7"/>
    <w:semiHidden/>
    <w:qFormat/>
    <w:uiPriority w:val="9"/>
    <w:rPr>
      <w:rFonts w:cstheme="majorBidi"/>
      <w:b/>
      <w:bCs/>
    </w:rPr>
  </w:style>
  <w:style w:type="character" w:customStyle="1" w:styleId="76">
    <w:name w:val="标题 7 Char"/>
    <w:basedOn w:val="38"/>
    <w:link w:val="8"/>
    <w:semiHidden/>
    <w:qFormat/>
    <w:uiPriority w:val="9"/>
    <w:rPr>
      <w:sz w:val="24"/>
      <w:szCs w:val="24"/>
    </w:rPr>
  </w:style>
  <w:style w:type="character" w:customStyle="1" w:styleId="77">
    <w:name w:val="标题 8 Char"/>
    <w:basedOn w:val="38"/>
    <w:link w:val="9"/>
    <w:semiHidden/>
    <w:qFormat/>
    <w:uiPriority w:val="9"/>
    <w:rPr>
      <w:rFonts w:cstheme="majorBidi"/>
      <w:i/>
      <w:iCs/>
      <w:sz w:val="24"/>
      <w:szCs w:val="24"/>
    </w:rPr>
  </w:style>
  <w:style w:type="character" w:customStyle="1" w:styleId="78">
    <w:name w:val="标题 9 Char"/>
    <w:basedOn w:val="38"/>
    <w:link w:val="10"/>
    <w:semiHidden/>
    <w:qFormat/>
    <w:uiPriority w:val="9"/>
    <w:rPr>
      <w:rFonts w:asciiTheme="majorHAnsi" w:hAnsiTheme="majorHAnsi" w:eastAsiaTheme="majorEastAsia" w:cstheme="majorBidi"/>
    </w:rPr>
  </w:style>
  <w:style w:type="character" w:customStyle="1" w:styleId="79">
    <w:name w:val="标题 Char"/>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Char"/>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Char"/>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Char"/>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Char"/>
    <w:basedOn w:val="38"/>
    <w:link w:val="23"/>
    <w:semiHidden/>
    <w:qFormat/>
    <w:uiPriority w:val="99"/>
    <w:rPr>
      <w:sz w:val="18"/>
      <w:szCs w:val="18"/>
    </w:rPr>
  </w:style>
  <w:style w:type="character" w:customStyle="1" w:styleId="94">
    <w:name w:val="批注文字 Char"/>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Char"/>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Char"/>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Unresolved Mention"/>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5"/>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Footer"/>
    <w:basedOn w:val="1"/>
    <w:qFormat/>
    <w:uiPriority w:val="0"/>
    <w:pPr>
      <w:tabs>
        <w:tab w:val="center" w:pos="4153"/>
        <w:tab w:val="right" w:pos="8306"/>
      </w:tabs>
      <w:snapToGrid w:val="0"/>
      <w:jc w:val="left"/>
    </w:pPr>
    <w:rPr>
      <w:sz w:val="18"/>
    </w:rPr>
  </w:style>
  <w:style w:type="paragraph" w:customStyle="1" w:styleId="121">
    <w:name w:val="正文首行缩进两字符"/>
    <w:basedOn w:val="1"/>
    <w:qFormat/>
    <w:uiPriority w:val="0"/>
    <w:pPr>
      <w:spacing w:line="360" w:lineRule="auto"/>
      <w:ind w:firstLine="200" w:firstLineChars="200"/>
    </w:pPr>
    <w:rPr>
      <w:lang w:eastAsia="zh-CN"/>
    </w:rPr>
  </w:style>
  <w:style w:type="paragraph" w:customStyle="1" w:styleId="122">
    <w:name w:val="BodyText"/>
    <w:basedOn w:val="1"/>
    <w:next w:val="1"/>
    <w:qFormat/>
    <w:uiPriority w:val="0"/>
    <w:pPr>
      <w:spacing w:line="360" w:lineRule="auto"/>
    </w:pPr>
    <w:rPr>
      <w:kern w:val="0"/>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6">
    <w:name w:val="无间隔1"/>
    <w:basedOn w:val="1"/>
    <w:qFormat/>
    <w:uiPriority w:val="99"/>
    <w:pPr>
      <w:widowControl/>
      <w:jc w:val="left"/>
    </w:pPr>
    <w:rPr>
      <w:rFonts w:cs="Times New Roman"/>
      <w:kern w:val="0"/>
      <w:sz w:val="20"/>
      <w:szCs w:val="20"/>
      <w:lang w:eastAsia="en-US" w:bidi="en-US"/>
    </w:rPr>
  </w:style>
  <w:style w:type="character" w:customStyle="1" w:styleId="127">
    <w:name w:val="font01"/>
    <w:qFormat/>
    <w:uiPriority w:val="0"/>
    <w:rPr>
      <w:rFonts w:ascii="微软雅黑" w:hAnsi="微软雅黑" w:eastAsia="微软雅黑" w:cs="微软雅黑"/>
      <w:color w:val="000000"/>
      <w:sz w:val="22"/>
      <w:szCs w:val="22"/>
      <w:u w:val="none"/>
    </w:rPr>
  </w:style>
  <w:style w:type="paragraph" w:customStyle="1" w:styleId="128">
    <w:name w:val="p15"/>
    <w:basedOn w:val="1"/>
    <w:qFormat/>
    <w:uiPriority w:val="0"/>
    <w:pPr>
      <w:widowControl/>
      <w:adjustRightInd w:val="0"/>
      <w:jc w:val="left"/>
    </w:pPr>
    <w:rPr>
      <w:rFonts w:ascii="Arial Unicode MS" w:hAnsi="Arial Unicode MS" w:cs="宋体"/>
      <w:color w:val="000000"/>
      <w:kern w:val="0"/>
      <w:sz w:val="24"/>
    </w:rPr>
  </w:style>
  <w:style w:type="paragraph" w:customStyle="1" w:styleId="129">
    <w:name w:val="p0"/>
    <w:basedOn w:val="1"/>
    <w:qFormat/>
    <w:uiPriority w:val="0"/>
    <w:pPr>
      <w:widowControl/>
    </w:pPr>
    <w:rPr>
      <w:rFonts w:ascii="Calibri" w:hAnsi="Calibri" w:eastAsia="宋体" w:cs="Times New Roman"/>
      <w:kern w:val="0"/>
      <w:szCs w:val="21"/>
    </w:rPr>
  </w:style>
  <w:style w:type="character" w:customStyle="1" w:styleId="130">
    <w:name w:val="fontstyle01"/>
    <w:qFormat/>
    <w:uiPriority w:val="0"/>
    <w:rPr>
      <w:rFonts w:hint="eastAsia" w:ascii="宋体" w:hAnsi="宋体" w:eastAsia="宋体"/>
      <w:color w:val="000000"/>
      <w:sz w:val="28"/>
      <w:szCs w:val="28"/>
    </w:rPr>
  </w:style>
  <w:style w:type="paragraph" w:customStyle="1" w:styleId="131">
    <w:name w:val="列表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13</TotalTime>
  <ScaleCrop>false</ScaleCrop>
  <LinksUpToDate>false</LinksUpToDate>
  <CharactersWithSpaces>46575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2023-12-08T11:55:24Z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8FE502E068D043739A0BD1D694FEB59A_13</vt:lpwstr>
  </property>
</Properties>
</file>