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32"/>
          <w:szCs w:val="32"/>
          <w:highlight w:val="none"/>
          <w:lang w:val="zh-CN"/>
        </w:rPr>
      </w:pPr>
      <w:bookmarkStart w:id="0" w:name="_Toc475451789"/>
      <w:bookmarkStart w:id="1" w:name="_Toc475451542"/>
    </w:p>
    <w:p>
      <w:pPr>
        <w:spacing w:line="360" w:lineRule="auto"/>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bookmarkEnd w:id="0"/>
      <w:bookmarkEnd w:id="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tabs>
          <w:tab w:val="left" w:pos="5670"/>
        </w:tabs>
        <w:autoSpaceDE w:val="0"/>
        <w:autoSpaceDN w:val="0"/>
        <w:adjustRightInd w:val="0"/>
        <w:spacing w:line="360" w:lineRule="auto"/>
        <w:ind w:firstLine="300"/>
        <w:rPr>
          <w:rFonts w:ascii="仿宋" w:hAnsi="仿宋" w:eastAsia="仿宋" w:cs="仿宋"/>
          <w:b/>
          <w:sz w:val="32"/>
          <w:szCs w:val="32"/>
          <w:highlight w:val="none"/>
        </w:rPr>
      </w:pPr>
    </w:p>
    <w:p>
      <w:pPr>
        <w:pStyle w:val="18"/>
        <w:rPr>
          <w:highlight w:val="none"/>
        </w:rPr>
      </w:pPr>
    </w:p>
    <w:p>
      <w:pPr>
        <w:rPr>
          <w:highlight w:val="none"/>
        </w:rPr>
      </w:pPr>
    </w:p>
    <w:p>
      <w:pPr>
        <w:pStyle w:val="18"/>
        <w:rPr>
          <w:highlight w:val="none"/>
        </w:rPr>
      </w:pPr>
    </w:p>
    <w:p>
      <w:pPr>
        <w:pStyle w:val="16"/>
        <w:keepNext w:val="0"/>
        <w:keepLines w:val="0"/>
        <w:pageBreakBefore w:val="0"/>
        <w:widowControl/>
        <w:kinsoku/>
        <w:wordWrap/>
        <w:overflowPunct/>
        <w:topLinePunct w:val="0"/>
        <w:bidi w:val="0"/>
        <w:snapToGrid/>
        <w:spacing w:line="360" w:lineRule="auto"/>
        <w:jc w:val="center"/>
        <w:textAlignment w:val="auto"/>
        <w:rPr>
          <w:rFonts w:hint="eastAsia" w:ascii="仿宋" w:hAnsi="仿宋" w:eastAsia="仿宋" w:cs="仿宋"/>
          <w:sz w:val="40"/>
          <w:szCs w:val="40"/>
          <w:highlight w:val="none"/>
          <w:lang w:val="zh-CN"/>
        </w:rPr>
      </w:pPr>
      <w:r>
        <w:rPr>
          <w:rFonts w:hint="eastAsia" w:ascii="仿宋" w:hAnsi="仿宋" w:eastAsia="仿宋" w:cs="仿宋"/>
          <w:b/>
          <w:bCs/>
          <w:sz w:val="40"/>
          <w:szCs w:val="40"/>
          <w:highlight w:val="none"/>
          <w:lang w:val="zh-CN"/>
        </w:rPr>
        <w:t>西安市第八医院新院区基础医疗设备采购项目</w:t>
      </w:r>
    </w:p>
    <w:p>
      <w:pPr>
        <w:keepNext w:val="0"/>
        <w:keepLines w:val="0"/>
        <w:pageBreakBefore w:val="0"/>
        <w:widowControl/>
        <w:tabs>
          <w:tab w:val="left" w:pos="5670"/>
        </w:tabs>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bCs/>
          <w:sz w:val="40"/>
          <w:szCs w:val="40"/>
          <w:highlight w:val="none"/>
          <w:lang w:val="zh-CN" w:eastAsia="zh-CN" w:bidi="ar-SA"/>
        </w:rPr>
      </w:pPr>
      <w:r>
        <w:rPr>
          <w:rFonts w:hint="eastAsia" w:ascii="仿宋" w:hAnsi="仿宋" w:eastAsia="仿宋" w:cs="仿宋"/>
          <w:b/>
          <w:bCs/>
          <w:sz w:val="40"/>
          <w:szCs w:val="40"/>
          <w:highlight w:val="none"/>
          <w:lang w:val="zh-CN" w:eastAsia="zh-CN" w:bidi="ar-SA"/>
        </w:rPr>
        <w:t>（包6：基础设备）</w:t>
      </w:r>
    </w:p>
    <w:p>
      <w:pPr>
        <w:rPr>
          <w:rFonts w:hint="eastAsia" w:ascii="仿宋" w:hAnsi="仿宋" w:eastAsia="仿宋" w:cs="仿宋"/>
          <w:highlight w:val="none"/>
          <w:lang w:val="zh-CN"/>
        </w:rPr>
      </w:pPr>
    </w:p>
    <w:p>
      <w:pPr>
        <w:tabs>
          <w:tab w:val="left" w:pos="5670"/>
        </w:tabs>
        <w:autoSpaceDE w:val="0"/>
        <w:autoSpaceDN w:val="0"/>
        <w:adjustRightInd w:val="0"/>
        <w:spacing w:line="360" w:lineRule="auto"/>
        <w:jc w:val="center"/>
        <w:rPr>
          <w:rFonts w:hint="eastAsia" w:ascii="仿宋" w:hAnsi="仿宋" w:eastAsia="仿宋" w:cs="仿宋"/>
          <w:b/>
          <w:bCs/>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sz w:val="44"/>
          <w:szCs w:val="44"/>
          <w:highlight w:val="none"/>
        </w:rPr>
      </w:pPr>
      <w:r>
        <w:rPr>
          <w:rFonts w:hint="eastAsia" w:ascii="仿宋" w:hAnsi="仿宋" w:eastAsia="仿宋" w:cs="仿宋"/>
          <w:b/>
          <w:bCs/>
          <w:sz w:val="44"/>
          <w:szCs w:val="44"/>
          <w:highlight w:val="none"/>
        </w:rPr>
        <w:t xml:space="preserve">招 </w:t>
      </w:r>
      <w:r>
        <w:rPr>
          <w:rFonts w:hint="eastAsia" w:ascii="仿宋" w:hAnsi="仿宋" w:eastAsia="仿宋" w:cs="仿宋"/>
          <w:b/>
          <w:bCs/>
          <w:sz w:val="44"/>
          <w:szCs w:val="44"/>
          <w:highlight w:val="none"/>
          <w:lang w:val="zh-CN"/>
        </w:rPr>
        <w:t>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件</w:t>
      </w:r>
      <w:r>
        <w:rPr>
          <w:rFonts w:hint="eastAsia" w:ascii="仿宋" w:hAnsi="仿宋" w:eastAsia="仿宋" w:cs="仿宋"/>
          <w:b/>
          <w:sz w:val="44"/>
          <w:szCs w:val="44"/>
          <w:highlight w:val="none"/>
        </w:rPr>
        <w:t xml:space="preserve"> </w:t>
      </w:r>
    </w:p>
    <w:p>
      <w:pPr>
        <w:tabs>
          <w:tab w:val="left" w:pos="5670"/>
        </w:tabs>
        <w:autoSpaceDE w:val="0"/>
        <w:autoSpaceDN w:val="0"/>
        <w:adjustRightInd w:val="0"/>
        <w:spacing w:line="360" w:lineRule="auto"/>
        <w:jc w:val="both"/>
        <w:rPr>
          <w:rFonts w:hint="eastAsia" w:ascii="仿宋" w:hAnsi="仿宋" w:eastAsia="仿宋" w:cs="仿宋"/>
          <w:b/>
          <w:bCs/>
          <w:sz w:val="32"/>
          <w:szCs w:val="32"/>
          <w:highlight w:val="none"/>
          <w:lang w:val="zh-CN"/>
        </w:rPr>
      </w:pPr>
    </w:p>
    <w:p>
      <w:pPr>
        <w:pStyle w:val="24"/>
        <w:rPr>
          <w:rFonts w:hint="eastAsia" w:ascii="仿宋" w:hAnsi="仿宋" w:eastAsia="仿宋" w:cs="仿宋"/>
          <w:highlight w:val="none"/>
          <w:lang w:val="zh-CN"/>
        </w:rPr>
      </w:pPr>
    </w:p>
    <w:p>
      <w:pPr>
        <w:rPr>
          <w:rFonts w:hint="eastAsia" w:ascii="仿宋" w:hAnsi="仿宋" w:eastAsia="仿宋" w:cs="仿宋"/>
          <w:highlight w:val="none"/>
          <w:lang w:val="zh-CN"/>
        </w:rPr>
      </w:pP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购</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人：西安市第八医院</w:t>
      </w: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采购代理机构：陕西笃信招标有限公司</w:t>
      </w:r>
    </w:p>
    <w:p>
      <w:pPr>
        <w:spacing w:line="560" w:lineRule="exact"/>
        <w:jc w:val="center"/>
        <w:rPr>
          <w:rFonts w:hint="eastAsia" w:ascii="仿宋" w:hAnsi="仿宋" w:eastAsia="仿宋" w:cs="仿宋"/>
          <w:sz w:val="32"/>
          <w:szCs w:val="32"/>
          <w:highlight w:val="none"/>
        </w:rPr>
      </w:pPr>
      <w:r>
        <w:rPr>
          <w:rFonts w:hint="eastAsia" w:ascii="仿宋" w:hAnsi="仿宋" w:eastAsia="仿宋" w:cs="仿宋"/>
          <w:b/>
          <w:bCs/>
          <w:sz w:val="32"/>
          <w:szCs w:val="32"/>
          <w:highlight w:val="none"/>
        </w:rPr>
        <w:t>二零二三年</w:t>
      </w:r>
      <w:r>
        <w:rPr>
          <w:rFonts w:hint="eastAsia" w:ascii="仿宋" w:hAnsi="仿宋" w:eastAsia="仿宋" w:cs="仿宋"/>
          <w:b/>
          <w:bCs/>
          <w:sz w:val="32"/>
          <w:szCs w:val="32"/>
          <w:highlight w:val="none"/>
          <w:lang w:eastAsia="zh-CN"/>
        </w:rPr>
        <w:t>十二</w:t>
      </w:r>
      <w:r>
        <w:rPr>
          <w:rFonts w:hint="eastAsia" w:ascii="仿宋" w:hAnsi="仿宋" w:eastAsia="仿宋" w:cs="仿宋"/>
          <w:b/>
          <w:bCs/>
          <w:sz w:val="32"/>
          <w:szCs w:val="32"/>
          <w:highlight w:val="none"/>
        </w:rPr>
        <w:t>月</w:t>
      </w:r>
      <w:r>
        <w:rPr>
          <w:rFonts w:hint="eastAsia" w:ascii="仿宋" w:hAnsi="仿宋" w:eastAsia="仿宋" w:cs="仿宋"/>
          <w:sz w:val="32"/>
          <w:szCs w:val="32"/>
          <w:highlight w:val="none"/>
        </w:rPr>
        <w:br w:type="page"/>
      </w:r>
    </w:p>
    <w:p>
      <w:pPr>
        <w:pStyle w:val="2"/>
        <w:rPr>
          <w:rFonts w:hint="eastAsia" w:ascii="仿宋" w:hAnsi="仿宋" w:eastAsia="仿宋" w:cs="仿宋"/>
          <w:highlight w:val="none"/>
        </w:rPr>
        <w:sectPr>
          <w:headerReference r:id="rId5" w:type="default"/>
          <w:footerReference r:id="rId6" w:type="default"/>
          <w:pgSz w:w="11905" w:h="16838"/>
          <w:pgMar w:top="1417" w:right="1701" w:bottom="1417" w:left="1701" w:header="850" w:footer="992" w:gutter="0"/>
          <w:pgBorders>
            <w:top w:val="none" w:sz="0" w:space="0"/>
            <w:left w:val="none" w:sz="0" w:space="0"/>
            <w:bottom w:val="none" w:sz="0" w:space="0"/>
            <w:right w:val="none" w:sz="0" w:space="0"/>
          </w:pgBorders>
          <w:pgNumType w:start="1"/>
          <w:cols w:space="0" w:num="1"/>
          <w:rtlGutter w:val="0"/>
          <w:docGrid w:linePitch="312" w:charSpace="0"/>
        </w:sectPr>
      </w:pPr>
      <w:bookmarkStart w:id="2" w:name="_Toc100219612"/>
    </w:p>
    <w:p>
      <w:pPr>
        <w:bidi w:val="0"/>
        <w:jc w:val="center"/>
        <w:rPr>
          <w:rFonts w:hint="eastAsia" w:ascii="仿宋" w:hAnsi="仿宋" w:eastAsia="仿宋" w:cs="仿宋"/>
          <w:b/>
          <w:bCs/>
          <w:kern w:val="2"/>
          <w:sz w:val="28"/>
          <w:szCs w:val="36"/>
          <w:highlight w:val="none"/>
        </w:rPr>
      </w:pPr>
      <w:bookmarkStart w:id="3" w:name="_Toc12002"/>
      <w:bookmarkStart w:id="4" w:name="_Toc19086"/>
      <w:bookmarkStart w:id="5" w:name="_Toc9482"/>
      <w:bookmarkStart w:id="6" w:name="_Toc1267"/>
      <w:bookmarkStart w:id="7" w:name="_Toc2899"/>
      <w:bookmarkStart w:id="8" w:name="_Toc14831"/>
      <w:bookmarkStart w:id="9" w:name="_Toc31669"/>
      <w:bookmarkStart w:id="10" w:name="_Toc4194"/>
      <w:bookmarkStart w:id="11" w:name="_Toc24408"/>
      <w:bookmarkStart w:id="12" w:name="_Toc29992"/>
      <w:r>
        <w:rPr>
          <w:rFonts w:hint="eastAsia" w:ascii="仿宋" w:hAnsi="仿宋" w:eastAsia="仿宋" w:cs="仿宋"/>
          <w:b/>
          <w:bCs/>
          <w:sz w:val="28"/>
          <w:szCs w:val="28"/>
          <w:highlight w:val="none"/>
        </w:rPr>
        <w:t>目</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录</w:t>
      </w:r>
      <w:bookmarkEnd w:id="3"/>
      <w:bookmarkEnd w:id="4"/>
      <w:bookmarkEnd w:id="5"/>
      <w:bookmarkEnd w:id="6"/>
      <w:bookmarkEnd w:id="7"/>
      <w:bookmarkEnd w:id="8"/>
      <w:bookmarkEnd w:id="9"/>
      <w:bookmarkEnd w:id="10"/>
      <w:bookmarkEnd w:id="11"/>
      <w:bookmarkEnd w:id="12"/>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TOC \o "1-3" \h \u </w:instrText>
      </w:r>
      <w:r>
        <w:rPr>
          <w:rFonts w:hint="eastAsia" w:ascii="仿宋" w:hAnsi="仿宋" w:eastAsia="仿宋" w:cs="仿宋"/>
          <w:sz w:val="21"/>
          <w:szCs w:val="21"/>
          <w:highlight w:val="none"/>
        </w:rPr>
        <w:fldChar w:fldCharType="separate"/>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_Toc16319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第一</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w:t>
      </w:r>
      <w:r>
        <w:rPr>
          <w:rFonts w:hint="eastAsia" w:ascii="仿宋" w:hAnsi="仿宋" w:eastAsia="仿宋" w:cs="仿宋"/>
          <w:kern w:val="2"/>
          <w:sz w:val="24"/>
          <w:szCs w:val="24"/>
          <w:highlight w:val="none"/>
        </w:rPr>
        <w:t>招标公告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_Toc16319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_Toc31598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第二部分  投标人须知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_Toc31598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投标人须知前附表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_Toc11354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_Toc6496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一、有关定义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_Toc6496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_Toc4062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rPr>
        <w:t>注意事项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_Toc4062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投标流程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_Toc31971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_Toc26826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（二）关于询问、质疑和投诉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_Toc26826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1．询问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_Toc24293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_Toc5904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2．质疑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_Toc5904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_Toc1865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4．恶意质疑、投诉的法律后果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_Toc29661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_Toc8214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（三）关于保证金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_Toc8214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1．西安市政府采购信用担保及信用融资政策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_Toc32569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_Toc32569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_Toc26013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3．履约保证金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_Toc26013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_Toc869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（四）关于政府采购政策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_Toc25894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1．对中小企业、监狱企业、残疾人福利性单位的优惠政策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_Toc25894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_Toc17610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2．节能、环保产品采购政策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_Toc17610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_Toc13460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3．陕西省中小企业政府采购信用融资办法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_Toc13460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_Toc8387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（五）关于同一品牌产品的处理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_Toc8387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_Toc12926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（六）关于知识产权和保密事项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_Toc12926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_Toc8103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（七）关于信用记录的查询和使用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_Toc8103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_Toc16783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en-US" w:eastAsia="zh-CN"/>
        </w:rPr>
        <w:t>八</w:t>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zh-CN"/>
        </w:rPr>
        <w:t>限制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val="zh-CN"/>
        </w:rPr>
        <w:t>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九</w:t>
      </w:r>
      <w:r>
        <w:rPr>
          <w:rFonts w:hint="eastAsia" w:ascii="仿宋" w:hAnsi="仿宋" w:eastAsia="仿宋" w:cs="仿宋"/>
          <w:sz w:val="24"/>
          <w:szCs w:val="24"/>
          <w:highlight w:val="none"/>
        </w:rPr>
        <w:t>）其他重要事项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_Toc1114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_Toc1114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_Toc12645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（一）招标文件的解释权</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_Toc12645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_Toc20642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（二）招标文件主要内容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_Toc20642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_Toc25985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（三）招标文件的检查及阅读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_Toc25985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_Toc24079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（四）招标文件的修改、澄清</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_Toc24079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_Toc25107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四、投标文件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_Toc25107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_Toc4972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（一）投标文件的式样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_Toc4972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_Toc29669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2．语言</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_Toc11993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_Toc31506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3．计量单位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_Toc31506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（二）投标文件的有效期</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_Toc10396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（三）投标报价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_Toc3341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（四）投标文件的制作和签章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_Toc28026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_Toc25639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（五）投标文件的加密和提交</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_Toc25639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（六）投标文件的补充、修改和撤回</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_Toc13492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_Toc28674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（七）关于投标文件的雷同性分析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_Toc28674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_Toc5924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（八）投标文件被拒绝接收的情形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_Toc5924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_Toc14030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五、开标程序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_Toc14030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_Toc30734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（一）“不见面开标”基本流程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_Toc30734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_Toc30025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（二）开标环节投标文件视为无效的情形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_Toc30025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_Toc5529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（三）突发状况的应急处置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_Toc5529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_Toc7121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六、资格审查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_Toc7121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七、评审方法和程序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_Toc1564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_Toc30996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（一）评标方法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_Toc30996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（二）评标程序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_Toc20625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_Toc10010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1．组建评标委员会</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_Toc10010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2．投标文件的符合性审查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_Toc499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_Toc13754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3．综合比较与评价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_Toc13754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4．推荐中标候选人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_Toc28252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5．编写评审报告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_Toc9669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（三）评标争议处理规则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_Toc8805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（四）评审现场人员的保密责任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_Toc8805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_Toc1992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（五）视同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串通投标的情形，其投标无效：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_Toc1992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_Toc4730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八、中标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_Toc4730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_Toc3392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九、合同签订、履行及验收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_Toc3392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_Toc10762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（一）签订政府采购合同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_Toc10762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_Toc21317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（二）合同公告及备案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_Toc21317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_Toc9210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（三）履行合同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_Toc9210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_Toc11037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（四）验收或考核</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_Toc11037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_Toc20127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十、成交服务费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_Toc20127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十</w:t>
      </w:r>
      <w:r>
        <w:rPr>
          <w:rFonts w:hint="eastAsia" w:ascii="仿宋" w:hAnsi="仿宋" w:eastAsia="仿宋" w:cs="仿宋"/>
          <w:bCs/>
          <w:sz w:val="24"/>
          <w:szCs w:val="24"/>
          <w:lang w:val="en-US" w:eastAsia="zh-CN"/>
        </w:rPr>
        <w:t>一</w:t>
      </w:r>
      <w:r>
        <w:rPr>
          <w:rFonts w:hint="eastAsia" w:ascii="仿宋" w:hAnsi="仿宋" w:eastAsia="仿宋" w:cs="仿宋"/>
          <w:bCs/>
          <w:sz w:val="24"/>
          <w:szCs w:val="24"/>
        </w:rPr>
        <w:t>、废标及重新招标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_Toc2887 \h </w:instrText>
      </w:r>
      <w:r>
        <w:rPr>
          <w:rFonts w:hint="eastAsia" w:ascii="仿宋" w:hAnsi="仿宋" w:eastAsia="仿宋" w:cs="仿宋"/>
          <w:sz w:val="24"/>
          <w:szCs w:val="24"/>
        </w:rPr>
        <w:fldChar w:fldCharType="separate"/>
      </w:r>
      <w:r>
        <w:rPr>
          <w:rFonts w:hint="eastAsia" w:ascii="仿宋" w:hAnsi="仿宋" w:eastAsia="仿宋" w:cs="仿宋"/>
          <w:sz w:val="24"/>
          <w:szCs w:val="24"/>
        </w:rPr>
        <w:t>37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_Toc10743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第三</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招标内容及要求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_Toc10743 \h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_Toc12634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第四</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合同主要条款及格式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_Toc12634 \h </w:instrText>
      </w:r>
      <w:r>
        <w:rPr>
          <w:rFonts w:hint="eastAsia" w:ascii="仿宋" w:hAnsi="仿宋" w:eastAsia="仿宋" w:cs="仿宋"/>
          <w:sz w:val="24"/>
          <w:szCs w:val="24"/>
        </w:rPr>
        <w:fldChar w:fldCharType="separate"/>
      </w:r>
      <w:r>
        <w:rPr>
          <w:rFonts w:hint="eastAsia" w:ascii="仿宋" w:hAnsi="仿宋" w:eastAsia="仿宋" w:cs="仿宋"/>
          <w:sz w:val="24"/>
          <w:szCs w:val="24"/>
        </w:rPr>
        <w:t>58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_Toc3208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第五</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投标文件构成及格式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_Toc3208 \h </w:instrText>
      </w:r>
      <w:r>
        <w:rPr>
          <w:rFonts w:hint="eastAsia" w:ascii="仿宋" w:hAnsi="仿宋" w:eastAsia="仿宋" w:cs="仿宋"/>
          <w:sz w:val="24"/>
          <w:szCs w:val="24"/>
        </w:rPr>
        <w:fldChar w:fldCharType="separate"/>
      </w:r>
      <w:r>
        <w:rPr>
          <w:rFonts w:hint="eastAsia" w:ascii="仿宋" w:hAnsi="仿宋" w:eastAsia="仿宋" w:cs="仿宋"/>
          <w:sz w:val="24"/>
          <w:szCs w:val="24"/>
        </w:rPr>
        <w:t>65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_Toc5100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一、投标函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_Toc5100 \h </w:instrText>
      </w:r>
      <w:r>
        <w:rPr>
          <w:rFonts w:hint="eastAsia" w:ascii="仿宋" w:hAnsi="仿宋" w:eastAsia="仿宋" w:cs="仿宋"/>
          <w:sz w:val="24"/>
          <w:szCs w:val="24"/>
        </w:rPr>
        <w:fldChar w:fldCharType="separate"/>
      </w:r>
      <w:r>
        <w:rPr>
          <w:rFonts w:hint="eastAsia" w:ascii="仿宋" w:hAnsi="仿宋" w:eastAsia="仿宋" w:cs="仿宋"/>
          <w:sz w:val="24"/>
          <w:szCs w:val="24"/>
        </w:rPr>
        <w:t>67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_Toc11305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二、开标一览表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_Toc11305 \h </w:instrText>
      </w:r>
      <w:r>
        <w:rPr>
          <w:rFonts w:hint="eastAsia" w:ascii="仿宋" w:hAnsi="仿宋" w:eastAsia="仿宋" w:cs="仿宋"/>
          <w:sz w:val="24"/>
          <w:szCs w:val="24"/>
        </w:rPr>
        <w:fldChar w:fldCharType="separate"/>
      </w:r>
      <w:r>
        <w:rPr>
          <w:rFonts w:hint="eastAsia" w:ascii="仿宋" w:hAnsi="仿宋" w:eastAsia="仿宋" w:cs="仿宋"/>
          <w:sz w:val="24"/>
          <w:szCs w:val="24"/>
        </w:rPr>
        <w:t>68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_Toc11427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bidi="ar-SA"/>
        </w:rPr>
        <w:t>三、</w:t>
      </w:r>
      <w:r>
        <w:rPr>
          <w:rFonts w:hint="eastAsia" w:ascii="仿宋" w:hAnsi="仿宋" w:eastAsia="仿宋" w:cs="仿宋"/>
          <w:bCs/>
          <w:sz w:val="24"/>
          <w:szCs w:val="24"/>
          <w:highlight w:val="none"/>
          <w:lang w:val="zh-CN"/>
        </w:rPr>
        <w:t>分项报价表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_Toc11427 \h </w:instrText>
      </w:r>
      <w:r>
        <w:rPr>
          <w:rFonts w:hint="eastAsia" w:ascii="仿宋" w:hAnsi="仿宋" w:eastAsia="仿宋" w:cs="仿宋"/>
          <w:sz w:val="24"/>
          <w:szCs w:val="24"/>
        </w:rPr>
        <w:fldChar w:fldCharType="separate"/>
      </w:r>
      <w:r>
        <w:rPr>
          <w:rFonts w:hint="eastAsia" w:ascii="仿宋" w:hAnsi="仿宋" w:eastAsia="仿宋" w:cs="仿宋"/>
          <w:sz w:val="24"/>
          <w:szCs w:val="24"/>
        </w:rPr>
        <w:t>69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_Toc4690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四、投标人资格证明文件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_Toc4690 \h </w:instrText>
      </w:r>
      <w:r>
        <w:rPr>
          <w:rFonts w:hint="eastAsia" w:ascii="仿宋" w:hAnsi="仿宋" w:eastAsia="仿宋" w:cs="仿宋"/>
          <w:sz w:val="24"/>
          <w:szCs w:val="24"/>
        </w:rPr>
        <w:fldChar w:fldCharType="separate"/>
      </w:r>
      <w:r>
        <w:rPr>
          <w:rFonts w:hint="eastAsia" w:ascii="仿宋" w:hAnsi="仿宋" w:eastAsia="仿宋" w:cs="仿宋"/>
          <w:sz w:val="24"/>
          <w:szCs w:val="24"/>
        </w:rPr>
        <w:t>70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_Toc9183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（一） </w:t>
      </w:r>
      <w:r>
        <w:rPr>
          <w:rFonts w:hint="eastAsia" w:ascii="仿宋" w:hAnsi="仿宋" w:eastAsia="仿宋" w:cs="仿宋"/>
          <w:bCs/>
          <w:sz w:val="24"/>
          <w:szCs w:val="24"/>
          <w:highlight w:val="none"/>
        </w:rPr>
        <w:t>提供统一社会信用代码的营业执照或其他组织经营的合法凭证或自然人的提供身份证明文件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_Toc9183 \h </w:instrText>
      </w:r>
      <w:r>
        <w:rPr>
          <w:rFonts w:hint="eastAsia" w:ascii="仿宋" w:hAnsi="仿宋" w:eastAsia="仿宋" w:cs="仿宋"/>
          <w:sz w:val="24"/>
          <w:szCs w:val="24"/>
        </w:rPr>
        <w:fldChar w:fldCharType="separate"/>
      </w:r>
      <w:r>
        <w:rPr>
          <w:rFonts w:hint="eastAsia" w:ascii="仿宋" w:hAnsi="仿宋" w:eastAsia="仿宋" w:cs="仿宋"/>
          <w:sz w:val="24"/>
          <w:szCs w:val="24"/>
        </w:rPr>
        <w:t>72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_Toc32670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（二） </w:t>
      </w:r>
      <w:r>
        <w:rPr>
          <w:rFonts w:hint="eastAsia" w:ascii="仿宋" w:hAnsi="仿宋" w:eastAsia="仿宋" w:cs="仿宋"/>
          <w:bCs/>
          <w:sz w:val="24"/>
          <w:szCs w:val="24"/>
          <w:highlight w:val="none"/>
        </w:rPr>
        <w:t>财务状况报告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_Toc32670 \h </w:instrText>
      </w:r>
      <w:r>
        <w:rPr>
          <w:rFonts w:hint="eastAsia" w:ascii="仿宋" w:hAnsi="仿宋" w:eastAsia="仿宋" w:cs="仿宋"/>
          <w:sz w:val="24"/>
          <w:szCs w:val="24"/>
        </w:rPr>
        <w:fldChar w:fldCharType="separate"/>
      </w:r>
      <w:r>
        <w:rPr>
          <w:rFonts w:hint="eastAsia" w:ascii="仿宋" w:hAnsi="仿宋" w:eastAsia="仿宋" w:cs="仿宋"/>
          <w:sz w:val="24"/>
          <w:szCs w:val="24"/>
        </w:rPr>
        <w:t>73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_Toc29340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rPr>
        <w:t xml:space="preserve">（三） </w:t>
      </w:r>
      <w:r>
        <w:rPr>
          <w:rFonts w:hint="eastAsia" w:ascii="仿宋" w:hAnsi="仿宋" w:eastAsia="仿宋" w:cs="仿宋"/>
          <w:sz w:val="24"/>
          <w:szCs w:val="24"/>
          <w:highlight w:val="none"/>
        </w:rPr>
        <w:t>税收缴纳证明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_Toc29340 \h </w:instrText>
      </w:r>
      <w:r>
        <w:rPr>
          <w:rFonts w:hint="eastAsia" w:ascii="仿宋" w:hAnsi="仿宋" w:eastAsia="仿宋" w:cs="仿宋"/>
          <w:sz w:val="24"/>
          <w:szCs w:val="24"/>
        </w:rPr>
        <w:fldChar w:fldCharType="separate"/>
      </w:r>
      <w:r>
        <w:rPr>
          <w:rFonts w:hint="eastAsia" w:ascii="仿宋" w:hAnsi="仿宋" w:eastAsia="仿宋" w:cs="仿宋"/>
          <w:sz w:val="24"/>
          <w:szCs w:val="24"/>
        </w:rPr>
        <w:t>74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_Toc8355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社会保障资金缴纳证明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_Toc8355 \h </w:instrText>
      </w:r>
      <w:r>
        <w:rPr>
          <w:rFonts w:hint="eastAsia" w:ascii="仿宋" w:hAnsi="仿宋" w:eastAsia="仿宋" w:cs="仿宋"/>
          <w:sz w:val="24"/>
          <w:szCs w:val="24"/>
        </w:rPr>
        <w:fldChar w:fldCharType="separate"/>
      </w:r>
      <w:r>
        <w:rPr>
          <w:rFonts w:hint="eastAsia" w:ascii="仿宋" w:hAnsi="仿宋" w:eastAsia="仿宋" w:cs="仿宋"/>
          <w:sz w:val="24"/>
          <w:szCs w:val="24"/>
        </w:rPr>
        <w:t>75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_Toc29820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五</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出具履行合同所必需的设备和专业技术能力的书面</w:t>
      </w:r>
      <w:r>
        <w:rPr>
          <w:rFonts w:hint="eastAsia" w:ascii="仿宋" w:hAnsi="仿宋" w:eastAsia="仿宋" w:cs="仿宋"/>
          <w:bCs/>
          <w:sz w:val="24"/>
          <w:szCs w:val="24"/>
          <w:highlight w:val="none"/>
          <w:lang w:val="en-US" w:eastAsia="zh-CN"/>
        </w:rPr>
        <w:t>声</w:t>
      </w:r>
      <w:r>
        <w:rPr>
          <w:rFonts w:hint="eastAsia" w:ascii="仿宋" w:hAnsi="仿宋" w:eastAsia="仿宋" w:cs="仿宋"/>
          <w:bCs/>
          <w:sz w:val="24"/>
          <w:szCs w:val="24"/>
          <w:highlight w:val="none"/>
          <w:lang w:eastAsia="zh-CN"/>
        </w:rPr>
        <w:t>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_Toc29820 \h </w:instrText>
      </w:r>
      <w:r>
        <w:rPr>
          <w:rFonts w:hint="eastAsia" w:ascii="仿宋" w:hAnsi="仿宋" w:eastAsia="仿宋" w:cs="仿宋"/>
          <w:sz w:val="24"/>
          <w:szCs w:val="24"/>
        </w:rPr>
        <w:fldChar w:fldCharType="separate"/>
      </w:r>
      <w:r>
        <w:rPr>
          <w:rFonts w:hint="eastAsia" w:ascii="仿宋" w:hAnsi="仿宋" w:eastAsia="仿宋" w:cs="仿宋"/>
          <w:sz w:val="24"/>
          <w:szCs w:val="24"/>
        </w:rPr>
        <w:t>76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_Toc18002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六</w:t>
      </w:r>
      <w:r>
        <w:rPr>
          <w:rFonts w:hint="eastAsia" w:ascii="仿宋" w:hAnsi="仿宋" w:eastAsia="仿宋" w:cs="仿宋"/>
          <w:sz w:val="24"/>
          <w:szCs w:val="24"/>
          <w:highlight w:val="none"/>
        </w:rPr>
        <w:t>）参加政府采购活动的书面声明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_Toc18002 \h </w:instrText>
      </w:r>
      <w:r>
        <w:rPr>
          <w:rFonts w:hint="eastAsia" w:ascii="仿宋" w:hAnsi="仿宋" w:eastAsia="仿宋" w:cs="仿宋"/>
          <w:sz w:val="24"/>
          <w:szCs w:val="24"/>
        </w:rPr>
        <w:fldChar w:fldCharType="separate"/>
      </w:r>
      <w:r>
        <w:rPr>
          <w:rFonts w:hint="eastAsia" w:ascii="仿宋" w:hAnsi="仿宋" w:eastAsia="仿宋" w:cs="仿宋"/>
          <w:sz w:val="24"/>
          <w:szCs w:val="24"/>
        </w:rPr>
        <w:t>77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_Toc29473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zh-CN"/>
        </w:rPr>
        <w:t>（七）特定资格要求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_Toc29473 \h </w:instrText>
      </w:r>
      <w:r>
        <w:rPr>
          <w:rFonts w:hint="eastAsia" w:ascii="仿宋" w:hAnsi="仿宋" w:eastAsia="仿宋" w:cs="仿宋"/>
          <w:sz w:val="24"/>
          <w:szCs w:val="24"/>
        </w:rPr>
        <w:fldChar w:fldCharType="separate"/>
      </w:r>
      <w:r>
        <w:rPr>
          <w:rFonts w:hint="eastAsia" w:ascii="仿宋" w:hAnsi="仿宋" w:eastAsia="仿宋" w:cs="仿宋"/>
          <w:sz w:val="24"/>
          <w:szCs w:val="24"/>
        </w:rPr>
        <w:t>78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_Toc9841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五、提供政府采购政策等证明材料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_Toc9841 \h </w:instrText>
      </w:r>
      <w:r>
        <w:rPr>
          <w:rFonts w:hint="eastAsia" w:ascii="仿宋" w:hAnsi="仿宋" w:eastAsia="仿宋" w:cs="仿宋"/>
          <w:sz w:val="24"/>
          <w:szCs w:val="24"/>
        </w:rPr>
        <w:fldChar w:fldCharType="separate"/>
      </w:r>
      <w:r>
        <w:rPr>
          <w:rFonts w:hint="eastAsia" w:ascii="仿宋" w:hAnsi="仿宋" w:eastAsia="仿宋" w:cs="仿宋"/>
          <w:sz w:val="24"/>
          <w:szCs w:val="24"/>
        </w:rPr>
        <w:t>81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六、合同主要条款偏离表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_Toc15669 \h </w:instrText>
      </w:r>
      <w:r>
        <w:rPr>
          <w:rFonts w:hint="eastAsia" w:ascii="仿宋" w:hAnsi="仿宋" w:eastAsia="仿宋" w:cs="仿宋"/>
          <w:sz w:val="24"/>
          <w:szCs w:val="24"/>
        </w:rPr>
        <w:fldChar w:fldCharType="separate"/>
      </w:r>
      <w:r>
        <w:rPr>
          <w:rFonts w:hint="eastAsia" w:ascii="仿宋" w:hAnsi="仿宋" w:eastAsia="仿宋" w:cs="仿宋"/>
          <w:sz w:val="24"/>
          <w:szCs w:val="24"/>
        </w:rPr>
        <w:t>86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节能环保、环境标志产品明细表</w:t>
      </w:r>
      <w:r>
        <w:rPr>
          <w:rFonts w:hint="eastAsia" w:ascii="仿宋" w:hAnsi="仿宋" w:eastAsia="仿宋" w:cs="仿宋"/>
          <w:sz w:val="24"/>
          <w:szCs w:val="24"/>
          <w:highlight w:val="none"/>
          <w:lang w:eastAsia="zh-CN"/>
        </w:rPr>
        <w:t>（若有）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_Toc3327 \h </w:instrText>
      </w:r>
      <w:r>
        <w:rPr>
          <w:rFonts w:hint="eastAsia" w:ascii="仿宋" w:hAnsi="仿宋" w:eastAsia="仿宋" w:cs="仿宋"/>
          <w:sz w:val="24"/>
          <w:szCs w:val="24"/>
        </w:rPr>
        <w:fldChar w:fldCharType="separate"/>
      </w:r>
      <w:r>
        <w:rPr>
          <w:rFonts w:hint="eastAsia" w:ascii="仿宋" w:hAnsi="仿宋" w:eastAsia="仿宋" w:cs="仿宋"/>
          <w:sz w:val="24"/>
          <w:szCs w:val="24"/>
        </w:rPr>
        <w:t>87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_Toc11986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八、</w:t>
      </w:r>
      <w:r>
        <w:rPr>
          <w:rFonts w:hint="eastAsia" w:ascii="仿宋" w:hAnsi="仿宋" w:eastAsia="仿宋" w:cs="仿宋"/>
          <w:bCs/>
          <w:spacing w:val="0"/>
          <w:w w:val="100"/>
          <w:sz w:val="24"/>
          <w:szCs w:val="24"/>
          <w:highlight w:val="none"/>
          <w:lang w:val="zh-CN" w:eastAsia="zh-CN" w:bidi="ar-SA"/>
        </w:rPr>
        <w:t>技术规格偏离表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_Toc11986 \h </w:instrText>
      </w:r>
      <w:r>
        <w:rPr>
          <w:rFonts w:hint="eastAsia" w:ascii="仿宋" w:hAnsi="仿宋" w:eastAsia="仿宋" w:cs="仿宋"/>
          <w:sz w:val="24"/>
          <w:szCs w:val="24"/>
        </w:rPr>
        <w:fldChar w:fldCharType="separate"/>
      </w:r>
      <w:r>
        <w:rPr>
          <w:rFonts w:hint="eastAsia" w:ascii="仿宋" w:hAnsi="仿宋" w:eastAsia="仿宋" w:cs="仿宋"/>
          <w:sz w:val="24"/>
          <w:szCs w:val="24"/>
        </w:rPr>
        <w:t>88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_Toc28019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九、</w:t>
      </w:r>
      <w:r>
        <w:rPr>
          <w:rFonts w:hint="eastAsia" w:ascii="仿宋" w:hAnsi="仿宋" w:eastAsia="仿宋" w:cs="仿宋"/>
          <w:sz w:val="24"/>
          <w:szCs w:val="24"/>
          <w:highlight w:val="none"/>
          <w:lang w:eastAsia="zh-CN"/>
        </w:rPr>
        <w:t>设备供应方案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_Toc28019 \h </w:instrText>
      </w:r>
      <w:r>
        <w:rPr>
          <w:rFonts w:hint="eastAsia" w:ascii="仿宋" w:hAnsi="仿宋" w:eastAsia="仿宋" w:cs="仿宋"/>
          <w:sz w:val="24"/>
          <w:szCs w:val="24"/>
        </w:rPr>
        <w:fldChar w:fldCharType="separate"/>
      </w:r>
      <w:r>
        <w:rPr>
          <w:rFonts w:hint="eastAsia" w:ascii="仿宋" w:hAnsi="仿宋" w:eastAsia="仿宋" w:cs="仿宋"/>
          <w:sz w:val="24"/>
          <w:szCs w:val="24"/>
        </w:rPr>
        <w:t>89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_Toc32308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十、实施方案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_Toc32308 \h </w:instrText>
      </w:r>
      <w:r>
        <w:rPr>
          <w:rFonts w:hint="eastAsia" w:ascii="仿宋" w:hAnsi="仿宋" w:eastAsia="仿宋" w:cs="仿宋"/>
          <w:sz w:val="24"/>
          <w:szCs w:val="24"/>
        </w:rPr>
        <w:fldChar w:fldCharType="separate"/>
      </w:r>
      <w:r>
        <w:rPr>
          <w:rFonts w:hint="eastAsia" w:ascii="仿宋" w:hAnsi="仿宋" w:eastAsia="仿宋" w:cs="仿宋"/>
          <w:sz w:val="24"/>
          <w:szCs w:val="24"/>
        </w:rPr>
        <w:t>90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_Toc31542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十一、</w:t>
      </w:r>
      <w:r>
        <w:rPr>
          <w:rFonts w:hint="eastAsia" w:ascii="仿宋" w:hAnsi="仿宋" w:eastAsia="仿宋" w:cs="仿宋"/>
          <w:sz w:val="24"/>
          <w:szCs w:val="24"/>
          <w:highlight w:val="none"/>
          <w:lang w:eastAsia="zh-CN"/>
        </w:rPr>
        <w:t>保障措施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_Toc31542 \h </w:instrText>
      </w:r>
      <w:r>
        <w:rPr>
          <w:rFonts w:hint="eastAsia" w:ascii="仿宋" w:hAnsi="仿宋" w:eastAsia="仿宋" w:cs="仿宋"/>
          <w:sz w:val="24"/>
          <w:szCs w:val="24"/>
        </w:rPr>
        <w:fldChar w:fldCharType="separate"/>
      </w:r>
      <w:r>
        <w:rPr>
          <w:rFonts w:hint="eastAsia" w:ascii="仿宋" w:hAnsi="仿宋" w:eastAsia="仿宋" w:cs="仿宋"/>
          <w:sz w:val="24"/>
          <w:szCs w:val="24"/>
        </w:rPr>
        <w:t>93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_Toc30415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十二、应急措施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_Toc30415 \h </w:instrText>
      </w:r>
      <w:r>
        <w:rPr>
          <w:rFonts w:hint="eastAsia" w:ascii="仿宋" w:hAnsi="仿宋" w:eastAsia="仿宋" w:cs="仿宋"/>
          <w:sz w:val="24"/>
          <w:szCs w:val="24"/>
        </w:rPr>
        <w:fldChar w:fldCharType="separate"/>
      </w:r>
      <w:r>
        <w:rPr>
          <w:rFonts w:hint="eastAsia" w:ascii="仿宋" w:hAnsi="仿宋" w:eastAsia="仿宋" w:cs="仿宋"/>
          <w:sz w:val="24"/>
          <w:szCs w:val="24"/>
        </w:rPr>
        <w:t>94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_Toc27349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lang w:val="en-US" w:eastAsia="zh-CN" w:bidi="ar-SA"/>
        </w:rPr>
        <w:t>十三、</w:t>
      </w:r>
      <w:r>
        <w:rPr>
          <w:rFonts w:hint="eastAsia" w:ascii="仿宋" w:hAnsi="仿宋" w:eastAsia="仿宋" w:cs="仿宋"/>
          <w:bCs/>
          <w:kern w:val="2"/>
          <w:sz w:val="24"/>
          <w:szCs w:val="24"/>
          <w:highlight w:val="none"/>
          <w:lang w:val="en-US" w:eastAsia="zh-CN"/>
        </w:rPr>
        <w:t>售后服务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_Toc27349 \h </w:instrText>
      </w:r>
      <w:r>
        <w:rPr>
          <w:rFonts w:hint="eastAsia" w:ascii="仿宋" w:hAnsi="仿宋" w:eastAsia="仿宋" w:cs="仿宋"/>
          <w:sz w:val="24"/>
          <w:szCs w:val="24"/>
        </w:rPr>
        <w:fldChar w:fldCharType="separate"/>
      </w:r>
      <w:r>
        <w:rPr>
          <w:rFonts w:hint="eastAsia" w:ascii="仿宋" w:hAnsi="仿宋" w:eastAsia="仿宋" w:cs="仿宋"/>
          <w:sz w:val="24"/>
          <w:szCs w:val="24"/>
        </w:rPr>
        <w:t>95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_Toc24129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、近年业绩的有关证明材料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_Toc24129 \h </w:instrText>
      </w:r>
      <w:r>
        <w:rPr>
          <w:rFonts w:hint="eastAsia" w:ascii="仿宋" w:hAnsi="仿宋" w:eastAsia="仿宋" w:cs="仿宋"/>
          <w:sz w:val="24"/>
          <w:szCs w:val="24"/>
        </w:rPr>
        <w:fldChar w:fldCharType="separate"/>
      </w:r>
      <w:r>
        <w:rPr>
          <w:rFonts w:hint="eastAsia" w:ascii="仿宋" w:hAnsi="仿宋" w:eastAsia="仿宋" w:cs="仿宋"/>
          <w:sz w:val="24"/>
          <w:szCs w:val="24"/>
        </w:rPr>
        <w:t>96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_Toc18863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十</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lang w:val="zh-CN"/>
        </w:rPr>
        <w:t>、投标人企业关系关联承诺书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_Toc18863 \h </w:instrText>
      </w:r>
      <w:r>
        <w:rPr>
          <w:rFonts w:hint="eastAsia" w:ascii="仿宋" w:hAnsi="仿宋" w:eastAsia="仿宋" w:cs="仿宋"/>
          <w:sz w:val="24"/>
          <w:szCs w:val="24"/>
        </w:rPr>
        <w:fldChar w:fldCharType="separate"/>
      </w:r>
      <w:r>
        <w:rPr>
          <w:rFonts w:hint="eastAsia" w:ascii="仿宋" w:hAnsi="仿宋" w:eastAsia="仿宋" w:cs="仿宋"/>
          <w:sz w:val="24"/>
          <w:szCs w:val="24"/>
        </w:rPr>
        <w:t>97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_Toc22976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六</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lang w:val="zh-CN"/>
        </w:rPr>
        <w:t>廉洁自律承诺书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_Toc22976 \h </w:instrText>
      </w:r>
      <w:r>
        <w:rPr>
          <w:rFonts w:hint="eastAsia" w:ascii="仿宋" w:hAnsi="仿宋" w:eastAsia="仿宋" w:cs="仿宋"/>
          <w:sz w:val="24"/>
          <w:szCs w:val="24"/>
        </w:rPr>
        <w:fldChar w:fldCharType="separate"/>
      </w:r>
      <w:r>
        <w:rPr>
          <w:rFonts w:hint="eastAsia" w:ascii="仿宋" w:hAnsi="仿宋" w:eastAsia="仿宋" w:cs="仿宋"/>
          <w:sz w:val="24"/>
          <w:szCs w:val="24"/>
        </w:rPr>
        <w:t>98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七</w:t>
      </w:r>
      <w:r>
        <w:rPr>
          <w:rFonts w:hint="eastAsia" w:ascii="仿宋" w:hAnsi="仿宋" w:eastAsia="仿宋" w:cs="仿宋"/>
          <w:bCs/>
          <w:sz w:val="24"/>
          <w:szCs w:val="24"/>
          <w:highlight w:val="none"/>
          <w:lang w:val="zh-CN"/>
        </w:rPr>
        <w:t>、投标人认为有必要补充说明的事项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_Toc2096 \h </w:instrText>
      </w:r>
      <w:r>
        <w:rPr>
          <w:rFonts w:hint="eastAsia" w:ascii="仿宋" w:hAnsi="仿宋" w:eastAsia="仿宋" w:cs="仿宋"/>
          <w:sz w:val="24"/>
          <w:szCs w:val="24"/>
        </w:rPr>
        <w:fldChar w:fldCharType="separate"/>
      </w:r>
      <w:r>
        <w:rPr>
          <w:rFonts w:hint="eastAsia" w:ascii="仿宋" w:hAnsi="仿宋" w:eastAsia="仿宋" w:cs="仿宋"/>
          <w:sz w:val="24"/>
          <w:szCs w:val="24"/>
        </w:rPr>
        <w:t>99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val="0"/>
        <w:tabs>
          <w:tab w:val="right" w:leader="dot" w:pos="9072"/>
        </w:tabs>
        <w:kinsoku/>
        <w:wordWrap/>
        <w:overflowPunct/>
        <w:topLinePunct w:val="0"/>
        <w:autoSpaceDE/>
        <w:autoSpaceDN/>
        <w:bidi w:val="0"/>
        <w:adjustRightInd/>
        <w:snapToGrid/>
        <w:spacing w:line="360" w:lineRule="auto"/>
        <w:ind w:left="480" w:firstLine="240" w:firstLineChars="100"/>
        <w:textAlignment w:val="auto"/>
        <w:rPr>
          <w:rFonts w:hint="eastAsia" w:ascii="仿宋" w:hAnsi="仿宋" w:eastAsia="仿宋" w:cs="仿宋"/>
          <w:sz w:val="21"/>
          <w:szCs w:val="21"/>
          <w:highlight w:val="none"/>
        </w:rPr>
        <w:sectPr>
          <w:pgSz w:w="11905" w:h="16838"/>
          <w:pgMar w:top="1417" w:right="1701" w:bottom="1417" w:left="1701" w:header="850" w:footer="992" w:gutter="0"/>
          <w:pgBorders>
            <w:top w:val="none" w:sz="0" w:space="0"/>
            <w:left w:val="none" w:sz="0" w:space="0"/>
            <w:bottom w:val="none" w:sz="0" w:space="0"/>
            <w:right w:val="none" w:sz="0" w:space="0"/>
          </w:pgBorders>
          <w:cols w:space="0" w:num="1"/>
          <w:rtlGutter w:val="0"/>
          <w:docGrid w:linePitch="312" w:charSpace="0"/>
        </w:sectPr>
      </w:pPr>
      <w:r>
        <w:rPr>
          <w:rFonts w:hint="eastAsia" w:ascii="仿宋" w:hAnsi="仿宋" w:eastAsia="仿宋" w:cs="仿宋"/>
          <w:szCs w:val="21"/>
          <w:highlight w:val="none"/>
        </w:rPr>
        <w:fldChar w:fldCharType="end"/>
      </w:r>
    </w:p>
    <w:p>
      <w:pPr>
        <w:pStyle w:val="2"/>
        <w:spacing w:line="240" w:lineRule="auto"/>
        <w:rPr>
          <w:rFonts w:ascii="仿宋" w:eastAsia="仿宋" w:cs="仿宋"/>
          <w:b/>
          <w:kern w:val="2"/>
          <w:sz w:val="32"/>
          <w:szCs w:val="32"/>
          <w:highlight w:val="none"/>
        </w:rPr>
      </w:pPr>
      <w:bookmarkStart w:id="13" w:name="_Toc16319"/>
      <w:r>
        <w:rPr>
          <w:rFonts w:hint="eastAsia" w:ascii="仿宋" w:eastAsia="仿宋" w:cs="仿宋"/>
          <w:b/>
          <w:kern w:val="2"/>
          <w:sz w:val="32"/>
          <w:szCs w:val="32"/>
          <w:highlight w:val="none"/>
          <w:lang w:val="zh-CN"/>
        </w:rPr>
        <w:t>第一</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2"/>
      <w:r>
        <w:rPr>
          <w:rFonts w:hint="eastAsia" w:ascii="仿宋" w:eastAsia="仿宋" w:cs="仿宋"/>
          <w:b/>
          <w:kern w:val="2"/>
          <w:sz w:val="32"/>
          <w:szCs w:val="32"/>
          <w:highlight w:val="none"/>
        </w:rPr>
        <w:t>招标公告</w:t>
      </w:r>
      <w:bookmarkEnd w:id="13"/>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项目概况</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西安市第八医院新院区基础医疗设备采购项目</w:t>
      </w:r>
      <w:r>
        <w:rPr>
          <w:rFonts w:hint="eastAsia" w:ascii="仿宋" w:hAnsi="仿宋" w:eastAsia="仿宋" w:cs="仿宋"/>
          <w:highlight w:val="none"/>
        </w:rPr>
        <w:t>潜在的投标人应在全国公共资源交易平台（陕西省·西安市）网站〖首页〉电子交易平台〉陕西政府采购交易系统〉企业端〗获取招标文件，并于2023年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w:t>
      </w:r>
      <w:r>
        <w:rPr>
          <w:rFonts w:hint="eastAsia" w:ascii="仿宋" w:hAnsi="仿宋" w:eastAsia="仿宋" w:cs="仿宋"/>
          <w:highlight w:val="none"/>
          <w:lang w:val="en-US" w:eastAsia="zh-CN"/>
        </w:rPr>
        <w:t>00</w:t>
      </w:r>
      <w:r>
        <w:rPr>
          <w:rFonts w:hint="eastAsia" w:ascii="仿宋" w:hAnsi="仿宋" w:eastAsia="仿宋" w:cs="仿宋"/>
          <w:highlight w:val="none"/>
        </w:rPr>
        <w:t>：00（北京时间）前递交投标文件。</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ascii="仿宋" w:hAnsi="仿宋" w:eastAsia="仿宋" w:cs="仿宋"/>
          <w:highlight w:val="none"/>
        </w:rPr>
      </w:pPr>
      <w:r>
        <w:rPr>
          <w:rFonts w:hint="eastAsia" w:ascii="仿宋" w:hAnsi="仿宋" w:eastAsia="仿宋" w:cs="仿宋"/>
          <w:b/>
          <w:bCs/>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DX2023-245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项目名称：</w:t>
      </w:r>
      <w:r>
        <w:rPr>
          <w:rFonts w:hint="eastAsia" w:ascii="仿宋" w:hAnsi="仿宋" w:eastAsia="仿宋" w:cs="仿宋"/>
          <w:highlight w:val="none"/>
          <w:lang w:eastAsia="zh-CN"/>
        </w:rPr>
        <w:t>西安市第八医院新院区基础医疗设备采购项目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预算金额：1471748</w:t>
      </w:r>
      <w:r>
        <w:rPr>
          <w:rFonts w:hint="eastAsia" w:ascii="仿宋" w:hAnsi="仿宋" w:eastAsia="仿宋" w:cs="仿宋"/>
          <w:highlight w:val="none"/>
          <w:lang w:val="en-US" w:eastAsia="zh-CN"/>
        </w:rPr>
        <w:t>0.00</w:t>
      </w:r>
      <w:r>
        <w:rPr>
          <w:rFonts w:hint="eastAsia" w:ascii="仿宋" w:hAnsi="仿宋" w:eastAsia="仿宋" w:cs="仿宋"/>
          <w:highlight w:val="none"/>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采购需求：</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合同包1(</w:t>
      </w:r>
      <w:r>
        <w:rPr>
          <w:rFonts w:hint="eastAsia" w:ascii="仿宋" w:hAnsi="仿宋" w:eastAsia="仿宋" w:cs="仿宋"/>
          <w:highlight w:val="none"/>
          <w:shd w:val="clear" w:color="auto" w:fill="FFFFFF"/>
          <w:lang w:eastAsia="zh-CN"/>
        </w:rPr>
        <w:t>内窥镜设备</w:t>
      </w:r>
      <w:r>
        <w:rPr>
          <w:rFonts w:hint="eastAsia" w:ascii="仿宋" w:hAnsi="仿宋" w:eastAsia="仿宋" w:cs="仿宋"/>
          <w:highlight w:val="none"/>
          <w:shd w:val="clear" w:color="auto" w:fill="FFFFFF"/>
        </w:rPr>
        <w:t>):</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16"/>
        <w:gridCol w:w="126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8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1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医用内窥镜</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内窥镜设备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8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71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电子胃镜已做进口论证</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2</w:t>
      </w:r>
      <w:r>
        <w:rPr>
          <w:rFonts w:hint="eastAsia" w:ascii="仿宋" w:hAnsi="仿宋" w:eastAsia="仿宋" w:cs="仿宋"/>
          <w:highlight w:val="none"/>
          <w:shd w:val="clear" w:color="auto" w:fill="FFFFFF"/>
        </w:rPr>
        <w:t>(血液透析设备):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33"/>
        <w:gridCol w:w="12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9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0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体外循环设备</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血液透析设备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9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7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血液透析滤过机已做进口论证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3</w:t>
      </w:r>
      <w:r>
        <w:rPr>
          <w:rFonts w:hint="eastAsia" w:ascii="仿宋" w:hAnsi="仿宋" w:eastAsia="仿宋" w:cs="仿宋"/>
          <w:highlight w:val="none"/>
          <w:shd w:val="clear" w:color="auto" w:fill="FFFFFF"/>
        </w:rPr>
        <w:t>(专用设备):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口腔设备及器械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专用设备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1073800.00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1073800.00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4</w:t>
      </w:r>
      <w:r>
        <w:rPr>
          <w:rFonts w:hint="eastAsia" w:ascii="仿宋" w:hAnsi="仿宋" w:eastAsia="仿宋" w:cs="仿宋"/>
          <w:highlight w:val="none"/>
          <w:shd w:val="clear" w:color="auto" w:fill="FFFFFF"/>
        </w:rPr>
        <w:t>(消毒供应设备):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4-1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消毒灭菌设备及器具</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消毒供应设备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5</w:t>
      </w:r>
      <w:r>
        <w:rPr>
          <w:rFonts w:hint="eastAsia" w:ascii="仿宋" w:hAnsi="仿宋" w:eastAsia="仿宋" w:cs="仿宋"/>
          <w:highlight w:val="none"/>
          <w:shd w:val="clear" w:color="auto" w:fill="FFFFFF"/>
        </w:rPr>
        <w:t>(急救设备):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5-1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急救和生命支持设备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急救设备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6</w:t>
      </w:r>
      <w:r>
        <w:rPr>
          <w:rFonts w:hint="eastAsia" w:ascii="仿宋" w:hAnsi="仿宋" w:eastAsia="仿宋" w:cs="仿宋"/>
          <w:highlight w:val="none"/>
          <w:shd w:val="clear" w:color="auto" w:fill="FFFFFF"/>
        </w:rPr>
        <w:t>(基础设备):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6-1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病房护理及医院设备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基础设备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7</w:t>
      </w:r>
      <w:r>
        <w:rPr>
          <w:rFonts w:hint="eastAsia" w:ascii="仿宋" w:hAnsi="仿宋" w:eastAsia="仿宋" w:cs="仿宋"/>
          <w:highlight w:val="none"/>
          <w:shd w:val="clear" w:color="auto" w:fill="FFFFFF"/>
        </w:rPr>
        <w:t>(手术室设备1):</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7-1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手术室设备及附件</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手术室设备1</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hd w:val="clea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hd w:val="clea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hd w:val="clear"/>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8</w:t>
      </w:r>
      <w:r>
        <w:rPr>
          <w:rFonts w:hint="eastAsia" w:ascii="仿宋" w:hAnsi="仿宋" w:eastAsia="仿宋" w:cs="仿宋"/>
          <w:highlight w:val="none"/>
          <w:shd w:val="clear" w:color="auto" w:fill="FFFFFF"/>
        </w:rPr>
        <w:t>(手术室设备2):</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014"/>
        <w:gridCol w:w="1133"/>
        <w:gridCol w:w="984"/>
        <w:gridCol w:w="1316"/>
        <w:gridCol w:w="1384"/>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8-1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手术器械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手术室设备2</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超声刀及4K胸腹腔镜已做进口论证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二、申请人的资格要求：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1.满足《中华人民共和国政府采购法》第二十二条规定;</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2.落实政府采购政策需满足的资格要求：</w:t>
      </w:r>
      <w:r>
        <w:rPr>
          <w:rFonts w:hint="eastAsia" w:ascii="仿宋" w:hAnsi="仿宋" w:eastAsia="仿宋" w:cs="仿宋"/>
          <w:highlight w:val="none"/>
          <w:lang w:val="en-US" w:eastAsia="zh-CN"/>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血液透析设备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专用设备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3.本项目的特定资格要求：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shd w:val="clear" w:color="auto" w:fill="FFFFFF"/>
          <w:lang w:eastAsia="zh-CN"/>
        </w:rPr>
        <w:t>血液透析设备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shd w:val="clear" w:color="auto" w:fill="FFFFFF"/>
          <w:lang w:eastAsia="zh-CN"/>
        </w:rPr>
        <w:t>专用设备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三、获取招标文件</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方式：在线获取</w:t>
      </w:r>
    </w:p>
    <w:p>
      <w:pPr>
        <w:widowControl w:val="0"/>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售价：</w:t>
      </w:r>
      <w:r>
        <w:rPr>
          <w:rFonts w:hint="eastAsia" w:ascii="仿宋" w:hAnsi="仿宋" w:eastAsia="仿宋" w:cs="仿宋"/>
          <w:highlight w:val="none"/>
          <w:lang w:val="en-US" w:eastAsia="zh-CN"/>
        </w:rPr>
        <w:t>0元</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四、提交投标文件截止时间、开标时间和地点</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00</w:t>
      </w:r>
      <w:r>
        <w:rPr>
          <w:rFonts w:hint="eastAsia" w:ascii="仿宋" w:hAnsi="仿宋" w:eastAsia="仿宋" w:cs="仿宋"/>
          <w:highlight w:val="none"/>
        </w:rPr>
        <w:t>分00秒（北京时间）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提交投标文件地点：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r>
        <w:rPr>
          <w:rFonts w:hint="eastAsia" w:ascii="仿宋" w:hAnsi="仿宋" w:eastAsia="仿宋" w:cs="仿宋"/>
          <w:highlight w:val="none"/>
        </w:rPr>
        <w:t>电子上传文件</w:t>
      </w:r>
      <w:r>
        <w:rPr>
          <w:rFonts w:hint="eastAsia" w:ascii="仿宋" w:hAnsi="仿宋" w:eastAsia="仿宋" w:cs="仿宋"/>
          <w:highlight w:val="none"/>
          <w:shd w:val="clear" w:color="auto" w:fill="FFFFFF"/>
        </w:rPr>
        <w:t>提交</w:t>
      </w:r>
      <w:r>
        <w:rPr>
          <w:rFonts w:hint="eastAsia" w:ascii="仿宋" w:hAnsi="仿宋" w:eastAsia="仿宋" w:cs="仿宋"/>
          <w:highlight w:val="none"/>
        </w:rPr>
        <w:t>；</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开标地点：全国公共资源交易平台（陕西省·西安市）网站【首页〉电子交易平台〉陕西政府采购交易系统〉企业端】</w:t>
      </w:r>
    </w:p>
    <w:p>
      <w:pPr>
        <w:widowControl w:val="0"/>
        <w:spacing w:line="360" w:lineRule="auto"/>
        <w:ind w:firstLine="482" w:firstLineChars="200"/>
        <w:rPr>
          <w:rFonts w:ascii="仿宋" w:hAnsi="仿宋" w:eastAsia="仿宋" w:cs="仿宋"/>
          <w:highlight w:val="none"/>
        </w:rPr>
      </w:pPr>
      <w:r>
        <w:rPr>
          <w:rFonts w:hint="eastAsia" w:ascii="仿宋" w:hAnsi="仿宋" w:eastAsia="仿宋" w:cs="仿宋"/>
          <w:b/>
          <w:bCs/>
          <w:highlight w:val="none"/>
        </w:rPr>
        <w:t>五、公告期限</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自本公告发布之日起5个工作日。</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六、其他补充事宜：</w:t>
      </w:r>
    </w:p>
    <w:p>
      <w:pPr>
        <w:widowControl w:val="0"/>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1.本项目合同包1(内窥镜设备)电子胃肠镜、合同包2(血液透析设备)血液透析滤过机、合同包8(手术室设备2)超声刀及4K胸腹腔镜已做进口论证，接受进口设备投标。</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投标人初次使用电子交易平台时，请先阅读【全国公共资源交易平台（陕西省·西安市）】（http://sxggzyjy.xa.gov.cn/）网站〖首页〉服务指南〉下载专区〗中的《西安市市级单位电子化政府采购项目投标指南》，并按要求完成诚信入库登记、CA认证及企业信息绑定。</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4.请投标人务必及时下载招标文件并做好备份，否则会影响投标文件编制及后续投标活动。</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5.本项目采用“不见面开标”形式，投标人可登录全国公共资源交易平台（陕西省·西安市）网站〖首页〉不见面开标〗系统，在线参加开标过程。操作手册详见〖首页〉服务指南〉下载专区〗中的《西安公共资源交易不见面开标大厅投标人操作手册》。</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6.按照陕西省财政厅《关于政府采购投标人注册登记有关事项的通知》中的要求，投标人应通过陕西省政府采购网（http://www.ccgp-shaanxi.gov.cn/）注册登记，加入陕西省政府采购投标人库。</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7.因投标人自身设施故障或自身原因导致无法完成签到、解密或投标的，由投标人自行承担后果。</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8.执行的其他政府采购政策：</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（1）《政府采购促进中小企业发展管理办法》财库〔2020〕46号、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（2）《关于进一步加大政府采购支持中小企业力度的通知》（财库〔2022〕19号）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（3）《财政部 司法部关于政府采购支持监狱企业发展有关问题的通知》财库[2014]68号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（4）《三部门联合发布关于促进残疾人就业政府采购政策的通知》（财库[2017]141号）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（5）《财政部 发展改革委 生态环境部 市场监管总局关于调整优化节能产品、环境标志产品政府采购执行机制的通知》（财库〔2019〕9号）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（6）《财政部 国家发展改革委关于印发〈节能产品政府采购实施意见〉的通知》（财库[2004]185号）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（7）《财政部环保总局关于环境标志产品政府采购实施的意见》财库[2006]90号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（8）《陕西省中小企业政府采购信用融资办法》（陕财办采〔2018〕23号）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（9）《国务院办公厅关于建立政府强制采购节能产品制度的通知》（国办发〔2007〕51号）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（10）《财政部 农业农村部 国家乡村振兴局关于运用政府采购政策支持乡村产业振兴的通知》（财库〔2021〕19 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（11）《财政部住房城乡建设部工业和信息化部关于扩大政府采购绿色建材促进建筑品质提升政策实施范围的通知》（财库〔2022〕35号）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（12）其他需要落实的政府采购政策。</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9、投标文件中凡是需要法定代表人盖章之处，非法人单位的负责人均参照执行。</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10、分支机构参与投标时，投标文件中应附法人出具的授权书。法人只能授权一家分支机构参与投标，且不能与分支机构同时参与投标。分支机构须提供自己的资格要求证明文件。</w:t>
      </w:r>
    </w:p>
    <w:p>
      <w:pPr>
        <w:widowControl w:val="0"/>
        <w:spacing w:line="360" w:lineRule="auto"/>
        <w:ind w:firstLine="241" w:firstLineChars="100"/>
        <w:rPr>
          <w:rFonts w:ascii="仿宋" w:hAnsi="仿宋" w:eastAsia="仿宋" w:cs="仿宋"/>
          <w:highlight w:val="none"/>
        </w:rPr>
      </w:pPr>
      <w:r>
        <w:rPr>
          <w:rFonts w:hint="eastAsia" w:ascii="仿宋" w:hAnsi="仿宋" w:eastAsia="仿宋" w:cs="仿宋"/>
          <w:b/>
          <w:bCs/>
          <w:highlight w:val="none"/>
        </w:rPr>
        <w:t>七、对本次采购提出询问，请按以下方式联系</w:t>
      </w:r>
      <w:r>
        <w:rPr>
          <w:rFonts w:hint="eastAsia" w:ascii="仿宋" w:hAnsi="仿宋" w:eastAsia="仿宋" w:cs="仿宋"/>
          <w:highlight w:val="none"/>
        </w:rPr>
        <w:t>。</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1.采购人信息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名称：</w:t>
      </w:r>
      <w:r>
        <w:rPr>
          <w:rFonts w:hint="eastAsia" w:ascii="仿宋" w:hAnsi="仿宋" w:eastAsia="仿宋" w:cs="仿宋"/>
          <w:highlight w:val="none"/>
          <w:shd w:val="clear" w:color="auto" w:fill="FFFFFF"/>
          <w:lang w:eastAsia="zh-CN"/>
        </w:rPr>
        <w:t>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default" w:ascii="仿宋" w:hAnsi="仿宋" w:eastAsia="仿宋" w:cs="仿宋"/>
          <w:highlight w:val="none"/>
          <w:shd w:val="clear" w:color="auto" w:fill="FFFFFF"/>
          <w:lang w:val="en-US" w:eastAsia="zh-CN"/>
        </w:rPr>
      </w:pPr>
      <w:r>
        <w:rPr>
          <w:rFonts w:hint="eastAsia" w:ascii="仿宋" w:hAnsi="仿宋" w:eastAsia="仿宋" w:cs="仿宋"/>
          <w:highlight w:val="none"/>
          <w:shd w:val="clear" w:color="auto" w:fill="FFFFFF"/>
          <w:lang w:eastAsia="zh-CN"/>
        </w:rPr>
        <w:t>联系方式：029-85222018</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2.采购代理机构信息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名称：陕西笃信招标有限公司</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地址：西安经济技术开发区凤城十一路与文景路十字文景商务广场B座8层</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联系方式：029-86253389</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3.项目联系方式</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项目联系人：</w:t>
      </w:r>
      <w:r>
        <w:rPr>
          <w:rFonts w:hint="eastAsia" w:ascii="仿宋" w:hAnsi="仿宋" w:eastAsia="仿宋" w:cs="仿宋"/>
          <w:highlight w:val="none"/>
          <w:shd w:val="clear" w:color="auto" w:fill="FFFFFF"/>
          <w:lang w:eastAsia="zh-CN"/>
        </w:rPr>
        <w:t>贺培文、</w:t>
      </w:r>
      <w:r>
        <w:rPr>
          <w:rFonts w:hint="eastAsia" w:ascii="仿宋" w:hAnsi="仿宋" w:eastAsia="仿宋" w:cs="仿宋"/>
          <w:highlight w:val="none"/>
          <w:lang w:eastAsia="zh-CN"/>
        </w:rPr>
        <w:t>郭晨、</w:t>
      </w:r>
      <w:r>
        <w:rPr>
          <w:rFonts w:hint="eastAsia" w:ascii="仿宋" w:hAnsi="仿宋" w:eastAsia="仿宋" w:cs="仿宋"/>
          <w:highlight w:val="none"/>
          <w:shd w:val="clear" w:color="auto" w:fill="FFFFFF"/>
          <w:lang w:eastAsia="zh-CN"/>
        </w:rPr>
        <w:t>李纪旋、张亚娜</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电话：029-86253389</w:t>
      </w:r>
    </w:p>
    <w:p>
      <w:pPr>
        <w:rPr>
          <w:rFonts w:hint="eastAsia" w:ascii="仿宋" w:eastAsia="仿宋" w:cs="仿宋"/>
          <w:b/>
          <w:kern w:val="2"/>
          <w:sz w:val="32"/>
          <w:szCs w:val="32"/>
          <w:highlight w:val="none"/>
          <w:lang w:val="zh-CN"/>
        </w:rPr>
      </w:pPr>
      <w:bookmarkStart w:id="14" w:name="_Toc32226"/>
      <w:r>
        <w:rPr>
          <w:rFonts w:hint="eastAsia" w:ascii="仿宋" w:eastAsia="仿宋" w:cs="仿宋"/>
          <w:b/>
          <w:kern w:val="2"/>
          <w:sz w:val="32"/>
          <w:szCs w:val="32"/>
          <w:highlight w:val="none"/>
          <w:lang w:val="zh-CN"/>
        </w:rPr>
        <w:br w:type="page"/>
      </w:r>
    </w:p>
    <w:p>
      <w:pPr>
        <w:pStyle w:val="2"/>
        <w:spacing w:line="240" w:lineRule="auto"/>
        <w:rPr>
          <w:rFonts w:ascii="仿宋" w:eastAsia="仿宋" w:cs="仿宋"/>
          <w:b/>
          <w:kern w:val="2"/>
          <w:sz w:val="32"/>
          <w:szCs w:val="32"/>
          <w:highlight w:val="none"/>
          <w:lang w:val="zh-CN"/>
        </w:rPr>
      </w:pPr>
      <w:bookmarkStart w:id="15" w:name="_Toc31598"/>
      <w:r>
        <w:rPr>
          <w:rFonts w:hint="eastAsia" w:ascii="仿宋" w:eastAsia="仿宋" w:cs="仿宋"/>
          <w:b/>
          <w:kern w:val="2"/>
          <w:sz w:val="32"/>
          <w:szCs w:val="32"/>
          <w:highlight w:val="none"/>
          <w:lang w:val="zh-CN"/>
        </w:rPr>
        <w:t>第二部分  投标人须知</w:t>
      </w:r>
      <w:bookmarkEnd w:id="14"/>
      <w:bookmarkEnd w:id="15"/>
    </w:p>
    <w:p>
      <w:pPr>
        <w:spacing w:line="240" w:lineRule="auto"/>
        <w:jc w:val="center"/>
        <w:outlineLvl w:val="1"/>
        <w:rPr>
          <w:rFonts w:ascii="仿宋" w:hAnsi="仿宋" w:eastAsia="仿宋" w:cs="仿宋"/>
          <w:b/>
          <w:bCs/>
          <w:sz w:val="36"/>
          <w:szCs w:val="36"/>
          <w:highlight w:val="none"/>
          <w:lang w:val="zh-CN"/>
        </w:rPr>
      </w:pPr>
      <w:bookmarkStart w:id="16" w:name="_Toc23465"/>
      <w:bookmarkStart w:id="17" w:name="_Toc11354"/>
      <w:bookmarkStart w:id="18" w:name="_Toc6011"/>
      <w:bookmarkStart w:id="19" w:name="_Toc4673"/>
      <w:bookmarkStart w:id="20" w:name="_Toc11232"/>
      <w:r>
        <w:rPr>
          <w:rFonts w:hint="eastAsia" w:ascii="仿宋" w:hAnsi="仿宋" w:eastAsia="仿宋" w:cs="仿宋"/>
          <w:b/>
          <w:bCs/>
          <w:sz w:val="32"/>
          <w:szCs w:val="32"/>
          <w:highlight w:val="none"/>
          <w:lang w:val="zh-CN"/>
        </w:rPr>
        <w:t>投标人须知前附表</w:t>
      </w:r>
      <w:bookmarkEnd w:id="16"/>
      <w:bookmarkEnd w:id="17"/>
      <w:bookmarkEnd w:id="18"/>
      <w:bookmarkEnd w:id="19"/>
      <w:bookmarkEnd w:id="20"/>
    </w:p>
    <w:tbl>
      <w:tblPr>
        <w:tblStyle w:val="36"/>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57"/>
        <w:gridCol w:w="2163"/>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条款名称</w:t>
            </w:r>
          </w:p>
        </w:tc>
        <w:tc>
          <w:tcPr>
            <w:tcW w:w="6119"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采购人</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采购人名称：西安市第八医院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联系方式：029-85222018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采购代理机构</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名称：陕西笃信招标有限公司</w:t>
            </w:r>
          </w:p>
          <w:p>
            <w:pPr>
              <w:spacing w:line="360" w:lineRule="auto"/>
              <w:rPr>
                <w:rFonts w:ascii="仿宋" w:hAnsi="仿宋" w:eastAsia="仿宋" w:cs="仿宋"/>
                <w:highlight w:val="none"/>
              </w:rPr>
            </w:pPr>
            <w:r>
              <w:rPr>
                <w:rFonts w:hint="eastAsia" w:ascii="仿宋" w:hAnsi="仿宋" w:eastAsia="仿宋" w:cs="仿宋"/>
                <w:highlight w:val="none"/>
              </w:rPr>
              <w:t>地址：西安经济技术开发区凤城十一路与文景路十字文景商务广场B座8层</w:t>
            </w:r>
          </w:p>
          <w:p>
            <w:pPr>
              <w:spacing w:line="360" w:lineRule="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贺培文、郭晨、李纪旋、张亚娜</w:t>
            </w:r>
          </w:p>
          <w:p>
            <w:pPr>
              <w:spacing w:line="360" w:lineRule="auto"/>
              <w:rPr>
                <w:rFonts w:ascii="仿宋" w:hAnsi="仿宋" w:eastAsia="仿宋" w:cs="仿宋"/>
                <w:highlight w:val="none"/>
              </w:rPr>
            </w:pPr>
            <w:r>
              <w:rPr>
                <w:rFonts w:hint="eastAsia" w:ascii="仿宋" w:hAnsi="仿宋" w:eastAsia="仿宋" w:cs="仿宋"/>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项目名称</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2163"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lang w:eastAsia="zh-CN"/>
              </w:rPr>
              <w:t>包号</w:t>
            </w:r>
          </w:p>
        </w:tc>
        <w:tc>
          <w:tcPr>
            <w:tcW w:w="6119" w:type="dxa"/>
            <w:shd w:val="clear" w:color="auto" w:fill="auto"/>
            <w:vAlign w:val="center"/>
          </w:tcPr>
          <w:p>
            <w:pPr>
              <w:spacing w:line="360" w:lineRule="auto"/>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 xml:space="preserve">包6：基础设备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招标文件</w:t>
            </w:r>
          </w:p>
          <w:p>
            <w:pPr>
              <w:spacing w:line="360" w:lineRule="auto"/>
              <w:jc w:val="center"/>
              <w:rPr>
                <w:rFonts w:ascii="仿宋" w:hAnsi="仿宋" w:eastAsia="仿宋" w:cs="仿宋"/>
                <w:highlight w:val="none"/>
              </w:rPr>
            </w:pPr>
            <w:r>
              <w:rPr>
                <w:rFonts w:hint="eastAsia" w:ascii="仿宋" w:hAnsi="仿宋" w:eastAsia="仿宋" w:cs="仿宋"/>
                <w:highlight w:val="none"/>
              </w:rPr>
              <w:t>获取时间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资金来源</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财政性资金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采购预算</w:t>
            </w:r>
          </w:p>
        </w:tc>
        <w:tc>
          <w:tcPr>
            <w:tcW w:w="6119" w:type="dxa"/>
            <w:shd w:val="clear" w:color="auto" w:fill="auto"/>
            <w:vAlign w:val="center"/>
          </w:tcPr>
          <w:p>
            <w:pPr>
              <w:spacing w:line="360" w:lineRule="auto"/>
              <w:rPr>
                <w:rFonts w:hint="eastAsia" w:ascii="仿宋" w:hAnsi="仿宋" w:eastAsia="仿宋" w:cs="仿宋"/>
                <w:highlight w:val="none"/>
                <w:lang w:val="en-US" w:eastAsia="zh-CN"/>
              </w:rPr>
            </w:pPr>
            <w:r>
              <w:rPr>
                <w:rFonts w:hint="eastAsia" w:ascii="仿宋" w:hAnsi="仿宋" w:eastAsia="仿宋" w:cs="仿宋"/>
                <w:highlight w:val="none"/>
              </w:rPr>
              <w:t>人民币</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val="en-US" w:eastAsia="zh-CN"/>
              </w:rPr>
              <w:t>8</w:t>
            </w:r>
          </w:p>
        </w:tc>
        <w:tc>
          <w:tcPr>
            <w:tcW w:w="2163" w:type="dxa"/>
            <w:shd w:val="clear" w:color="auto" w:fill="auto"/>
            <w:vAlign w:val="center"/>
          </w:tcPr>
          <w:p>
            <w:pPr>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eastAsia="zh-CN"/>
              </w:rPr>
              <w:t>交货期</w:t>
            </w:r>
          </w:p>
        </w:tc>
        <w:tc>
          <w:tcPr>
            <w:tcW w:w="6119" w:type="dxa"/>
            <w:shd w:val="clear" w:color="auto" w:fill="auto"/>
            <w:vAlign w:val="center"/>
          </w:tcPr>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自合同签订之日起20个日历日内完成安装、调试到位；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b/>
                <w:bCs/>
                <w:highlight w:val="none"/>
                <w:lang w:val="en-US" w:eastAsia="zh-CN"/>
              </w:rPr>
              <w:t>注：具体到货时间以甲方通知为准。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9</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项目实施地点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color w:val="auto"/>
                <w:sz w:val="24"/>
                <w:szCs w:val="24"/>
                <w:highlight w:val="none"/>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10</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提交投标文件方式、截止时间及开标时间、形式</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pPr>
              <w:spacing w:line="360" w:lineRule="auto"/>
              <w:rPr>
                <w:rFonts w:ascii="仿宋" w:hAnsi="仿宋" w:eastAsia="仿宋" w:cs="仿宋"/>
                <w:bCs/>
                <w:highlight w:val="none"/>
              </w:rPr>
            </w:pPr>
            <w:r>
              <w:rPr>
                <w:rFonts w:hint="eastAsia" w:ascii="仿宋" w:hAnsi="仿宋" w:eastAsia="仿宋" w:cs="仿宋"/>
                <w:bCs/>
                <w:highlight w:val="none"/>
              </w:rPr>
              <w:t>（2）提交投标文件截止时间及开标时间：</w:t>
            </w:r>
            <w:r>
              <w:rPr>
                <w:rFonts w:hint="eastAsia" w:ascii="仿宋" w:hAnsi="仿宋" w:eastAsia="仿宋" w:cs="仿宋"/>
                <w:highlight w:val="none"/>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rPr>
              <w:t>时</w:t>
            </w:r>
            <w:r>
              <w:rPr>
                <w:rFonts w:hint="eastAsia" w:ascii="仿宋" w:hAnsi="仿宋" w:eastAsia="仿宋" w:cs="仿宋"/>
                <w:highlight w:val="none"/>
                <w:shd w:val="clear" w:color="auto" w:fill="FFFFFF"/>
                <w:lang w:val="en-US" w:eastAsia="zh-CN"/>
              </w:rPr>
              <w:t>00</w:t>
            </w:r>
            <w:r>
              <w:rPr>
                <w:rFonts w:hint="eastAsia" w:ascii="仿宋" w:hAnsi="仿宋" w:eastAsia="仿宋" w:cs="仿宋"/>
                <w:highlight w:val="none"/>
              </w:rPr>
              <w:t>分00秒（北京时间）</w:t>
            </w:r>
            <w:r>
              <w:rPr>
                <w:rFonts w:hint="eastAsia" w:ascii="仿宋" w:hAnsi="仿宋" w:eastAsia="仿宋" w:cs="仿宋"/>
                <w:bCs/>
                <w:highlight w:val="none"/>
              </w:rPr>
              <w:t>，逾期提交的，系统将拒绝接收。</w:t>
            </w:r>
          </w:p>
          <w:p>
            <w:pPr>
              <w:spacing w:line="360" w:lineRule="auto"/>
              <w:rPr>
                <w:rFonts w:ascii="仿宋" w:hAnsi="仿宋" w:eastAsia="仿宋" w:cs="仿宋"/>
                <w:highlight w:val="none"/>
              </w:rPr>
            </w:pPr>
            <w:r>
              <w:rPr>
                <w:rFonts w:hint="eastAsia" w:ascii="仿宋" w:hAnsi="仿宋" w:eastAsia="仿宋" w:cs="仿宋"/>
                <w:bCs/>
                <w:highlight w:val="none"/>
              </w:rPr>
              <w:t>（3）开标形式：本项目将</w:t>
            </w:r>
            <w:r>
              <w:rPr>
                <w:rFonts w:hint="eastAsia" w:ascii="仿宋" w:hAnsi="仿宋" w:eastAsia="仿宋" w:cs="仿宋"/>
                <w:highlight w:val="none"/>
              </w:rPr>
              <w:t>采用“不见面开标”形式。操作说明详见平台〖首页·〉服务指南·〉下载专区〗中的《西安公共资源交易不见面开标大厅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递交投标文件地点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全国公共资源交易平台（陕西省·西安市（http://sxggzyjy.xa.gov.cn/）电子上传文件递交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8"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投标人资格要求</w:t>
            </w:r>
          </w:p>
        </w:tc>
        <w:tc>
          <w:tcPr>
            <w:tcW w:w="6119" w:type="dxa"/>
            <w:shd w:val="clear" w:color="auto" w:fill="auto"/>
            <w:vAlign w:val="center"/>
          </w:tcPr>
          <w:p>
            <w:pPr>
              <w:spacing w:line="360" w:lineRule="auto"/>
              <w:rPr>
                <w:rFonts w:ascii="仿宋" w:hAnsi="仿宋" w:eastAsia="仿宋" w:cs="仿宋"/>
                <w:b/>
                <w:bCs/>
                <w:highlight w:val="none"/>
              </w:rPr>
            </w:pPr>
            <w:r>
              <w:rPr>
                <w:rFonts w:hint="eastAsia" w:ascii="仿宋" w:hAnsi="仿宋" w:eastAsia="仿宋" w:cs="仿宋"/>
                <w:b/>
                <w:bCs/>
                <w:highlight w:val="none"/>
              </w:rPr>
              <w:t>资质要求同招标公告。</w:t>
            </w:r>
          </w:p>
          <w:p>
            <w:pPr>
              <w:spacing w:line="360" w:lineRule="auto"/>
              <w:rPr>
                <w:rFonts w:ascii="仿宋" w:hAnsi="仿宋" w:eastAsia="仿宋" w:cs="仿宋"/>
                <w:highlight w:val="none"/>
              </w:rPr>
            </w:pPr>
            <w:r>
              <w:rPr>
                <w:rFonts w:hint="eastAsia" w:ascii="仿宋" w:hAnsi="仿宋" w:eastAsia="仿宋" w:cs="仿宋"/>
                <w:highlight w:val="none"/>
                <w:lang w:val="zh-CN"/>
              </w:rPr>
              <w:t>以上资质均为必备资质，</w:t>
            </w:r>
            <w:r>
              <w:rPr>
                <w:rFonts w:hint="eastAsia" w:ascii="仿宋" w:hAnsi="仿宋" w:eastAsia="仿宋" w:cs="仿宋"/>
                <w:highlight w:val="none"/>
              </w:rPr>
              <w:t>必备资质中</w:t>
            </w:r>
            <w:r>
              <w:rPr>
                <w:rFonts w:hint="eastAsia" w:ascii="仿宋" w:hAnsi="仿宋" w:eastAsia="仿宋" w:cs="仿宋"/>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投标文件份数</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lang w:eastAsia="zh-CN"/>
              </w:rPr>
              <w:t>投标人</w:t>
            </w:r>
            <w:r>
              <w:rPr>
                <w:rFonts w:hint="eastAsia" w:ascii="仿宋" w:hAnsi="仿宋" w:eastAsia="仿宋" w:cs="仿宋"/>
                <w:bCs/>
                <w:highlight w:val="none"/>
              </w:rPr>
              <w:t>无需提供；</w:t>
            </w:r>
          </w:p>
          <w:p>
            <w:pPr>
              <w:spacing w:line="360" w:lineRule="auto"/>
              <w:rPr>
                <w:rFonts w:ascii="仿宋" w:hAnsi="仿宋" w:eastAsia="仿宋" w:cs="仿宋"/>
                <w:bCs/>
                <w:highlight w:val="none"/>
              </w:rPr>
            </w:pPr>
            <w:r>
              <w:rPr>
                <w:rFonts w:hint="eastAsia" w:ascii="仿宋" w:hAnsi="仿宋" w:eastAsia="仿宋" w:cs="仿宋"/>
                <w:bCs/>
                <w:highlight w:val="none"/>
              </w:rPr>
              <w:t>中标</w:t>
            </w:r>
            <w:r>
              <w:rPr>
                <w:rFonts w:hint="eastAsia" w:ascii="仿宋" w:hAnsi="仿宋" w:eastAsia="仿宋" w:cs="仿宋"/>
                <w:bCs/>
                <w:highlight w:val="none"/>
                <w:lang w:eastAsia="zh-CN"/>
              </w:rPr>
              <w:t>人</w:t>
            </w:r>
            <w:r>
              <w:rPr>
                <w:rFonts w:hint="eastAsia" w:ascii="仿宋" w:hAnsi="仿宋" w:eastAsia="仿宋" w:cs="仿宋"/>
                <w:bCs/>
                <w:highlight w:val="none"/>
              </w:rPr>
              <w:t>下载中标（成交）通知书后，向采购代理机构提供一正两副纸质投标文件用于备案及档案保存。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投标人确认收到澄清或者修改的时间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5"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投标有效期</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是否接受</w:t>
            </w:r>
          </w:p>
          <w:p>
            <w:pPr>
              <w:spacing w:line="360" w:lineRule="auto"/>
              <w:jc w:val="center"/>
              <w:rPr>
                <w:rFonts w:ascii="仿宋" w:hAnsi="仿宋" w:eastAsia="仿宋" w:cs="仿宋"/>
                <w:highlight w:val="none"/>
              </w:rPr>
            </w:pPr>
            <w:r>
              <w:rPr>
                <w:rFonts w:hint="eastAsia" w:ascii="仿宋" w:hAnsi="仿宋" w:eastAsia="仿宋" w:cs="仿宋"/>
                <w:highlight w:val="none"/>
              </w:rPr>
              <w:t>联合体投标</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答疑会</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18</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投标文件的签署要求</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highlight w:val="none"/>
                <w:lang w:val="zh-CN"/>
              </w:rPr>
              <w:t>投标文件应加盖投标人公章</w:t>
            </w:r>
            <w:r>
              <w:rPr>
                <w:rFonts w:hint="eastAsia" w:ascii="仿宋" w:hAnsi="仿宋" w:eastAsia="仿宋" w:cs="仿宋"/>
                <w:bCs/>
                <w:highlight w:val="none"/>
              </w:rPr>
              <w:t>并按照招标文件要求由法定代表人（或授权代表人）签字。</w:t>
            </w:r>
            <w:r>
              <w:rPr>
                <w:rFonts w:hint="eastAsia" w:ascii="仿宋" w:hAnsi="仿宋" w:eastAsia="仿宋" w:cs="仿宋"/>
                <w:highlight w:val="none"/>
              </w:rPr>
              <w:t>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19</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中标公告公示媒体</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1．陕西省政府采购网：仅提供项目公告，官网地址：http://ccgp-shaanxi.gov.cn/。</w:t>
            </w:r>
          </w:p>
          <w:p>
            <w:pPr>
              <w:spacing w:line="360" w:lineRule="auto"/>
              <w:rPr>
                <w:rFonts w:ascii="仿宋" w:hAnsi="仿宋" w:eastAsia="仿宋" w:cs="仿宋"/>
                <w:kern w:val="2"/>
                <w:highlight w:val="none"/>
              </w:rPr>
            </w:pPr>
            <w:r>
              <w:rPr>
                <w:rFonts w:hint="eastAsia" w:ascii="仿宋" w:hAnsi="仿宋" w:eastAsia="仿宋" w:cs="仿宋"/>
                <w:kern w:val="2"/>
                <w:highlight w:val="none"/>
              </w:rPr>
              <w:t>2．全国公共资源交易平台（陕西省·西安市）：即西安市公共资源交易平台，提供项目公告和采购文件下载。官网地址：http://sxggzyjy.xa.gov.cn/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20</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kern w:val="2"/>
                <w:highlight w:val="none"/>
              </w:rPr>
              <w:t>投诉受理</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1．受理单位：西安市财政局政府采购管理处</w:t>
            </w:r>
          </w:p>
          <w:p>
            <w:pPr>
              <w:spacing w:line="360" w:lineRule="auto"/>
              <w:rPr>
                <w:rFonts w:ascii="仿宋" w:hAnsi="仿宋" w:eastAsia="仿宋" w:cs="仿宋"/>
                <w:kern w:val="2"/>
                <w:highlight w:val="none"/>
              </w:rPr>
            </w:pPr>
            <w:r>
              <w:rPr>
                <w:rFonts w:hint="eastAsia" w:ascii="仿宋" w:hAnsi="仿宋" w:eastAsia="仿宋" w:cs="仿宋"/>
                <w:kern w:val="2"/>
                <w:highlight w:val="none"/>
              </w:rPr>
              <w:t>2．联系电话：029-89821846</w:t>
            </w:r>
          </w:p>
          <w:p>
            <w:pPr>
              <w:spacing w:line="360" w:lineRule="auto"/>
              <w:rPr>
                <w:rFonts w:ascii="仿宋" w:hAnsi="仿宋" w:eastAsia="仿宋" w:cs="仿宋"/>
                <w:kern w:val="2"/>
                <w:highlight w:val="none"/>
              </w:rPr>
            </w:pPr>
            <w:r>
              <w:rPr>
                <w:rFonts w:hint="eastAsia" w:ascii="仿宋" w:hAnsi="仿宋" w:eastAsia="仿宋" w:cs="仿宋"/>
                <w:kern w:val="2"/>
                <w:highlight w:val="none"/>
              </w:rPr>
              <w:t>3．地址：西安市未央区西北国金中心A座18层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21</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中标服务费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r>
              <w:rPr>
                <w:rFonts w:hint="eastAsia" w:ascii="仿宋" w:hAnsi="仿宋" w:eastAsia="仿宋" w:cs="仿宋"/>
                <w:sz w:val="24"/>
                <w:szCs w:val="24"/>
              </w:rPr>
              <w:t>下浮20%计取</w:t>
            </w:r>
            <w:r>
              <w:rPr>
                <w:rFonts w:hint="eastAsia" w:ascii="仿宋" w:hAnsi="仿宋" w:eastAsia="仿宋" w:cs="仿宋"/>
                <w:highlight w:val="none"/>
              </w:rPr>
              <w:t>；</w:t>
            </w:r>
          </w:p>
          <w:p>
            <w:pPr>
              <w:spacing w:line="360" w:lineRule="auto"/>
              <w:rPr>
                <w:rFonts w:ascii="仿宋" w:hAnsi="仿宋" w:eastAsia="仿宋" w:cs="仿宋"/>
                <w:kern w:val="2"/>
                <w:highlight w:val="none"/>
              </w:rPr>
            </w:pPr>
            <w:r>
              <w:rPr>
                <w:rFonts w:hint="eastAsia" w:ascii="仿宋" w:hAnsi="仿宋" w:eastAsia="仿宋" w:cs="仿宋"/>
                <w:highlight w:val="none"/>
              </w:rPr>
              <w:t>本项目招标代理服务费由中标投标人在中标结果公示期满后三个工作日内按照标准支付给采购代理机构。（代理报酬的币种：人民币，汇率：无）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西安市公共资源交易中心电子化政府采购系统技术支持（软件开发商）</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国泰新点软件股份有限公司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1．技术支持热线：400-998-0000/400-928-0095</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CA业务网点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陕西省数字证书认证中心股份有限公司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网点1：西安市高新三路信息港大厦1楼客服中心</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客服电话：4006-369-888</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网点2：西安市长安北路14号省体育公寓B座一楼</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咨询电话：029-88661241</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网点3：西安市文景北路16号白桦林国际B座2楼11#窗口</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咨询电话：029-86510073转80211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7"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rPr>
              <w:t>24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特别说明</w:t>
            </w:r>
          </w:p>
        </w:tc>
        <w:tc>
          <w:tcPr>
            <w:tcW w:w="6119" w:type="dxa"/>
            <w:shd w:val="clear" w:color="auto" w:fill="auto"/>
            <w:vAlign w:val="center"/>
          </w:tcPr>
          <w:p>
            <w:pPr>
              <w:widowControl w:val="0"/>
              <w:spacing w:line="360" w:lineRule="auto"/>
              <w:rPr>
                <w:rFonts w:ascii="仿宋" w:hAnsi="仿宋" w:eastAsia="仿宋" w:cs="仿宋"/>
                <w:highlight w:val="none"/>
              </w:rPr>
            </w:pPr>
            <w:r>
              <w:rPr>
                <w:rFonts w:hint="eastAsia" w:ascii="仿宋" w:hAnsi="仿宋" w:eastAsia="仿宋" w:cs="仿宋"/>
                <w:highlight w:val="none"/>
              </w:rPr>
              <w:t>（1）本项目为电子化政府采购项目，</w:t>
            </w:r>
            <w:r>
              <w:rPr>
                <w:rFonts w:hint="eastAsia" w:ascii="仿宋" w:hAnsi="仿宋" w:eastAsia="仿宋" w:cs="仿宋"/>
                <w:highlight w:val="none"/>
                <w:lang w:eastAsia="zh-CN"/>
              </w:rPr>
              <w:t>投标人</w:t>
            </w:r>
            <w:r>
              <w:rPr>
                <w:rFonts w:hint="eastAsia" w:ascii="仿宋" w:hAnsi="仿宋" w:eastAsia="仿宋" w:cs="仿宋"/>
                <w:highlight w:val="none"/>
              </w:rPr>
              <w:t>初次登录西安市公共资源交易平台前应先完成诚信入库登记、CA认证和企业信息绑定。详见西安市公共资源交易平台〖首页·〉服务指南·〉下载专区〗中的《西安市市级单位电子化政府采购项目投标指南》。</w:t>
            </w:r>
          </w:p>
          <w:p>
            <w:pPr>
              <w:widowControl w:val="0"/>
              <w:spacing w:line="360" w:lineRule="auto"/>
              <w:rPr>
                <w:rFonts w:ascii="仿宋" w:hAnsi="仿宋" w:eastAsia="仿宋" w:cs="仿宋"/>
                <w:highlight w:val="none"/>
              </w:rPr>
            </w:pPr>
            <w:r>
              <w:rPr>
                <w:rFonts w:hint="eastAsia" w:ascii="仿宋" w:hAnsi="仿宋" w:eastAsia="仿宋" w:cs="仿宋"/>
                <w:highlight w:val="none"/>
              </w:rPr>
              <w:t>（2）制作电子投标文件（*.SXSTF）需要使用专用制作工具。软件下载及操作说明详见西安市公共资源交易平台〖首页·〉服务指南·〉下载专区〗中的《政府采购项目投 标文件制作软件及操作手册》。</w:t>
            </w:r>
          </w:p>
          <w:p>
            <w:pPr>
              <w:widowControl w:val="0"/>
              <w:spacing w:line="360" w:lineRule="auto"/>
              <w:rPr>
                <w:rFonts w:ascii="仿宋" w:hAnsi="仿宋" w:eastAsia="仿宋" w:cs="仿宋"/>
                <w:bCs/>
                <w:highlight w:val="none"/>
              </w:rPr>
            </w:pPr>
            <w:r>
              <w:rPr>
                <w:rFonts w:hint="eastAsia" w:ascii="仿宋" w:hAnsi="仿宋" w:eastAsia="仿宋" w:cs="仿宋"/>
                <w:highlight w:val="none"/>
              </w:rPr>
              <w:t>（3）提交投标文件截止时间前，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应随时留意【陕西省政府采购网】、【全国公共资源交易平台（陕西省·西安市）】上可能发布的变更公告。若变更公告中明确注明本项目提供有变更文件的，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tc>
      </w:tr>
    </w:tbl>
    <w:p>
      <w:pPr>
        <w:rPr>
          <w:rFonts w:ascii="仿宋" w:hAnsi="仿宋" w:eastAsia="仿宋" w:cs="仿宋"/>
          <w:highlight w:val="none"/>
        </w:rPr>
      </w:pP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spacing w:line="360" w:lineRule="auto"/>
        <w:ind w:firstLine="482"/>
        <w:rPr>
          <w:rFonts w:ascii="仿宋" w:hAnsi="仿宋" w:eastAsia="仿宋" w:cs="仿宋"/>
          <w:b/>
          <w:bCs/>
          <w:sz w:val="24"/>
          <w:szCs w:val="24"/>
          <w:highlight w:val="none"/>
        </w:rPr>
      </w:pPr>
      <w:bookmarkStart w:id="21" w:name="_Toc6496"/>
      <w:bookmarkStart w:id="22" w:name="_Toc18446"/>
      <w:r>
        <w:rPr>
          <w:rFonts w:hint="eastAsia" w:ascii="仿宋" w:hAnsi="仿宋" w:eastAsia="仿宋" w:cs="仿宋"/>
          <w:b/>
          <w:bCs/>
          <w:sz w:val="24"/>
          <w:szCs w:val="24"/>
          <w:highlight w:val="none"/>
        </w:rPr>
        <w:t>一、有关定义</w:t>
      </w:r>
      <w:bookmarkEnd w:id="21"/>
      <w:bookmarkEnd w:id="2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西安市第八医院</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：指向采购人提供货物的法人、其他组织或者自然人。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3．同级政府采购监管部门：</w:t>
      </w:r>
      <w:r>
        <w:rPr>
          <w:rFonts w:hint="eastAsia" w:ascii="仿宋" w:hAnsi="仿宋" w:eastAsia="仿宋" w:cs="仿宋"/>
          <w:highlight w:val="none"/>
          <w:lang w:eastAsia="zh-CN"/>
        </w:rPr>
        <w:t>西安市财政局</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4．西安市公共资源交易平台：【全国公共资源交易平台（陕西省·西安市）】。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5．企业端：指西安市公共资源交易平台〖首页·〉电子交易平台·〉陕西政府采购交易系统·〉企业端〗。</w:t>
      </w:r>
    </w:p>
    <w:p>
      <w:pPr>
        <w:pStyle w:val="3"/>
        <w:spacing w:line="360" w:lineRule="auto"/>
        <w:ind w:firstLine="482"/>
        <w:rPr>
          <w:rFonts w:ascii="仿宋" w:hAnsi="仿宋" w:eastAsia="仿宋" w:cs="仿宋"/>
          <w:b/>
          <w:bCs/>
          <w:sz w:val="24"/>
          <w:szCs w:val="24"/>
          <w:highlight w:val="none"/>
        </w:rPr>
      </w:pPr>
      <w:bookmarkStart w:id="23" w:name="_Toc4062"/>
      <w:bookmarkStart w:id="24" w:name="_Toc17989"/>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注意事项</w:t>
      </w:r>
      <w:bookmarkEnd w:id="23"/>
      <w:bookmarkEnd w:id="24"/>
    </w:p>
    <w:p>
      <w:pPr>
        <w:pStyle w:val="106"/>
        <w:spacing w:before="0" w:beforeLines="0" w:after="0" w:afterLines="0" w:line="360" w:lineRule="auto"/>
        <w:ind w:firstLine="482"/>
        <w:outlineLvl w:val="2"/>
        <w:rPr>
          <w:rFonts w:ascii="仿宋" w:eastAsia="仿宋" w:cs="仿宋"/>
          <w:sz w:val="24"/>
          <w:szCs w:val="24"/>
          <w:highlight w:val="none"/>
        </w:rPr>
      </w:pPr>
      <w:bookmarkStart w:id="25" w:name="_Toc19111"/>
      <w:bookmarkStart w:id="26" w:name="_Toc31971"/>
      <w:r>
        <w:rPr>
          <w:rFonts w:hint="eastAsia" w:ascii="仿宋" w:eastAsia="仿宋" w:cs="仿宋"/>
          <w:sz w:val="24"/>
          <w:szCs w:val="24"/>
          <w:highlight w:val="none"/>
        </w:rPr>
        <w:t>（一）</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投标流程</w:t>
      </w:r>
      <w:bookmarkEnd w:id="25"/>
      <w:bookmarkEnd w:id="2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使用电子交易系统的采购项目，将同时提供WORD\PDF格式（仅用于预览）和SXSZF格式（用于制作电子投标文件）两个版本，文件内容一致。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1．预览采购文件：打开西安市公共资源交易平台〖首页·〉交易大厅·〉政府采购〗栏目，下载和阅读本项目采购文件的预览版本（WORD\PDF格式）。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2．办理注册登记（针对初次使用电子交易系统的用户）：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（1）办理诚信入库注册：在决定参加本项目采购活动后，</w:t>
      </w:r>
      <w:r>
        <w:rPr>
          <w:rFonts w:hint="eastAsia" w:ascii="仿宋" w:hAnsi="仿宋" w:eastAsia="仿宋" w:cs="仿宋"/>
          <w:highlight w:val="none"/>
          <w:lang w:eastAsia="zh-CN"/>
        </w:rPr>
        <w:t>投标人</w:t>
      </w:r>
      <w:r>
        <w:rPr>
          <w:rFonts w:hint="eastAsia" w:ascii="仿宋" w:hAnsi="仿宋" w:eastAsia="仿宋" w:cs="仿宋"/>
          <w:highlight w:val="none"/>
        </w:rPr>
        <w:t>应先在西安市公共资源交易平台上完成“诚信入库登记”；</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（3）绑定和激活CA：将数字证书与诚信库中的</w:t>
      </w:r>
      <w:r>
        <w:rPr>
          <w:rFonts w:hint="eastAsia" w:ascii="仿宋" w:hAnsi="仿宋" w:eastAsia="仿宋" w:cs="仿宋"/>
          <w:highlight w:val="none"/>
          <w:lang w:eastAsia="zh-CN"/>
        </w:rPr>
        <w:t>投标人</w:t>
      </w:r>
      <w:r>
        <w:rPr>
          <w:rFonts w:hint="eastAsia" w:ascii="仿宋" w:hAnsi="仿宋" w:eastAsia="仿宋" w:cs="仿宋"/>
          <w:highlight w:val="none"/>
        </w:rPr>
        <w:t>账户进行绑定。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3．下载电子招标文件：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4．制作电子投标文件：需要使用专用制作软件“新点投 标文件制作软件（陕西公共资源）”进行编制，编制完成后使用CA锁对电子投标文件进行签章、加密。详见本章中的“投标文件”相关内容。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5．提交电子投标文件：在提交投标文件截止时间前及时提交加密后电子投标文件，逾期提交的，系统将会拒收。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6．在线参加开标大会：开标当日，</w:t>
      </w:r>
      <w:r>
        <w:rPr>
          <w:rFonts w:hint="eastAsia" w:ascii="仿宋" w:hAnsi="仿宋" w:eastAsia="仿宋" w:cs="仿宋"/>
          <w:highlight w:val="none"/>
          <w:lang w:eastAsia="zh-CN"/>
        </w:rPr>
        <w:t>投标人</w:t>
      </w:r>
      <w:r>
        <w:rPr>
          <w:rFonts w:hint="eastAsia" w:ascii="仿宋" w:hAnsi="仿宋" w:eastAsia="仿宋" w:cs="仿宋"/>
          <w:highlight w:val="none"/>
        </w:rPr>
        <w:t>法定代表人或其授权代表需提前登录“不见面开 标”系统，收到主持人“开始解密”指令后，使用CA锁（必须与加密文件时的CA锁为同一把锁）在线对电子投标文件进行解密。采用“不见面开标”系统后，</w:t>
      </w:r>
      <w:r>
        <w:rPr>
          <w:rFonts w:hint="eastAsia" w:ascii="仿宋" w:hAnsi="仿宋" w:eastAsia="仿宋" w:cs="仿宋"/>
          <w:highlight w:val="none"/>
          <w:lang w:eastAsia="zh-CN"/>
        </w:rPr>
        <w:t>投标人</w:t>
      </w:r>
      <w:r>
        <w:rPr>
          <w:rFonts w:hint="eastAsia" w:ascii="仿宋" w:hAnsi="仿宋" w:eastAsia="仿宋" w:cs="仿宋"/>
          <w:highlight w:val="none"/>
        </w:rPr>
        <w:t>无需到达开标现场，即可在线参与整个开标过程。相关技术问题，请咨询软件开发商。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7．等待专家评审：评审期间，可能需要对评审专家提出的问题进行澄清或答复。在主持人宣布评审结束前，</w:t>
      </w:r>
      <w:r>
        <w:rPr>
          <w:rFonts w:hint="eastAsia" w:ascii="仿宋" w:hAnsi="仿宋" w:eastAsia="仿宋" w:cs="仿宋"/>
          <w:highlight w:val="none"/>
          <w:lang w:eastAsia="zh-CN"/>
        </w:rPr>
        <w:t>投标人</w:t>
      </w:r>
      <w:r>
        <w:rPr>
          <w:rFonts w:hint="eastAsia" w:ascii="仿宋" w:hAnsi="仿宋" w:eastAsia="仿宋" w:cs="仿宋"/>
          <w:highlight w:val="none"/>
        </w:rPr>
        <w:t>请勿擅自离席，否则由此造成的不利后果，由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8．中标</w:t>
      </w:r>
      <w:r>
        <w:rPr>
          <w:rFonts w:hint="eastAsia" w:ascii="仿宋" w:hAnsi="仿宋" w:eastAsia="仿宋" w:cs="仿宋"/>
          <w:highlight w:val="none"/>
          <w:lang w:eastAsia="zh-CN"/>
        </w:rPr>
        <w:t>投标人</w:t>
      </w:r>
      <w:r>
        <w:rPr>
          <w:rFonts w:hint="eastAsia" w:ascii="仿宋" w:hAnsi="仿宋" w:eastAsia="仿宋" w:cs="仿宋"/>
          <w:highlight w:val="none"/>
        </w:rPr>
        <w:t>注册：按照陕西省政府采购监管部门的要求，采购代理机构在发布中标公告前，应由中标</w:t>
      </w:r>
      <w:r>
        <w:rPr>
          <w:rFonts w:hint="eastAsia" w:ascii="仿宋" w:hAnsi="仿宋" w:eastAsia="仿宋" w:cs="仿宋"/>
          <w:highlight w:val="none"/>
          <w:lang w:eastAsia="zh-CN"/>
        </w:rPr>
        <w:t>投标人</w:t>
      </w:r>
      <w:r>
        <w:rPr>
          <w:rFonts w:hint="eastAsia" w:ascii="仿宋" w:hAnsi="仿宋" w:eastAsia="仿宋" w:cs="仿宋"/>
          <w:highlight w:val="none"/>
        </w:rPr>
        <w:t>在陕西省政府采购网上完成注册。</w:t>
      </w:r>
    </w:p>
    <w:p>
      <w:pPr>
        <w:pStyle w:val="106"/>
        <w:spacing w:before="0" w:beforeLines="0" w:after="0" w:afterLines="0" w:line="360" w:lineRule="auto"/>
        <w:ind w:firstLine="482"/>
        <w:outlineLvl w:val="2"/>
        <w:rPr>
          <w:rFonts w:ascii="仿宋" w:eastAsia="仿宋" w:cs="仿宋"/>
          <w:sz w:val="24"/>
          <w:szCs w:val="24"/>
          <w:highlight w:val="none"/>
        </w:rPr>
      </w:pPr>
      <w:bookmarkStart w:id="27" w:name="_Toc26826"/>
      <w:bookmarkStart w:id="28" w:name="_Toc17309"/>
      <w:r>
        <w:rPr>
          <w:rFonts w:hint="eastAsia" w:ascii="仿宋" w:eastAsia="仿宋" w:cs="仿宋"/>
          <w:sz w:val="24"/>
          <w:szCs w:val="24"/>
          <w:highlight w:val="none"/>
        </w:rPr>
        <w:t>（二）关于询问、质疑和投诉</w:t>
      </w:r>
      <w:bookmarkEnd w:id="27"/>
      <w:bookmarkEnd w:id="28"/>
    </w:p>
    <w:p>
      <w:pPr>
        <w:pStyle w:val="105"/>
        <w:spacing w:line="360" w:lineRule="auto"/>
        <w:ind w:firstLine="482" w:firstLineChars="200"/>
        <w:jc w:val="both"/>
        <w:outlineLvl w:val="3"/>
        <w:rPr>
          <w:rFonts w:ascii="仿宋" w:eastAsia="仿宋" w:cs="仿宋"/>
          <w:b/>
          <w:bCs/>
          <w:sz w:val="24"/>
          <w:szCs w:val="24"/>
          <w:highlight w:val="none"/>
        </w:rPr>
      </w:pPr>
      <w:bookmarkStart w:id="29" w:name="_Toc31671"/>
      <w:bookmarkStart w:id="30" w:name="_Toc336"/>
      <w:bookmarkStart w:id="31" w:name="_Toc24293"/>
      <w:bookmarkStart w:id="32" w:name="_Toc12184"/>
      <w:bookmarkStart w:id="33" w:name="_Toc23653"/>
      <w:bookmarkStart w:id="34" w:name="_Toc8176"/>
      <w:bookmarkStart w:id="35" w:name="_Toc4266"/>
      <w:bookmarkStart w:id="36" w:name="_Toc30046"/>
      <w:bookmarkStart w:id="37" w:name="_Toc16420"/>
      <w:bookmarkStart w:id="38" w:name="_Toc22932"/>
      <w:bookmarkStart w:id="39" w:name="_Toc31963"/>
      <w:bookmarkStart w:id="40" w:name="_Toc15287"/>
      <w:r>
        <w:rPr>
          <w:rFonts w:hint="eastAsia" w:ascii="仿宋" w:eastAsia="仿宋" w:cs="仿宋"/>
          <w:b/>
          <w:bCs/>
          <w:sz w:val="24"/>
          <w:szCs w:val="24"/>
          <w:highlight w:val="none"/>
        </w:rPr>
        <w:t>1．询问</w:t>
      </w:r>
      <w:bookmarkEnd w:id="29"/>
      <w:bookmarkEnd w:id="30"/>
      <w:bookmarkEnd w:id="31"/>
      <w:bookmarkEnd w:id="32"/>
      <w:bookmarkEnd w:id="33"/>
      <w:bookmarkEnd w:id="34"/>
      <w:bookmarkEnd w:id="35"/>
      <w:bookmarkEnd w:id="36"/>
      <w:bookmarkEnd w:id="37"/>
      <w:bookmarkEnd w:id="38"/>
      <w:bookmarkEnd w:id="39"/>
      <w:bookmarkEnd w:id="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对政府采购活动事项有疑问的，可以向采购人或采购代理机构提出询问。采购人或采购代理机构将在3个工作日内对</w:t>
      </w:r>
      <w:r>
        <w:rPr>
          <w:rFonts w:hint="eastAsia" w:ascii="仿宋" w:hAnsi="仿宋" w:eastAsia="仿宋" w:cs="仿宋"/>
          <w:highlight w:val="none"/>
          <w:lang w:eastAsia="zh-CN"/>
        </w:rPr>
        <w:t>投标人</w:t>
      </w:r>
      <w:r>
        <w:rPr>
          <w:rFonts w:hint="eastAsia" w:ascii="仿宋" w:hAnsi="仿宋" w:eastAsia="仿宋" w:cs="仿宋"/>
          <w:highlight w:val="none"/>
        </w:rPr>
        <w:t>依法提出的询问作出答复。</w:t>
      </w:r>
    </w:p>
    <w:p>
      <w:pPr>
        <w:pStyle w:val="105"/>
        <w:spacing w:line="360" w:lineRule="auto"/>
        <w:ind w:firstLine="482" w:firstLineChars="200"/>
        <w:jc w:val="both"/>
        <w:outlineLvl w:val="3"/>
        <w:rPr>
          <w:rFonts w:ascii="仿宋" w:eastAsia="仿宋" w:cs="仿宋"/>
          <w:b/>
          <w:bCs/>
          <w:sz w:val="24"/>
          <w:szCs w:val="24"/>
          <w:highlight w:val="none"/>
        </w:rPr>
      </w:pPr>
      <w:bookmarkStart w:id="41" w:name="_Toc32258"/>
      <w:bookmarkStart w:id="42" w:name="_Toc1524"/>
      <w:bookmarkStart w:id="43" w:name="_Toc25507"/>
      <w:bookmarkStart w:id="44" w:name="_Toc13436"/>
      <w:bookmarkStart w:id="45" w:name="_Toc16482"/>
      <w:bookmarkStart w:id="46" w:name="_Toc19623"/>
      <w:bookmarkStart w:id="47" w:name="_Toc2959"/>
      <w:bookmarkStart w:id="48" w:name="_Toc17978"/>
      <w:bookmarkStart w:id="49" w:name="_Toc4806"/>
      <w:bookmarkStart w:id="50" w:name="_Toc15950"/>
      <w:bookmarkStart w:id="51" w:name="_Toc3534"/>
      <w:bookmarkStart w:id="52" w:name="_Toc5904"/>
      <w:r>
        <w:rPr>
          <w:rFonts w:hint="eastAsia" w:ascii="仿宋" w:eastAsia="仿宋" w:cs="仿宋"/>
          <w:b/>
          <w:bCs/>
          <w:sz w:val="24"/>
          <w:szCs w:val="24"/>
          <w:highlight w:val="none"/>
        </w:rPr>
        <w:t>2．质疑</w:t>
      </w:r>
      <w:bookmarkEnd w:id="41"/>
      <w:bookmarkEnd w:id="42"/>
      <w:bookmarkEnd w:id="43"/>
      <w:bookmarkEnd w:id="44"/>
      <w:bookmarkEnd w:id="45"/>
      <w:bookmarkEnd w:id="46"/>
      <w:bookmarkEnd w:id="47"/>
      <w:bookmarkEnd w:id="48"/>
      <w:bookmarkEnd w:id="49"/>
      <w:bookmarkEnd w:id="50"/>
      <w:bookmarkEnd w:id="51"/>
      <w:bookmarkEnd w:id="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认为采购文件、采购过程、成交结果使自己的权益受到损害的，可以在知道或应知其权益受到损害之日起7个工作日内以书面形式向采购人、采购代理机构提出。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（2）质疑方式：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在线质疑：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登录西安市公共资源交易平台〖首页·〉电子交易平台·〉企业端〗，在〖我的项目〗中点击“项目流程·〉提出质疑”，填写表单并提交质疑。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书面质疑：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书面质疑函应按照财政部国库司制定的《政府采购</w:t>
      </w:r>
      <w:r>
        <w:rPr>
          <w:rFonts w:hint="eastAsia" w:ascii="仿宋" w:hAnsi="仿宋" w:eastAsia="仿宋" w:cs="仿宋"/>
          <w:highlight w:val="none"/>
          <w:lang w:eastAsia="zh-CN"/>
        </w:rPr>
        <w:t>投标人</w:t>
      </w:r>
      <w:r>
        <w:rPr>
          <w:rFonts w:hint="eastAsia" w:ascii="仿宋" w:hAnsi="仿宋" w:eastAsia="仿宋" w:cs="仿宋"/>
          <w:highlight w:val="none"/>
        </w:rPr>
        <w:t>质疑函范本》（见下方链接）进行填写，签字、盖章后提交至采购人、采购代理机构。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质疑函范本地址：</w:t>
      </w:r>
      <w:r>
        <w:rPr>
          <w:highlight w:val="none"/>
        </w:rPr>
        <w:fldChar w:fldCharType="begin"/>
      </w:r>
      <w:r>
        <w:rPr>
          <w:highlight w:val="none"/>
        </w:rPr>
        <w:instrText xml:space="preserve"> HYPERLINK "http://download.ccgp.gov.cn/2018/zhiyihanfanben.zip" </w:instrText>
      </w:r>
      <w:r>
        <w:rPr>
          <w:highlight w:val="none"/>
        </w:rPr>
        <w:fldChar w:fldCharType="separate"/>
      </w:r>
      <w:r>
        <w:rPr>
          <w:rStyle w:val="43"/>
          <w:rFonts w:hint="eastAsia" w:ascii="仿宋" w:hAnsi="仿宋" w:eastAsia="仿宋" w:cs="仿宋"/>
          <w:color w:val="auto"/>
          <w:highlight w:val="none"/>
          <w:u w:val="none"/>
        </w:rPr>
        <w:t>http://download.ccgp.gov.cn/2018/zhiyihanfanben.zip</w:t>
      </w:r>
      <w:r>
        <w:rPr>
          <w:rStyle w:val="43"/>
          <w:rFonts w:hint="eastAsia" w:ascii="仿宋" w:hAnsi="仿宋" w:eastAsia="仿宋" w:cs="仿宋"/>
          <w:color w:val="auto"/>
          <w:highlight w:val="none"/>
          <w:u w:val="none"/>
        </w:rPr>
        <w:fldChar w:fldCharType="end"/>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为自然人的，应当由本人签字；</w:t>
      </w:r>
      <w:r>
        <w:rPr>
          <w:rFonts w:hint="eastAsia" w:ascii="仿宋" w:hAnsi="仿宋" w:eastAsia="仿宋" w:cs="仿宋"/>
          <w:highlight w:val="none"/>
          <w:lang w:eastAsia="zh-CN"/>
        </w:rPr>
        <w:t>投标人</w:t>
      </w:r>
      <w:r>
        <w:rPr>
          <w:rFonts w:hint="eastAsia" w:ascii="仿宋" w:hAnsi="仿宋" w:eastAsia="仿宋" w:cs="仿宋"/>
          <w:highlight w:val="none"/>
        </w:rPr>
        <w:t>为法人或者其他组织的，应当由法定代表人、主要负责人，或者其授权代表签字或者盖章，并加盖单位公章，公章不得以合同章或其他印章代替。</w:t>
      </w:r>
      <w:r>
        <w:rPr>
          <w:rFonts w:hint="eastAsia" w:ascii="仿宋" w:hAnsi="仿宋" w:eastAsia="仿宋" w:cs="仿宋"/>
          <w:highlight w:val="none"/>
          <w:lang w:eastAsia="zh-CN"/>
        </w:rPr>
        <w:t>投标人</w:t>
      </w:r>
      <w:r>
        <w:rPr>
          <w:rFonts w:hint="eastAsia" w:ascii="仿宋" w:hAnsi="仿宋" w:eastAsia="仿宋" w:cs="仿宋"/>
          <w:highlight w:val="none"/>
        </w:rPr>
        <w:t>委托代理人提出质疑的，应当同时提交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（4）在法定质疑期内，针对同一采购程序环节的质疑应当一次性提出。采购人、采购代理机构将在收到书面质疑后7个工作日内做出答复，并以书面形式通知质疑人和其他有关</w:t>
      </w:r>
      <w:r>
        <w:rPr>
          <w:rFonts w:hint="eastAsia" w:ascii="仿宋" w:hAnsi="仿宋" w:eastAsia="仿宋" w:cs="仿宋"/>
          <w:highlight w:val="none"/>
          <w:lang w:eastAsia="zh-CN"/>
        </w:rPr>
        <w:t>投标人</w:t>
      </w:r>
      <w:r>
        <w:rPr>
          <w:rFonts w:hint="eastAsia" w:ascii="仿宋" w:hAnsi="仿宋" w:eastAsia="仿宋" w:cs="仿宋"/>
          <w:highlight w:val="none"/>
        </w:rPr>
        <w:t>。</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val="zh-CN"/>
        </w:rPr>
        <w:t>）符合要求的质疑，采购代理机构将予以受理并答复，具体联系方式如下：</w:t>
      </w:r>
    </w:p>
    <w:p>
      <w:pPr>
        <w:autoSpaceDE w:val="0"/>
        <w:autoSpaceDN w:val="0"/>
        <w:adjustRightInd w:val="0"/>
        <w:snapToGrid w:val="0"/>
        <w:spacing w:line="360" w:lineRule="auto"/>
        <w:ind w:firstLine="480" w:firstLineChars="200"/>
        <w:outlineLvl w:val="9"/>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联系人：贺培文、</w:t>
      </w:r>
      <w:r>
        <w:rPr>
          <w:rFonts w:hint="eastAsia" w:ascii="仿宋" w:hAnsi="仿宋" w:eastAsia="仿宋" w:cs="仿宋"/>
          <w:highlight w:val="none"/>
          <w:lang w:eastAsia="zh-CN"/>
        </w:rPr>
        <w:t>郭晨、</w:t>
      </w:r>
      <w:r>
        <w:rPr>
          <w:rFonts w:hint="eastAsia" w:ascii="仿宋" w:hAnsi="仿宋" w:eastAsia="仿宋" w:cs="仿宋"/>
          <w:bCs/>
          <w:color w:val="auto"/>
          <w:sz w:val="24"/>
          <w:szCs w:val="24"/>
          <w:highlight w:val="none"/>
          <w:lang w:val="zh-CN"/>
        </w:rPr>
        <w:t>李纪旋、张亚娜</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地址：西安市经济技术开发区凤城十一路与文景路十字文景商务广场B座8层陕西笃信招标有限公司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6</w:t>
      </w:r>
      <w:r>
        <w:rPr>
          <w:rFonts w:hint="eastAsia" w:ascii="仿宋" w:hAnsi="仿宋" w:eastAsia="仿宋" w:cs="仿宋"/>
          <w:highlight w:val="none"/>
        </w:rPr>
        <w:t>）有下列情形之一的，属于无效质疑：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对采购文件提出质疑的质疑人不是依法获取采购文件的潜在</w:t>
      </w:r>
      <w:r>
        <w:rPr>
          <w:rFonts w:hint="eastAsia" w:ascii="仿宋" w:hAnsi="仿宋" w:eastAsia="仿宋" w:cs="仿宋"/>
          <w:highlight w:val="none"/>
          <w:lang w:eastAsia="zh-CN"/>
        </w:rPr>
        <w:t>投标人</w:t>
      </w:r>
      <w:r>
        <w:rPr>
          <w:rFonts w:hint="eastAsia" w:ascii="仿宋" w:hAnsi="仿宋" w:eastAsia="仿宋" w:cs="仿宋"/>
          <w:highlight w:val="none"/>
        </w:rPr>
        <w:t>；对采购过程、中标结果提出质疑的质疑人不是参与本次政府采购项目的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超过法定期限或未以书面形式提出的；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缺乏必要的证明材料，或捏造事实、提供虚假材料，或以非法手段取得证明材料的；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质疑函没有合法有效的签字、盖章或委托授权书的（代理人提出质疑和投诉，应当提交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⑤ 针对同一采购程序环节又提出其他质疑事项的，或质疑答复后就同一事项再次提出质疑的；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⑥ 不符合法律、法规、规章和政府采购监管机构规定的其他条件的。</w:t>
      </w:r>
    </w:p>
    <w:p>
      <w:pPr>
        <w:pStyle w:val="105"/>
        <w:spacing w:line="360" w:lineRule="auto"/>
        <w:ind w:firstLine="482" w:firstLineChars="200"/>
        <w:jc w:val="both"/>
        <w:outlineLvl w:val="3"/>
        <w:rPr>
          <w:rFonts w:ascii="仿宋" w:eastAsia="仿宋" w:cs="仿宋"/>
          <w:b/>
          <w:bCs/>
          <w:sz w:val="24"/>
          <w:szCs w:val="24"/>
          <w:highlight w:val="none"/>
        </w:rPr>
      </w:pPr>
      <w:bookmarkStart w:id="53" w:name="_Toc1865"/>
      <w:bookmarkStart w:id="54" w:name="_Toc1034"/>
      <w:bookmarkStart w:id="55" w:name="_Toc17088"/>
      <w:bookmarkStart w:id="56" w:name="_Toc26229"/>
      <w:bookmarkStart w:id="57" w:name="_Toc27092"/>
      <w:bookmarkStart w:id="58" w:name="_Toc32391"/>
      <w:bookmarkStart w:id="59" w:name="_Toc3727"/>
      <w:bookmarkStart w:id="60" w:name="_Toc23255"/>
      <w:bookmarkStart w:id="61" w:name="_Toc25162"/>
      <w:bookmarkStart w:id="62" w:name="_Toc10919"/>
      <w:bookmarkStart w:id="63" w:name="_Toc1554"/>
      <w:bookmarkStart w:id="64" w:name="_Toc7861"/>
      <w:r>
        <w:rPr>
          <w:rFonts w:hint="eastAsia" w:ascii="仿宋" w:eastAsia="仿宋" w:cs="仿宋"/>
          <w:b/>
          <w:bCs/>
          <w:sz w:val="24"/>
          <w:szCs w:val="24"/>
          <w:highlight w:val="none"/>
        </w:rPr>
        <w:t>3．投诉</w:t>
      </w:r>
      <w:bookmarkEnd w:id="53"/>
      <w:bookmarkEnd w:id="54"/>
      <w:bookmarkEnd w:id="55"/>
      <w:bookmarkEnd w:id="56"/>
      <w:bookmarkEnd w:id="57"/>
      <w:bookmarkEnd w:id="58"/>
      <w:bookmarkEnd w:id="59"/>
      <w:bookmarkEnd w:id="60"/>
      <w:bookmarkEnd w:id="61"/>
      <w:bookmarkEnd w:id="62"/>
      <w:bookmarkEnd w:id="63"/>
      <w:bookmarkEnd w:id="6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（1）质疑</w:t>
      </w:r>
      <w:r>
        <w:rPr>
          <w:rFonts w:hint="eastAsia" w:ascii="仿宋" w:hAnsi="仿宋" w:eastAsia="仿宋" w:cs="仿宋"/>
          <w:highlight w:val="none"/>
          <w:lang w:eastAsia="zh-CN"/>
        </w:rPr>
        <w:t>投标人</w:t>
      </w:r>
      <w:r>
        <w:rPr>
          <w:rFonts w:hint="eastAsia" w:ascii="仿宋" w:hAnsi="仿宋" w:eastAsia="仿宋" w:cs="仿宋"/>
          <w:highlight w:val="none"/>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投诉的事项不得超出已质疑事项的范围。</w:t>
      </w:r>
      <w:r>
        <w:rPr>
          <w:rFonts w:hint="eastAsia" w:ascii="仿宋" w:hAnsi="仿宋" w:eastAsia="仿宋" w:cs="仿宋"/>
          <w:highlight w:val="none"/>
          <w:lang w:eastAsia="zh-CN"/>
        </w:rPr>
        <w:t>投标人</w:t>
      </w:r>
      <w:r>
        <w:rPr>
          <w:rFonts w:hint="eastAsia" w:ascii="仿宋" w:hAnsi="仿宋" w:eastAsia="仿宋" w:cs="仿宋"/>
          <w:highlight w:val="none"/>
        </w:rPr>
        <w:t>提出投诉时，应当提交投诉书和必要的证明材料，并按财政部《投诉书范本》给定的格式进行填写。</w:t>
      </w:r>
    </w:p>
    <w:p>
      <w:pPr>
        <w:pStyle w:val="105"/>
        <w:spacing w:line="360" w:lineRule="auto"/>
        <w:ind w:firstLine="482" w:firstLineChars="200"/>
        <w:jc w:val="both"/>
        <w:outlineLvl w:val="3"/>
        <w:rPr>
          <w:rFonts w:ascii="仿宋" w:eastAsia="仿宋" w:cs="仿宋"/>
          <w:sz w:val="24"/>
          <w:szCs w:val="24"/>
          <w:highlight w:val="none"/>
        </w:rPr>
      </w:pPr>
      <w:bookmarkStart w:id="65" w:name="_Toc24295"/>
      <w:bookmarkStart w:id="66" w:name="_Toc24710"/>
      <w:bookmarkStart w:id="67" w:name="_Toc15085"/>
      <w:bookmarkStart w:id="68" w:name="_Toc29661"/>
      <w:bookmarkStart w:id="69" w:name="_Toc21266"/>
      <w:bookmarkStart w:id="70" w:name="_Toc29970"/>
      <w:bookmarkStart w:id="71" w:name="_Toc27015"/>
      <w:bookmarkStart w:id="72" w:name="_Toc1146"/>
      <w:bookmarkStart w:id="73" w:name="_Toc7415"/>
      <w:bookmarkStart w:id="74" w:name="_Toc13217"/>
      <w:bookmarkStart w:id="75" w:name="_Toc24135"/>
      <w:bookmarkStart w:id="76" w:name="_Toc14601"/>
      <w:r>
        <w:rPr>
          <w:rFonts w:hint="eastAsia" w:ascii="仿宋" w:eastAsia="仿宋" w:cs="仿宋"/>
          <w:b/>
          <w:bCs/>
          <w:sz w:val="24"/>
          <w:szCs w:val="24"/>
          <w:highlight w:val="none"/>
        </w:rPr>
        <w:t>4．恶意质疑、投诉的法律后果</w:t>
      </w:r>
      <w:bookmarkEnd w:id="65"/>
      <w:bookmarkEnd w:id="66"/>
      <w:bookmarkEnd w:id="67"/>
      <w:bookmarkEnd w:id="68"/>
      <w:bookmarkEnd w:id="69"/>
      <w:bookmarkEnd w:id="70"/>
      <w:bookmarkEnd w:id="71"/>
      <w:bookmarkEnd w:id="72"/>
      <w:bookmarkEnd w:id="73"/>
      <w:bookmarkEnd w:id="74"/>
      <w:bookmarkEnd w:id="75"/>
      <w:bookmarkEnd w:id="7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（1）对捏造事实、提供虚假材料进行质疑、投诉的行为予以严肃处理：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（2）对捏造事实诬告陷害他人、诽谤他人的法律适用：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《中华人民共和国刑法》第243条【诬告陷害罪】捏造事实诬告陷害他人，意图使他人受刑事追究，情节严重的，处三年以下有期徒刑、拘役或者管制；造成严重后果的，处三年以上十年以下有期徒刑。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《中华人民共和国刑法》第246条【侮辱罪、诽谤罪】以暴力或者其他方法公然侮辱他人或者捏造事实诽谤他人，情节严重的，处三年以下有期徒刑、拘役、管制或者剥夺政治权利。</w:t>
      </w:r>
    </w:p>
    <w:p>
      <w:pPr>
        <w:pStyle w:val="106"/>
        <w:spacing w:before="0" w:beforeLines="0" w:after="0" w:afterLines="0" w:line="360" w:lineRule="auto"/>
        <w:ind w:firstLine="482"/>
        <w:outlineLvl w:val="2"/>
        <w:rPr>
          <w:rFonts w:ascii="仿宋" w:eastAsia="仿宋" w:cs="仿宋"/>
          <w:sz w:val="24"/>
          <w:szCs w:val="24"/>
          <w:highlight w:val="none"/>
        </w:rPr>
      </w:pPr>
      <w:bookmarkStart w:id="77" w:name="_Toc21846"/>
      <w:bookmarkStart w:id="78" w:name="_Toc8214"/>
      <w:r>
        <w:rPr>
          <w:rFonts w:hint="eastAsia" w:ascii="仿宋" w:eastAsia="仿宋" w:cs="仿宋"/>
          <w:sz w:val="24"/>
          <w:szCs w:val="24"/>
          <w:highlight w:val="none"/>
        </w:rPr>
        <w:t>（三）关于保证金</w:t>
      </w:r>
      <w:bookmarkEnd w:id="77"/>
      <w:bookmarkEnd w:id="78"/>
    </w:p>
    <w:p>
      <w:pPr>
        <w:pStyle w:val="105"/>
        <w:spacing w:line="360" w:lineRule="auto"/>
        <w:ind w:firstLine="482" w:firstLineChars="200"/>
        <w:jc w:val="both"/>
        <w:outlineLvl w:val="3"/>
        <w:rPr>
          <w:rFonts w:ascii="仿宋" w:eastAsia="仿宋" w:cs="仿宋"/>
          <w:b/>
          <w:bCs/>
          <w:sz w:val="24"/>
          <w:szCs w:val="24"/>
          <w:highlight w:val="none"/>
        </w:rPr>
      </w:pPr>
      <w:bookmarkStart w:id="79" w:name="_Toc26952"/>
      <w:bookmarkStart w:id="80" w:name="_Toc6598"/>
      <w:bookmarkStart w:id="81" w:name="_Toc28580"/>
      <w:bookmarkStart w:id="82" w:name="_Toc15225"/>
      <w:bookmarkStart w:id="83" w:name="_Toc21429"/>
      <w:bookmarkStart w:id="84" w:name="_Toc2174"/>
      <w:bookmarkStart w:id="85" w:name="_Toc1957"/>
      <w:bookmarkStart w:id="86" w:name="_Toc8190"/>
      <w:bookmarkStart w:id="87" w:name="_Toc31261"/>
      <w:bookmarkStart w:id="88" w:name="_Toc15336"/>
      <w:bookmarkStart w:id="89" w:name="_Toc11381"/>
      <w:bookmarkStart w:id="90" w:name="_Toc907"/>
      <w:r>
        <w:rPr>
          <w:rFonts w:hint="eastAsia" w:ascii="仿宋" w:eastAsia="仿宋" w:cs="仿宋"/>
          <w:b/>
          <w:bCs/>
          <w:sz w:val="24"/>
          <w:szCs w:val="24"/>
          <w:highlight w:val="none"/>
        </w:rPr>
        <w:t>1．西安市政府采购信用担保及信用融资政策</w:t>
      </w:r>
      <w:bookmarkEnd w:id="79"/>
      <w:bookmarkEnd w:id="80"/>
      <w:bookmarkEnd w:id="81"/>
      <w:bookmarkEnd w:id="82"/>
      <w:bookmarkEnd w:id="83"/>
      <w:bookmarkEnd w:id="84"/>
      <w:bookmarkEnd w:id="85"/>
      <w:bookmarkEnd w:id="86"/>
      <w:bookmarkEnd w:id="87"/>
      <w:bookmarkEnd w:id="88"/>
      <w:bookmarkEnd w:id="89"/>
      <w:bookmarkEnd w:id="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提供政府采购信用担保和融资服务。</w:t>
      </w:r>
      <w:r>
        <w:rPr>
          <w:rFonts w:hint="eastAsia" w:ascii="仿宋" w:hAnsi="仿宋" w:eastAsia="仿宋" w:cs="仿宋"/>
          <w:highlight w:val="none"/>
          <w:lang w:eastAsia="zh-CN"/>
        </w:rPr>
        <w:t>投标人</w:t>
      </w:r>
      <w:r>
        <w:rPr>
          <w:rFonts w:hint="eastAsia" w:ascii="仿宋" w:hAnsi="仿宋" w:eastAsia="仿宋" w:cs="仿宋"/>
          <w:highlight w:val="none"/>
        </w:rPr>
        <w:t>在交纳投标保证金、履约保证金时可自愿选择通过担保函的形式交纳，</w:t>
      </w:r>
      <w:r>
        <w:rPr>
          <w:rFonts w:hint="eastAsia" w:ascii="仿宋" w:hAnsi="仿宋" w:eastAsia="仿宋" w:cs="仿宋"/>
          <w:highlight w:val="none"/>
          <w:lang w:eastAsia="zh-CN"/>
        </w:rPr>
        <w:t>投标人</w:t>
      </w:r>
      <w:r>
        <w:rPr>
          <w:rFonts w:hint="eastAsia" w:ascii="仿宋" w:hAnsi="仿宋" w:eastAsia="仿宋" w:cs="仿宋"/>
          <w:highlight w:val="none"/>
        </w:rPr>
        <w:t>违约，开具担保函单位承担连带责任。</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pPr>
        <w:pStyle w:val="105"/>
        <w:spacing w:line="360" w:lineRule="auto"/>
        <w:ind w:firstLine="482" w:firstLineChars="200"/>
        <w:jc w:val="both"/>
        <w:outlineLvl w:val="3"/>
        <w:rPr>
          <w:rFonts w:ascii="仿宋" w:eastAsia="仿宋" w:cs="仿宋"/>
          <w:b/>
          <w:bCs/>
          <w:sz w:val="24"/>
          <w:szCs w:val="24"/>
          <w:highlight w:val="none"/>
        </w:rPr>
      </w:pPr>
      <w:bookmarkStart w:id="91" w:name="_Toc18269"/>
      <w:bookmarkStart w:id="92" w:name="_Toc7484"/>
      <w:bookmarkStart w:id="93" w:name="_Toc1002"/>
      <w:bookmarkStart w:id="94" w:name="_Toc18896"/>
      <w:bookmarkStart w:id="95" w:name="_Toc8345"/>
      <w:bookmarkStart w:id="96" w:name="_Toc14390"/>
      <w:bookmarkStart w:id="97" w:name="_Toc27651"/>
      <w:bookmarkStart w:id="98" w:name="_Toc29146"/>
      <w:bookmarkStart w:id="99" w:name="_Toc28245"/>
      <w:bookmarkStart w:id="100" w:name="_Toc10160"/>
      <w:bookmarkStart w:id="101" w:name="_Toc10574"/>
      <w:bookmarkStart w:id="102" w:name="_Toc32569"/>
      <w:r>
        <w:rPr>
          <w:rFonts w:hint="eastAsia" w:ascii="仿宋" w:eastAsia="仿宋" w:cs="仿宋"/>
          <w:b/>
          <w:bCs/>
          <w:sz w:val="24"/>
          <w:szCs w:val="24"/>
          <w:highlight w:val="none"/>
        </w:rPr>
        <w:t>2．投标保证金</w:t>
      </w:r>
      <w:bookmarkEnd w:id="91"/>
      <w:bookmarkEnd w:id="92"/>
      <w:bookmarkEnd w:id="93"/>
      <w:bookmarkEnd w:id="94"/>
      <w:bookmarkEnd w:id="95"/>
      <w:bookmarkEnd w:id="96"/>
      <w:bookmarkEnd w:id="97"/>
      <w:bookmarkEnd w:id="98"/>
      <w:bookmarkEnd w:id="99"/>
      <w:bookmarkEnd w:id="100"/>
      <w:bookmarkEnd w:id="101"/>
      <w:bookmarkEnd w:id="1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按照西安市财政局《关于促进政府采购公平竞争优化营商环境的通知》第三条规定，</w:t>
      </w:r>
      <w:r>
        <w:rPr>
          <w:rFonts w:hint="eastAsia" w:ascii="仿宋" w:hAnsi="仿宋" w:eastAsia="仿宋" w:cs="仿宋"/>
          <w:b/>
          <w:bCs/>
          <w:highlight w:val="none"/>
        </w:rPr>
        <w:t>本项目免交投标保证金</w:t>
      </w:r>
      <w:r>
        <w:rPr>
          <w:rFonts w:hint="eastAsia" w:ascii="仿宋" w:hAnsi="仿宋" w:eastAsia="仿宋" w:cs="仿宋"/>
          <w:highlight w:val="none"/>
        </w:rPr>
        <w:t>。</w:t>
      </w:r>
    </w:p>
    <w:p>
      <w:pPr>
        <w:pStyle w:val="105"/>
        <w:spacing w:line="360" w:lineRule="auto"/>
        <w:ind w:firstLine="482" w:firstLineChars="200"/>
        <w:jc w:val="both"/>
        <w:outlineLvl w:val="3"/>
        <w:rPr>
          <w:rFonts w:ascii="仿宋" w:eastAsia="仿宋" w:cs="仿宋"/>
          <w:b/>
          <w:bCs/>
          <w:sz w:val="24"/>
          <w:szCs w:val="24"/>
          <w:highlight w:val="none"/>
        </w:rPr>
      </w:pPr>
      <w:bookmarkStart w:id="103" w:name="_Toc14985"/>
      <w:bookmarkStart w:id="104" w:name="_Toc7054"/>
      <w:bookmarkStart w:id="105" w:name="_Toc13951"/>
      <w:bookmarkStart w:id="106" w:name="_Toc29314"/>
      <w:bookmarkStart w:id="107" w:name="_Toc12225"/>
      <w:bookmarkStart w:id="108" w:name="_Toc32527"/>
      <w:bookmarkStart w:id="109" w:name="_Toc10821"/>
      <w:bookmarkStart w:id="110" w:name="_Toc30141"/>
      <w:bookmarkStart w:id="111" w:name="_Toc9029"/>
      <w:bookmarkStart w:id="112" w:name="_Toc18758"/>
      <w:bookmarkStart w:id="113" w:name="_Toc15963"/>
      <w:bookmarkStart w:id="114" w:name="_Toc26013"/>
      <w:r>
        <w:rPr>
          <w:rFonts w:hint="eastAsia" w:ascii="仿宋" w:eastAsia="仿宋" w:cs="仿宋"/>
          <w:b/>
          <w:bCs/>
          <w:sz w:val="24"/>
          <w:szCs w:val="24"/>
          <w:highlight w:val="none"/>
        </w:rPr>
        <w:t>3．履约保证金</w:t>
      </w:r>
      <w:bookmarkEnd w:id="103"/>
      <w:bookmarkEnd w:id="104"/>
      <w:bookmarkEnd w:id="105"/>
      <w:bookmarkEnd w:id="106"/>
      <w:bookmarkEnd w:id="107"/>
      <w:bookmarkEnd w:id="108"/>
      <w:bookmarkEnd w:id="109"/>
      <w:bookmarkEnd w:id="110"/>
      <w:bookmarkEnd w:id="111"/>
      <w:bookmarkEnd w:id="112"/>
      <w:bookmarkEnd w:id="113"/>
      <w:bookmarkEnd w:id="11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（1）交纳履约保证金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招标文件要求</w:t>
      </w:r>
      <w:r>
        <w:rPr>
          <w:rFonts w:hint="eastAsia" w:ascii="仿宋" w:hAnsi="仿宋" w:eastAsia="仿宋" w:cs="仿宋"/>
          <w:highlight w:val="none"/>
          <w:lang w:eastAsia="zh-CN"/>
        </w:rPr>
        <w:t>投标人</w:t>
      </w:r>
      <w:r>
        <w:rPr>
          <w:rFonts w:hint="eastAsia" w:ascii="仿宋" w:hAnsi="仿宋" w:eastAsia="仿宋" w:cs="仿宋"/>
          <w:highlight w:val="none"/>
        </w:rPr>
        <w:t>提交履约保证金的，</w:t>
      </w:r>
      <w:r>
        <w:rPr>
          <w:rFonts w:hint="eastAsia" w:ascii="仿宋" w:hAnsi="仿宋" w:eastAsia="仿宋" w:cs="仿宋"/>
          <w:highlight w:val="none"/>
          <w:lang w:eastAsia="zh-CN"/>
        </w:rPr>
        <w:t>投标人</w:t>
      </w:r>
      <w:r>
        <w:rPr>
          <w:rFonts w:hint="eastAsia" w:ascii="仿宋" w:hAnsi="仿宋" w:eastAsia="仿宋" w:cs="仿宋"/>
          <w:highlight w:val="none"/>
        </w:rPr>
        <w:t>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r>
        <w:rPr>
          <w:rFonts w:hint="eastAsia" w:ascii="仿宋" w:hAnsi="仿宋" w:eastAsia="仿宋" w:cs="仿宋"/>
          <w:b/>
          <w:bCs/>
          <w:highlight w:val="none"/>
        </w:rPr>
        <w:t>本项目免交履约保证金。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（2）采用履约保函形式时应注意以下事项：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履约保函的受益人为采购人，</w:t>
      </w:r>
      <w:r>
        <w:rPr>
          <w:rFonts w:hint="eastAsia" w:ascii="仿宋" w:hAnsi="仿宋" w:eastAsia="仿宋" w:cs="仿宋"/>
          <w:highlight w:val="none"/>
          <w:lang w:eastAsia="zh-CN"/>
        </w:rPr>
        <w:t>投标人</w:t>
      </w:r>
      <w:r>
        <w:rPr>
          <w:rFonts w:hint="eastAsia" w:ascii="仿宋" w:hAnsi="仿宋" w:eastAsia="仿宋" w:cs="仿宋"/>
          <w:highlight w:val="none"/>
        </w:rPr>
        <w:t>未能按合同规定履行其义务时，采购人有权从履约保证金中取得补偿。</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履约保函的内容包括但不限于保函申请人、项目名称（如分标段，还应写明所投标段）、担保金额、保函有效期（履约保函的有效期至少应覆盖至合同验收之日，履约保函有效期不足的，</w:t>
      </w:r>
      <w:r>
        <w:rPr>
          <w:rFonts w:hint="eastAsia" w:ascii="仿宋" w:hAnsi="仿宋" w:eastAsia="仿宋" w:cs="仿宋"/>
          <w:highlight w:val="none"/>
          <w:lang w:eastAsia="zh-CN"/>
        </w:rPr>
        <w:t>投标人</w:t>
      </w:r>
      <w:r>
        <w:rPr>
          <w:rFonts w:hint="eastAsia" w:ascii="仿宋" w:hAnsi="仿宋" w:eastAsia="仿宋" w:cs="仿宋"/>
          <w:highlight w:val="none"/>
        </w:rPr>
        <w:t>应向履约保函签发机构办理担保续期手续）；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担保金额不少于《投标邀请函》中规定的履约保证金交纳金额；</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保函申请人须与</w:t>
      </w:r>
      <w:r>
        <w:rPr>
          <w:rFonts w:hint="eastAsia" w:ascii="仿宋" w:hAnsi="仿宋" w:eastAsia="仿宋" w:cs="仿宋"/>
          <w:highlight w:val="none"/>
          <w:lang w:eastAsia="zh-CN"/>
        </w:rPr>
        <w:t>投标人</w:t>
      </w:r>
      <w:r>
        <w:rPr>
          <w:rFonts w:hint="eastAsia" w:ascii="仿宋" w:hAnsi="仿宋" w:eastAsia="仿宋" w:cs="仿宋"/>
          <w:highlight w:val="none"/>
        </w:rPr>
        <w:t>名称一致。若</w:t>
      </w:r>
      <w:r>
        <w:rPr>
          <w:rFonts w:hint="eastAsia" w:ascii="仿宋" w:hAnsi="仿宋" w:eastAsia="仿宋" w:cs="仿宋"/>
          <w:highlight w:val="none"/>
          <w:lang w:eastAsia="zh-CN"/>
        </w:rPr>
        <w:t>投标人</w:t>
      </w:r>
      <w:r>
        <w:rPr>
          <w:rFonts w:hint="eastAsia" w:ascii="仿宋" w:hAnsi="仿宋" w:eastAsia="仿宋" w:cs="仿宋"/>
          <w:highlight w:val="none"/>
        </w:rPr>
        <w:t>为联合体形式，原则上可由联合体任意一方或多方作为保函申请人，然而对于电子保函，目前只能由下载电子招标文件的一方作为保函申请人。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（3）退还履约保证金</w:t>
      </w:r>
    </w:p>
    <w:p>
      <w:pPr>
        <w:spacing w:line="360" w:lineRule="auto"/>
        <w:ind w:firstLine="480" w:firstLineChars="200"/>
        <w:jc w:val="both"/>
        <w:rPr>
          <w:rFonts w:hint="eastAsia" w:ascii="仿宋" w:hAnsi="仿宋" w:eastAsia="仿宋" w:cs="仿宋"/>
          <w:kern w:val="0"/>
          <w:sz w:val="24"/>
          <w:szCs w:val="24"/>
          <w:highlight w:val="none"/>
          <w:lang w:eastAsia="zh-CN"/>
        </w:rPr>
      </w:pPr>
      <w:bookmarkStart w:id="115" w:name="_Toc8446"/>
      <w:r>
        <w:rPr>
          <w:rFonts w:hint="eastAsia" w:ascii="仿宋" w:hAnsi="仿宋" w:eastAsia="仿宋" w:cs="仿宋"/>
          <w:highlight w:val="none"/>
        </w:rPr>
        <w:t>①</w:t>
      </w:r>
      <w:r>
        <w:rPr>
          <w:rFonts w:hint="eastAsia" w:ascii="仿宋" w:hAnsi="仿宋" w:eastAsia="仿宋" w:cs="仿宋"/>
          <w:kern w:val="0"/>
          <w:sz w:val="24"/>
          <w:szCs w:val="24"/>
          <w:highlight w:val="none"/>
        </w:rPr>
        <w:t>保证期为中标（成交）通知书到达中标投标人之日起至项目质保期结束日</w:t>
      </w:r>
      <w:r>
        <w:rPr>
          <w:rFonts w:hint="eastAsia" w:ascii="仿宋" w:hAnsi="仿宋" w:eastAsia="仿宋" w:cs="仿宋"/>
          <w:kern w:val="0"/>
          <w:sz w:val="24"/>
          <w:szCs w:val="24"/>
          <w:highlight w:val="none"/>
          <w:lang w:eastAsia="zh-CN"/>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w:t>
      </w:r>
      <w:r>
        <w:rPr>
          <w:rFonts w:hint="eastAsia" w:ascii="仿宋" w:hAnsi="仿宋" w:eastAsia="仿宋" w:cs="仿宋"/>
          <w:kern w:val="0"/>
          <w:sz w:val="24"/>
          <w:szCs w:val="24"/>
          <w:highlight w:val="none"/>
        </w:rPr>
        <w:t>保证期满投标人如约履行合同的，采购人在合同服务期结束之日起30日内退还履约保证金（无息）</w:t>
      </w:r>
      <w:r>
        <w:rPr>
          <w:rFonts w:hint="eastAsia" w:ascii="仿宋" w:hAnsi="仿宋" w:eastAsia="仿宋" w:cs="仿宋"/>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116" w:name="_Toc869"/>
      <w:r>
        <w:rPr>
          <w:rFonts w:hint="eastAsia" w:ascii="仿宋" w:eastAsia="仿宋" w:cs="仿宋"/>
          <w:sz w:val="24"/>
          <w:szCs w:val="24"/>
          <w:highlight w:val="none"/>
        </w:rPr>
        <w:t>（四）关于政府采购政策</w:t>
      </w:r>
      <w:bookmarkEnd w:id="115"/>
      <w:bookmarkEnd w:id="116"/>
    </w:p>
    <w:p>
      <w:pPr>
        <w:pStyle w:val="105"/>
        <w:spacing w:line="360" w:lineRule="auto"/>
        <w:ind w:firstLine="482" w:firstLineChars="200"/>
        <w:jc w:val="both"/>
        <w:outlineLvl w:val="3"/>
        <w:rPr>
          <w:rFonts w:ascii="仿宋" w:eastAsia="仿宋" w:cs="仿宋"/>
          <w:sz w:val="24"/>
          <w:szCs w:val="24"/>
          <w:highlight w:val="none"/>
        </w:rPr>
      </w:pPr>
      <w:bookmarkStart w:id="117" w:name="_Toc24773"/>
      <w:bookmarkStart w:id="118" w:name="_Toc14"/>
      <w:bookmarkStart w:id="119" w:name="_Toc31703"/>
      <w:bookmarkStart w:id="120" w:name="_Toc21243"/>
      <w:bookmarkStart w:id="121" w:name="_Toc11519"/>
      <w:bookmarkStart w:id="122" w:name="_Toc9498"/>
      <w:bookmarkStart w:id="123" w:name="_Toc13574"/>
      <w:bookmarkStart w:id="124" w:name="_Toc26829"/>
      <w:bookmarkStart w:id="125" w:name="_Toc25894"/>
      <w:bookmarkStart w:id="126" w:name="_Toc3688"/>
      <w:bookmarkStart w:id="127" w:name="_Toc898"/>
      <w:bookmarkStart w:id="128" w:name="_Toc8853"/>
      <w:r>
        <w:rPr>
          <w:rFonts w:hint="eastAsia" w:ascii="仿宋" w:eastAsia="仿宋" w:cs="仿宋"/>
          <w:b/>
          <w:bCs/>
          <w:sz w:val="24"/>
          <w:szCs w:val="24"/>
          <w:highlight w:val="none"/>
        </w:rPr>
        <w:t>1．对中小企业、监狱企业、残疾人福利性单位的优惠政策</w:t>
      </w:r>
      <w:bookmarkEnd w:id="117"/>
      <w:bookmarkEnd w:id="118"/>
      <w:bookmarkEnd w:id="119"/>
      <w:bookmarkEnd w:id="120"/>
      <w:bookmarkEnd w:id="121"/>
      <w:bookmarkEnd w:id="122"/>
      <w:bookmarkEnd w:id="123"/>
      <w:bookmarkEnd w:id="124"/>
      <w:bookmarkEnd w:id="125"/>
      <w:bookmarkEnd w:id="126"/>
      <w:bookmarkEnd w:id="127"/>
      <w:bookmarkEnd w:id="12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的扣除（实际价格扣除比例以本章《评审要素及分值一览表》中的具体规定为准），用扣除后的价格参加评审。同时，依据该办法第四条第二款规定在货物采购项目中，</w:t>
      </w:r>
      <w:r>
        <w:rPr>
          <w:rFonts w:hint="eastAsia" w:ascii="仿宋" w:hAnsi="仿宋" w:eastAsia="仿宋" w:cs="仿宋"/>
          <w:highlight w:val="none"/>
          <w:lang w:eastAsia="zh-CN"/>
        </w:rPr>
        <w:t>投标人</w:t>
      </w:r>
      <w:r>
        <w:rPr>
          <w:rFonts w:hint="eastAsia" w:ascii="仿宋" w:hAnsi="仿宋" w:eastAsia="仿宋" w:cs="仿宋"/>
          <w:highlight w:val="none"/>
        </w:rPr>
        <w:t>提供的货物既有中小企业制造货物，也有大型企业制造货物的，不享受中小企业扶持政策。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（2）根据财政部、司法部联合下发的《关于政府采购支持监狱企业发展有关问题的通知》（财库〔2014〕68号）的规定，监狱企业视同小型、微型企业。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pPr>
        <w:pStyle w:val="105"/>
        <w:spacing w:line="360" w:lineRule="auto"/>
        <w:ind w:firstLine="482" w:firstLineChars="200"/>
        <w:jc w:val="both"/>
        <w:outlineLvl w:val="3"/>
        <w:rPr>
          <w:rFonts w:ascii="仿宋" w:eastAsia="仿宋" w:cs="仿宋"/>
          <w:b/>
          <w:bCs/>
          <w:sz w:val="24"/>
          <w:szCs w:val="24"/>
          <w:highlight w:val="none"/>
        </w:rPr>
      </w:pPr>
      <w:bookmarkStart w:id="129" w:name="_Toc8940"/>
      <w:bookmarkStart w:id="130" w:name="_Toc1819"/>
      <w:bookmarkStart w:id="131" w:name="_Toc13412"/>
      <w:bookmarkStart w:id="132" w:name="_Toc132"/>
      <w:bookmarkStart w:id="133" w:name="_Toc11005"/>
      <w:bookmarkStart w:id="134" w:name="_Toc14898"/>
      <w:bookmarkStart w:id="135" w:name="_Toc29773"/>
      <w:bookmarkStart w:id="136" w:name="_Toc22573"/>
      <w:bookmarkStart w:id="137" w:name="_Toc28510"/>
      <w:bookmarkStart w:id="138" w:name="_Toc6544"/>
      <w:bookmarkStart w:id="139" w:name="_Toc17610"/>
      <w:bookmarkStart w:id="140" w:name="_Toc8450"/>
      <w:r>
        <w:rPr>
          <w:rFonts w:hint="eastAsia" w:ascii="仿宋" w:eastAsia="仿宋" w:cs="仿宋"/>
          <w:b/>
          <w:bCs/>
          <w:sz w:val="24"/>
          <w:szCs w:val="24"/>
          <w:highlight w:val="none"/>
        </w:rPr>
        <w:t>2．节能、环保产品采购政策</w:t>
      </w:r>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（3）《节能产品政府采购品目清单》见财政部、发展改革委《关于印发节能产品政府采购品目清单的通知》（财库〔2019〕19号）附件。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（4）《环境标志产品政府采购品目清单》见财政部、生态环境部《关于印发环境标志产品政府采购品目清单的通知》（财库〔2019〕18号）附件。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（5）“国家确定的认证机构”名单见市场监管总局《关于发布参与实施政府采购节能产品、环境标志产品认证机构名录的公告》（2019年第16号）。</w:t>
      </w:r>
    </w:p>
    <w:p>
      <w:pPr>
        <w:pStyle w:val="105"/>
        <w:spacing w:line="360" w:lineRule="auto"/>
        <w:ind w:firstLine="482" w:firstLineChars="200"/>
        <w:jc w:val="both"/>
        <w:outlineLvl w:val="3"/>
        <w:rPr>
          <w:rFonts w:ascii="仿宋" w:eastAsia="仿宋" w:cs="仿宋"/>
          <w:sz w:val="24"/>
          <w:szCs w:val="24"/>
          <w:highlight w:val="none"/>
        </w:rPr>
      </w:pPr>
      <w:bookmarkStart w:id="141" w:name="_Toc13027"/>
      <w:bookmarkStart w:id="142" w:name="_Toc31297"/>
      <w:bookmarkStart w:id="143" w:name="_Toc13460"/>
      <w:bookmarkStart w:id="144" w:name="_Toc21407"/>
      <w:bookmarkStart w:id="145" w:name="_Toc3189"/>
      <w:bookmarkStart w:id="146" w:name="_Toc3799"/>
      <w:bookmarkStart w:id="147" w:name="_Toc3796"/>
      <w:bookmarkStart w:id="148" w:name="_Toc8596"/>
      <w:bookmarkStart w:id="149" w:name="_Toc18793"/>
      <w:bookmarkStart w:id="150" w:name="_Toc23853"/>
      <w:bookmarkStart w:id="151" w:name="_Toc19650"/>
      <w:bookmarkStart w:id="152" w:name="_Toc182"/>
      <w:r>
        <w:rPr>
          <w:rFonts w:hint="eastAsia" w:ascii="仿宋" w:eastAsia="仿宋" w:cs="仿宋"/>
          <w:b/>
          <w:bCs/>
          <w:sz w:val="24"/>
          <w:szCs w:val="24"/>
          <w:highlight w:val="none"/>
        </w:rPr>
        <w:t>3．陕西省中小企业政府采购信用融资办法</w:t>
      </w:r>
      <w:bookmarkEnd w:id="141"/>
      <w:bookmarkEnd w:id="142"/>
      <w:bookmarkEnd w:id="143"/>
      <w:bookmarkEnd w:id="144"/>
      <w:bookmarkEnd w:id="145"/>
      <w:bookmarkEnd w:id="146"/>
      <w:bookmarkEnd w:id="147"/>
      <w:bookmarkEnd w:id="148"/>
      <w:bookmarkEnd w:id="149"/>
      <w:bookmarkEnd w:id="150"/>
      <w:bookmarkEnd w:id="151"/>
      <w:bookmarkEnd w:id="1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pPr>
        <w:pStyle w:val="106"/>
        <w:spacing w:before="0" w:beforeLines="0" w:after="0" w:afterLines="0" w:line="360" w:lineRule="auto"/>
        <w:ind w:firstLine="482"/>
        <w:outlineLvl w:val="2"/>
        <w:rPr>
          <w:rFonts w:ascii="仿宋" w:eastAsia="仿宋" w:cs="仿宋"/>
          <w:sz w:val="24"/>
          <w:szCs w:val="24"/>
          <w:highlight w:val="none"/>
        </w:rPr>
      </w:pPr>
      <w:bookmarkStart w:id="153" w:name="_Toc8387"/>
      <w:bookmarkStart w:id="154" w:name="_Toc7731"/>
      <w:r>
        <w:rPr>
          <w:rFonts w:hint="eastAsia" w:ascii="仿宋" w:eastAsia="仿宋" w:cs="仿宋"/>
          <w:sz w:val="24"/>
          <w:szCs w:val="24"/>
          <w:highlight w:val="none"/>
        </w:rPr>
        <w:t>（五）关于同一品牌产品的处理</w:t>
      </w:r>
      <w:bookmarkEnd w:id="153"/>
      <w:bookmarkEnd w:id="15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1．采用最低评标价法的采购项目，提供相同品牌产品的不同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参加同一合同项下投标的，以其中通过资格审查、符合性审查且报价最低的参加评标；报价相同的，由采购人或者采购人委托评审委员会按照采购文件规定的方式确定一个参加评标的</w:t>
      </w:r>
      <w:r>
        <w:rPr>
          <w:rFonts w:hint="eastAsia" w:ascii="仿宋" w:hAnsi="仿宋" w:eastAsia="仿宋" w:cs="仿宋"/>
          <w:highlight w:val="none"/>
          <w:lang w:eastAsia="zh-CN"/>
        </w:rPr>
        <w:t>投标人</w:t>
      </w:r>
      <w:r>
        <w:rPr>
          <w:rFonts w:hint="eastAsia" w:ascii="仿宋" w:hAnsi="仿宋" w:eastAsia="仿宋" w:cs="仿宋"/>
          <w:highlight w:val="none"/>
        </w:rPr>
        <w:t>，采购文件未规定的采取随机抽取方式确定，其他投标无效。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2．使用综合评分法的采购项目，提供相同品牌产品且通过资格审查、符合性审查的不同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参加同一合同项下投标的，按一家</w:t>
      </w:r>
      <w:r>
        <w:rPr>
          <w:rFonts w:hint="eastAsia" w:ascii="仿宋" w:hAnsi="仿宋" w:eastAsia="仿宋" w:cs="仿宋"/>
          <w:highlight w:val="none"/>
          <w:lang w:eastAsia="zh-CN"/>
        </w:rPr>
        <w:t>投标人</w:t>
      </w:r>
      <w:r>
        <w:rPr>
          <w:rFonts w:hint="eastAsia" w:ascii="仿宋" w:hAnsi="仿宋" w:eastAsia="仿宋" w:cs="仿宋"/>
          <w:highlight w:val="none"/>
        </w:rPr>
        <w:t>计算，评审后得分最高的同品牌</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推荐资格；评审得分相同的，由采购人或者采购人委托评审委员会按照采购文件规定的方式确定一个</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推荐资格，采购文件未规定的采取随机抽取方式确定，其他同品牌</w:t>
      </w:r>
      <w:r>
        <w:rPr>
          <w:rFonts w:hint="eastAsia" w:ascii="仿宋" w:hAnsi="仿宋" w:eastAsia="仿宋" w:cs="仿宋"/>
          <w:highlight w:val="none"/>
          <w:lang w:eastAsia="zh-CN"/>
        </w:rPr>
        <w:t>投标人</w:t>
      </w:r>
      <w:r>
        <w:rPr>
          <w:rFonts w:hint="eastAsia" w:ascii="仿宋" w:hAnsi="仿宋" w:eastAsia="仿宋" w:cs="仿宋"/>
          <w:highlight w:val="none"/>
        </w:rPr>
        <w:t>不作为中标候选人。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3．非单一产品采购项目，采购人将根据采购项目技术构成、产品价格比重等因素确定核心产品（可能不止一种），并在采购文件中载明。多家</w:t>
      </w:r>
      <w:r>
        <w:rPr>
          <w:rFonts w:hint="eastAsia" w:ascii="仿宋" w:hAnsi="仿宋" w:eastAsia="仿宋" w:cs="仿宋"/>
          <w:highlight w:val="none"/>
          <w:lang w:eastAsia="zh-CN"/>
        </w:rPr>
        <w:t>投标人</w:t>
      </w:r>
      <w:r>
        <w:rPr>
          <w:rFonts w:hint="eastAsia" w:ascii="仿宋" w:hAnsi="仿宋" w:eastAsia="仿宋" w:cs="仿宋"/>
          <w:highlight w:val="none"/>
        </w:rPr>
        <w:t>提供的核心产品有部分采用或全部采用相同品牌的，按一家</w:t>
      </w:r>
      <w:r>
        <w:rPr>
          <w:rFonts w:hint="eastAsia" w:ascii="仿宋" w:hAnsi="仿宋" w:eastAsia="仿宋" w:cs="仿宋"/>
          <w:highlight w:val="none"/>
          <w:lang w:eastAsia="zh-CN"/>
        </w:rPr>
        <w:t>投标人</w:t>
      </w:r>
      <w:r>
        <w:rPr>
          <w:rFonts w:hint="eastAsia" w:ascii="仿宋" w:hAnsi="仿宋" w:eastAsia="仿宋" w:cs="仿宋"/>
          <w:highlight w:val="none"/>
        </w:rPr>
        <w:t>计算。</w:t>
      </w:r>
    </w:p>
    <w:p>
      <w:pPr>
        <w:pStyle w:val="106"/>
        <w:spacing w:before="0" w:beforeLines="0" w:after="0" w:afterLines="0" w:line="360" w:lineRule="auto"/>
        <w:ind w:firstLine="482"/>
        <w:outlineLvl w:val="2"/>
        <w:rPr>
          <w:rFonts w:ascii="仿宋" w:eastAsia="仿宋" w:cs="仿宋"/>
          <w:sz w:val="24"/>
          <w:szCs w:val="24"/>
          <w:highlight w:val="none"/>
        </w:rPr>
      </w:pPr>
      <w:bookmarkStart w:id="155" w:name="_Toc12926"/>
      <w:bookmarkStart w:id="156" w:name="_Toc30207"/>
      <w:r>
        <w:rPr>
          <w:rFonts w:hint="eastAsia" w:ascii="仿宋" w:eastAsia="仿宋" w:cs="仿宋"/>
          <w:sz w:val="24"/>
          <w:szCs w:val="24"/>
          <w:highlight w:val="none"/>
        </w:rPr>
        <w:t>（六）关于知识产权和保密事项</w:t>
      </w:r>
      <w:bookmarkEnd w:id="155"/>
      <w:bookmarkEnd w:id="15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1．所有涉及知识产权的产品及设计，</w:t>
      </w:r>
      <w:r>
        <w:rPr>
          <w:rFonts w:hint="eastAsia" w:ascii="仿宋" w:hAnsi="仿宋" w:eastAsia="仿宋" w:cs="仿宋"/>
          <w:highlight w:val="none"/>
          <w:lang w:eastAsia="zh-CN"/>
        </w:rPr>
        <w:t>投标人</w:t>
      </w:r>
      <w:r>
        <w:rPr>
          <w:rFonts w:hint="eastAsia" w:ascii="仿宋" w:hAnsi="仿宋" w:eastAsia="仿宋" w:cs="仿宋"/>
          <w:highlight w:val="none"/>
        </w:rPr>
        <w:t>必须确保委托人、采购人拥有其合法的、不受限制的无偿使用权，并免受任何侵权诉讼或索偿；否则，由此产生的一切经济损失和法律责任由</w:t>
      </w:r>
      <w:r>
        <w:rPr>
          <w:rFonts w:hint="eastAsia" w:ascii="仿宋" w:hAnsi="仿宋" w:eastAsia="仿宋" w:cs="仿宋"/>
          <w:highlight w:val="none"/>
          <w:lang w:eastAsia="zh-CN"/>
        </w:rPr>
        <w:t>投标人</w:t>
      </w:r>
      <w:r>
        <w:rPr>
          <w:rFonts w:hint="eastAsia" w:ascii="仿宋" w:hAnsi="仿宋" w:eastAsia="仿宋" w:cs="仿宋"/>
          <w:highlight w:val="none"/>
        </w:rPr>
        <w:t>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2．由采购人向</w:t>
      </w:r>
      <w:r>
        <w:rPr>
          <w:rFonts w:hint="eastAsia" w:ascii="仿宋" w:hAnsi="仿宋" w:eastAsia="仿宋" w:cs="仿宋"/>
          <w:highlight w:val="none"/>
          <w:lang w:eastAsia="zh-CN"/>
        </w:rPr>
        <w:t>投标人</w:t>
      </w:r>
      <w:r>
        <w:rPr>
          <w:rFonts w:hint="eastAsia" w:ascii="仿宋" w:hAnsi="仿宋" w:eastAsia="仿宋" w:cs="仿宋"/>
          <w:highlight w:val="none"/>
        </w:rPr>
        <w:t>提供的用户需求书、图纸、样品、模型、模件和所有资料，</w:t>
      </w:r>
      <w:r>
        <w:rPr>
          <w:rFonts w:hint="eastAsia" w:ascii="仿宋" w:hAnsi="仿宋" w:eastAsia="仿宋" w:cs="仿宋"/>
          <w:highlight w:val="none"/>
          <w:lang w:eastAsia="zh-CN"/>
        </w:rPr>
        <w:t>投标人</w:t>
      </w:r>
      <w:r>
        <w:rPr>
          <w:rFonts w:hint="eastAsia" w:ascii="仿宋" w:hAnsi="仿宋" w:eastAsia="仿宋" w:cs="仿宋"/>
          <w:highlight w:val="none"/>
        </w:rPr>
        <w:t>获得后，应对其保密。除非采购人同意，</w:t>
      </w:r>
      <w:r>
        <w:rPr>
          <w:rFonts w:hint="eastAsia" w:ascii="仿宋" w:hAnsi="仿宋" w:eastAsia="仿宋" w:cs="仿宋"/>
          <w:highlight w:val="none"/>
          <w:lang w:eastAsia="zh-CN"/>
        </w:rPr>
        <w:t>投标人</w:t>
      </w:r>
      <w:r>
        <w:rPr>
          <w:rFonts w:hint="eastAsia" w:ascii="仿宋" w:hAnsi="仿宋" w:eastAsia="仿宋" w:cs="仿宋"/>
          <w:highlight w:val="none"/>
        </w:rPr>
        <w:t>不得向第三方透露或将其用于本次投 标以外的任何用途。开标后，若采购人有要求，</w:t>
      </w:r>
      <w:r>
        <w:rPr>
          <w:rFonts w:hint="eastAsia" w:ascii="仿宋" w:hAnsi="仿宋" w:eastAsia="仿宋" w:cs="仿宋"/>
          <w:highlight w:val="none"/>
          <w:lang w:eastAsia="zh-CN"/>
        </w:rPr>
        <w:t>投标人</w:t>
      </w:r>
      <w:r>
        <w:rPr>
          <w:rFonts w:hint="eastAsia" w:ascii="仿宋" w:hAnsi="仿宋" w:eastAsia="仿宋" w:cs="仿宋"/>
          <w:highlight w:val="none"/>
        </w:rPr>
        <w:t>人须归还采购人认为需保密的文件和资料，并销毁所有相应的备份文件及资料。</w:t>
      </w:r>
    </w:p>
    <w:p>
      <w:pPr>
        <w:pStyle w:val="106"/>
        <w:spacing w:before="0" w:beforeLines="0" w:after="0" w:afterLines="0" w:line="360" w:lineRule="auto"/>
        <w:ind w:firstLine="482"/>
        <w:outlineLvl w:val="2"/>
        <w:rPr>
          <w:rFonts w:ascii="仿宋" w:eastAsia="仿宋" w:cs="仿宋"/>
          <w:sz w:val="24"/>
          <w:szCs w:val="24"/>
          <w:highlight w:val="none"/>
        </w:rPr>
      </w:pPr>
      <w:bookmarkStart w:id="157" w:name="_Toc8103"/>
      <w:bookmarkStart w:id="158" w:name="_Toc15666"/>
      <w:r>
        <w:rPr>
          <w:rFonts w:hint="eastAsia" w:ascii="仿宋" w:eastAsia="仿宋" w:cs="仿宋"/>
          <w:sz w:val="24"/>
          <w:szCs w:val="24"/>
          <w:highlight w:val="none"/>
        </w:rPr>
        <w:t>（七）关于信用记录的查询和使用</w:t>
      </w:r>
      <w:bookmarkEnd w:id="157"/>
      <w:bookmarkEnd w:id="15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1．根据财政部《关于在政府采购活动中查询及使用信用记录有关问题的通知》（财库〔2016〕125号）第二条有关要求，采购人和采购代理机构将在资格审查阶段通过【信用中国】（</w:t>
      </w:r>
      <w:r>
        <w:rPr>
          <w:highlight w:val="none"/>
        </w:rPr>
        <w:fldChar w:fldCharType="begin"/>
      </w:r>
      <w:r>
        <w:rPr>
          <w:highlight w:val="none"/>
        </w:rPr>
        <w:instrText xml:space="preserve"> HYPERLINK "https://www.creditchina.gov.cn" </w:instrText>
      </w:r>
      <w:r>
        <w:rPr>
          <w:highlight w:val="none"/>
        </w:rPr>
        <w:fldChar w:fldCharType="separate"/>
      </w:r>
      <w:r>
        <w:rPr>
          <w:rStyle w:val="43"/>
          <w:rFonts w:hint="eastAsia" w:ascii="仿宋" w:hAnsi="仿宋" w:eastAsia="仿宋" w:cs="仿宋"/>
          <w:color w:val="auto"/>
          <w:highlight w:val="none"/>
          <w:u w:val="none"/>
        </w:rPr>
        <w:t>https://www.creditchina.gov.cn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/）和【中国政府采购网】（</w:t>
      </w:r>
      <w:r>
        <w:rPr>
          <w:highlight w:val="none"/>
        </w:rPr>
        <w:fldChar w:fldCharType="begin"/>
      </w:r>
      <w:r>
        <w:rPr>
          <w:highlight w:val="none"/>
        </w:rPr>
        <w:instrText xml:space="preserve"> HYPERLINK "http://www.ccgp.gov.cn/" </w:instrText>
      </w:r>
      <w:r>
        <w:rPr>
          <w:highlight w:val="none"/>
        </w:rPr>
        <w:fldChar w:fldCharType="separate"/>
      </w:r>
      <w:r>
        <w:rPr>
          <w:rStyle w:val="43"/>
          <w:rFonts w:hint="eastAsia" w:ascii="仿宋" w:hAnsi="仿宋" w:eastAsia="仿宋" w:cs="仿宋"/>
          <w:color w:val="auto"/>
          <w:highlight w:val="none"/>
          <w:u w:val="none"/>
        </w:rPr>
        <w:t>http://www.ccgp.gov.cn/）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对</w:t>
      </w:r>
      <w:r>
        <w:rPr>
          <w:rFonts w:hint="eastAsia" w:ascii="仿宋" w:hAnsi="仿宋" w:eastAsia="仿宋" w:cs="仿宋"/>
          <w:highlight w:val="none"/>
          <w:lang w:eastAsia="zh-CN"/>
        </w:rPr>
        <w:t>投标人</w:t>
      </w:r>
      <w:r>
        <w:rPr>
          <w:rFonts w:hint="eastAsia" w:ascii="仿宋" w:hAnsi="仿宋" w:eastAsia="仿宋" w:cs="仿宋"/>
          <w:highlight w:val="none"/>
        </w:rPr>
        <w:t>的信用情况进行甄别。</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2．对列入失信被执行人、重大税收违法案件当事人名单、政府采购严重违法失信行为记录名单及其他不符合《中华人民共和国政府采购法》第二十二条规定条件的</w:t>
      </w:r>
      <w:r>
        <w:rPr>
          <w:rFonts w:hint="eastAsia" w:ascii="仿宋" w:hAnsi="仿宋" w:eastAsia="仿宋" w:cs="仿宋"/>
          <w:highlight w:val="none"/>
          <w:lang w:eastAsia="zh-CN"/>
        </w:rPr>
        <w:t>投标人</w:t>
      </w:r>
      <w:r>
        <w:rPr>
          <w:rFonts w:hint="eastAsia" w:ascii="仿宋" w:hAnsi="仿宋" w:eastAsia="仿宋" w:cs="仿宋"/>
          <w:highlight w:val="none"/>
        </w:rPr>
        <w:t>，将拒绝其参与政府采购活动。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在参加政府采购活动前3年内因违法经营被禁止在一定期限内参加政府采购活动，期限届满的，可以参加政府采购活动的，但</w:t>
      </w:r>
      <w:r>
        <w:rPr>
          <w:rFonts w:hint="eastAsia" w:ascii="仿宋" w:hAnsi="仿宋" w:eastAsia="仿宋" w:cs="仿宋"/>
          <w:highlight w:val="none"/>
          <w:lang w:eastAsia="zh-CN"/>
        </w:rPr>
        <w:t>投标人</w:t>
      </w:r>
      <w:r>
        <w:rPr>
          <w:rFonts w:hint="eastAsia" w:ascii="仿宋" w:hAnsi="仿宋" w:eastAsia="仿宋" w:cs="仿宋"/>
          <w:highlight w:val="none"/>
        </w:rPr>
        <w:t>应提供相关证明材料。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4．信用记录查询结果打印后，将与其他采购文件一并保存。</w:t>
      </w:r>
    </w:p>
    <w:p>
      <w:pPr>
        <w:tabs>
          <w:tab w:val="left" w:pos="9030"/>
        </w:tabs>
        <w:snapToGrid w:val="0"/>
        <w:spacing w:line="360" w:lineRule="auto"/>
        <w:ind w:right="-65" w:firstLine="482" w:firstLineChars="200"/>
        <w:outlineLvl w:val="2"/>
        <w:rPr>
          <w:rFonts w:ascii="仿宋" w:hAnsi="仿宋" w:eastAsia="仿宋" w:cs="仿宋"/>
          <w:b/>
          <w:bCs/>
          <w:color w:val="auto"/>
          <w:sz w:val="24"/>
          <w:szCs w:val="24"/>
          <w:highlight w:val="none"/>
          <w:lang w:val="zh-CN"/>
        </w:rPr>
      </w:pPr>
      <w:bookmarkStart w:id="159" w:name="_Toc18403"/>
      <w:bookmarkStart w:id="160" w:name="_Toc16783"/>
      <w:bookmarkStart w:id="161" w:name="_Toc12205"/>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val="zh-CN" w:eastAsia="zh-CN"/>
        </w:rPr>
        <w:t>）</w:t>
      </w:r>
      <w:bookmarkStart w:id="162" w:name="_Toc31560"/>
      <w:r>
        <w:rPr>
          <w:rFonts w:hint="eastAsia" w:ascii="仿宋" w:hAnsi="仿宋" w:eastAsia="仿宋" w:cs="仿宋"/>
          <w:b/>
          <w:bCs/>
          <w:color w:val="auto"/>
          <w:sz w:val="24"/>
          <w:szCs w:val="24"/>
          <w:highlight w:val="none"/>
          <w:lang w:val="zh-CN"/>
        </w:rPr>
        <w:t>限制</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要求</w:t>
      </w:r>
      <w:bookmarkEnd w:id="159"/>
      <w:bookmarkEnd w:id="160"/>
      <w:bookmarkEnd w:id="162"/>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供应商单位负责人为同一人或者存在直接控股、管理关系的不同供应商，不得参加同一项目或同一包的政府采购活动。</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w:t>
      </w:r>
      <w:r>
        <w:rPr>
          <w:rFonts w:hint="eastAsia" w:ascii="仿宋" w:hAnsi="仿宋" w:eastAsia="仿宋" w:cs="仿宋"/>
          <w:color w:val="auto"/>
          <w:sz w:val="24"/>
          <w:szCs w:val="24"/>
          <w:highlight w:val="none"/>
          <w:lang w:val="en-US" w:eastAsia="zh-CN"/>
        </w:rPr>
        <w:t>单一来源项</w:t>
      </w:r>
      <w:r>
        <w:rPr>
          <w:rFonts w:hint="eastAsia" w:ascii="仿宋" w:hAnsi="仿宋" w:eastAsia="仿宋" w:cs="仿宋"/>
          <w:color w:val="auto"/>
          <w:sz w:val="24"/>
          <w:szCs w:val="24"/>
          <w:highlight w:val="none"/>
          <w:lang w:val="zh-CN"/>
        </w:rPr>
        <w:t>目外，为采购项目提供过整体设计、规范编制或者项目管理、监理、检测等服务的供应商，不得再参加同一项目</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lang w:val="zh-CN"/>
        </w:rPr>
        <w:t>其他采购活动。</w:t>
      </w:r>
    </w:p>
    <w:p>
      <w:pPr>
        <w:pStyle w:val="106"/>
        <w:spacing w:before="0" w:beforeLines="0" w:after="0" w:afterLines="0" w:line="360" w:lineRule="auto"/>
        <w:ind w:firstLine="482"/>
        <w:outlineLvl w:val="2"/>
        <w:rPr>
          <w:rFonts w:ascii="仿宋" w:eastAsia="仿宋" w:cs="仿宋"/>
          <w:sz w:val="24"/>
          <w:szCs w:val="24"/>
          <w:highlight w:val="none"/>
        </w:rPr>
      </w:pPr>
      <w:bookmarkStart w:id="163" w:name="_Toc28251"/>
      <w:r>
        <w:rPr>
          <w:rFonts w:hint="eastAsia" w:ascii="仿宋" w:eastAsia="仿宋" w:cs="仿宋"/>
          <w:sz w:val="24"/>
          <w:szCs w:val="24"/>
          <w:highlight w:val="none"/>
        </w:rPr>
        <w:t>（</w:t>
      </w:r>
      <w:r>
        <w:rPr>
          <w:rFonts w:hint="eastAsia" w:ascii="仿宋" w:eastAsia="仿宋" w:cs="仿宋"/>
          <w:sz w:val="24"/>
          <w:szCs w:val="24"/>
          <w:highlight w:val="none"/>
          <w:lang w:eastAsia="zh-CN"/>
        </w:rPr>
        <w:t>九</w:t>
      </w:r>
      <w:r>
        <w:rPr>
          <w:rFonts w:hint="eastAsia" w:ascii="仿宋" w:eastAsia="仿宋" w:cs="仿宋"/>
          <w:sz w:val="24"/>
          <w:szCs w:val="24"/>
          <w:highlight w:val="none"/>
        </w:rPr>
        <w:t>）其他重要事项</w:t>
      </w:r>
      <w:bookmarkEnd w:id="161"/>
      <w:bookmarkEnd w:id="16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1．招标文件内所附网络链接仅供参考，不保证其长期有效性。</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的投标费用自理。</w:t>
      </w:r>
    </w:p>
    <w:p>
      <w:pPr>
        <w:pStyle w:val="3"/>
        <w:spacing w:line="360" w:lineRule="auto"/>
        <w:ind w:firstLine="482"/>
        <w:rPr>
          <w:rFonts w:ascii="仿宋" w:hAnsi="仿宋" w:eastAsia="仿宋" w:cs="仿宋"/>
          <w:b/>
          <w:bCs/>
          <w:sz w:val="24"/>
          <w:szCs w:val="24"/>
          <w:highlight w:val="none"/>
        </w:rPr>
      </w:pPr>
      <w:bookmarkStart w:id="164" w:name="_Toc1114"/>
      <w:bookmarkStart w:id="165" w:name="_Toc4990"/>
      <w:r>
        <w:rPr>
          <w:rFonts w:hint="eastAsia" w:ascii="仿宋" w:hAnsi="仿宋" w:eastAsia="仿宋" w:cs="仿宋"/>
          <w:b/>
          <w:bCs/>
          <w:sz w:val="24"/>
          <w:szCs w:val="24"/>
          <w:highlight w:val="none"/>
        </w:rPr>
        <w:t>三、招标文件</w:t>
      </w:r>
      <w:bookmarkEnd w:id="164"/>
      <w:bookmarkEnd w:id="165"/>
    </w:p>
    <w:p>
      <w:pPr>
        <w:pStyle w:val="106"/>
        <w:spacing w:before="0" w:beforeLines="0" w:after="0" w:afterLines="0" w:line="360" w:lineRule="auto"/>
        <w:ind w:firstLine="482"/>
        <w:outlineLvl w:val="2"/>
        <w:rPr>
          <w:rFonts w:ascii="仿宋" w:eastAsia="仿宋" w:cs="仿宋"/>
          <w:sz w:val="24"/>
          <w:szCs w:val="24"/>
          <w:highlight w:val="none"/>
        </w:rPr>
      </w:pPr>
      <w:bookmarkStart w:id="166" w:name="_Toc12645"/>
      <w:bookmarkStart w:id="167" w:name="_Toc15925"/>
      <w:r>
        <w:rPr>
          <w:rFonts w:hint="eastAsia" w:ascii="仿宋" w:eastAsia="仿宋" w:cs="仿宋"/>
          <w:sz w:val="24"/>
          <w:szCs w:val="24"/>
          <w:highlight w:val="none"/>
        </w:rPr>
        <w:t>（一）招标文件的解释权</w:t>
      </w:r>
      <w:bookmarkEnd w:id="166"/>
      <w:bookmarkEnd w:id="16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本项目招标文件的解释权归采购代理机构，评标委员会成员应根据政府采购法律法规和招标文件所载明的评审方法、标准进行评审。</w:t>
      </w:r>
    </w:p>
    <w:p>
      <w:pPr>
        <w:pStyle w:val="106"/>
        <w:spacing w:before="0" w:beforeLines="0" w:after="0" w:afterLines="0" w:line="360" w:lineRule="auto"/>
        <w:ind w:firstLine="482"/>
        <w:outlineLvl w:val="2"/>
        <w:rPr>
          <w:rFonts w:ascii="仿宋" w:eastAsia="仿宋" w:cs="仿宋"/>
          <w:sz w:val="24"/>
          <w:szCs w:val="24"/>
          <w:highlight w:val="none"/>
        </w:rPr>
      </w:pPr>
      <w:bookmarkStart w:id="168" w:name="_Toc20642"/>
      <w:bookmarkStart w:id="169" w:name="_Toc24830"/>
      <w:r>
        <w:rPr>
          <w:rFonts w:hint="eastAsia" w:ascii="仿宋" w:eastAsia="仿宋" w:cs="仿宋"/>
          <w:sz w:val="24"/>
          <w:szCs w:val="24"/>
          <w:highlight w:val="none"/>
        </w:rPr>
        <w:t>（二）招标文件主要内容</w:t>
      </w:r>
      <w:bookmarkEnd w:id="168"/>
      <w:bookmarkEnd w:id="16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第1章  招标公告</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第2章  投标人须知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第3章  招标内容及要求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第4章  合同</w:t>
      </w:r>
      <w:r>
        <w:rPr>
          <w:rFonts w:hint="eastAsia" w:ascii="仿宋" w:hAnsi="仿宋" w:eastAsia="仿宋" w:cs="仿宋"/>
          <w:highlight w:val="none"/>
          <w:lang w:val="en-US" w:eastAsia="zh-CN"/>
        </w:rPr>
        <w:t>主要条款及格式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第5章  投标文件构成及格式</w:t>
      </w:r>
    </w:p>
    <w:p>
      <w:pPr>
        <w:pStyle w:val="106"/>
        <w:spacing w:before="0" w:beforeLines="0" w:after="0" w:afterLines="0" w:line="360" w:lineRule="auto"/>
        <w:ind w:firstLine="482"/>
        <w:outlineLvl w:val="2"/>
        <w:rPr>
          <w:rFonts w:ascii="仿宋" w:eastAsia="仿宋" w:cs="仿宋"/>
          <w:sz w:val="24"/>
          <w:szCs w:val="24"/>
          <w:highlight w:val="none"/>
        </w:rPr>
      </w:pPr>
      <w:bookmarkStart w:id="170" w:name="_Toc25985"/>
      <w:bookmarkStart w:id="171" w:name="_Toc24451"/>
      <w:r>
        <w:rPr>
          <w:rFonts w:hint="eastAsia" w:ascii="仿宋" w:eastAsia="仿宋" w:cs="仿宋"/>
          <w:sz w:val="24"/>
          <w:szCs w:val="24"/>
          <w:highlight w:val="none"/>
        </w:rPr>
        <w:t>（三）招标文件的检查及阅读</w:t>
      </w:r>
      <w:bookmarkEnd w:id="170"/>
      <w:bookmarkEnd w:id="17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应认真阅读和充分理解招标文件中所有的事项、格式条款和规范要求，在投标文件中对招标文件做出全面响应，并按招标文件的要求提交全部资料。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项目废标后重新组织招标的，采购代理机构将重新编制、发布新版招标文件，</w:t>
      </w:r>
      <w:r>
        <w:rPr>
          <w:rFonts w:hint="eastAsia" w:ascii="仿宋" w:hAnsi="仿宋" w:eastAsia="仿宋" w:cs="仿宋"/>
          <w:highlight w:val="none"/>
          <w:lang w:eastAsia="zh-CN"/>
        </w:rPr>
        <w:t>投标人</w:t>
      </w:r>
      <w:r>
        <w:rPr>
          <w:rFonts w:hint="eastAsia" w:ascii="仿宋" w:hAnsi="仿宋" w:eastAsia="仿宋" w:cs="仿宋"/>
          <w:highlight w:val="none"/>
        </w:rPr>
        <w:t>应按新版招标文件重新编制投标文件。原招标文件及投标文件失效。</w:t>
      </w:r>
    </w:p>
    <w:p>
      <w:pPr>
        <w:pStyle w:val="106"/>
        <w:spacing w:before="0" w:beforeLines="0" w:after="0" w:afterLines="0" w:line="360" w:lineRule="auto"/>
        <w:ind w:firstLine="482"/>
        <w:outlineLvl w:val="2"/>
        <w:rPr>
          <w:rFonts w:ascii="仿宋" w:eastAsia="仿宋" w:cs="仿宋"/>
          <w:sz w:val="24"/>
          <w:szCs w:val="24"/>
          <w:highlight w:val="none"/>
        </w:rPr>
      </w:pPr>
      <w:bookmarkStart w:id="172" w:name="_Toc70"/>
      <w:bookmarkStart w:id="173" w:name="_Toc24079"/>
      <w:r>
        <w:rPr>
          <w:rFonts w:hint="eastAsia" w:ascii="仿宋" w:eastAsia="仿宋" w:cs="仿宋"/>
          <w:sz w:val="24"/>
          <w:szCs w:val="24"/>
          <w:highlight w:val="none"/>
        </w:rPr>
        <w:t>（四）招标文件的修改、澄清</w:t>
      </w:r>
      <w:bookmarkEnd w:id="172"/>
      <w:bookmarkEnd w:id="17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1．提交投标文件截止之日前，采购人或采购代理机构可能对已发出的招标文件进行澄清或者修改，澄清或者修改的内容为招标文件的组成部分。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2．当需要澄清或修改时，采购代理机构将在提交投标文件截止之日15日前，在财政部门指定的“政府采购信息发布媒体”上发布变更公告；不足15日的，将顺延提交投标文件截止时间。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3．澄清或修改的内容可能影响投标文件编制时，采购代理机构将在发布变更公告的同时，提醒</w:t>
      </w:r>
      <w:r>
        <w:rPr>
          <w:rFonts w:hint="eastAsia" w:ascii="仿宋" w:hAnsi="仿宋" w:eastAsia="仿宋" w:cs="仿宋"/>
          <w:highlight w:val="none"/>
          <w:lang w:eastAsia="zh-CN"/>
        </w:rPr>
        <w:t>投标人</w:t>
      </w:r>
      <w:r>
        <w:rPr>
          <w:rFonts w:hint="eastAsia" w:ascii="仿宋" w:hAnsi="仿宋" w:eastAsia="仿宋" w:cs="仿宋"/>
          <w:highlight w:val="none"/>
        </w:rPr>
        <w:t>下载答疑文件（*.SXSCF，即更新后的电子招标文件）。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4．请各</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在提交投标文件截止时间之前，务必随时关注“政府采购信息发布媒体”上发布的变更公告，采购代理机构不再另行通知，因</w:t>
      </w:r>
      <w:r>
        <w:rPr>
          <w:rFonts w:hint="eastAsia" w:ascii="仿宋" w:hAnsi="仿宋" w:eastAsia="仿宋" w:cs="仿宋"/>
          <w:highlight w:val="none"/>
          <w:lang w:eastAsia="zh-CN"/>
        </w:rPr>
        <w:t>投标人</w:t>
      </w:r>
      <w:r>
        <w:rPr>
          <w:rFonts w:hint="eastAsia" w:ascii="仿宋" w:hAnsi="仿宋" w:eastAsia="仿宋" w:cs="仿宋"/>
          <w:highlight w:val="none"/>
        </w:rPr>
        <w:t>未及时关注所造成的一切后果由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）中的〖首页·〉信息公告·〉市级·〉西安市〗；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highlight w:val="none"/>
        </w:rPr>
        <w:fldChar w:fldCharType="begin"/>
      </w:r>
      <w:r>
        <w:rPr>
          <w:highlight w:val="none"/>
        </w:rPr>
        <w:instrText xml:space="preserve"> HYPERLINK "http://xa.sxggzyjy.cn/" </w:instrText>
      </w:r>
      <w:r>
        <w:rPr>
          <w:highlight w:val="none"/>
        </w:rPr>
        <w:fldChar w:fldCharType="separate"/>
      </w:r>
      <w:r>
        <w:rPr>
          <w:rStyle w:val="43"/>
          <w:rFonts w:hint="eastAsia" w:ascii="仿宋" w:hAnsi="仿宋" w:eastAsia="仿宋" w:cs="仿宋"/>
          <w:color w:val="auto"/>
          <w:highlight w:val="none"/>
          <w:u w:val="none"/>
        </w:rPr>
        <w:t>全国公共资源交易网（陕西省·西安市）</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"http://sxggzyjy.xa.gov.cn/" </w:instrText>
      </w:r>
      <w:r>
        <w:rPr>
          <w:highlight w:val="none"/>
        </w:rPr>
        <w:fldChar w:fldCharType="separate"/>
      </w:r>
      <w:r>
        <w:rPr>
          <w:rStyle w:val="43"/>
          <w:rFonts w:hint="eastAsia" w:ascii="仿宋" w:hAnsi="仿宋" w:eastAsia="仿宋" w:cs="仿宋"/>
          <w:color w:val="auto"/>
          <w:highlight w:val="none"/>
          <w:u w:val="none"/>
        </w:rPr>
        <w:t>http://sxggzyjy.xa.gov.cn/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）中的〖首页·〉交易大厅·〉政府采购〗。</w:t>
      </w:r>
    </w:p>
    <w:p>
      <w:pPr>
        <w:pStyle w:val="3"/>
        <w:spacing w:line="360" w:lineRule="auto"/>
        <w:ind w:firstLine="482"/>
        <w:rPr>
          <w:rFonts w:ascii="仿宋" w:hAnsi="仿宋" w:eastAsia="仿宋" w:cs="仿宋"/>
          <w:b/>
          <w:bCs/>
          <w:sz w:val="24"/>
          <w:szCs w:val="24"/>
          <w:highlight w:val="none"/>
        </w:rPr>
      </w:pPr>
      <w:bookmarkStart w:id="174" w:name="_Toc25107"/>
      <w:bookmarkStart w:id="175" w:name="_Toc5689"/>
      <w:r>
        <w:rPr>
          <w:rFonts w:hint="eastAsia" w:ascii="仿宋" w:hAnsi="仿宋" w:eastAsia="仿宋" w:cs="仿宋"/>
          <w:b/>
          <w:bCs/>
          <w:sz w:val="24"/>
          <w:szCs w:val="24"/>
          <w:highlight w:val="none"/>
        </w:rPr>
        <w:t>四、投标文件</w:t>
      </w:r>
      <w:bookmarkEnd w:id="174"/>
      <w:bookmarkEnd w:id="175"/>
    </w:p>
    <w:p>
      <w:pPr>
        <w:pStyle w:val="106"/>
        <w:spacing w:before="0" w:beforeLines="0" w:after="0" w:afterLines="0" w:line="360" w:lineRule="auto"/>
        <w:ind w:firstLine="482"/>
        <w:outlineLvl w:val="2"/>
        <w:rPr>
          <w:rFonts w:ascii="仿宋" w:eastAsia="仿宋" w:cs="仿宋"/>
          <w:sz w:val="24"/>
          <w:szCs w:val="24"/>
          <w:highlight w:val="none"/>
        </w:rPr>
      </w:pPr>
      <w:bookmarkStart w:id="176" w:name="_Toc17437"/>
      <w:bookmarkStart w:id="177" w:name="_Toc4972"/>
      <w:r>
        <w:rPr>
          <w:rFonts w:hint="eastAsia" w:ascii="仿宋" w:eastAsia="仿宋" w:cs="仿宋"/>
          <w:sz w:val="24"/>
          <w:szCs w:val="24"/>
          <w:highlight w:val="none"/>
        </w:rPr>
        <w:t>（一）投标文件的式样</w:t>
      </w:r>
      <w:bookmarkEnd w:id="176"/>
      <w:bookmarkEnd w:id="177"/>
    </w:p>
    <w:p>
      <w:pPr>
        <w:pStyle w:val="105"/>
        <w:spacing w:line="360" w:lineRule="auto"/>
        <w:ind w:firstLine="482" w:firstLineChars="200"/>
        <w:jc w:val="both"/>
        <w:outlineLvl w:val="3"/>
        <w:rPr>
          <w:rFonts w:ascii="仿宋" w:eastAsia="仿宋" w:cs="仿宋"/>
          <w:b/>
          <w:bCs/>
          <w:sz w:val="24"/>
          <w:szCs w:val="24"/>
          <w:highlight w:val="none"/>
        </w:rPr>
      </w:pPr>
      <w:bookmarkStart w:id="178" w:name="_Toc27743"/>
      <w:bookmarkStart w:id="179" w:name="_Toc27080"/>
      <w:bookmarkStart w:id="180" w:name="_Toc32318"/>
      <w:bookmarkStart w:id="181" w:name="_Toc4076"/>
      <w:bookmarkStart w:id="182" w:name="_Toc29947"/>
      <w:bookmarkStart w:id="183" w:name="_Toc23397"/>
      <w:bookmarkStart w:id="184" w:name="_Toc8678"/>
      <w:bookmarkStart w:id="185" w:name="_Toc30470"/>
      <w:bookmarkStart w:id="186" w:name="_Toc5505"/>
      <w:bookmarkStart w:id="187" w:name="_Toc17948"/>
      <w:bookmarkStart w:id="188" w:name="_Toc11528"/>
      <w:bookmarkStart w:id="189" w:name="_Toc29669"/>
      <w:bookmarkStart w:id="190" w:name="_Toc15008"/>
      <w:r>
        <w:rPr>
          <w:rFonts w:hint="eastAsia" w:ascii="仿宋" w:eastAsia="仿宋" w:cs="仿宋"/>
          <w:b/>
          <w:bCs/>
          <w:sz w:val="24"/>
          <w:szCs w:val="24"/>
          <w:highlight w:val="none"/>
        </w:rPr>
        <w:t>1．组成及格式</w:t>
      </w:r>
      <w:bookmarkEnd w:id="178"/>
      <w:bookmarkEnd w:id="179"/>
      <w:bookmarkEnd w:id="180"/>
      <w:bookmarkEnd w:id="181"/>
      <w:bookmarkEnd w:id="182"/>
      <w:bookmarkEnd w:id="183"/>
      <w:bookmarkEnd w:id="184"/>
      <w:bookmarkEnd w:id="185"/>
      <w:bookmarkEnd w:id="186"/>
      <w:bookmarkEnd w:id="187"/>
      <w:bookmarkEnd w:id="188"/>
      <w:bookmarkEnd w:id="189"/>
      <w:bookmarkEnd w:id="1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依照招标文件第五章《投标文件构成及格式》给定形式进行编制投标文件。项目分标段的，应按所投标段分别准备投标文件。</w:t>
      </w:r>
    </w:p>
    <w:p>
      <w:pPr>
        <w:pStyle w:val="105"/>
        <w:spacing w:line="360" w:lineRule="auto"/>
        <w:ind w:firstLine="482" w:firstLineChars="200"/>
        <w:jc w:val="both"/>
        <w:outlineLvl w:val="3"/>
        <w:rPr>
          <w:rFonts w:ascii="仿宋" w:eastAsia="仿宋" w:cs="仿宋"/>
          <w:sz w:val="24"/>
          <w:szCs w:val="24"/>
          <w:highlight w:val="none"/>
        </w:rPr>
      </w:pPr>
      <w:bookmarkStart w:id="191" w:name="_Toc13674"/>
      <w:bookmarkStart w:id="192" w:name="_Toc1363"/>
      <w:bookmarkStart w:id="193" w:name="_Toc18630"/>
      <w:bookmarkStart w:id="194" w:name="_Toc12431"/>
      <w:bookmarkStart w:id="195" w:name="_Toc25123"/>
      <w:bookmarkStart w:id="196" w:name="_Toc10244"/>
      <w:bookmarkStart w:id="197" w:name="_Toc28186"/>
      <w:bookmarkStart w:id="198" w:name="_Toc11993"/>
      <w:bookmarkStart w:id="199" w:name="_Toc19980"/>
      <w:bookmarkStart w:id="200" w:name="_Toc7221"/>
      <w:bookmarkStart w:id="201" w:name="_Toc27450"/>
      <w:bookmarkStart w:id="202" w:name="_Toc5804"/>
      <w:r>
        <w:rPr>
          <w:rFonts w:hint="eastAsia" w:ascii="仿宋" w:eastAsia="仿宋" w:cs="仿宋"/>
          <w:b/>
          <w:bCs/>
          <w:sz w:val="24"/>
          <w:szCs w:val="24"/>
          <w:highlight w:val="none"/>
        </w:rPr>
        <w:t>2．语言</w:t>
      </w:r>
      <w:bookmarkEnd w:id="191"/>
      <w:bookmarkEnd w:id="192"/>
      <w:bookmarkEnd w:id="193"/>
      <w:bookmarkEnd w:id="194"/>
      <w:bookmarkEnd w:id="195"/>
      <w:bookmarkEnd w:id="196"/>
      <w:bookmarkEnd w:id="197"/>
      <w:bookmarkEnd w:id="198"/>
      <w:bookmarkEnd w:id="199"/>
      <w:bookmarkEnd w:id="200"/>
      <w:bookmarkEnd w:id="201"/>
      <w:bookmarkEnd w:id="2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招标活动的所有文件、资料、函电文字均使用简体中文，确需提交用其他语言形成的资料，必须翻译成简体中文，如有差异，以简体中文为准。</w:t>
      </w:r>
    </w:p>
    <w:p>
      <w:pPr>
        <w:pStyle w:val="105"/>
        <w:spacing w:line="360" w:lineRule="auto"/>
        <w:ind w:firstLine="482" w:firstLineChars="200"/>
        <w:jc w:val="both"/>
        <w:outlineLvl w:val="3"/>
        <w:rPr>
          <w:rFonts w:ascii="仿宋" w:eastAsia="仿宋" w:cs="仿宋"/>
          <w:b/>
          <w:bCs/>
          <w:sz w:val="24"/>
          <w:szCs w:val="24"/>
          <w:highlight w:val="none"/>
        </w:rPr>
      </w:pPr>
      <w:bookmarkStart w:id="203" w:name="_Toc5232"/>
      <w:bookmarkStart w:id="204" w:name="_Toc19044"/>
      <w:bookmarkStart w:id="205" w:name="_Toc27447"/>
      <w:bookmarkStart w:id="206" w:name="_Toc3501"/>
      <w:bookmarkStart w:id="207" w:name="_Toc10000"/>
      <w:bookmarkStart w:id="208" w:name="_Toc31310"/>
      <w:bookmarkStart w:id="209" w:name="_Toc31506"/>
      <w:bookmarkStart w:id="210" w:name="_Toc22186"/>
      <w:bookmarkStart w:id="211" w:name="_Toc29446"/>
      <w:bookmarkStart w:id="212" w:name="_Toc32489"/>
      <w:bookmarkStart w:id="213" w:name="_Toc17671"/>
      <w:bookmarkStart w:id="214" w:name="_Toc27099"/>
      <w:bookmarkStart w:id="215" w:name="_Toc27340"/>
      <w:r>
        <w:rPr>
          <w:rFonts w:hint="eastAsia" w:ascii="仿宋" w:eastAsia="仿宋" w:cs="仿宋"/>
          <w:b/>
          <w:bCs/>
          <w:sz w:val="24"/>
          <w:szCs w:val="24"/>
          <w:highlight w:val="none"/>
        </w:rPr>
        <w:t>3．计量单位</w:t>
      </w:r>
      <w:bookmarkEnd w:id="203"/>
      <w:bookmarkEnd w:id="204"/>
      <w:bookmarkEnd w:id="205"/>
      <w:bookmarkEnd w:id="206"/>
      <w:bookmarkEnd w:id="207"/>
      <w:bookmarkEnd w:id="208"/>
      <w:bookmarkEnd w:id="209"/>
      <w:bookmarkEnd w:id="210"/>
      <w:bookmarkEnd w:id="211"/>
      <w:bookmarkEnd w:id="212"/>
      <w:bookmarkEnd w:id="213"/>
      <w:bookmarkEnd w:id="214"/>
      <w:bookmarkEnd w:id="2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投标文件的计量单位应使用中华人民共和国法定计量单位，但招标文件另有规定的除外。</w:t>
      </w:r>
    </w:p>
    <w:p>
      <w:pPr>
        <w:pStyle w:val="106"/>
        <w:spacing w:before="0" w:beforeLines="0" w:after="0" w:afterLines="0" w:line="360" w:lineRule="auto"/>
        <w:ind w:firstLine="482"/>
        <w:outlineLvl w:val="2"/>
        <w:rPr>
          <w:rFonts w:ascii="仿宋" w:eastAsia="仿宋" w:cs="仿宋"/>
          <w:sz w:val="24"/>
          <w:szCs w:val="24"/>
          <w:highlight w:val="none"/>
        </w:rPr>
      </w:pPr>
      <w:bookmarkStart w:id="216" w:name="_Toc2327"/>
      <w:bookmarkStart w:id="217" w:name="_Toc10396"/>
      <w:r>
        <w:rPr>
          <w:rFonts w:hint="eastAsia" w:ascii="仿宋" w:eastAsia="仿宋" w:cs="仿宋"/>
          <w:sz w:val="24"/>
          <w:szCs w:val="24"/>
          <w:highlight w:val="none"/>
        </w:rPr>
        <w:t>（二）投标文件的有效期</w:t>
      </w:r>
      <w:bookmarkEnd w:id="216"/>
      <w:bookmarkEnd w:id="2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投标文件有效期为自开标之日起不少于90个日历日。如中标，延长至合同执行完毕时止。</w:t>
      </w:r>
    </w:p>
    <w:p>
      <w:pPr>
        <w:pStyle w:val="106"/>
        <w:spacing w:before="0" w:beforeLines="0" w:after="0" w:afterLines="0" w:line="360" w:lineRule="auto"/>
        <w:ind w:firstLine="482"/>
        <w:outlineLvl w:val="2"/>
        <w:rPr>
          <w:rFonts w:ascii="仿宋" w:eastAsia="仿宋" w:cs="仿宋"/>
          <w:sz w:val="24"/>
          <w:szCs w:val="24"/>
          <w:highlight w:val="none"/>
        </w:rPr>
      </w:pPr>
      <w:bookmarkStart w:id="218" w:name="_Toc3341"/>
      <w:bookmarkStart w:id="219" w:name="_Toc12303"/>
      <w:r>
        <w:rPr>
          <w:rFonts w:hint="eastAsia" w:ascii="仿宋" w:eastAsia="仿宋" w:cs="仿宋"/>
          <w:sz w:val="24"/>
          <w:szCs w:val="24"/>
          <w:highlight w:val="none"/>
        </w:rPr>
        <w:t>（三）投标报价</w:t>
      </w:r>
      <w:bookmarkEnd w:id="218"/>
      <w:bookmarkEnd w:id="2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投标报价是</w:t>
      </w:r>
      <w:r>
        <w:rPr>
          <w:rFonts w:hint="eastAsia" w:ascii="仿宋" w:hAnsi="仿宋" w:eastAsia="仿宋" w:cs="仿宋"/>
          <w:highlight w:val="none"/>
          <w:lang w:eastAsia="zh-CN"/>
        </w:rPr>
        <w:t>投标人</w:t>
      </w:r>
      <w:r>
        <w:rPr>
          <w:rFonts w:hint="eastAsia" w:ascii="仿宋" w:hAnsi="仿宋" w:eastAsia="仿宋" w:cs="仿宋"/>
          <w:highlight w:val="none"/>
        </w:rPr>
        <w:t>响应采购项目要求的全部工作内容的价格体现，包括完成采购内容所需的直接费、间接费、利润、税金及其它相关的一切费用。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在报价时应充分考虑所有可能发生的费用，招标文件未列明，而</w:t>
      </w:r>
      <w:r>
        <w:rPr>
          <w:rFonts w:hint="eastAsia" w:ascii="仿宋" w:hAnsi="仿宋" w:eastAsia="仿宋" w:cs="仿宋"/>
          <w:highlight w:val="none"/>
          <w:lang w:eastAsia="zh-CN"/>
        </w:rPr>
        <w:t>投标人</w:t>
      </w:r>
      <w:r>
        <w:rPr>
          <w:rFonts w:hint="eastAsia" w:ascii="仿宋" w:hAnsi="仿宋" w:eastAsia="仿宋" w:cs="仿宋"/>
          <w:highlight w:val="none"/>
        </w:rPr>
        <w:t>认为应当计取的费用均应列入报价中。报价时不论是否计取，采购人均按已计取对待。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应严格按照招标文件相关要求填写开标一览表及其他需要响应的内容。投标报价只能提交唯一报价，任何有选择的报价将不予接受，按无效投标处理。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3．投标报价货币：人民币；单位：元。</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4．投标文件报价出现前后不一致的，除招标文件另有规定外，按照下列规则修正：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（1）投标文件中开标一览表内容与投标文件中其他位置相应内容表述不一致的，以开标一览表为准；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（2）大写金额和小写金额不一致的，以大写金额为准；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（3）单价金额小数点或者百分比有明显错位的，以开标一览表的总价为准，并修改单价；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（4）总价金额与按单价汇总金额不一致的，以单价金额计算结果为准。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同时出现两种以上不一致的，按照前款规定的顺序修正。修正后的报价经</w:t>
      </w:r>
      <w:r>
        <w:rPr>
          <w:rFonts w:hint="eastAsia" w:ascii="仿宋" w:hAnsi="仿宋" w:eastAsia="仿宋" w:cs="仿宋"/>
          <w:highlight w:val="none"/>
          <w:lang w:eastAsia="zh-CN"/>
        </w:rPr>
        <w:t>投标人</w:t>
      </w:r>
      <w:r>
        <w:rPr>
          <w:rFonts w:hint="eastAsia" w:ascii="仿宋" w:hAnsi="仿宋" w:eastAsia="仿宋" w:cs="仿宋"/>
          <w:highlight w:val="none"/>
        </w:rPr>
        <w:t>确认后产生约束力，</w:t>
      </w:r>
      <w:r>
        <w:rPr>
          <w:rFonts w:hint="eastAsia" w:ascii="仿宋" w:hAnsi="仿宋" w:eastAsia="仿宋" w:cs="仿宋"/>
          <w:highlight w:val="none"/>
          <w:lang w:eastAsia="zh-CN"/>
        </w:rPr>
        <w:t>投标人</w:t>
      </w:r>
      <w:r>
        <w:rPr>
          <w:rFonts w:hint="eastAsia" w:ascii="仿宋" w:hAnsi="仿宋" w:eastAsia="仿宋" w:cs="仿宋"/>
          <w:highlight w:val="none"/>
        </w:rPr>
        <w:t>不确认的，其投标无效。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5．因</w:t>
      </w:r>
      <w:r>
        <w:rPr>
          <w:rFonts w:hint="eastAsia" w:ascii="仿宋" w:hAnsi="仿宋" w:eastAsia="仿宋" w:cs="仿宋"/>
          <w:highlight w:val="none"/>
          <w:lang w:eastAsia="zh-CN"/>
        </w:rPr>
        <w:t>投标人</w:t>
      </w:r>
      <w:r>
        <w:rPr>
          <w:rFonts w:hint="eastAsia" w:ascii="仿宋" w:hAnsi="仿宋" w:eastAsia="仿宋" w:cs="仿宋"/>
          <w:highlight w:val="none"/>
        </w:rPr>
        <w:t>对招标文件理解不透、误解、疏漏或对市场行情了解不清造成的后果和风险，均由</w:t>
      </w:r>
      <w:r>
        <w:rPr>
          <w:rFonts w:hint="eastAsia" w:ascii="仿宋" w:hAnsi="仿宋" w:eastAsia="仿宋" w:cs="仿宋"/>
          <w:highlight w:val="none"/>
          <w:lang w:eastAsia="zh-CN"/>
        </w:rPr>
        <w:t>投标人</w:t>
      </w:r>
      <w:r>
        <w:rPr>
          <w:rFonts w:hint="eastAsia" w:ascii="仿宋" w:hAnsi="仿宋" w:eastAsia="仿宋" w:cs="仿宋"/>
          <w:highlight w:val="none"/>
        </w:rPr>
        <w:t>自己负责。</w:t>
      </w:r>
    </w:p>
    <w:p>
      <w:pPr>
        <w:pStyle w:val="106"/>
        <w:spacing w:before="0" w:beforeLines="0" w:after="0" w:afterLines="0" w:line="360" w:lineRule="auto"/>
        <w:ind w:firstLine="482"/>
        <w:outlineLvl w:val="2"/>
        <w:rPr>
          <w:rFonts w:ascii="仿宋" w:eastAsia="仿宋" w:cs="仿宋"/>
          <w:sz w:val="24"/>
          <w:szCs w:val="24"/>
          <w:highlight w:val="none"/>
        </w:rPr>
      </w:pPr>
      <w:bookmarkStart w:id="220" w:name="_Toc14492"/>
      <w:bookmarkStart w:id="221" w:name="_Toc28026"/>
      <w:r>
        <w:rPr>
          <w:rFonts w:hint="eastAsia" w:ascii="仿宋" w:eastAsia="仿宋" w:cs="仿宋"/>
          <w:sz w:val="24"/>
          <w:szCs w:val="24"/>
          <w:highlight w:val="none"/>
        </w:rPr>
        <w:t>（四）投标文件的制作和签章</w:t>
      </w:r>
      <w:bookmarkEnd w:id="220"/>
      <w:bookmarkEnd w:id="2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再次提醒：提交投标文件截止时间前，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应随时留意“政府采购信息发布媒体”上可能发布的变更公告。若变更公告中明确注明本项目伴有变更文件的，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3．电子投标文件制作过程中，需要法定代表人签字或盖章的地方，请使用“法人CA锁”进行签章；需要加盖</w:t>
      </w:r>
      <w:r>
        <w:rPr>
          <w:rFonts w:hint="eastAsia" w:ascii="仿宋" w:hAnsi="仿宋" w:eastAsia="仿宋" w:cs="仿宋"/>
          <w:highlight w:val="none"/>
          <w:lang w:eastAsia="zh-CN"/>
        </w:rPr>
        <w:t>投标人</w:t>
      </w:r>
      <w:r>
        <w:rPr>
          <w:rFonts w:hint="eastAsia" w:ascii="仿宋" w:hAnsi="仿宋" w:eastAsia="仿宋" w:cs="仿宋"/>
          <w:highlight w:val="none"/>
        </w:rPr>
        <w:t>公章的地方，请使用“企业CA锁”进行签章。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pPr>
        <w:pStyle w:val="106"/>
        <w:spacing w:before="0" w:beforeLines="0" w:after="0" w:afterLines="0" w:line="360" w:lineRule="auto"/>
        <w:ind w:firstLine="482"/>
        <w:outlineLvl w:val="2"/>
        <w:rPr>
          <w:rFonts w:ascii="仿宋" w:eastAsia="仿宋" w:cs="仿宋"/>
          <w:sz w:val="24"/>
          <w:szCs w:val="24"/>
          <w:highlight w:val="none"/>
        </w:rPr>
      </w:pPr>
      <w:bookmarkStart w:id="222" w:name="_Toc25639"/>
      <w:bookmarkStart w:id="223" w:name="_Toc25029"/>
      <w:r>
        <w:rPr>
          <w:rFonts w:hint="eastAsia" w:ascii="仿宋" w:eastAsia="仿宋" w:cs="仿宋"/>
          <w:sz w:val="24"/>
          <w:szCs w:val="24"/>
          <w:highlight w:val="none"/>
        </w:rPr>
        <w:t>（五）投标文件的加密和提交</w:t>
      </w:r>
      <w:bookmarkEnd w:id="222"/>
      <w:bookmarkEnd w:id="22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1．在生成电子投标文件时，需要使用CA锁对投标文件进行加密。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注意：加密投标文件和开标时解密投标文件应当使用同一CA，否则将会导致解密失败。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电子投标文件可于提交投标文件截止时间前任意时段，登录西安市公共资源交易平台〖首页·〉电子交易平台·〉企业端〗，登录后切换到〖我的项目〗模块下，依次点选〖项目流程·〉项目管理·〉上传投标文件〗，上传加密后的电子投标文件（*.SXSTF）。上传成功后，西安市公共资源交易平台政府采购系统将予以记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3．上传文件有误或需要重新提交的，可先撤销已经上传的文件，然后重新上传新文件。</w:t>
      </w:r>
    </w:p>
    <w:p>
      <w:pPr>
        <w:pStyle w:val="106"/>
        <w:spacing w:before="0" w:beforeLines="0" w:after="0" w:afterLines="0" w:line="360" w:lineRule="auto"/>
        <w:ind w:firstLine="482"/>
        <w:outlineLvl w:val="2"/>
        <w:rPr>
          <w:rFonts w:ascii="仿宋" w:eastAsia="仿宋" w:cs="仿宋"/>
          <w:sz w:val="24"/>
          <w:szCs w:val="24"/>
          <w:highlight w:val="none"/>
        </w:rPr>
      </w:pPr>
      <w:bookmarkStart w:id="224" w:name="_Toc11337"/>
      <w:bookmarkStart w:id="225" w:name="_Toc13492"/>
      <w:r>
        <w:rPr>
          <w:rFonts w:hint="eastAsia" w:ascii="仿宋" w:eastAsia="仿宋" w:cs="仿宋"/>
          <w:sz w:val="24"/>
          <w:szCs w:val="24"/>
          <w:highlight w:val="none"/>
        </w:rPr>
        <w:t>（六）投标文件的补充、修改和撤回</w:t>
      </w:r>
      <w:bookmarkEnd w:id="224"/>
      <w:bookmarkEnd w:id="2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在提交投标文件截止时间后，撤回投标文件的，投标保证金不予退还。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pPr>
        <w:pStyle w:val="106"/>
        <w:spacing w:before="0" w:beforeLines="0" w:after="0" w:afterLines="0" w:line="360" w:lineRule="auto"/>
        <w:ind w:firstLine="482"/>
        <w:outlineLvl w:val="2"/>
        <w:rPr>
          <w:rFonts w:ascii="仿宋" w:eastAsia="仿宋" w:cs="仿宋"/>
          <w:sz w:val="24"/>
          <w:szCs w:val="24"/>
          <w:highlight w:val="none"/>
        </w:rPr>
      </w:pPr>
      <w:bookmarkStart w:id="226" w:name="_Toc28674"/>
      <w:bookmarkStart w:id="227" w:name="_Toc3958"/>
      <w:r>
        <w:rPr>
          <w:rFonts w:hint="eastAsia" w:ascii="仿宋" w:eastAsia="仿宋" w:cs="仿宋"/>
          <w:sz w:val="24"/>
          <w:szCs w:val="24"/>
          <w:highlight w:val="none"/>
        </w:rPr>
        <w:t>（七）关于投标文件的雷同性分析</w:t>
      </w:r>
      <w:bookmarkEnd w:id="226"/>
      <w:bookmarkEnd w:id="2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根据陕西省公共资源交易中心印发的《关于在政府采购交易系统中开通标书雷同性分析功能的通知》，在符合性审查环节，将由评标委员会在评标系统中对</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的电子投标文件进行雷同性分析。</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若“文件制作机器码”一致，则表明不同投标</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的电子投标文件出自同一台制作设备，根据《陕西省财政厅关于政府采购有关政策的复函》（陕财办采函〔2019〕18号），该情形可以视为投标</w:t>
      </w:r>
      <w:r>
        <w:rPr>
          <w:rFonts w:hint="eastAsia" w:ascii="仿宋" w:hAnsi="仿宋" w:eastAsia="仿宋" w:cs="仿宋"/>
          <w:highlight w:val="none"/>
          <w:lang w:eastAsia="zh-CN"/>
        </w:rPr>
        <w:t>投标人</w:t>
      </w:r>
      <w:r>
        <w:rPr>
          <w:rFonts w:hint="eastAsia" w:ascii="仿宋" w:hAnsi="仿宋" w:eastAsia="仿宋" w:cs="仿宋"/>
          <w:highlight w:val="none"/>
        </w:rPr>
        <w:t>串通投标，其投标无效。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若“文件创建标识码”一致，则表示不同投标</w:t>
      </w:r>
      <w:r>
        <w:rPr>
          <w:rFonts w:hint="eastAsia" w:ascii="仿宋" w:hAnsi="仿宋" w:eastAsia="仿宋" w:cs="仿宋"/>
          <w:highlight w:val="none"/>
          <w:lang w:eastAsia="zh-CN"/>
        </w:rPr>
        <w:t>投标人</w:t>
      </w:r>
      <w:r>
        <w:rPr>
          <w:rFonts w:hint="eastAsia" w:ascii="仿宋" w:hAnsi="仿宋" w:eastAsia="仿宋" w:cs="仿宋"/>
          <w:highlight w:val="none"/>
        </w:rPr>
        <w:t>使用投标文件制作软件时，使用同一源工程文件，该情形建议由评标委员会结合项目情况综合判定。</w:t>
      </w:r>
    </w:p>
    <w:p>
      <w:pPr>
        <w:pStyle w:val="106"/>
        <w:spacing w:before="0" w:beforeLines="0" w:after="0" w:afterLines="0" w:line="360" w:lineRule="auto"/>
        <w:ind w:firstLine="482"/>
        <w:outlineLvl w:val="2"/>
        <w:rPr>
          <w:rFonts w:ascii="仿宋" w:eastAsia="仿宋" w:cs="仿宋"/>
          <w:sz w:val="24"/>
          <w:szCs w:val="24"/>
          <w:highlight w:val="none"/>
        </w:rPr>
      </w:pPr>
      <w:bookmarkStart w:id="228" w:name="_Toc8119"/>
      <w:bookmarkStart w:id="229" w:name="_Toc5924"/>
      <w:r>
        <w:rPr>
          <w:rFonts w:hint="eastAsia" w:ascii="仿宋" w:eastAsia="仿宋" w:cs="仿宋"/>
          <w:sz w:val="24"/>
          <w:szCs w:val="24"/>
          <w:highlight w:val="none"/>
        </w:rPr>
        <w:t>（八）投标文件被拒绝接收的情形</w:t>
      </w:r>
      <w:bookmarkEnd w:id="228"/>
      <w:bookmarkEnd w:id="2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1．误投的或采用旧版电子招标文件制作的；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2．逾期提交电子投标文件的。</w:t>
      </w:r>
    </w:p>
    <w:p>
      <w:pPr>
        <w:spacing w:line="360" w:lineRule="auto"/>
        <w:ind w:firstLine="482" w:firstLineChars="200"/>
        <w:jc w:val="both"/>
        <w:outlineLvl w:val="1"/>
        <w:rPr>
          <w:rFonts w:ascii="仿宋" w:hAnsi="仿宋" w:eastAsia="仿宋" w:cs="仿宋"/>
          <w:b/>
          <w:bCs/>
          <w:highlight w:val="none"/>
        </w:rPr>
      </w:pPr>
      <w:bookmarkStart w:id="230" w:name="_Toc31690"/>
      <w:bookmarkStart w:id="231" w:name="_Toc14030"/>
      <w:r>
        <w:rPr>
          <w:rFonts w:hint="eastAsia" w:ascii="仿宋" w:hAnsi="仿宋" w:eastAsia="仿宋" w:cs="仿宋"/>
          <w:b/>
          <w:bCs/>
          <w:highlight w:val="none"/>
        </w:rPr>
        <w:t>五、开标程序</w:t>
      </w:r>
      <w:bookmarkEnd w:id="230"/>
      <w:bookmarkEnd w:id="2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开标工作由采购代理机构组织实施，整个过程受同级政府采购监管机构的监督、管理。</w:t>
      </w:r>
    </w:p>
    <w:p>
      <w:pPr>
        <w:pStyle w:val="106"/>
        <w:spacing w:before="0" w:beforeLines="0" w:after="0" w:afterLines="0" w:line="360" w:lineRule="auto"/>
        <w:ind w:firstLine="482"/>
        <w:outlineLvl w:val="2"/>
        <w:rPr>
          <w:rFonts w:ascii="仿宋" w:eastAsia="仿宋" w:cs="仿宋"/>
          <w:sz w:val="24"/>
          <w:szCs w:val="24"/>
          <w:highlight w:val="none"/>
        </w:rPr>
      </w:pPr>
      <w:bookmarkStart w:id="232" w:name="_Toc21118"/>
      <w:bookmarkStart w:id="233" w:name="_Toc30734"/>
      <w:r>
        <w:rPr>
          <w:rFonts w:hint="eastAsia" w:ascii="仿宋" w:eastAsia="仿宋" w:cs="仿宋"/>
          <w:sz w:val="24"/>
          <w:szCs w:val="24"/>
          <w:highlight w:val="none"/>
        </w:rPr>
        <w:t>（一）“不见面开标”基本流程</w:t>
      </w:r>
      <w:bookmarkEnd w:id="232"/>
      <w:bookmarkEnd w:id="23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“不见面开标”是依托政府采购云平台实现的</w:t>
      </w:r>
      <w:r>
        <w:rPr>
          <w:rFonts w:hint="eastAsia" w:ascii="仿宋" w:hAnsi="仿宋" w:eastAsia="仿宋" w:cs="仿宋"/>
          <w:highlight w:val="none"/>
          <w:lang w:eastAsia="zh-CN"/>
        </w:rPr>
        <w:t>投标人</w:t>
      </w:r>
      <w:r>
        <w:rPr>
          <w:rFonts w:hint="eastAsia" w:ascii="仿宋" w:hAnsi="仿宋" w:eastAsia="仿宋" w:cs="仿宋"/>
          <w:highlight w:val="none"/>
        </w:rPr>
        <w:t>在线参与开标的一种组织形式。</w:t>
      </w:r>
      <w:r>
        <w:rPr>
          <w:rFonts w:hint="eastAsia" w:ascii="仿宋" w:hAnsi="仿宋" w:eastAsia="仿宋" w:cs="仿宋"/>
          <w:highlight w:val="none"/>
          <w:lang w:eastAsia="zh-CN"/>
        </w:rPr>
        <w:t>投标人</w:t>
      </w:r>
      <w:r>
        <w:rPr>
          <w:rFonts w:hint="eastAsia" w:ascii="仿宋" w:hAnsi="仿宋" w:eastAsia="仿宋" w:cs="仿宋"/>
          <w:highlight w:val="none"/>
        </w:rPr>
        <w:t>无需抵达开标现场，即可在线实现开标、解密、澄清等操作。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登录：开标前，请各</w:t>
      </w:r>
      <w:r>
        <w:rPr>
          <w:rFonts w:hint="eastAsia" w:ascii="仿宋" w:hAnsi="仿宋" w:eastAsia="仿宋" w:cs="仿宋"/>
          <w:highlight w:val="none"/>
          <w:lang w:eastAsia="zh-CN"/>
        </w:rPr>
        <w:t>投标人</w:t>
      </w:r>
      <w:r>
        <w:rPr>
          <w:rFonts w:hint="eastAsia" w:ascii="仿宋" w:hAnsi="仿宋" w:eastAsia="仿宋" w:cs="仿宋"/>
          <w:highlight w:val="none"/>
        </w:rPr>
        <w:t>至少提前半小时登录西安市公共资源交易平台〖首页·〉不见面开标〗系统。</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2．主持人宣布开标：提交投标文件截止时间过后，系统将不再接收任何投标文件。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3．解密投标文件：</w:t>
      </w:r>
      <w:r>
        <w:rPr>
          <w:rFonts w:hint="eastAsia" w:ascii="仿宋" w:hAnsi="仿宋" w:eastAsia="仿宋" w:cs="仿宋"/>
          <w:highlight w:val="none"/>
          <w:lang w:eastAsia="zh-CN"/>
        </w:rPr>
        <w:t>投标人</w:t>
      </w:r>
      <w:r>
        <w:rPr>
          <w:rFonts w:hint="eastAsia" w:ascii="仿宋" w:hAnsi="仿宋" w:eastAsia="仿宋" w:cs="仿宋"/>
          <w:highlight w:val="none"/>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仿宋" w:hAnsi="仿宋" w:eastAsia="仿宋" w:cs="仿宋"/>
          <w:highlight w:val="none"/>
          <w:lang w:eastAsia="zh-CN"/>
        </w:rPr>
        <w:t>投标人</w:t>
      </w:r>
      <w:r>
        <w:rPr>
          <w:rFonts w:hint="eastAsia" w:ascii="仿宋" w:hAnsi="仿宋" w:eastAsia="仿宋" w:cs="仿宋"/>
          <w:highlight w:val="none"/>
        </w:rPr>
        <w:t>应在规定的解密时间内完成解密。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4．唱标：对于公开招标项目，“不见面开标”系统将自动展示</w:t>
      </w:r>
      <w:r>
        <w:rPr>
          <w:rFonts w:hint="eastAsia" w:ascii="仿宋" w:hAnsi="仿宋" w:eastAsia="仿宋" w:cs="仿宋"/>
          <w:highlight w:val="none"/>
          <w:lang w:eastAsia="zh-CN"/>
        </w:rPr>
        <w:t>投标人</w:t>
      </w:r>
      <w:r>
        <w:rPr>
          <w:rFonts w:hint="eastAsia" w:ascii="仿宋" w:hAnsi="仿宋" w:eastAsia="仿宋" w:cs="仿宋"/>
          <w:highlight w:val="none"/>
        </w:rPr>
        <w:t>名单及其投标报价。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5．开标结束：进入评审环节。</w:t>
      </w:r>
      <w:r>
        <w:rPr>
          <w:rFonts w:hint="eastAsia" w:ascii="仿宋" w:hAnsi="仿宋" w:eastAsia="仿宋" w:cs="仿宋"/>
          <w:highlight w:val="none"/>
          <w:lang w:eastAsia="zh-CN"/>
        </w:rPr>
        <w:t>投标人</w:t>
      </w:r>
      <w:r>
        <w:rPr>
          <w:rFonts w:hint="eastAsia" w:ascii="仿宋" w:hAnsi="仿宋" w:eastAsia="仿宋" w:cs="仿宋"/>
          <w:highlight w:val="none"/>
        </w:rPr>
        <w:t>请保持在线，评审期间评标委员会可能会要求</w:t>
      </w:r>
      <w:r>
        <w:rPr>
          <w:rFonts w:hint="eastAsia" w:ascii="仿宋" w:hAnsi="仿宋" w:eastAsia="仿宋" w:cs="仿宋"/>
          <w:highlight w:val="none"/>
          <w:lang w:eastAsia="zh-CN"/>
        </w:rPr>
        <w:t>投标人</w:t>
      </w:r>
      <w:r>
        <w:rPr>
          <w:rFonts w:hint="eastAsia" w:ascii="仿宋" w:hAnsi="仿宋" w:eastAsia="仿宋" w:cs="仿宋"/>
          <w:highlight w:val="none"/>
        </w:rPr>
        <w:t>做相应的澄清。因</w:t>
      </w:r>
      <w:r>
        <w:rPr>
          <w:rFonts w:hint="eastAsia" w:ascii="仿宋" w:hAnsi="仿宋" w:eastAsia="仿宋" w:cs="仿宋"/>
          <w:highlight w:val="none"/>
          <w:lang w:eastAsia="zh-CN"/>
        </w:rPr>
        <w:t>投标人</w:t>
      </w:r>
      <w:r>
        <w:rPr>
          <w:rFonts w:hint="eastAsia" w:ascii="仿宋" w:hAnsi="仿宋" w:eastAsia="仿宋" w:cs="仿宋"/>
          <w:highlight w:val="none"/>
        </w:rPr>
        <w:t>擅自离席造成的不利后果，由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“不见面开标”系统操作说明：详见西安市公共资源交易平台〖首页·〉服务指南·〉下载专区〗中的《西安公共资源交易不见面开标大厅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pStyle w:val="106"/>
        <w:spacing w:before="0" w:beforeLines="0" w:after="0" w:afterLines="0" w:line="360" w:lineRule="auto"/>
        <w:ind w:firstLine="482"/>
        <w:outlineLvl w:val="2"/>
        <w:rPr>
          <w:rFonts w:ascii="仿宋" w:eastAsia="仿宋" w:cs="仿宋"/>
          <w:sz w:val="24"/>
          <w:szCs w:val="24"/>
          <w:highlight w:val="none"/>
        </w:rPr>
      </w:pPr>
      <w:bookmarkStart w:id="234" w:name="_Toc30025"/>
      <w:bookmarkStart w:id="235" w:name="_Toc6469"/>
      <w:r>
        <w:rPr>
          <w:rFonts w:hint="eastAsia" w:ascii="仿宋" w:eastAsia="仿宋" w:cs="仿宋"/>
          <w:sz w:val="24"/>
          <w:szCs w:val="24"/>
          <w:highlight w:val="none"/>
        </w:rPr>
        <w:t>（二）开标环节投标文件视为无效的情形</w:t>
      </w:r>
      <w:bookmarkEnd w:id="234"/>
      <w:bookmarkEnd w:id="23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放弃或拒绝对电子投标文件进行解密的；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2．因</w:t>
      </w:r>
      <w:r>
        <w:rPr>
          <w:rFonts w:hint="eastAsia" w:ascii="仿宋" w:hAnsi="仿宋" w:eastAsia="仿宋" w:cs="仿宋"/>
          <w:highlight w:val="none"/>
          <w:lang w:eastAsia="zh-CN"/>
        </w:rPr>
        <w:t>投标人</w:t>
      </w:r>
      <w:r>
        <w:rPr>
          <w:rFonts w:hint="eastAsia" w:ascii="仿宋" w:hAnsi="仿宋" w:eastAsia="仿宋" w:cs="仿宋"/>
          <w:highlight w:val="none"/>
        </w:rPr>
        <w:t>自身原因，导致未在规定的解密时限内完整解密的，如忘带CA锁、或携带的CA锁与加密文件的CA锁不同、或使用旧版招标文件编制投标文件等情形；</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3．上传的电子投标文件无法正常打开的；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4．政府采购法律法规规定的其他无效情形。</w:t>
      </w:r>
    </w:p>
    <w:p>
      <w:pPr>
        <w:pStyle w:val="106"/>
        <w:spacing w:before="0" w:beforeLines="0" w:after="0" w:afterLines="0" w:line="360" w:lineRule="auto"/>
        <w:ind w:firstLine="482"/>
        <w:outlineLvl w:val="2"/>
        <w:rPr>
          <w:rFonts w:ascii="仿宋" w:eastAsia="仿宋" w:cs="仿宋"/>
          <w:sz w:val="24"/>
          <w:szCs w:val="24"/>
          <w:highlight w:val="none"/>
        </w:rPr>
      </w:pPr>
      <w:bookmarkStart w:id="236" w:name="_Toc5529"/>
      <w:bookmarkStart w:id="237" w:name="_Toc314"/>
      <w:r>
        <w:rPr>
          <w:rFonts w:hint="eastAsia" w:ascii="仿宋" w:eastAsia="仿宋" w:cs="仿宋"/>
          <w:sz w:val="24"/>
          <w:szCs w:val="24"/>
          <w:highlight w:val="none"/>
        </w:rPr>
        <w:t>（三）突发状况的应急处置</w:t>
      </w:r>
      <w:bookmarkEnd w:id="236"/>
      <w:bookmarkEnd w:id="23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在开评标过程中，如因停电、断网、电子化系统故障等特殊原因导致电子化开、评标工作无法正常进行时，采购代理机构将及时汇报政府采购监管部门，并等待或中止后续活动。</w:t>
      </w:r>
    </w:p>
    <w:p>
      <w:pPr>
        <w:pStyle w:val="3"/>
        <w:spacing w:line="360" w:lineRule="auto"/>
        <w:ind w:firstLine="482"/>
        <w:rPr>
          <w:rFonts w:ascii="仿宋" w:hAnsi="仿宋" w:eastAsia="仿宋" w:cs="仿宋"/>
          <w:b/>
          <w:bCs/>
          <w:sz w:val="24"/>
          <w:szCs w:val="24"/>
          <w:highlight w:val="none"/>
        </w:rPr>
      </w:pPr>
      <w:bookmarkStart w:id="238" w:name="_Toc32177"/>
      <w:bookmarkStart w:id="239" w:name="_Toc7121"/>
      <w:r>
        <w:rPr>
          <w:rFonts w:hint="eastAsia" w:ascii="仿宋" w:hAnsi="仿宋" w:eastAsia="仿宋" w:cs="仿宋"/>
          <w:b/>
          <w:bCs/>
          <w:sz w:val="24"/>
          <w:szCs w:val="24"/>
          <w:highlight w:val="none"/>
        </w:rPr>
        <w:t>六、资格审查</w:t>
      </w:r>
      <w:bookmarkEnd w:id="238"/>
      <w:bookmarkEnd w:id="23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开标结束后，由采购人委派的资格审查小组按照《政府采购货物和服务招标投标管理办法》（财政部第87号令）有关规定，对投标文件中的</w:t>
      </w:r>
      <w:r>
        <w:rPr>
          <w:rFonts w:hint="eastAsia" w:ascii="仿宋" w:hAnsi="仿宋" w:eastAsia="仿宋" w:cs="仿宋"/>
          <w:highlight w:val="none"/>
          <w:lang w:eastAsia="zh-CN"/>
        </w:rPr>
        <w:t>投标人</w:t>
      </w:r>
      <w:r>
        <w:rPr>
          <w:rFonts w:hint="eastAsia" w:ascii="仿宋" w:hAnsi="仿宋" w:eastAsia="仿宋" w:cs="仿宋"/>
          <w:highlight w:val="none"/>
        </w:rPr>
        <w:t>资格证明文件进行审查，并对</w:t>
      </w:r>
      <w:r>
        <w:rPr>
          <w:rFonts w:hint="eastAsia" w:ascii="仿宋" w:hAnsi="仿宋" w:eastAsia="仿宋" w:cs="仿宋"/>
          <w:highlight w:val="none"/>
          <w:lang w:eastAsia="zh-CN"/>
        </w:rPr>
        <w:t>投标人</w:t>
      </w:r>
      <w:r>
        <w:rPr>
          <w:rFonts w:hint="eastAsia" w:ascii="仿宋" w:hAnsi="仿宋" w:eastAsia="仿宋" w:cs="仿宋"/>
          <w:highlight w:val="none"/>
        </w:rPr>
        <w:t>信用记录进行核查。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提供的资格证明文件缺少任何一项或有任何一项不满足，都将被视为无效投标。</w:t>
      </w:r>
      <w:r>
        <w:rPr>
          <w:rFonts w:hint="eastAsia" w:ascii="仿宋" w:hAnsi="仿宋" w:eastAsia="仿宋" w:cs="仿宋"/>
          <w:highlight w:val="none"/>
          <w:lang w:eastAsia="zh-CN"/>
        </w:rPr>
        <w:t>投标人</w:t>
      </w:r>
      <w:r>
        <w:rPr>
          <w:rFonts w:hint="eastAsia" w:ascii="仿宋" w:hAnsi="仿宋" w:eastAsia="仿宋" w:cs="仿宋"/>
          <w:highlight w:val="none"/>
        </w:rPr>
        <w:t>所提供的资格证明文件应图文清晰、易于辨识，否则由此带来的不利后果由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资格审查结束后，资格审查小组成员应当对审查结果进行签字确认；对未通过资格审查的</w:t>
      </w:r>
      <w:r>
        <w:rPr>
          <w:rFonts w:hint="eastAsia" w:ascii="仿宋" w:hAnsi="仿宋" w:eastAsia="仿宋" w:cs="仿宋"/>
          <w:highlight w:val="none"/>
          <w:lang w:eastAsia="zh-CN"/>
        </w:rPr>
        <w:t>投标人</w:t>
      </w:r>
      <w:r>
        <w:rPr>
          <w:rFonts w:hint="eastAsia" w:ascii="仿宋" w:hAnsi="仿宋" w:eastAsia="仿宋" w:cs="仿宋"/>
          <w:highlight w:val="none"/>
        </w:rPr>
        <w:t>，资格审查小组应当场告知其未通过的原因。</w:t>
      </w:r>
    </w:p>
    <w:p>
      <w:pPr>
        <w:tabs>
          <w:tab w:val="left" w:pos="9030"/>
        </w:tabs>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合格</w:t>
      </w:r>
      <w:r>
        <w:rPr>
          <w:rFonts w:hint="eastAsia" w:ascii="仿宋" w:hAnsi="仿宋" w:eastAsia="仿宋" w:cs="仿宋"/>
          <w:highlight w:val="none"/>
          <w:lang w:eastAsia="zh-CN"/>
        </w:rPr>
        <w:t>投标人</w:t>
      </w:r>
      <w:r>
        <w:rPr>
          <w:rFonts w:hint="eastAsia" w:ascii="仿宋" w:hAnsi="仿宋" w:eastAsia="仿宋" w:cs="仿宋"/>
          <w:highlight w:val="none"/>
        </w:rPr>
        <w:t>不足3家的，不得评标。</w:t>
      </w:r>
    </w:p>
    <w:p>
      <w:pPr>
        <w:autoSpaceDE w:val="0"/>
        <w:autoSpaceDN w:val="0"/>
        <w:adjustRightInd w:val="0"/>
        <w:snapToGrid w:val="0"/>
        <w:spacing w:line="360" w:lineRule="auto"/>
        <w:jc w:val="center"/>
        <w:rPr>
          <w:rFonts w:ascii="仿宋" w:hAnsi="仿宋" w:eastAsia="仿宋" w:cs="仿宋"/>
          <w:b/>
          <w:highlight w:val="none"/>
        </w:rPr>
      </w:pPr>
      <w:bookmarkStart w:id="240" w:name="_Toc14505"/>
      <w:r>
        <w:rPr>
          <w:rFonts w:hint="eastAsia" w:ascii="仿宋" w:hAnsi="仿宋" w:eastAsia="仿宋" w:cs="仿宋"/>
          <w:b/>
          <w:highlight w:val="none"/>
          <w:lang w:val="zh-CN"/>
        </w:rPr>
        <w:t>〖资格性审查表〗</w:t>
      </w:r>
      <w:bookmarkEnd w:id="240"/>
    </w:p>
    <w:tbl>
      <w:tblPr>
        <w:tblStyle w:val="37"/>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128"/>
        <w:gridCol w:w="5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bookmarkStart w:id="241" w:name="_Toc28600"/>
            <w:r>
              <w:rPr>
                <w:rFonts w:hint="eastAsia" w:ascii="仿宋" w:hAnsi="仿宋" w:eastAsia="仿宋" w:cs="仿宋"/>
                <w:color w:val="auto"/>
                <w:sz w:val="22"/>
                <w:szCs w:val="22"/>
                <w:highlight w:val="none"/>
                <w:vertAlign w:val="baseline"/>
                <w:lang w:eastAsia="zh-CN"/>
              </w:rPr>
              <w:t>序号</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资格审查项</w:t>
            </w:r>
          </w:p>
        </w:tc>
        <w:tc>
          <w:tcPr>
            <w:tcW w:w="588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p>
        </w:tc>
        <w:tc>
          <w:tcPr>
            <w:tcW w:w="2128" w:type="dxa"/>
            <w:vAlign w:val="center"/>
          </w:tcPr>
          <w:p>
            <w:pPr>
              <w:spacing w:before="313" w:line="360" w:lineRule="auto"/>
              <w:ind w:right="112" w:rightChars="0"/>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营业执照等主</w:t>
            </w:r>
            <w:r>
              <w:rPr>
                <w:rFonts w:hint="eastAsia" w:ascii="仿宋" w:hAnsi="仿宋" w:eastAsia="仿宋" w:cs="仿宋"/>
                <w:spacing w:val="20"/>
                <w:sz w:val="22"/>
                <w:szCs w:val="22"/>
                <w:highlight w:val="none"/>
              </w:rPr>
              <w:t>体资格证明文</w:t>
            </w:r>
            <w:r>
              <w:rPr>
                <w:rFonts w:hint="eastAsia" w:ascii="仿宋" w:hAnsi="仿宋" w:eastAsia="仿宋" w:cs="仿宋"/>
                <w:sz w:val="22"/>
                <w:szCs w:val="22"/>
                <w:highlight w:val="none"/>
              </w:rPr>
              <w:t>件</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sz w:val="22"/>
                <w:szCs w:val="22"/>
                <w:highlight w:val="none"/>
              </w:rPr>
              <w:t>提供统一社会信用代码的营业执照或其他组织经营的合法凭证或自然人的提供身份证明文件</w:t>
            </w:r>
            <w:r>
              <w:rPr>
                <w:rFonts w:hint="eastAsia" w:ascii="仿宋" w:hAnsi="仿宋" w:eastAsia="仿宋" w:cs="仿宋"/>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2</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财务状况报告</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提供具有财务审计资质单位出具的</w:t>
            </w:r>
            <w:r>
              <w:rPr>
                <w:rFonts w:hint="eastAsia" w:ascii="仿宋" w:hAnsi="仿宋" w:eastAsia="仿宋" w:cs="仿宋"/>
                <w:sz w:val="22"/>
                <w:szCs w:val="22"/>
                <w:highlight w:val="none"/>
                <w:lang w:val="en-US" w:eastAsia="zh-CN"/>
              </w:rPr>
              <w:t>2022年度</w:t>
            </w:r>
            <w:r>
              <w:rPr>
                <w:rFonts w:hint="eastAsia" w:ascii="仿宋" w:hAnsi="仿宋" w:eastAsia="仿宋" w:cs="仿宋"/>
                <w:sz w:val="22"/>
                <w:szCs w:val="22"/>
                <w:highlight w:val="none"/>
                <w:lang w:eastAsia="zh-CN"/>
              </w:rPr>
              <w:t>财务报告或开标前六个月内其基本账户银行出具的资信证明或财政部门认可的政府采购专业担保机构出具的担保函，以上形式的证明资料提供任何一种即可。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3</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社保缴纳证明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提供已缴存的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4</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税收缴纳证明</w:t>
            </w:r>
          </w:p>
        </w:tc>
        <w:tc>
          <w:tcPr>
            <w:tcW w:w="5887" w:type="dxa"/>
            <w:vAlign w:val="center"/>
          </w:tcPr>
          <w:p>
            <w:pPr>
              <w:spacing w:line="360" w:lineRule="auto"/>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提供已缴纳的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年1月1日以来任意时间段的纳税证明或完税证明，纳税证明或完税证明上应有代收机构或税务机关的公章或业务专用章。依法免税的投标人应提供相关文件证明。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5</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1"/>
                <w:sz w:val="22"/>
                <w:szCs w:val="22"/>
                <w:highlight w:val="none"/>
                <w:lang w:eastAsia="zh-CN"/>
              </w:rPr>
              <w:t>书面声明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spacing w:val="-8"/>
                <w:sz w:val="22"/>
                <w:szCs w:val="22"/>
                <w:highlight w:val="none"/>
              </w:rPr>
            </w:pPr>
            <w:r>
              <w:rPr>
                <w:rFonts w:hint="eastAsia" w:ascii="仿宋" w:hAnsi="仿宋" w:eastAsia="仿宋" w:cs="仿宋"/>
                <w:spacing w:val="-8"/>
                <w:sz w:val="22"/>
                <w:szCs w:val="22"/>
                <w:highlight w:val="none"/>
                <w:lang w:val="en-US" w:eastAsia="zh-CN"/>
              </w:rPr>
              <w:t>1.</w:t>
            </w:r>
            <w:r>
              <w:rPr>
                <w:rFonts w:hint="eastAsia" w:ascii="仿宋" w:hAnsi="仿宋" w:eastAsia="仿宋" w:cs="仿宋"/>
                <w:spacing w:val="-8"/>
                <w:sz w:val="22"/>
                <w:szCs w:val="22"/>
                <w:highlight w:val="none"/>
                <w:lang w:eastAsia="zh-CN"/>
              </w:rPr>
              <w:t xml:space="preserve">出具履行合同所必需的设备和专业技术能力的书面声明； </w:t>
            </w:r>
          </w:p>
          <w:p>
            <w:pPr>
              <w:tabs>
                <w:tab w:val="left" w:pos="9030"/>
              </w:tabs>
              <w:snapToGrid w:val="0"/>
              <w:spacing w:line="360" w:lineRule="auto"/>
              <w:ind w:right="-65"/>
              <w:jc w:val="left"/>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8"/>
                <w:sz w:val="22"/>
                <w:szCs w:val="22"/>
                <w:highlight w:val="none"/>
                <w:lang w:val="en-US" w:eastAsia="zh-CN"/>
              </w:rPr>
              <w:t>2.</w:t>
            </w:r>
            <w:r>
              <w:rPr>
                <w:rFonts w:hint="eastAsia" w:ascii="仿宋" w:hAnsi="仿宋" w:eastAsia="仿宋" w:cs="仿宋"/>
                <w:spacing w:val="-8"/>
                <w:sz w:val="22"/>
                <w:szCs w:val="22"/>
                <w:highlight w:val="none"/>
              </w:rPr>
              <w:t xml:space="preserve">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6</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2"/>
                <w:sz w:val="22"/>
                <w:szCs w:val="22"/>
                <w:highlight w:val="none"/>
              </w:rPr>
              <w:t>信用记录</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经查，</w:t>
            </w:r>
            <w:r>
              <w:rPr>
                <w:rFonts w:hint="eastAsia" w:ascii="仿宋" w:hAnsi="仿宋" w:eastAsia="仿宋" w:cs="仿宋"/>
                <w:spacing w:val="-19"/>
                <w:sz w:val="22"/>
                <w:szCs w:val="22"/>
                <w:highlight w:val="none"/>
                <w:lang w:eastAsia="zh-CN"/>
              </w:rPr>
              <w:t>投标人</w:t>
            </w:r>
            <w:r>
              <w:rPr>
                <w:rFonts w:hint="eastAsia" w:ascii="仿宋" w:hAnsi="仿宋" w:eastAsia="仿宋" w:cs="仿宋"/>
                <w:spacing w:val="-19"/>
                <w:sz w:val="22"/>
                <w:szCs w:val="22"/>
                <w:highlight w:val="none"/>
              </w:rPr>
              <w:t>未被列</w:t>
            </w:r>
            <w:r>
              <w:rPr>
                <w:rFonts w:hint="eastAsia" w:ascii="仿宋" w:hAnsi="仿宋" w:eastAsia="仿宋" w:cs="仿宋"/>
                <w:spacing w:val="4"/>
                <w:sz w:val="22"/>
                <w:szCs w:val="22"/>
                <w:highlight w:val="none"/>
              </w:rPr>
              <w:t>入“信用中国”网站记录的“失信被执行</w:t>
            </w:r>
            <w:r>
              <w:rPr>
                <w:rFonts w:hint="eastAsia" w:ascii="仿宋" w:hAnsi="仿宋" w:eastAsia="仿宋" w:cs="仿宋"/>
                <w:spacing w:val="16"/>
                <w:sz w:val="22"/>
                <w:szCs w:val="22"/>
                <w:highlight w:val="none"/>
              </w:rPr>
              <w:t xml:space="preserve"> </w:t>
            </w:r>
            <w:r>
              <w:rPr>
                <w:rFonts w:hint="eastAsia" w:ascii="仿宋" w:hAnsi="仿宋" w:eastAsia="仿宋" w:cs="仿宋"/>
                <w:spacing w:val="-5"/>
                <w:sz w:val="22"/>
                <w:szCs w:val="22"/>
                <w:highlight w:val="none"/>
              </w:rPr>
              <w:t>人”或“</w:t>
            </w:r>
            <w:r>
              <w:rPr>
                <w:rFonts w:hint="eastAsia" w:ascii="仿宋" w:hAnsi="仿宋" w:eastAsia="仿宋" w:cs="仿宋"/>
                <w:spacing w:val="-5"/>
                <w:sz w:val="22"/>
                <w:szCs w:val="22"/>
                <w:highlight w:val="none"/>
                <w:lang w:eastAsia="zh-CN"/>
              </w:rPr>
              <w:t>重大税收违法失信主体</w:t>
            </w:r>
            <w:r>
              <w:rPr>
                <w:rFonts w:hint="eastAsia" w:ascii="仿宋" w:hAnsi="仿宋" w:eastAsia="仿宋" w:cs="仿宋"/>
                <w:spacing w:val="-5"/>
                <w:sz w:val="22"/>
                <w:szCs w:val="22"/>
                <w:highlight w:val="none"/>
              </w:rPr>
              <w:t>”名单；</w:t>
            </w:r>
            <w:r>
              <w:rPr>
                <w:rFonts w:hint="eastAsia" w:ascii="仿宋" w:hAnsi="仿宋" w:eastAsia="仿宋" w:cs="仿宋"/>
                <w:spacing w:val="-8"/>
                <w:sz w:val="22"/>
                <w:szCs w:val="22"/>
                <w:highlight w:val="none"/>
              </w:rPr>
              <w:t>不处于“中国政府采购网”记录的“政府采</w:t>
            </w:r>
            <w:r>
              <w:rPr>
                <w:rFonts w:hint="eastAsia" w:ascii="仿宋" w:hAnsi="仿宋" w:eastAsia="仿宋" w:cs="仿宋"/>
                <w:spacing w:val="-4"/>
                <w:sz w:val="22"/>
                <w:szCs w:val="22"/>
                <w:highlight w:val="none"/>
              </w:rPr>
              <w:t>购严重违法失信行为记录名单”中的禁止</w:t>
            </w:r>
            <w:r>
              <w:rPr>
                <w:rFonts w:hint="eastAsia" w:ascii="仿宋" w:hAnsi="仿宋" w:eastAsia="仿宋" w:cs="仿宋"/>
                <w:sz w:val="22"/>
                <w:szCs w:val="22"/>
                <w:highlight w:val="none"/>
              </w:rPr>
              <w:t>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7</w:t>
            </w:r>
          </w:p>
        </w:tc>
        <w:tc>
          <w:tcPr>
            <w:tcW w:w="2128" w:type="dxa"/>
            <w:vAlign w:val="center"/>
          </w:tcPr>
          <w:p>
            <w:pPr>
              <w:spacing w:before="78" w:line="360" w:lineRule="auto"/>
              <w:jc w:val="center"/>
              <w:outlineLvl w:val="9"/>
              <w:rPr>
                <w:rFonts w:hint="eastAsia" w:ascii="仿宋" w:hAnsi="仿宋" w:eastAsia="仿宋" w:cs="仿宋"/>
                <w:spacing w:val="-2"/>
                <w:sz w:val="22"/>
                <w:szCs w:val="22"/>
                <w:highlight w:val="none"/>
              </w:rPr>
            </w:pPr>
            <w:r>
              <w:rPr>
                <w:rFonts w:ascii="仿宋" w:hAnsi="仿宋" w:eastAsia="仿宋" w:cs="仿宋"/>
                <w:spacing w:val="19"/>
                <w:sz w:val="22"/>
                <w:szCs w:val="22"/>
                <w:highlight w:val="none"/>
              </w:rPr>
              <w:t>法定代表人授</w:t>
            </w:r>
            <w:r>
              <w:rPr>
                <w:rFonts w:ascii="仿宋" w:hAnsi="仿宋" w:eastAsia="仿宋" w:cs="仿宋"/>
                <w:spacing w:val="-2"/>
                <w:sz w:val="22"/>
                <w:szCs w:val="22"/>
                <w:highlight w:val="none"/>
              </w:rPr>
              <w:t>权委托书</w:t>
            </w:r>
          </w:p>
        </w:tc>
        <w:tc>
          <w:tcPr>
            <w:tcW w:w="5887" w:type="dxa"/>
            <w:vAlign w:val="center"/>
          </w:tcPr>
          <w:p>
            <w:pPr>
              <w:spacing w:line="360" w:lineRule="auto"/>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5"/>
                <w:sz w:val="22"/>
                <w:szCs w:val="22"/>
                <w:highlight w:val="none"/>
              </w:rPr>
              <w:t>法定代表人参加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的，须提供法定代表人身份证明；法定代表人授权他人参加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的，须提供法定代表人授权委托书</w:t>
            </w:r>
            <w:r>
              <w:rPr>
                <w:rFonts w:hint="eastAsia" w:ascii="仿宋" w:hAnsi="仿宋" w:eastAsia="仿宋" w:cs="仿宋"/>
                <w:spacing w:val="-5"/>
                <w:sz w:val="22"/>
                <w:szCs w:val="22"/>
                <w:highlight w:val="none"/>
                <w:lang w:eastAsia="zh-CN"/>
              </w:rPr>
              <w:t>，</w:t>
            </w:r>
            <w:r>
              <w:rPr>
                <w:rFonts w:hint="eastAsia" w:ascii="仿宋" w:hAnsi="仿宋" w:eastAsia="仿宋" w:cs="仿宋"/>
                <w:spacing w:val="-5"/>
                <w:sz w:val="22"/>
                <w:szCs w:val="22"/>
                <w:highlight w:val="none"/>
              </w:rPr>
              <w:t>被授权代表本单位证明：有效的劳动合同或</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截止前六个月内任意一个月养老保险缴纳证明。（法人参加只需提供法定代表人身份证明）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8</w:t>
            </w:r>
          </w:p>
        </w:tc>
        <w:tc>
          <w:tcPr>
            <w:tcW w:w="2128" w:type="dxa"/>
            <w:vAlign w:val="center"/>
          </w:tcPr>
          <w:p>
            <w:pPr>
              <w:spacing w:before="78" w:line="360" w:lineRule="auto"/>
              <w:jc w:val="center"/>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19"/>
                <w:sz w:val="22"/>
                <w:szCs w:val="22"/>
                <w:highlight w:val="none"/>
                <w:lang w:eastAsia="zh-CN"/>
              </w:rPr>
              <w:t>特定资质</w:t>
            </w:r>
          </w:p>
        </w:tc>
        <w:tc>
          <w:tcPr>
            <w:tcW w:w="5887" w:type="dxa"/>
            <w:vAlign w:val="center"/>
          </w:tcPr>
          <w:p>
            <w:pPr>
              <w:spacing w:line="360" w:lineRule="auto"/>
              <w:outlineLvl w:val="9"/>
              <w:rPr>
                <w:rFonts w:hint="eastAsia" w:ascii="仿宋" w:hAnsi="仿宋" w:eastAsia="仿宋" w:cs="仿宋"/>
                <w:spacing w:val="-5"/>
                <w:sz w:val="22"/>
                <w:szCs w:val="22"/>
                <w:highlight w:val="none"/>
              </w:rPr>
            </w:pPr>
            <w:r>
              <w:rPr>
                <w:rFonts w:hint="eastAsia" w:ascii="仿宋" w:hAnsi="仿宋" w:eastAsia="仿宋" w:cs="仿宋"/>
                <w:spacing w:val="-5"/>
                <w:sz w:val="22"/>
                <w:szCs w:val="22"/>
                <w:highlight w:val="none"/>
                <w:lang w:val="en-US" w:eastAsia="zh-CN"/>
              </w:rPr>
              <w:t>1.投标产品属于医疗器械管理的</w:t>
            </w:r>
            <w:r>
              <w:rPr>
                <w:rFonts w:hint="eastAsia" w:ascii="仿宋" w:hAnsi="仿宋" w:eastAsia="仿宋" w:cs="仿宋"/>
                <w:spacing w:val="-5"/>
                <w:sz w:val="22"/>
                <w:szCs w:val="22"/>
                <w:highlight w:val="none"/>
              </w:rPr>
              <w:t>须提供所投产品的《医疗器械产品注册证》</w:t>
            </w:r>
            <w:r>
              <w:rPr>
                <w:rFonts w:hint="eastAsia" w:ascii="仿宋" w:hAnsi="仿宋" w:eastAsia="仿宋" w:cs="仿宋"/>
                <w:spacing w:val="-5"/>
                <w:sz w:val="22"/>
                <w:szCs w:val="22"/>
                <w:highlight w:val="none"/>
                <w:lang w:eastAsia="zh-CN"/>
              </w:rPr>
              <w:t>或《医疗器械产品备案凭证》</w:t>
            </w:r>
            <w:r>
              <w:rPr>
                <w:rFonts w:hint="eastAsia" w:ascii="仿宋" w:hAnsi="仿宋" w:eastAsia="仿宋" w:cs="仿宋"/>
                <w:spacing w:val="-5"/>
                <w:sz w:val="22"/>
                <w:szCs w:val="22"/>
                <w:highlight w:val="none"/>
              </w:rPr>
              <w:t>；</w:t>
            </w:r>
          </w:p>
          <w:p>
            <w:pPr>
              <w:spacing w:line="360" w:lineRule="auto"/>
              <w:outlineLvl w:val="9"/>
              <w:rPr>
                <w:rFonts w:hint="default" w:eastAsia="仿宋"/>
                <w:lang w:val="en-US" w:eastAsia="zh-CN"/>
              </w:rPr>
            </w:pPr>
            <w:r>
              <w:rPr>
                <w:rFonts w:hint="eastAsia" w:ascii="仿宋" w:hAnsi="仿宋" w:eastAsia="仿宋" w:cs="仿宋"/>
                <w:spacing w:val="-5"/>
                <w:sz w:val="22"/>
                <w:szCs w:val="22"/>
                <w:highlight w:val="none"/>
                <w:lang w:val="en-US" w:eastAsia="zh-CN"/>
              </w:rPr>
              <w:t>2.</w:t>
            </w:r>
            <w:r>
              <w:rPr>
                <w:rFonts w:hint="eastAsia" w:ascii="仿宋" w:hAnsi="仿宋" w:eastAsia="仿宋" w:cs="仿宋"/>
                <w:spacing w:val="-5"/>
                <w:sz w:val="22"/>
                <w:szCs w:val="22"/>
                <w:highlight w:val="none"/>
              </w:rPr>
              <w:t>投标人为生产厂家的须提供《医疗器械生产许可证》，投标人为代理商的</w:t>
            </w:r>
            <w:r>
              <w:rPr>
                <w:rFonts w:hint="eastAsia" w:ascii="仿宋" w:hAnsi="仿宋" w:eastAsia="仿宋" w:cs="仿宋"/>
                <w:spacing w:val="-5"/>
                <w:sz w:val="22"/>
                <w:szCs w:val="22"/>
                <w:highlight w:val="none"/>
                <w:lang w:val="en-US" w:eastAsia="zh-CN"/>
              </w:rPr>
              <w:t>须提供《医疗器械经营许可证》或《医疗器械经营备案证》及生产厂家的《医疗器械生产许可证》。</w:t>
            </w:r>
          </w:p>
        </w:tc>
      </w:tr>
    </w:tbl>
    <w:p>
      <w:pPr>
        <w:pStyle w:val="3"/>
        <w:spacing w:line="360" w:lineRule="auto"/>
        <w:ind w:firstLine="482"/>
        <w:rPr>
          <w:rFonts w:ascii="仿宋" w:hAnsi="仿宋" w:eastAsia="仿宋" w:cs="仿宋"/>
          <w:b/>
          <w:bCs/>
          <w:sz w:val="24"/>
          <w:szCs w:val="24"/>
          <w:highlight w:val="none"/>
        </w:rPr>
      </w:pPr>
      <w:bookmarkStart w:id="242" w:name="_Toc1564"/>
      <w:r>
        <w:rPr>
          <w:rFonts w:hint="eastAsia" w:ascii="仿宋" w:hAnsi="仿宋" w:eastAsia="仿宋" w:cs="仿宋"/>
          <w:b/>
          <w:bCs/>
          <w:sz w:val="24"/>
          <w:szCs w:val="24"/>
          <w:highlight w:val="none"/>
        </w:rPr>
        <w:t>七、评审方法和程序</w:t>
      </w:r>
      <w:bookmarkEnd w:id="241"/>
      <w:bookmarkEnd w:id="242"/>
    </w:p>
    <w:p>
      <w:pPr>
        <w:pStyle w:val="106"/>
        <w:spacing w:before="0" w:beforeLines="0" w:after="0" w:afterLines="0" w:line="360" w:lineRule="auto"/>
        <w:ind w:firstLine="482"/>
        <w:outlineLvl w:val="2"/>
        <w:rPr>
          <w:rFonts w:ascii="仿宋" w:eastAsia="仿宋" w:cs="仿宋"/>
          <w:sz w:val="24"/>
          <w:szCs w:val="24"/>
          <w:highlight w:val="none"/>
        </w:rPr>
      </w:pPr>
      <w:bookmarkStart w:id="243" w:name="_Toc30996"/>
      <w:bookmarkStart w:id="244" w:name="_Toc5644"/>
      <w:r>
        <w:rPr>
          <w:rFonts w:hint="eastAsia" w:ascii="仿宋" w:eastAsia="仿宋" w:cs="仿宋"/>
          <w:sz w:val="24"/>
          <w:szCs w:val="24"/>
          <w:highlight w:val="none"/>
        </w:rPr>
        <w:t>（一）评标方法</w:t>
      </w:r>
      <w:bookmarkEnd w:id="243"/>
      <w:bookmarkEnd w:id="24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本项目采用综合评分法，即投标文件满足招标文件全部实质性要求，且按照评审因素的量化指标评审得分最高的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为中标候选人。</w:t>
      </w:r>
    </w:p>
    <w:p>
      <w:pPr>
        <w:pStyle w:val="106"/>
        <w:spacing w:before="0" w:beforeLines="0" w:after="0" w:afterLines="0" w:line="360" w:lineRule="auto"/>
        <w:ind w:firstLine="482"/>
        <w:outlineLvl w:val="2"/>
        <w:rPr>
          <w:rFonts w:ascii="仿宋" w:eastAsia="仿宋" w:cs="仿宋"/>
          <w:sz w:val="24"/>
          <w:szCs w:val="24"/>
          <w:highlight w:val="none"/>
        </w:rPr>
      </w:pPr>
      <w:bookmarkStart w:id="245" w:name="_Toc20625"/>
      <w:bookmarkStart w:id="246" w:name="_Toc21957"/>
      <w:r>
        <w:rPr>
          <w:rFonts w:hint="eastAsia" w:ascii="仿宋" w:eastAsia="仿宋" w:cs="仿宋"/>
          <w:sz w:val="24"/>
          <w:szCs w:val="24"/>
          <w:highlight w:val="none"/>
        </w:rPr>
        <w:t>（二）评标程序</w:t>
      </w:r>
      <w:bookmarkEnd w:id="245"/>
      <w:bookmarkEnd w:id="246"/>
    </w:p>
    <w:p>
      <w:pPr>
        <w:pStyle w:val="105"/>
        <w:spacing w:line="360" w:lineRule="auto"/>
        <w:ind w:firstLine="482" w:firstLineChars="200"/>
        <w:jc w:val="both"/>
        <w:outlineLvl w:val="3"/>
        <w:rPr>
          <w:rFonts w:ascii="仿宋" w:eastAsia="仿宋" w:cs="仿宋"/>
          <w:b/>
          <w:bCs/>
          <w:sz w:val="24"/>
          <w:szCs w:val="24"/>
          <w:highlight w:val="none"/>
        </w:rPr>
      </w:pPr>
      <w:bookmarkStart w:id="247" w:name="_Toc820"/>
      <w:bookmarkStart w:id="248" w:name="_Toc15514"/>
      <w:bookmarkStart w:id="249" w:name="_Toc18092"/>
      <w:bookmarkStart w:id="250" w:name="_Toc11120"/>
      <w:bookmarkStart w:id="251" w:name="_Toc18594"/>
      <w:bookmarkStart w:id="252" w:name="_Toc13586"/>
      <w:bookmarkStart w:id="253" w:name="_Toc6278"/>
      <w:bookmarkStart w:id="254" w:name="_Toc20918"/>
      <w:bookmarkStart w:id="255" w:name="_Toc11267"/>
      <w:bookmarkStart w:id="256" w:name="_Toc31836"/>
      <w:bookmarkStart w:id="257" w:name="_Toc13438"/>
      <w:bookmarkStart w:id="258" w:name="_Toc3718"/>
      <w:bookmarkStart w:id="259" w:name="_Toc10010"/>
      <w:r>
        <w:rPr>
          <w:rFonts w:hint="eastAsia" w:ascii="仿宋" w:eastAsia="仿宋" w:cs="仿宋"/>
          <w:b/>
          <w:bCs/>
          <w:sz w:val="24"/>
          <w:szCs w:val="24"/>
          <w:highlight w:val="none"/>
        </w:rPr>
        <w:t>1．组建评标委员会</w:t>
      </w:r>
      <w:bookmarkEnd w:id="247"/>
      <w:bookmarkEnd w:id="248"/>
      <w:bookmarkEnd w:id="249"/>
      <w:bookmarkEnd w:id="250"/>
      <w:bookmarkEnd w:id="251"/>
      <w:bookmarkEnd w:id="252"/>
      <w:bookmarkEnd w:id="253"/>
      <w:bookmarkEnd w:id="254"/>
      <w:bookmarkEnd w:id="255"/>
      <w:bookmarkEnd w:id="256"/>
      <w:bookmarkEnd w:id="257"/>
      <w:bookmarkEnd w:id="258"/>
      <w:bookmarkEnd w:id="25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了确保评标工作的公平、公正，依据政府采购法和政府采购相关法规、规章，成立评标委员会，评标委员会由采购人代表和有关技术、经济等方面的专家组成，成员人数为5人或以上单数。其中，技术、经济等方面的专家不少于成员总数的三分之二。评标专家从政府采购评审专家库内相关专业的专家名单中随机抽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由采购代理机构组织评标委员会推选评标组长，采购人代表不得担任组长。</w:t>
      </w:r>
    </w:p>
    <w:p>
      <w:pPr>
        <w:pStyle w:val="105"/>
        <w:spacing w:line="360" w:lineRule="auto"/>
        <w:ind w:firstLine="482" w:firstLineChars="200"/>
        <w:jc w:val="both"/>
        <w:outlineLvl w:val="3"/>
        <w:rPr>
          <w:rFonts w:ascii="仿宋" w:eastAsia="仿宋" w:cs="仿宋"/>
          <w:b/>
          <w:bCs/>
          <w:sz w:val="24"/>
          <w:szCs w:val="24"/>
          <w:highlight w:val="none"/>
        </w:rPr>
      </w:pPr>
      <w:bookmarkStart w:id="260" w:name="_Toc24825"/>
      <w:bookmarkStart w:id="261" w:name="_Toc8659"/>
      <w:bookmarkStart w:id="262" w:name="_Toc23266"/>
      <w:bookmarkStart w:id="263" w:name="_Toc30717"/>
      <w:bookmarkStart w:id="264" w:name="_Toc28864"/>
      <w:bookmarkStart w:id="265" w:name="_Toc24650"/>
      <w:bookmarkStart w:id="266" w:name="_Toc8461"/>
      <w:bookmarkStart w:id="267" w:name="_Toc19246"/>
      <w:bookmarkStart w:id="268" w:name="_Toc30825"/>
      <w:bookmarkStart w:id="269" w:name="_Toc24088"/>
      <w:bookmarkStart w:id="270" w:name="_Toc29006"/>
      <w:bookmarkStart w:id="271" w:name="_Toc499"/>
      <w:bookmarkStart w:id="272" w:name="_Toc24097"/>
      <w:r>
        <w:rPr>
          <w:rFonts w:hint="eastAsia" w:ascii="仿宋" w:eastAsia="仿宋" w:cs="仿宋"/>
          <w:b/>
          <w:bCs/>
          <w:sz w:val="24"/>
          <w:szCs w:val="24"/>
          <w:highlight w:val="none"/>
        </w:rPr>
        <w:t>2．投标文件的符合性审查</w:t>
      </w:r>
      <w:bookmarkEnd w:id="260"/>
      <w:bookmarkEnd w:id="261"/>
      <w:bookmarkEnd w:id="262"/>
      <w:bookmarkEnd w:id="263"/>
      <w:bookmarkEnd w:id="264"/>
      <w:bookmarkEnd w:id="265"/>
      <w:bookmarkEnd w:id="266"/>
      <w:bookmarkEnd w:id="267"/>
      <w:bookmarkEnd w:id="268"/>
      <w:bookmarkEnd w:id="269"/>
      <w:bookmarkEnd w:id="270"/>
      <w:bookmarkEnd w:id="271"/>
      <w:bookmarkEnd w:id="27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资格性审查通过后，评标委员会对符合资格的投标人的投标文件进行符合性审查，以确定其是否满足招标文件的实质性要求。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对于投标文件中含义不明确、同类问题表述不一致或者有明显文字和计算错误的内容，评标委员会应当以书面形式要求投标人作出必要的澄清、说明或者补正。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utoSpaceDE w:val="0"/>
        <w:autoSpaceDN w:val="0"/>
        <w:adjustRightInd w:val="0"/>
        <w:snapToGrid w:val="0"/>
        <w:spacing w:line="360" w:lineRule="auto"/>
        <w:jc w:val="center"/>
        <w:rPr>
          <w:rFonts w:ascii="仿宋" w:hAnsi="仿宋" w:eastAsia="仿宋" w:cs="仿宋"/>
          <w:b/>
          <w:highlight w:val="none"/>
        </w:rPr>
      </w:pPr>
      <w:r>
        <w:rPr>
          <w:rFonts w:hint="eastAsia" w:ascii="仿宋" w:hAnsi="仿宋" w:eastAsia="仿宋" w:cs="仿宋"/>
          <w:b/>
          <w:highlight w:val="none"/>
          <w:lang w:val="zh-CN"/>
        </w:rPr>
        <w:t>〖符合性审查表〗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序号</w:t>
            </w:r>
          </w:p>
        </w:tc>
        <w:tc>
          <w:tcPr>
            <w:tcW w:w="2143" w:type="dxa"/>
            <w:vAlign w:val="center"/>
          </w:tcPr>
          <w:p>
            <w:pPr>
              <w:tabs>
                <w:tab w:val="left" w:pos="9030"/>
              </w:tabs>
              <w:snapToGrid w:val="0"/>
              <w:spacing w:line="360" w:lineRule="auto"/>
              <w:ind w:right="-65"/>
              <w:jc w:val="center"/>
              <w:rPr>
                <w:rFonts w:ascii="仿宋" w:hAnsi="仿宋" w:eastAsia="仿宋" w:cs="仿宋"/>
                <w:highlight w:val="none"/>
              </w:rPr>
            </w:pPr>
            <w:r>
              <w:rPr>
                <w:rFonts w:ascii="仿宋" w:hAnsi="仿宋" w:eastAsia="仿宋" w:cs="仿宋"/>
                <w:spacing w:val="-1"/>
                <w:highlight w:val="none"/>
              </w:rPr>
              <w:t>符合性审查项</w:t>
            </w:r>
          </w:p>
        </w:tc>
        <w:tc>
          <w:tcPr>
            <w:tcW w:w="5822"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1</w:t>
            </w:r>
          </w:p>
        </w:tc>
        <w:tc>
          <w:tcPr>
            <w:tcW w:w="2143" w:type="dxa"/>
            <w:vAlign w:val="center"/>
          </w:tcPr>
          <w:p>
            <w:pPr>
              <w:spacing w:line="360" w:lineRule="auto"/>
              <w:ind w:right="112"/>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w:t>
            </w:r>
            <w:r>
              <w:rPr>
                <w:rFonts w:ascii="仿宋" w:hAnsi="仿宋" w:eastAsia="仿宋" w:cs="仿宋"/>
                <w:highlight w:val="none"/>
              </w:rPr>
              <w:t>期</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文件语言及有效期符合</w:t>
            </w:r>
            <w:r>
              <w:rPr>
                <w:rFonts w:hint="eastAsia" w:ascii="仿宋" w:hAnsi="仿宋" w:eastAsia="仿宋" w:cs="仿宋"/>
                <w:spacing w:val="1"/>
                <w:highlight w:val="none"/>
              </w:rPr>
              <w:t>招标</w:t>
            </w:r>
            <w:r>
              <w:rPr>
                <w:rFonts w:hint="eastAsia" w:ascii="仿宋" w:hAnsi="仿宋" w:eastAsia="仿宋" w:cs="仿宋"/>
                <w:spacing w:val="1"/>
                <w:highlight w:val="none"/>
                <w:lang w:val="en-US" w:eastAsia="zh-CN"/>
              </w:rPr>
              <w:t>文</w:t>
            </w:r>
            <w:r>
              <w:rPr>
                <w:rFonts w:ascii="仿宋" w:hAnsi="仿宋" w:eastAsia="仿宋" w:cs="仿宋"/>
                <w:spacing w:val="1"/>
                <w:highlight w:val="none"/>
              </w:rPr>
              <w:t>件</w:t>
            </w:r>
            <w:r>
              <w:rPr>
                <w:rFonts w:ascii="仿宋" w:hAnsi="仿宋" w:eastAsia="仿宋" w:cs="仿宋"/>
                <w:spacing w:val="-1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2</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文件的</w:t>
            </w:r>
            <w:r>
              <w:rPr>
                <w:rFonts w:hint="eastAsia" w:ascii="仿宋" w:hAnsi="仿宋" w:eastAsia="仿宋" w:cs="仿宋"/>
                <w:spacing w:val="1"/>
                <w:highlight w:val="none"/>
              </w:rPr>
              <w:t>投标</w:t>
            </w:r>
            <w:r>
              <w:rPr>
                <w:rFonts w:ascii="仿宋" w:hAnsi="仿宋" w:eastAsia="仿宋" w:cs="仿宋"/>
                <w:spacing w:val="1"/>
                <w:highlight w:val="none"/>
              </w:rPr>
              <w:t>函以</w:t>
            </w:r>
            <w:r>
              <w:rPr>
                <w:rFonts w:ascii="仿宋" w:hAnsi="仿宋" w:eastAsia="仿宋" w:cs="仿宋"/>
                <w:highlight w:val="none"/>
              </w:rPr>
              <w:t>及法定代表人授权委</w:t>
            </w:r>
            <w:r>
              <w:rPr>
                <w:rFonts w:ascii="仿宋" w:hAnsi="仿宋" w:eastAsia="仿宋" w:cs="仿宋"/>
                <w:spacing w:val="-4"/>
                <w:highlight w:val="none"/>
              </w:rPr>
              <w:t>托书</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ascii="仿宋" w:hAnsi="仿宋" w:eastAsia="仿宋" w:cs="仿宋"/>
                <w:spacing w:val="-10"/>
                <w:highlight w:val="none"/>
              </w:rPr>
              <w:t>二处均无遗漏，且所投项目名称</w:t>
            </w:r>
            <w:r>
              <w:rPr>
                <w:rFonts w:ascii="仿宋" w:hAnsi="仿宋" w:eastAsia="仿宋" w:cs="仿宋"/>
                <w:spacing w:val="1"/>
                <w:highlight w:val="none"/>
              </w:rPr>
              <w:t>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3</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开标一览表</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（1） 投标报价符合唯一性要求：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（2） 投标报价表填写符合要求；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（3） 计量单位、报价货币均符合招标文件要求；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4</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承诺书</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完全理解并接受《</w:t>
            </w:r>
            <w:r>
              <w:rPr>
                <w:rFonts w:hint="eastAsia" w:ascii="仿宋" w:hAnsi="仿宋" w:eastAsia="仿宋" w:cs="仿宋"/>
                <w:highlight w:val="none"/>
                <w:lang w:val="zh-CN"/>
              </w:rPr>
              <w:t>投标人廉洁自律承诺书</w:t>
            </w:r>
            <w:r>
              <w:rPr>
                <w:rFonts w:hint="eastAsia" w:ascii="仿宋" w:hAnsi="仿宋" w:eastAsia="仿宋" w:cs="仿宋"/>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5</w:t>
            </w:r>
          </w:p>
        </w:tc>
        <w:tc>
          <w:tcPr>
            <w:tcW w:w="2143" w:type="dxa"/>
            <w:vAlign w:val="center"/>
          </w:tcPr>
          <w:p>
            <w:pPr>
              <w:spacing w:line="360" w:lineRule="auto"/>
              <w:jc w:val="center"/>
              <w:rPr>
                <w:rFonts w:ascii="仿宋" w:hAnsi="仿宋" w:eastAsia="仿宋" w:cs="仿宋"/>
                <w:spacing w:val="-1"/>
                <w:highlight w:val="none"/>
              </w:rPr>
            </w:pPr>
            <w:r>
              <w:rPr>
                <w:rFonts w:hint="eastAsia" w:ascii="仿宋" w:hAnsi="仿宋" w:eastAsia="仿宋" w:cs="仿宋"/>
                <w:spacing w:val="-1"/>
                <w:highlight w:val="none"/>
              </w:rPr>
              <w:t>无其他</w:t>
            </w:r>
            <w:r>
              <w:rPr>
                <w:rFonts w:hint="eastAsia" w:ascii="仿宋" w:hAnsi="仿宋" w:eastAsia="仿宋" w:cs="仿宋"/>
                <w:highlight w:val="none"/>
              </w:rPr>
              <w:t>招标</w:t>
            </w:r>
            <w:r>
              <w:rPr>
                <w:rFonts w:hint="eastAsia" w:ascii="仿宋" w:hAnsi="仿宋" w:eastAsia="仿宋" w:cs="仿宋"/>
                <w:spacing w:val="-1"/>
                <w:highlight w:val="none"/>
              </w:rPr>
              <w:t>文件或法规明确规定响应无效的事项</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 xml:space="preserve">没有不符合招标文件规定的被视为无效响应的其他条款。 </w:t>
            </w:r>
          </w:p>
        </w:tc>
      </w:tr>
    </w:tbl>
    <w:p>
      <w:pPr>
        <w:pStyle w:val="105"/>
        <w:spacing w:line="360" w:lineRule="auto"/>
        <w:ind w:firstLine="482" w:firstLineChars="200"/>
        <w:jc w:val="both"/>
        <w:outlineLvl w:val="3"/>
        <w:rPr>
          <w:rFonts w:ascii="仿宋" w:eastAsia="仿宋" w:cs="仿宋"/>
          <w:b/>
          <w:bCs/>
          <w:sz w:val="24"/>
          <w:szCs w:val="24"/>
        </w:rPr>
      </w:pPr>
      <w:bookmarkStart w:id="273" w:name="_Toc31840"/>
      <w:bookmarkStart w:id="274" w:name="_Toc14375"/>
      <w:bookmarkStart w:id="275" w:name="_Toc32551"/>
      <w:bookmarkStart w:id="276" w:name="_Toc69"/>
      <w:bookmarkStart w:id="277" w:name="_Toc28484"/>
      <w:bookmarkStart w:id="278" w:name="_Toc16822"/>
      <w:bookmarkStart w:id="279" w:name="_Toc13712"/>
      <w:bookmarkStart w:id="280" w:name="_Toc27388"/>
      <w:bookmarkStart w:id="281" w:name="_Toc22434"/>
      <w:bookmarkStart w:id="282" w:name="_Toc2589"/>
      <w:bookmarkStart w:id="283" w:name="_Toc13966"/>
      <w:bookmarkStart w:id="284" w:name="_Toc5660"/>
      <w:bookmarkStart w:id="285" w:name="_Toc21675"/>
      <w:bookmarkStart w:id="286" w:name="_Toc1743"/>
      <w:bookmarkStart w:id="287" w:name="_Toc13754"/>
      <w:bookmarkStart w:id="288" w:name="_Toc32034"/>
      <w:r>
        <w:rPr>
          <w:rFonts w:hint="eastAsia" w:ascii="仿宋" w:eastAsia="仿宋" w:cs="仿宋"/>
          <w:b/>
          <w:bCs/>
          <w:sz w:val="24"/>
          <w:szCs w:val="24"/>
        </w:rPr>
        <w:t>3．综合比较与评价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spacing w:line="360" w:lineRule="auto"/>
        <w:ind w:firstLine="480" w:firstLineChars="200"/>
        <w:jc w:val="both"/>
        <w:rPr>
          <w:rFonts w:ascii="仿宋" w:hAnsi="仿宋" w:eastAsia="仿宋" w:cs="仿宋"/>
        </w:rPr>
      </w:pPr>
      <w:r>
        <w:rPr>
          <w:rFonts w:hint="eastAsia" w:ascii="仿宋" w:hAnsi="仿宋" w:eastAsia="仿宋" w:cs="仿宋"/>
        </w:rPr>
        <w:t>评标委员会按《评审要素及分值一览表》中规定的评标方法和标准，对通过符合性审查的投标文件进行商务和技术评估，综合比较与评价。</w:t>
      </w:r>
    </w:p>
    <w:p>
      <w:pPr>
        <w:spacing w:line="360" w:lineRule="auto"/>
        <w:ind w:firstLine="482" w:firstLineChars="200"/>
        <w:jc w:val="both"/>
        <w:rPr>
          <w:rFonts w:ascii="仿宋" w:hAnsi="仿宋" w:eastAsia="仿宋" w:cs="仿宋"/>
        </w:rPr>
      </w:pPr>
      <w:r>
        <w:rPr>
          <w:rFonts w:hint="eastAsia" w:ascii="仿宋" w:hAnsi="仿宋" w:eastAsia="仿宋" w:cs="仿宋"/>
          <w:b/>
          <w:bCs/>
        </w:rPr>
        <w:t>出现下列情形的，</w:t>
      </w:r>
      <w:r>
        <w:rPr>
          <w:rFonts w:hint="eastAsia" w:ascii="仿宋" w:hAnsi="仿宋" w:eastAsia="仿宋" w:cs="仿宋"/>
          <w:b/>
          <w:bCs/>
          <w:lang w:eastAsia="zh-CN"/>
        </w:rPr>
        <w:t>投标人</w:t>
      </w:r>
      <w:r>
        <w:rPr>
          <w:rFonts w:hint="eastAsia" w:ascii="仿宋" w:hAnsi="仿宋" w:eastAsia="仿宋" w:cs="仿宋"/>
          <w:b/>
          <w:bCs/>
        </w:rPr>
        <w:t>投标无效：</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报价超过招标文件中规定的预算金额或者最高限价的；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2</w:t>
      </w:r>
      <w:r>
        <w:rPr>
          <w:rFonts w:hint="eastAsia" w:ascii="仿宋" w:hAnsi="仿宋" w:eastAsia="仿宋" w:cs="仿宋"/>
          <w:highlight w:val="none"/>
        </w:rPr>
        <w:t>）投标文件报价出现本章第四小节“投标报价”所列需要修正情形，但</w:t>
      </w:r>
      <w:r>
        <w:rPr>
          <w:rFonts w:hint="eastAsia" w:ascii="仿宋" w:hAnsi="仿宋" w:eastAsia="仿宋" w:cs="仿宋"/>
          <w:highlight w:val="none"/>
          <w:lang w:eastAsia="zh-CN"/>
        </w:rPr>
        <w:t>投标人</w:t>
      </w:r>
      <w:r>
        <w:rPr>
          <w:rFonts w:hint="eastAsia" w:ascii="仿宋" w:hAnsi="仿宋" w:eastAsia="仿宋" w:cs="仿宋"/>
          <w:highlight w:val="none"/>
        </w:rPr>
        <w:t>对修正后的报价不予确认的；</w:t>
      </w:r>
    </w:p>
    <w:p>
      <w:pPr>
        <w:widowControl w:val="0"/>
        <w:tabs>
          <w:tab w:val="left" w:pos="9030"/>
        </w:tabs>
        <w:snapToGrid w:val="0"/>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）评标委员会认为</w:t>
      </w:r>
      <w:r>
        <w:rPr>
          <w:rFonts w:hint="eastAsia" w:ascii="仿宋" w:hAnsi="仿宋" w:eastAsia="仿宋" w:cs="仿宋"/>
          <w:highlight w:val="none"/>
          <w:lang w:eastAsia="zh-CN"/>
        </w:rPr>
        <w:t>投标人</w:t>
      </w:r>
      <w:r>
        <w:rPr>
          <w:rFonts w:hint="eastAsia" w:ascii="仿宋" w:hAnsi="仿宋" w:eastAsia="仿宋" w:cs="仿宋"/>
          <w:highlight w:val="none"/>
        </w:rPr>
        <w:t>的报价明显低于其他通过符合性审查</w:t>
      </w:r>
      <w:r>
        <w:rPr>
          <w:rFonts w:hint="eastAsia" w:ascii="仿宋" w:hAnsi="仿宋" w:eastAsia="仿宋" w:cs="仿宋"/>
          <w:highlight w:val="none"/>
          <w:lang w:eastAsia="zh-CN"/>
        </w:rPr>
        <w:t>投标人</w:t>
      </w:r>
      <w:r>
        <w:rPr>
          <w:rFonts w:hint="eastAsia" w:ascii="仿宋" w:hAnsi="仿宋" w:eastAsia="仿宋" w:cs="仿宋"/>
          <w:highlight w:val="none"/>
        </w:rPr>
        <w:t>的报价，有可能影响产品质量或者不能诚信履约的，要求</w:t>
      </w:r>
      <w:r>
        <w:rPr>
          <w:rFonts w:hint="eastAsia" w:ascii="仿宋" w:hAnsi="仿宋" w:eastAsia="仿宋" w:cs="仿宋"/>
          <w:highlight w:val="none"/>
          <w:lang w:eastAsia="zh-CN"/>
        </w:rPr>
        <w:t>投标人</w:t>
      </w:r>
      <w:r>
        <w:rPr>
          <w:rFonts w:hint="eastAsia" w:ascii="仿宋" w:hAnsi="仿宋" w:eastAsia="仿宋" w:cs="仿宋"/>
          <w:highlight w:val="none"/>
        </w:rPr>
        <w:t>在评标现场合理的时间内提供书面说明（必要时提交相关证明材料），</w:t>
      </w:r>
      <w:r>
        <w:rPr>
          <w:rFonts w:hint="eastAsia" w:ascii="仿宋" w:hAnsi="仿宋" w:eastAsia="仿宋" w:cs="仿宋"/>
          <w:highlight w:val="none"/>
          <w:lang w:eastAsia="zh-CN"/>
        </w:rPr>
        <w:t>投标人</w:t>
      </w:r>
      <w:r>
        <w:rPr>
          <w:rFonts w:hint="eastAsia" w:ascii="仿宋" w:hAnsi="仿宋" w:eastAsia="仿宋" w:cs="仿宋"/>
          <w:highlight w:val="none"/>
        </w:rPr>
        <w:t>不能证明其报价合理性的。</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出现多份报价，出现选择性报价的；</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投标文件含有采购人不能接受的附加条件的；</w:t>
      </w:r>
    </w:p>
    <w:p>
      <w:pPr>
        <w:spacing w:line="360" w:lineRule="auto"/>
        <w:ind w:firstLine="480" w:firstLineChars="2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提供虚假投标文件和资料的</w:t>
      </w:r>
      <w:r>
        <w:rPr>
          <w:rFonts w:hint="eastAsia" w:ascii="仿宋" w:hAnsi="仿宋" w:eastAsia="仿宋" w:cs="仿宋"/>
          <w:color w:val="auto"/>
          <w:highlight w:val="none"/>
          <w:lang w:eastAsia="zh-CN"/>
        </w:rPr>
        <w:t>；</w:t>
      </w:r>
    </w:p>
    <w:p>
      <w:pPr>
        <w:spacing w:line="360" w:lineRule="auto"/>
        <w:ind w:firstLine="480" w:firstLineChars="200"/>
        <w:jc w:val="both"/>
        <w:rPr>
          <w:highlight w:val="none"/>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法律、法规和招标文件规定的其他无效情形</w:t>
      </w:r>
      <w:r>
        <w:rPr>
          <w:rFonts w:hint="eastAsia" w:ascii="仿宋" w:hAnsi="仿宋" w:eastAsia="仿宋" w:cs="仿宋"/>
          <w:color w:val="auto"/>
          <w:highlight w:val="none"/>
          <w:lang w:eastAsia="zh-CN"/>
        </w:rPr>
        <w:t>。</w:t>
      </w:r>
    </w:p>
    <w:p>
      <w:pPr>
        <w:autoSpaceDE w:val="0"/>
        <w:autoSpaceDN w:val="0"/>
        <w:adjustRightInd w:val="0"/>
        <w:snapToGrid w:val="0"/>
        <w:spacing w:line="360" w:lineRule="auto"/>
        <w:jc w:val="center"/>
        <w:rPr>
          <w:rFonts w:ascii="仿宋" w:hAnsi="仿宋" w:eastAsia="仿宋" w:cs="仿宋"/>
          <w:b/>
          <w:highlight w:val="none"/>
          <w:lang w:val="zh-CN"/>
        </w:rPr>
      </w:pPr>
      <w:r>
        <w:rPr>
          <w:rFonts w:hint="eastAsia" w:ascii="仿宋" w:hAnsi="仿宋" w:eastAsia="仿宋" w:cs="仿宋"/>
          <w:b/>
          <w:highlight w:val="none"/>
          <w:lang w:val="zh-CN"/>
        </w:rPr>
        <w:t>〖评审要素及分值一览表〗</w:t>
      </w:r>
    </w:p>
    <w:tbl>
      <w:tblPr>
        <w:tblStyle w:val="36"/>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87"/>
        <w:gridCol w:w="6055"/>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bookmarkStart w:id="289" w:name="_Toc20662"/>
            <w:bookmarkStart w:id="290" w:name="_Toc19596"/>
            <w:bookmarkStart w:id="291" w:name="_Toc29929"/>
            <w:bookmarkStart w:id="292" w:name="_Toc19933"/>
            <w:bookmarkStart w:id="293" w:name="_Toc23880"/>
            <w:bookmarkStart w:id="294" w:name="_Toc24826"/>
            <w:bookmarkStart w:id="295" w:name="_Toc14869"/>
            <w:bookmarkStart w:id="296" w:name="_Toc485"/>
            <w:bookmarkStart w:id="297" w:name="_Toc28252"/>
            <w:bookmarkStart w:id="298" w:name="_Toc27090"/>
            <w:bookmarkStart w:id="299" w:name="_Toc26683"/>
            <w:bookmarkStart w:id="300" w:name="_Toc6869"/>
            <w:bookmarkStart w:id="301" w:name="_Toc20698"/>
            <w:r>
              <w:rPr>
                <w:rFonts w:hint="eastAsia" w:ascii="仿宋" w:hAnsi="仿宋" w:eastAsia="仿宋" w:cs="仿宋"/>
                <w:b/>
                <w:highlight w:val="none"/>
              </w:rPr>
              <w:t>评审因素</w:t>
            </w:r>
          </w:p>
        </w:tc>
        <w:tc>
          <w:tcPr>
            <w:tcW w:w="6055"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内     容</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权值</w:t>
            </w:r>
            <w:r>
              <w:rPr>
                <w:rFonts w:hint="eastAsia" w:ascii="仿宋" w:hAnsi="仿宋" w:eastAsia="仿宋" w:cs="仿宋"/>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40</w:t>
            </w:r>
            <w:r>
              <w:rPr>
                <w:rFonts w:hint="eastAsia" w:ascii="仿宋" w:hAnsi="仿宋" w:eastAsia="仿宋" w:cs="仿宋"/>
                <w:highlight w:val="none"/>
              </w:rPr>
              <w:t>分）</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投标总报价</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满足招标文件要求且投标总报价最低为评标基准价，其价格分为满分。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投标报价得分=（评标基准价／投标总报价）×</w:t>
            </w:r>
            <w:r>
              <w:rPr>
                <w:rFonts w:hint="eastAsia" w:ascii="仿宋" w:hAnsi="仿宋" w:eastAsia="仿宋" w:cs="仿宋"/>
                <w:highlight w:val="none"/>
                <w:lang w:val="en-US" w:eastAsia="zh-CN"/>
              </w:rPr>
              <w:t>30</w:t>
            </w:r>
            <w:r>
              <w:rPr>
                <w:rFonts w:hint="eastAsia" w:ascii="仿宋" w:hAnsi="仿宋" w:eastAsia="仿宋" w:cs="仿宋"/>
                <w:highlight w:val="none"/>
              </w:rPr>
              <w:t>%×100。</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商务条款响应程度</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bCs/>
                <w:color w:val="auto"/>
                <w:highlight w:val="none"/>
              </w:rPr>
              <w:t>投标文件对付款、交货期等商务要求进行响应，根据响应程度计0-</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highlight w:val="none"/>
                <w:lang w:eastAsia="zh-CN"/>
              </w:rPr>
            </w:pPr>
            <w:r>
              <w:rPr>
                <w:rFonts w:hint="eastAsia" w:ascii="仿宋" w:hAnsi="仿宋" w:eastAsia="仿宋" w:cs="仿宋"/>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bCs/>
                <w:highlight w:val="none"/>
              </w:rPr>
            </w:pPr>
            <w:r>
              <w:rPr>
                <w:rFonts w:hint="eastAsia" w:ascii="仿宋" w:hAnsi="仿宋" w:eastAsia="仿宋" w:cs="仿宋"/>
                <w:bCs/>
                <w:highlight w:val="none"/>
              </w:rPr>
              <w:t>节能环保</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color w:val="FF0000"/>
                <w:sz w:val="24"/>
                <w:szCs w:val="24"/>
                <w:highlight w:val="none"/>
                <w:lang w:val="en-US" w:eastAsia="zh-CN" w:bidi="ar-SA"/>
              </w:rPr>
            </w:pPr>
            <w:r>
              <w:rPr>
                <w:rFonts w:hint="eastAsia" w:ascii="仿宋" w:hAnsi="仿宋" w:eastAsia="仿宋" w:cs="仿宋"/>
                <w:bCs/>
                <w:highlight w:val="none"/>
              </w:rPr>
              <w:t>环境标志产品</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lang w:val="en-US" w:eastAsia="zh-CN" w:bidi="ar-SA"/>
              </w:rPr>
            </w:pPr>
            <w:r>
              <w:rPr>
                <w:rFonts w:hint="eastAsia" w:ascii="仿宋" w:hAnsi="仿宋" w:eastAsia="仿宋" w:cs="仿宋"/>
                <w:color w:val="auto"/>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highlight w:val="none"/>
              </w:rPr>
            </w:pPr>
            <w:r>
              <w:rPr>
                <w:rFonts w:hint="eastAsia" w:ascii="仿宋" w:hAnsi="仿宋" w:eastAsia="仿宋" w:cs="仿宋"/>
                <w:bCs/>
                <w:highlight w:val="none"/>
              </w:rPr>
              <w:t>业绩</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highlight w:val="none"/>
                <w:lang w:val="en-US" w:eastAsia="zh-CN"/>
              </w:rPr>
              <w:t>投标人提供所投产品</w:t>
            </w:r>
            <w:r>
              <w:rPr>
                <w:rFonts w:hint="eastAsia" w:ascii="仿宋" w:hAnsi="仿宋" w:eastAsia="仿宋" w:cs="仿宋"/>
                <w:color w:val="auto"/>
                <w:highlight w:val="none"/>
                <w:lang w:val="en-US" w:eastAsia="zh-CN"/>
              </w:rPr>
              <w:t>近三年（2020年12月</w:t>
            </w:r>
            <w:r>
              <w:rPr>
                <w:rFonts w:hint="eastAsia" w:ascii="仿宋" w:hAnsi="仿宋" w:eastAsia="仿宋" w:cs="仿宋"/>
                <w:color w:val="auto"/>
                <w:highlight w:val="none"/>
              </w:rPr>
              <w:t>至今以</w:t>
            </w:r>
            <w:r>
              <w:rPr>
                <w:rFonts w:hint="eastAsia" w:ascii="仿宋" w:hAnsi="仿宋" w:eastAsia="仿宋" w:cs="仿宋"/>
                <w:highlight w:val="none"/>
              </w:rPr>
              <w:t>合同签订时间为准）的</w:t>
            </w:r>
            <w:r>
              <w:rPr>
                <w:rFonts w:hint="eastAsia" w:ascii="仿宋" w:hAnsi="仿宋" w:eastAsia="仿宋" w:cs="仿宋"/>
                <w:highlight w:val="none"/>
                <w:lang w:val="en-US" w:eastAsia="zh-CN"/>
              </w:rPr>
              <w:t>类似业绩</w:t>
            </w:r>
            <w:r>
              <w:rPr>
                <w:rFonts w:hint="eastAsia" w:ascii="仿宋" w:hAnsi="仿宋" w:eastAsia="仿宋" w:cs="仿宋"/>
                <w:highlight w:val="none"/>
                <w:lang w:val="zh-CN"/>
              </w:rPr>
              <w:t>证明文件</w:t>
            </w:r>
            <w:r>
              <w:rPr>
                <w:rFonts w:hint="eastAsia" w:ascii="仿宋" w:hAnsi="仿宋" w:eastAsia="仿宋" w:cs="仿宋"/>
                <w:highlight w:val="none"/>
              </w:rPr>
              <w:t>，</w:t>
            </w:r>
            <w:r>
              <w:rPr>
                <w:rFonts w:hint="eastAsia" w:ascii="仿宋" w:hAnsi="仿宋" w:eastAsia="仿宋" w:cs="仿宋"/>
                <w:highlight w:val="none"/>
                <w:lang w:val="en-US" w:eastAsia="zh-CN"/>
              </w:rPr>
              <w:t>需</w:t>
            </w:r>
            <w:r>
              <w:rPr>
                <w:rFonts w:hint="eastAsia" w:ascii="仿宋" w:hAnsi="仿宋" w:eastAsia="仿宋" w:cs="仿宋"/>
                <w:highlight w:val="none"/>
              </w:rPr>
              <w:t>提供</w:t>
            </w:r>
            <w:r>
              <w:rPr>
                <w:rFonts w:hint="eastAsia" w:ascii="仿宋" w:hAnsi="仿宋" w:eastAsia="仿宋" w:cs="仿宋"/>
                <w:highlight w:val="none"/>
                <w:lang w:val="en-US" w:eastAsia="zh-CN"/>
              </w:rPr>
              <w:t>完整合同</w:t>
            </w:r>
            <w:r>
              <w:rPr>
                <w:rFonts w:hint="eastAsia" w:ascii="仿宋" w:hAnsi="仿宋" w:eastAsia="仿宋" w:cs="仿宋"/>
                <w:highlight w:val="none"/>
              </w:rPr>
              <w:t>复印件加盖公章，每提供一份得</w:t>
            </w:r>
            <w:r>
              <w:rPr>
                <w:rFonts w:hint="eastAsia" w:ascii="仿宋" w:hAnsi="仿宋" w:eastAsia="仿宋" w:cs="仿宋"/>
                <w:highlight w:val="none"/>
                <w:lang w:val="en-US" w:eastAsia="zh-CN"/>
              </w:rPr>
              <w:t>1</w:t>
            </w:r>
            <w:r>
              <w:rPr>
                <w:rFonts w:hint="eastAsia" w:ascii="仿宋" w:hAnsi="仿宋" w:eastAsia="仿宋" w:cs="仿宋"/>
                <w:highlight w:val="none"/>
              </w:rPr>
              <w:t>分，满分</w:t>
            </w:r>
            <w:r>
              <w:rPr>
                <w:rFonts w:hint="eastAsia" w:ascii="仿宋" w:hAnsi="仿宋" w:eastAsia="仿宋" w:cs="仿宋"/>
                <w:highlight w:val="none"/>
                <w:lang w:val="en-US" w:eastAsia="zh-CN"/>
              </w:rPr>
              <w:t>5</w:t>
            </w:r>
            <w:r>
              <w:rPr>
                <w:rFonts w:hint="eastAsia" w:ascii="仿宋" w:hAnsi="仿宋" w:eastAsia="仿宋" w:cs="仿宋"/>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r>
              <w:rPr>
                <w:rFonts w:hint="eastAsia" w:ascii="仿宋" w:hAnsi="仿宋" w:eastAsia="仿宋" w:cs="仿宋"/>
                <w:highlight w:val="none"/>
                <w:lang w:val="zh-CN"/>
              </w:rPr>
              <w:t>技术评审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lang w:val="zh-CN"/>
              </w:rPr>
            </w:pPr>
            <w:r>
              <w:rPr>
                <w:rFonts w:hint="eastAsia" w:ascii="仿宋" w:hAnsi="仿宋" w:eastAsia="仿宋" w:cs="仿宋"/>
                <w:highlight w:val="none"/>
                <w:lang w:val="zh-CN"/>
              </w:rPr>
              <w:t>（</w:t>
            </w:r>
            <w:r>
              <w:rPr>
                <w:rFonts w:hint="eastAsia" w:ascii="仿宋" w:hAnsi="仿宋" w:eastAsia="仿宋" w:cs="仿宋"/>
                <w:highlight w:val="none"/>
                <w:lang w:val="en-US" w:eastAsia="zh-CN"/>
              </w:rPr>
              <w:t>60</w:t>
            </w:r>
            <w:r>
              <w:rPr>
                <w:rFonts w:hint="eastAsia" w:ascii="仿宋" w:hAnsi="仿宋" w:eastAsia="仿宋" w:cs="仿宋"/>
                <w:highlight w:val="none"/>
              </w:rPr>
              <w:t>分</w:t>
            </w:r>
            <w:r>
              <w:rPr>
                <w:rFonts w:hint="eastAsia" w:ascii="仿宋" w:hAnsi="仿宋" w:eastAsia="仿宋" w:cs="仿宋"/>
                <w:highlight w:val="none"/>
                <w:lang w:val="zh-CN"/>
              </w:rPr>
              <w:t>）</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技术</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参数</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default" w:eastAsia="仿宋"/>
                <w:highlight w:val="none"/>
                <w:lang w:val="en-US" w:eastAsia="zh-CN"/>
              </w:rPr>
            </w:pPr>
            <w:r>
              <w:rPr>
                <w:rFonts w:hint="eastAsia" w:ascii="仿宋" w:hAnsi="仿宋" w:eastAsia="仿宋"/>
                <w:color w:val="auto"/>
                <w:highlight w:val="none"/>
              </w:rPr>
              <w:t>投标产品</w:t>
            </w:r>
            <w:r>
              <w:rPr>
                <w:rFonts w:hint="eastAsia" w:ascii="仿宋" w:hAnsi="仿宋" w:eastAsia="仿宋" w:cs="仿宋"/>
                <w:sz w:val="24"/>
                <w:szCs w:val="24"/>
                <w:highlight w:val="none"/>
                <w:vertAlign w:val="baseline"/>
                <w:lang w:val="en-US" w:eastAsia="zh-CN"/>
              </w:rPr>
              <w:t>技术</w:t>
            </w:r>
            <w:r>
              <w:rPr>
                <w:rFonts w:hint="eastAsia" w:ascii="仿宋" w:hAnsi="仿宋" w:eastAsia="仿宋"/>
                <w:color w:val="auto"/>
                <w:highlight w:val="none"/>
              </w:rPr>
              <w:t>参数、规格型号、性能等技术说明资料，投标人</w:t>
            </w:r>
            <w:r>
              <w:rPr>
                <w:rFonts w:hint="eastAsia" w:ascii="仿宋" w:hAnsi="仿宋" w:eastAsia="仿宋"/>
                <w:color w:val="auto"/>
                <w:highlight w:val="none"/>
                <w:lang w:eastAsia="zh-CN"/>
              </w:rPr>
              <w:t>针对技术参数中</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lang w:eastAsia="zh-CN"/>
              </w:rPr>
              <w:t>须</w:t>
            </w:r>
            <w:r>
              <w:rPr>
                <w:rFonts w:hint="eastAsia" w:ascii="仿宋" w:hAnsi="仿宋" w:eastAsia="仿宋"/>
                <w:color w:val="auto"/>
                <w:highlight w:val="none"/>
              </w:rPr>
              <w:t>提供产品技术资料，生产厂家出具的产品质量证书、相应功能证明材料（包括但不限于测试报告、官网和功能截图等）。满足招标文件要求得</w:t>
            </w:r>
            <w:r>
              <w:rPr>
                <w:rFonts w:hint="eastAsia" w:ascii="仿宋" w:hAnsi="仿宋" w:eastAsia="仿宋"/>
                <w:color w:val="auto"/>
                <w:highlight w:val="none"/>
                <w:lang w:val="en-US" w:eastAsia="zh-CN"/>
              </w:rPr>
              <w:t>20</w:t>
            </w:r>
            <w:r>
              <w:rPr>
                <w:rFonts w:hint="eastAsia" w:ascii="仿宋" w:hAnsi="仿宋" w:eastAsia="仿宋"/>
                <w:color w:val="auto"/>
                <w:highlight w:val="none"/>
              </w:rPr>
              <w:t>分，</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rPr>
              <w:t>每负偏离</w:t>
            </w:r>
            <w:r>
              <w:rPr>
                <w:rFonts w:hint="eastAsia" w:ascii="仿宋" w:hAnsi="仿宋" w:eastAsia="仿宋"/>
                <w:color w:val="auto"/>
                <w:highlight w:val="none"/>
                <w:lang w:eastAsia="zh-CN"/>
              </w:rPr>
              <w:t>（</w:t>
            </w:r>
            <w:r>
              <w:rPr>
                <w:rFonts w:hint="eastAsia" w:ascii="仿宋" w:hAnsi="仿宋" w:eastAsia="仿宋"/>
                <w:color w:val="auto"/>
                <w:highlight w:val="none"/>
                <w:lang w:val="en-US" w:eastAsia="zh-CN"/>
              </w:rPr>
              <w:t>或未提供证明材料）</w:t>
            </w:r>
            <w:r>
              <w:rPr>
                <w:rFonts w:hint="eastAsia" w:ascii="仿宋" w:hAnsi="仿宋" w:eastAsia="仿宋"/>
                <w:color w:val="auto"/>
                <w:highlight w:val="none"/>
              </w:rPr>
              <w:t>一项扣</w:t>
            </w:r>
            <w:r>
              <w:rPr>
                <w:rFonts w:hint="eastAsia" w:ascii="仿宋" w:hAnsi="仿宋" w:eastAsia="仿宋"/>
                <w:color w:val="auto"/>
                <w:highlight w:val="none"/>
                <w:lang w:val="en-US" w:eastAsia="zh-CN"/>
              </w:rPr>
              <w:t>2</w:t>
            </w:r>
            <w:r>
              <w:rPr>
                <w:rFonts w:hint="eastAsia" w:ascii="仿宋" w:hAnsi="仿宋" w:eastAsia="仿宋"/>
                <w:color w:val="auto"/>
                <w:highlight w:val="none"/>
              </w:rPr>
              <w:t>分，一般项每负偏离一项扣</w:t>
            </w:r>
            <w:r>
              <w:rPr>
                <w:rFonts w:hint="eastAsia" w:ascii="仿宋" w:hAnsi="仿宋" w:eastAsia="仿宋"/>
                <w:color w:val="auto"/>
                <w:highlight w:val="none"/>
                <w:lang w:val="en-US" w:eastAsia="zh-CN"/>
              </w:rPr>
              <w:t>1</w:t>
            </w:r>
            <w:r>
              <w:rPr>
                <w:rFonts w:hint="eastAsia" w:ascii="仿宋" w:hAnsi="仿宋" w:eastAsia="仿宋"/>
                <w:color w:val="auto"/>
                <w:highlight w:val="none"/>
              </w:rPr>
              <w:t>分，扣完为止。</w:t>
            </w:r>
            <w:r>
              <w:rPr>
                <w:rFonts w:hint="eastAsia" w:ascii="仿宋" w:hAnsi="仿宋" w:eastAsia="仿宋"/>
                <w:color w:val="auto"/>
                <w:highlight w:val="none"/>
                <w:lang w:val="en-US" w:eastAsia="zh-CN"/>
              </w:rPr>
              <w:t>在完全满足技术参数的基础上，每优于一项参数加1分，满分5分（须提供证明材料）。</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highlight w:val="none"/>
                <w:lang w:val="zh-CN"/>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设备供应方案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lang w:eastAsia="zh-CN"/>
              </w:rPr>
              <w:t>设备供应方案</w:t>
            </w:r>
            <w:r>
              <w:rPr>
                <w:rFonts w:hint="eastAsia" w:ascii="仿宋" w:hAnsi="仿宋" w:eastAsia="仿宋" w:cs="仿宋"/>
                <w:highlight w:val="none"/>
                <w:lang w:val="en-US" w:eastAsia="zh-CN"/>
              </w:rPr>
              <w:t>，包括但不限于①具体详细设备规格描述；</w:t>
            </w:r>
            <w:r>
              <w:rPr>
                <w:rFonts w:hint="eastAsia" w:ascii="仿宋" w:hAnsi="仿宋" w:eastAsia="仿宋" w:cs="仿宋"/>
                <w:b w:val="0"/>
                <w:bCs w:val="0"/>
                <w:highlight w:val="none"/>
                <w:lang w:val="en-US" w:eastAsia="zh-CN"/>
              </w:rPr>
              <w:t>②设备配置先进、</w:t>
            </w:r>
            <w:r>
              <w:rPr>
                <w:rFonts w:hint="eastAsia" w:ascii="仿宋" w:hAnsi="仿宋" w:eastAsia="仿宋" w:cs="仿宋"/>
                <w:b w:val="0"/>
                <w:bCs w:val="0"/>
                <w:color w:val="000000"/>
                <w:sz w:val="24"/>
                <w:highlight w:val="none"/>
              </w:rPr>
              <w:t>选型科学合理，配置齐全</w:t>
            </w:r>
            <w:r>
              <w:rPr>
                <w:rFonts w:hint="eastAsia" w:ascii="仿宋" w:hAnsi="仿宋" w:eastAsia="仿宋" w:cs="仿宋"/>
                <w:highlight w:val="none"/>
                <w:lang w:val="en-US" w:eastAsia="zh-CN"/>
              </w:rPr>
              <w:t>；③确保设备供应渠道正常（不限于授权函、销售协议、代理协议等）、质量保证、检验手续合法有效、无产权纠纷。</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w:t>
            </w:r>
            <w:r>
              <w:rPr>
                <w:rFonts w:hint="eastAsia" w:ascii="仿宋" w:hAnsi="仿宋" w:eastAsia="仿宋" w:cs="仿宋"/>
                <w:highlight w:val="none"/>
                <w:lang w:val="en-US" w:eastAsia="zh-CN"/>
              </w:rPr>
              <w:t>内容缺项扣3分，扣完为止。每有一项评审内容存在缺陷，扣0.5-2分。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Cs/>
                <w:highlight w:val="none"/>
              </w:rPr>
              <w:t>实施方案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实施方案</w:t>
            </w:r>
            <w:r>
              <w:rPr>
                <w:rFonts w:hint="eastAsia" w:ascii="仿宋" w:hAnsi="仿宋" w:eastAsia="仿宋" w:cs="仿宋"/>
                <w:highlight w:val="none"/>
                <w:lang w:val="en-US" w:eastAsia="zh-CN"/>
              </w:rPr>
              <w:t>，包括但不限于①</w:t>
            </w:r>
            <w:r>
              <w:rPr>
                <w:rFonts w:hint="eastAsia" w:ascii="仿宋" w:hAnsi="仿宋" w:eastAsia="仿宋" w:cs="仿宋"/>
                <w:highlight w:val="none"/>
              </w:rPr>
              <w:t>详细的实施计划</w:t>
            </w:r>
            <w:r>
              <w:rPr>
                <w:rFonts w:hint="eastAsia" w:ascii="仿宋" w:hAnsi="仿宋" w:eastAsia="仿宋" w:cs="仿宋"/>
                <w:highlight w:val="none"/>
                <w:lang w:val="en-US" w:eastAsia="zh-CN"/>
              </w:rPr>
              <w:t>；②具有完善</w:t>
            </w:r>
            <w:r>
              <w:rPr>
                <w:rFonts w:hint="eastAsia" w:ascii="仿宋" w:hAnsi="仿宋" w:eastAsia="仿宋" w:cs="仿宋"/>
                <w:color w:val="000000"/>
                <w:sz w:val="24"/>
                <w:highlight w:val="none"/>
              </w:rPr>
              <w:t>供货组织安排</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详细的人员、财力调配、运输、配送措施</w:t>
            </w:r>
            <w:r>
              <w:rPr>
                <w:rFonts w:hint="eastAsia" w:ascii="仿宋" w:hAnsi="仿宋" w:eastAsia="仿宋" w:cs="仿宋"/>
                <w:highlight w:val="none"/>
                <w:lang w:val="en-US" w:eastAsia="zh-CN"/>
              </w:rPr>
              <w:t>；③具有健全</w:t>
            </w:r>
            <w:r>
              <w:rPr>
                <w:rFonts w:hint="eastAsia" w:ascii="仿宋" w:hAnsi="仿宋" w:eastAsia="仿宋" w:cs="仿宋"/>
                <w:highlight w:val="none"/>
              </w:rPr>
              <w:t>产品安装、检测、调试、试运行及验收方案</w:t>
            </w:r>
            <w:r>
              <w:rPr>
                <w:rFonts w:hint="eastAsia" w:ascii="仿宋" w:hAnsi="仿宋" w:eastAsia="仿宋" w:cs="仿宋"/>
                <w:highlight w:val="none"/>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上述3项评审内容全部满足评审标准得9分，每有一个评审内容缺项扣3分，扣完为止。每有一项评审内容存在缺陷，扣0.5-2分。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保障</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仿宋" w:hAnsi="仿宋" w:eastAsia="仿宋" w:cs="仿宋"/>
                <w:highlight w:val="none"/>
                <w:lang w:val="en-US"/>
              </w:rPr>
            </w:pPr>
            <w:r>
              <w:rPr>
                <w:rFonts w:hint="eastAsia" w:ascii="仿宋" w:hAnsi="仿宋" w:eastAsia="仿宋" w:cs="仿宋"/>
                <w:sz w:val="24"/>
                <w:szCs w:val="24"/>
                <w:highlight w:val="none"/>
                <w:lang w:val="en-US" w:eastAsia="zh-CN"/>
              </w:rPr>
              <w:t>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投标人针对本项目提供保障措施，包括但不限于①合理的进度计划安排</w:t>
            </w:r>
            <w:r>
              <w:rPr>
                <w:rFonts w:hint="eastAsia" w:ascii="仿宋" w:hAnsi="仿宋" w:eastAsia="仿宋" w:cs="仿宋"/>
                <w:sz w:val="24"/>
                <w:szCs w:val="24"/>
                <w:highlight w:val="none"/>
                <w:lang w:val="zh-CN" w:eastAsia="zh-CN"/>
              </w:rPr>
              <w:t>②质量保障措施</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lang w:val="zh-CN" w:eastAsia="zh-CN"/>
              </w:rPr>
              <w:t>质量保障承诺④</w:t>
            </w:r>
            <w:r>
              <w:rPr>
                <w:rFonts w:hint="eastAsia" w:ascii="仿宋" w:hAnsi="仿宋" w:eastAsia="仿宋" w:cs="仿宋"/>
                <w:sz w:val="24"/>
                <w:szCs w:val="24"/>
                <w:highlight w:val="none"/>
                <w:lang w:val="en-US" w:eastAsia="zh-CN"/>
              </w:rPr>
              <w:t>安全保证措施完善。</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上述4项评审内容全部满足评审标准得8分，每有一个评审内容缺项扣2分，扣完为止。每有一项评审内容存在缺陷，扣0.5-1分。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highlight w:val="none"/>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highlight w:val="none"/>
              </w:rPr>
            </w:pPr>
            <w:r>
              <w:rPr>
                <w:rFonts w:hint="eastAsia" w:ascii="仿宋" w:hAnsi="仿宋" w:eastAsia="仿宋" w:cs="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w:t>
            </w:r>
          </w:p>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根据本项目特点制定应急方案，方案应包括但不限于①设备故障响应时限②维修服务到场响应时限③备品备件不足的紧急措施④应急突发状况处置措施。</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上述4项评审内容全部满足评审标准得4分，每有一个评审内容缺项扣1分，扣完为止。每有一项评审内容存在缺陷，扣0.1-0.9分。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bCs/>
                <w:highlight w:val="none"/>
              </w:rPr>
              <w:t>售后服务</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售后服务方案</w:t>
            </w:r>
            <w:r>
              <w:rPr>
                <w:rFonts w:hint="eastAsia" w:ascii="仿宋" w:hAnsi="仿宋" w:eastAsia="仿宋" w:cs="仿宋"/>
                <w:bCs/>
                <w:highlight w:val="none"/>
                <w:lang w:eastAsia="zh-CN"/>
              </w:rPr>
              <w:t>及承诺</w:t>
            </w:r>
            <w:r>
              <w:rPr>
                <w:rFonts w:hint="eastAsia" w:ascii="仿宋" w:hAnsi="仿宋" w:eastAsia="仿宋" w:cs="仿宋"/>
                <w:highlight w:val="none"/>
                <w:lang w:val="en-US" w:eastAsia="zh-CN"/>
              </w:rPr>
              <w:t>，包括但不限于①</w:t>
            </w:r>
            <w:r>
              <w:rPr>
                <w:rFonts w:hint="eastAsia" w:ascii="仿宋" w:hAnsi="仿宋" w:eastAsia="仿宋"/>
                <w:highlight w:val="none"/>
              </w:rPr>
              <w:t>针对本项目的</w:t>
            </w:r>
            <w:r>
              <w:rPr>
                <w:rFonts w:hint="eastAsia" w:ascii="仿宋" w:hAnsi="仿宋" w:eastAsia="仿宋"/>
                <w:highlight w:val="none"/>
                <w:lang w:eastAsia="zh-CN"/>
              </w:rPr>
              <w:t>售后服务</w:t>
            </w:r>
            <w:r>
              <w:rPr>
                <w:rFonts w:hint="eastAsia" w:ascii="仿宋" w:hAnsi="仿宋" w:eastAsia="仿宋"/>
                <w:highlight w:val="none"/>
              </w:rPr>
              <w:t>方案及承诺</w:t>
            </w:r>
            <w:r>
              <w:rPr>
                <w:rFonts w:hint="eastAsia" w:ascii="仿宋" w:hAnsi="仿宋" w:eastAsia="仿宋" w:cs="仿宋"/>
                <w:highlight w:val="none"/>
                <w:lang w:val="en-US" w:eastAsia="zh-CN"/>
              </w:rPr>
              <w:t>；②具有建全的</w:t>
            </w:r>
            <w:r>
              <w:rPr>
                <w:rFonts w:hint="eastAsia" w:ascii="仿宋" w:hAnsi="仿宋" w:eastAsia="仿宋"/>
                <w:highlight w:val="none"/>
              </w:rPr>
              <w:t>售后服务机构</w:t>
            </w:r>
            <w:r>
              <w:rPr>
                <w:rFonts w:hint="eastAsia" w:ascii="仿宋" w:hAnsi="仿宋" w:eastAsia="仿宋"/>
                <w:highlight w:val="none"/>
                <w:lang w:eastAsia="zh-CN"/>
              </w:rPr>
              <w:t>、</w:t>
            </w:r>
            <w:r>
              <w:rPr>
                <w:rFonts w:hint="eastAsia" w:ascii="仿宋" w:hAnsi="仿宋" w:eastAsia="仿宋"/>
                <w:highlight w:val="none"/>
              </w:rPr>
              <w:t>配备专职维修人员</w:t>
            </w:r>
            <w:r>
              <w:rPr>
                <w:rFonts w:hint="eastAsia" w:ascii="仿宋" w:hAnsi="仿宋" w:eastAsia="仿宋"/>
                <w:highlight w:val="none"/>
                <w:lang w:eastAsia="zh-CN"/>
              </w:rPr>
              <w:t>；③</w:t>
            </w:r>
            <w:r>
              <w:rPr>
                <w:rFonts w:hint="eastAsia" w:ascii="仿宋" w:hAnsi="仿宋" w:eastAsia="仿宋"/>
                <w:highlight w:val="none"/>
              </w:rPr>
              <w:t>承诺维修服务具体时限与优惠措施</w:t>
            </w:r>
            <w:r>
              <w:rPr>
                <w:rFonts w:hint="eastAsia" w:ascii="仿宋" w:hAnsi="仿宋" w:eastAsia="仿宋" w:cs="仿宋"/>
                <w:highlight w:val="none"/>
                <w:lang w:val="en-US" w:eastAsia="zh-CN"/>
              </w:rPr>
              <w:t>；④</w:t>
            </w:r>
            <w:r>
              <w:rPr>
                <w:rFonts w:hint="eastAsia" w:ascii="仿宋" w:hAnsi="仿宋" w:eastAsia="仿宋"/>
                <w:highlight w:val="none"/>
              </w:rPr>
              <w:t>提供</w:t>
            </w:r>
            <w:r>
              <w:rPr>
                <w:rFonts w:hint="eastAsia" w:ascii="仿宋" w:hAnsi="仿宋" w:eastAsia="仿宋"/>
                <w:highlight w:val="none"/>
                <w:lang w:eastAsia="zh-CN"/>
              </w:rPr>
              <w:t>具体的</w:t>
            </w:r>
            <w:r>
              <w:rPr>
                <w:rFonts w:hint="eastAsia" w:ascii="仿宋" w:hAnsi="仿宋" w:eastAsia="仿宋"/>
                <w:highlight w:val="none"/>
                <w:lang w:val="zh-CN"/>
              </w:rPr>
              <w:t>培训方案、培训内容、培训方式等⑤针对</w:t>
            </w:r>
            <w:r>
              <w:rPr>
                <w:rFonts w:hint="eastAsia" w:ascii="仿宋" w:hAnsi="仿宋" w:eastAsia="仿宋"/>
                <w:highlight w:val="none"/>
              </w:rPr>
              <w:t>本项目的合理化建议</w:t>
            </w:r>
            <w:r>
              <w:rPr>
                <w:rFonts w:hint="eastAsia" w:ascii="仿宋" w:hAnsi="仿宋" w:eastAsia="仿宋"/>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上述5项评审内容全部满足评审标准得5分，每有一个评审内容缺项扣1分，扣完为止。每有一项评审内容存在缺陷，扣0.1-0.9分。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bCs/>
                <w:highlight w:val="none"/>
                <w:lang w:val="en-US" w:eastAsia="zh-CN"/>
              </w:rPr>
              <w:t>5</w:t>
            </w:r>
          </w:p>
        </w:tc>
      </w:tr>
    </w:tbl>
    <w:p>
      <w:pPr>
        <w:pStyle w:val="105"/>
        <w:spacing w:line="360" w:lineRule="auto"/>
        <w:ind w:firstLine="482" w:firstLineChars="200"/>
        <w:jc w:val="both"/>
        <w:outlineLvl w:val="3"/>
        <w:rPr>
          <w:rFonts w:ascii="仿宋" w:eastAsia="仿宋" w:cs="仿宋"/>
          <w:b/>
          <w:bCs/>
          <w:sz w:val="24"/>
          <w:szCs w:val="24"/>
          <w:highlight w:val="none"/>
        </w:rPr>
      </w:pPr>
      <w:bookmarkStart w:id="547" w:name="_GoBack"/>
      <w:bookmarkEnd w:id="547"/>
      <w:r>
        <w:rPr>
          <w:rFonts w:hint="eastAsia" w:ascii="仿宋" w:eastAsia="仿宋" w:cs="仿宋"/>
          <w:b/>
          <w:bCs/>
          <w:sz w:val="24"/>
          <w:szCs w:val="24"/>
          <w:highlight w:val="none"/>
        </w:rPr>
        <w:t>4．推荐中标候选人</w:t>
      </w:r>
      <w:bookmarkEnd w:id="289"/>
      <w:bookmarkEnd w:id="290"/>
      <w:bookmarkEnd w:id="291"/>
      <w:bookmarkEnd w:id="292"/>
      <w:bookmarkEnd w:id="293"/>
      <w:bookmarkEnd w:id="294"/>
      <w:bookmarkEnd w:id="295"/>
      <w:bookmarkEnd w:id="296"/>
      <w:bookmarkEnd w:id="297"/>
      <w:bookmarkEnd w:id="298"/>
      <w:bookmarkEnd w:id="299"/>
      <w:bookmarkEnd w:id="300"/>
      <w:bookmarkEnd w:id="30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评标结果按评审后得分由高到低顺序排列。得分相同的，按投标报价由低到高顺序排列。得分且投标报价相同的并列。投标文件满足招标文件全部实质性要求，且按照评审因素的量化指标评审得分最高的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为排名第一的中标候选人。</w:t>
      </w:r>
    </w:p>
    <w:p>
      <w:pPr>
        <w:pStyle w:val="105"/>
        <w:spacing w:line="360" w:lineRule="auto"/>
        <w:ind w:firstLine="482" w:firstLineChars="200"/>
        <w:jc w:val="both"/>
        <w:outlineLvl w:val="3"/>
        <w:rPr>
          <w:rFonts w:ascii="仿宋" w:eastAsia="仿宋" w:cs="仿宋"/>
          <w:b/>
          <w:bCs/>
          <w:sz w:val="24"/>
          <w:szCs w:val="24"/>
          <w:highlight w:val="none"/>
        </w:rPr>
      </w:pPr>
      <w:bookmarkStart w:id="302" w:name="_Toc136"/>
      <w:bookmarkStart w:id="303" w:name="_Toc6487"/>
      <w:bookmarkStart w:id="304" w:name="_Toc10673"/>
      <w:bookmarkStart w:id="305" w:name="_Toc18755"/>
      <w:bookmarkStart w:id="306" w:name="_Toc24102"/>
      <w:bookmarkStart w:id="307" w:name="_Toc18667"/>
      <w:bookmarkStart w:id="308" w:name="_Toc9669"/>
      <w:bookmarkStart w:id="309" w:name="_Toc14218"/>
      <w:bookmarkStart w:id="310" w:name="_Toc24909"/>
      <w:bookmarkStart w:id="311" w:name="_Toc28187"/>
      <w:bookmarkStart w:id="312" w:name="_Toc15099"/>
      <w:bookmarkStart w:id="313" w:name="_Toc17918"/>
      <w:r>
        <w:rPr>
          <w:rFonts w:hint="eastAsia" w:ascii="仿宋" w:eastAsia="仿宋" w:cs="仿宋"/>
          <w:b/>
          <w:bCs/>
          <w:sz w:val="24"/>
          <w:szCs w:val="24"/>
          <w:highlight w:val="none"/>
        </w:rPr>
        <w:t>5．编写评审报告</w:t>
      </w:r>
      <w:bookmarkEnd w:id="302"/>
      <w:bookmarkEnd w:id="303"/>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评审报告是评标委员会根据全体评标成员签字的原始评标记录和评标结果编写的报告，其主要内容包括：</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（1）招标公告刊登的媒体名称、开标日期和地点；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（2）投标</w:t>
      </w:r>
      <w:r>
        <w:rPr>
          <w:rFonts w:hint="eastAsia" w:ascii="仿宋" w:hAnsi="仿宋" w:eastAsia="仿宋" w:cs="仿宋"/>
          <w:highlight w:val="none"/>
          <w:lang w:eastAsia="zh-CN"/>
        </w:rPr>
        <w:t>投标人</w:t>
      </w:r>
      <w:r>
        <w:rPr>
          <w:rFonts w:hint="eastAsia" w:ascii="仿宋" w:hAnsi="仿宋" w:eastAsia="仿宋" w:cs="仿宋"/>
          <w:highlight w:val="none"/>
        </w:rPr>
        <w:t>名单和评标委员会成员名单；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（3）评标方法；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（4）开标记录和评标情况及说明，包括投标无效</w:t>
      </w:r>
      <w:r>
        <w:rPr>
          <w:rFonts w:hint="eastAsia" w:ascii="仿宋" w:hAnsi="仿宋" w:eastAsia="仿宋" w:cs="仿宋"/>
          <w:highlight w:val="none"/>
          <w:lang w:eastAsia="zh-CN"/>
        </w:rPr>
        <w:t>投标人</w:t>
      </w:r>
      <w:r>
        <w:rPr>
          <w:rFonts w:hint="eastAsia" w:ascii="仿宋" w:hAnsi="仿宋" w:eastAsia="仿宋" w:cs="仿宋"/>
          <w:highlight w:val="none"/>
        </w:rPr>
        <w:t>名单及原因；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（5）评标结果，确定的中标候选人名单或者经采购人委托直接确定的中标</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（6）其他需要说明的情况，包括评标过程中投标</w:t>
      </w:r>
      <w:r>
        <w:rPr>
          <w:rFonts w:hint="eastAsia" w:ascii="仿宋" w:hAnsi="仿宋" w:eastAsia="仿宋" w:cs="仿宋"/>
          <w:highlight w:val="none"/>
          <w:lang w:eastAsia="zh-CN"/>
        </w:rPr>
        <w:t>投标人</w:t>
      </w:r>
      <w:r>
        <w:rPr>
          <w:rFonts w:hint="eastAsia" w:ascii="仿宋" w:hAnsi="仿宋" w:eastAsia="仿宋" w:cs="仿宋"/>
          <w:highlight w:val="none"/>
        </w:rPr>
        <w:t>根据评标委员会要求进行的澄清、说明或者补正，评标委员会成员的更换等。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pStyle w:val="106"/>
        <w:spacing w:before="0" w:beforeLines="0" w:after="0" w:afterLines="0" w:line="360" w:lineRule="auto"/>
        <w:ind w:firstLine="482"/>
        <w:outlineLvl w:val="2"/>
        <w:rPr>
          <w:rFonts w:ascii="仿宋" w:eastAsia="仿宋" w:cs="仿宋"/>
          <w:sz w:val="24"/>
          <w:szCs w:val="24"/>
          <w:highlight w:val="none"/>
        </w:rPr>
      </w:pPr>
      <w:bookmarkStart w:id="314" w:name="_Toc1035"/>
      <w:bookmarkStart w:id="315" w:name="_Toc1169"/>
      <w:r>
        <w:rPr>
          <w:rFonts w:hint="eastAsia" w:ascii="仿宋" w:eastAsia="仿宋" w:cs="仿宋"/>
          <w:sz w:val="24"/>
          <w:szCs w:val="24"/>
          <w:highlight w:val="none"/>
        </w:rPr>
        <w:t>（三）评标争议处理规则</w:t>
      </w:r>
      <w:bookmarkEnd w:id="314"/>
      <w:bookmarkEnd w:id="3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pPr>
        <w:pStyle w:val="106"/>
        <w:spacing w:before="0" w:beforeLines="0" w:after="0" w:afterLines="0" w:line="360" w:lineRule="auto"/>
        <w:ind w:firstLine="482"/>
        <w:outlineLvl w:val="2"/>
        <w:rPr>
          <w:rFonts w:ascii="仿宋" w:eastAsia="仿宋" w:cs="仿宋"/>
          <w:sz w:val="24"/>
          <w:szCs w:val="24"/>
          <w:highlight w:val="none"/>
        </w:rPr>
      </w:pPr>
      <w:bookmarkStart w:id="316" w:name="_Toc8805"/>
      <w:bookmarkStart w:id="317" w:name="_Toc19388"/>
      <w:r>
        <w:rPr>
          <w:rFonts w:hint="eastAsia" w:ascii="仿宋" w:eastAsia="仿宋" w:cs="仿宋"/>
          <w:sz w:val="24"/>
          <w:szCs w:val="24"/>
          <w:highlight w:val="none"/>
        </w:rPr>
        <w:t>（四）评审现场人员的保密责任</w:t>
      </w:r>
      <w:bookmarkEnd w:id="316"/>
      <w:bookmarkEnd w:id="3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pPr>
        <w:pStyle w:val="106"/>
        <w:spacing w:before="0" w:beforeLines="0" w:after="0" w:afterLines="0" w:line="360" w:lineRule="auto"/>
        <w:ind w:firstLine="482"/>
        <w:outlineLvl w:val="2"/>
        <w:rPr>
          <w:rFonts w:ascii="仿宋" w:eastAsia="仿宋" w:cs="仿宋"/>
          <w:sz w:val="24"/>
          <w:szCs w:val="24"/>
          <w:highlight w:val="none"/>
        </w:rPr>
      </w:pPr>
      <w:bookmarkStart w:id="318" w:name="_Toc25739"/>
      <w:bookmarkStart w:id="319" w:name="_Toc1992"/>
      <w:r>
        <w:rPr>
          <w:rFonts w:hint="eastAsia" w:ascii="仿宋" w:eastAsia="仿宋" w:cs="仿宋"/>
          <w:sz w:val="24"/>
          <w:szCs w:val="24"/>
          <w:highlight w:val="none"/>
        </w:rPr>
        <w:t>（五）视同</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串通投标的情形，其投标无效：</w:t>
      </w:r>
      <w:bookmarkEnd w:id="318"/>
      <w:bookmarkEnd w:id="3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的投标文件由同一单位或者个人编制；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2．不同</w:t>
      </w:r>
      <w:r>
        <w:rPr>
          <w:rFonts w:hint="eastAsia" w:ascii="仿宋" w:hAnsi="仿宋" w:eastAsia="仿宋" w:cs="仿宋"/>
          <w:highlight w:val="none"/>
          <w:lang w:eastAsia="zh-CN"/>
        </w:rPr>
        <w:t>投标人</w:t>
      </w:r>
      <w:r>
        <w:rPr>
          <w:rFonts w:hint="eastAsia" w:ascii="仿宋" w:hAnsi="仿宋" w:eastAsia="仿宋" w:cs="仿宋"/>
          <w:highlight w:val="none"/>
        </w:rPr>
        <w:t>委托同一单位或者个人办理投标事宜；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的投标文件载明的项目管理成员或者联系人员为同一人；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的投标文件异常一致或者投标报价呈规律性差异。</w:t>
      </w:r>
    </w:p>
    <w:p>
      <w:pPr>
        <w:pStyle w:val="3"/>
        <w:spacing w:line="360" w:lineRule="auto"/>
        <w:ind w:firstLine="482"/>
        <w:rPr>
          <w:rFonts w:ascii="仿宋" w:hAnsi="仿宋" w:eastAsia="仿宋" w:cs="仿宋"/>
          <w:b/>
          <w:bCs/>
          <w:sz w:val="24"/>
          <w:szCs w:val="24"/>
          <w:highlight w:val="none"/>
        </w:rPr>
      </w:pPr>
      <w:bookmarkStart w:id="320" w:name="_Toc4730"/>
      <w:bookmarkStart w:id="321" w:name="_Toc25950"/>
      <w:r>
        <w:rPr>
          <w:rFonts w:hint="eastAsia" w:ascii="仿宋" w:hAnsi="仿宋" w:eastAsia="仿宋" w:cs="仿宋"/>
          <w:b/>
          <w:bCs/>
          <w:sz w:val="24"/>
          <w:szCs w:val="24"/>
          <w:highlight w:val="none"/>
        </w:rPr>
        <w:t>八、中标</w:t>
      </w:r>
      <w:bookmarkEnd w:id="320"/>
      <w:bookmarkEnd w:id="3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1．采购代理机构在评标工作结束后1个工作日内将评审报告送采购人。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2．采购人在收到评审报告后4个工作日内，从评审报告提出的成交候选人中，按照排序由高到低的原则确定成交</w:t>
      </w:r>
      <w:r>
        <w:rPr>
          <w:rFonts w:hint="eastAsia" w:ascii="仿宋" w:hAnsi="仿宋" w:eastAsia="仿宋" w:cs="仿宋"/>
          <w:highlight w:val="none"/>
          <w:lang w:eastAsia="zh-CN"/>
        </w:rPr>
        <w:t>投标人</w:t>
      </w:r>
      <w:r>
        <w:rPr>
          <w:rFonts w:hint="eastAsia" w:ascii="仿宋" w:hAnsi="仿宋" w:eastAsia="仿宋" w:cs="仿宋"/>
          <w:highlight w:val="none"/>
        </w:rPr>
        <w:t>，并函告采购代理机构。</w:t>
      </w:r>
    </w:p>
    <w:p>
      <w:pPr>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3.采购人逾期未确定成交</w:t>
      </w:r>
      <w:r>
        <w:rPr>
          <w:rFonts w:hint="eastAsia" w:ascii="仿宋" w:hAnsi="仿宋" w:eastAsia="仿宋" w:cs="仿宋"/>
          <w:highlight w:val="none"/>
          <w:lang w:eastAsia="zh-CN"/>
        </w:rPr>
        <w:t>投标人</w:t>
      </w:r>
      <w:r>
        <w:rPr>
          <w:rFonts w:hint="eastAsia" w:ascii="仿宋" w:hAnsi="仿宋" w:eastAsia="仿宋" w:cs="仿宋"/>
          <w:highlight w:val="none"/>
        </w:rPr>
        <w:t>且不提出异议的，视为确定评审报告提出排序第一的</w:t>
      </w:r>
      <w:r>
        <w:rPr>
          <w:rFonts w:hint="eastAsia" w:ascii="仿宋" w:hAnsi="仿宋" w:eastAsia="仿宋" w:cs="仿宋"/>
          <w:highlight w:val="none"/>
          <w:lang w:eastAsia="zh-CN"/>
        </w:rPr>
        <w:t>投标人</w:t>
      </w:r>
      <w:r>
        <w:rPr>
          <w:rFonts w:hint="eastAsia" w:ascii="仿宋" w:hAnsi="仿宋" w:eastAsia="仿宋" w:cs="仿宋"/>
          <w:highlight w:val="none"/>
        </w:rPr>
        <w:t>为成交</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4．采购代理机构将在中标</w:t>
      </w:r>
      <w:r>
        <w:rPr>
          <w:rFonts w:hint="eastAsia" w:ascii="仿宋" w:hAnsi="仿宋" w:eastAsia="仿宋" w:cs="仿宋"/>
          <w:highlight w:val="none"/>
          <w:lang w:eastAsia="zh-CN"/>
        </w:rPr>
        <w:t>投标人</w:t>
      </w:r>
      <w:r>
        <w:rPr>
          <w:rFonts w:hint="eastAsia" w:ascii="仿宋" w:hAnsi="仿宋" w:eastAsia="仿宋" w:cs="仿宋"/>
          <w:highlight w:val="none"/>
        </w:rPr>
        <w:t>确定之日起1个工作日内，在【</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）上公布中标结果。中标公告期限为1个工作日。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5．在公告中标结果的同时，代理机构在线向中标（成交）</w:t>
      </w:r>
      <w:r>
        <w:rPr>
          <w:rFonts w:hint="eastAsia" w:ascii="仿宋" w:hAnsi="仿宋" w:eastAsia="仿宋" w:cs="仿宋"/>
          <w:highlight w:val="none"/>
          <w:lang w:eastAsia="zh-CN"/>
        </w:rPr>
        <w:t>投标人</w:t>
      </w:r>
      <w:r>
        <w:rPr>
          <w:rFonts w:hint="eastAsia" w:ascii="仿宋" w:hAnsi="仿宋" w:eastAsia="仿宋" w:cs="仿宋"/>
          <w:highlight w:val="none"/>
        </w:rPr>
        <w:t>发出中标（成交）通知书，</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可登录【全国公共资源交易平台（陕西省•西安市）】网站〖首页〉电子交易平台〉企业端〗后，在〖我的项目/项目流程〗模块中点击下载“中标（成交）通知书”。中标</w:t>
      </w:r>
      <w:r>
        <w:rPr>
          <w:rFonts w:hint="eastAsia" w:ascii="仿宋" w:hAnsi="仿宋" w:eastAsia="仿宋" w:cs="仿宋"/>
          <w:highlight w:val="none"/>
          <w:lang w:eastAsia="zh-CN"/>
        </w:rPr>
        <w:t>人</w:t>
      </w:r>
      <w:r>
        <w:rPr>
          <w:rFonts w:hint="eastAsia" w:ascii="仿宋" w:hAnsi="仿宋" w:eastAsia="仿宋" w:cs="仿宋"/>
          <w:highlight w:val="none"/>
        </w:rPr>
        <w:t>下载中标（成交）通知书后，向采购代理机构提供一正两副（可根据需要调整数量）纸质投标（响应）文件用于备案及档案保存。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6．采用综合评分法评审的，</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中心（陕西省·西安市）】网站〖首页·〉电子交易平台·〉企业端〗，登录后切换到〖我的项目〗模块，依次点选〖项目流程·〉项目管理·〉评标结果查看〗，查看本单位的最终得分与排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7．采购代理机构按照相关规定将评审报告送监管机构备案。</w:t>
      </w:r>
    </w:p>
    <w:p>
      <w:pPr>
        <w:pStyle w:val="3"/>
        <w:spacing w:line="360" w:lineRule="auto"/>
        <w:ind w:firstLine="482"/>
        <w:rPr>
          <w:rFonts w:ascii="仿宋" w:hAnsi="仿宋" w:eastAsia="仿宋" w:cs="仿宋"/>
          <w:b/>
          <w:bCs/>
          <w:sz w:val="24"/>
          <w:szCs w:val="24"/>
          <w:highlight w:val="none"/>
        </w:rPr>
      </w:pPr>
      <w:bookmarkStart w:id="322" w:name="_Toc3392"/>
      <w:bookmarkStart w:id="323" w:name="_Toc32403"/>
      <w:r>
        <w:rPr>
          <w:rFonts w:hint="eastAsia" w:ascii="仿宋" w:hAnsi="仿宋" w:eastAsia="仿宋" w:cs="仿宋"/>
          <w:b/>
          <w:bCs/>
          <w:sz w:val="24"/>
          <w:szCs w:val="24"/>
          <w:highlight w:val="none"/>
        </w:rPr>
        <w:t>九、合同签订、履行及验收</w:t>
      </w:r>
      <w:bookmarkEnd w:id="322"/>
      <w:bookmarkEnd w:id="323"/>
    </w:p>
    <w:p>
      <w:pPr>
        <w:spacing w:line="360" w:lineRule="auto"/>
        <w:ind w:firstLine="480" w:firstLineChars="200"/>
        <w:jc w:val="both"/>
        <w:rPr>
          <w:rFonts w:ascii="仿宋_GB2312" w:hAnsi="仿宋" w:eastAsia="仿宋_GB2312"/>
          <w:sz w:val="32"/>
          <w:szCs w:val="32"/>
          <w:highlight w:val="none"/>
        </w:rPr>
      </w:pPr>
      <w:r>
        <w:rPr>
          <w:rFonts w:hint="eastAsia" w:ascii="仿宋" w:hAnsi="仿宋" w:eastAsia="仿宋" w:cs="仿宋"/>
          <w:highlight w:val="none"/>
        </w:rPr>
        <w:t>招标文件、投标文件、澄清、补充合同等为政府采购合同的组成部分，具有同等法律效力</w:t>
      </w:r>
      <w:r>
        <w:rPr>
          <w:rFonts w:hint="eastAsia" w:ascii="仿宋_GB2312" w:hAnsi="仿宋" w:eastAsia="仿宋_GB2312"/>
          <w:sz w:val="32"/>
          <w:szCs w:val="32"/>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324" w:name="_Toc10136"/>
      <w:bookmarkStart w:id="325" w:name="_Toc10762"/>
      <w:r>
        <w:rPr>
          <w:rFonts w:hint="eastAsia" w:ascii="仿宋" w:eastAsia="仿宋" w:cs="仿宋"/>
          <w:sz w:val="24"/>
          <w:szCs w:val="24"/>
          <w:highlight w:val="none"/>
        </w:rPr>
        <w:t>（一）签订政府采购合同</w:t>
      </w:r>
      <w:bookmarkEnd w:id="324"/>
      <w:bookmarkEnd w:id="3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1．自中标通知书发出之日起30日内，采购人与中标</w:t>
      </w:r>
      <w:r>
        <w:rPr>
          <w:rFonts w:hint="eastAsia" w:ascii="仿宋" w:hAnsi="仿宋" w:eastAsia="仿宋" w:cs="仿宋"/>
          <w:highlight w:val="none"/>
          <w:lang w:eastAsia="zh-CN"/>
        </w:rPr>
        <w:t>投标人</w:t>
      </w:r>
      <w:r>
        <w:rPr>
          <w:rFonts w:hint="eastAsia" w:ascii="仿宋" w:hAnsi="仿宋" w:eastAsia="仿宋" w:cs="仿宋"/>
          <w:highlight w:val="none"/>
        </w:rPr>
        <w:t>应按招标文件和中标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投标文件的约定，签订书面合同。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2．中标</w:t>
      </w:r>
      <w:r>
        <w:rPr>
          <w:rFonts w:hint="eastAsia" w:ascii="仿宋" w:hAnsi="仿宋" w:eastAsia="仿宋" w:cs="仿宋"/>
          <w:highlight w:val="none"/>
          <w:lang w:eastAsia="zh-CN"/>
        </w:rPr>
        <w:t>投标人</w:t>
      </w:r>
      <w:r>
        <w:rPr>
          <w:rFonts w:hint="eastAsia" w:ascii="仿宋" w:hAnsi="仿宋" w:eastAsia="仿宋" w:cs="仿宋"/>
          <w:highlight w:val="none"/>
        </w:rPr>
        <w:t>拒绝与采购人签订合同的，采购人可以按照《政府采购法实施条例》第四十九条规定，确定下一候选人为中标</w:t>
      </w:r>
      <w:r>
        <w:rPr>
          <w:rFonts w:hint="eastAsia" w:ascii="仿宋" w:hAnsi="仿宋" w:eastAsia="仿宋" w:cs="仿宋"/>
          <w:highlight w:val="none"/>
          <w:lang w:eastAsia="zh-CN"/>
        </w:rPr>
        <w:t>投标人</w:t>
      </w:r>
      <w:r>
        <w:rPr>
          <w:rFonts w:hint="eastAsia" w:ascii="仿宋" w:hAnsi="仿宋" w:eastAsia="仿宋" w:cs="仿宋"/>
          <w:highlight w:val="none"/>
        </w:rPr>
        <w:t>，也可以重新开展政府采购活动。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3．采购人不得向中标</w:t>
      </w:r>
      <w:r>
        <w:rPr>
          <w:rFonts w:hint="eastAsia" w:ascii="仿宋" w:hAnsi="仿宋" w:eastAsia="仿宋" w:cs="仿宋"/>
          <w:highlight w:val="none"/>
          <w:lang w:eastAsia="zh-CN"/>
        </w:rPr>
        <w:t>投标人</w:t>
      </w:r>
      <w:r>
        <w:rPr>
          <w:rFonts w:hint="eastAsia" w:ascii="仿宋" w:hAnsi="仿宋" w:eastAsia="仿宋" w:cs="仿宋"/>
          <w:highlight w:val="none"/>
        </w:rPr>
        <w:t>提出任何不合理的要求，作为签订合同的条件，不得与中标</w:t>
      </w:r>
      <w:r>
        <w:rPr>
          <w:rFonts w:hint="eastAsia" w:ascii="仿宋" w:hAnsi="仿宋" w:eastAsia="仿宋" w:cs="仿宋"/>
          <w:highlight w:val="none"/>
          <w:lang w:eastAsia="zh-CN"/>
        </w:rPr>
        <w:t>投标人</w:t>
      </w:r>
      <w:r>
        <w:rPr>
          <w:rFonts w:hint="eastAsia" w:ascii="仿宋" w:hAnsi="仿宋" w:eastAsia="仿宋" w:cs="仿宋"/>
          <w:highlight w:val="none"/>
        </w:rPr>
        <w:t>私下订立背离合同实质性内容的任何协议，所签订的合同不得对招标文件和中标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投标文件作实质性修改。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4．质疑或者投诉事项可能影响中标、成交结果的，采购人应当暂停签订合同，已经签订合同的，应当中止履行合同。</w:t>
      </w:r>
    </w:p>
    <w:p>
      <w:pPr>
        <w:pStyle w:val="106"/>
        <w:spacing w:before="0" w:beforeLines="0" w:after="0" w:afterLines="0" w:line="360" w:lineRule="auto"/>
        <w:ind w:firstLine="482"/>
        <w:outlineLvl w:val="2"/>
        <w:rPr>
          <w:rFonts w:ascii="仿宋" w:eastAsia="仿宋" w:cs="仿宋"/>
          <w:sz w:val="24"/>
          <w:szCs w:val="24"/>
          <w:highlight w:val="none"/>
        </w:rPr>
      </w:pPr>
      <w:bookmarkStart w:id="326" w:name="_Toc14217"/>
      <w:bookmarkStart w:id="327" w:name="_Toc21317"/>
      <w:r>
        <w:rPr>
          <w:rFonts w:hint="eastAsia" w:ascii="仿宋" w:eastAsia="仿宋" w:cs="仿宋"/>
          <w:sz w:val="24"/>
          <w:szCs w:val="24"/>
          <w:highlight w:val="none"/>
        </w:rPr>
        <w:t>（二）合同公告及备案</w:t>
      </w:r>
      <w:bookmarkEnd w:id="326"/>
      <w:bookmarkEnd w:id="3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1．采购人应当自政府采购合同签订之日起2个工作日内，在陕西省政府采购网对合同进行公示，但政府采购合同中涉及国家秘密、商业秘密的内容除外。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2．采购人应自合同签订之日起7个工作日内将政府采购合同报送监管机构备案。</w:t>
      </w:r>
    </w:p>
    <w:p>
      <w:pPr>
        <w:pStyle w:val="106"/>
        <w:spacing w:before="0" w:beforeLines="0" w:after="0" w:afterLines="0" w:line="360" w:lineRule="auto"/>
        <w:ind w:firstLine="482"/>
        <w:outlineLvl w:val="2"/>
        <w:rPr>
          <w:rFonts w:ascii="仿宋" w:eastAsia="仿宋" w:cs="仿宋"/>
          <w:sz w:val="24"/>
          <w:szCs w:val="24"/>
          <w:highlight w:val="none"/>
        </w:rPr>
      </w:pPr>
      <w:bookmarkStart w:id="328" w:name="_Toc9210"/>
      <w:bookmarkStart w:id="329" w:name="_Toc27623"/>
      <w:r>
        <w:rPr>
          <w:rFonts w:hint="eastAsia" w:ascii="仿宋" w:eastAsia="仿宋" w:cs="仿宋"/>
          <w:sz w:val="24"/>
          <w:szCs w:val="24"/>
          <w:highlight w:val="none"/>
        </w:rPr>
        <w:t>（三）履行合同</w:t>
      </w:r>
      <w:bookmarkEnd w:id="328"/>
      <w:bookmarkEnd w:id="3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1．合同一经签订，双方应严格履行合同规定的义务。</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2．在合同履行过程中，如发生合同纠纷，合同双方应按照《中华人民共和国民法典》及合同条款的有关规定进行处理。</w:t>
      </w:r>
    </w:p>
    <w:p>
      <w:pPr>
        <w:pStyle w:val="106"/>
        <w:spacing w:before="0" w:beforeLines="0" w:after="0" w:afterLines="0" w:line="360" w:lineRule="auto"/>
        <w:ind w:firstLine="482"/>
        <w:outlineLvl w:val="2"/>
        <w:rPr>
          <w:rFonts w:ascii="仿宋" w:eastAsia="仿宋" w:cs="仿宋"/>
          <w:sz w:val="24"/>
          <w:szCs w:val="24"/>
          <w:highlight w:val="none"/>
        </w:rPr>
      </w:pPr>
      <w:bookmarkStart w:id="330" w:name="_Toc11037"/>
      <w:bookmarkStart w:id="331" w:name="_Toc21162"/>
      <w:r>
        <w:rPr>
          <w:rFonts w:hint="eastAsia" w:ascii="仿宋" w:eastAsia="仿宋" w:cs="仿宋"/>
          <w:sz w:val="24"/>
          <w:szCs w:val="24"/>
          <w:highlight w:val="none"/>
        </w:rPr>
        <w:t>（四）验收或考核</w:t>
      </w:r>
      <w:bookmarkEnd w:id="330"/>
      <w:bookmarkEnd w:id="3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1．采购人严格按照国家相关法律法规的要求及招标文件的要求组织验收或考核。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2．采购人按《关于促进政府采购公平竞争优化营商环境的通知》（财库〔2019〕38号）、《保障中小企业款项支付条例》（国务院令第728号）等规定及采购合同的约定进行支付合同款项。</w:t>
      </w:r>
    </w:p>
    <w:p>
      <w:pPr>
        <w:snapToGrid w:val="0"/>
        <w:spacing w:line="360" w:lineRule="auto"/>
        <w:ind w:firstLine="482" w:firstLineChars="200"/>
        <w:outlineLvl w:val="1"/>
        <w:rPr>
          <w:rFonts w:ascii="仿宋" w:hAnsi="仿宋" w:eastAsia="仿宋" w:cs="仿宋"/>
          <w:b/>
          <w:color w:val="auto"/>
          <w:sz w:val="24"/>
          <w:szCs w:val="24"/>
          <w:highlight w:val="none"/>
        </w:rPr>
      </w:pPr>
      <w:bookmarkStart w:id="332" w:name="_Toc22334"/>
      <w:bookmarkStart w:id="333" w:name="_Toc20008"/>
      <w:bookmarkStart w:id="334" w:name="_Toc20679"/>
      <w:bookmarkStart w:id="335" w:name="_Toc495908035"/>
      <w:bookmarkStart w:id="336" w:name="_Toc7570"/>
      <w:bookmarkStart w:id="337" w:name="_Toc495681390"/>
      <w:bookmarkStart w:id="338" w:name="_Toc29351"/>
      <w:bookmarkStart w:id="339" w:name="_Toc18466"/>
      <w:bookmarkStart w:id="340" w:name="_Toc495681517"/>
      <w:bookmarkStart w:id="341" w:name="_Toc495681236"/>
      <w:bookmarkStart w:id="342" w:name="_Toc20127"/>
      <w:bookmarkStart w:id="343" w:name="_Toc26884"/>
      <w:bookmarkStart w:id="344" w:name="_Toc7638"/>
      <w:bookmarkStart w:id="345" w:name="_Toc24838"/>
      <w:bookmarkStart w:id="346" w:name="_Toc19"/>
      <w:bookmarkStart w:id="347" w:name="_Toc18844"/>
      <w:bookmarkStart w:id="348" w:name="_Toc7379"/>
      <w:bookmarkStart w:id="349" w:name="_Toc25429"/>
      <w:bookmarkStart w:id="350" w:name="_Toc14567"/>
      <w:bookmarkStart w:id="351" w:name="_Toc16765"/>
      <w:r>
        <w:rPr>
          <w:rFonts w:hint="eastAsia" w:ascii="仿宋" w:hAnsi="仿宋" w:eastAsia="仿宋" w:cs="仿宋"/>
          <w:b/>
          <w:color w:val="auto"/>
          <w:sz w:val="24"/>
          <w:szCs w:val="24"/>
          <w:highlight w:val="none"/>
        </w:rPr>
        <w:t>十、成交服务费</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（一）本项目招标代理服务费由成交供应商在成交结果公示期满后三个工作日内按照标准支付给招标代理机构。</w:t>
      </w:r>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spacing w:line="360" w:lineRule="auto"/>
        <w:ind w:firstLine="480" w:firstLineChars="200"/>
        <w:jc w:val="right"/>
        <w:rPr>
          <w:rFonts w:hint="eastAsia" w:ascii="仿宋" w:hAnsi="仿宋" w:eastAsia="仿宋" w:cs="仿宋"/>
          <w:highlight w:val="none"/>
          <w:lang w:val="zh-CN"/>
        </w:rPr>
      </w:pPr>
      <w:r>
        <w:rPr>
          <w:rFonts w:hint="eastAsia" w:ascii="仿宋" w:hAnsi="仿宋" w:eastAsia="仿宋" w:cs="仿宋"/>
          <w:highlight w:val="none"/>
          <w:lang w:val="zh-CN"/>
        </w:rPr>
        <w:t>单位：万元</w:t>
      </w:r>
    </w:p>
    <w:tbl>
      <w:tblPr>
        <w:tblStyle w:val="36"/>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pacing w:line="360" w:lineRule="auto"/>
              <w:ind w:firstLine="960" w:firstLineChars="400"/>
              <w:rPr>
                <w:rFonts w:ascii="仿宋" w:hAnsi="仿宋" w:eastAsia="仿宋" w:cs="仿宋"/>
                <w:b/>
                <w:color w:val="auto"/>
                <w:sz w:val="24"/>
                <w:szCs w:val="24"/>
              </w:rPr>
            </w:pPr>
            <w:r>
              <w:rPr>
                <w:rFonts w:ascii="仿宋" w:hAnsi="仿宋" w:eastAsia="仿宋" w:cs="仿宋"/>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3" name="直接箭头连接符 13"/>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round/>
                                <a:headEnd type="none" w="med" len="med"/>
                                <a:tailEnd type="none" w="med" len="med"/>
                              </a:ln>
                              <a:effectLst/>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bMgP1QAAAAcBAAAPAAAAAAAAAAEAIAAAACIA&#10;AABkcnMvZG93bnJldi54bWxQSwECFAAUAAAACACHTuJAHsUFkwwCAAAL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中标金额</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（三）成交供应商服务费交纳信息：</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银行户名：陕西笃信招标有限公司</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开户银行：中国建设银行股份有限公司西安劳动北路支行</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   号：61050174390000000193</w:t>
      </w:r>
    </w:p>
    <w:p>
      <w:pPr>
        <w:pStyle w:val="3"/>
        <w:spacing w:line="360" w:lineRule="auto"/>
        <w:ind w:firstLine="482"/>
        <w:rPr>
          <w:rFonts w:ascii="仿宋" w:hAnsi="仿宋" w:eastAsia="仿宋" w:cs="仿宋"/>
          <w:b/>
          <w:bCs/>
          <w:sz w:val="24"/>
          <w:szCs w:val="24"/>
        </w:rPr>
      </w:pPr>
      <w:bookmarkStart w:id="352" w:name="_Toc2887"/>
      <w:bookmarkStart w:id="353" w:name="_Toc19369"/>
      <w:bookmarkStart w:id="354" w:name="_Toc3893"/>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、废标及重新招标</w:t>
      </w:r>
      <w:bookmarkEnd w:id="352"/>
      <w:bookmarkEnd w:id="353"/>
      <w:bookmarkEnd w:id="354"/>
    </w:p>
    <w:p>
      <w:pPr>
        <w:spacing w:line="360" w:lineRule="auto"/>
        <w:ind w:firstLine="480" w:firstLineChars="200"/>
        <w:jc w:val="both"/>
        <w:rPr>
          <w:rFonts w:ascii="仿宋" w:hAnsi="仿宋" w:eastAsia="仿宋" w:cs="仿宋"/>
        </w:rPr>
      </w:pPr>
      <w:r>
        <w:rPr>
          <w:rFonts w:hint="eastAsia" w:ascii="仿宋" w:hAnsi="仿宋" w:eastAsia="仿宋" w:cs="仿宋"/>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spacing w:line="360" w:lineRule="auto"/>
        <w:ind w:firstLine="480" w:firstLineChars="200"/>
        <w:jc w:val="both"/>
        <w:rPr>
          <w:rFonts w:ascii="仿宋" w:hAnsi="仿宋" w:eastAsia="仿宋" w:cs="仿宋"/>
        </w:rPr>
      </w:pPr>
      <w:r>
        <w:rPr>
          <w:rFonts w:hint="eastAsia" w:ascii="仿宋" w:hAnsi="仿宋" w:eastAsia="仿宋" w:cs="仿宋"/>
        </w:rPr>
        <w:t>2．根据《政府采购法》第三十六条规定，在招标采购中，出现下列情形之一的，本项目按废标处理：</w:t>
      </w:r>
    </w:p>
    <w:p>
      <w:pPr>
        <w:spacing w:line="360" w:lineRule="auto"/>
        <w:ind w:firstLine="480" w:firstLineChars="200"/>
        <w:jc w:val="both"/>
        <w:rPr>
          <w:rFonts w:ascii="仿宋" w:hAnsi="仿宋" w:eastAsia="仿宋" w:cs="仿宋"/>
        </w:rPr>
      </w:pPr>
      <w:r>
        <w:rPr>
          <w:rFonts w:hint="eastAsia" w:ascii="仿宋" w:hAnsi="仿宋" w:eastAsia="仿宋" w:cs="仿宋"/>
        </w:rPr>
        <w:t>（1）出现影响采购公正的违法、违规行为的；</w:t>
      </w:r>
    </w:p>
    <w:p>
      <w:pPr>
        <w:spacing w:line="360" w:lineRule="auto"/>
        <w:ind w:firstLine="480" w:firstLineChars="200"/>
        <w:jc w:val="both"/>
        <w:rPr>
          <w:rFonts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的报价均超过了采购预算，采购人不能支付的；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（3）因重大变故，采购任务取消的。</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3.根据《政府采购货物和服务招标投标管理办法》（财政部第87号令）第四十三条</w:t>
      </w:r>
      <w:r>
        <w:rPr>
          <w:rFonts w:hint="eastAsia" w:ascii="仿宋" w:hAnsi="仿宋" w:eastAsia="仿宋" w:cs="仿宋"/>
          <w:highlight w:val="none"/>
        </w:rPr>
        <w:t>规定</w:t>
      </w:r>
      <w:r>
        <w:rPr>
          <w:rFonts w:hint="eastAsia" w:ascii="仿宋" w:hAnsi="仿宋" w:eastAsia="仿宋" w:cs="仿宋"/>
          <w:highlight w:val="none"/>
          <w:lang w:val="en-US" w:eastAsia="zh-CN"/>
        </w:rPr>
        <w:t xml:space="preserve"> 公开招标数额标准以上的采购项目，投标截止后投标人不足3家或者通过资格审查或符合性审查的投标人不足3家的，除采购任务取消情形外，按照以下方式处理：</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（1）招标文件存在不合理条款或者招标程序不符合规定的，采购人、采购代理机构改正后依法重新招标；</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（2）招标文件没有不合理条款、招标程序符合规定，需要采用其他采购方式采购的，采购人应当依法报财政部门批准。</w:t>
      </w:r>
    </w:p>
    <w:p>
      <w:pPr>
        <w:spacing w:line="360" w:lineRule="auto"/>
        <w:ind w:firstLine="480" w:firstLineChars="200"/>
        <w:jc w:val="both"/>
        <w:rPr>
          <w:rFonts w:ascii="仿宋" w:hAnsi="仿宋" w:eastAsia="仿宋" w:cs="仿宋"/>
        </w:rPr>
      </w:pPr>
      <w:r>
        <w:rPr>
          <w:rFonts w:hint="eastAsia" w:ascii="仿宋" w:hAnsi="仿宋" w:eastAsia="仿宋" w:cs="仿宋"/>
          <w:highlight w:val="none"/>
          <w:lang w:val="en-US" w:eastAsia="zh-CN"/>
        </w:rPr>
        <w:t>4</w:t>
      </w:r>
      <w:r>
        <w:rPr>
          <w:rFonts w:hint="eastAsia" w:ascii="仿宋" w:hAnsi="仿宋" w:eastAsia="仿宋" w:cs="仿宋"/>
          <w:highlight w:val="none"/>
        </w:rPr>
        <w:t>．在递交投标文件阶段、密封性等形式检查阶段、资格审查</w:t>
      </w:r>
      <w:r>
        <w:rPr>
          <w:rFonts w:hint="eastAsia" w:ascii="仿宋" w:hAnsi="仿宋" w:eastAsia="仿宋" w:cs="仿宋"/>
        </w:rPr>
        <w:t>阶段或评标委员会评标阶段，当出现有效投标</w:t>
      </w:r>
      <w:r>
        <w:rPr>
          <w:rFonts w:hint="eastAsia" w:ascii="仿宋" w:hAnsi="仿宋" w:eastAsia="仿宋" w:cs="仿宋"/>
          <w:lang w:eastAsia="zh-CN"/>
        </w:rPr>
        <w:t>投标人</w:t>
      </w:r>
      <w:r>
        <w:rPr>
          <w:rFonts w:hint="eastAsia" w:ascii="仿宋" w:hAnsi="仿宋" w:eastAsia="仿宋" w:cs="仿宋"/>
        </w:rPr>
        <w:t>不足3家时，本项目将依据西安市财政局《关于进一步规范市级预算单位变更政府采购方式审批管理的通知》（市财发〔2017〕186号）的有关规定，按政府采购监管部门事前批准的采购方式继续进行。</w:t>
      </w:r>
    </w:p>
    <w:p>
      <w:pPr>
        <w:spacing w:line="360" w:lineRule="auto"/>
        <w:ind w:firstLine="480" w:firstLineChars="200"/>
        <w:rPr>
          <w:rFonts w:ascii="仿宋" w:hAnsi="仿宋" w:eastAsia="仿宋" w:cs="仿宋"/>
          <w:sz w:val="32"/>
          <w:szCs w:val="32"/>
        </w:rPr>
      </w:pPr>
      <w:r>
        <w:rPr>
          <w:rFonts w:hint="eastAsia" w:ascii="仿宋" w:hAnsi="仿宋" w:eastAsia="仿宋" w:cs="仿宋"/>
          <w:lang w:val="en-US" w:eastAsia="zh-CN"/>
        </w:rPr>
        <w:t>5</w:t>
      </w:r>
      <w:r>
        <w:rPr>
          <w:rFonts w:hint="eastAsia" w:ascii="仿宋" w:hAnsi="仿宋" w:eastAsia="仿宋" w:cs="仿宋"/>
        </w:rPr>
        <w:t>．招标文件未明确的其他事项，按《政府采购法》及其相关法律法规执行。</w:t>
      </w:r>
    </w:p>
    <w:bookmarkEnd w:id="351"/>
    <w:p>
      <w:pPr>
        <w:pStyle w:val="2"/>
        <w:keepNext w:val="0"/>
        <w:keepLines w:val="0"/>
        <w:pageBreakBefore/>
        <w:widowControl/>
        <w:kinsoku/>
        <w:wordWrap/>
        <w:overflowPunct/>
        <w:topLinePunct w:val="0"/>
        <w:autoSpaceDE/>
        <w:autoSpaceDN/>
        <w:bidi w:val="0"/>
        <w:adjustRightInd/>
        <w:snapToGrid/>
        <w:textAlignment w:val="auto"/>
        <w:rPr>
          <w:rFonts w:ascii="仿宋" w:eastAsia="仿宋" w:cs="仿宋"/>
          <w:b/>
          <w:kern w:val="2"/>
          <w:sz w:val="32"/>
          <w:szCs w:val="32"/>
          <w:highlight w:val="none"/>
          <w:lang w:val="zh-CN"/>
        </w:rPr>
      </w:pPr>
      <w:bookmarkStart w:id="355" w:name="_Toc10743"/>
      <w:bookmarkStart w:id="356" w:name="_Toc100219614"/>
      <w:r>
        <w:rPr>
          <w:rFonts w:hint="eastAsia" w:ascii="仿宋" w:eastAsia="仿宋" w:cs="仿宋"/>
          <w:b/>
          <w:kern w:val="2"/>
          <w:sz w:val="32"/>
          <w:szCs w:val="32"/>
          <w:highlight w:val="none"/>
          <w:lang w:val="zh-CN"/>
        </w:rPr>
        <w:t>第三</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招标内容及要求</w:t>
      </w:r>
      <w:bookmarkEnd w:id="355"/>
      <w:bookmarkEnd w:id="356"/>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outlineLvl w:val="9"/>
        <w:rPr>
          <w:rFonts w:hint="eastAsia" w:ascii="仿宋" w:hAnsi="仿宋" w:eastAsia="仿宋" w:cs="仿宋"/>
          <w:b/>
          <w:bCs/>
          <w:i w:val="0"/>
          <w:iCs w:val="0"/>
          <w:color w:val="000000"/>
          <w:kern w:val="0"/>
          <w:sz w:val="24"/>
          <w:szCs w:val="24"/>
          <w:highlight w:val="none"/>
          <w:u w:val="none"/>
          <w:lang w:val="en-US" w:eastAsia="zh-CN" w:bidi="ar"/>
        </w:rPr>
      </w:pPr>
      <w:bookmarkStart w:id="357" w:name="_Toc100219615"/>
      <w:r>
        <w:rPr>
          <w:rFonts w:hint="eastAsia" w:ascii="仿宋" w:hAnsi="仿宋" w:eastAsia="仿宋" w:cs="仿宋"/>
          <w:b/>
          <w:bCs/>
          <w:i w:val="0"/>
          <w:iCs w:val="0"/>
          <w:color w:val="000000"/>
          <w:kern w:val="0"/>
          <w:sz w:val="24"/>
          <w:szCs w:val="24"/>
          <w:highlight w:val="none"/>
          <w:u w:val="none"/>
          <w:lang w:val="en-US" w:eastAsia="zh-CN" w:bidi="ar"/>
        </w:rPr>
        <w:t>包6：基础设备</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center"/>
        <w:outlineLvl w:val="9"/>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核心产品：超低温医用冰箱（-86度）</w:t>
      </w:r>
    </w:p>
    <w:p>
      <w:pPr>
        <w:bidi w:val="0"/>
        <w:spacing w:line="360" w:lineRule="auto"/>
        <w:jc w:val="center"/>
        <w:rPr>
          <w:rFonts w:hint="eastAsia" w:ascii="仿宋" w:hAnsi="仿宋" w:eastAsia="仿宋" w:cs="仿宋"/>
          <w:b/>
          <w:bCs/>
        </w:rPr>
      </w:pPr>
      <w:r>
        <w:rPr>
          <w:rFonts w:hint="eastAsia" w:ascii="仿宋" w:hAnsi="仿宋" w:eastAsia="仿宋" w:cs="仿宋"/>
          <w:b/>
          <w:bCs/>
        </w:rPr>
        <w:t>第一部分   产品明细表</w:t>
      </w:r>
    </w:p>
    <w:tbl>
      <w:tblPr>
        <w:tblStyle w:val="36"/>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4651"/>
        <w:gridCol w:w="143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4651"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设备名称</w:t>
            </w:r>
          </w:p>
        </w:tc>
        <w:tc>
          <w:tcPr>
            <w:tcW w:w="1431"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单位</w:t>
            </w:r>
          </w:p>
        </w:tc>
        <w:tc>
          <w:tcPr>
            <w:tcW w:w="1245" w:type="dxa"/>
            <w:noWrap w:val="0"/>
            <w:vAlign w:val="center"/>
          </w:tcPr>
          <w:p>
            <w:pPr>
              <w:jc w:val="center"/>
              <w:rPr>
                <w:rFonts w:hint="eastAsia" w:ascii="仿宋" w:hAnsi="仿宋" w:eastAsia="仿宋" w:cs="仿宋"/>
                <w:b/>
                <w:bCs/>
                <w:sz w:val="24"/>
                <w:szCs w:val="24"/>
              </w:rPr>
            </w:pPr>
            <w:r>
              <w:rPr>
                <w:rFonts w:hint="eastAsia" w:ascii="仿宋" w:hAnsi="仿宋" w:eastAsia="仿宋" w:cs="仿宋"/>
                <w:b/>
                <w:bCs/>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1</w:t>
            </w:r>
          </w:p>
        </w:tc>
        <w:tc>
          <w:tcPr>
            <w:tcW w:w="4651" w:type="dxa"/>
            <w:noWrap w:val="0"/>
            <w:vAlign w:val="center"/>
          </w:tcPr>
          <w:p>
            <w:pPr>
              <w:widowControl/>
              <w:jc w:val="left"/>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医用冰箱</w:t>
            </w:r>
          </w:p>
        </w:tc>
        <w:tc>
          <w:tcPr>
            <w:tcW w:w="1431" w:type="dxa"/>
            <w:noWrap w:val="0"/>
            <w:vAlign w:val="center"/>
          </w:tcPr>
          <w:p>
            <w:pPr>
              <w:widowControl/>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2</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超低温医用冰箱（-86℃）</w:t>
            </w:r>
          </w:p>
        </w:tc>
        <w:tc>
          <w:tcPr>
            <w:tcW w:w="1431" w:type="dxa"/>
            <w:noWrap w:val="0"/>
            <w:vAlign w:val="center"/>
          </w:tcPr>
          <w:p>
            <w:pPr>
              <w:widowControl/>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b/>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低温医用冰箱（-30℃）</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医用冷冻冷藏箱（2-8℃/-30℃）</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医用冷藏箱（2-8℃）</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医用冰箱冷链监控系统</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2—8度试剂冷库</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血液冷藏箱</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多功能转运车</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手术交换车</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11</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担架推车</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12</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辅助设施（器械车药品柜等）</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套</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13</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铲式担架</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14</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妇科检查床</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无菌敷料置物架</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16</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输液输血加温仪</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17</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自动洗胃机</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18</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空气消毒机</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19</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紫外线监测仪</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肝病治疗仪</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21</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超声引导可视人流系统</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22</w:t>
            </w:r>
          </w:p>
        </w:tc>
        <w:tc>
          <w:tcPr>
            <w:tcW w:w="4651" w:type="dxa"/>
            <w:noWrap w:val="0"/>
            <w:vAlign w:val="center"/>
          </w:tcPr>
          <w:p>
            <w:pPr>
              <w:widowControl/>
              <w:textAlignment w:val="bottom"/>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冷光源检查灯</w:t>
            </w:r>
          </w:p>
        </w:tc>
        <w:tc>
          <w:tcPr>
            <w:tcW w:w="1431"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台</w:t>
            </w:r>
          </w:p>
        </w:tc>
        <w:tc>
          <w:tcPr>
            <w:tcW w:w="1245" w:type="dxa"/>
            <w:noWrap w:val="0"/>
            <w:vAlign w:val="center"/>
          </w:tcPr>
          <w:p>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r>
    </w:tbl>
    <w:p>
      <w:pPr>
        <w:pageBreakBefore w:val="0"/>
        <w:kinsoku/>
        <w:wordWrap/>
        <w:overflowPunct/>
        <w:topLinePunct w:val="0"/>
        <w:autoSpaceDE/>
        <w:autoSpaceDN/>
        <w:bidi w:val="0"/>
        <w:spacing w:line="480" w:lineRule="exact"/>
        <w:ind w:left="0" w:firstLine="0" w:firstLineChars="0"/>
        <w:jc w:val="center"/>
        <w:rPr>
          <w:rFonts w:hint="eastAsia" w:ascii="宋体" w:hAnsi="宋体" w:eastAsia="宋体" w:cs="宋体"/>
          <w:b/>
          <w:bCs/>
          <w:kern w:val="0"/>
          <w:sz w:val="24"/>
          <w:szCs w:val="24"/>
        </w:rPr>
      </w:pPr>
    </w:p>
    <w:p>
      <w:pPr>
        <w:pageBreakBefore w:val="0"/>
        <w:kinsoku/>
        <w:wordWrap/>
        <w:overflowPunct/>
        <w:topLinePunct w:val="0"/>
        <w:autoSpaceDE/>
        <w:autoSpaceDN/>
        <w:bidi w:val="0"/>
        <w:spacing w:line="480" w:lineRule="exact"/>
        <w:ind w:left="0" w:firstLine="0" w:firstLineChars="0"/>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第二部分   技术参数</w:t>
      </w:r>
    </w:p>
    <w:p>
      <w:pPr>
        <w:pageBreakBefore w:val="0"/>
        <w:kinsoku/>
        <w:wordWrap/>
        <w:overflowPunct/>
        <w:topLinePunct w:val="0"/>
        <w:autoSpaceDE/>
        <w:autoSpaceDN/>
        <w:bidi w:val="0"/>
        <w:spacing w:line="480" w:lineRule="exact"/>
        <w:ind w:left="0" w:firstLine="0" w:firstLineChars="0"/>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第一、医用冰箱</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一、设备名称：医用冰箱</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二、设备数量：总数量44台</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三、技术参数</w:t>
      </w:r>
      <w:r>
        <w:rPr>
          <w:rFonts w:hint="eastAsia" w:ascii="仿宋" w:hAnsi="仿宋" w:eastAsia="仿宋" w:cs="仿宋"/>
          <w:b/>
          <w:bCs/>
          <w:kern w:val="0"/>
          <w:sz w:val="24"/>
          <w:szCs w:val="24"/>
        </w:rPr>
        <w:t>及要求</w:t>
      </w:r>
      <w:r>
        <w:rPr>
          <w:rFonts w:hint="eastAsia" w:ascii="仿宋" w:hAnsi="仿宋" w:eastAsia="仿宋" w:cs="仿宋"/>
          <w:b/>
          <w:bCs/>
          <w:kern w:val="0"/>
          <w:sz w:val="24"/>
          <w:szCs w:val="24"/>
          <w:lang w:eastAsia="zh-CN"/>
        </w:rPr>
        <w:t>：</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kern w:val="0"/>
          <w:sz w:val="24"/>
          <w:szCs w:val="24"/>
        </w:rPr>
        <w:t>（一）</w:t>
      </w:r>
      <w:r>
        <w:rPr>
          <w:rFonts w:hint="eastAsia" w:ascii="仿宋" w:hAnsi="仿宋" w:eastAsia="仿宋" w:cs="仿宋"/>
          <w:b/>
          <w:bCs/>
          <w:sz w:val="24"/>
          <w:szCs w:val="24"/>
        </w:rPr>
        <w:t>医用冰箱参数（18台）</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1.医用药品保存箱 -2℃-- -8℃ </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2.所属分类：冷柜</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3.箱门结构：侧开门</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4.功能：医用药品储存、定频 GSP认证 </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5.控制方式：电子温控</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6.制冷方式 ：风冷式</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7.压缩机类型：定频</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8.冷藏室容积：≥</w:t>
      </w:r>
      <w:r>
        <w:rPr>
          <w:rFonts w:hint="eastAsia" w:ascii="仿宋" w:hAnsi="仿宋" w:eastAsia="仿宋" w:cs="仿宋"/>
          <w:sz w:val="24"/>
          <w:szCs w:val="24"/>
          <w:lang w:val="en-US" w:eastAsia="zh-CN"/>
        </w:rPr>
        <w:t>300</w:t>
      </w:r>
      <w:r>
        <w:rPr>
          <w:rFonts w:hint="eastAsia" w:ascii="仿宋" w:hAnsi="仿宋" w:eastAsia="仿宋" w:cs="仿宋"/>
          <w:sz w:val="24"/>
          <w:szCs w:val="24"/>
        </w:rPr>
        <w:t>L</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9.能效等级：一级能效</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r>
        <w:rPr>
          <w:rFonts w:hint="eastAsia" w:ascii="仿宋" w:hAnsi="仿宋" w:eastAsia="仿宋" w:cs="仿宋"/>
          <w:sz w:val="24"/>
          <w:szCs w:val="24"/>
        </w:rPr>
        <w:t>.</w:t>
      </w:r>
      <w:r>
        <w:rPr>
          <w:rFonts w:hint="eastAsia" w:ascii="仿宋" w:hAnsi="仿宋" w:eastAsia="仿宋" w:cs="仿宋"/>
          <w:sz w:val="24"/>
          <w:szCs w:val="24"/>
          <w:lang w:eastAsia="zh-CN"/>
        </w:rPr>
        <w:t>参考</w:t>
      </w:r>
      <w:r>
        <w:rPr>
          <w:rFonts w:hint="eastAsia" w:ascii="仿宋" w:hAnsi="仿宋" w:eastAsia="仿宋" w:cs="仿宋"/>
          <w:sz w:val="24"/>
          <w:szCs w:val="24"/>
        </w:rPr>
        <w:t>尺寸 ：约600*61</w:t>
      </w:r>
      <w:r>
        <w:rPr>
          <w:rFonts w:hint="eastAsia" w:ascii="仿宋" w:hAnsi="仿宋" w:eastAsia="仿宋" w:cs="仿宋"/>
          <w:sz w:val="24"/>
          <w:szCs w:val="24"/>
          <w:lang w:val="en-US" w:eastAsia="zh-CN"/>
        </w:rPr>
        <w:t>0</w:t>
      </w:r>
      <w:r>
        <w:rPr>
          <w:rFonts w:hint="eastAsia" w:ascii="仿宋" w:hAnsi="仿宋" w:eastAsia="仿宋" w:cs="仿宋"/>
          <w:sz w:val="24"/>
          <w:szCs w:val="24"/>
        </w:rPr>
        <w:t>*1950mm</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.颜色：白色</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（二）医用冰箱参数（2台）</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1、温度范围-10°C～-25°C可调节，控温精度0.1℃；</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sz w:val="24"/>
          <w:szCs w:val="24"/>
          <w:lang w:eastAsia="zh-CN"/>
        </w:rPr>
        <w:t>★</w:t>
      </w:r>
      <w:r>
        <w:rPr>
          <w:rFonts w:hint="eastAsia" w:ascii="仿宋" w:hAnsi="仿宋" w:eastAsia="仿宋" w:cs="仿宋"/>
          <w:sz w:val="24"/>
          <w:szCs w:val="24"/>
        </w:rPr>
        <w:t>2、有效容积</w:t>
      </w:r>
      <w:r>
        <w:rPr>
          <w:rFonts w:hint="eastAsia" w:ascii="仿宋" w:hAnsi="仿宋" w:eastAsia="仿宋" w:cs="仿宋"/>
          <w:sz w:val="24"/>
          <w:szCs w:val="24"/>
          <w:lang w:eastAsia="zh-CN"/>
        </w:rPr>
        <w:t>≥</w:t>
      </w:r>
      <w:r>
        <w:rPr>
          <w:rFonts w:hint="eastAsia" w:ascii="仿宋" w:hAnsi="仿宋" w:eastAsia="仿宋" w:cs="仿宋"/>
          <w:sz w:val="24"/>
          <w:szCs w:val="24"/>
        </w:rPr>
        <w:t>260L</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sz w:val="24"/>
          <w:szCs w:val="24"/>
          <w:lang w:eastAsia="zh-CN"/>
        </w:rPr>
        <w:t>★</w:t>
      </w:r>
      <w:r>
        <w:rPr>
          <w:rFonts w:hint="eastAsia" w:ascii="仿宋" w:hAnsi="仿宋" w:eastAsia="仿宋" w:cs="仿宋"/>
          <w:sz w:val="24"/>
          <w:szCs w:val="24"/>
        </w:rPr>
        <w:t>3、微电脑控制，LCD数码显示箱内温度，显示精度0.1℃；</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w:t>
      </w:r>
      <w:bookmarkStart w:id="358" w:name="OLE_LINK46"/>
      <w:bookmarkStart w:id="359" w:name="OLE_LINK45"/>
      <w:r>
        <w:rPr>
          <w:rFonts w:hint="eastAsia" w:ascii="仿宋" w:hAnsi="仿宋" w:eastAsia="仿宋" w:cs="仿宋"/>
          <w:sz w:val="24"/>
          <w:szCs w:val="24"/>
        </w:rPr>
        <w:t>具有多种故障报警：高温报警、低温报警、传感器故障报警、开门报警、断电报警、环温高报警</w:t>
      </w:r>
      <w:bookmarkEnd w:id="358"/>
      <w:bookmarkEnd w:id="359"/>
      <w:r>
        <w:rPr>
          <w:rFonts w:hint="eastAsia" w:ascii="仿宋" w:hAnsi="仿宋" w:eastAsia="仿宋" w:cs="仿宋"/>
          <w:sz w:val="24"/>
          <w:szCs w:val="24"/>
          <w:lang w:eastAsia="zh-CN"/>
        </w:rPr>
        <w:t>等</w:t>
      </w:r>
      <w:r>
        <w:rPr>
          <w:rFonts w:hint="eastAsia" w:ascii="仿宋" w:hAnsi="仿宋" w:eastAsia="仿宋" w:cs="仿宋"/>
          <w:sz w:val="24"/>
          <w:szCs w:val="24"/>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5、具有多种报警方式：声音蜂鸣报警、数字闪烁报警、符号闪烁报警，远程报警接口</w:t>
      </w:r>
      <w:r>
        <w:rPr>
          <w:rFonts w:hint="eastAsia" w:ascii="仿宋" w:hAnsi="仿宋" w:eastAsia="仿宋" w:cs="仿宋"/>
          <w:sz w:val="24"/>
          <w:szCs w:val="24"/>
          <w:lang w:eastAsia="zh-CN"/>
        </w:rPr>
        <w:t>等</w:t>
      </w:r>
      <w:r>
        <w:rPr>
          <w:rFonts w:hint="eastAsia" w:ascii="仿宋" w:hAnsi="仿宋" w:eastAsia="仿宋" w:cs="仿宋"/>
          <w:sz w:val="24"/>
          <w:szCs w:val="24"/>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eastAsia="zh-CN"/>
        </w:rPr>
        <w:t>具有</w:t>
      </w:r>
      <w:r>
        <w:rPr>
          <w:rFonts w:hint="eastAsia" w:ascii="仿宋" w:hAnsi="仿宋" w:eastAsia="仿宋" w:cs="仿宋"/>
          <w:sz w:val="24"/>
          <w:szCs w:val="24"/>
        </w:rPr>
        <w:t>多重保护功能：开机延时保护、停机间隔保护、显示面板保护、断电记忆数据保护、传感器故障保护运行</w:t>
      </w:r>
      <w:r>
        <w:rPr>
          <w:rFonts w:hint="eastAsia" w:ascii="仿宋" w:hAnsi="仿宋" w:eastAsia="仿宋" w:cs="仿宋"/>
          <w:sz w:val="24"/>
          <w:szCs w:val="24"/>
          <w:lang w:eastAsia="zh-CN"/>
        </w:rPr>
        <w:t>等</w:t>
      </w:r>
      <w:r>
        <w:rPr>
          <w:rFonts w:hint="eastAsia" w:ascii="仿宋" w:hAnsi="仿宋" w:eastAsia="仿宋" w:cs="仿宋"/>
          <w:sz w:val="24"/>
          <w:szCs w:val="24"/>
        </w:rPr>
        <w:t xml:space="preserve">； </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7、具有断电报警功能，且在产品断电后能有数字温度显示≥24小时；</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8、宽电压带，适合</w:t>
      </w:r>
      <w:r>
        <w:rPr>
          <w:rFonts w:hint="eastAsia" w:ascii="仿宋" w:hAnsi="仿宋" w:eastAsia="仿宋" w:cs="仿宋"/>
          <w:sz w:val="24"/>
          <w:szCs w:val="24"/>
          <w:lang w:val="en-US" w:eastAsia="zh-CN"/>
        </w:rPr>
        <w:t>190-240</w:t>
      </w:r>
      <w:r>
        <w:rPr>
          <w:rFonts w:hint="eastAsia" w:ascii="仿宋" w:hAnsi="仿宋" w:eastAsia="仿宋" w:cs="仿宋"/>
          <w:sz w:val="24"/>
          <w:szCs w:val="24"/>
        </w:rPr>
        <w:t>V电压下使用；</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9、采用HC环保制冷剂和制冷系统，LBA无氟发泡；</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10、搁架式蒸发器设计</w:t>
      </w:r>
      <w:r>
        <w:rPr>
          <w:rFonts w:hint="eastAsia" w:ascii="仿宋" w:hAnsi="仿宋" w:eastAsia="仿宋" w:cs="仿宋"/>
          <w:sz w:val="24"/>
          <w:szCs w:val="24"/>
          <w:lang w:eastAsia="zh-CN"/>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11、箱壳采用冷轧钢板喷粉；内胆采用PS板吸附材质</w:t>
      </w:r>
      <w:r>
        <w:rPr>
          <w:rFonts w:hint="eastAsia" w:ascii="仿宋" w:hAnsi="仿宋" w:eastAsia="仿宋" w:cs="仿宋"/>
          <w:sz w:val="24"/>
          <w:szCs w:val="24"/>
          <w:lang w:eastAsia="zh-CN"/>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12、箱体背板采用镀锌钢板</w:t>
      </w:r>
      <w:r>
        <w:rPr>
          <w:rFonts w:hint="eastAsia" w:ascii="仿宋" w:hAnsi="仿宋" w:eastAsia="仿宋" w:cs="仿宋"/>
          <w:sz w:val="24"/>
          <w:szCs w:val="24"/>
          <w:lang w:eastAsia="zh-CN"/>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13、</w:t>
      </w:r>
      <w:r>
        <w:rPr>
          <w:rFonts w:hint="eastAsia" w:ascii="仿宋" w:hAnsi="仿宋" w:eastAsia="仿宋" w:cs="仿宋"/>
          <w:sz w:val="24"/>
          <w:szCs w:val="24"/>
          <w:lang w:eastAsia="zh-CN"/>
        </w:rPr>
        <w:t>≥</w:t>
      </w:r>
      <w:r>
        <w:rPr>
          <w:rFonts w:hint="eastAsia" w:ascii="仿宋" w:hAnsi="仿宋" w:eastAsia="仿宋" w:cs="仿宋"/>
          <w:sz w:val="24"/>
          <w:szCs w:val="24"/>
        </w:rPr>
        <w:t>85mm保温层，门体可拆卸式密封条设计，顶部双密封设计；</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sz w:val="24"/>
          <w:szCs w:val="24"/>
          <w:lang w:eastAsia="zh-CN"/>
        </w:rPr>
        <w:t>★</w:t>
      </w:r>
      <w:r>
        <w:rPr>
          <w:rFonts w:hint="eastAsia" w:ascii="仿宋" w:hAnsi="仿宋" w:eastAsia="仿宋" w:cs="仿宋"/>
          <w:sz w:val="24"/>
          <w:szCs w:val="24"/>
        </w:rPr>
        <w:t>14、门体机械暗锁+锁扣设计；</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sz w:val="24"/>
          <w:szCs w:val="24"/>
          <w:lang w:eastAsia="zh-CN"/>
        </w:rPr>
        <w:t>★</w:t>
      </w:r>
      <w:r>
        <w:rPr>
          <w:rFonts w:hint="eastAsia" w:ascii="仿宋" w:hAnsi="仿宋" w:eastAsia="仿宋" w:cs="仿宋"/>
          <w:sz w:val="24"/>
          <w:szCs w:val="24"/>
        </w:rPr>
        <w:t>15、</w:t>
      </w:r>
      <w:r>
        <w:rPr>
          <w:rFonts w:hint="eastAsia" w:ascii="仿宋" w:hAnsi="仿宋" w:eastAsia="仿宋" w:cs="仿宋"/>
          <w:sz w:val="24"/>
          <w:szCs w:val="24"/>
          <w:lang w:eastAsia="zh-CN"/>
        </w:rPr>
        <w:t>≥</w:t>
      </w:r>
      <w:r>
        <w:rPr>
          <w:rFonts w:hint="eastAsia" w:ascii="仿宋" w:hAnsi="仿宋" w:eastAsia="仿宋" w:cs="仿宋"/>
          <w:sz w:val="24"/>
          <w:szCs w:val="24"/>
        </w:rPr>
        <w:t>7个独立塑料抽屉设计；</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b w:val="0"/>
          <w:bCs w:val="0"/>
          <w:sz w:val="24"/>
          <w:szCs w:val="24"/>
          <w:lang w:eastAsia="zh-CN"/>
        </w:rPr>
        <w:t>★</w:t>
      </w:r>
      <w:r>
        <w:rPr>
          <w:rFonts w:hint="eastAsia" w:ascii="仿宋" w:hAnsi="仿宋" w:eastAsia="仿宋" w:cs="仿宋"/>
          <w:sz w:val="24"/>
          <w:szCs w:val="24"/>
        </w:rPr>
        <w:t>16、测试孔设计；</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17、平衡阀设计；</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18、脚轮+底脚设计；</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19、噪音</w:t>
      </w:r>
      <w:r>
        <w:rPr>
          <w:rFonts w:hint="eastAsia" w:ascii="仿宋" w:hAnsi="仿宋" w:eastAsia="仿宋" w:cs="仿宋"/>
          <w:sz w:val="24"/>
          <w:szCs w:val="24"/>
          <w:lang w:eastAsia="zh-CN"/>
        </w:rPr>
        <w:t>≤</w:t>
      </w:r>
      <w:r>
        <w:rPr>
          <w:rFonts w:hint="eastAsia" w:ascii="仿宋" w:hAnsi="仿宋" w:eastAsia="仿宋" w:cs="仿宋"/>
          <w:sz w:val="24"/>
          <w:szCs w:val="24"/>
        </w:rPr>
        <w:t>35dB；</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20、可选配USB接口或RS485</w:t>
      </w:r>
      <w:r>
        <w:rPr>
          <w:rFonts w:hint="eastAsia" w:ascii="仿宋" w:hAnsi="仿宋" w:eastAsia="仿宋" w:cs="仿宋"/>
          <w:sz w:val="24"/>
          <w:szCs w:val="24"/>
          <w:lang w:eastAsia="zh-CN"/>
        </w:rPr>
        <w:t>。</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（三）医用血标本冰箱</w:t>
      </w:r>
      <w:r>
        <w:rPr>
          <w:rFonts w:hint="eastAsia" w:ascii="仿宋" w:hAnsi="仿宋" w:eastAsia="仿宋" w:cs="仿宋"/>
          <w:b/>
          <w:bCs/>
          <w:sz w:val="24"/>
          <w:szCs w:val="24"/>
        </w:rPr>
        <w:t>参数（1台）</w:t>
      </w:r>
    </w:p>
    <w:p>
      <w:pPr>
        <w:keepNext w:val="0"/>
        <w:keepLines w:val="0"/>
        <w:pageBreakBefore w:val="0"/>
        <w:widowControl/>
        <w:numPr>
          <w:ilvl w:val="1"/>
          <w:numId w:val="0"/>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有效容积≧200L,温度要求：控制范围2℃－6℃，门锁扣设计，温度数字显示，具有超温、传感器故障报警功能，自动除霜功能。立式。</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w:t>
      </w:r>
      <w:r>
        <w:rPr>
          <w:rFonts w:hint="eastAsia" w:ascii="仿宋" w:hAnsi="仿宋" w:eastAsia="仿宋" w:cs="仿宋"/>
          <w:b/>
          <w:bCs/>
          <w:kern w:val="0"/>
          <w:sz w:val="24"/>
          <w:szCs w:val="24"/>
          <w:lang w:eastAsia="zh-CN"/>
        </w:rPr>
        <w:t>四</w:t>
      </w:r>
      <w:r>
        <w:rPr>
          <w:rFonts w:hint="eastAsia" w:ascii="仿宋" w:hAnsi="仿宋" w:eastAsia="仿宋" w:cs="仿宋"/>
          <w:b/>
          <w:bCs/>
          <w:kern w:val="0"/>
          <w:sz w:val="24"/>
          <w:szCs w:val="24"/>
        </w:rPr>
        <w:t>）医用冷藏保存箱</w:t>
      </w:r>
      <w:r>
        <w:rPr>
          <w:rFonts w:hint="eastAsia" w:ascii="仿宋" w:hAnsi="仿宋" w:eastAsia="仿宋" w:cs="仿宋"/>
          <w:b/>
          <w:bCs/>
          <w:sz w:val="24"/>
          <w:szCs w:val="24"/>
        </w:rPr>
        <w:t>参数（1台）</w:t>
      </w:r>
    </w:p>
    <w:p>
      <w:pPr>
        <w:keepNext w:val="0"/>
        <w:keepLines w:val="0"/>
        <w:pageBreakBefore w:val="0"/>
        <w:widowControl/>
        <w:numPr>
          <w:ilvl w:val="1"/>
          <w:numId w:val="0"/>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bookmarkStart w:id="360" w:name="_Hlk523407953"/>
      <w:r>
        <w:rPr>
          <w:rFonts w:hint="eastAsia" w:ascii="仿宋" w:hAnsi="仿宋" w:eastAsia="仿宋" w:cs="仿宋"/>
          <w:sz w:val="24"/>
          <w:szCs w:val="24"/>
        </w:rPr>
        <w:t>有效容积≧200L,温度要求：控制范围2℃－8℃，门锁扣设计，温度数字显示，具有超温、传感器故障报警功能，自动除霜功能。立式。</w:t>
      </w:r>
      <w:bookmarkEnd w:id="360"/>
      <w:r>
        <w:rPr>
          <w:rFonts w:hint="eastAsia" w:ascii="仿宋" w:hAnsi="仿宋" w:eastAsia="仿宋" w:cs="仿宋"/>
          <w:sz w:val="24"/>
          <w:szCs w:val="24"/>
        </w:rPr>
        <w:t>（试剂冰箱）</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（五）</w:t>
      </w:r>
      <w:r>
        <w:rPr>
          <w:rFonts w:hint="eastAsia" w:ascii="仿宋" w:hAnsi="仿宋" w:eastAsia="仿宋" w:cs="仿宋"/>
          <w:b/>
          <w:bCs/>
          <w:kern w:val="0"/>
          <w:sz w:val="24"/>
          <w:szCs w:val="24"/>
        </w:rPr>
        <w:t>医用冷冻冷藏箱</w:t>
      </w:r>
      <w:r>
        <w:rPr>
          <w:rFonts w:hint="eastAsia" w:ascii="仿宋" w:hAnsi="仿宋" w:eastAsia="仿宋" w:cs="仿宋"/>
          <w:b/>
          <w:bCs/>
          <w:sz w:val="24"/>
          <w:szCs w:val="24"/>
        </w:rPr>
        <w:t>参数（1台）</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1.立式</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容积：≥280L</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温度范围：冷冻-20--30℃，冷藏2-8℃</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4.制冷系统均匀性≤±2℃，控温精度0.1℃，LED数码管显示</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5.压缩机:制冷剂和绝热材料，无CFC,无HCFC,阻燃</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6.工作电压:2</w:t>
      </w:r>
      <w:r>
        <w:rPr>
          <w:rFonts w:hint="eastAsia" w:ascii="仿宋" w:hAnsi="仿宋" w:eastAsia="仿宋" w:cs="仿宋"/>
          <w:b w:val="0"/>
          <w:bCs w:val="0"/>
          <w:sz w:val="24"/>
          <w:szCs w:val="24"/>
          <w:lang w:val="en-US" w:eastAsia="zh-CN"/>
        </w:rPr>
        <w:t>10</w:t>
      </w:r>
      <w:r>
        <w:rPr>
          <w:rFonts w:hint="eastAsia" w:ascii="仿宋" w:hAnsi="仿宋" w:eastAsia="仿宋" w:cs="仿宋"/>
          <w:b w:val="0"/>
          <w:bCs w:val="0"/>
          <w:sz w:val="24"/>
          <w:szCs w:val="24"/>
        </w:rPr>
        <w:t>-240V宽工作电压范围,带时间延迟断路器</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7.自动电压补偿，具稳压功能</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8.内部为不锈钢内壁；无氟聚亚胺酯绝热层</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.具有真空减压口设计</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0</w:t>
      </w:r>
      <w:r>
        <w:rPr>
          <w:rFonts w:hint="eastAsia" w:ascii="仿宋" w:hAnsi="仿宋" w:eastAsia="仿宋" w:cs="仿宋"/>
          <w:b w:val="0"/>
          <w:bCs w:val="0"/>
          <w:sz w:val="24"/>
          <w:szCs w:val="24"/>
        </w:rPr>
        <w:t>.提供过温</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温度不足</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门开启</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断电</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电源错误</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电池需充电</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压缩机故障</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制冷电路损坏等报警提示</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.具备免除人工处理冷凝水功能；有适当层数的保存架</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2</w:t>
      </w:r>
      <w:r>
        <w:rPr>
          <w:rFonts w:hint="eastAsia" w:ascii="仿宋" w:hAnsi="仿宋" w:eastAsia="仿宋" w:cs="仿宋"/>
          <w:b w:val="0"/>
          <w:bCs w:val="0"/>
          <w:sz w:val="24"/>
          <w:szCs w:val="24"/>
        </w:rPr>
        <w:t>.配备脚轮，可通过底角锁定</w:t>
      </w:r>
    </w:p>
    <w:p>
      <w:pPr>
        <w:keepNext w:val="0"/>
        <w:keepLines w:val="0"/>
        <w:pageBreakBefore w:val="0"/>
        <w:widowControl/>
        <w:numPr>
          <w:ilvl w:val="0"/>
          <w:numId w:val="0"/>
        </w:numPr>
        <w:kinsoku/>
        <w:wordWrap/>
        <w:overflowPunct/>
        <w:topLinePunct w:val="0"/>
        <w:autoSpaceDE/>
        <w:autoSpaceDN/>
        <w:bidi w:val="0"/>
        <w:spacing w:line="360" w:lineRule="auto"/>
        <w:ind w:leftChars="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3</w:t>
      </w:r>
      <w:r>
        <w:rPr>
          <w:rFonts w:hint="eastAsia" w:ascii="仿宋" w:hAnsi="仿宋" w:eastAsia="仿宋" w:cs="仿宋"/>
          <w:b w:val="0"/>
          <w:bCs w:val="0"/>
          <w:sz w:val="24"/>
          <w:szCs w:val="24"/>
        </w:rPr>
        <w:t>.箱体有温度监控专用开孔2个（分别开口于冷冻室和冷藏室）</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（六）</w:t>
      </w:r>
      <w:r>
        <w:rPr>
          <w:rFonts w:hint="eastAsia" w:ascii="仿宋" w:hAnsi="仿宋" w:eastAsia="仿宋" w:cs="仿宋"/>
          <w:b/>
          <w:bCs/>
          <w:kern w:val="0"/>
          <w:sz w:val="24"/>
          <w:szCs w:val="24"/>
        </w:rPr>
        <w:t>医用冷冻冷藏箱</w:t>
      </w:r>
      <w:r>
        <w:rPr>
          <w:rFonts w:hint="eastAsia" w:ascii="仿宋" w:hAnsi="仿宋" w:eastAsia="仿宋" w:cs="仿宋"/>
          <w:b/>
          <w:bCs/>
          <w:sz w:val="24"/>
          <w:szCs w:val="24"/>
        </w:rPr>
        <w:t>参数（</w:t>
      </w:r>
      <w:r>
        <w:rPr>
          <w:rFonts w:hint="eastAsia" w:ascii="仿宋" w:hAnsi="仿宋" w:eastAsia="仿宋" w:cs="仿宋"/>
          <w:b/>
          <w:bCs/>
          <w:sz w:val="24"/>
          <w:szCs w:val="24"/>
          <w:lang w:val="en-US" w:eastAsia="zh-CN"/>
        </w:rPr>
        <w:t>21</w:t>
      </w:r>
      <w:r>
        <w:rPr>
          <w:rFonts w:hint="eastAsia" w:ascii="仿宋" w:hAnsi="仿宋" w:eastAsia="仿宋" w:cs="仿宋"/>
          <w:b/>
          <w:bCs/>
          <w:sz w:val="24"/>
          <w:szCs w:val="24"/>
        </w:rPr>
        <w:t>台）</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立式，上</w:t>
      </w:r>
      <w:r>
        <w:rPr>
          <w:rFonts w:hint="eastAsia" w:ascii="仿宋" w:hAnsi="仿宋" w:eastAsia="仿宋" w:cs="仿宋"/>
          <w:kern w:val="0"/>
          <w:sz w:val="24"/>
          <w:szCs w:val="24"/>
          <w:lang w:val="en-US" w:eastAsia="zh-CN"/>
        </w:rPr>
        <w:t>中</w:t>
      </w:r>
      <w:r>
        <w:rPr>
          <w:rFonts w:hint="eastAsia" w:ascii="仿宋" w:hAnsi="仿宋" w:eastAsia="仿宋" w:cs="仿宋"/>
          <w:kern w:val="0"/>
          <w:sz w:val="24"/>
          <w:szCs w:val="24"/>
        </w:rPr>
        <w:t>下双发泡门，</w:t>
      </w:r>
      <w:r>
        <w:rPr>
          <w:rFonts w:hint="eastAsia" w:ascii="仿宋" w:hAnsi="仿宋" w:eastAsia="仿宋" w:cs="仿宋"/>
          <w:kern w:val="24"/>
          <w:sz w:val="24"/>
          <w:szCs w:val="24"/>
        </w:rPr>
        <w:t>冷藏室容积≥12</w:t>
      </w:r>
      <w:r>
        <w:rPr>
          <w:rFonts w:hint="eastAsia" w:ascii="仿宋" w:hAnsi="仿宋" w:eastAsia="仿宋" w:cs="仿宋"/>
          <w:kern w:val="24"/>
          <w:sz w:val="24"/>
          <w:szCs w:val="24"/>
          <w:lang w:val="en-US" w:eastAsia="zh-CN"/>
        </w:rPr>
        <w:t>0</w:t>
      </w:r>
      <w:r>
        <w:rPr>
          <w:rFonts w:hint="eastAsia" w:ascii="仿宋" w:hAnsi="仿宋" w:eastAsia="仿宋" w:cs="仿宋"/>
          <w:kern w:val="24"/>
          <w:sz w:val="24"/>
          <w:szCs w:val="24"/>
        </w:rPr>
        <w:t>L，</w:t>
      </w:r>
      <w:r>
        <w:rPr>
          <w:rFonts w:hint="eastAsia" w:ascii="仿宋" w:hAnsi="仿宋" w:eastAsia="仿宋" w:cs="仿宋"/>
          <w:kern w:val="24"/>
          <w:sz w:val="24"/>
          <w:szCs w:val="24"/>
          <w:lang w:val="en-US" w:eastAsia="zh-CN"/>
        </w:rPr>
        <w:t>零度保鲜</w:t>
      </w:r>
      <w:r>
        <w:rPr>
          <w:rFonts w:hint="eastAsia" w:ascii="仿宋" w:hAnsi="仿宋" w:eastAsia="仿宋" w:cs="仿宋"/>
          <w:kern w:val="24"/>
          <w:sz w:val="24"/>
          <w:szCs w:val="24"/>
        </w:rPr>
        <w:t>≥</w:t>
      </w:r>
      <w:r>
        <w:rPr>
          <w:rFonts w:hint="eastAsia" w:ascii="仿宋" w:hAnsi="仿宋" w:eastAsia="仿宋" w:cs="仿宋"/>
          <w:kern w:val="24"/>
          <w:sz w:val="24"/>
          <w:szCs w:val="24"/>
          <w:lang w:val="en-US" w:eastAsia="zh-CN"/>
        </w:rPr>
        <w:t>35L，</w:t>
      </w:r>
      <w:r>
        <w:rPr>
          <w:rFonts w:hint="eastAsia" w:ascii="仿宋" w:hAnsi="仿宋" w:eastAsia="仿宋" w:cs="仿宋"/>
          <w:kern w:val="24"/>
          <w:sz w:val="24"/>
          <w:szCs w:val="24"/>
        </w:rPr>
        <w:t>冷冻室容积≥</w:t>
      </w:r>
      <w:r>
        <w:rPr>
          <w:rFonts w:hint="eastAsia" w:ascii="仿宋" w:hAnsi="仿宋" w:eastAsia="仿宋" w:cs="仿宋"/>
          <w:kern w:val="24"/>
          <w:sz w:val="24"/>
          <w:szCs w:val="24"/>
          <w:lang w:val="en-US" w:eastAsia="zh-CN"/>
        </w:rPr>
        <w:t>55</w:t>
      </w:r>
      <w:r>
        <w:rPr>
          <w:rFonts w:hint="eastAsia" w:ascii="仿宋" w:hAnsi="仿宋" w:eastAsia="仿宋" w:cs="仿宋"/>
          <w:kern w:val="24"/>
          <w:sz w:val="24"/>
          <w:szCs w:val="24"/>
        </w:rPr>
        <w:t>L；</w:t>
      </w:r>
    </w:p>
    <w:p>
      <w:pPr>
        <w:keepNext w:val="0"/>
        <w:keepLines w:val="0"/>
        <w:pageBreakBefore w:val="0"/>
        <w:widowControl/>
        <w:kinsoku/>
        <w:wordWrap/>
        <w:overflowPunct/>
        <w:topLinePunct w:val="0"/>
        <w:autoSpaceDE/>
        <w:autoSpaceDN/>
        <w:bidi w:val="0"/>
        <w:spacing w:line="360" w:lineRule="auto"/>
        <w:ind w:firstLine="480" w:firstLineChars="200"/>
        <w:jc w:val="both"/>
        <w:textAlignment w:val="auto"/>
        <w:rPr>
          <w:rFonts w:hint="eastAsia" w:ascii="仿宋" w:hAnsi="仿宋" w:eastAsia="仿宋" w:cs="仿宋"/>
          <w:kern w:val="24"/>
          <w:sz w:val="24"/>
          <w:szCs w:val="24"/>
        </w:rPr>
      </w:pP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3、</w:t>
      </w:r>
      <w:r>
        <w:rPr>
          <w:rFonts w:hint="eastAsia" w:ascii="仿宋" w:hAnsi="仿宋" w:eastAsia="仿宋" w:cs="仿宋"/>
          <w:b/>
          <w:kern w:val="0"/>
          <w:sz w:val="24"/>
          <w:szCs w:val="24"/>
        </w:rPr>
        <w:t>温度控制</w:t>
      </w:r>
      <w:r>
        <w:rPr>
          <w:rFonts w:hint="eastAsia" w:ascii="仿宋" w:hAnsi="仿宋" w:eastAsia="仿宋" w:cs="仿宋"/>
          <w:kern w:val="0"/>
          <w:sz w:val="24"/>
          <w:szCs w:val="24"/>
        </w:rPr>
        <w:t xml:space="preserve">: </w:t>
      </w:r>
      <w:r>
        <w:rPr>
          <w:rFonts w:hint="eastAsia" w:ascii="仿宋" w:hAnsi="仿宋" w:eastAsia="仿宋" w:cs="仿宋"/>
          <w:color w:val="000000"/>
          <w:kern w:val="0"/>
          <w:sz w:val="24"/>
          <w:szCs w:val="24"/>
        </w:rPr>
        <w:t>微电脑控制,触摸按键，LED显示，</w:t>
      </w:r>
      <w:r>
        <w:rPr>
          <w:rFonts w:hint="eastAsia" w:ascii="仿宋" w:hAnsi="仿宋" w:eastAsia="仿宋" w:cs="仿宋"/>
          <w:kern w:val="0"/>
          <w:sz w:val="24"/>
          <w:szCs w:val="24"/>
        </w:rPr>
        <w:t>可同时显示冷藏、冷冻室温度，调节精度、显示精度</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1℃，</w:t>
      </w:r>
      <w:r>
        <w:rPr>
          <w:rFonts w:hint="eastAsia" w:ascii="仿宋" w:hAnsi="仿宋" w:eastAsia="仿宋" w:cs="仿宋"/>
          <w:kern w:val="24"/>
          <w:sz w:val="24"/>
          <w:szCs w:val="24"/>
        </w:rPr>
        <w:t>冷藏温度范围2～8℃，冷冻温度-10</w:t>
      </w:r>
      <w:r>
        <w:rPr>
          <w:rFonts w:hint="eastAsia" w:ascii="仿宋" w:hAnsi="仿宋" w:eastAsia="仿宋" w:cs="仿宋"/>
          <w:kern w:val="24"/>
          <w:sz w:val="24"/>
          <w:szCs w:val="24"/>
          <w:lang w:eastAsia="zh-CN"/>
        </w:rPr>
        <w:t>至</w:t>
      </w:r>
      <w:r>
        <w:rPr>
          <w:rFonts w:hint="eastAsia" w:ascii="仿宋" w:hAnsi="仿宋" w:eastAsia="仿宋" w:cs="仿宋"/>
          <w:kern w:val="24"/>
          <w:sz w:val="24"/>
          <w:szCs w:val="24"/>
          <w:lang w:val="en-US" w:eastAsia="zh-CN"/>
        </w:rPr>
        <w:t>-20</w:t>
      </w:r>
      <w:r>
        <w:rPr>
          <w:rFonts w:hint="eastAsia" w:ascii="仿宋" w:hAnsi="仿宋" w:eastAsia="仿宋" w:cs="仿宋"/>
          <w:kern w:val="24"/>
          <w:sz w:val="24"/>
          <w:szCs w:val="24"/>
        </w:rPr>
        <w:t xml:space="preserve"> ℃ 温度可自行调节；</w:t>
      </w:r>
    </w:p>
    <w:p>
      <w:pPr>
        <w:keepNext w:val="0"/>
        <w:keepLines w:val="0"/>
        <w:pageBreakBefore w:val="0"/>
        <w:widowControl/>
        <w:kinsoku/>
        <w:wordWrap/>
        <w:overflowPunct/>
        <w:topLinePunct w:val="0"/>
        <w:autoSpaceDE/>
        <w:autoSpaceDN/>
        <w:bidi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4、</w:t>
      </w:r>
      <w:r>
        <w:rPr>
          <w:rFonts w:hint="eastAsia" w:ascii="仿宋" w:hAnsi="仿宋" w:eastAsia="仿宋" w:cs="仿宋"/>
          <w:b/>
          <w:kern w:val="0"/>
          <w:sz w:val="24"/>
          <w:szCs w:val="24"/>
        </w:rPr>
        <w:t>核心组件</w:t>
      </w:r>
      <w:r>
        <w:rPr>
          <w:rFonts w:hint="eastAsia" w:ascii="仿宋" w:hAnsi="仿宋" w:eastAsia="仿宋" w:cs="仿宋"/>
          <w:kern w:val="0"/>
          <w:sz w:val="24"/>
          <w:szCs w:val="24"/>
        </w:rPr>
        <w:t>：</w:t>
      </w:r>
      <w:r>
        <w:rPr>
          <w:rFonts w:hint="eastAsia" w:ascii="仿宋" w:hAnsi="仿宋" w:eastAsia="仿宋" w:cs="仿宋"/>
          <w:color w:val="000000"/>
          <w:kern w:val="0"/>
          <w:sz w:val="24"/>
          <w:szCs w:val="24"/>
          <w:lang w:val="en-US" w:eastAsia="zh-CN"/>
        </w:rPr>
        <w:t>定频压缩机</w:t>
      </w:r>
      <w:r>
        <w:rPr>
          <w:rFonts w:hint="eastAsia" w:ascii="仿宋" w:hAnsi="仿宋" w:eastAsia="仿宋" w:cs="仿宋"/>
          <w:kern w:val="24"/>
          <w:sz w:val="24"/>
          <w:szCs w:val="24"/>
        </w:rPr>
        <w:t>；</w:t>
      </w:r>
    </w:p>
    <w:p>
      <w:pPr>
        <w:keepNext w:val="0"/>
        <w:keepLines w:val="0"/>
        <w:pageBreakBefore w:val="0"/>
        <w:widowControl/>
        <w:tabs>
          <w:tab w:val="right" w:pos="8306"/>
        </w:tabs>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24"/>
          <w:sz w:val="24"/>
          <w:szCs w:val="24"/>
        </w:rPr>
      </w:pP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w:t>
      </w:r>
      <w:r>
        <w:rPr>
          <w:rFonts w:hint="eastAsia" w:ascii="仿宋" w:hAnsi="仿宋" w:eastAsia="仿宋" w:cs="仿宋"/>
          <w:b/>
          <w:kern w:val="0"/>
          <w:sz w:val="24"/>
          <w:szCs w:val="24"/>
        </w:rPr>
        <w:t>门体结构</w:t>
      </w:r>
      <w:r>
        <w:rPr>
          <w:rFonts w:hint="eastAsia" w:ascii="仿宋" w:hAnsi="仿宋" w:eastAsia="仿宋" w:cs="仿宋"/>
          <w:kern w:val="0"/>
          <w:sz w:val="24"/>
          <w:szCs w:val="24"/>
        </w:rPr>
        <w:t>：</w:t>
      </w:r>
      <w:r>
        <w:rPr>
          <w:rFonts w:hint="eastAsia" w:ascii="仿宋" w:hAnsi="仿宋" w:eastAsia="仿宋" w:cs="仿宋"/>
          <w:kern w:val="24"/>
          <w:sz w:val="24"/>
          <w:szCs w:val="24"/>
        </w:rPr>
        <w:t>发泡门设计；</w:t>
      </w:r>
    </w:p>
    <w:p>
      <w:pPr>
        <w:keepNext w:val="0"/>
        <w:keepLines w:val="0"/>
        <w:pageBreakBefore w:val="0"/>
        <w:widowControl/>
        <w:tabs>
          <w:tab w:val="right" w:pos="8306"/>
        </w:tabs>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color w:val="FF0000"/>
          <w:kern w:val="24"/>
          <w:sz w:val="24"/>
          <w:szCs w:val="24"/>
        </w:rPr>
      </w:pPr>
      <w:r>
        <w:rPr>
          <w:rFonts w:hint="eastAsia" w:ascii="仿宋" w:hAnsi="仿宋" w:eastAsia="仿宋" w:cs="仿宋"/>
          <w:kern w:val="0"/>
          <w:sz w:val="24"/>
          <w:szCs w:val="24"/>
          <w:lang w:val="en-US" w:eastAsia="zh-CN"/>
        </w:rPr>
        <w:t>6</w:t>
      </w:r>
      <w:r>
        <w:rPr>
          <w:rFonts w:hint="eastAsia" w:ascii="仿宋" w:hAnsi="仿宋" w:eastAsia="仿宋" w:cs="仿宋"/>
          <w:kern w:val="0"/>
          <w:sz w:val="24"/>
          <w:szCs w:val="24"/>
        </w:rPr>
        <w:t>、</w:t>
      </w:r>
      <w:r>
        <w:rPr>
          <w:rFonts w:hint="eastAsia" w:ascii="仿宋" w:hAnsi="仿宋" w:eastAsia="仿宋" w:cs="仿宋"/>
          <w:b/>
          <w:kern w:val="0"/>
          <w:sz w:val="24"/>
          <w:szCs w:val="24"/>
        </w:rPr>
        <w:t>制冷系统</w:t>
      </w:r>
      <w:r>
        <w:rPr>
          <w:rFonts w:hint="eastAsia" w:ascii="仿宋" w:hAnsi="仿宋" w:eastAsia="仿宋" w:cs="仿宋"/>
          <w:kern w:val="0"/>
          <w:sz w:val="24"/>
          <w:szCs w:val="24"/>
        </w:rPr>
        <w:t>：</w:t>
      </w:r>
      <w:r>
        <w:rPr>
          <w:rFonts w:hint="eastAsia" w:ascii="仿宋" w:hAnsi="仿宋" w:eastAsia="仿宋" w:cs="仿宋"/>
          <w:color w:val="000000"/>
          <w:kern w:val="0"/>
          <w:sz w:val="24"/>
          <w:szCs w:val="24"/>
        </w:rPr>
        <w:t>单压机</w:t>
      </w:r>
      <w:r>
        <w:rPr>
          <w:rFonts w:hint="eastAsia" w:ascii="仿宋" w:hAnsi="仿宋" w:eastAsia="仿宋" w:cs="仿宋"/>
          <w:color w:val="000000"/>
          <w:kern w:val="24"/>
          <w:sz w:val="24"/>
          <w:szCs w:val="24"/>
        </w:rPr>
        <w:t>制冷系统；</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w:t>
      </w:r>
      <w:r>
        <w:rPr>
          <w:rFonts w:hint="eastAsia" w:ascii="仿宋" w:hAnsi="仿宋" w:eastAsia="仿宋" w:cs="仿宋"/>
          <w:b/>
          <w:kern w:val="0"/>
          <w:sz w:val="24"/>
          <w:szCs w:val="24"/>
        </w:rPr>
        <w:t>温度均匀性</w:t>
      </w:r>
      <w:r>
        <w:rPr>
          <w:rFonts w:hint="eastAsia" w:ascii="仿宋" w:hAnsi="仿宋" w:eastAsia="仿宋" w:cs="仿宋"/>
          <w:kern w:val="0"/>
          <w:sz w:val="24"/>
          <w:szCs w:val="24"/>
        </w:rPr>
        <w:t>：冷藏室均匀性≤3℃，波动性≤4.5℃；</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w:t>
      </w:r>
      <w:r>
        <w:rPr>
          <w:rFonts w:hint="eastAsia" w:ascii="仿宋" w:hAnsi="仿宋" w:eastAsia="仿宋" w:cs="仿宋"/>
          <w:b/>
          <w:kern w:val="0"/>
          <w:sz w:val="24"/>
          <w:szCs w:val="24"/>
        </w:rPr>
        <w:t>安全系统</w:t>
      </w:r>
      <w:r>
        <w:rPr>
          <w:rFonts w:hint="eastAsia" w:ascii="仿宋" w:hAnsi="仿宋" w:eastAsia="仿宋" w:cs="仿宋"/>
          <w:kern w:val="0"/>
          <w:sz w:val="24"/>
          <w:szCs w:val="24"/>
        </w:rPr>
        <w:t>：多重故障报警，具有蜂鸣报警和灯光闪烁</w:t>
      </w:r>
      <w:r>
        <w:rPr>
          <w:rFonts w:hint="eastAsia" w:ascii="仿宋" w:hAnsi="仿宋" w:eastAsia="仿宋" w:cs="仿宋"/>
          <w:kern w:val="0"/>
          <w:sz w:val="24"/>
          <w:szCs w:val="24"/>
          <w:lang w:eastAsia="zh-CN"/>
        </w:rPr>
        <w:t>等</w:t>
      </w:r>
      <w:r>
        <w:rPr>
          <w:rFonts w:hint="eastAsia" w:ascii="仿宋" w:hAnsi="仿宋" w:eastAsia="仿宋" w:cs="仿宋"/>
          <w:kern w:val="0"/>
          <w:sz w:val="24"/>
          <w:szCs w:val="24"/>
        </w:rPr>
        <w:t>报警方式，可实现高低温报警，传感器故障报警；</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w:t>
      </w:r>
      <w:r>
        <w:rPr>
          <w:rFonts w:hint="eastAsia" w:ascii="仿宋" w:hAnsi="仿宋" w:eastAsia="仿宋" w:cs="仿宋"/>
          <w:b/>
          <w:kern w:val="0"/>
          <w:sz w:val="24"/>
          <w:szCs w:val="24"/>
        </w:rPr>
        <w:t>箱内配置</w:t>
      </w:r>
      <w:r>
        <w:rPr>
          <w:rFonts w:hint="eastAsia" w:ascii="仿宋" w:hAnsi="仿宋" w:eastAsia="仿宋" w:cs="仿宋"/>
          <w:kern w:val="0"/>
          <w:sz w:val="24"/>
          <w:szCs w:val="24"/>
        </w:rPr>
        <w:t>：冷藏室内搁架间距可调节；冷藏室配有</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3个搁架；冷冻室配</w:t>
      </w:r>
      <w:r>
        <w:rPr>
          <w:rFonts w:hint="eastAsia" w:ascii="仿宋" w:hAnsi="仿宋" w:eastAsia="仿宋" w:cs="仿宋"/>
          <w:kern w:val="24"/>
          <w:sz w:val="24"/>
          <w:szCs w:val="24"/>
        </w:rPr>
        <w:t>≥</w:t>
      </w:r>
      <w:r>
        <w:rPr>
          <w:rFonts w:hint="eastAsia" w:ascii="仿宋" w:hAnsi="仿宋" w:eastAsia="仿宋" w:cs="仿宋"/>
          <w:kern w:val="0"/>
          <w:sz w:val="24"/>
          <w:szCs w:val="24"/>
          <w:lang w:val="en-US" w:eastAsia="zh-CN"/>
        </w:rPr>
        <w:t>3</w:t>
      </w:r>
      <w:r>
        <w:rPr>
          <w:rFonts w:hint="eastAsia" w:ascii="仿宋" w:hAnsi="仿宋" w:eastAsia="仿宋" w:cs="仿宋"/>
          <w:kern w:val="0"/>
          <w:sz w:val="24"/>
          <w:szCs w:val="24"/>
        </w:rPr>
        <w:t>个ABS塑料抽屉；</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w:t>
      </w:r>
      <w:r>
        <w:rPr>
          <w:rFonts w:hint="eastAsia" w:ascii="仿宋" w:hAnsi="仿宋" w:eastAsia="仿宋" w:cs="仿宋"/>
          <w:b/>
          <w:kern w:val="0"/>
          <w:sz w:val="24"/>
          <w:szCs w:val="24"/>
        </w:rPr>
        <w:t>柜内照明</w:t>
      </w:r>
      <w:r>
        <w:rPr>
          <w:rFonts w:hint="eastAsia" w:ascii="仿宋" w:hAnsi="仿宋" w:eastAsia="仿宋" w:cs="仿宋"/>
          <w:kern w:val="0"/>
          <w:sz w:val="24"/>
          <w:szCs w:val="24"/>
        </w:rPr>
        <w:t>：内设LED照明灯；</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1</w:t>
      </w:r>
      <w:r>
        <w:rPr>
          <w:rFonts w:hint="eastAsia" w:ascii="仿宋" w:hAnsi="仿宋" w:eastAsia="仿宋" w:cs="仿宋"/>
          <w:kern w:val="0"/>
          <w:sz w:val="24"/>
          <w:szCs w:val="24"/>
        </w:rPr>
        <w:t>、</w:t>
      </w:r>
      <w:r>
        <w:rPr>
          <w:rFonts w:hint="eastAsia" w:ascii="仿宋" w:hAnsi="仿宋" w:eastAsia="仿宋" w:cs="仿宋"/>
          <w:b/>
          <w:kern w:val="0"/>
          <w:sz w:val="24"/>
          <w:szCs w:val="24"/>
        </w:rPr>
        <w:t>冷凝蒸发</w:t>
      </w:r>
      <w:r>
        <w:rPr>
          <w:rFonts w:hint="eastAsia" w:ascii="仿宋" w:hAnsi="仿宋" w:eastAsia="仿宋" w:cs="仿宋"/>
          <w:kern w:val="0"/>
          <w:sz w:val="24"/>
          <w:szCs w:val="24"/>
        </w:rPr>
        <w:t>：冷冻室为隐藏蒸发器设计，冷冻室双重密封；</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w:t>
      </w:r>
      <w:r>
        <w:rPr>
          <w:rFonts w:hint="eastAsia" w:ascii="仿宋" w:hAnsi="仿宋" w:eastAsia="仿宋" w:cs="仿宋"/>
          <w:b/>
          <w:bCs/>
          <w:kern w:val="0"/>
          <w:sz w:val="24"/>
          <w:szCs w:val="24"/>
        </w:rPr>
        <w:t>安全保障：</w:t>
      </w:r>
      <w:r>
        <w:rPr>
          <w:rFonts w:hint="eastAsia" w:ascii="仿宋" w:hAnsi="仿宋" w:eastAsia="仿宋" w:cs="仿宋"/>
          <w:kern w:val="0"/>
          <w:sz w:val="24"/>
          <w:szCs w:val="24"/>
        </w:rPr>
        <w:t>双门双锁扣设计，满足安全要求；</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13、</w:t>
      </w:r>
      <w:r>
        <w:rPr>
          <w:rFonts w:hint="eastAsia" w:ascii="仿宋" w:hAnsi="仿宋" w:eastAsia="仿宋" w:cs="仿宋"/>
          <w:b/>
          <w:bCs/>
          <w:kern w:val="0"/>
          <w:sz w:val="24"/>
          <w:szCs w:val="24"/>
        </w:rPr>
        <w:t>能效等级：</w:t>
      </w:r>
      <w:r>
        <w:rPr>
          <w:rFonts w:hint="eastAsia" w:ascii="仿宋" w:hAnsi="仿宋" w:eastAsia="仿宋" w:cs="仿宋"/>
          <w:kern w:val="0"/>
          <w:sz w:val="24"/>
          <w:szCs w:val="24"/>
        </w:rPr>
        <w:t>一级能效</w:t>
      </w:r>
    </w:p>
    <w:p>
      <w:pPr>
        <w:pageBreakBefore w:val="0"/>
        <w:kinsoku/>
        <w:wordWrap/>
        <w:overflowPunct/>
        <w:topLinePunct w:val="0"/>
        <w:autoSpaceDE/>
        <w:autoSpaceDN/>
        <w:bidi w:val="0"/>
        <w:spacing w:line="480" w:lineRule="exact"/>
        <w:ind w:left="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第二、超低温医用冰箱（-86℃）</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超低温医用冰箱（-86℃）</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w:t>
      </w:r>
      <w:r>
        <w:rPr>
          <w:rFonts w:hint="eastAsia" w:ascii="仿宋" w:hAnsi="仿宋" w:eastAsia="仿宋" w:cs="仿宋"/>
          <w:b/>
          <w:bCs/>
          <w:kern w:val="0"/>
          <w:sz w:val="24"/>
          <w:szCs w:val="24"/>
          <w:lang w:val="en-US" w:eastAsia="zh-CN"/>
        </w:rPr>
        <w:t>1</w:t>
      </w:r>
      <w:r>
        <w:rPr>
          <w:rFonts w:hint="eastAsia" w:ascii="仿宋" w:hAnsi="仿宋" w:eastAsia="仿宋" w:cs="仿宋"/>
          <w:b/>
          <w:bCs/>
          <w:kern w:val="0"/>
          <w:sz w:val="24"/>
          <w:szCs w:val="24"/>
        </w:rPr>
        <w:t>台</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三、技术参数</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ab/>
      </w:r>
      <w:r>
        <w:rPr>
          <w:rFonts w:hint="eastAsia" w:ascii="仿宋" w:hAnsi="仿宋" w:eastAsia="仿宋" w:cs="仿宋"/>
          <w:sz w:val="24"/>
          <w:szCs w:val="24"/>
          <w:lang w:eastAsia="zh-CN"/>
        </w:rPr>
        <w:t>★</w:t>
      </w:r>
      <w:r>
        <w:rPr>
          <w:rFonts w:hint="eastAsia" w:ascii="仿宋" w:hAnsi="仿宋" w:eastAsia="仿宋" w:cs="仿宋"/>
          <w:sz w:val="24"/>
          <w:szCs w:val="24"/>
        </w:rPr>
        <w:t>内部容积：≥500L。</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ab/>
      </w:r>
      <w:r>
        <w:rPr>
          <w:rFonts w:hint="eastAsia" w:ascii="仿宋" w:hAnsi="仿宋" w:eastAsia="仿宋" w:cs="仿宋"/>
          <w:sz w:val="24"/>
          <w:szCs w:val="24"/>
          <w:lang w:eastAsia="zh-CN"/>
        </w:rPr>
        <w:t>参考</w:t>
      </w:r>
      <w:r>
        <w:rPr>
          <w:rFonts w:hint="eastAsia" w:ascii="仿宋" w:hAnsi="仿宋" w:eastAsia="仿宋" w:cs="仿宋"/>
          <w:sz w:val="24"/>
          <w:szCs w:val="24"/>
        </w:rPr>
        <w:t>尺寸：裸机宽*深*高≥1000mm*1000mm*2000mm。</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ab/>
      </w:r>
      <w:r>
        <w:rPr>
          <w:rFonts w:hint="eastAsia" w:ascii="仿宋" w:hAnsi="仿宋" w:eastAsia="仿宋" w:cs="仿宋"/>
          <w:sz w:val="24"/>
          <w:szCs w:val="24"/>
          <w:highlight w:val="none"/>
          <w:vertAlign w:val="baseline"/>
          <w:lang w:val="en-US" w:eastAsia="zh-CN"/>
        </w:rPr>
        <w:t>★</w:t>
      </w:r>
      <w:r>
        <w:rPr>
          <w:rFonts w:hint="eastAsia" w:ascii="仿宋" w:hAnsi="仿宋" w:eastAsia="仿宋" w:cs="仿宋"/>
          <w:sz w:val="24"/>
          <w:szCs w:val="24"/>
        </w:rPr>
        <w:t>温度范围：-50℃</w:t>
      </w:r>
      <w:r>
        <w:rPr>
          <w:rFonts w:hint="eastAsia" w:ascii="仿宋" w:hAnsi="仿宋" w:eastAsia="仿宋" w:cs="仿宋"/>
          <w:sz w:val="24"/>
          <w:szCs w:val="24"/>
          <w:lang w:eastAsia="zh-CN"/>
        </w:rPr>
        <w:t>至</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85</w:t>
      </w:r>
      <w:r>
        <w:rPr>
          <w:rFonts w:hint="eastAsia" w:ascii="仿宋" w:hAnsi="仿宋" w:eastAsia="仿宋" w:cs="仿宋"/>
          <w:sz w:val="24"/>
          <w:szCs w:val="24"/>
        </w:rPr>
        <w:t>℃。</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rPr>
        <w:tab/>
      </w:r>
      <w:r>
        <w:rPr>
          <w:rFonts w:hint="eastAsia" w:ascii="仿宋" w:hAnsi="仿宋" w:eastAsia="仿宋" w:cs="仿宋"/>
          <w:sz w:val="24"/>
          <w:szCs w:val="24"/>
        </w:rPr>
        <w:t>压缩机:2台1HP；制冷剂和绝热材料，无CFC,无HCFC,阻燃。</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ab/>
      </w:r>
      <w:r>
        <w:rPr>
          <w:rFonts w:hint="eastAsia" w:ascii="仿宋" w:hAnsi="仿宋" w:eastAsia="仿宋" w:cs="仿宋"/>
          <w:sz w:val="24"/>
          <w:szCs w:val="24"/>
        </w:rPr>
        <w:t>工作电压:</w:t>
      </w:r>
      <w:r>
        <w:rPr>
          <w:rFonts w:hint="eastAsia" w:ascii="仿宋" w:hAnsi="仿宋" w:eastAsia="仿宋" w:cs="仿宋"/>
          <w:sz w:val="24"/>
          <w:szCs w:val="24"/>
          <w:lang w:val="en-US" w:eastAsia="zh-CN"/>
        </w:rPr>
        <w:t>210</w:t>
      </w:r>
      <w:r>
        <w:rPr>
          <w:rFonts w:hint="eastAsia" w:ascii="仿宋" w:hAnsi="仿宋" w:eastAsia="仿宋" w:cs="仿宋"/>
          <w:sz w:val="24"/>
          <w:szCs w:val="24"/>
        </w:rPr>
        <w:t>-240V宽工作电压范围,带时间延迟断路器。</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rPr>
        <w:tab/>
      </w:r>
      <w:r>
        <w:rPr>
          <w:rFonts w:hint="eastAsia" w:ascii="仿宋" w:hAnsi="仿宋" w:eastAsia="仿宋" w:cs="仿宋"/>
          <w:sz w:val="24"/>
          <w:szCs w:val="24"/>
        </w:rPr>
        <w:t>自动电压补偿，具稳压功能。</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rPr>
        <w:tab/>
      </w:r>
      <w:r>
        <w:rPr>
          <w:rFonts w:hint="eastAsia" w:ascii="仿宋" w:hAnsi="仿宋" w:eastAsia="仿宋" w:cs="仿宋"/>
          <w:sz w:val="24"/>
          <w:szCs w:val="24"/>
        </w:rPr>
        <w:t>内部为不锈钢内壁；无氟聚亚胺酯绝热层。</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rPr>
        <w:tab/>
      </w:r>
      <w:r>
        <w:rPr>
          <w:rFonts w:hint="eastAsia" w:ascii="仿宋" w:hAnsi="仿宋" w:eastAsia="仿宋" w:cs="仿宋"/>
          <w:sz w:val="24"/>
          <w:szCs w:val="24"/>
        </w:rPr>
        <w:t>冰箱门确保良好的密封性，配有内门；具备双门锁条件和功能。</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w:t>
      </w:r>
      <w:r>
        <w:rPr>
          <w:rFonts w:hint="eastAsia" w:ascii="仿宋" w:hAnsi="仿宋" w:eastAsia="仿宋" w:cs="仿宋"/>
          <w:sz w:val="24"/>
          <w:szCs w:val="24"/>
        </w:rPr>
        <w:tab/>
      </w:r>
      <w:r>
        <w:rPr>
          <w:rFonts w:hint="eastAsia" w:ascii="仿宋" w:hAnsi="仿宋" w:eastAsia="仿宋" w:cs="仿宋"/>
          <w:sz w:val="24"/>
          <w:szCs w:val="24"/>
        </w:rPr>
        <w:t>具有真空减压口设计。</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10.提供过温</w:t>
      </w:r>
      <w:r>
        <w:rPr>
          <w:rFonts w:hint="eastAsia" w:ascii="仿宋" w:hAnsi="仿宋" w:eastAsia="仿宋" w:cs="仿宋"/>
          <w:sz w:val="24"/>
          <w:szCs w:val="24"/>
          <w:lang w:eastAsia="zh-CN"/>
        </w:rPr>
        <w:t>、</w:t>
      </w:r>
      <w:r>
        <w:rPr>
          <w:rFonts w:hint="eastAsia" w:ascii="仿宋" w:hAnsi="仿宋" w:eastAsia="仿宋" w:cs="仿宋"/>
          <w:sz w:val="24"/>
          <w:szCs w:val="24"/>
        </w:rPr>
        <w:t>温度不足</w:t>
      </w:r>
      <w:r>
        <w:rPr>
          <w:rFonts w:hint="eastAsia" w:ascii="仿宋" w:hAnsi="仿宋" w:eastAsia="仿宋" w:cs="仿宋"/>
          <w:sz w:val="24"/>
          <w:szCs w:val="24"/>
          <w:lang w:eastAsia="zh-CN"/>
        </w:rPr>
        <w:t>、</w:t>
      </w:r>
      <w:r>
        <w:rPr>
          <w:rFonts w:hint="eastAsia" w:ascii="仿宋" w:hAnsi="仿宋" w:eastAsia="仿宋" w:cs="仿宋"/>
          <w:sz w:val="24"/>
          <w:szCs w:val="24"/>
        </w:rPr>
        <w:t>门开启</w:t>
      </w:r>
      <w:r>
        <w:rPr>
          <w:rFonts w:hint="eastAsia" w:ascii="仿宋" w:hAnsi="仿宋" w:eastAsia="仿宋" w:cs="仿宋"/>
          <w:sz w:val="24"/>
          <w:szCs w:val="24"/>
          <w:lang w:eastAsia="zh-CN"/>
        </w:rPr>
        <w:t>、</w:t>
      </w:r>
      <w:r>
        <w:rPr>
          <w:rFonts w:hint="eastAsia" w:ascii="仿宋" w:hAnsi="仿宋" w:eastAsia="仿宋" w:cs="仿宋"/>
          <w:sz w:val="24"/>
          <w:szCs w:val="24"/>
        </w:rPr>
        <w:t>断电</w:t>
      </w:r>
      <w:r>
        <w:rPr>
          <w:rFonts w:hint="eastAsia" w:ascii="仿宋" w:hAnsi="仿宋" w:eastAsia="仿宋" w:cs="仿宋"/>
          <w:sz w:val="24"/>
          <w:szCs w:val="24"/>
          <w:lang w:eastAsia="zh-CN"/>
        </w:rPr>
        <w:t>、</w:t>
      </w:r>
      <w:r>
        <w:rPr>
          <w:rFonts w:hint="eastAsia" w:ascii="仿宋" w:hAnsi="仿宋" w:eastAsia="仿宋" w:cs="仿宋"/>
          <w:sz w:val="24"/>
          <w:szCs w:val="24"/>
        </w:rPr>
        <w:t>电源错误</w:t>
      </w:r>
      <w:r>
        <w:rPr>
          <w:rFonts w:hint="eastAsia" w:ascii="仿宋" w:hAnsi="仿宋" w:eastAsia="仿宋" w:cs="仿宋"/>
          <w:sz w:val="24"/>
          <w:szCs w:val="24"/>
          <w:lang w:eastAsia="zh-CN"/>
        </w:rPr>
        <w:t>、</w:t>
      </w:r>
      <w:r>
        <w:rPr>
          <w:rFonts w:hint="eastAsia" w:ascii="仿宋" w:hAnsi="仿宋" w:eastAsia="仿宋" w:cs="仿宋"/>
          <w:sz w:val="24"/>
          <w:szCs w:val="24"/>
        </w:rPr>
        <w:t>电池需充电</w:t>
      </w:r>
      <w:r>
        <w:rPr>
          <w:rFonts w:hint="eastAsia" w:ascii="仿宋" w:hAnsi="仿宋" w:eastAsia="仿宋" w:cs="仿宋"/>
          <w:sz w:val="24"/>
          <w:szCs w:val="24"/>
          <w:lang w:eastAsia="zh-CN"/>
        </w:rPr>
        <w:t>、</w:t>
      </w:r>
      <w:r>
        <w:rPr>
          <w:rFonts w:hint="eastAsia" w:ascii="仿宋" w:hAnsi="仿宋" w:eastAsia="仿宋" w:cs="仿宋"/>
          <w:sz w:val="24"/>
          <w:szCs w:val="24"/>
        </w:rPr>
        <w:t>压缩机故障</w:t>
      </w:r>
      <w:r>
        <w:rPr>
          <w:rFonts w:hint="eastAsia" w:ascii="仿宋" w:hAnsi="仿宋" w:eastAsia="仿宋" w:cs="仿宋"/>
          <w:sz w:val="24"/>
          <w:szCs w:val="24"/>
          <w:lang w:eastAsia="zh-CN"/>
        </w:rPr>
        <w:t>、</w:t>
      </w:r>
      <w:r>
        <w:rPr>
          <w:rFonts w:hint="eastAsia" w:ascii="仿宋" w:hAnsi="仿宋" w:eastAsia="仿宋" w:cs="仿宋"/>
          <w:sz w:val="24"/>
          <w:szCs w:val="24"/>
        </w:rPr>
        <w:t>制冷电路损坏等报警提示。</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11.配备脚轮，可通过底角锁定。</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r>
        <w:rPr>
          <w:rFonts w:hint="eastAsia" w:ascii="仿宋" w:hAnsi="仿宋" w:eastAsia="仿宋" w:cs="仿宋"/>
          <w:sz w:val="24"/>
          <w:szCs w:val="24"/>
        </w:rPr>
        <w:t>.配置</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rPr>
        <w:t>层冻存架。</w:t>
      </w:r>
    </w:p>
    <w:p>
      <w:pPr>
        <w:pageBreakBefore w:val="0"/>
        <w:kinsoku/>
        <w:wordWrap/>
        <w:overflowPunct/>
        <w:topLinePunct w:val="0"/>
        <w:autoSpaceDE/>
        <w:autoSpaceDN/>
        <w:bidi w:val="0"/>
        <w:spacing w:line="360" w:lineRule="auto"/>
        <w:ind w:left="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第三、低温医用冰箱（-30℃）</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一、设备名称：低温医用冰箱</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台　</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color w:val="000000"/>
          <w:sz w:val="24"/>
          <w:szCs w:val="24"/>
        </w:rPr>
        <w:t>三、技术参数和要求：</w:t>
      </w:r>
      <w:r>
        <w:rPr>
          <w:rFonts w:hint="eastAsia" w:ascii="仿宋" w:hAnsi="仿宋" w:eastAsia="仿宋" w:cs="仿宋"/>
          <w:b/>
          <w:bCs/>
          <w:sz w:val="24"/>
          <w:szCs w:val="24"/>
        </w:rPr>
        <w:t>　</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内部容积：</w:t>
      </w:r>
      <w:r>
        <w:rPr>
          <w:rFonts w:hint="eastAsia" w:ascii="仿宋" w:hAnsi="仿宋" w:eastAsia="仿宋" w:cs="仿宋"/>
          <w:sz w:val="24"/>
          <w:szCs w:val="24"/>
          <w:lang w:eastAsia="zh-CN"/>
        </w:rPr>
        <w:t>≥</w:t>
      </w:r>
      <w:r>
        <w:rPr>
          <w:rFonts w:hint="eastAsia" w:ascii="仿宋" w:hAnsi="仿宋" w:eastAsia="仿宋" w:cs="仿宋"/>
          <w:sz w:val="24"/>
          <w:szCs w:val="24"/>
        </w:rPr>
        <w:t>270L。</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温度范围：≤-30℃，控温精度0.1℃，LED数码管显示。</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压缩机:制冷剂和绝热材料，无CFC,无HCFC,阻燃。</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工作电压:</w:t>
      </w:r>
      <w:r>
        <w:rPr>
          <w:rFonts w:hint="eastAsia" w:ascii="仿宋" w:hAnsi="仿宋" w:eastAsia="仿宋" w:cs="仿宋"/>
          <w:sz w:val="24"/>
          <w:szCs w:val="24"/>
          <w:lang w:val="en-US" w:eastAsia="zh-CN"/>
        </w:rPr>
        <w:t>210</w:t>
      </w:r>
      <w:r>
        <w:rPr>
          <w:rFonts w:hint="eastAsia" w:ascii="仿宋" w:hAnsi="仿宋" w:eastAsia="仿宋" w:cs="仿宋"/>
          <w:sz w:val="24"/>
          <w:szCs w:val="24"/>
        </w:rPr>
        <w:t>-240V宽工作电压范围,带时间延迟断路器。</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自动电压补偿，具稳压功能。</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内部为不锈钢内壁；无氟聚亚胺酯绝热层。</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冰箱门确保良好的密封性；具备双门锁条件和功能。</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具有真空减压口设计。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提供过温</w:t>
      </w:r>
      <w:r>
        <w:rPr>
          <w:rFonts w:hint="eastAsia" w:ascii="仿宋" w:hAnsi="仿宋" w:eastAsia="仿宋" w:cs="仿宋"/>
          <w:sz w:val="24"/>
          <w:szCs w:val="24"/>
          <w:lang w:eastAsia="zh-CN"/>
        </w:rPr>
        <w:t>、</w:t>
      </w:r>
      <w:r>
        <w:rPr>
          <w:rFonts w:hint="eastAsia" w:ascii="仿宋" w:hAnsi="仿宋" w:eastAsia="仿宋" w:cs="仿宋"/>
          <w:sz w:val="24"/>
          <w:szCs w:val="24"/>
        </w:rPr>
        <w:t>温度不足</w:t>
      </w:r>
      <w:r>
        <w:rPr>
          <w:rFonts w:hint="eastAsia" w:ascii="仿宋" w:hAnsi="仿宋" w:eastAsia="仿宋" w:cs="仿宋"/>
          <w:sz w:val="24"/>
          <w:szCs w:val="24"/>
          <w:lang w:eastAsia="zh-CN"/>
        </w:rPr>
        <w:t>、</w:t>
      </w:r>
      <w:r>
        <w:rPr>
          <w:rFonts w:hint="eastAsia" w:ascii="仿宋" w:hAnsi="仿宋" w:eastAsia="仿宋" w:cs="仿宋"/>
          <w:sz w:val="24"/>
          <w:szCs w:val="24"/>
        </w:rPr>
        <w:t>门开启</w:t>
      </w:r>
      <w:r>
        <w:rPr>
          <w:rFonts w:hint="eastAsia" w:ascii="仿宋" w:hAnsi="仿宋" w:eastAsia="仿宋" w:cs="仿宋"/>
          <w:sz w:val="24"/>
          <w:szCs w:val="24"/>
          <w:lang w:eastAsia="zh-CN"/>
        </w:rPr>
        <w:t>、</w:t>
      </w:r>
      <w:r>
        <w:rPr>
          <w:rFonts w:hint="eastAsia" w:ascii="仿宋" w:hAnsi="仿宋" w:eastAsia="仿宋" w:cs="仿宋"/>
          <w:sz w:val="24"/>
          <w:szCs w:val="24"/>
        </w:rPr>
        <w:t>断电</w:t>
      </w:r>
      <w:r>
        <w:rPr>
          <w:rFonts w:hint="eastAsia" w:ascii="仿宋" w:hAnsi="仿宋" w:eastAsia="仿宋" w:cs="仿宋"/>
          <w:sz w:val="24"/>
          <w:szCs w:val="24"/>
          <w:lang w:eastAsia="zh-CN"/>
        </w:rPr>
        <w:t>、</w:t>
      </w:r>
      <w:r>
        <w:rPr>
          <w:rFonts w:hint="eastAsia" w:ascii="仿宋" w:hAnsi="仿宋" w:eastAsia="仿宋" w:cs="仿宋"/>
          <w:sz w:val="24"/>
          <w:szCs w:val="24"/>
        </w:rPr>
        <w:t>电源错误</w:t>
      </w:r>
      <w:r>
        <w:rPr>
          <w:rFonts w:hint="eastAsia" w:ascii="仿宋" w:hAnsi="仿宋" w:eastAsia="仿宋" w:cs="仿宋"/>
          <w:sz w:val="24"/>
          <w:szCs w:val="24"/>
          <w:lang w:eastAsia="zh-CN"/>
        </w:rPr>
        <w:t>、</w:t>
      </w:r>
      <w:r>
        <w:rPr>
          <w:rFonts w:hint="eastAsia" w:ascii="仿宋" w:hAnsi="仿宋" w:eastAsia="仿宋" w:cs="仿宋"/>
          <w:sz w:val="24"/>
          <w:szCs w:val="24"/>
        </w:rPr>
        <w:t>电池需充电</w:t>
      </w:r>
      <w:r>
        <w:rPr>
          <w:rFonts w:hint="eastAsia" w:ascii="仿宋" w:hAnsi="仿宋" w:eastAsia="仿宋" w:cs="仿宋"/>
          <w:sz w:val="24"/>
          <w:szCs w:val="24"/>
          <w:lang w:eastAsia="zh-CN"/>
        </w:rPr>
        <w:t>、</w:t>
      </w:r>
      <w:r>
        <w:rPr>
          <w:rFonts w:hint="eastAsia" w:ascii="仿宋" w:hAnsi="仿宋" w:eastAsia="仿宋" w:cs="仿宋"/>
          <w:sz w:val="24"/>
          <w:szCs w:val="24"/>
        </w:rPr>
        <w:t>压缩机故障</w:t>
      </w:r>
      <w:r>
        <w:rPr>
          <w:rFonts w:hint="eastAsia" w:ascii="仿宋" w:hAnsi="仿宋" w:eastAsia="仿宋" w:cs="仿宋"/>
          <w:sz w:val="24"/>
          <w:szCs w:val="24"/>
          <w:lang w:eastAsia="zh-CN"/>
        </w:rPr>
        <w:t>、</w:t>
      </w:r>
      <w:r>
        <w:rPr>
          <w:rFonts w:hint="eastAsia" w:ascii="仿宋" w:hAnsi="仿宋" w:eastAsia="仿宋" w:cs="仿宋"/>
          <w:sz w:val="24"/>
          <w:szCs w:val="24"/>
        </w:rPr>
        <w:t>制冷电路损坏等报警提示。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具备自动除霜功能。</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配备脚轮，可通过底角锁定。</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箱体有温度监控专用开孔。</w:t>
      </w:r>
    </w:p>
    <w:p>
      <w:pPr>
        <w:pageBreakBefore w:val="0"/>
        <w:kinsoku/>
        <w:wordWrap/>
        <w:overflowPunct/>
        <w:topLinePunct w:val="0"/>
        <w:autoSpaceDE/>
        <w:autoSpaceDN/>
        <w:bidi w:val="0"/>
        <w:spacing w:line="360" w:lineRule="auto"/>
        <w:ind w:left="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第四、医用冷冻冷藏箱（2-8℃/-30℃）</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一、设备名称：医用冷冻冷藏箱（2-8℃/-30℃）</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val="en-US" w:eastAsia="zh-CN"/>
        </w:rPr>
        <w:t>5</w:t>
      </w:r>
      <w:r>
        <w:rPr>
          <w:rFonts w:hint="eastAsia" w:ascii="仿宋" w:hAnsi="仿宋" w:eastAsia="仿宋" w:cs="仿宋"/>
          <w:b/>
          <w:bCs/>
          <w:sz w:val="24"/>
          <w:szCs w:val="24"/>
        </w:rPr>
        <w:t>台　</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三、技术参数和要求：　</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（一）医用冰箱（1台）</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有效容积</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rPr>
        <w:t>00L</w:t>
      </w:r>
      <w:r>
        <w:rPr>
          <w:rFonts w:hint="eastAsia" w:ascii="仿宋" w:hAnsi="仿宋" w:eastAsia="仿宋" w:cs="仿宋"/>
          <w:sz w:val="24"/>
          <w:szCs w:val="24"/>
          <w:lang w:eastAsia="zh-CN"/>
        </w:rPr>
        <w:t>；</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温度要求：控制范围</w:t>
      </w:r>
      <w:r>
        <w:rPr>
          <w:rFonts w:hint="eastAsia" w:ascii="仿宋" w:hAnsi="仿宋" w:eastAsia="仿宋" w:cs="仿宋"/>
          <w:sz w:val="24"/>
          <w:szCs w:val="24"/>
          <w:lang w:val="en-US" w:eastAsia="zh-CN"/>
        </w:rPr>
        <w:t>-20</w:t>
      </w:r>
      <w:r>
        <w:rPr>
          <w:rFonts w:hint="eastAsia" w:ascii="仿宋" w:hAnsi="仿宋" w:eastAsia="仿宋" w:cs="仿宋"/>
          <w:sz w:val="24"/>
          <w:szCs w:val="24"/>
        </w:rPr>
        <w:t>℃</w:t>
      </w:r>
      <w:r>
        <w:rPr>
          <w:rFonts w:hint="eastAsia" w:ascii="仿宋" w:hAnsi="仿宋" w:eastAsia="仿宋" w:cs="仿宋"/>
          <w:sz w:val="24"/>
          <w:szCs w:val="24"/>
          <w:lang w:val="en-US" w:eastAsia="zh-CN"/>
        </w:rPr>
        <w:t>—-25</w:t>
      </w:r>
      <w:r>
        <w:rPr>
          <w:rFonts w:hint="eastAsia" w:ascii="仿宋" w:hAnsi="仿宋" w:eastAsia="仿宋" w:cs="仿宋"/>
          <w:sz w:val="24"/>
          <w:szCs w:val="24"/>
        </w:rPr>
        <w:t>℃</w:t>
      </w:r>
      <w:r>
        <w:rPr>
          <w:rFonts w:hint="eastAsia" w:ascii="仿宋" w:hAnsi="仿宋" w:eastAsia="仿宋" w:cs="仿宋"/>
          <w:sz w:val="24"/>
          <w:szCs w:val="24"/>
          <w:lang w:eastAsia="zh-CN"/>
        </w:rPr>
        <w:t>可调</w:t>
      </w:r>
      <w:r>
        <w:rPr>
          <w:rFonts w:hint="eastAsia" w:ascii="仿宋" w:hAnsi="仿宋" w:eastAsia="仿宋" w:cs="仿宋"/>
          <w:sz w:val="24"/>
          <w:szCs w:val="24"/>
        </w:rPr>
        <w:t>，门锁扣设计，温度数字显示，具有超温、传感器故障报警功能，自动除霜功能</w:t>
      </w:r>
      <w:r>
        <w:rPr>
          <w:rFonts w:hint="eastAsia" w:ascii="仿宋" w:hAnsi="仿宋" w:eastAsia="仿宋" w:cs="仿宋"/>
          <w:sz w:val="24"/>
          <w:szCs w:val="24"/>
          <w:lang w:eastAsia="zh-CN"/>
        </w:rPr>
        <w:t>；</w:t>
      </w:r>
    </w:p>
    <w:p>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样式：立式。（血浆、冷沉淀及需-20℃以下储存的血液类型）</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（二）医用冷冻冷藏箱（2台）</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内部容积：</w:t>
      </w:r>
      <w:r>
        <w:rPr>
          <w:rFonts w:hint="eastAsia" w:ascii="仿宋" w:hAnsi="仿宋" w:eastAsia="仿宋" w:cs="仿宋"/>
          <w:sz w:val="24"/>
          <w:szCs w:val="24"/>
          <w:lang w:bidi="ar"/>
        </w:rPr>
        <w:t>≥</w:t>
      </w:r>
      <w:r>
        <w:rPr>
          <w:rFonts w:hint="eastAsia" w:ascii="仿宋" w:hAnsi="仿宋" w:eastAsia="仿宋" w:cs="仿宋"/>
          <w:sz w:val="24"/>
          <w:szCs w:val="24"/>
        </w:rPr>
        <w:t>280L</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温度范围：冷冻-20--30℃，冷藏2-8℃。</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制冷系统均匀性</w:t>
      </w:r>
      <w:r>
        <w:rPr>
          <w:rFonts w:hint="eastAsia" w:ascii="仿宋" w:hAnsi="仿宋" w:eastAsia="仿宋" w:cs="仿宋"/>
          <w:sz w:val="24"/>
          <w:szCs w:val="24"/>
          <w:lang w:bidi="ar"/>
        </w:rPr>
        <w:t>≤</w:t>
      </w:r>
      <w:r>
        <w:rPr>
          <w:rFonts w:hint="eastAsia" w:ascii="仿宋" w:hAnsi="仿宋" w:eastAsia="仿宋" w:cs="仿宋"/>
          <w:sz w:val="24"/>
          <w:szCs w:val="24"/>
        </w:rPr>
        <w:t>±2℃，控温精度0.1℃，LED数码管显示。</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压缩机:制冷剂和绝热材料，无CFC,无HCFC,阻燃。</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工作电压:</w:t>
      </w:r>
      <w:r>
        <w:rPr>
          <w:rFonts w:hint="eastAsia" w:ascii="仿宋" w:hAnsi="仿宋" w:eastAsia="仿宋" w:cs="仿宋"/>
          <w:sz w:val="24"/>
          <w:szCs w:val="24"/>
          <w:lang w:val="en-US" w:eastAsia="zh-CN"/>
        </w:rPr>
        <w:t>210</w:t>
      </w:r>
      <w:r>
        <w:rPr>
          <w:rFonts w:hint="eastAsia" w:ascii="仿宋" w:hAnsi="仿宋" w:eastAsia="仿宋" w:cs="仿宋"/>
          <w:sz w:val="24"/>
          <w:szCs w:val="24"/>
        </w:rPr>
        <w:t>-240V宽工作电压范围,带时间延迟断路器。</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自动电压补偿，具稳压功能。</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内部为不锈钢内壁；无氟聚亚胺酯绝热层。</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冰箱门确保良好的密封性。</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具有真空减压口设计。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提供过温</w:t>
      </w:r>
      <w:r>
        <w:rPr>
          <w:rFonts w:hint="eastAsia" w:ascii="仿宋" w:hAnsi="仿宋" w:eastAsia="仿宋" w:cs="仿宋"/>
          <w:sz w:val="24"/>
          <w:szCs w:val="24"/>
          <w:lang w:eastAsia="zh-CN"/>
        </w:rPr>
        <w:t>、</w:t>
      </w:r>
      <w:r>
        <w:rPr>
          <w:rFonts w:hint="eastAsia" w:ascii="仿宋" w:hAnsi="仿宋" w:eastAsia="仿宋" w:cs="仿宋"/>
          <w:sz w:val="24"/>
          <w:szCs w:val="24"/>
        </w:rPr>
        <w:t>温度不足</w:t>
      </w:r>
      <w:r>
        <w:rPr>
          <w:rFonts w:hint="eastAsia" w:ascii="仿宋" w:hAnsi="仿宋" w:eastAsia="仿宋" w:cs="仿宋"/>
          <w:sz w:val="24"/>
          <w:szCs w:val="24"/>
          <w:lang w:eastAsia="zh-CN"/>
        </w:rPr>
        <w:t>、</w:t>
      </w:r>
      <w:r>
        <w:rPr>
          <w:rFonts w:hint="eastAsia" w:ascii="仿宋" w:hAnsi="仿宋" w:eastAsia="仿宋" w:cs="仿宋"/>
          <w:sz w:val="24"/>
          <w:szCs w:val="24"/>
        </w:rPr>
        <w:t>门开启</w:t>
      </w:r>
      <w:r>
        <w:rPr>
          <w:rFonts w:hint="eastAsia" w:ascii="仿宋" w:hAnsi="仿宋" w:eastAsia="仿宋" w:cs="仿宋"/>
          <w:sz w:val="24"/>
          <w:szCs w:val="24"/>
          <w:lang w:eastAsia="zh-CN"/>
        </w:rPr>
        <w:t>、</w:t>
      </w:r>
      <w:r>
        <w:rPr>
          <w:rFonts w:hint="eastAsia" w:ascii="仿宋" w:hAnsi="仿宋" w:eastAsia="仿宋" w:cs="仿宋"/>
          <w:sz w:val="24"/>
          <w:szCs w:val="24"/>
        </w:rPr>
        <w:t>断电</w:t>
      </w:r>
      <w:r>
        <w:rPr>
          <w:rFonts w:hint="eastAsia" w:ascii="仿宋" w:hAnsi="仿宋" w:eastAsia="仿宋" w:cs="仿宋"/>
          <w:sz w:val="24"/>
          <w:szCs w:val="24"/>
          <w:lang w:eastAsia="zh-CN"/>
        </w:rPr>
        <w:t>、</w:t>
      </w:r>
      <w:r>
        <w:rPr>
          <w:rFonts w:hint="eastAsia" w:ascii="仿宋" w:hAnsi="仿宋" w:eastAsia="仿宋" w:cs="仿宋"/>
          <w:sz w:val="24"/>
          <w:szCs w:val="24"/>
        </w:rPr>
        <w:t>电源错误</w:t>
      </w:r>
      <w:r>
        <w:rPr>
          <w:rFonts w:hint="eastAsia" w:ascii="仿宋" w:hAnsi="仿宋" w:eastAsia="仿宋" w:cs="仿宋"/>
          <w:sz w:val="24"/>
          <w:szCs w:val="24"/>
          <w:lang w:eastAsia="zh-CN"/>
        </w:rPr>
        <w:t>、</w:t>
      </w:r>
      <w:r>
        <w:rPr>
          <w:rFonts w:hint="eastAsia" w:ascii="仿宋" w:hAnsi="仿宋" w:eastAsia="仿宋" w:cs="仿宋"/>
          <w:sz w:val="24"/>
          <w:szCs w:val="24"/>
        </w:rPr>
        <w:t>电池需充电</w:t>
      </w:r>
      <w:r>
        <w:rPr>
          <w:rFonts w:hint="eastAsia" w:ascii="仿宋" w:hAnsi="仿宋" w:eastAsia="仿宋" w:cs="仿宋"/>
          <w:sz w:val="24"/>
          <w:szCs w:val="24"/>
          <w:lang w:eastAsia="zh-CN"/>
        </w:rPr>
        <w:t>、</w:t>
      </w:r>
      <w:r>
        <w:rPr>
          <w:rFonts w:hint="eastAsia" w:ascii="仿宋" w:hAnsi="仿宋" w:eastAsia="仿宋" w:cs="仿宋"/>
          <w:sz w:val="24"/>
          <w:szCs w:val="24"/>
        </w:rPr>
        <w:t>压缩机故障</w:t>
      </w:r>
      <w:r>
        <w:rPr>
          <w:rFonts w:hint="eastAsia" w:ascii="仿宋" w:hAnsi="仿宋" w:eastAsia="仿宋" w:cs="仿宋"/>
          <w:sz w:val="24"/>
          <w:szCs w:val="24"/>
          <w:lang w:eastAsia="zh-CN"/>
        </w:rPr>
        <w:t>、</w:t>
      </w:r>
      <w:r>
        <w:rPr>
          <w:rFonts w:hint="eastAsia" w:ascii="仿宋" w:hAnsi="仿宋" w:eastAsia="仿宋" w:cs="仿宋"/>
          <w:sz w:val="24"/>
          <w:szCs w:val="24"/>
        </w:rPr>
        <w:t>制冷电路损坏等报警提示。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具备免除人工处理冷凝水功能；有适当层数的保存架。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配备脚轮，可通过底角锁定。</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箱体有温度监控专用开孔2个（分别开口于</w:t>
      </w:r>
      <w:r>
        <w:rPr>
          <w:rFonts w:hint="eastAsia" w:ascii="仿宋" w:hAnsi="仿宋" w:eastAsia="仿宋" w:cs="仿宋"/>
          <w:bCs/>
          <w:sz w:val="24"/>
          <w:szCs w:val="24"/>
        </w:rPr>
        <w:t>冷冻室和冷藏室）。</w:t>
      </w:r>
    </w:p>
    <w:p>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w:t>
      </w:r>
      <w:r>
        <w:rPr>
          <w:rFonts w:hint="eastAsia" w:ascii="仿宋" w:hAnsi="仿宋" w:eastAsia="仿宋" w:cs="仿宋"/>
          <w:b/>
          <w:bCs/>
          <w:color w:val="000000"/>
          <w:sz w:val="24"/>
          <w:szCs w:val="24"/>
        </w:rPr>
        <w:t>医用冷藏箱（2台）</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国内知名品牌医用冷藏箱。</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内部容积：</w:t>
      </w:r>
      <w:r>
        <w:rPr>
          <w:rFonts w:hint="eastAsia" w:ascii="仿宋" w:hAnsi="仿宋" w:eastAsia="仿宋" w:cs="仿宋"/>
          <w:sz w:val="24"/>
          <w:szCs w:val="24"/>
          <w:lang w:bidi="ar"/>
        </w:rPr>
        <w:t>≥</w:t>
      </w:r>
      <w:r>
        <w:rPr>
          <w:rFonts w:hint="eastAsia" w:ascii="仿宋" w:hAnsi="仿宋" w:eastAsia="仿宋" w:cs="仿宋"/>
          <w:sz w:val="24"/>
          <w:szCs w:val="24"/>
        </w:rPr>
        <w:t>370L，2台</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温度范围：2℃—8℃，制冷系统均匀性</w:t>
      </w:r>
      <w:r>
        <w:rPr>
          <w:rFonts w:hint="eastAsia" w:ascii="仿宋" w:hAnsi="仿宋" w:eastAsia="仿宋" w:cs="仿宋"/>
          <w:sz w:val="24"/>
          <w:szCs w:val="24"/>
          <w:lang w:bidi="ar"/>
        </w:rPr>
        <w:t>≤</w:t>
      </w:r>
      <w:r>
        <w:rPr>
          <w:rFonts w:hint="eastAsia" w:ascii="仿宋" w:hAnsi="仿宋" w:eastAsia="仿宋" w:cs="仿宋"/>
          <w:sz w:val="24"/>
          <w:szCs w:val="24"/>
        </w:rPr>
        <w:t>±2℃，控温精度0.1℃，LED数码管显示。</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压缩机:制冷剂和绝热材料，无CFC,无HCFC,阻燃。</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工作电压:208-240V宽工作电压范围,带时间延迟断路器。</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自动电压补偿，具稳压功能。</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内部为不锈钢内壁；无氟聚亚胺酯绝热层。</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冰箱门确保良好的密封性。</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具有真空减压口设计。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提供过温</w:t>
      </w:r>
      <w:r>
        <w:rPr>
          <w:rFonts w:hint="eastAsia" w:ascii="仿宋" w:hAnsi="仿宋" w:eastAsia="仿宋" w:cs="仿宋"/>
          <w:sz w:val="24"/>
          <w:szCs w:val="24"/>
          <w:lang w:eastAsia="zh-CN"/>
        </w:rPr>
        <w:t>、</w:t>
      </w:r>
      <w:r>
        <w:rPr>
          <w:rFonts w:hint="eastAsia" w:ascii="仿宋" w:hAnsi="仿宋" w:eastAsia="仿宋" w:cs="仿宋"/>
          <w:sz w:val="24"/>
          <w:szCs w:val="24"/>
        </w:rPr>
        <w:t>温度不足</w:t>
      </w:r>
      <w:r>
        <w:rPr>
          <w:rFonts w:hint="eastAsia" w:ascii="仿宋" w:hAnsi="仿宋" w:eastAsia="仿宋" w:cs="仿宋"/>
          <w:sz w:val="24"/>
          <w:szCs w:val="24"/>
          <w:lang w:eastAsia="zh-CN"/>
        </w:rPr>
        <w:t>、</w:t>
      </w:r>
      <w:r>
        <w:rPr>
          <w:rFonts w:hint="eastAsia" w:ascii="仿宋" w:hAnsi="仿宋" w:eastAsia="仿宋" w:cs="仿宋"/>
          <w:sz w:val="24"/>
          <w:szCs w:val="24"/>
        </w:rPr>
        <w:t>门开启</w:t>
      </w:r>
      <w:r>
        <w:rPr>
          <w:rFonts w:hint="eastAsia" w:ascii="仿宋" w:hAnsi="仿宋" w:eastAsia="仿宋" w:cs="仿宋"/>
          <w:sz w:val="24"/>
          <w:szCs w:val="24"/>
          <w:lang w:eastAsia="zh-CN"/>
        </w:rPr>
        <w:t>、</w:t>
      </w:r>
      <w:r>
        <w:rPr>
          <w:rFonts w:hint="eastAsia" w:ascii="仿宋" w:hAnsi="仿宋" w:eastAsia="仿宋" w:cs="仿宋"/>
          <w:sz w:val="24"/>
          <w:szCs w:val="24"/>
        </w:rPr>
        <w:t>断电</w:t>
      </w:r>
      <w:r>
        <w:rPr>
          <w:rFonts w:hint="eastAsia" w:ascii="仿宋" w:hAnsi="仿宋" w:eastAsia="仿宋" w:cs="仿宋"/>
          <w:sz w:val="24"/>
          <w:szCs w:val="24"/>
          <w:lang w:eastAsia="zh-CN"/>
        </w:rPr>
        <w:t>、</w:t>
      </w:r>
      <w:r>
        <w:rPr>
          <w:rFonts w:hint="eastAsia" w:ascii="仿宋" w:hAnsi="仿宋" w:eastAsia="仿宋" w:cs="仿宋"/>
          <w:sz w:val="24"/>
          <w:szCs w:val="24"/>
        </w:rPr>
        <w:t>电源错误</w:t>
      </w:r>
      <w:r>
        <w:rPr>
          <w:rFonts w:hint="eastAsia" w:ascii="仿宋" w:hAnsi="仿宋" w:eastAsia="仿宋" w:cs="仿宋"/>
          <w:sz w:val="24"/>
          <w:szCs w:val="24"/>
          <w:lang w:eastAsia="zh-CN"/>
        </w:rPr>
        <w:t>、</w:t>
      </w:r>
      <w:r>
        <w:rPr>
          <w:rFonts w:hint="eastAsia" w:ascii="仿宋" w:hAnsi="仿宋" w:eastAsia="仿宋" w:cs="仿宋"/>
          <w:sz w:val="24"/>
          <w:szCs w:val="24"/>
        </w:rPr>
        <w:t>电池需充电</w:t>
      </w:r>
      <w:r>
        <w:rPr>
          <w:rFonts w:hint="eastAsia" w:ascii="仿宋" w:hAnsi="仿宋" w:eastAsia="仿宋" w:cs="仿宋"/>
          <w:sz w:val="24"/>
          <w:szCs w:val="24"/>
          <w:lang w:eastAsia="zh-CN"/>
        </w:rPr>
        <w:t>、</w:t>
      </w:r>
      <w:r>
        <w:rPr>
          <w:rFonts w:hint="eastAsia" w:ascii="仿宋" w:hAnsi="仿宋" w:eastAsia="仿宋" w:cs="仿宋"/>
          <w:sz w:val="24"/>
          <w:szCs w:val="24"/>
        </w:rPr>
        <w:t>压缩机故障</w:t>
      </w:r>
      <w:r>
        <w:rPr>
          <w:rFonts w:hint="eastAsia" w:ascii="仿宋" w:hAnsi="仿宋" w:eastAsia="仿宋" w:cs="仿宋"/>
          <w:sz w:val="24"/>
          <w:szCs w:val="24"/>
          <w:lang w:eastAsia="zh-CN"/>
        </w:rPr>
        <w:t>、</w:t>
      </w:r>
      <w:r>
        <w:rPr>
          <w:rFonts w:hint="eastAsia" w:ascii="仿宋" w:hAnsi="仿宋" w:eastAsia="仿宋" w:cs="仿宋"/>
          <w:sz w:val="24"/>
          <w:szCs w:val="24"/>
        </w:rPr>
        <w:t>制冷电路损坏等报警提示。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具备免除人工处理冷凝水功能；有适当层数的保存架。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配备脚轮，可通过底角锁定。</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箱体有温度监控专用开孔。</w:t>
      </w:r>
    </w:p>
    <w:p>
      <w:pPr>
        <w:pageBreakBefore w:val="0"/>
        <w:kinsoku/>
        <w:wordWrap/>
        <w:overflowPunct/>
        <w:topLinePunct w:val="0"/>
        <w:autoSpaceDE/>
        <w:autoSpaceDN/>
        <w:bidi w:val="0"/>
        <w:spacing w:line="360" w:lineRule="auto"/>
        <w:ind w:left="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第五、医用冷藏箱（2-8℃）</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一、设备名称：医用冷藏箱（2-8℃）</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二、设备数量：</w:t>
      </w:r>
      <w:r>
        <w:rPr>
          <w:rFonts w:hint="eastAsia" w:ascii="仿宋" w:hAnsi="仿宋" w:eastAsia="仿宋" w:cs="仿宋"/>
          <w:b/>
          <w:bCs w:val="0"/>
          <w:sz w:val="24"/>
          <w:szCs w:val="24"/>
          <w:lang w:val="en-US" w:eastAsia="zh-CN"/>
        </w:rPr>
        <w:t>2</w:t>
      </w:r>
      <w:r>
        <w:rPr>
          <w:rFonts w:hint="eastAsia" w:ascii="仿宋" w:hAnsi="仿宋" w:eastAsia="仿宋" w:cs="仿宋"/>
          <w:b/>
          <w:bCs w:val="0"/>
          <w:sz w:val="24"/>
          <w:szCs w:val="24"/>
        </w:rPr>
        <w:t>台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三、技术参数和要求：　</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国内知名品牌医用冷藏箱。</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内部容积：</w:t>
      </w:r>
      <w:r>
        <w:rPr>
          <w:rFonts w:hint="eastAsia" w:ascii="仿宋" w:hAnsi="仿宋" w:eastAsia="仿宋" w:cs="仿宋"/>
          <w:sz w:val="24"/>
          <w:szCs w:val="24"/>
          <w:lang w:bidi="ar"/>
        </w:rPr>
        <w:t>≥</w:t>
      </w:r>
      <w:r>
        <w:rPr>
          <w:rFonts w:hint="eastAsia" w:ascii="仿宋" w:hAnsi="仿宋" w:eastAsia="仿宋" w:cs="仿宋"/>
          <w:sz w:val="24"/>
          <w:szCs w:val="24"/>
        </w:rPr>
        <w:t>800L，2台</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温度范围：2℃—8℃，制冷系统均匀性</w:t>
      </w:r>
      <w:r>
        <w:rPr>
          <w:rFonts w:hint="eastAsia" w:ascii="仿宋" w:hAnsi="仿宋" w:eastAsia="仿宋" w:cs="仿宋"/>
          <w:sz w:val="24"/>
          <w:szCs w:val="24"/>
          <w:lang w:bidi="ar"/>
        </w:rPr>
        <w:t>≤</w:t>
      </w:r>
      <w:r>
        <w:rPr>
          <w:rFonts w:hint="eastAsia" w:ascii="仿宋" w:hAnsi="仿宋" w:eastAsia="仿宋" w:cs="仿宋"/>
          <w:sz w:val="24"/>
          <w:szCs w:val="24"/>
        </w:rPr>
        <w:t>±2℃，控温精度0.1℃，LED数码管显示。</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压缩机:制冷剂和绝热材料，无CFC,无HCFC,阻燃。</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工作电压:208-240V宽工作电压范围,带时间延迟断路器。</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自动电压补偿，具稳压功能。</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内部为不锈钢内壁；无氟聚亚胺酯绝热层。</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冰箱门确保良好的密封性。</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具有真空减压口设计。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提供过温</w:t>
      </w:r>
      <w:r>
        <w:rPr>
          <w:rFonts w:hint="eastAsia" w:ascii="仿宋" w:hAnsi="仿宋" w:eastAsia="仿宋" w:cs="仿宋"/>
          <w:sz w:val="24"/>
          <w:szCs w:val="24"/>
          <w:lang w:eastAsia="zh-CN"/>
        </w:rPr>
        <w:t>、</w:t>
      </w:r>
      <w:r>
        <w:rPr>
          <w:rFonts w:hint="eastAsia" w:ascii="仿宋" w:hAnsi="仿宋" w:eastAsia="仿宋" w:cs="仿宋"/>
          <w:sz w:val="24"/>
          <w:szCs w:val="24"/>
        </w:rPr>
        <w:t>温度不足</w:t>
      </w:r>
      <w:r>
        <w:rPr>
          <w:rFonts w:hint="eastAsia" w:ascii="仿宋" w:hAnsi="仿宋" w:eastAsia="仿宋" w:cs="仿宋"/>
          <w:sz w:val="24"/>
          <w:szCs w:val="24"/>
          <w:lang w:eastAsia="zh-CN"/>
        </w:rPr>
        <w:t>、</w:t>
      </w:r>
      <w:r>
        <w:rPr>
          <w:rFonts w:hint="eastAsia" w:ascii="仿宋" w:hAnsi="仿宋" w:eastAsia="仿宋" w:cs="仿宋"/>
          <w:sz w:val="24"/>
          <w:szCs w:val="24"/>
        </w:rPr>
        <w:t>门开启</w:t>
      </w:r>
      <w:r>
        <w:rPr>
          <w:rFonts w:hint="eastAsia" w:ascii="仿宋" w:hAnsi="仿宋" w:eastAsia="仿宋" w:cs="仿宋"/>
          <w:sz w:val="24"/>
          <w:szCs w:val="24"/>
          <w:lang w:eastAsia="zh-CN"/>
        </w:rPr>
        <w:t>、</w:t>
      </w:r>
      <w:r>
        <w:rPr>
          <w:rFonts w:hint="eastAsia" w:ascii="仿宋" w:hAnsi="仿宋" w:eastAsia="仿宋" w:cs="仿宋"/>
          <w:sz w:val="24"/>
          <w:szCs w:val="24"/>
        </w:rPr>
        <w:t>断电</w:t>
      </w:r>
      <w:r>
        <w:rPr>
          <w:rFonts w:hint="eastAsia" w:ascii="仿宋" w:hAnsi="仿宋" w:eastAsia="仿宋" w:cs="仿宋"/>
          <w:sz w:val="24"/>
          <w:szCs w:val="24"/>
          <w:lang w:eastAsia="zh-CN"/>
        </w:rPr>
        <w:t>、</w:t>
      </w:r>
      <w:r>
        <w:rPr>
          <w:rFonts w:hint="eastAsia" w:ascii="仿宋" w:hAnsi="仿宋" w:eastAsia="仿宋" w:cs="仿宋"/>
          <w:sz w:val="24"/>
          <w:szCs w:val="24"/>
        </w:rPr>
        <w:t>电源错误</w:t>
      </w:r>
      <w:r>
        <w:rPr>
          <w:rFonts w:hint="eastAsia" w:ascii="仿宋" w:hAnsi="仿宋" w:eastAsia="仿宋" w:cs="仿宋"/>
          <w:sz w:val="24"/>
          <w:szCs w:val="24"/>
          <w:lang w:eastAsia="zh-CN"/>
        </w:rPr>
        <w:t>、</w:t>
      </w:r>
      <w:r>
        <w:rPr>
          <w:rFonts w:hint="eastAsia" w:ascii="仿宋" w:hAnsi="仿宋" w:eastAsia="仿宋" w:cs="仿宋"/>
          <w:sz w:val="24"/>
          <w:szCs w:val="24"/>
        </w:rPr>
        <w:t>电池需充电</w:t>
      </w:r>
      <w:r>
        <w:rPr>
          <w:rFonts w:hint="eastAsia" w:ascii="仿宋" w:hAnsi="仿宋" w:eastAsia="仿宋" w:cs="仿宋"/>
          <w:sz w:val="24"/>
          <w:szCs w:val="24"/>
          <w:lang w:eastAsia="zh-CN"/>
        </w:rPr>
        <w:t>、</w:t>
      </w:r>
      <w:r>
        <w:rPr>
          <w:rFonts w:hint="eastAsia" w:ascii="仿宋" w:hAnsi="仿宋" w:eastAsia="仿宋" w:cs="仿宋"/>
          <w:sz w:val="24"/>
          <w:szCs w:val="24"/>
        </w:rPr>
        <w:t>压缩机故障</w:t>
      </w:r>
      <w:r>
        <w:rPr>
          <w:rFonts w:hint="eastAsia" w:ascii="仿宋" w:hAnsi="仿宋" w:eastAsia="仿宋" w:cs="仿宋"/>
          <w:sz w:val="24"/>
          <w:szCs w:val="24"/>
          <w:lang w:eastAsia="zh-CN"/>
        </w:rPr>
        <w:t>、</w:t>
      </w:r>
      <w:r>
        <w:rPr>
          <w:rFonts w:hint="eastAsia" w:ascii="仿宋" w:hAnsi="仿宋" w:eastAsia="仿宋" w:cs="仿宋"/>
          <w:sz w:val="24"/>
          <w:szCs w:val="24"/>
        </w:rPr>
        <w:t>制冷电路损坏等报警提示。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具备免除人工处理冷凝水功能；有适当层数的保存架。</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配备脚轮，可通过底角锁定。</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箱体有温度监控专用开孔。</w:t>
      </w:r>
    </w:p>
    <w:p>
      <w:pPr>
        <w:pageBreakBefore w:val="0"/>
        <w:kinsoku/>
        <w:wordWrap/>
        <w:overflowPunct/>
        <w:topLinePunct w:val="0"/>
        <w:autoSpaceDE/>
        <w:autoSpaceDN/>
        <w:bidi w:val="0"/>
        <w:spacing w:line="360" w:lineRule="auto"/>
        <w:ind w:left="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第五、医用冰箱冷链监控系统</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一、设备名称：医用冰箱冷链监控系统</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二、设备数量：两套　</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color w:val="000000"/>
          <w:sz w:val="24"/>
          <w:szCs w:val="24"/>
        </w:rPr>
        <w:t>三、技术参数和要求：</w:t>
      </w:r>
      <w:r>
        <w:rPr>
          <w:rFonts w:hint="eastAsia" w:ascii="仿宋" w:hAnsi="仿宋" w:eastAsia="仿宋" w:cs="仿宋"/>
          <w:b/>
          <w:bCs/>
          <w:sz w:val="24"/>
          <w:szCs w:val="24"/>
        </w:rPr>
        <w:t>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color w:val="000000"/>
          <w:sz w:val="24"/>
          <w:szCs w:val="24"/>
        </w:rPr>
        <w:t>（一）医用冰箱冷链监控系统 （1套）</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（1）</w:t>
      </w:r>
      <w:r>
        <w:rPr>
          <w:rFonts w:hint="eastAsia" w:ascii="仿宋" w:hAnsi="仿宋" w:eastAsia="仿宋" w:cs="仿宋"/>
          <w:sz w:val="24"/>
          <w:szCs w:val="24"/>
        </w:rPr>
        <w:t>　</w:t>
      </w:r>
      <w:r>
        <w:rPr>
          <w:rFonts w:hint="eastAsia" w:ascii="仿宋" w:hAnsi="仿宋" w:eastAsia="仿宋" w:cs="仿宋"/>
          <w:b/>
          <w:bCs/>
          <w:color w:val="000000"/>
          <w:sz w:val="24"/>
          <w:szCs w:val="24"/>
        </w:rPr>
        <w:t>冷链监控系统软件：1套</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系统基于B/S（浏览器/服务器）架构模式，工作人员通过授权的方式，打开浏览器即可随时随地查询设备温（湿）度数据。中继可接入用户局域网，局域网内任何电脑都可通过IE浏览器访问主机，从而实现冷链监控。</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配备多种方式查询历史记录，如：设备名称、规格型号、设备编号、标准温（湿）度、起始时间及结束时间等。</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具备报表功能，工作人员可选择时间打印，也可导出为EXCEL表格存储。</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具备温度曲线的显示、绘制、打印功能，图形可以自由的进行缩放，并能反映相应点的温（湿）度值，能对失控温度进行标注。</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可实现对不同楼层、不同冰箱、冰柜、或者外出移动运输车，办公区以外仓库的统一监测。</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eastAsia="zh-CN"/>
        </w:rPr>
        <w:t>具有</w:t>
      </w:r>
      <w:r>
        <w:rPr>
          <w:rFonts w:hint="eastAsia" w:ascii="仿宋" w:hAnsi="仿宋" w:eastAsia="仿宋" w:cs="仿宋"/>
          <w:sz w:val="24"/>
          <w:szCs w:val="24"/>
        </w:rPr>
        <w:t>登陆有授权</w:t>
      </w:r>
      <w:r>
        <w:rPr>
          <w:rFonts w:hint="eastAsia" w:ascii="仿宋" w:hAnsi="仿宋" w:eastAsia="仿宋" w:cs="仿宋"/>
          <w:sz w:val="24"/>
          <w:szCs w:val="24"/>
          <w:lang w:eastAsia="zh-CN"/>
        </w:rPr>
        <w:t>功能</w:t>
      </w:r>
      <w:r>
        <w:rPr>
          <w:rFonts w:hint="eastAsia" w:ascii="仿宋" w:hAnsi="仿宋" w:eastAsia="仿宋" w:cs="仿宋"/>
          <w:sz w:val="24"/>
          <w:szCs w:val="24"/>
        </w:rPr>
        <w:t>，配备超级管理员、管理员和普通用户三级权限，不同权限可控制不同的冰箱。</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多种报警方式：可实现弹出对话框报警、音乐报警、短信报警</w:t>
      </w:r>
      <w:r>
        <w:rPr>
          <w:rFonts w:hint="eastAsia" w:ascii="仿宋" w:hAnsi="仿宋" w:eastAsia="仿宋" w:cs="仿宋"/>
          <w:sz w:val="24"/>
          <w:szCs w:val="24"/>
          <w:lang w:eastAsia="zh-CN"/>
        </w:rPr>
        <w:t>等</w:t>
      </w:r>
      <w:r>
        <w:rPr>
          <w:rFonts w:hint="eastAsia" w:ascii="仿宋" w:hAnsi="仿宋" w:eastAsia="仿宋" w:cs="仿宋"/>
          <w:sz w:val="24"/>
          <w:szCs w:val="24"/>
        </w:rPr>
        <w:t>。短信报警可实现故障短信报警、延时短信报警、故障周期内恢复报警。同时针对报警次数不同发送不同的接收人。</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eastAsia="zh-CN"/>
        </w:rPr>
        <w:t>具备</w:t>
      </w:r>
      <w:r>
        <w:rPr>
          <w:rFonts w:hint="eastAsia" w:ascii="仿宋" w:hAnsi="仿宋" w:eastAsia="仿宋" w:cs="仿宋"/>
          <w:sz w:val="24"/>
          <w:szCs w:val="24"/>
        </w:rPr>
        <w:t>中继器、采集器、设备三种故障报警</w:t>
      </w:r>
      <w:r>
        <w:rPr>
          <w:rFonts w:hint="eastAsia" w:ascii="仿宋" w:hAnsi="仿宋" w:eastAsia="仿宋" w:cs="仿宋"/>
          <w:sz w:val="24"/>
          <w:szCs w:val="24"/>
          <w:lang w:eastAsia="zh-CN"/>
        </w:rPr>
        <w:t>、具有</w:t>
      </w:r>
      <w:r>
        <w:rPr>
          <w:rFonts w:hint="eastAsia" w:ascii="仿宋" w:hAnsi="仿宋" w:eastAsia="仿宋" w:cs="仿宋"/>
          <w:sz w:val="24"/>
          <w:szCs w:val="24"/>
        </w:rPr>
        <w:t>实现断电、超温等报警。</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具备数据库自动备份功能。</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所有系统操作全部有日志记录，可以追查历史操作记录。</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可扩展数据中心采用GIS（地理信息系统）管理技术，实时展现冰箱布局图，可以在第一时间对故障设备进行位置定位。</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整套系统必须具备第三方评测机构出具的系统验收合格报告；软件具备国家版权局颁发的计算机软件著作权登记证书。</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主流配置台式电脑2台，喷墨打印机2台。</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（2）</w:t>
      </w:r>
      <w:r>
        <w:rPr>
          <w:rFonts w:hint="eastAsia" w:ascii="仿宋" w:hAnsi="仿宋" w:eastAsia="仿宋" w:cs="仿宋"/>
          <w:sz w:val="24"/>
          <w:szCs w:val="24"/>
        </w:rPr>
        <w:t>　</w:t>
      </w:r>
      <w:r>
        <w:rPr>
          <w:rFonts w:hint="eastAsia" w:ascii="仿宋" w:hAnsi="仿宋" w:eastAsia="仿宋" w:cs="仿宋"/>
          <w:b/>
          <w:bCs/>
          <w:color w:val="000000"/>
          <w:sz w:val="24"/>
          <w:szCs w:val="24"/>
        </w:rPr>
        <w:t>温湿度采集模块：</w:t>
      </w:r>
      <w:r>
        <w:rPr>
          <w:rFonts w:hint="eastAsia" w:ascii="仿宋" w:hAnsi="仿宋" w:eastAsia="仿宋" w:cs="仿宋"/>
          <w:sz w:val="24"/>
          <w:szCs w:val="24"/>
          <w:lang w:bidi="ar"/>
        </w:rPr>
        <w:t>≥</w:t>
      </w:r>
      <w:r>
        <w:rPr>
          <w:rFonts w:hint="eastAsia" w:ascii="仿宋" w:hAnsi="仿宋" w:eastAsia="仿宋" w:cs="仿宋"/>
          <w:b/>
          <w:bCs/>
          <w:color w:val="000000"/>
          <w:sz w:val="24"/>
          <w:szCs w:val="24"/>
        </w:rPr>
        <w:t>30个</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eastAsia="zh-CN"/>
        </w:rPr>
        <w:t>具有</w:t>
      </w:r>
      <w:r>
        <w:rPr>
          <w:rFonts w:hint="eastAsia" w:ascii="仿宋" w:hAnsi="仿宋" w:eastAsia="仿宋" w:cs="仿宋"/>
          <w:sz w:val="24"/>
          <w:szCs w:val="24"/>
        </w:rPr>
        <w:t>直流输出模块供电,所有采集模块应有后备电池，≥8小时。</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现场温湿度采集模块配备LCD液晶屏幕显示，显示实时温度、无线工作状态、电池电量等信息。</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eastAsia="zh-CN"/>
        </w:rPr>
        <w:t>具有</w:t>
      </w:r>
      <w:r>
        <w:rPr>
          <w:rFonts w:hint="eastAsia" w:ascii="仿宋" w:hAnsi="仿宋" w:eastAsia="仿宋" w:cs="仿宋"/>
          <w:sz w:val="24"/>
          <w:szCs w:val="24"/>
        </w:rPr>
        <w:t>无线通讯模式。</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温湿度采集模块采集范围：-40℃～90℃，湿度 0%RH~99%RH，测温精度±0.5℃；测湿精度±5%RH；分辨率：0.1℃，1%RH。。</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具有国家颁布的无线电发射设备型号核准证书。</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（3）</w:t>
      </w:r>
      <w:r>
        <w:rPr>
          <w:rFonts w:hint="eastAsia" w:ascii="仿宋" w:hAnsi="仿宋" w:eastAsia="仿宋" w:cs="仿宋"/>
          <w:sz w:val="24"/>
          <w:szCs w:val="24"/>
        </w:rPr>
        <w:t>　</w:t>
      </w:r>
      <w:r>
        <w:rPr>
          <w:rFonts w:hint="eastAsia" w:ascii="仿宋" w:hAnsi="仿宋" w:eastAsia="仿宋" w:cs="仿宋"/>
          <w:b/>
          <w:bCs/>
          <w:color w:val="000000"/>
          <w:sz w:val="24"/>
          <w:szCs w:val="24"/>
        </w:rPr>
        <w:t>无线中继模块：</w:t>
      </w:r>
      <w:r>
        <w:rPr>
          <w:rFonts w:hint="eastAsia" w:ascii="仿宋" w:hAnsi="仿宋" w:eastAsia="仿宋" w:cs="仿宋"/>
          <w:sz w:val="24"/>
          <w:szCs w:val="24"/>
          <w:lang w:bidi="ar"/>
        </w:rPr>
        <w:t>1</w:t>
      </w:r>
      <w:r>
        <w:rPr>
          <w:rFonts w:hint="eastAsia" w:ascii="仿宋" w:hAnsi="仿宋" w:eastAsia="仿宋" w:cs="仿宋"/>
          <w:b/>
          <w:bCs/>
          <w:color w:val="000000"/>
          <w:sz w:val="24"/>
          <w:szCs w:val="24"/>
        </w:rPr>
        <w:t>个</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在发生断电事故时，中继模块保证正常运行≥8小时，确保服务器能够检测到温度超限并及时报警。</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lang w:eastAsia="zh-CN"/>
        </w:rPr>
        <w:t>具有</w:t>
      </w:r>
      <w:r>
        <w:rPr>
          <w:rFonts w:hint="eastAsia" w:ascii="仿宋" w:hAnsi="仿宋" w:eastAsia="仿宋" w:cs="仿宋"/>
          <w:sz w:val="24"/>
          <w:szCs w:val="24"/>
        </w:rPr>
        <w:t>无线通讯模式。</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sz w:val="24"/>
          <w:szCs w:val="24"/>
        </w:rPr>
        <w:t>数据通过以太网上传服务器。</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（4）</w:t>
      </w:r>
      <w:r>
        <w:rPr>
          <w:rFonts w:hint="eastAsia" w:ascii="仿宋" w:hAnsi="仿宋" w:eastAsia="仿宋" w:cs="仿宋"/>
          <w:sz w:val="24"/>
          <w:szCs w:val="24"/>
        </w:rPr>
        <w:t>　</w:t>
      </w:r>
      <w:r>
        <w:rPr>
          <w:rFonts w:hint="eastAsia" w:ascii="仿宋" w:hAnsi="仿宋" w:eastAsia="仿宋" w:cs="仿宋"/>
          <w:b/>
          <w:bCs/>
          <w:color w:val="000000"/>
          <w:sz w:val="24"/>
          <w:szCs w:val="24"/>
        </w:rPr>
        <w:t>无线GPRS中继模块：</w:t>
      </w:r>
      <w:r>
        <w:rPr>
          <w:rFonts w:hint="eastAsia" w:ascii="仿宋" w:hAnsi="仿宋" w:eastAsia="仿宋" w:cs="仿宋"/>
          <w:sz w:val="24"/>
          <w:szCs w:val="24"/>
          <w:lang w:bidi="ar"/>
        </w:rPr>
        <w:t>1</w:t>
      </w:r>
      <w:r>
        <w:rPr>
          <w:rFonts w:hint="eastAsia" w:ascii="仿宋" w:hAnsi="仿宋" w:eastAsia="仿宋" w:cs="仿宋"/>
          <w:b/>
          <w:bCs/>
          <w:color w:val="000000"/>
          <w:sz w:val="24"/>
          <w:szCs w:val="24"/>
        </w:rPr>
        <w:t>个</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直流输出模块供电,同时模块具备后备电池，能够在发生断电事故时保证采集模块仍然正常运行≥48小时。</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具有</w:t>
      </w:r>
      <w:r>
        <w:rPr>
          <w:rFonts w:hint="eastAsia" w:ascii="仿宋" w:hAnsi="仿宋" w:eastAsia="仿宋" w:cs="仿宋"/>
          <w:sz w:val="24"/>
          <w:szCs w:val="24"/>
        </w:rPr>
        <w:t xml:space="preserve">无线通讯模式。 </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数据通过以太网或GPRS网络上传服务器。当使用GPRS上传数据时用户需配备公网服务器。 </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当温度超温或设备出现问题时可向指定用户发送短信。 </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当网络或服务器出现问题，数据可自身存储，恢复后可断点续传(与温湿度采集模块搭配使用）。</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sz w:val="24"/>
          <w:szCs w:val="24"/>
        </w:rPr>
      </w:pPr>
      <w:r>
        <w:rPr>
          <w:rFonts w:hint="eastAsia" w:ascii="仿宋" w:hAnsi="仿宋" w:eastAsia="仿宋" w:cs="仿宋"/>
          <w:b/>
          <w:bCs/>
          <w:color w:val="000000"/>
          <w:sz w:val="24"/>
          <w:szCs w:val="24"/>
        </w:rPr>
        <w:t>（</w:t>
      </w:r>
      <w:r>
        <w:rPr>
          <w:rFonts w:hint="eastAsia" w:ascii="仿宋" w:hAnsi="仿宋" w:eastAsia="仿宋" w:cs="仿宋"/>
          <w:b/>
          <w:bCs/>
          <w:color w:val="000000"/>
          <w:sz w:val="24"/>
          <w:szCs w:val="24"/>
          <w:lang w:eastAsia="zh-CN"/>
        </w:rPr>
        <w:t>二</w:t>
      </w:r>
      <w:r>
        <w:rPr>
          <w:rFonts w:hint="eastAsia" w:ascii="仿宋" w:hAnsi="仿宋" w:eastAsia="仿宋" w:cs="仿宋"/>
          <w:b/>
          <w:bCs/>
          <w:color w:val="000000"/>
          <w:sz w:val="24"/>
          <w:szCs w:val="24"/>
        </w:rPr>
        <w:t>）医用冰箱冷链监控系统 （1套）</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1.量程范围</w:t>
      </w:r>
      <w:r>
        <w:rPr>
          <w:rFonts w:hint="eastAsia" w:ascii="仿宋" w:hAnsi="仿宋" w:eastAsia="仿宋" w:cs="仿宋"/>
          <w:sz w:val="24"/>
          <w:szCs w:val="24"/>
          <w:lang w:eastAsia="zh-CN"/>
        </w:rPr>
        <w:t>：</w:t>
      </w:r>
      <w:r>
        <w:rPr>
          <w:rFonts w:hint="eastAsia" w:ascii="仿宋" w:hAnsi="仿宋" w:eastAsia="仿宋" w:cs="仿宋"/>
          <w:sz w:val="24"/>
          <w:szCs w:val="24"/>
        </w:rPr>
        <w:t>6到10个点位，超低温：-200℃;常规温度：-40~100℃;常规温湿度：-40-100℃ 0-100%RH；分辨率</w:t>
      </w:r>
      <w:r>
        <w:rPr>
          <w:rFonts w:hint="eastAsia" w:ascii="仿宋" w:hAnsi="仿宋" w:eastAsia="仿宋" w:cs="仿宋"/>
          <w:sz w:val="24"/>
          <w:szCs w:val="24"/>
        </w:rPr>
        <w:tab/>
      </w:r>
      <w:r>
        <w:rPr>
          <w:rFonts w:hint="eastAsia" w:ascii="仿宋" w:hAnsi="仿宋" w:eastAsia="仿宋" w:cs="仿宋"/>
          <w:sz w:val="24"/>
          <w:szCs w:val="24"/>
        </w:rPr>
        <w:t>温度：0.1℃ ;  湿度 ：0.1%RH</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 精度：温度：±0.5℃;湿度：±4.5%RH</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 产品规格</w:t>
      </w:r>
      <w:r>
        <w:rPr>
          <w:rFonts w:hint="eastAsia" w:ascii="仿宋" w:hAnsi="仿宋" w:eastAsia="仿宋" w:cs="仿宋"/>
          <w:sz w:val="24"/>
          <w:szCs w:val="24"/>
          <w:lang w:eastAsia="zh-CN"/>
        </w:rPr>
        <w:t>：</w:t>
      </w:r>
      <w:r>
        <w:rPr>
          <w:rFonts w:hint="eastAsia" w:ascii="仿宋" w:hAnsi="仿宋" w:eastAsia="仿宋" w:cs="仿宋"/>
          <w:sz w:val="24"/>
          <w:szCs w:val="24"/>
        </w:rPr>
        <w:t>90*110*22mm ;LCD 尺寸</w:t>
      </w:r>
      <w:r>
        <w:rPr>
          <w:rFonts w:hint="eastAsia" w:ascii="仿宋" w:hAnsi="仿宋" w:eastAsia="仿宋" w:cs="仿宋"/>
          <w:sz w:val="24"/>
          <w:szCs w:val="24"/>
        </w:rPr>
        <w:tab/>
      </w:r>
      <w:r>
        <w:rPr>
          <w:rFonts w:hint="eastAsia" w:ascii="仿宋" w:hAnsi="仿宋" w:eastAsia="仿宋" w:cs="仿宋"/>
          <w:sz w:val="24"/>
          <w:szCs w:val="24"/>
        </w:rPr>
        <w:t>2 寸 TFT 彩屏显示</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 供电电源</w:t>
      </w:r>
      <w:r>
        <w:rPr>
          <w:rFonts w:hint="eastAsia" w:ascii="仿宋" w:hAnsi="仿宋" w:eastAsia="仿宋" w:cs="仿宋"/>
          <w:sz w:val="24"/>
          <w:szCs w:val="24"/>
          <w:lang w:eastAsia="zh-CN"/>
        </w:rPr>
        <w:t>：</w:t>
      </w:r>
      <w:r>
        <w:rPr>
          <w:rFonts w:hint="eastAsia" w:ascii="仿宋" w:hAnsi="仿宋" w:eastAsia="仿宋" w:cs="仿宋"/>
          <w:sz w:val="24"/>
          <w:szCs w:val="24"/>
        </w:rPr>
        <w:t xml:space="preserve">高容量可充电锂电池+充电电源接口，5V DC；采用 4000mAH 可充电锂电池，寿命≥3 年。断电仍可持续工作≥2 天 </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 通讯方式</w:t>
      </w:r>
      <w:r>
        <w:rPr>
          <w:rFonts w:hint="eastAsia" w:ascii="仿宋" w:hAnsi="仿宋" w:eastAsia="仿宋" w:cs="仿宋"/>
          <w:sz w:val="24"/>
          <w:szCs w:val="24"/>
          <w:lang w:eastAsia="zh-CN"/>
        </w:rPr>
        <w:t>：</w:t>
      </w:r>
      <w:r>
        <w:rPr>
          <w:rFonts w:hint="eastAsia" w:ascii="仿宋" w:hAnsi="仿宋" w:eastAsia="仿宋" w:cs="仿宋"/>
          <w:sz w:val="24"/>
          <w:szCs w:val="24"/>
        </w:rPr>
        <w:t xml:space="preserve">采用 4G </w:t>
      </w:r>
      <w:r>
        <w:rPr>
          <w:rFonts w:hint="eastAsia" w:ascii="仿宋" w:hAnsi="仿宋" w:eastAsia="仿宋" w:cs="仿宋"/>
          <w:sz w:val="24"/>
          <w:szCs w:val="24"/>
          <w:lang w:eastAsia="zh-CN"/>
        </w:rPr>
        <w:t>及以上</w:t>
      </w:r>
      <w:r>
        <w:rPr>
          <w:rFonts w:hint="eastAsia" w:ascii="仿宋" w:hAnsi="仿宋" w:eastAsia="仿宋" w:cs="仿宋"/>
          <w:sz w:val="24"/>
          <w:szCs w:val="24"/>
        </w:rPr>
        <w:t>全网通+无线 WIFI 双通讯制式</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 传感器</w:t>
      </w:r>
      <w:r>
        <w:rPr>
          <w:rFonts w:hint="eastAsia" w:ascii="仿宋" w:hAnsi="仿宋" w:eastAsia="仿宋" w:cs="仿宋"/>
          <w:sz w:val="24"/>
          <w:szCs w:val="24"/>
          <w:lang w:eastAsia="zh-CN"/>
        </w:rPr>
        <w:t>：</w:t>
      </w:r>
      <w:r>
        <w:rPr>
          <w:rFonts w:hint="eastAsia" w:ascii="仿宋" w:hAnsi="仿宋" w:eastAsia="仿宋" w:cs="仿宋"/>
          <w:sz w:val="24"/>
          <w:szCs w:val="24"/>
        </w:rPr>
        <w:t>可同时匹配内置环境温湿度监测 ，外置接入一路超低温、两路普通温湿度传感器</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 终端界面</w:t>
      </w:r>
      <w:r>
        <w:rPr>
          <w:rFonts w:hint="eastAsia" w:ascii="仿宋" w:hAnsi="仿宋" w:eastAsia="仿宋" w:cs="仿宋"/>
          <w:sz w:val="24"/>
          <w:szCs w:val="24"/>
          <w:lang w:eastAsia="zh-CN"/>
        </w:rPr>
        <w:t>；</w:t>
      </w:r>
      <w:r>
        <w:rPr>
          <w:rFonts w:hint="eastAsia" w:ascii="仿宋" w:hAnsi="仿宋" w:eastAsia="仿宋" w:cs="仿宋"/>
          <w:sz w:val="24"/>
          <w:szCs w:val="24"/>
        </w:rPr>
        <w:t>液晶彩屏显示、实时显示温湿度数据、设备编号、通道信息、传感器温湿度值、环境温湿度值、日期、时间、通讯信号质量、锂电池电量、报警开关状态、服务器连接状态、外部电源连接状态等内容。支持 4G</w:t>
      </w:r>
      <w:r>
        <w:rPr>
          <w:rFonts w:hint="eastAsia" w:ascii="仿宋" w:hAnsi="仿宋" w:eastAsia="仿宋" w:cs="仿宋"/>
          <w:sz w:val="24"/>
          <w:szCs w:val="24"/>
          <w:lang w:eastAsia="zh-CN"/>
        </w:rPr>
        <w:t>及以上</w:t>
      </w:r>
      <w:r>
        <w:rPr>
          <w:rFonts w:hint="eastAsia" w:ascii="仿宋" w:hAnsi="仿宋" w:eastAsia="仿宋" w:cs="仿宋"/>
          <w:sz w:val="24"/>
          <w:szCs w:val="24"/>
        </w:rPr>
        <w:t>（全网通） 和 WIFI 无线上传功能。同时具备图形、数字（表盘）显示功能。</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 数据上传</w:t>
      </w:r>
      <w:r>
        <w:rPr>
          <w:rFonts w:hint="eastAsia" w:ascii="仿宋" w:hAnsi="仿宋" w:eastAsia="仿宋" w:cs="仿宋"/>
          <w:sz w:val="24"/>
          <w:szCs w:val="24"/>
          <w:lang w:eastAsia="zh-CN"/>
        </w:rPr>
        <w:t>：</w:t>
      </w:r>
      <w:r>
        <w:rPr>
          <w:rFonts w:hint="eastAsia" w:ascii="仿宋" w:hAnsi="仿宋" w:eastAsia="仿宋" w:cs="仿宋"/>
          <w:sz w:val="24"/>
          <w:szCs w:val="24"/>
        </w:rPr>
        <w:t>采集数据通过 GPRS 网络传送到用户自有的服务器上；温度采集时间间隔可以单独设定</w:t>
      </w:r>
      <w:r>
        <w:rPr>
          <w:rFonts w:hint="eastAsia" w:ascii="仿宋" w:hAnsi="仿宋" w:eastAsia="仿宋" w:cs="仿宋"/>
          <w:sz w:val="24"/>
          <w:szCs w:val="24"/>
          <w:lang w:eastAsia="zh-CN"/>
        </w:rPr>
        <w:t>，</w:t>
      </w:r>
      <w:r>
        <w:rPr>
          <w:rFonts w:hint="eastAsia" w:ascii="仿宋" w:hAnsi="仿宋" w:eastAsia="仿宋" w:cs="仿宋"/>
          <w:sz w:val="24"/>
          <w:szCs w:val="24"/>
        </w:rPr>
        <w:t>1 分钟-24 小时可调</w:t>
      </w:r>
      <w:r>
        <w:rPr>
          <w:rFonts w:hint="eastAsia" w:ascii="仿宋" w:hAnsi="仿宋" w:eastAsia="仿宋" w:cs="仿宋"/>
          <w:sz w:val="24"/>
          <w:szCs w:val="24"/>
          <w:lang w:eastAsia="zh-CN"/>
        </w:rPr>
        <w:t>，</w:t>
      </w:r>
      <w:r>
        <w:rPr>
          <w:rFonts w:hint="eastAsia" w:ascii="仿宋" w:hAnsi="仿宋" w:eastAsia="仿宋" w:cs="仿宋"/>
          <w:sz w:val="24"/>
          <w:szCs w:val="24"/>
        </w:rPr>
        <w:t>按设定的上传间隔上传至软件端</w:t>
      </w:r>
      <w:r>
        <w:rPr>
          <w:rFonts w:hint="eastAsia" w:ascii="仿宋" w:hAnsi="仿宋" w:eastAsia="仿宋" w:cs="仿宋"/>
          <w:sz w:val="24"/>
          <w:szCs w:val="24"/>
          <w:lang w:eastAsia="zh-CN"/>
        </w:rPr>
        <w:t>，</w:t>
      </w:r>
      <w:r>
        <w:rPr>
          <w:rFonts w:hint="eastAsia" w:ascii="仿宋" w:hAnsi="仿宋" w:eastAsia="仿宋" w:cs="仿宋"/>
          <w:sz w:val="24"/>
          <w:szCs w:val="24"/>
        </w:rPr>
        <w:t>有断点续传功能。</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9.报警</w:t>
      </w:r>
      <w:r>
        <w:rPr>
          <w:rFonts w:hint="eastAsia" w:ascii="仿宋" w:hAnsi="仿宋" w:eastAsia="仿宋" w:cs="仿宋"/>
          <w:sz w:val="24"/>
          <w:szCs w:val="24"/>
          <w:lang w:eastAsia="zh-CN"/>
        </w:rPr>
        <w:t>：</w:t>
      </w:r>
      <w:r>
        <w:rPr>
          <w:rFonts w:hint="eastAsia" w:ascii="仿宋" w:hAnsi="仿宋" w:eastAsia="仿宋" w:cs="仿宋"/>
          <w:sz w:val="24"/>
          <w:szCs w:val="24"/>
        </w:rPr>
        <w:t>配备 LED 指示灯，分别指示不同状态。设备终端自带超温报警，报警方式为声光报警</w:t>
      </w:r>
      <w:r>
        <w:rPr>
          <w:rFonts w:hint="eastAsia" w:ascii="仿宋" w:hAnsi="仿宋" w:eastAsia="仿宋" w:cs="仿宋"/>
          <w:sz w:val="24"/>
          <w:szCs w:val="24"/>
          <w:lang w:eastAsia="zh-CN"/>
        </w:rPr>
        <w:t>，</w:t>
      </w:r>
      <w:r>
        <w:rPr>
          <w:rFonts w:hint="eastAsia" w:ascii="仿宋" w:hAnsi="仿宋" w:eastAsia="仿宋" w:cs="仿宋"/>
          <w:sz w:val="24"/>
          <w:szCs w:val="24"/>
        </w:rPr>
        <w:t>超温后</w:t>
      </w:r>
      <w:r>
        <w:rPr>
          <w:rFonts w:hint="eastAsia" w:ascii="仿宋" w:hAnsi="仿宋" w:eastAsia="仿宋" w:cs="仿宋"/>
          <w:sz w:val="24"/>
          <w:szCs w:val="24"/>
          <w:lang w:eastAsia="zh-CN"/>
        </w:rPr>
        <w:t>，</w:t>
      </w:r>
      <w:r>
        <w:rPr>
          <w:rFonts w:hint="eastAsia" w:ascii="仿宋" w:hAnsi="仿宋" w:eastAsia="仿宋" w:cs="仿宋"/>
          <w:sz w:val="24"/>
          <w:szCs w:val="24"/>
        </w:rPr>
        <w:t>自动调节数据记录间隔频率</w:t>
      </w:r>
      <w:r>
        <w:rPr>
          <w:rFonts w:hint="eastAsia" w:ascii="仿宋" w:hAnsi="仿宋" w:eastAsia="仿宋" w:cs="仿宋"/>
          <w:sz w:val="24"/>
          <w:szCs w:val="24"/>
          <w:lang w:eastAsia="zh-CN"/>
        </w:rPr>
        <w:t>≤</w:t>
      </w:r>
      <w:r>
        <w:rPr>
          <w:rFonts w:hint="eastAsia" w:ascii="仿宋" w:hAnsi="仿宋" w:eastAsia="仿宋" w:cs="仿宋"/>
          <w:sz w:val="24"/>
          <w:szCs w:val="24"/>
        </w:rPr>
        <w:t xml:space="preserve">2分钟。具备温度超标报警、湿度超标报警、传感器异常报警、电池低电量报警、外部电源断开报警。报警方式包括：声光报警、短信报警、微信小程序推送、电话语音报警。 </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10. 内存容量</w:t>
      </w:r>
      <w:r>
        <w:rPr>
          <w:rFonts w:hint="eastAsia" w:ascii="仿宋" w:hAnsi="仿宋" w:eastAsia="仿宋" w:cs="仿宋"/>
          <w:sz w:val="24"/>
          <w:szCs w:val="24"/>
          <w:lang w:eastAsia="zh-CN"/>
        </w:rPr>
        <w:t>：</w:t>
      </w:r>
      <w:r>
        <w:rPr>
          <w:rFonts w:hint="eastAsia" w:ascii="仿宋" w:hAnsi="仿宋" w:eastAsia="仿宋" w:cs="仿宋"/>
          <w:sz w:val="24"/>
          <w:szCs w:val="24"/>
        </w:rPr>
        <w:t>Flash 存储芯片</w:t>
      </w:r>
      <w:r>
        <w:rPr>
          <w:rFonts w:hint="eastAsia" w:ascii="仿宋" w:hAnsi="仿宋" w:eastAsia="仿宋" w:cs="仿宋"/>
          <w:sz w:val="24"/>
          <w:szCs w:val="24"/>
          <w:lang w:eastAsia="zh-CN"/>
        </w:rPr>
        <w:t>，</w:t>
      </w:r>
      <w:r>
        <w:rPr>
          <w:rFonts w:hint="eastAsia" w:ascii="仿宋" w:hAnsi="仿宋" w:eastAsia="仿宋" w:cs="仿宋"/>
          <w:sz w:val="24"/>
          <w:szCs w:val="24"/>
        </w:rPr>
        <w:t>储存数据</w:t>
      </w:r>
      <w:r>
        <w:rPr>
          <w:rFonts w:hint="eastAsia" w:ascii="仿宋" w:hAnsi="仿宋" w:eastAsia="仿宋" w:cs="仿宋"/>
          <w:sz w:val="24"/>
          <w:szCs w:val="24"/>
          <w:lang w:eastAsia="zh-CN"/>
        </w:rPr>
        <w:t>≥</w:t>
      </w:r>
      <w:r>
        <w:rPr>
          <w:rFonts w:hint="eastAsia" w:ascii="仿宋" w:hAnsi="仿宋" w:eastAsia="仿宋" w:cs="仿宋"/>
          <w:sz w:val="24"/>
          <w:szCs w:val="24"/>
        </w:rPr>
        <w:t>80000 组</w:t>
      </w:r>
      <w:r>
        <w:rPr>
          <w:rFonts w:hint="eastAsia" w:ascii="仿宋" w:hAnsi="仿宋" w:eastAsia="仿宋" w:cs="仿宋"/>
          <w:sz w:val="24"/>
          <w:szCs w:val="24"/>
          <w:lang w:eastAsia="zh-CN"/>
        </w:rPr>
        <w:t>；</w:t>
      </w:r>
      <w:r>
        <w:rPr>
          <w:rFonts w:hint="eastAsia" w:ascii="仿宋" w:hAnsi="仿宋" w:eastAsia="仿宋" w:cs="仿宋"/>
          <w:sz w:val="24"/>
          <w:szCs w:val="24"/>
        </w:rPr>
        <w:t>按键设计</w:t>
      </w:r>
      <w:r>
        <w:rPr>
          <w:rFonts w:hint="eastAsia" w:ascii="仿宋" w:hAnsi="仿宋" w:eastAsia="仿宋" w:cs="仿宋"/>
          <w:sz w:val="24"/>
          <w:szCs w:val="24"/>
        </w:rPr>
        <w:tab/>
      </w:r>
      <w:r>
        <w:rPr>
          <w:rFonts w:hint="eastAsia" w:ascii="仿宋" w:hAnsi="仿宋" w:eastAsia="仿宋" w:cs="仿宋"/>
          <w:sz w:val="24"/>
          <w:szCs w:val="24"/>
        </w:rPr>
        <w:t>采用电容触摸按键</w:t>
      </w:r>
      <w:r>
        <w:rPr>
          <w:rFonts w:hint="eastAsia" w:ascii="仿宋" w:hAnsi="仿宋" w:eastAsia="仿宋" w:cs="仿宋"/>
          <w:sz w:val="24"/>
          <w:szCs w:val="24"/>
          <w:lang w:eastAsia="zh-CN"/>
        </w:rPr>
        <w:t>，</w:t>
      </w:r>
      <w:r>
        <w:rPr>
          <w:rFonts w:hint="eastAsia" w:ascii="仿宋" w:hAnsi="仿宋" w:eastAsia="仿宋" w:cs="仿宋"/>
          <w:sz w:val="24"/>
          <w:szCs w:val="24"/>
        </w:rPr>
        <w:t>防误触设</w:t>
      </w:r>
      <w:r>
        <w:rPr>
          <w:rFonts w:hint="eastAsia" w:ascii="仿宋" w:hAnsi="仿宋" w:eastAsia="仿宋" w:cs="仿宋"/>
          <w:sz w:val="24"/>
          <w:szCs w:val="24"/>
          <w:lang w:eastAsia="zh-CN"/>
        </w:rPr>
        <w:t>，</w:t>
      </w:r>
      <w:r>
        <w:rPr>
          <w:rFonts w:hint="eastAsia" w:ascii="仿宋" w:hAnsi="仿宋" w:eastAsia="仿宋" w:cs="仿宋"/>
          <w:sz w:val="24"/>
          <w:szCs w:val="24"/>
        </w:rPr>
        <w:t>短按可支持界面跳转</w:t>
      </w:r>
      <w:r>
        <w:rPr>
          <w:rFonts w:hint="eastAsia" w:ascii="仿宋" w:hAnsi="仿宋" w:eastAsia="仿宋" w:cs="仿宋"/>
          <w:sz w:val="24"/>
          <w:szCs w:val="24"/>
          <w:lang w:eastAsia="zh-CN"/>
        </w:rPr>
        <w:t>，</w:t>
      </w:r>
      <w:r>
        <w:rPr>
          <w:rFonts w:hint="eastAsia" w:ascii="仿宋" w:hAnsi="仿宋" w:eastAsia="仿宋" w:cs="仿宋"/>
          <w:sz w:val="24"/>
          <w:szCs w:val="24"/>
        </w:rPr>
        <w:t>长按5s可开/关机</w:t>
      </w:r>
      <w:r>
        <w:rPr>
          <w:rFonts w:hint="eastAsia" w:ascii="仿宋" w:hAnsi="仿宋" w:eastAsia="仿宋" w:cs="仿宋"/>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11. 远程协助</w:t>
      </w:r>
      <w:r>
        <w:rPr>
          <w:rFonts w:hint="eastAsia" w:ascii="仿宋" w:hAnsi="仿宋" w:eastAsia="仿宋" w:cs="仿宋"/>
          <w:sz w:val="24"/>
          <w:szCs w:val="24"/>
          <w:lang w:eastAsia="zh-CN"/>
        </w:rPr>
        <w:t>：</w:t>
      </w:r>
      <w:r>
        <w:rPr>
          <w:rFonts w:hint="eastAsia" w:ascii="仿宋" w:hAnsi="仿宋" w:eastAsia="仿宋" w:cs="仿宋"/>
          <w:sz w:val="24"/>
          <w:szCs w:val="24"/>
        </w:rPr>
        <w:t>支持远程升级</w:t>
      </w:r>
      <w:r>
        <w:rPr>
          <w:rFonts w:hint="eastAsia" w:ascii="仿宋" w:hAnsi="仿宋" w:eastAsia="仿宋" w:cs="仿宋"/>
          <w:sz w:val="24"/>
          <w:szCs w:val="24"/>
          <w:lang w:eastAsia="zh-CN"/>
        </w:rPr>
        <w:t>，</w:t>
      </w:r>
      <w:r>
        <w:rPr>
          <w:rFonts w:hint="eastAsia" w:ascii="仿宋" w:hAnsi="仿宋" w:eastAsia="仿宋" w:cs="仿宋"/>
          <w:sz w:val="24"/>
          <w:szCs w:val="24"/>
        </w:rPr>
        <w:t>通过远程对设备内部程序进行远程、协助、维护。远程监测设备运行</w:t>
      </w:r>
      <w:r>
        <w:rPr>
          <w:rFonts w:hint="eastAsia" w:ascii="仿宋" w:hAnsi="仿宋" w:eastAsia="仿宋" w:cs="仿宋"/>
          <w:sz w:val="24"/>
          <w:szCs w:val="24"/>
          <w:lang w:eastAsia="zh-CN"/>
        </w:rPr>
        <w:t>，</w:t>
      </w:r>
      <w:r>
        <w:rPr>
          <w:rFonts w:hint="eastAsia" w:ascii="仿宋" w:hAnsi="仿宋" w:eastAsia="仿宋" w:cs="仿宋"/>
          <w:sz w:val="24"/>
          <w:szCs w:val="24"/>
        </w:rPr>
        <w:t>高级加密标准算法</w:t>
      </w:r>
      <w:r>
        <w:rPr>
          <w:rFonts w:hint="eastAsia" w:ascii="仿宋" w:hAnsi="仿宋" w:eastAsia="仿宋" w:cs="仿宋"/>
          <w:sz w:val="24"/>
          <w:szCs w:val="24"/>
          <w:lang w:eastAsia="zh-CN"/>
        </w:rPr>
        <w:t>，</w:t>
      </w:r>
      <w:r>
        <w:rPr>
          <w:rFonts w:hint="eastAsia" w:ascii="仿宋" w:hAnsi="仿宋" w:eastAsia="仿宋" w:cs="仿宋"/>
          <w:sz w:val="24"/>
          <w:szCs w:val="24"/>
        </w:rPr>
        <w:t>防窃听</w:t>
      </w:r>
      <w:r>
        <w:rPr>
          <w:rFonts w:hint="eastAsia" w:ascii="仿宋" w:hAnsi="仿宋" w:eastAsia="仿宋" w:cs="仿宋"/>
          <w:sz w:val="24"/>
          <w:szCs w:val="24"/>
          <w:lang w:eastAsia="zh-CN"/>
        </w:rPr>
        <w:t>，</w:t>
      </w:r>
      <w:r>
        <w:rPr>
          <w:rFonts w:hint="eastAsia" w:ascii="仿宋" w:hAnsi="仿宋" w:eastAsia="仿宋" w:cs="仿宋"/>
          <w:sz w:val="24"/>
          <w:szCs w:val="24"/>
        </w:rPr>
        <w:t>防篡改。</w:t>
      </w:r>
    </w:p>
    <w:p>
      <w:pPr>
        <w:pageBreakBefore w:val="0"/>
        <w:kinsoku/>
        <w:wordWrap/>
        <w:overflowPunct/>
        <w:topLinePunct w:val="0"/>
        <w:autoSpaceDE/>
        <w:autoSpaceDN/>
        <w:bidi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第七、2-8℃试剂冷库</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一、设备名称：2-8℃试剂冷库</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二、设备数量：壹套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三、技术参数和要求：</w:t>
      </w:r>
      <w:r>
        <w:rPr>
          <w:rFonts w:hint="eastAsia" w:ascii="仿宋" w:hAnsi="仿宋" w:eastAsia="仿宋" w:cs="仿宋"/>
          <w:sz w:val="24"/>
          <w:szCs w:val="24"/>
        </w:rPr>
        <w:t>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bCs/>
          <w:sz w:val="24"/>
          <w:szCs w:val="24"/>
        </w:rPr>
      </w:pPr>
      <w:r>
        <w:rPr>
          <w:rFonts w:hint="eastAsia" w:ascii="仿宋" w:hAnsi="仿宋" w:eastAsia="仿宋" w:cs="仿宋"/>
          <w:sz w:val="24"/>
          <w:szCs w:val="24"/>
        </w:rPr>
        <w:t>内部容积：≥20立方米。</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温度范围：冷藏2-8℃。</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压缩机组：双压缩机。</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冷却风机：低温低噪音冷却风机2台。</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风幕机：低噪音可调速风幕机。</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库体：聚氨酯库体，阻燃，双面保温彩钢硬质聚氨酯发泡，专用板厚度≥10cm。</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聚氨酯冷库板：</w:t>
      </w:r>
      <w:r>
        <w:rPr>
          <w:rFonts w:hint="eastAsia" w:ascii="仿宋" w:hAnsi="仿宋" w:eastAsia="仿宋" w:cs="仿宋"/>
          <w:sz w:val="24"/>
          <w:szCs w:val="24"/>
        </w:rPr>
        <w:br w:type="textWrapping"/>
      </w:r>
      <w:r>
        <w:rPr>
          <w:rFonts w:hint="eastAsia" w:ascii="仿宋" w:hAnsi="仿宋" w:eastAsia="仿宋" w:cs="仿宋"/>
          <w:sz w:val="24"/>
          <w:szCs w:val="24"/>
        </w:rPr>
        <w:t>密度：</w:t>
      </w:r>
      <w:r>
        <w:rPr>
          <w:rFonts w:hint="eastAsia" w:ascii="仿宋" w:hAnsi="仿宋" w:eastAsia="仿宋" w:cs="仿宋"/>
          <w:sz w:val="24"/>
          <w:szCs w:val="24"/>
          <w:lang w:eastAsia="zh-CN"/>
        </w:rPr>
        <w:t>≥</w:t>
      </w:r>
      <w:r>
        <w:rPr>
          <w:rFonts w:hint="eastAsia" w:ascii="仿宋" w:hAnsi="仿宋" w:eastAsia="仿宋" w:cs="仿宋"/>
          <w:sz w:val="24"/>
          <w:szCs w:val="24"/>
        </w:rPr>
        <w:t xml:space="preserve">42kg/m3  </w:t>
      </w:r>
      <w:r>
        <w:rPr>
          <w:rFonts w:hint="eastAsia" w:ascii="仿宋" w:hAnsi="仿宋" w:eastAsia="仿宋" w:cs="仿宋"/>
          <w:sz w:val="24"/>
          <w:szCs w:val="24"/>
        </w:rPr>
        <w:br w:type="textWrapping"/>
      </w:r>
      <w:r>
        <w:rPr>
          <w:rFonts w:hint="eastAsia" w:ascii="仿宋" w:hAnsi="仿宋" w:eastAsia="仿宋" w:cs="仿宋"/>
          <w:sz w:val="24"/>
          <w:szCs w:val="24"/>
        </w:rPr>
        <w:t>导热系数：0.023w/mk</w:t>
      </w:r>
      <w:r>
        <w:rPr>
          <w:rFonts w:hint="eastAsia" w:ascii="仿宋" w:hAnsi="仿宋" w:eastAsia="仿宋" w:cs="仿宋"/>
          <w:sz w:val="24"/>
          <w:szCs w:val="24"/>
        </w:rPr>
        <w:br w:type="textWrapping"/>
      </w:r>
      <w:r>
        <w:rPr>
          <w:rFonts w:hint="eastAsia" w:ascii="仿宋" w:hAnsi="仿宋" w:eastAsia="仿宋" w:cs="仿宋"/>
          <w:sz w:val="24"/>
          <w:szCs w:val="24"/>
        </w:rPr>
        <w:t xml:space="preserve">钢板厚度：≥0.45mm  </w:t>
      </w:r>
      <w:r>
        <w:rPr>
          <w:rFonts w:hint="eastAsia" w:ascii="仿宋" w:hAnsi="仿宋" w:eastAsia="仿宋" w:cs="仿宋"/>
          <w:sz w:val="24"/>
          <w:szCs w:val="24"/>
        </w:rPr>
        <w:br w:type="textWrapping"/>
      </w:r>
      <w:r>
        <w:rPr>
          <w:rFonts w:hint="eastAsia" w:ascii="仿宋" w:hAnsi="仿宋" w:eastAsia="仿宋" w:cs="仿宋"/>
          <w:sz w:val="24"/>
          <w:szCs w:val="24"/>
        </w:rPr>
        <w:t xml:space="preserve">抗弯强度：≥2.5Kg/cm2  </w:t>
      </w:r>
      <w:r>
        <w:rPr>
          <w:rFonts w:hint="eastAsia" w:ascii="仿宋" w:hAnsi="仿宋" w:eastAsia="仿宋" w:cs="仿宋"/>
          <w:sz w:val="24"/>
          <w:szCs w:val="24"/>
        </w:rPr>
        <w:br w:type="textWrapping"/>
      </w:r>
      <w:r>
        <w:rPr>
          <w:rFonts w:hint="eastAsia" w:ascii="仿宋" w:hAnsi="仿宋" w:eastAsia="仿宋" w:cs="仿宋"/>
          <w:sz w:val="24"/>
          <w:szCs w:val="24"/>
        </w:rPr>
        <w:t>防火等级：B2。</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库体结构：无冷桥结构，库板接口处密封。</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库房外观：内、外表面应平整、光洁、无划伤、无锈蚀。</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库体地面：铺设地胶板≥2.0MM。</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冷库门：防盗黑锁（带安全脱锁），带观察探视窗。</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温湿度记录检测仪：实时温湿度监测记录仪，2温2湿监测点，可通过手机远程监测、查询；具有超温超湿报警；断电后可以持续工作6小时；所有数据可通过远程传输至上位机，实现上位机监控、存储、记录及打印。</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温度控制柜：通过手机远程监测、查询，移动设备APP、短信、邮件、远程报警；制冷主机一用一备轮值自动切换。所有数据可通过远程传输至上位机，实现上位机监控、存储、记录及打印。</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库内照明：防暴灯，防湿LED照明。</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03"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配置电脑一台、激光打印机一台。</w:t>
      </w:r>
    </w:p>
    <w:p>
      <w:pPr>
        <w:pageBreakBefore w:val="0"/>
        <w:kinsoku/>
        <w:wordWrap/>
        <w:overflowPunct/>
        <w:topLinePunct w:val="0"/>
        <w:autoSpaceDE/>
        <w:autoSpaceDN/>
        <w:bidi w:val="0"/>
        <w:spacing w:line="360" w:lineRule="auto"/>
        <w:ind w:left="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第八、血液冷藏箱</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一、设备名称：血液冷藏箱</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eastAsia="zh-CN"/>
        </w:rPr>
        <w:t>两</w:t>
      </w:r>
      <w:r>
        <w:rPr>
          <w:rFonts w:hint="eastAsia" w:ascii="仿宋" w:hAnsi="仿宋" w:eastAsia="仿宋" w:cs="仿宋"/>
          <w:b/>
          <w:bCs/>
          <w:sz w:val="24"/>
          <w:szCs w:val="24"/>
        </w:rPr>
        <w:t>台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三、技术参数和要求：　</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有效容积≧300L,温度要求：控制范围4±2℃，门锁扣设计，温度数字显示，具有超温、传感器故障报警功能，自动除霜功能。网架数量≥4层；网框数量≥12个。</w:t>
      </w:r>
    </w:p>
    <w:p>
      <w:pPr>
        <w:pageBreakBefore w:val="0"/>
        <w:numPr>
          <w:ilvl w:val="0"/>
          <w:numId w:val="0"/>
        </w:numPr>
        <w:kinsoku/>
        <w:wordWrap/>
        <w:overflowPunct/>
        <w:topLinePunct w:val="0"/>
        <w:autoSpaceDE/>
        <w:autoSpaceDN/>
        <w:bidi w:val="0"/>
        <w:spacing w:line="360" w:lineRule="auto"/>
        <w:ind w:left="0" w:leftChars="0" w:firstLine="0" w:firstLineChars="0"/>
        <w:jc w:val="center"/>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第九、</w:t>
      </w:r>
      <w:r>
        <w:rPr>
          <w:rFonts w:hint="eastAsia" w:ascii="仿宋" w:hAnsi="仿宋" w:eastAsia="仿宋" w:cs="仿宋"/>
          <w:b/>
          <w:bCs/>
          <w:sz w:val="24"/>
          <w:szCs w:val="24"/>
        </w:rPr>
        <w:t>多功能转运车</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一、设备名称：多功能转运车</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val="en-US" w:eastAsia="zh-CN"/>
        </w:rPr>
        <w:t>9</w:t>
      </w:r>
      <w:r>
        <w:rPr>
          <w:rFonts w:hint="eastAsia" w:ascii="仿宋" w:hAnsi="仿宋" w:eastAsia="仿宋" w:cs="仿宋"/>
          <w:b/>
          <w:bCs/>
          <w:sz w:val="24"/>
          <w:szCs w:val="24"/>
          <w:lang w:eastAsia="zh-CN"/>
        </w:rPr>
        <w:t>辆</w:t>
      </w:r>
      <w:r>
        <w:rPr>
          <w:rFonts w:hint="eastAsia" w:ascii="仿宋" w:hAnsi="仿宋" w:eastAsia="仿宋" w:cs="仿宋"/>
          <w:b/>
          <w:bCs/>
          <w:sz w:val="24"/>
          <w:szCs w:val="24"/>
        </w:rPr>
        <w:t>　</w:t>
      </w:r>
    </w:p>
    <w:p>
      <w:pPr>
        <w:pStyle w:val="82"/>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b/>
          <w:bCs/>
          <w:color w:val="000000"/>
          <w:sz w:val="24"/>
          <w:szCs w:val="24"/>
        </w:rPr>
        <w:t>三、技术参数和要求：</w:t>
      </w:r>
      <w:r>
        <w:rPr>
          <w:rFonts w:hint="eastAsia" w:ascii="仿宋" w:hAnsi="仿宋" w:eastAsia="仿宋" w:cs="仿宋"/>
          <w:b/>
          <w:bCs/>
          <w:sz w:val="24"/>
          <w:szCs w:val="24"/>
        </w:rPr>
        <w:t>　</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（一）参考尺寸</w:t>
      </w:r>
      <w:r>
        <w:rPr>
          <w:rFonts w:hint="eastAsia" w:ascii="仿宋" w:hAnsi="仿宋" w:eastAsia="仿宋" w:cs="仿宋"/>
          <w:color w:val="000000"/>
          <w:sz w:val="24"/>
          <w:szCs w:val="24"/>
        </w:rPr>
        <w:t xml:space="preserve">：1930*650*520/840mm 背部升降0-75°±5° </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（二）</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1、整床：采用碳钢静电喷塑成型；床面、护栏均采用ABS工程塑料；</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2、护栏：两侧ABS 分段式护栏,有缓冲阻尼装置,放下时平缓静音,并可隐藏至床面；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3、起背：背部可倾斜气压控制设计,在75度范围内,可随意,单手可操作；</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4、脚轮：配置万向、定向脚轮,中控刹车系统,一脚刹车四轮制动,四轮采用直径为 10-15cm的聚氨酯中控轮,双面轮设计,内镶双轴承,旋转灵活平稳。脚轮外包采用聚醚 PU 材料,静音,减震,耐磨损,耐腐蚀</w:t>
      </w:r>
      <w:r>
        <w:rPr>
          <w:rFonts w:hint="eastAsia" w:ascii="仿宋" w:hAnsi="仿宋" w:eastAsia="仿宋" w:cs="仿宋"/>
          <w:color w:val="00000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5、摇把：限位离合手摇升降手柄，带自动限位保护装置，隐藏式手动摇把；</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6、其他：配置氧气瓶支架，床垫，输液杆。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第十、</w:t>
      </w:r>
      <w:r>
        <w:rPr>
          <w:rFonts w:hint="eastAsia" w:ascii="仿宋" w:hAnsi="仿宋" w:eastAsia="仿宋" w:cs="仿宋"/>
          <w:b/>
          <w:bCs/>
          <w:sz w:val="24"/>
          <w:szCs w:val="24"/>
        </w:rPr>
        <w:t>手术交换车</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一、设备名称：手术交换车</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eastAsia="zh-CN"/>
        </w:rPr>
        <w:t>叁辆</w:t>
      </w:r>
      <w:r>
        <w:rPr>
          <w:rFonts w:hint="eastAsia" w:ascii="仿宋" w:hAnsi="仿宋" w:eastAsia="仿宋" w:cs="仿宋"/>
          <w:b/>
          <w:bCs/>
          <w:sz w:val="24"/>
          <w:szCs w:val="24"/>
        </w:rPr>
        <w:t>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三、技术参数和要求：　</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333333"/>
          <w:sz w:val="24"/>
          <w:szCs w:val="24"/>
        </w:rPr>
        <w:t>规格：</w:t>
      </w:r>
      <w:r>
        <w:rPr>
          <w:rFonts w:hint="eastAsia" w:ascii="仿宋" w:hAnsi="仿宋" w:eastAsia="仿宋" w:cs="仿宋"/>
          <w:color w:val="333333"/>
          <w:sz w:val="24"/>
          <w:szCs w:val="24"/>
          <w:lang w:eastAsia="zh-CN"/>
        </w:rPr>
        <w:t>约</w:t>
      </w:r>
      <w:r>
        <w:rPr>
          <w:rFonts w:hint="eastAsia" w:ascii="仿宋" w:hAnsi="仿宋" w:eastAsia="仿宋" w:cs="仿宋"/>
          <w:color w:val="333333"/>
          <w:sz w:val="24"/>
          <w:szCs w:val="24"/>
        </w:rPr>
        <w:t>L3650×W640×H640/970mm</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333333"/>
          <w:sz w:val="24"/>
          <w:szCs w:val="24"/>
        </w:rPr>
        <w:t>1、对接车轨道采用铝合金压铸成型；</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333333"/>
          <w:sz w:val="24"/>
          <w:szCs w:val="24"/>
        </w:rPr>
        <w:t>2、车体采用优质碳素型钢焊接成形,表面除锈, 静电喷涂；</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333333"/>
          <w:sz w:val="24"/>
          <w:szCs w:val="24"/>
        </w:rPr>
        <w:t>3、采用进口ABS工程塑料一次注塑床面，背板采用进口气弹簧作支撑力源，床面底部安装四个静音滑轮，两侧配有升降式护拦；</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333333"/>
          <w:sz w:val="24"/>
          <w:szCs w:val="24"/>
        </w:rPr>
        <w:t>4、两单体车可升降调节，达到同一水平使床架可平稳滑移；</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333333"/>
          <w:sz w:val="24"/>
          <w:szCs w:val="24"/>
        </w:rPr>
        <w:t>5、床架滑移至某一单体上，可自动锁紧，并设有保险装置；锁紧、保险装置均采用优质304不锈钢材质。</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333333"/>
          <w:sz w:val="24"/>
          <w:szCs w:val="24"/>
        </w:rPr>
        <w:t>6、导向轮装置可轻松操作，方向可控；</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333333"/>
          <w:sz w:val="24"/>
          <w:szCs w:val="24"/>
        </w:rPr>
        <w:t>7、配备优质304不锈钢</w:t>
      </w:r>
      <w:r>
        <w:rPr>
          <w:rFonts w:hint="eastAsia" w:ascii="仿宋" w:hAnsi="仿宋" w:eastAsia="仿宋" w:cs="仿宋"/>
          <w:color w:val="333333"/>
          <w:sz w:val="24"/>
          <w:szCs w:val="24"/>
          <w:lang w:val="en-US" w:eastAsia="zh-CN"/>
        </w:rPr>
        <w:t>2</w:t>
      </w:r>
      <w:r>
        <w:rPr>
          <w:rFonts w:hint="eastAsia" w:ascii="仿宋" w:hAnsi="仿宋" w:eastAsia="仿宋" w:cs="仿宋"/>
          <w:color w:val="333333"/>
          <w:sz w:val="24"/>
          <w:szCs w:val="24"/>
        </w:rPr>
        <w:t>节可调输液杆；</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333333"/>
          <w:sz w:val="24"/>
          <w:szCs w:val="24"/>
        </w:rPr>
        <w:t>8、两单车均采用中控刹车系统，稳定，可靠；</w:t>
      </w:r>
    </w:p>
    <w:p>
      <w:pPr>
        <w:pStyle w:val="129"/>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333333"/>
          <w:sz w:val="24"/>
          <w:szCs w:val="24"/>
        </w:rPr>
      </w:pPr>
      <w:r>
        <w:rPr>
          <w:rFonts w:hint="eastAsia" w:ascii="仿宋" w:hAnsi="仿宋" w:eastAsia="仿宋" w:cs="仿宋"/>
          <w:color w:val="000000"/>
          <w:sz w:val="24"/>
          <w:szCs w:val="24"/>
        </w:rPr>
        <w:t>9、脚轮</w:t>
      </w:r>
      <w:r>
        <w:rPr>
          <w:rFonts w:hint="eastAsia" w:ascii="仿宋" w:hAnsi="仿宋" w:eastAsia="仿宋" w:cs="仿宋"/>
          <w:color w:val="000000"/>
          <w:sz w:val="24"/>
          <w:szCs w:val="24"/>
          <w:lang w:eastAsia="zh-CN"/>
        </w:rPr>
        <w:t>：</w:t>
      </w:r>
      <w:r>
        <w:rPr>
          <w:rFonts w:hint="eastAsia" w:ascii="仿宋" w:hAnsi="仿宋" w:eastAsia="仿宋" w:cs="仿宋"/>
          <w:color w:val="3B3B3B"/>
          <w:sz w:val="24"/>
          <w:szCs w:val="24"/>
        </w:rPr>
        <w:t>150mm三段两档中央控制轮</w:t>
      </w:r>
      <w:r>
        <w:rPr>
          <w:rFonts w:hint="eastAsia" w:ascii="仿宋" w:hAnsi="仿宋" w:eastAsia="仿宋" w:cs="仿宋"/>
          <w:sz w:val="24"/>
          <w:szCs w:val="24"/>
        </w:rPr>
        <w:t>，</w:t>
      </w:r>
      <w:r>
        <w:rPr>
          <w:rFonts w:hint="eastAsia" w:ascii="仿宋" w:hAnsi="仿宋" w:eastAsia="仿宋" w:cs="仿宋"/>
          <w:color w:val="3B3B3B"/>
          <w:sz w:val="24"/>
          <w:szCs w:val="24"/>
        </w:rPr>
        <w:t>配有中心锁定、全锁定的旋转脚轮，精密滚珠轴承；主架和轮芯，承载能力强</w:t>
      </w:r>
      <w:r>
        <w:rPr>
          <w:rFonts w:hint="eastAsia" w:ascii="仿宋" w:hAnsi="仿宋" w:eastAsia="仿宋" w:cs="仿宋"/>
          <w:sz w:val="24"/>
          <w:szCs w:val="24"/>
        </w:rPr>
        <w:t>，</w:t>
      </w:r>
      <w:r>
        <w:rPr>
          <w:rFonts w:hint="eastAsia" w:ascii="仿宋" w:hAnsi="仿宋" w:eastAsia="仿宋" w:cs="仿宋"/>
          <w:color w:val="3B3B3B"/>
          <w:sz w:val="24"/>
          <w:szCs w:val="24"/>
        </w:rPr>
        <w:t>耐磨轮面，降噪防震。</w:t>
      </w:r>
    </w:p>
    <w:p>
      <w:pPr>
        <w:pageBreakBefore w:val="0"/>
        <w:kinsoku/>
        <w:wordWrap/>
        <w:overflowPunct/>
        <w:topLinePunct w:val="0"/>
        <w:autoSpaceDE/>
        <w:autoSpaceDN/>
        <w:bidi w:val="0"/>
        <w:spacing w:line="480" w:lineRule="exact"/>
        <w:ind w:left="0" w:firstLine="0" w:firstLineChars="0"/>
        <w:rPr>
          <w:rFonts w:hint="eastAsia" w:ascii="仿宋" w:hAnsi="仿宋" w:eastAsia="仿宋" w:cs="仿宋"/>
          <w:b/>
          <w:bCs/>
          <w:sz w:val="24"/>
          <w:szCs w:val="24"/>
        </w:rPr>
      </w:pPr>
      <w:r>
        <w:rPr>
          <w:rFonts w:hint="eastAsia" w:ascii="仿宋" w:hAnsi="仿宋" w:eastAsia="仿宋" w:cs="仿宋"/>
          <w:b/>
          <w:bCs/>
          <w:sz w:val="24"/>
          <w:szCs w:val="24"/>
        </w:rPr>
        <w:t>配置清单</w:t>
      </w:r>
    </w:p>
    <w:tbl>
      <w:tblPr>
        <w:tblStyle w:val="36"/>
        <w:tblW w:w="7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575"/>
        <w:gridCol w:w="1002"/>
        <w:gridCol w:w="2062"/>
        <w:gridCol w:w="857"/>
        <w:gridCol w:w="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79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序号</w:t>
            </w:r>
          </w:p>
        </w:tc>
        <w:tc>
          <w:tcPr>
            <w:tcW w:w="1575"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名 称</w:t>
            </w:r>
          </w:p>
        </w:tc>
        <w:tc>
          <w:tcPr>
            <w:tcW w:w="100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规 格</w:t>
            </w:r>
          </w:p>
        </w:tc>
        <w:tc>
          <w:tcPr>
            <w:tcW w:w="206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材 质</w:t>
            </w:r>
          </w:p>
        </w:tc>
        <w:tc>
          <w:tcPr>
            <w:tcW w:w="857"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数量</w:t>
            </w:r>
          </w:p>
        </w:tc>
        <w:tc>
          <w:tcPr>
            <w:tcW w:w="994"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79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1</w:t>
            </w:r>
          </w:p>
        </w:tc>
        <w:tc>
          <w:tcPr>
            <w:tcW w:w="1575"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流动床</w:t>
            </w:r>
          </w:p>
        </w:tc>
        <w:tc>
          <w:tcPr>
            <w:tcW w:w="100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206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ABS</w:t>
            </w:r>
          </w:p>
        </w:tc>
        <w:tc>
          <w:tcPr>
            <w:tcW w:w="857"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994"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79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2</w:t>
            </w:r>
          </w:p>
        </w:tc>
        <w:tc>
          <w:tcPr>
            <w:tcW w:w="1575"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主车</w:t>
            </w:r>
          </w:p>
        </w:tc>
        <w:tc>
          <w:tcPr>
            <w:tcW w:w="100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206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铝合金，塑钢</w:t>
            </w:r>
          </w:p>
        </w:tc>
        <w:tc>
          <w:tcPr>
            <w:tcW w:w="857"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994"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79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3</w:t>
            </w:r>
          </w:p>
        </w:tc>
        <w:tc>
          <w:tcPr>
            <w:tcW w:w="1575"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副车</w:t>
            </w:r>
          </w:p>
        </w:tc>
        <w:tc>
          <w:tcPr>
            <w:tcW w:w="100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206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铝合金，塑钢</w:t>
            </w:r>
          </w:p>
        </w:tc>
        <w:tc>
          <w:tcPr>
            <w:tcW w:w="857"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994"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79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4</w:t>
            </w:r>
          </w:p>
        </w:tc>
        <w:tc>
          <w:tcPr>
            <w:tcW w:w="1575"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sz w:val="24"/>
                <w:szCs w:val="24"/>
              </w:rPr>
              <w:t>床垫</w:t>
            </w:r>
          </w:p>
        </w:tc>
        <w:tc>
          <w:tcPr>
            <w:tcW w:w="100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206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海绵</w:t>
            </w:r>
          </w:p>
        </w:tc>
        <w:tc>
          <w:tcPr>
            <w:tcW w:w="857"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994"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79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5</w:t>
            </w:r>
          </w:p>
        </w:tc>
        <w:tc>
          <w:tcPr>
            <w:tcW w:w="1575"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中控轮</w:t>
            </w:r>
          </w:p>
        </w:tc>
        <w:tc>
          <w:tcPr>
            <w:tcW w:w="100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Φ150</w:t>
            </w:r>
          </w:p>
        </w:tc>
        <w:tc>
          <w:tcPr>
            <w:tcW w:w="206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sz w:val="24"/>
                <w:szCs w:val="24"/>
              </w:rPr>
              <w:t>ABS+聚脂</w:t>
            </w:r>
          </w:p>
        </w:tc>
        <w:tc>
          <w:tcPr>
            <w:tcW w:w="857"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8</w:t>
            </w:r>
          </w:p>
        </w:tc>
        <w:tc>
          <w:tcPr>
            <w:tcW w:w="994"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79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6</w:t>
            </w:r>
          </w:p>
        </w:tc>
        <w:tc>
          <w:tcPr>
            <w:tcW w:w="1575"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导向轮</w:t>
            </w:r>
          </w:p>
        </w:tc>
        <w:tc>
          <w:tcPr>
            <w:tcW w:w="100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Φ100</w:t>
            </w:r>
          </w:p>
        </w:tc>
        <w:tc>
          <w:tcPr>
            <w:tcW w:w="206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sz w:val="24"/>
                <w:szCs w:val="24"/>
              </w:rPr>
            </w:pPr>
            <w:r>
              <w:rPr>
                <w:rFonts w:hint="eastAsia" w:ascii="仿宋" w:hAnsi="仿宋" w:eastAsia="仿宋" w:cs="仿宋"/>
                <w:sz w:val="24"/>
                <w:szCs w:val="24"/>
              </w:rPr>
              <w:t>ABS+聚脂</w:t>
            </w:r>
          </w:p>
        </w:tc>
        <w:tc>
          <w:tcPr>
            <w:tcW w:w="857"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994"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792" w:type="dxa"/>
            <w:noWrap w:val="0"/>
            <w:vAlign w:val="center"/>
          </w:tcPr>
          <w:p>
            <w:pPr>
              <w:pageBreakBefore w:val="0"/>
              <w:tabs>
                <w:tab w:val="left" w:pos="1470"/>
              </w:tabs>
              <w:kinsoku/>
              <w:wordWrap/>
              <w:overflowPunct/>
              <w:topLinePunct w:val="0"/>
              <w:autoSpaceDE/>
              <w:autoSpaceDN/>
              <w:bidi w:val="0"/>
              <w:adjustRightInd w:val="0"/>
              <w:snapToGrid w:val="0"/>
              <w:spacing w:line="480" w:lineRule="exact"/>
              <w:ind w:left="0" w:firstLine="0" w:firstLineChars="0"/>
              <w:jc w:val="center"/>
              <w:rPr>
                <w:rFonts w:hint="eastAsia" w:ascii="仿宋" w:hAnsi="仿宋" w:eastAsia="仿宋" w:cs="仿宋"/>
                <w:b/>
                <w:sz w:val="24"/>
                <w:szCs w:val="24"/>
              </w:rPr>
            </w:pPr>
            <w:r>
              <w:rPr>
                <w:rFonts w:hint="eastAsia" w:ascii="仿宋" w:hAnsi="仿宋" w:eastAsia="仿宋" w:cs="仿宋"/>
                <w:b/>
                <w:sz w:val="24"/>
                <w:szCs w:val="24"/>
              </w:rPr>
              <w:t>7</w:t>
            </w:r>
          </w:p>
        </w:tc>
        <w:tc>
          <w:tcPr>
            <w:tcW w:w="1575"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输液架</w:t>
            </w:r>
          </w:p>
        </w:tc>
        <w:tc>
          <w:tcPr>
            <w:tcW w:w="100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Φ19</w:t>
            </w:r>
          </w:p>
        </w:tc>
        <w:tc>
          <w:tcPr>
            <w:tcW w:w="2062"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sz w:val="24"/>
                <w:szCs w:val="24"/>
              </w:rPr>
            </w:pPr>
            <w:r>
              <w:rPr>
                <w:rFonts w:hint="eastAsia" w:ascii="仿宋" w:hAnsi="仿宋" w:eastAsia="仿宋" w:cs="仿宋"/>
                <w:kern w:val="0"/>
                <w:sz w:val="24"/>
                <w:szCs w:val="24"/>
              </w:rPr>
              <w:t>不锈钢</w:t>
            </w:r>
          </w:p>
        </w:tc>
        <w:tc>
          <w:tcPr>
            <w:tcW w:w="857"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994" w:type="dxa"/>
            <w:noWrap w:val="0"/>
            <w:vAlign w:val="center"/>
          </w:tcPr>
          <w:p>
            <w:pPr>
              <w:pageBreakBefore w:val="0"/>
              <w:widowControl/>
              <w:kinsoku/>
              <w:wordWrap/>
              <w:overflowPunct/>
              <w:topLinePunct w:val="0"/>
              <w:autoSpaceDE/>
              <w:autoSpaceDN/>
              <w:bidi w:val="0"/>
              <w:spacing w:line="480" w:lineRule="exact"/>
              <w:ind w:left="0" w:firstLine="0" w:firstLineChars="0"/>
              <w:jc w:val="center"/>
              <w:rPr>
                <w:rFonts w:hint="eastAsia" w:ascii="仿宋" w:hAnsi="仿宋" w:eastAsia="仿宋" w:cs="仿宋"/>
                <w:kern w:val="0"/>
                <w:sz w:val="24"/>
                <w:szCs w:val="24"/>
              </w:rPr>
            </w:pPr>
          </w:p>
        </w:tc>
      </w:tr>
    </w:tbl>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center"/>
        <w:textAlignment w:val="auto"/>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第十一、</w:t>
      </w:r>
      <w:r>
        <w:rPr>
          <w:rFonts w:hint="eastAsia" w:ascii="仿宋" w:hAnsi="仿宋" w:eastAsia="仿宋" w:cs="仿宋"/>
          <w:b/>
          <w:bCs/>
          <w:sz w:val="24"/>
          <w:szCs w:val="24"/>
        </w:rPr>
        <w:t>担架推车</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一、设备名称：担架推车</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二、设备数量：</w:t>
      </w:r>
      <w:r>
        <w:rPr>
          <w:rFonts w:hint="eastAsia" w:ascii="仿宋" w:hAnsi="仿宋" w:eastAsia="仿宋" w:cs="仿宋"/>
          <w:b/>
          <w:bCs/>
          <w:color w:val="000000"/>
          <w:sz w:val="24"/>
          <w:szCs w:val="24"/>
          <w:lang w:val="en-US" w:eastAsia="zh-CN"/>
        </w:rPr>
        <w:t>1</w:t>
      </w:r>
      <w:r>
        <w:rPr>
          <w:rFonts w:hint="eastAsia" w:ascii="仿宋" w:hAnsi="仿宋" w:eastAsia="仿宋" w:cs="仿宋"/>
          <w:b/>
          <w:bCs/>
          <w:color w:val="000000"/>
          <w:sz w:val="24"/>
          <w:szCs w:val="24"/>
          <w:lang w:eastAsia="zh-CN"/>
        </w:rPr>
        <w:t>辆</w:t>
      </w:r>
      <w:r>
        <w:rPr>
          <w:rFonts w:hint="eastAsia" w:ascii="仿宋" w:hAnsi="仿宋" w:eastAsia="仿宋" w:cs="仿宋"/>
          <w:b/>
          <w:bCs/>
          <w:color w:val="000000"/>
          <w:sz w:val="24"/>
          <w:szCs w:val="24"/>
        </w:rPr>
        <w:t>　</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color w:val="000000"/>
          <w:sz w:val="24"/>
          <w:szCs w:val="24"/>
        </w:rPr>
      </w:pPr>
      <w:r>
        <w:rPr>
          <w:rFonts w:hint="eastAsia" w:ascii="仿宋" w:hAnsi="仿宋" w:eastAsia="仿宋" w:cs="仿宋"/>
          <w:b/>
          <w:bCs/>
          <w:color w:val="000000"/>
          <w:sz w:val="24"/>
          <w:szCs w:val="24"/>
        </w:rPr>
        <w:t>三、技术参数和要求：</w:t>
      </w:r>
      <w:r>
        <w:rPr>
          <w:rFonts w:hint="eastAsia" w:ascii="仿宋" w:hAnsi="仿宋" w:eastAsia="仿宋" w:cs="仿宋"/>
          <w:color w:val="000000"/>
          <w:sz w:val="24"/>
          <w:szCs w:val="24"/>
        </w:rPr>
        <w:t>　</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（一）参考</w:t>
      </w:r>
      <w:r>
        <w:rPr>
          <w:rFonts w:hint="eastAsia" w:ascii="仿宋" w:hAnsi="仿宋" w:eastAsia="仿宋" w:cs="仿宋"/>
          <w:color w:val="000000"/>
          <w:sz w:val="24"/>
          <w:szCs w:val="24"/>
        </w:rPr>
        <w:t>规格：2000*670*800mm</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（二）</w:t>
      </w:r>
      <w:r>
        <w:rPr>
          <w:rFonts w:hint="eastAsia" w:ascii="仿宋" w:hAnsi="仿宋" w:eastAsia="仿宋" w:cs="仿宋"/>
          <w:color w:val="000000"/>
          <w:sz w:val="24"/>
          <w:szCs w:val="24"/>
        </w:rPr>
        <w:t>主要材质：全不锈钢结构，</w:t>
      </w:r>
      <w:r>
        <w:rPr>
          <w:rStyle w:val="130"/>
          <w:rFonts w:hint="eastAsia" w:ascii="仿宋" w:hAnsi="仿宋" w:eastAsia="仿宋" w:cs="仿宋"/>
          <w:sz w:val="24"/>
          <w:szCs w:val="24"/>
        </w:rPr>
        <w:t>两侧配有可上、下翻动式护栏，</w:t>
      </w:r>
      <w:r>
        <w:rPr>
          <w:rFonts w:hint="eastAsia" w:ascii="仿宋" w:hAnsi="仿宋" w:eastAsia="仿宋" w:cs="仿宋"/>
          <w:color w:val="000000"/>
          <w:sz w:val="24"/>
          <w:szCs w:val="24"/>
        </w:rPr>
        <w:t>可拆卸。</w:t>
      </w:r>
      <w:r>
        <w:rPr>
          <w:rStyle w:val="130"/>
          <w:rFonts w:hint="eastAsia" w:ascii="仿宋" w:hAnsi="仿宋" w:eastAsia="仿宋" w:cs="仿宋"/>
          <w:sz w:val="24"/>
          <w:szCs w:val="24"/>
        </w:rPr>
        <w:t>担架和平车可分离，担架床面对角设有输液架插孔，并配有可升降输液架</w:t>
      </w:r>
      <w:r>
        <w:rPr>
          <w:rStyle w:val="130"/>
          <w:rFonts w:hint="eastAsia" w:ascii="仿宋" w:hAnsi="仿宋" w:eastAsia="仿宋" w:cs="仿宋"/>
          <w:sz w:val="24"/>
          <w:szCs w:val="24"/>
          <w:lang w:eastAsia="zh-CN"/>
        </w:rPr>
        <w:t>≥</w:t>
      </w:r>
      <w:r>
        <w:rPr>
          <w:rStyle w:val="130"/>
          <w:rFonts w:hint="eastAsia" w:ascii="仿宋" w:hAnsi="仿宋" w:eastAsia="仿宋" w:cs="仿宋"/>
          <w:sz w:val="24"/>
          <w:szCs w:val="24"/>
        </w:rPr>
        <w:t>1个。</w:t>
      </w:r>
      <w:r>
        <w:rPr>
          <w:rFonts w:hint="eastAsia" w:ascii="仿宋" w:hAnsi="仿宋" w:eastAsia="仿宋" w:cs="仿宋"/>
          <w:color w:val="000000"/>
          <w:sz w:val="24"/>
          <w:szCs w:val="24"/>
        </w:rPr>
        <w:t>推床小脚轮可旋转360°，能制动，刹车固定不动。</w:t>
      </w:r>
      <w:r>
        <w:rPr>
          <w:rStyle w:val="130"/>
          <w:rFonts w:hint="eastAsia" w:ascii="仿宋" w:hAnsi="仿宋" w:eastAsia="仿宋" w:cs="仿宋"/>
          <w:sz w:val="24"/>
          <w:szCs w:val="24"/>
        </w:rPr>
        <w:t>担架配有高密度海绵和优质仿皮包装而成的床垫，底部配</w:t>
      </w:r>
      <w:r>
        <w:rPr>
          <w:rFonts w:hint="eastAsia" w:ascii="仿宋" w:hAnsi="仿宋" w:eastAsia="仿宋" w:cs="仿宋"/>
          <w:sz w:val="24"/>
          <w:szCs w:val="24"/>
        </w:rPr>
        <w:t>置物篮1个。</w:t>
      </w:r>
      <w:r>
        <w:rPr>
          <w:rFonts w:hint="eastAsia" w:ascii="仿宋" w:hAnsi="仿宋" w:eastAsia="仿宋" w:cs="仿宋"/>
          <w:color w:val="000000"/>
          <w:sz w:val="24"/>
          <w:szCs w:val="24"/>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（三）</w:t>
      </w:r>
      <w:r>
        <w:rPr>
          <w:rFonts w:hint="eastAsia" w:ascii="仿宋" w:hAnsi="仿宋" w:eastAsia="仿宋" w:cs="仿宋"/>
          <w:color w:val="000000"/>
          <w:sz w:val="24"/>
          <w:szCs w:val="24"/>
        </w:rPr>
        <w:t>基本配置: 担架车 1台，海棉垫子1张，置物篮1个</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center"/>
        <w:textAlignment w:val="auto"/>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第十二、</w:t>
      </w:r>
      <w:r>
        <w:rPr>
          <w:rFonts w:hint="eastAsia" w:ascii="仿宋" w:hAnsi="仿宋" w:eastAsia="仿宋" w:cs="仿宋"/>
          <w:b/>
          <w:bCs/>
          <w:sz w:val="24"/>
          <w:szCs w:val="24"/>
        </w:rPr>
        <w:t>辅助设施（器械车药品柜等）</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一、设备名称：辅助设施（器械车药品柜等）</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二、设备数量</w:t>
      </w:r>
      <w:r>
        <w:rPr>
          <w:rFonts w:hint="eastAsia" w:ascii="仿宋" w:hAnsi="仿宋" w:eastAsia="仿宋" w:cs="仿宋"/>
          <w:b/>
          <w:bCs/>
          <w:color w:val="000000"/>
          <w:sz w:val="24"/>
          <w:szCs w:val="24"/>
          <w:lang w:eastAsia="zh-CN"/>
        </w:rPr>
        <w:t>及要求</w:t>
      </w:r>
      <w:r>
        <w:rPr>
          <w:rFonts w:hint="eastAsia" w:ascii="仿宋" w:hAnsi="仿宋" w:eastAsia="仿宋" w:cs="仿宋"/>
          <w:b/>
          <w:bCs/>
          <w:color w:val="000000"/>
          <w:sz w:val="24"/>
          <w:szCs w:val="24"/>
        </w:rPr>
        <w:t>：　</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lang w:eastAsia="zh-CN"/>
        </w:rPr>
        <w:t>（一）</w:t>
      </w:r>
      <w:r>
        <w:rPr>
          <w:rFonts w:hint="eastAsia" w:ascii="仿宋" w:hAnsi="仿宋" w:eastAsia="仿宋" w:cs="仿宋"/>
          <w:b/>
          <w:bCs/>
          <w:color w:val="000000"/>
          <w:sz w:val="24"/>
          <w:szCs w:val="24"/>
        </w:rPr>
        <w:t>器械车</w:t>
      </w:r>
      <w:r>
        <w:rPr>
          <w:rFonts w:hint="eastAsia" w:ascii="仿宋" w:hAnsi="仿宋" w:eastAsia="仿宋" w:cs="仿宋"/>
          <w:b/>
          <w:bCs/>
          <w:color w:val="000000"/>
          <w:sz w:val="24"/>
          <w:szCs w:val="24"/>
          <w:lang w:eastAsia="zh-CN"/>
        </w:rPr>
        <w:t>（</w:t>
      </w:r>
      <w:r>
        <w:rPr>
          <w:rFonts w:hint="eastAsia" w:ascii="仿宋" w:hAnsi="仿宋" w:eastAsia="仿宋" w:cs="仿宋"/>
          <w:b/>
          <w:bCs/>
          <w:color w:val="000000"/>
          <w:sz w:val="24"/>
          <w:szCs w:val="24"/>
          <w:lang w:val="en-US" w:eastAsia="zh-CN"/>
        </w:rPr>
        <w:t>13辆</w:t>
      </w:r>
      <w:r>
        <w:rPr>
          <w:rFonts w:hint="eastAsia" w:ascii="仿宋" w:hAnsi="仿宋" w:eastAsia="仿宋" w:cs="仿宋"/>
          <w:b/>
          <w:bCs/>
          <w:color w:val="000000"/>
          <w:sz w:val="24"/>
          <w:szCs w:val="24"/>
          <w:lang w:eastAsia="zh-CN"/>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1.参考</w:t>
      </w:r>
      <w:r>
        <w:rPr>
          <w:rFonts w:hint="eastAsia" w:ascii="仿宋" w:hAnsi="仿宋" w:eastAsia="仿宋" w:cs="仿宋"/>
          <w:color w:val="000000"/>
          <w:sz w:val="24"/>
          <w:szCs w:val="24"/>
        </w:rPr>
        <w:t>规格：750*450*800mm</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主要材质：台面选用</w:t>
      </w:r>
      <w:r>
        <w:rPr>
          <w:rFonts w:hint="eastAsia" w:ascii="仿宋" w:hAnsi="仿宋" w:eastAsia="仿宋" w:cs="仿宋"/>
          <w:color w:val="000000"/>
          <w:sz w:val="24"/>
          <w:szCs w:val="24"/>
          <w:lang w:eastAsia="zh-CN"/>
        </w:rPr>
        <w:t>医用</w:t>
      </w:r>
      <w:r>
        <w:rPr>
          <w:rFonts w:hint="eastAsia" w:ascii="仿宋" w:hAnsi="仿宋" w:eastAsia="仿宋" w:cs="仿宋"/>
          <w:color w:val="000000"/>
          <w:sz w:val="24"/>
          <w:szCs w:val="24"/>
          <w:lang w:val="en-US" w:eastAsia="zh-CN"/>
        </w:rPr>
        <w:t>316</w:t>
      </w:r>
      <w:r>
        <w:rPr>
          <w:rFonts w:hint="eastAsia" w:ascii="仿宋" w:hAnsi="仿宋" w:eastAsia="仿宋" w:cs="仿宋"/>
          <w:color w:val="000000"/>
          <w:sz w:val="24"/>
          <w:szCs w:val="24"/>
        </w:rPr>
        <w:t>不锈钢板经激光切割压制成型，扶手采用不锈钢管弯制而成。配置4只直径</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80mm万向脚轮，对角制动。上下台面三面配置围栏。车体采用氩弧工艺焊接，焊接缝平整光滑。</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药柜</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10个</w:t>
      </w:r>
      <w:r>
        <w:rPr>
          <w:rFonts w:hint="eastAsia" w:ascii="仿宋" w:hAnsi="仿宋" w:eastAsia="仿宋" w:cs="仿宋"/>
          <w:b/>
          <w:bCs/>
          <w:sz w:val="24"/>
          <w:szCs w:val="24"/>
          <w:lang w:eastAsia="zh-CN"/>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1.参考</w:t>
      </w:r>
      <w:r>
        <w:rPr>
          <w:rFonts w:hint="eastAsia" w:ascii="仿宋" w:hAnsi="仿宋" w:eastAsia="仿宋" w:cs="仿宋"/>
          <w:color w:val="000000"/>
          <w:sz w:val="24"/>
          <w:szCs w:val="24"/>
        </w:rPr>
        <w:t>规格：960*400*1750mm</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主要材质：厚度</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1.0mm不锈钢板经激光切割压制成型，上部为玻璃对开门，内置三层不锈钢架板，下部为不锈钢冷轧钢板对开门，内置一层不锈钢架板，上、下门配置病历锁及不锈钢扣手。</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center"/>
        <w:textAlignment w:val="auto"/>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第十三、</w:t>
      </w:r>
      <w:r>
        <w:rPr>
          <w:rFonts w:hint="eastAsia" w:ascii="仿宋" w:hAnsi="仿宋" w:eastAsia="仿宋" w:cs="仿宋"/>
          <w:b/>
          <w:bCs/>
          <w:sz w:val="24"/>
          <w:szCs w:val="24"/>
        </w:rPr>
        <w:t>铲式担架</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一、设备名称：铲式担架</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val="en-US" w:eastAsia="zh-CN"/>
        </w:rPr>
        <w:t>6</w:t>
      </w:r>
      <w:r>
        <w:rPr>
          <w:rFonts w:hint="eastAsia" w:ascii="仿宋" w:hAnsi="仿宋" w:eastAsia="仿宋" w:cs="仿宋"/>
          <w:b/>
          <w:bCs/>
          <w:sz w:val="24"/>
          <w:szCs w:val="24"/>
          <w:lang w:eastAsia="zh-CN"/>
        </w:rPr>
        <w:t>个</w:t>
      </w:r>
      <w:r>
        <w:rPr>
          <w:rFonts w:hint="eastAsia" w:ascii="仿宋" w:hAnsi="仿宋" w:eastAsia="仿宋" w:cs="仿宋"/>
          <w:b/>
          <w:bCs/>
          <w:sz w:val="24"/>
          <w:szCs w:val="24"/>
        </w:rPr>
        <w:t>　</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三、技术参数和要求：　</w:t>
      </w:r>
    </w:p>
    <w:p>
      <w:pPr>
        <w:keepNext w:val="0"/>
        <w:keepLines w:val="0"/>
        <w:pageBreakBefore w:val="0"/>
        <w:widowControl/>
        <w:numPr>
          <w:ilvl w:val="0"/>
          <w:numId w:val="11"/>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lang w:eastAsia="zh-CN"/>
        </w:rPr>
        <w:t>参考</w:t>
      </w:r>
      <w:r>
        <w:rPr>
          <w:rFonts w:hint="eastAsia" w:ascii="仿宋" w:hAnsi="仿宋" w:eastAsia="仿宋" w:cs="仿宋"/>
          <w:color w:val="000000"/>
          <w:sz w:val="24"/>
          <w:szCs w:val="24"/>
        </w:rPr>
        <w:t>规格：</w:t>
      </w:r>
      <w:r>
        <w:rPr>
          <w:rFonts w:hint="eastAsia" w:ascii="仿宋" w:hAnsi="仿宋" w:eastAsia="仿宋" w:cs="仿宋"/>
          <w:sz w:val="24"/>
          <w:szCs w:val="24"/>
        </w:rPr>
        <w:t xml:space="preserve">大展开尺寸:长2100±50mm，宽450±30mm，高60mm </w:t>
      </w:r>
    </w:p>
    <w:p>
      <w:pPr>
        <w:keepNext w:val="0"/>
        <w:keepLines w:val="0"/>
        <w:pageBreakBefore w:val="0"/>
        <w:widowControl/>
        <w:numPr>
          <w:ilvl w:val="0"/>
          <w:numId w:val="11"/>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小展 开尺寸:长1700±50mm，宽450±30mm，高60mm</w:t>
      </w:r>
    </w:p>
    <w:p>
      <w:pPr>
        <w:keepNext w:val="0"/>
        <w:keepLines w:val="0"/>
        <w:pageBreakBefore w:val="0"/>
        <w:widowControl/>
        <w:numPr>
          <w:ilvl w:val="0"/>
          <w:numId w:val="11"/>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折叠尺寸:长1200±50mm，宽450±30mm，高60mm</w:t>
      </w:r>
    </w:p>
    <w:p>
      <w:pPr>
        <w:keepNext w:val="0"/>
        <w:keepLines w:val="0"/>
        <w:pageBreakBefore w:val="0"/>
        <w:widowControl/>
        <w:numPr>
          <w:ilvl w:val="0"/>
          <w:numId w:val="11"/>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重量：</w:t>
      </w:r>
      <w:r>
        <w:rPr>
          <w:rFonts w:hint="eastAsia" w:ascii="仿宋" w:hAnsi="仿宋" w:eastAsia="仿宋" w:cs="仿宋"/>
          <w:sz w:val="24"/>
          <w:szCs w:val="24"/>
          <w:lang w:eastAsia="zh-CN"/>
        </w:rPr>
        <w:t>≤</w:t>
      </w:r>
      <w:r>
        <w:rPr>
          <w:rFonts w:hint="eastAsia" w:ascii="仿宋" w:hAnsi="仿宋" w:eastAsia="仿宋" w:cs="仿宋"/>
          <w:sz w:val="24"/>
          <w:szCs w:val="24"/>
        </w:rPr>
        <w:t>10KG   承重:</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155</w:t>
      </w:r>
      <w:r>
        <w:rPr>
          <w:rFonts w:hint="eastAsia" w:ascii="仿宋" w:hAnsi="仿宋" w:eastAsia="仿宋" w:cs="仿宋"/>
          <w:sz w:val="24"/>
          <w:szCs w:val="24"/>
        </w:rPr>
        <w:t>kg</w:t>
      </w:r>
    </w:p>
    <w:p>
      <w:pPr>
        <w:keepNext w:val="0"/>
        <w:keepLines w:val="0"/>
        <w:pageBreakBefore w:val="0"/>
        <w:widowControl/>
        <w:numPr>
          <w:ilvl w:val="0"/>
          <w:numId w:val="11"/>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材质：采用铝合金材料制成，采用分离型刚性结构；两端设有离合装置；担架长度根据病人身长可作三档调节；担架一端(脚部)采用窄框架结构。</w:t>
      </w:r>
    </w:p>
    <w:p>
      <w:pPr>
        <w:keepNext w:val="0"/>
        <w:keepLines w:val="0"/>
        <w:pageBreakBefore w:val="0"/>
        <w:widowControl/>
        <w:kinsoku/>
        <w:wordWrap/>
        <w:overflowPunct/>
        <w:topLinePunct w:val="0"/>
        <w:autoSpaceDE/>
        <w:autoSpaceDN/>
        <w:bidi w:val="0"/>
        <w:spacing w:line="360" w:lineRule="auto"/>
        <w:ind w:left="0" w:firstLine="482" w:firstLineChars="20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第十四</w:t>
      </w: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rPr>
        <w:t>妇科检查床</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一、设备名称：妇科检查床</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二、设备数量：</w:t>
      </w:r>
      <w:r>
        <w:rPr>
          <w:rFonts w:hint="eastAsia" w:ascii="仿宋" w:hAnsi="仿宋" w:eastAsia="仿宋" w:cs="仿宋"/>
          <w:b/>
          <w:bCs/>
          <w:kern w:val="0"/>
          <w:sz w:val="24"/>
          <w:szCs w:val="24"/>
          <w:lang w:val="en-US" w:eastAsia="zh-CN"/>
        </w:rPr>
        <w:t>3</w:t>
      </w:r>
      <w:r>
        <w:rPr>
          <w:rFonts w:hint="eastAsia" w:ascii="仿宋" w:hAnsi="仿宋" w:eastAsia="仿宋" w:cs="仿宋"/>
          <w:b/>
          <w:bCs/>
          <w:kern w:val="0"/>
          <w:sz w:val="24"/>
          <w:szCs w:val="24"/>
          <w:lang w:eastAsia="zh-CN"/>
        </w:rPr>
        <w:t>张　</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kern w:val="0"/>
          <w:sz w:val="24"/>
          <w:szCs w:val="24"/>
          <w:lang w:eastAsia="zh-CN"/>
        </w:rPr>
      </w:pPr>
      <w:r>
        <w:rPr>
          <w:rFonts w:hint="eastAsia" w:ascii="仿宋" w:hAnsi="仿宋" w:eastAsia="仿宋" w:cs="仿宋"/>
          <w:b/>
          <w:bCs/>
          <w:kern w:val="0"/>
          <w:sz w:val="24"/>
          <w:szCs w:val="24"/>
          <w:lang w:eastAsia="zh-CN"/>
        </w:rPr>
        <w:t>三、技术参数和要求：　</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1.</w:t>
      </w:r>
      <w:r>
        <w:rPr>
          <w:rFonts w:hint="eastAsia" w:ascii="仿宋" w:hAnsi="仿宋" w:eastAsia="仿宋" w:cs="仿宋"/>
          <w:kern w:val="0"/>
          <w:sz w:val="24"/>
          <w:szCs w:val="24"/>
          <w:lang w:eastAsia="zh-CN"/>
        </w:rPr>
        <w:t>参考尺寸：</w:t>
      </w:r>
      <w:r>
        <w:rPr>
          <w:rFonts w:hint="eastAsia" w:ascii="仿宋" w:hAnsi="仿宋" w:eastAsia="仿宋" w:cs="仿宋"/>
          <w:sz w:val="24"/>
          <w:szCs w:val="24"/>
        </w:rPr>
        <w:t>1450mm×600mm</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2.</w:t>
      </w:r>
      <w:r>
        <w:rPr>
          <w:rFonts w:hint="eastAsia" w:ascii="仿宋" w:hAnsi="仿宋" w:eastAsia="仿宋" w:cs="仿宋"/>
          <w:kern w:val="0"/>
          <w:sz w:val="24"/>
          <w:szCs w:val="24"/>
        </w:rPr>
        <w:t>台面</w:t>
      </w:r>
      <w:r>
        <w:rPr>
          <w:rFonts w:hint="eastAsia" w:ascii="仿宋" w:hAnsi="仿宋" w:eastAsia="仿宋" w:cs="仿宋"/>
          <w:kern w:val="0"/>
          <w:sz w:val="24"/>
          <w:szCs w:val="24"/>
          <w:lang w:eastAsia="zh-CN"/>
        </w:rPr>
        <w:t>可调</w:t>
      </w:r>
      <w:r>
        <w:rPr>
          <w:rFonts w:hint="eastAsia" w:ascii="仿宋" w:hAnsi="仿宋" w:eastAsia="仿宋" w:cs="仿宋"/>
          <w:kern w:val="0"/>
          <w:sz w:val="24"/>
          <w:szCs w:val="24"/>
          <w:lang w:val="en-US" w:eastAsia="zh-CN"/>
        </w:rPr>
        <w:t>630-1000mm</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3.</w:t>
      </w:r>
      <w:r>
        <w:rPr>
          <w:rFonts w:hint="eastAsia" w:ascii="仿宋" w:hAnsi="仿宋" w:eastAsia="仿宋" w:cs="仿宋"/>
          <w:kern w:val="0"/>
          <w:sz w:val="24"/>
          <w:szCs w:val="24"/>
        </w:rPr>
        <w:t>背板调节范围，上折≥70°    下折≥17°</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4.</w:t>
      </w:r>
      <w:r>
        <w:rPr>
          <w:rFonts w:hint="eastAsia" w:ascii="仿宋" w:hAnsi="仿宋" w:eastAsia="仿宋" w:cs="仿宋"/>
          <w:kern w:val="0"/>
          <w:sz w:val="24"/>
          <w:szCs w:val="24"/>
        </w:rPr>
        <w:t xml:space="preserve">臀板上折高度，上折≥35°   </w:t>
      </w:r>
    </w:p>
    <w:p>
      <w:pPr>
        <w:keepNext w:val="0"/>
        <w:keepLines w:val="0"/>
        <w:pageBreakBefore w:val="0"/>
        <w:widowControl/>
        <w:kinsoku/>
        <w:wordWrap/>
        <w:overflowPunct/>
        <w:topLinePunct w:val="0"/>
        <w:autoSpaceDE/>
        <w:autoSpaceDN/>
        <w:bidi w:val="0"/>
        <w:spacing w:line="360" w:lineRule="auto"/>
        <w:ind w:left="0" w:firstLine="482" w:firstLineChars="20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十五、无菌辅料置物架</w:t>
      </w:r>
    </w:p>
    <w:p>
      <w:pPr>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一、设备名称：无菌辅料置物架</w:t>
      </w:r>
    </w:p>
    <w:p>
      <w:pPr>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二、设备数量：</w:t>
      </w:r>
      <w:r>
        <w:rPr>
          <w:rFonts w:hint="eastAsia" w:ascii="仿宋" w:hAnsi="仿宋" w:eastAsia="仿宋" w:cs="仿宋"/>
          <w:b/>
          <w:bCs/>
          <w:color w:val="000000"/>
          <w:sz w:val="24"/>
          <w:szCs w:val="24"/>
          <w:lang w:val="en-US" w:eastAsia="zh-CN"/>
        </w:rPr>
        <w:t>6</w:t>
      </w:r>
      <w:r>
        <w:rPr>
          <w:rFonts w:hint="eastAsia" w:ascii="仿宋" w:hAnsi="仿宋" w:eastAsia="仿宋" w:cs="仿宋"/>
          <w:b/>
          <w:bCs/>
          <w:color w:val="000000"/>
          <w:sz w:val="24"/>
          <w:szCs w:val="24"/>
          <w:lang w:eastAsia="zh-CN"/>
        </w:rPr>
        <w:t>个</w:t>
      </w:r>
      <w:r>
        <w:rPr>
          <w:rFonts w:hint="eastAsia" w:ascii="仿宋" w:hAnsi="仿宋" w:eastAsia="仿宋" w:cs="仿宋"/>
          <w:b/>
          <w:bCs/>
          <w:color w:val="000000"/>
          <w:sz w:val="24"/>
          <w:szCs w:val="24"/>
        </w:rPr>
        <w:t>　</w:t>
      </w:r>
    </w:p>
    <w:p>
      <w:pPr>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三、技术参数和要求：</w:t>
      </w:r>
    </w:p>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（一）参考</w:t>
      </w:r>
      <w:r>
        <w:rPr>
          <w:rFonts w:hint="eastAsia" w:ascii="仿宋" w:hAnsi="仿宋" w:eastAsia="仿宋" w:cs="仿宋"/>
          <w:color w:val="000000"/>
          <w:sz w:val="24"/>
          <w:szCs w:val="24"/>
        </w:rPr>
        <w:t>规格：1500*</w:t>
      </w:r>
      <w:r>
        <w:rPr>
          <w:rFonts w:hint="eastAsia" w:ascii="仿宋" w:hAnsi="仿宋" w:eastAsia="仿宋" w:cs="仿宋"/>
          <w:color w:val="000000"/>
          <w:sz w:val="24"/>
          <w:szCs w:val="24"/>
          <w:lang w:val="en-US" w:eastAsia="zh-CN"/>
        </w:rPr>
        <w:t>600</w:t>
      </w:r>
      <w:r>
        <w:rPr>
          <w:rFonts w:hint="eastAsia" w:ascii="仿宋" w:hAnsi="仿宋" w:eastAsia="仿宋" w:cs="仿宋"/>
          <w:color w:val="000000"/>
          <w:sz w:val="24"/>
          <w:szCs w:val="24"/>
        </w:rPr>
        <w:t>*1900mm</w:t>
      </w:r>
    </w:p>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（二）</w:t>
      </w:r>
      <w:r>
        <w:rPr>
          <w:rFonts w:hint="eastAsia" w:ascii="仿宋" w:hAnsi="仿宋" w:eastAsia="仿宋" w:cs="仿宋"/>
          <w:color w:val="000000"/>
          <w:sz w:val="24"/>
          <w:szCs w:val="24"/>
        </w:rPr>
        <w:t>主要材质：骨架采用30*30不锈钢管焊接成型，台面厚度</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1.0</w:t>
      </w:r>
      <w:r>
        <w:rPr>
          <w:rFonts w:hint="eastAsia" w:ascii="仿宋" w:hAnsi="仿宋" w:eastAsia="仿宋" w:cs="仿宋"/>
          <w:color w:val="000000"/>
          <w:sz w:val="24"/>
          <w:szCs w:val="24"/>
          <w:lang w:val="en-US" w:eastAsia="zh-CN"/>
        </w:rPr>
        <w:t>mm</w:t>
      </w:r>
      <w:r>
        <w:rPr>
          <w:rFonts w:hint="eastAsia" w:ascii="仿宋" w:hAnsi="仿宋" w:eastAsia="仿宋" w:cs="仿宋"/>
          <w:color w:val="000000"/>
          <w:sz w:val="24"/>
          <w:szCs w:val="24"/>
        </w:rPr>
        <w:t>优质不锈钢板制做，</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4个</w:t>
      </w:r>
      <w:r>
        <w:rPr>
          <w:rFonts w:hint="eastAsia" w:ascii="仿宋" w:hAnsi="仿宋" w:eastAsia="仿宋" w:cs="仿宋"/>
          <w:color w:val="000000"/>
          <w:sz w:val="24"/>
          <w:szCs w:val="24"/>
        </w:rPr>
        <w:t>空间放置物品，底脚安装橡胶支脚。</w:t>
      </w:r>
    </w:p>
    <w:p>
      <w:pPr>
        <w:keepNext w:val="0"/>
        <w:keepLines w:val="0"/>
        <w:pageBreakBefore w:val="0"/>
        <w:widowControl/>
        <w:kinsoku/>
        <w:wordWrap/>
        <w:overflowPunct/>
        <w:topLinePunct w:val="0"/>
        <w:autoSpaceDE/>
        <w:autoSpaceDN/>
        <w:bidi w:val="0"/>
        <w:spacing w:line="360" w:lineRule="auto"/>
        <w:ind w:left="0" w:firstLine="482" w:firstLineChars="20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第十六、输液输血加温仪</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一、设备名称：输液输血加温仪</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二、设备数量：</w:t>
      </w:r>
      <w:r>
        <w:rPr>
          <w:rFonts w:hint="eastAsia" w:ascii="仿宋" w:hAnsi="仿宋" w:eastAsia="仿宋" w:cs="仿宋"/>
          <w:b/>
          <w:bCs w:val="0"/>
          <w:sz w:val="24"/>
          <w:szCs w:val="24"/>
          <w:lang w:eastAsia="zh-CN"/>
        </w:rPr>
        <w:t>壹台</w:t>
      </w:r>
      <w:r>
        <w:rPr>
          <w:rFonts w:hint="eastAsia" w:ascii="仿宋" w:hAnsi="仿宋" w:eastAsia="仿宋" w:cs="仿宋"/>
          <w:b/>
          <w:bCs w:val="0"/>
          <w:sz w:val="24"/>
          <w:szCs w:val="24"/>
        </w:rPr>
        <w:t>　</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val="0"/>
          <w:sz w:val="24"/>
          <w:szCs w:val="24"/>
        </w:rPr>
      </w:pPr>
      <w:r>
        <w:rPr>
          <w:rFonts w:hint="eastAsia" w:ascii="仿宋" w:hAnsi="仿宋" w:eastAsia="仿宋" w:cs="仿宋"/>
          <w:b/>
          <w:bCs w:val="0"/>
          <w:sz w:val="24"/>
          <w:szCs w:val="24"/>
        </w:rPr>
        <w:t>三、技术参数和要求：</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w:t>
      </w:r>
      <w:r>
        <w:rPr>
          <w:rFonts w:hint="eastAsia" w:ascii="仿宋" w:hAnsi="仿宋" w:eastAsia="仿宋" w:cs="仿宋"/>
          <w:sz w:val="24"/>
          <w:szCs w:val="24"/>
          <w:lang w:val="en-US" w:eastAsia="zh-CN"/>
        </w:rPr>
        <w:t>★</w:t>
      </w:r>
      <w:r>
        <w:rPr>
          <w:rFonts w:hint="eastAsia" w:ascii="仿宋" w:hAnsi="仿宋" w:eastAsia="仿宋" w:cs="仿宋"/>
          <w:bCs/>
          <w:sz w:val="24"/>
          <w:szCs w:val="24"/>
        </w:rPr>
        <w:t>主机结构：一体化加温加压舱室设计，舱内可对血（液）袋进行持续加温，可一键加压进行快速输血输液；</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2、加温结构：可通过加温舱和舱体配件达到全路径加温效果；</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3、加温舱可对血（液）袋进行持续加温，急救时可一键加压进行快速输血输液；</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4、加温舱尺寸：</w:t>
      </w:r>
      <w:r>
        <w:rPr>
          <w:rFonts w:hint="eastAsia" w:ascii="仿宋" w:hAnsi="仿宋" w:eastAsia="仿宋" w:cs="仿宋"/>
          <w:bCs/>
          <w:sz w:val="24"/>
          <w:szCs w:val="24"/>
          <w:lang w:eastAsia="zh-CN"/>
        </w:rPr>
        <w:t>约</w:t>
      </w:r>
      <w:r>
        <w:rPr>
          <w:rFonts w:hint="eastAsia" w:ascii="仿宋" w:hAnsi="仿宋" w:eastAsia="仿宋" w:cs="仿宋"/>
          <w:bCs/>
          <w:sz w:val="24"/>
          <w:szCs w:val="24"/>
        </w:rPr>
        <w:t>135mm×220mm×45mm</w:t>
      </w:r>
      <w:r>
        <w:rPr>
          <w:rFonts w:hint="eastAsia" w:ascii="仿宋" w:hAnsi="仿宋" w:eastAsia="仿宋" w:cs="仿宋"/>
          <w:bCs/>
          <w:sz w:val="24"/>
          <w:szCs w:val="24"/>
          <w:lang w:val="en-US" w:eastAsia="zh-CN"/>
        </w:rPr>
        <w:t>±5</w:t>
      </w:r>
      <w:r>
        <w:rPr>
          <w:rFonts w:hint="eastAsia" w:ascii="仿宋" w:hAnsi="仿宋" w:eastAsia="仿宋" w:cs="仿宋"/>
          <w:bCs/>
          <w:sz w:val="24"/>
          <w:szCs w:val="24"/>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5、加热功率：</w:t>
      </w:r>
      <w:r>
        <w:rPr>
          <w:rFonts w:hint="eastAsia" w:ascii="仿宋" w:hAnsi="仿宋" w:eastAsia="仿宋" w:cs="仿宋"/>
          <w:bCs/>
          <w:sz w:val="24"/>
          <w:szCs w:val="24"/>
          <w:lang w:eastAsia="zh-CN"/>
        </w:rPr>
        <w:t>≥</w:t>
      </w:r>
      <w:r>
        <w:rPr>
          <w:rFonts w:hint="eastAsia" w:ascii="仿宋" w:hAnsi="仿宋" w:eastAsia="仿宋" w:cs="仿宋"/>
          <w:bCs/>
          <w:sz w:val="24"/>
          <w:szCs w:val="24"/>
        </w:rPr>
        <w:t>100W;</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6、温控功能：</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6.1、温控范围：37℃±2℃；</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6.2、超温断电保护： ≥39℃；</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6.3、有输血加温定时保护功能；</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7、屏幕监测信息包括：加温舱温度、加温舱工作状态、加压档、温度设定值、工作时间、电池电量、报警信息</w:t>
      </w:r>
      <w:r>
        <w:rPr>
          <w:rFonts w:hint="eastAsia" w:ascii="仿宋" w:hAnsi="仿宋" w:eastAsia="仿宋" w:cs="仿宋"/>
          <w:bCs/>
          <w:sz w:val="24"/>
          <w:szCs w:val="24"/>
          <w:lang w:eastAsia="zh-CN"/>
        </w:rPr>
        <w:t>等</w:t>
      </w:r>
      <w:r>
        <w:rPr>
          <w:rFonts w:hint="eastAsia" w:ascii="仿宋" w:hAnsi="仿宋" w:eastAsia="仿宋" w:cs="仿宋"/>
          <w:bCs/>
          <w:sz w:val="24"/>
          <w:szCs w:val="24"/>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8、报警提示信息：加温舱超温、气压异常、舱门开启</w:t>
      </w:r>
      <w:r>
        <w:rPr>
          <w:rFonts w:hint="eastAsia" w:ascii="仿宋" w:hAnsi="仿宋" w:eastAsia="仿宋" w:cs="仿宋"/>
          <w:bCs/>
          <w:sz w:val="24"/>
          <w:szCs w:val="24"/>
          <w:lang w:eastAsia="zh-CN"/>
        </w:rPr>
        <w:t>等</w:t>
      </w:r>
      <w:r>
        <w:rPr>
          <w:rFonts w:hint="eastAsia" w:ascii="仿宋" w:hAnsi="仿宋" w:eastAsia="仿宋" w:cs="仿宋"/>
          <w:bCs/>
          <w:sz w:val="24"/>
          <w:szCs w:val="24"/>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9、具有一键快速加压功能；</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10、采用AI算法自动补偿压力</w:t>
      </w:r>
      <w:r>
        <w:rPr>
          <w:rFonts w:hint="eastAsia" w:ascii="仿宋" w:hAnsi="仿宋" w:eastAsia="仿宋" w:cs="仿宋"/>
          <w:bCs/>
          <w:sz w:val="24"/>
          <w:szCs w:val="24"/>
          <w:lang w:eastAsia="zh-CN"/>
        </w:rPr>
        <w:t>的功能</w:t>
      </w:r>
      <w:r>
        <w:rPr>
          <w:rFonts w:hint="eastAsia" w:ascii="仿宋" w:hAnsi="仿宋" w:eastAsia="仿宋" w:cs="仿宋"/>
          <w:bCs/>
          <w:sz w:val="24"/>
          <w:szCs w:val="24"/>
        </w:rPr>
        <w:t>；</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11、具有气压异常报警</w:t>
      </w:r>
      <w:r>
        <w:rPr>
          <w:rFonts w:hint="eastAsia" w:ascii="仿宋" w:hAnsi="仿宋" w:eastAsia="仿宋" w:cs="仿宋"/>
          <w:bCs/>
          <w:sz w:val="24"/>
          <w:szCs w:val="24"/>
          <w:lang w:eastAsia="zh-CN"/>
        </w:rPr>
        <w:t>、</w:t>
      </w:r>
      <w:r>
        <w:rPr>
          <w:rFonts w:hint="eastAsia" w:ascii="仿宋" w:hAnsi="仿宋" w:eastAsia="仿宋" w:cs="仿宋"/>
          <w:bCs/>
          <w:sz w:val="24"/>
          <w:szCs w:val="24"/>
        </w:rPr>
        <w:t>保护功能；</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12、具有手动紧急泄压功能</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13、具有内置电池；可使用</w:t>
      </w:r>
      <w:r>
        <w:rPr>
          <w:rFonts w:hint="eastAsia" w:ascii="仿宋" w:hAnsi="仿宋" w:eastAsia="仿宋" w:cs="仿宋"/>
          <w:bCs/>
          <w:sz w:val="24"/>
          <w:szCs w:val="24"/>
          <w:lang w:eastAsia="zh-CN"/>
        </w:rPr>
        <w:t>≥</w:t>
      </w:r>
      <w:r>
        <w:rPr>
          <w:rFonts w:hint="eastAsia" w:ascii="仿宋" w:hAnsi="仿宋" w:eastAsia="仿宋" w:cs="仿宋"/>
          <w:bCs/>
          <w:sz w:val="24"/>
          <w:szCs w:val="24"/>
        </w:rPr>
        <w:t>2小时。</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14、电气安全保护类别：I类；</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15、电气安全保护级别：BF型，防除颤保护；</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16、防潮保护级别：IPX2；</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17、工作方式：连续运行；</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bCs/>
          <w:sz w:val="24"/>
          <w:szCs w:val="24"/>
        </w:rPr>
      </w:pPr>
      <w:r>
        <w:rPr>
          <w:rFonts w:hint="eastAsia" w:ascii="仿宋" w:hAnsi="仿宋" w:eastAsia="仿宋" w:cs="仿宋"/>
          <w:bCs/>
          <w:sz w:val="24"/>
          <w:szCs w:val="24"/>
        </w:rPr>
        <w:t>19、输入功率：</w:t>
      </w:r>
      <w:r>
        <w:rPr>
          <w:rFonts w:hint="eastAsia" w:ascii="仿宋" w:hAnsi="仿宋" w:eastAsia="仿宋" w:cs="仿宋"/>
          <w:bCs/>
          <w:sz w:val="24"/>
          <w:szCs w:val="24"/>
          <w:lang w:eastAsia="zh-CN"/>
        </w:rPr>
        <w:t>≥</w:t>
      </w:r>
      <w:r>
        <w:rPr>
          <w:rFonts w:hint="eastAsia" w:ascii="仿宋" w:hAnsi="仿宋" w:eastAsia="仿宋" w:cs="仿宋"/>
          <w:bCs/>
          <w:sz w:val="24"/>
          <w:szCs w:val="24"/>
        </w:rPr>
        <w:t>300VA。</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center"/>
        <w:textAlignment w:val="auto"/>
        <w:rPr>
          <w:rFonts w:hint="eastAsia" w:ascii="仿宋" w:hAnsi="仿宋" w:eastAsia="仿宋" w:cs="仿宋"/>
          <w:b/>
          <w:bCs/>
          <w:color w:val="000000"/>
          <w:sz w:val="24"/>
          <w:szCs w:val="24"/>
        </w:rPr>
      </w:pPr>
      <w:r>
        <w:rPr>
          <w:rFonts w:hint="eastAsia" w:ascii="仿宋" w:hAnsi="仿宋" w:eastAsia="仿宋" w:cs="仿宋"/>
          <w:b/>
          <w:bCs/>
          <w:color w:val="000000"/>
          <w:kern w:val="2"/>
          <w:sz w:val="24"/>
          <w:szCs w:val="24"/>
          <w:lang w:val="en-US" w:eastAsia="zh-CN" w:bidi="ar-SA"/>
        </w:rPr>
        <w:t>第十七、</w:t>
      </w:r>
      <w:r>
        <w:rPr>
          <w:rFonts w:hint="eastAsia" w:ascii="仿宋" w:hAnsi="仿宋" w:eastAsia="仿宋" w:cs="仿宋"/>
          <w:b/>
          <w:bCs/>
          <w:color w:val="000000"/>
          <w:sz w:val="24"/>
          <w:szCs w:val="24"/>
        </w:rPr>
        <w:t>自动洗胃机</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一、设备名称：自动洗胃机</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二、设备数量：</w:t>
      </w:r>
      <w:r>
        <w:rPr>
          <w:rFonts w:hint="eastAsia" w:ascii="仿宋" w:hAnsi="仿宋" w:eastAsia="仿宋" w:cs="仿宋"/>
          <w:b/>
          <w:bCs/>
          <w:color w:val="000000"/>
          <w:sz w:val="24"/>
          <w:szCs w:val="24"/>
          <w:lang w:eastAsia="zh-CN"/>
        </w:rPr>
        <w:t>壹台</w:t>
      </w:r>
      <w:r>
        <w:rPr>
          <w:rFonts w:hint="eastAsia" w:ascii="仿宋" w:hAnsi="仿宋" w:eastAsia="仿宋" w:cs="仿宋"/>
          <w:b/>
          <w:bCs/>
          <w:color w:val="000000"/>
          <w:sz w:val="24"/>
          <w:szCs w:val="24"/>
        </w:rPr>
        <w:t>　</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三、技术参数和要求：</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1.流量：≥2L/min（口腔插管档）；≥1L/min（鼻腔插管档）</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2.自控液量：冲液量：（250ml~350ml）/次；吸液量：（</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350ml~450ml） /次</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3.正、负压力设定范围：47kPa~6</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kPa</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.输入功率：110VA</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.噪音：≤65dB（A）</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center"/>
        <w:textAlignment w:val="auto"/>
        <w:rPr>
          <w:rFonts w:hint="eastAsia" w:ascii="仿宋" w:hAnsi="仿宋" w:eastAsia="仿宋" w:cs="仿宋"/>
          <w:b/>
          <w:bCs/>
          <w:sz w:val="24"/>
          <w:szCs w:val="24"/>
        </w:rPr>
      </w:pPr>
      <w:r>
        <w:rPr>
          <w:rFonts w:hint="eastAsia" w:ascii="仿宋" w:hAnsi="仿宋" w:eastAsia="仿宋" w:cs="仿宋"/>
          <w:b/>
          <w:bCs/>
          <w:kern w:val="2"/>
          <w:sz w:val="24"/>
          <w:szCs w:val="24"/>
          <w:lang w:val="en-US" w:eastAsia="zh-CN" w:bidi="ar-SA"/>
        </w:rPr>
        <w:t>第十八、</w:t>
      </w:r>
      <w:r>
        <w:rPr>
          <w:rFonts w:hint="eastAsia" w:ascii="仿宋" w:hAnsi="仿宋" w:eastAsia="仿宋" w:cs="仿宋"/>
          <w:b/>
          <w:bCs/>
          <w:sz w:val="24"/>
          <w:szCs w:val="24"/>
        </w:rPr>
        <w:t>空气消毒器</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一、设备名称：空气消毒器</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val="en-US" w:eastAsia="zh-CN"/>
        </w:rPr>
        <w:t>20</w:t>
      </w:r>
      <w:r>
        <w:rPr>
          <w:rFonts w:hint="eastAsia" w:ascii="仿宋" w:hAnsi="仿宋" w:eastAsia="仿宋" w:cs="仿宋"/>
          <w:b/>
          <w:bCs/>
          <w:sz w:val="24"/>
          <w:szCs w:val="24"/>
          <w:lang w:eastAsia="zh-CN"/>
        </w:rPr>
        <w:t>台</w:t>
      </w:r>
      <w:r>
        <w:rPr>
          <w:rFonts w:hint="eastAsia" w:ascii="仿宋" w:hAnsi="仿宋" w:eastAsia="仿宋" w:cs="仿宋"/>
          <w:b/>
          <w:bCs/>
          <w:sz w:val="24"/>
          <w:szCs w:val="24"/>
        </w:rPr>
        <w:t>　</w:t>
      </w:r>
    </w:p>
    <w:p>
      <w:pPr>
        <w:keepNext w:val="0"/>
        <w:keepLines w:val="0"/>
        <w:pageBreakBefore w:val="0"/>
        <w:widowControl/>
        <w:numPr>
          <w:ilvl w:val="0"/>
          <w:numId w:val="0"/>
        </w:numPr>
        <w:kinsoku/>
        <w:wordWrap/>
        <w:overflowPunct/>
        <w:topLinePunct w:val="0"/>
        <w:autoSpaceDE/>
        <w:autoSpaceDN/>
        <w:bidi w:val="0"/>
        <w:spacing w:line="360" w:lineRule="auto"/>
        <w:ind w:left="0" w:leftChars="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三、技术参数和要求：</w:t>
      </w:r>
    </w:p>
    <w:p>
      <w:pPr>
        <w:keepNext w:val="0"/>
        <w:keepLines w:val="0"/>
        <w:pageBreakBefore w:val="0"/>
        <w:widowControl/>
        <w:numPr>
          <w:ilvl w:val="0"/>
          <w:numId w:val="0"/>
        </w:numPr>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（一）</w:t>
      </w:r>
      <w:r>
        <w:rPr>
          <w:rFonts w:hint="eastAsia" w:ascii="仿宋" w:hAnsi="仿宋" w:eastAsia="仿宋" w:cs="仿宋"/>
          <w:b/>
          <w:bCs/>
          <w:sz w:val="24"/>
          <w:szCs w:val="24"/>
        </w:rPr>
        <w:t>产品特点</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人机共存，动态持续消毒；</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消毒时无味、无辐射、不腐蚀设备；</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初、高效双重过滤除尘、除菌；</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紫外线杀菌；静电吸附杀菌；</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LED显示屏，动态显示各配置功能工作状态；负氧离子清新空气；</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光触礁媒活性碳滤膜除异味；</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风速高、中、低可调，风向多角度可调；</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微电脑程控自动运行，可预约开机关机时间；</w:t>
      </w:r>
    </w:p>
    <w:p>
      <w:pPr>
        <w:keepNext w:val="0"/>
        <w:keepLines w:val="0"/>
        <w:pageBreakBefore w:val="0"/>
        <w:widowControl/>
        <w:numPr>
          <w:ilvl w:val="0"/>
          <w:numId w:val="12"/>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超静音轴流风机；</w:t>
      </w:r>
    </w:p>
    <w:p>
      <w:pPr>
        <w:keepNext w:val="0"/>
        <w:keepLines w:val="0"/>
        <w:pageBreakBefore w:val="0"/>
        <w:widowControl/>
        <w:numPr>
          <w:ilvl w:val="0"/>
          <w:numId w:val="0"/>
        </w:numPr>
        <w:kinsoku/>
        <w:wordWrap/>
        <w:overflowPunct/>
        <w:topLinePunct w:val="0"/>
        <w:autoSpaceDE/>
        <w:autoSpaceDN/>
        <w:bidi w:val="0"/>
        <w:spacing w:line="360" w:lineRule="auto"/>
        <w:ind w:left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高强度紫外线强度检测；紫外线故障自动监测；备用紫外管自动启动装置；</w:t>
      </w:r>
    </w:p>
    <w:p>
      <w:pPr>
        <w:keepNext w:val="0"/>
        <w:keepLines w:val="0"/>
        <w:pageBreakBefore w:val="0"/>
        <w:widowControl/>
        <w:numPr>
          <w:ilvl w:val="0"/>
          <w:numId w:val="0"/>
        </w:numPr>
        <w:kinsoku/>
        <w:wordWrap/>
        <w:overflowPunct/>
        <w:topLinePunct w:val="0"/>
        <w:autoSpaceDE/>
        <w:autoSpaceDN/>
        <w:bidi w:val="0"/>
        <w:spacing w:line="360" w:lineRule="auto"/>
        <w:ind w:left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红外线遥控操作；红外线微波自动探测环境污染源；</w:t>
      </w:r>
    </w:p>
    <w:p>
      <w:pPr>
        <w:keepNext w:val="0"/>
        <w:keepLines w:val="0"/>
        <w:pageBreakBefore w:val="0"/>
        <w:widowControl/>
        <w:numPr>
          <w:ilvl w:val="0"/>
          <w:numId w:val="0"/>
        </w:numPr>
        <w:kinsoku/>
        <w:wordWrap/>
        <w:overflowPunct/>
        <w:topLinePunct w:val="0"/>
        <w:autoSpaceDE/>
        <w:autoSpaceDN/>
        <w:bidi w:val="0"/>
        <w:spacing w:line="360" w:lineRule="auto"/>
        <w:ind w:leftChars="20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工作时间自动记录显示，过滤系统等故障自动检测报警提示；</w:t>
      </w:r>
    </w:p>
    <w:p>
      <w:pPr>
        <w:keepNext w:val="0"/>
        <w:keepLines w:val="0"/>
        <w:pageBreakBefore w:val="0"/>
        <w:widowControl/>
        <w:numPr>
          <w:ilvl w:val="0"/>
          <w:numId w:val="0"/>
        </w:numPr>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技术参数</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循环风量：≥1000m</w:t>
      </w:r>
      <w:r>
        <w:rPr>
          <w:rFonts w:hint="eastAsia" w:ascii="仿宋" w:hAnsi="仿宋" w:eastAsia="仿宋" w:cs="仿宋"/>
          <w:sz w:val="24"/>
          <w:szCs w:val="24"/>
          <w:vertAlign w:val="superscript"/>
        </w:rPr>
        <w:t>3</w:t>
      </w:r>
      <w:r>
        <w:rPr>
          <w:rFonts w:hint="eastAsia" w:ascii="仿宋" w:hAnsi="仿宋" w:eastAsia="仿宋" w:cs="仿宋"/>
          <w:sz w:val="24"/>
          <w:szCs w:val="24"/>
        </w:rPr>
        <w:t>/h；</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适用体积：≤100</w:t>
      </w:r>
      <w:r>
        <w:rPr>
          <w:rFonts w:hint="eastAsia" w:ascii="仿宋" w:hAnsi="仿宋" w:eastAsia="仿宋" w:cs="仿宋"/>
          <w:sz w:val="24"/>
          <w:szCs w:val="24"/>
          <w:lang w:val="en-US" w:eastAsia="zh-CN"/>
        </w:rPr>
        <w:t>m³</w:t>
      </w:r>
      <w:r>
        <w:rPr>
          <w:rFonts w:hint="eastAsia" w:ascii="仿宋" w:hAnsi="仿宋" w:eastAsia="仿宋" w:cs="仿宋"/>
          <w:sz w:val="24"/>
          <w:szCs w:val="24"/>
        </w:rPr>
        <w:t>；</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输入功率：≤180VA；</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参考</w:t>
      </w:r>
      <w:r>
        <w:rPr>
          <w:rFonts w:hint="eastAsia" w:ascii="仿宋" w:hAnsi="仿宋" w:eastAsia="仿宋" w:cs="仿宋"/>
          <w:sz w:val="24"/>
          <w:szCs w:val="24"/>
        </w:rPr>
        <w:t>尺寸(cm)：32*</w:t>
      </w:r>
      <w:r>
        <w:rPr>
          <w:rFonts w:hint="eastAsia" w:ascii="仿宋" w:hAnsi="仿宋" w:eastAsia="仿宋" w:cs="仿宋"/>
          <w:sz w:val="24"/>
          <w:szCs w:val="24"/>
          <w:lang w:val="en-US" w:eastAsia="zh-CN"/>
        </w:rPr>
        <w:t>22</w:t>
      </w:r>
      <w:r>
        <w:rPr>
          <w:rFonts w:hint="eastAsia" w:ascii="仿宋" w:hAnsi="仿宋" w:eastAsia="仿宋" w:cs="仿宋"/>
          <w:sz w:val="24"/>
          <w:szCs w:val="24"/>
        </w:rPr>
        <w:t>*10</w:t>
      </w:r>
      <w:r>
        <w:rPr>
          <w:rFonts w:hint="eastAsia" w:ascii="仿宋" w:hAnsi="仿宋" w:eastAsia="仿宋" w:cs="仿宋"/>
          <w:sz w:val="24"/>
          <w:szCs w:val="24"/>
          <w:lang w:val="en-US" w:eastAsia="zh-CN"/>
        </w:rPr>
        <w:t>5</w:t>
      </w:r>
      <w:r>
        <w:rPr>
          <w:rFonts w:hint="eastAsia" w:ascii="仿宋" w:hAnsi="仿宋" w:eastAsia="仿宋" w:cs="仿宋"/>
          <w:sz w:val="24"/>
          <w:szCs w:val="24"/>
        </w:rPr>
        <w:t>；</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消毒效果：≤4cfu/15min</w:t>
      </w:r>
      <w:r>
        <w:rPr>
          <w:rFonts w:hint="eastAsia" w:ascii="仿宋" w:hAnsi="仿宋" w:eastAsia="仿宋" w:cs="仿宋"/>
          <w:b/>
          <w:bCs/>
          <w:sz w:val="24"/>
          <w:szCs w:val="24"/>
        </w:rPr>
        <w:t>.</w:t>
      </w:r>
      <w:r>
        <w:rPr>
          <w:rFonts w:hint="eastAsia" w:ascii="仿宋" w:hAnsi="仿宋" w:eastAsia="仿宋" w:cs="仿宋"/>
          <w:sz w:val="24"/>
          <w:szCs w:val="24"/>
        </w:rPr>
        <w:t>皿（≤200cfu/m³）提供省级以上检测报告；</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机外紫外线泄露：0uw/cm2提供省级以上检测报告；</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机内紫外线强度：≥13800uw/cm2；</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消毒时空气的臭氧量：0.02mg/m3提供省级以上检测报告；</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挂壁式；</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负氧离子释放量：≥6*106个/cm3；</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噪音:</w:t>
      </w:r>
      <w:r>
        <w:rPr>
          <w:rFonts w:hint="eastAsia" w:ascii="仿宋" w:hAnsi="仿宋" w:eastAsia="仿宋" w:cs="仿宋"/>
          <w:sz w:val="24"/>
          <w:szCs w:val="24"/>
          <w:lang w:eastAsia="zh-CN"/>
        </w:rPr>
        <w:t>≤</w:t>
      </w:r>
      <w:r>
        <w:rPr>
          <w:rFonts w:hint="eastAsia" w:ascii="仿宋" w:hAnsi="仿宋" w:eastAsia="仿宋" w:cs="仿宋"/>
          <w:sz w:val="24"/>
          <w:szCs w:val="24"/>
        </w:rPr>
        <w:t>45db(A)提供权威机构检测报告；</w:t>
      </w:r>
    </w:p>
    <w:p>
      <w:pPr>
        <w:keepNext w:val="0"/>
        <w:keepLines w:val="0"/>
        <w:pageBreakBefore w:val="0"/>
        <w:widowControl/>
        <w:numPr>
          <w:ilvl w:val="0"/>
          <w:numId w:val="13"/>
        </w:numPr>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灯管寿命：≥5000h</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14.</w:t>
      </w:r>
      <w:r>
        <w:rPr>
          <w:rFonts w:hint="eastAsia" w:ascii="仿宋" w:hAnsi="仿宋" w:eastAsia="仿宋" w:cs="仿宋"/>
          <w:sz w:val="24"/>
          <w:szCs w:val="24"/>
          <w:lang w:eastAsia="zh-CN"/>
        </w:rPr>
        <w:t>★</w:t>
      </w:r>
      <w:r>
        <w:rPr>
          <w:rFonts w:hint="eastAsia" w:ascii="仿宋" w:hAnsi="仿宋" w:eastAsia="仿宋" w:cs="仿宋"/>
          <w:sz w:val="24"/>
          <w:szCs w:val="24"/>
        </w:rPr>
        <w:t>提供消毒产品卫生安全评价报告；</w:t>
      </w:r>
    </w:p>
    <w:p>
      <w:pPr>
        <w:keepNext w:val="0"/>
        <w:keepLines w:val="0"/>
        <w:pageBreakBefore w:val="0"/>
        <w:widowControl/>
        <w:kinsoku/>
        <w:wordWrap/>
        <w:overflowPunct/>
        <w:topLinePunct w:val="0"/>
        <w:autoSpaceDE/>
        <w:autoSpaceDN/>
        <w:bidi w:val="0"/>
        <w:spacing w:line="360" w:lineRule="auto"/>
        <w:ind w:left="0" w:firstLine="482" w:firstLineChars="200"/>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第十九、紫外</w:t>
      </w:r>
      <w:r>
        <w:rPr>
          <w:rFonts w:hint="eastAsia" w:ascii="仿宋" w:hAnsi="仿宋" w:eastAsia="仿宋" w:cs="仿宋"/>
          <w:b/>
          <w:bCs/>
          <w:sz w:val="24"/>
          <w:szCs w:val="24"/>
          <w:lang w:eastAsia="zh-CN"/>
        </w:rPr>
        <w:t>线监测仪</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一、设备名称：紫外</w:t>
      </w:r>
      <w:r>
        <w:rPr>
          <w:rFonts w:hint="eastAsia" w:ascii="仿宋" w:hAnsi="仿宋" w:eastAsia="仿宋" w:cs="仿宋"/>
          <w:b/>
          <w:bCs/>
          <w:sz w:val="24"/>
          <w:szCs w:val="24"/>
          <w:lang w:eastAsia="zh-CN"/>
        </w:rPr>
        <w:t>线监测仪</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台。</w:t>
      </w:r>
    </w:p>
    <w:p>
      <w:pPr>
        <w:keepNext w:val="0"/>
        <w:keepLines w:val="0"/>
        <w:pageBreakBefore w:val="0"/>
        <w:widowControl/>
        <w:kinsoku/>
        <w:wordWrap/>
        <w:overflowPunct/>
        <w:topLinePunct w:val="0"/>
        <w:autoSpaceDE/>
        <w:autoSpaceDN/>
        <w:bidi w:val="0"/>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三、技术要求及参数：</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1.光谱响应：230nm-280nm，λp = 254nm</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2.功率测量范围范围：0 - 20000μW/cm²</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3.功率分辨率：≤0.1μW/cm²</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4.能量测量范围：0 – 9999999 μJ/cm²</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5.测量精度：≤±10 %</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6.功率数据存储间隔：1s/10s/60s等可选</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7.记录周期：10分钟/100分钟/600分钟等可选</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8.手机APP功能：可蓝牙连接手机，无线传输数据，实时在线监测</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9.蓝牙传输距离：</w:t>
      </w:r>
      <w:r>
        <w:rPr>
          <w:rFonts w:hint="eastAsia" w:ascii="仿宋" w:hAnsi="仿宋" w:eastAsia="仿宋" w:cs="仿宋"/>
          <w:sz w:val="24"/>
          <w:szCs w:val="24"/>
          <w:lang w:eastAsia="zh-CN"/>
        </w:rPr>
        <w:t>≥</w:t>
      </w:r>
      <w:r>
        <w:rPr>
          <w:rFonts w:hint="eastAsia" w:ascii="仿宋" w:hAnsi="仿宋" w:eastAsia="仿宋" w:cs="仿宋"/>
          <w:sz w:val="24"/>
          <w:szCs w:val="24"/>
        </w:rPr>
        <w:t>50米(空旷区域)</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10.功率曲线显示：功率曲线图显示，可看出光源发光效率变化趋势</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11.1米挂钩：符合《WST 367-2012医疗机构消毒技术规范》要求的1米测试距离</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12.实时时钟：可精准追溯每次测试的具体时间</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13.数据存储：可记录≥25组测试数据</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14.主机要求：便携式</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15.探头线长：≥1米</w:t>
      </w:r>
    </w:p>
    <w:p>
      <w:pPr>
        <w:keepNext w:val="0"/>
        <w:keepLines w:val="0"/>
        <w:pageBreakBefore w:val="0"/>
        <w:widowControl/>
        <w:kinsoku/>
        <w:wordWrap/>
        <w:overflowPunct/>
        <w:topLinePunct w:val="0"/>
        <w:autoSpaceDE/>
        <w:autoSpaceDN/>
        <w:bidi w:val="0"/>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16.液晶显示屏。</w:t>
      </w:r>
    </w:p>
    <w:p>
      <w:pPr>
        <w:pageBreakBefore w:val="0"/>
        <w:kinsoku/>
        <w:wordWrap/>
        <w:overflowPunct/>
        <w:topLinePunct w:val="0"/>
        <w:autoSpaceDE/>
        <w:autoSpaceDN/>
        <w:bidi w:val="0"/>
        <w:spacing w:line="360" w:lineRule="auto"/>
        <w:ind w:left="0" w:firstLine="0" w:firstLineChars="0"/>
        <w:jc w:val="center"/>
        <w:rPr>
          <w:rFonts w:hint="eastAsia" w:ascii="仿宋" w:hAnsi="仿宋" w:eastAsia="仿宋" w:cs="仿宋"/>
          <w:b/>
          <w:bCs w:val="0"/>
          <w:sz w:val="24"/>
          <w:szCs w:val="24"/>
        </w:rPr>
      </w:pPr>
      <w:r>
        <w:rPr>
          <w:rFonts w:hint="eastAsia" w:ascii="仿宋" w:hAnsi="仿宋" w:eastAsia="仿宋" w:cs="仿宋"/>
          <w:b/>
          <w:bCs w:val="0"/>
          <w:sz w:val="24"/>
          <w:szCs w:val="24"/>
        </w:rPr>
        <w:t>第二十、肝病治疗仪</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一、设备名称：肝病治疗仪</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二、设备数量：</w:t>
      </w:r>
      <w:r>
        <w:rPr>
          <w:rFonts w:hint="eastAsia" w:ascii="仿宋" w:hAnsi="仿宋" w:eastAsia="仿宋" w:cs="仿宋"/>
          <w:b/>
          <w:bCs/>
          <w:sz w:val="24"/>
          <w:szCs w:val="24"/>
          <w:lang w:val="en-US" w:eastAsia="zh-CN"/>
        </w:rPr>
        <w:t>2</w:t>
      </w:r>
      <w:r>
        <w:rPr>
          <w:rFonts w:hint="eastAsia" w:ascii="仿宋" w:hAnsi="仿宋" w:eastAsia="仿宋" w:cs="仿宋"/>
          <w:b/>
          <w:bCs/>
          <w:sz w:val="24"/>
          <w:szCs w:val="24"/>
          <w:lang w:eastAsia="zh-CN"/>
        </w:rPr>
        <w:t>台</w:t>
      </w:r>
      <w:r>
        <w:rPr>
          <w:rFonts w:hint="eastAsia" w:ascii="仿宋" w:hAnsi="仿宋" w:eastAsia="仿宋" w:cs="仿宋"/>
          <w:b/>
          <w:bCs/>
          <w:sz w:val="24"/>
          <w:szCs w:val="24"/>
        </w:rPr>
        <w:t>　</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both"/>
        <w:textAlignment w:val="auto"/>
        <w:rPr>
          <w:rFonts w:hint="eastAsia" w:ascii="仿宋" w:hAnsi="仿宋" w:eastAsia="仿宋" w:cs="仿宋"/>
          <w:b/>
          <w:bCs/>
          <w:sz w:val="24"/>
          <w:szCs w:val="24"/>
        </w:rPr>
      </w:pPr>
      <w:r>
        <w:rPr>
          <w:rFonts w:hint="eastAsia" w:ascii="仿宋" w:hAnsi="仿宋" w:eastAsia="仿宋" w:cs="仿宋"/>
          <w:b/>
          <w:bCs/>
          <w:sz w:val="24"/>
          <w:szCs w:val="24"/>
        </w:rPr>
        <w:t>三、技术参数和要求：</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1、变频电脉冲输出：连续波、疏密波、断续波</w:t>
      </w:r>
      <w:r>
        <w:rPr>
          <w:rFonts w:hint="eastAsia" w:ascii="仿宋" w:hAnsi="仿宋" w:eastAsia="仿宋" w:cs="仿宋"/>
          <w:sz w:val="24"/>
          <w:szCs w:val="24"/>
          <w:lang w:eastAsia="zh-CN"/>
        </w:rPr>
        <w:t>等</w:t>
      </w:r>
      <w:r>
        <w:rPr>
          <w:rFonts w:hint="eastAsia" w:ascii="仿宋" w:hAnsi="仿宋" w:eastAsia="仿宋" w:cs="仿宋"/>
          <w:sz w:val="24"/>
          <w:szCs w:val="24"/>
        </w:rPr>
        <w:t>。</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2、电脉冲输出可连续、均匀调节，脉冲输出幅度：32V±30%。</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3、电脉冲频率：连续波频率调节范围2.5Hz-20Hz；疏密波的疏波频率5.0Hz；密波频率20.0Hz；断续波频率 50.0Hz。</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4、电脉冲宽度：0.15ms，误差</w:t>
      </w:r>
      <w:r>
        <w:rPr>
          <w:rFonts w:hint="eastAsia" w:ascii="仿宋" w:hAnsi="仿宋" w:eastAsia="仿宋" w:cs="仿宋"/>
          <w:sz w:val="24"/>
          <w:szCs w:val="24"/>
          <w:lang w:eastAsia="zh-CN"/>
        </w:rPr>
        <w:t>≤</w:t>
      </w:r>
      <w:r>
        <w:rPr>
          <w:rFonts w:hint="eastAsia" w:ascii="仿宋" w:hAnsi="仿宋" w:eastAsia="仿宋" w:cs="仿宋"/>
          <w:sz w:val="24"/>
          <w:szCs w:val="24"/>
        </w:rPr>
        <w:t>±30%。</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5、磁振输出：工作频率：50Hz±1Hz；电 功 率：3W ~ 8W；磁感应强度：3mT ~ 8mT。</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6、磁场强度分布：由磁振器表面中心向周边递减，距磁振器周边5cm以外为0.5mT安全限值区域。</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7、治疗时间：0~99分钟倒计时预设。</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8、双通道：每通道分别有三个电刺激输出口和一个磁振输出口。</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9、采用数字频率合成技术，治疗波形不断变化，连续、断续、间续的完善结合。</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10、速度、强度全数字调节，输出波形实时显示。</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eastAsia="zh-CN"/>
        </w:rPr>
        <w:t>≥</w:t>
      </w:r>
      <w:r>
        <w:rPr>
          <w:rFonts w:hint="eastAsia" w:ascii="仿宋" w:hAnsi="仿宋" w:eastAsia="仿宋" w:cs="仿宋"/>
          <w:sz w:val="24"/>
          <w:szCs w:val="24"/>
        </w:rPr>
        <w:t>30种快捷处方预设，双通道输出，可同时治疗两名患者。</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12、</w:t>
      </w:r>
      <w:r>
        <w:rPr>
          <w:rFonts w:hint="eastAsia" w:ascii="仿宋" w:hAnsi="仿宋" w:eastAsia="仿宋" w:cs="仿宋"/>
          <w:sz w:val="24"/>
          <w:szCs w:val="24"/>
          <w:lang w:eastAsia="zh-CN"/>
        </w:rPr>
        <w:t>≥</w:t>
      </w:r>
      <w:r>
        <w:rPr>
          <w:rFonts w:hint="eastAsia" w:ascii="仿宋" w:hAnsi="仿宋" w:eastAsia="仿宋" w:cs="仿宋"/>
          <w:sz w:val="24"/>
          <w:szCs w:val="24"/>
        </w:rPr>
        <w:t>15</w:t>
      </w:r>
      <w:r>
        <w:rPr>
          <w:rFonts w:hint="eastAsia" w:ascii="仿宋" w:hAnsi="仿宋" w:eastAsia="仿宋" w:cs="仿宋"/>
          <w:sz w:val="24"/>
          <w:szCs w:val="24"/>
          <w:lang w:eastAsia="zh-CN"/>
        </w:rPr>
        <w:t>英</w:t>
      </w:r>
      <w:r>
        <w:rPr>
          <w:rFonts w:hint="eastAsia" w:ascii="仿宋" w:hAnsi="仿宋" w:eastAsia="仿宋" w:cs="仿宋"/>
          <w:sz w:val="24"/>
          <w:szCs w:val="24"/>
        </w:rPr>
        <w:t>寸真彩触摸屏控制面板。</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rPr>
          <w:rFonts w:hint="eastAsia" w:ascii="仿宋" w:hAnsi="仿宋" w:eastAsia="仿宋" w:cs="仿宋"/>
          <w:sz w:val="24"/>
          <w:szCs w:val="24"/>
        </w:rPr>
      </w:pPr>
      <w:r>
        <w:rPr>
          <w:rFonts w:hint="eastAsia" w:ascii="仿宋" w:hAnsi="仿宋" w:eastAsia="仿宋" w:cs="仿宋"/>
          <w:sz w:val="24"/>
          <w:szCs w:val="24"/>
        </w:rPr>
        <w:t>13、注册证适应范围应为相关肝病的辅助治疗。</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center"/>
        <w:rPr>
          <w:rFonts w:hint="eastAsia" w:ascii="仿宋" w:hAnsi="仿宋" w:eastAsia="仿宋" w:cs="仿宋"/>
          <w:b/>
          <w:bCs/>
          <w:kern w:val="0"/>
          <w:sz w:val="24"/>
          <w:szCs w:val="24"/>
        </w:rPr>
      </w:pPr>
      <w:r>
        <w:rPr>
          <w:rFonts w:hint="eastAsia" w:ascii="仿宋" w:hAnsi="仿宋" w:eastAsia="仿宋" w:cs="仿宋"/>
          <w:b/>
          <w:bCs/>
          <w:kern w:val="0"/>
          <w:sz w:val="24"/>
          <w:szCs w:val="24"/>
        </w:rPr>
        <w:t>第二十一、超声引导可视人流系统</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2" w:firstLineChars="200"/>
        <w:jc w:val="both"/>
        <w:textAlignment w:val="center"/>
        <w:rPr>
          <w:rFonts w:hint="eastAsia" w:ascii="仿宋" w:hAnsi="仿宋" w:eastAsia="仿宋" w:cs="仿宋"/>
          <w:b/>
          <w:bCs w:val="0"/>
          <w:color w:val="000000"/>
          <w:kern w:val="0"/>
          <w:sz w:val="24"/>
          <w:szCs w:val="24"/>
          <w:lang w:bidi="ar"/>
        </w:rPr>
      </w:pPr>
      <w:r>
        <w:rPr>
          <w:rFonts w:hint="eastAsia" w:ascii="仿宋" w:hAnsi="仿宋" w:eastAsia="仿宋" w:cs="仿宋"/>
          <w:b/>
          <w:bCs w:val="0"/>
          <w:color w:val="000000"/>
          <w:kern w:val="0"/>
          <w:sz w:val="24"/>
          <w:szCs w:val="24"/>
          <w:lang w:bidi="ar"/>
        </w:rPr>
        <w:t>一、设备名称：超声引导可视人流系统</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2" w:firstLineChars="200"/>
        <w:jc w:val="both"/>
        <w:textAlignment w:val="center"/>
        <w:rPr>
          <w:rFonts w:hint="eastAsia" w:ascii="仿宋" w:hAnsi="仿宋" w:eastAsia="仿宋" w:cs="仿宋"/>
          <w:b/>
          <w:bCs w:val="0"/>
          <w:color w:val="000000"/>
          <w:kern w:val="0"/>
          <w:sz w:val="24"/>
          <w:szCs w:val="24"/>
          <w:lang w:bidi="ar"/>
        </w:rPr>
      </w:pPr>
      <w:r>
        <w:rPr>
          <w:rFonts w:hint="eastAsia" w:ascii="仿宋" w:hAnsi="仿宋" w:eastAsia="仿宋" w:cs="仿宋"/>
          <w:b/>
          <w:bCs w:val="0"/>
          <w:color w:val="000000"/>
          <w:kern w:val="0"/>
          <w:sz w:val="24"/>
          <w:szCs w:val="24"/>
          <w:lang w:bidi="ar"/>
        </w:rPr>
        <w:t>二、设备数量：</w:t>
      </w:r>
      <w:r>
        <w:rPr>
          <w:rFonts w:hint="eastAsia" w:ascii="仿宋" w:hAnsi="仿宋" w:eastAsia="仿宋" w:cs="仿宋"/>
          <w:b/>
          <w:bCs w:val="0"/>
          <w:color w:val="000000"/>
          <w:kern w:val="0"/>
          <w:sz w:val="24"/>
          <w:szCs w:val="24"/>
          <w:lang w:val="en-US" w:eastAsia="zh-CN" w:bidi="ar"/>
        </w:rPr>
        <w:t>1</w:t>
      </w:r>
      <w:r>
        <w:rPr>
          <w:rFonts w:hint="eastAsia" w:ascii="仿宋" w:hAnsi="仿宋" w:eastAsia="仿宋" w:cs="仿宋"/>
          <w:b/>
          <w:bCs w:val="0"/>
          <w:color w:val="000000"/>
          <w:kern w:val="0"/>
          <w:sz w:val="24"/>
          <w:szCs w:val="24"/>
          <w:lang w:eastAsia="zh-CN" w:bidi="ar"/>
        </w:rPr>
        <w:t>套</w:t>
      </w:r>
      <w:r>
        <w:rPr>
          <w:rFonts w:hint="eastAsia" w:ascii="仿宋" w:hAnsi="仿宋" w:eastAsia="仿宋" w:cs="仿宋"/>
          <w:b/>
          <w:bCs w:val="0"/>
          <w:color w:val="000000"/>
          <w:kern w:val="0"/>
          <w:sz w:val="24"/>
          <w:szCs w:val="24"/>
          <w:lang w:bidi="ar"/>
        </w:rPr>
        <w:t>　</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2" w:firstLineChars="200"/>
        <w:jc w:val="both"/>
        <w:textAlignment w:val="center"/>
        <w:rPr>
          <w:rFonts w:hint="eastAsia" w:ascii="仿宋" w:hAnsi="仿宋" w:eastAsia="仿宋" w:cs="仿宋"/>
          <w:b/>
          <w:bCs w:val="0"/>
          <w:color w:val="000000"/>
          <w:kern w:val="0"/>
          <w:sz w:val="24"/>
          <w:szCs w:val="24"/>
          <w:lang w:bidi="ar"/>
        </w:rPr>
      </w:pPr>
      <w:r>
        <w:rPr>
          <w:rFonts w:hint="eastAsia" w:ascii="仿宋" w:hAnsi="仿宋" w:eastAsia="仿宋" w:cs="仿宋"/>
          <w:b/>
          <w:bCs w:val="0"/>
          <w:color w:val="000000"/>
          <w:kern w:val="0"/>
          <w:sz w:val="24"/>
          <w:szCs w:val="24"/>
          <w:lang w:bidi="ar"/>
        </w:rPr>
        <w:t>三、技术参数和要求：</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1..结构型式：推车式。</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2.用途：适用于超声实时监控下施行人工流产、取放宫内节育器妇产科手术。</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bookmarkStart w:id="361" w:name="_Hlk108077492"/>
      <w:r>
        <w:rPr>
          <w:rFonts w:hint="eastAsia" w:ascii="仿宋" w:hAnsi="仿宋" w:eastAsia="仿宋" w:cs="仿宋"/>
          <w:bCs/>
          <w:color w:val="000000"/>
          <w:sz w:val="24"/>
          <w:szCs w:val="24"/>
        </w:rPr>
        <w:t>3.</w:t>
      </w:r>
      <w:bookmarkEnd w:id="361"/>
      <w:r>
        <w:rPr>
          <w:rFonts w:hint="eastAsia" w:ascii="仿宋" w:hAnsi="仿宋" w:eastAsia="仿宋" w:cs="仿宋"/>
          <w:bCs/>
          <w:color w:val="000000"/>
          <w:kern w:val="0"/>
          <w:sz w:val="24"/>
          <w:szCs w:val="24"/>
          <w:lang w:bidi="ar"/>
        </w:rPr>
        <w:t>扩阴器特点：</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3.1在经阴道妇科手术术中引导时仅需使用下页固定专用扩阴器。</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3.2探头窥器采用铰链旋紧式固定，术中通过摆动窥器即可调节探头扫查方向。</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3.3部分窥器下页由探头代替，探头既有代替扩阴器下页扩张阴道的作用也有超声探头扫查子宫的作用。</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4.主要规格</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4.1系统概述</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4.1.1主机操作系统：Windows10操作系统。</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kern w:val="0"/>
          <w:sz w:val="24"/>
          <w:szCs w:val="24"/>
          <w:lang w:bidi="ar"/>
        </w:rPr>
      </w:pPr>
      <w:r>
        <w:rPr>
          <w:rFonts w:hint="eastAsia" w:ascii="仿宋" w:hAnsi="仿宋" w:eastAsia="仿宋" w:cs="仿宋"/>
          <w:bCs/>
          <w:color w:val="000000"/>
          <w:kern w:val="0"/>
          <w:sz w:val="24"/>
          <w:szCs w:val="24"/>
          <w:lang w:bidi="ar"/>
        </w:rPr>
        <w:t>4.1.2显示器≥21.5英寸高清晰度彩色液晶显示器，逐行扫描，无闪烁、可旋转。</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kern w:val="0"/>
          <w:sz w:val="24"/>
          <w:szCs w:val="24"/>
          <w:lang w:bidi="ar"/>
        </w:rPr>
      </w:pPr>
      <w:r>
        <w:rPr>
          <w:rFonts w:hint="eastAsia" w:ascii="仿宋" w:hAnsi="仿宋" w:eastAsia="仿宋" w:cs="仿宋"/>
          <w:bCs/>
          <w:color w:val="000000"/>
          <w:kern w:val="0"/>
          <w:sz w:val="24"/>
          <w:szCs w:val="24"/>
          <w:lang w:bidi="ar"/>
        </w:rPr>
        <w:t>4.1.3主机内置探头接口≥3个，探头接口外形完全一致，所配探头可自由连接至任意接口。</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4.1.4具备组织谐波成像技术（支持所有探头）。</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4.1.5具备梯形成像功能。</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4.1.6具备一键智能优化（支持二维、彩色、频谱模式）。</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4.1.7预设条件：针对不同的检查，预置最佳化图像的检查条件。</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4.2探头（超宽带变频，彩色、二维均可变频）：</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eastAsia="zh-CN" w:bidi="ar"/>
        </w:rPr>
        <w:t>★</w:t>
      </w:r>
      <w:r>
        <w:rPr>
          <w:rFonts w:hint="eastAsia" w:ascii="仿宋" w:hAnsi="仿宋" w:eastAsia="仿宋" w:cs="仿宋"/>
          <w:bCs/>
          <w:color w:val="000000"/>
          <w:kern w:val="0"/>
          <w:sz w:val="24"/>
          <w:szCs w:val="24"/>
          <w:lang w:bidi="ar"/>
        </w:rPr>
        <w:t>4.2.1</w:t>
      </w:r>
      <w:r>
        <w:rPr>
          <w:rFonts w:hint="eastAsia" w:ascii="仿宋" w:hAnsi="仿宋" w:eastAsia="仿宋" w:cs="仿宋"/>
          <w:bCs/>
          <w:color w:val="000000"/>
          <w:sz w:val="24"/>
          <w:szCs w:val="24"/>
        </w:rPr>
        <w:tab/>
      </w:r>
      <w:bookmarkStart w:id="362" w:name="_Hlk108076580"/>
      <w:r>
        <w:rPr>
          <w:rFonts w:hint="eastAsia" w:ascii="仿宋" w:hAnsi="仿宋" w:eastAsia="仿宋" w:cs="仿宋"/>
          <w:bCs/>
          <w:color w:val="000000"/>
          <w:kern w:val="0"/>
          <w:sz w:val="24"/>
          <w:szCs w:val="24"/>
          <w:lang w:bidi="ar"/>
        </w:rPr>
        <w:t>宽频凸阵妇科术中探头</w:t>
      </w:r>
      <w:bookmarkEnd w:id="362"/>
      <w:r>
        <w:rPr>
          <w:rFonts w:hint="eastAsia" w:ascii="仿宋" w:hAnsi="仿宋" w:eastAsia="仿宋" w:cs="仿宋"/>
          <w:bCs/>
          <w:color w:val="000000"/>
          <w:kern w:val="0"/>
          <w:sz w:val="24"/>
          <w:szCs w:val="24"/>
          <w:lang w:bidi="ar"/>
        </w:rPr>
        <w:t>：4.5-9.0MHz，四段变频，扫查角度：≥130°，阵元数≥128。</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4.2.2凸阵探头：2.5-5.0MHz，</w:t>
      </w:r>
      <w:r>
        <w:rPr>
          <w:rFonts w:hint="eastAsia" w:ascii="仿宋" w:hAnsi="仿宋" w:eastAsia="仿宋" w:cs="仿宋"/>
          <w:bCs/>
          <w:color w:val="000000"/>
          <w:kern w:val="0"/>
          <w:sz w:val="24"/>
          <w:szCs w:val="24"/>
          <w:lang w:eastAsia="zh-CN" w:bidi="ar"/>
        </w:rPr>
        <w:t>≥</w:t>
      </w:r>
      <w:r>
        <w:rPr>
          <w:rFonts w:hint="eastAsia" w:ascii="仿宋" w:hAnsi="仿宋" w:eastAsia="仿宋" w:cs="仿宋"/>
          <w:bCs/>
          <w:color w:val="000000"/>
          <w:kern w:val="0"/>
          <w:sz w:val="24"/>
          <w:szCs w:val="24"/>
          <w:lang w:bidi="ar"/>
        </w:rPr>
        <w:t>六段变频。</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4.3.3动态范围：20-280dB ，</w:t>
      </w:r>
      <w:r>
        <w:rPr>
          <w:rFonts w:hint="eastAsia" w:ascii="仿宋" w:hAnsi="仿宋" w:eastAsia="仿宋" w:cs="仿宋"/>
          <w:bCs/>
          <w:color w:val="000000"/>
          <w:kern w:val="0"/>
          <w:sz w:val="24"/>
          <w:szCs w:val="24"/>
          <w:lang w:eastAsia="zh-CN" w:bidi="ar"/>
        </w:rPr>
        <w:t>≥</w:t>
      </w:r>
      <w:r>
        <w:rPr>
          <w:rFonts w:hint="eastAsia" w:ascii="仿宋" w:hAnsi="仿宋" w:eastAsia="仿宋" w:cs="仿宋"/>
          <w:bCs/>
          <w:color w:val="000000"/>
          <w:kern w:val="0"/>
          <w:sz w:val="24"/>
          <w:szCs w:val="24"/>
          <w:lang w:bidi="ar"/>
        </w:rPr>
        <w:t xml:space="preserve"> 级可视可调。</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4.3最大焦点数：</w:t>
      </w:r>
      <w:r>
        <w:rPr>
          <w:rFonts w:hint="eastAsia" w:ascii="仿宋" w:hAnsi="仿宋" w:eastAsia="仿宋" w:cs="仿宋"/>
          <w:bCs/>
          <w:color w:val="000000"/>
          <w:kern w:val="0"/>
          <w:sz w:val="24"/>
          <w:szCs w:val="24"/>
          <w:lang w:eastAsia="zh-CN" w:bidi="ar"/>
        </w:rPr>
        <w:t>≥</w:t>
      </w:r>
      <w:r>
        <w:rPr>
          <w:rFonts w:hint="eastAsia" w:ascii="仿宋" w:hAnsi="仿宋" w:eastAsia="仿宋" w:cs="仿宋"/>
          <w:bCs/>
          <w:color w:val="000000"/>
          <w:kern w:val="0"/>
          <w:sz w:val="24"/>
          <w:szCs w:val="24"/>
          <w:lang w:bidi="ar"/>
        </w:rPr>
        <w:t>6 个焦点，可全程移动。</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4.4彩色偏转：具备</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4.5彩色多普勒频率≥4段变频，可视可调。</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4.6采样容积角度校正：-80°～80°可调。</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eastAsia="zh-CN" w:bidi="ar"/>
        </w:rPr>
        <w:t>★</w:t>
      </w:r>
      <w:r>
        <w:rPr>
          <w:rFonts w:hint="eastAsia" w:ascii="仿宋" w:hAnsi="仿宋" w:eastAsia="仿宋" w:cs="仿宋"/>
          <w:bCs/>
          <w:color w:val="000000"/>
          <w:kern w:val="0"/>
          <w:sz w:val="24"/>
          <w:szCs w:val="24"/>
          <w:lang w:bidi="ar"/>
        </w:rPr>
        <w:t>4.7频谱包络功能：实时自动频谱包络、手动频谱包络等多种模式可选，系统自动分析显示：PSV、EDV、RI、PI、S/D、ACC、HR 等各种数据。</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4.8测量及分析功能（B模式、C模式、PW模式、M模式）：</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4.9一般测量距离、面积、角度、时间、斜率、心率、速度、加速度、颈部透明层、频谱描迹、阻力指数/搏动指数等。</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4.10妇科测量：子宫、宫颈、卵巢、卵泡等的测量和记录。</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4.11专业软件包：腹部、产科、泌尿科、甲状腺、外周血管等。</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4.12图文管理系统：</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4.12.1图片保存格式：BMP、 DICOM 、JPEG、DEFAUIT，支持静态图像后处理、测量。</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4.12.2主机内置≥256G+1T 固态硬盘，启动快速、稳定，支持光盘刻录。</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4.12.3报告类型≥15种</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4.13接口：4个USB接口、1个Video、1个S-Video、1个DVI、1个HDMI、1个RJ-45。</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4.14彩超可视人流诊疗系统主机1 台。</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color w:val="000000"/>
          <w:sz w:val="24"/>
          <w:szCs w:val="24"/>
        </w:rPr>
      </w:pPr>
      <w:r>
        <w:rPr>
          <w:rFonts w:hint="eastAsia" w:ascii="仿宋" w:hAnsi="仿宋" w:eastAsia="仿宋" w:cs="仿宋"/>
          <w:bCs/>
          <w:color w:val="000000"/>
          <w:kern w:val="0"/>
          <w:sz w:val="24"/>
          <w:szCs w:val="24"/>
          <w:lang w:bidi="ar"/>
        </w:rPr>
        <w:t>4.15宽频凸阵妇科术中探头1支、凸阵探头1支、配套专用扩阴器 10个、分立式电动流产吸引器1台。</w:t>
      </w:r>
    </w:p>
    <w:p>
      <w:pPr>
        <w:keepNext w:val="0"/>
        <w:keepLines w:val="0"/>
        <w:pageBreakBefore w:val="0"/>
        <w:widowControl/>
        <w:tabs>
          <w:tab w:val="left" w:pos="776"/>
        </w:tabs>
        <w:kinsoku/>
        <w:wordWrap/>
        <w:overflowPunct/>
        <w:topLinePunct w:val="0"/>
        <w:autoSpaceDE/>
        <w:autoSpaceDN/>
        <w:bidi w:val="0"/>
        <w:adjustRightInd/>
        <w:snapToGrid/>
        <w:spacing w:line="360" w:lineRule="auto"/>
        <w:ind w:left="0" w:firstLine="480" w:firstLineChars="200"/>
        <w:jc w:val="both"/>
        <w:textAlignment w:val="center"/>
        <w:rPr>
          <w:rFonts w:hint="eastAsia" w:ascii="仿宋" w:hAnsi="仿宋" w:eastAsia="仿宋" w:cs="仿宋"/>
          <w:bCs/>
          <w:sz w:val="24"/>
          <w:szCs w:val="24"/>
        </w:rPr>
      </w:pPr>
      <w:r>
        <w:rPr>
          <w:rFonts w:hint="eastAsia" w:ascii="仿宋" w:hAnsi="仿宋" w:eastAsia="仿宋" w:cs="仿宋"/>
          <w:bCs/>
          <w:color w:val="000000"/>
          <w:kern w:val="0"/>
          <w:sz w:val="24"/>
          <w:szCs w:val="24"/>
          <w:lang w:bidi="ar"/>
        </w:rPr>
        <w:t>4.16选配：高频探头、腔体探头、脚踏开关。</w:t>
      </w:r>
    </w:p>
    <w:p>
      <w:pPr>
        <w:keepNext w:val="0"/>
        <w:keepLines w:val="0"/>
        <w:pageBreakBefore w:val="0"/>
        <w:widowControl/>
        <w:kinsoku/>
        <w:wordWrap/>
        <w:overflowPunct/>
        <w:topLinePunct w:val="0"/>
        <w:autoSpaceDE/>
        <w:autoSpaceDN/>
        <w:bidi w:val="0"/>
        <w:adjustRightInd/>
        <w:snapToGrid/>
        <w:spacing w:line="480" w:lineRule="auto"/>
        <w:ind w:left="0" w:firstLine="0" w:firstLineChars="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第二十二</w:t>
      </w: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rPr>
        <w:t>冷光源检查灯</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一、设备名称：冷光源检查灯</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w:t>
      </w:r>
      <w:r>
        <w:rPr>
          <w:rFonts w:hint="eastAsia" w:ascii="仿宋" w:hAnsi="仿宋" w:eastAsia="仿宋" w:cs="仿宋"/>
          <w:b/>
          <w:bCs/>
          <w:kern w:val="0"/>
          <w:sz w:val="24"/>
          <w:szCs w:val="24"/>
          <w:lang w:val="en-US" w:eastAsia="zh-CN"/>
        </w:rPr>
        <w:t>3</w:t>
      </w:r>
      <w:r>
        <w:rPr>
          <w:rFonts w:hint="eastAsia" w:ascii="仿宋" w:hAnsi="仿宋" w:eastAsia="仿宋" w:cs="仿宋"/>
          <w:b/>
          <w:bCs/>
          <w:kern w:val="0"/>
          <w:sz w:val="24"/>
          <w:szCs w:val="24"/>
          <w:lang w:eastAsia="zh-CN"/>
        </w:rPr>
        <w:t>套</w:t>
      </w:r>
      <w:r>
        <w:rPr>
          <w:rFonts w:hint="eastAsia" w:ascii="仿宋" w:hAnsi="仿宋" w:eastAsia="仿宋" w:cs="仿宋"/>
          <w:b/>
          <w:bCs/>
          <w:kern w:val="0"/>
          <w:sz w:val="24"/>
          <w:szCs w:val="24"/>
        </w:rPr>
        <w:t>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2" w:firstLineChars="200"/>
        <w:jc w:val="both"/>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三、技术参数和要求：</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 xml:space="preserve">灯光照度：≥25000LX(距灯头1m处)，亮度可调 </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光源：DC24V 3.2W  LED+透镜=8组</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输入功率：</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48VA</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灯头高低调节范围：1200~1600mm</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灯头前后角度调节范围：</w:t>
      </w:r>
      <w:r>
        <w:rPr>
          <w:rFonts w:hint="eastAsia" w:ascii="仿宋" w:hAnsi="仿宋" w:eastAsia="仿宋" w:cs="仿宋"/>
          <w:bCs/>
          <w:color w:val="000000"/>
          <w:kern w:val="0"/>
          <w:sz w:val="24"/>
          <w:szCs w:val="24"/>
          <w:lang w:eastAsia="zh-CN" w:bidi="ar"/>
        </w:rPr>
        <w:t>≥</w:t>
      </w:r>
      <w:r>
        <w:rPr>
          <w:rFonts w:hint="eastAsia" w:ascii="仿宋" w:hAnsi="仿宋" w:eastAsia="仿宋" w:cs="仿宋"/>
          <w:kern w:val="0"/>
          <w:sz w:val="24"/>
          <w:szCs w:val="24"/>
        </w:rPr>
        <w:t>75度</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灯头左右角度调节范围：</w:t>
      </w:r>
      <w:r>
        <w:rPr>
          <w:rFonts w:hint="eastAsia" w:ascii="仿宋" w:hAnsi="仿宋" w:eastAsia="仿宋" w:cs="仿宋"/>
          <w:bCs/>
          <w:color w:val="000000"/>
          <w:kern w:val="0"/>
          <w:sz w:val="24"/>
          <w:szCs w:val="24"/>
          <w:lang w:eastAsia="zh-CN" w:bidi="ar"/>
        </w:rPr>
        <w:t>≥</w:t>
      </w:r>
      <w:r>
        <w:rPr>
          <w:rFonts w:hint="eastAsia" w:ascii="仿宋" w:hAnsi="仿宋" w:eastAsia="仿宋" w:cs="仿宋"/>
          <w:kern w:val="0"/>
          <w:sz w:val="24"/>
          <w:szCs w:val="24"/>
        </w:rPr>
        <w:t>75度</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色温：5000±500K</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显色指数：Ra≥90</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kern w:val="0"/>
          <w:sz w:val="24"/>
          <w:szCs w:val="24"/>
        </w:rPr>
      </w:pPr>
      <w:r>
        <w:rPr>
          <w:rFonts w:hint="eastAsia" w:ascii="仿宋" w:hAnsi="仿宋" w:eastAsia="仿宋" w:cs="仿宋"/>
          <w:kern w:val="0"/>
          <w:sz w:val="24"/>
          <w:szCs w:val="24"/>
        </w:rPr>
        <w:t>最大辐照度：</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25W/㎡</w:t>
      </w:r>
    </w:p>
    <w:p>
      <w:pPr>
        <w:bidi w:val="0"/>
        <w:jc w:val="center"/>
        <w:rPr>
          <w:rFonts w:hint="eastAsia" w:ascii="仿宋" w:hAnsi="仿宋" w:eastAsia="仿宋" w:cs="仿宋"/>
          <w:b/>
          <w:bCs/>
          <w:sz w:val="24"/>
          <w:szCs w:val="24"/>
          <w:lang w:eastAsia="zh-CN"/>
        </w:rPr>
      </w:pPr>
      <w:r>
        <w:rPr>
          <w:rFonts w:hint="eastAsia" w:ascii="仿宋" w:hAnsi="仿宋" w:eastAsia="仿宋" w:cs="仿宋"/>
          <w:b/>
          <w:bCs/>
          <w:sz w:val="24"/>
          <w:szCs w:val="24"/>
        </w:rPr>
        <w:t xml:space="preserve">第三部分   </w:t>
      </w:r>
      <w:r>
        <w:rPr>
          <w:rFonts w:hint="eastAsia" w:ascii="仿宋" w:hAnsi="仿宋" w:eastAsia="仿宋" w:cs="仿宋"/>
          <w:b/>
          <w:bCs/>
          <w:sz w:val="24"/>
          <w:szCs w:val="24"/>
          <w:lang w:eastAsia="zh-CN"/>
        </w:rPr>
        <w:t>售后服务</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1、现场免费培训操作人员，达到我院工作人员独立使用操作熟练。</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2、负责设备的安装调试并正常运行。</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3、如设备出现故障, 2小时内响应，12小时到达用户现场，解决问题。</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4、整机质保三年。</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5、厂家工程师每季度巡检设备一次。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6、开机正常率≥98%</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以全年365天计）</w:t>
      </w:r>
      <w:r>
        <w:rPr>
          <w:rFonts w:hint="eastAsia" w:ascii="仿宋" w:hAnsi="仿宋" w:eastAsia="仿宋" w:cs="仿宋"/>
          <w:sz w:val="24"/>
          <w:szCs w:val="24"/>
        </w:rPr>
        <w:t>。</w:t>
      </w:r>
    </w:p>
    <w:p>
      <w:pPr>
        <w:pStyle w:val="82"/>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rPr>
      </w:pP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default" w:ascii="仿宋" w:hAnsi="仿宋" w:eastAsia="仿宋" w:cs="仿宋"/>
          <w:sz w:val="24"/>
          <w:szCs w:val="24"/>
          <w:lang w:val="en-US" w:eastAsia="zh-CN"/>
        </w:rPr>
      </w:pPr>
    </w:p>
    <w:p>
      <w:pPr>
        <w:keepNext w:val="0"/>
        <w:keepLines w:val="0"/>
        <w:pageBreakBefore w:val="0"/>
        <w:widowControl/>
        <w:tabs>
          <w:tab w:val="left" w:pos="1680"/>
        </w:tabs>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pPr>
        <w:pStyle w:val="2"/>
        <w:rPr>
          <w:rFonts w:hint="eastAsia" w:ascii="仿宋" w:eastAsia="仿宋" w:cs="仿宋"/>
          <w:b/>
          <w:kern w:val="2"/>
          <w:sz w:val="32"/>
          <w:szCs w:val="32"/>
          <w:highlight w:val="none"/>
        </w:rPr>
      </w:pPr>
      <w:bookmarkStart w:id="363" w:name="_Toc12634"/>
      <w:r>
        <w:rPr>
          <w:rFonts w:hint="eastAsia" w:ascii="仿宋" w:eastAsia="仿宋" w:cs="仿宋"/>
          <w:b/>
          <w:kern w:val="2"/>
          <w:sz w:val="32"/>
          <w:szCs w:val="32"/>
          <w:highlight w:val="none"/>
          <w:lang w:val="zh-CN"/>
        </w:rPr>
        <w:t>第四</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357"/>
      <w:bookmarkStart w:id="364" w:name="_Toc100219616"/>
      <w:r>
        <w:rPr>
          <w:rFonts w:hint="eastAsia" w:ascii="仿宋" w:eastAsia="仿宋" w:cs="仿宋"/>
          <w:b/>
          <w:kern w:val="2"/>
          <w:sz w:val="32"/>
          <w:szCs w:val="32"/>
          <w:highlight w:val="none"/>
          <w:lang w:val="zh-CN"/>
        </w:rPr>
        <w:t>合同主要条款及格式</w:t>
      </w:r>
      <w:bookmarkEnd w:id="363"/>
    </w:p>
    <w:p>
      <w:pPr>
        <w:rPr>
          <w:rFonts w:hint="eastAsia" w:ascii="黑体" w:eastAsia="黑体"/>
          <w:b/>
          <w:sz w:val="32"/>
          <w:szCs w:val="32"/>
        </w:rPr>
      </w:pP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政府采购项目</w:t>
      </w:r>
    </w:p>
    <w:p>
      <w:pPr>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项目编号：</w:t>
      </w:r>
      <w:r>
        <w:rPr>
          <w:rFonts w:hint="eastAsia" w:ascii="仿宋" w:hAnsi="仿宋" w:eastAsia="仿宋" w:cs="仿宋"/>
          <w:b/>
          <w:sz w:val="32"/>
          <w:szCs w:val="32"/>
          <w:lang w:val="en-US" w:eastAsia="zh-CN"/>
        </w:rPr>
        <w:t>DX2023-245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line="720" w:lineRule="exact"/>
        <w:jc w:val="center"/>
        <w:rPr>
          <w:rFonts w:hint="eastAsia" w:ascii="仿宋" w:hAnsi="仿宋" w:eastAsia="仿宋" w:cs="仿宋"/>
          <w:b/>
          <w:sz w:val="36"/>
          <w:szCs w:val="36"/>
          <w:lang w:eastAsia="zh-CN"/>
        </w:rPr>
      </w:pPr>
      <w:r>
        <w:rPr>
          <w:rFonts w:hint="eastAsia" w:ascii="仿宋" w:hAnsi="仿宋" w:eastAsia="仿宋" w:cs="仿宋"/>
          <w:b/>
          <w:sz w:val="36"/>
          <w:szCs w:val="36"/>
        </w:rPr>
        <w:t>西安市第八医院医疗设备</w:t>
      </w:r>
      <w:r>
        <w:rPr>
          <w:rFonts w:hint="eastAsia" w:ascii="仿宋" w:hAnsi="仿宋" w:eastAsia="仿宋" w:cs="仿宋"/>
          <w:b/>
          <w:sz w:val="36"/>
          <w:szCs w:val="36"/>
          <w:lang w:eastAsia="zh-CN"/>
        </w:rPr>
        <w:t>（包</w:t>
      </w:r>
      <w:r>
        <w:rPr>
          <w:rFonts w:hint="eastAsia" w:ascii="仿宋" w:hAnsi="仿宋" w:eastAsia="仿宋" w:cs="仿宋"/>
          <w:b/>
          <w:sz w:val="36"/>
          <w:szCs w:val="36"/>
          <w:lang w:val="en-US" w:eastAsia="zh-CN"/>
        </w:rPr>
        <w:t>6</w:t>
      </w:r>
      <w:r>
        <w:rPr>
          <w:rFonts w:hint="eastAsia" w:ascii="仿宋" w:hAnsi="仿宋" w:eastAsia="仿宋" w:cs="仿宋"/>
          <w:b/>
          <w:sz w:val="36"/>
          <w:szCs w:val="36"/>
          <w:lang w:eastAsia="zh-CN"/>
        </w:rPr>
        <w:t>）</w:t>
      </w:r>
    </w:p>
    <w:p>
      <w:pPr>
        <w:spacing w:line="720" w:lineRule="exact"/>
        <w:jc w:val="center"/>
        <w:rPr>
          <w:rFonts w:hint="eastAsia" w:ascii="仿宋" w:hAnsi="仿宋" w:eastAsia="仿宋" w:cs="仿宋"/>
          <w:b/>
          <w:sz w:val="36"/>
          <w:szCs w:val="36"/>
        </w:rPr>
      </w:pPr>
      <w:r>
        <w:rPr>
          <w:rFonts w:hint="eastAsia" w:ascii="仿宋" w:hAnsi="仿宋" w:eastAsia="仿宋" w:cs="仿宋"/>
          <w:b/>
          <w:sz w:val="36"/>
          <w:szCs w:val="36"/>
        </w:rPr>
        <w:t>供 货 合 同</w:t>
      </w:r>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乙  方：XXXXX</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120" w:firstLineChars="400"/>
        <w:jc w:val="both"/>
        <w:textAlignment w:val="auto"/>
        <w:rPr>
          <w:rFonts w:hint="eastAsia" w:ascii="仿宋" w:hAnsi="仿宋" w:eastAsia="仿宋" w:cs="仿宋"/>
          <w:color w:val="333333"/>
          <w:sz w:val="28"/>
          <w:szCs w:val="28"/>
        </w:rPr>
      </w:pPr>
      <w:r>
        <w:rPr>
          <w:rFonts w:hint="eastAsia" w:ascii="仿宋" w:hAnsi="仿宋" w:eastAsia="仿宋" w:cs="仿宋"/>
          <w:sz w:val="28"/>
          <w:szCs w:val="28"/>
        </w:rPr>
        <w:t>确认方：XXXXX</w:t>
      </w:r>
    </w:p>
    <w:p>
      <w:pPr>
        <w:jc w:val="both"/>
        <w:rPr>
          <w:rFonts w:hint="eastAsia" w:ascii="仿宋" w:hAnsi="仿宋" w:eastAsia="仿宋" w:cs="仿宋"/>
          <w:sz w:val="24"/>
          <w:szCs w:val="24"/>
        </w:rPr>
      </w:pPr>
    </w:p>
    <w:p>
      <w:pPr>
        <w:jc w:val="center"/>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p>
    <w:p>
      <w:pPr>
        <w:jc w:val="center"/>
        <w:rPr>
          <w:rFonts w:hint="eastAsia" w:ascii="仿宋" w:hAnsi="仿宋" w:eastAsia="仿宋" w:cs="仿宋"/>
          <w:b/>
          <w:spacing w:val="-20"/>
          <w:sz w:val="24"/>
          <w:szCs w:val="24"/>
        </w:rPr>
      </w:pPr>
      <w:r>
        <w:rPr>
          <w:rFonts w:hint="eastAsia" w:ascii="仿宋" w:hAnsi="仿宋" w:eastAsia="仿宋" w:cs="仿宋"/>
          <w:sz w:val="28"/>
          <w:szCs w:val="28"/>
        </w:rPr>
        <w:t>中国   西安</w:t>
      </w:r>
    </w:p>
    <w:p>
      <w:pPr>
        <w:jc w:val="center"/>
        <w:rPr>
          <w:rFonts w:hint="eastAsia" w:ascii="仿宋" w:hAnsi="仿宋" w:eastAsia="仿宋" w:cs="仿宋"/>
          <w:b/>
          <w:spacing w:val="-20"/>
          <w:sz w:val="24"/>
          <w:szCs w:val="24"/>
        </w:rPr>
      </w:pPr>
    </w:p>
    <w:p>
      <w:pPr>
        <w:rPr>
          <w:rFonts w:hint="eastAsia" w:ascii="仿宋" w:hAnsi="仿宋" w:eastAsia="仿宋" w:cs="仿宋"/>
          <w:b/>
          <w:spacing w:val="-20"/>
          <w:sz w:val="24"/>
          <w:szCs w:val="24"/>
        </w:rPr>
      </w:pPr>
    </w:p>
    <w:p>
      <w:pPr>
        <w:keepNext w:val="0"/>
        <w:keepLines w:val="0"/>
        <w:pageBreakBefore/>
        <w:widowControl/>
        <w:kinsoku/>
        <w:wordWrap/>
        <w:overflowPunct/>
        <w:topLinePunct w:val="0"/>
        <w:autoSpaceDE/>
        <w:autoSpaceDN/>
        <w:bidi w:val="0"/>
        <w:adjustRightInd/>
        <w:snapToGrid/>
        <w:jc w:val="center"/>
        <w:textAlignment w:val="auto"/>
        <w:rPr>
          <w:rFonts w:hint="eastAsia" w:ascii="仿宋" w:hAnsi="仿宋" w:eastAsia="仿宋" w:cs="仿宋"/>
          <w:b/>
          <w:sz w:val="36"/>
          <w:szCs w:val="36"/>
        </w:rPr>
      </w:pPr>
      <w:r>
        <w:rPr>
          <w:rFonts w:hint="eastAsia" w:ascii="仿宋" w:hAnsi="仿宋" w:eastAsia="仿宋" w:cs="仿宋"/>
          <w:b/>
          <w:spacing w:val="-20"/>
          <w:sz w:val="36"/>
          <w:szCs w:val="36"/>
        </w:rPr>
        <w:t>供 货 合 同</w:t>
      </w:r>
    </w:p>
    <w:p>
      <w:pPr>
        <w:ind w:firstLine="480" w:firstLineChars="200"/>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  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确认方：XXXXX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西安市第八医院（以下简称甲方）所需本合同项目下的医疗设备，在西安市财政局政府采购管理处的监督管理下，由</w:t>
      </w:r>
      <w:r>
        <w:rPr>
          <w:rFonts w:hint="eastAsia" w:ascii="仿宋" w:hAnsi="仿宋" w:eastAsia="仿宋" w:cs="仿宋"/>
          <w:sz w:val="24"/>
          <w:szCs w:val="24"/>
        </w:rPr>
        <w:t>西安市第八医院委托XXXXX（</w:t>
      </w:r>
      <w:r>
        <w:rPr>
          <w:rFonts w:hint="eastAsia" w:ascii="仿宋" w:hAnsi="仿宋" w:eastAsia="仿宋" w:cs="仿宋"/>
          <w:color w:val="000000"/>
          <w:sz w:val="24"/>
          <w:szCs w:val="24"/>
        </w:rPr>
        <w:t>以下简称确认方）组</w:t>
      </w:r>
      <w:r>
        <w:rPr>
          <w:rFonts w:hint="eastAsia" w:ascii="仿宋" w:hAnsi="仿宋" w:eastAsia="仿宋" w:cs="仿宋"/>
          <w:sz w:val="24"/>
          <w:szCs w:val="24"/>
        </w:rPr>
        <w:t>织公开招标</w:t>
      </w:r>
      <w:r>
        <w:rPr>
          <w:rFonts w:hint="eastAsia" w:ascii="仿宋" w:hAnsi="仿宋" w:eastAsia="仿宋" w:cs="仿宋"/>
          <w:color w:val="000000"/>
          <w:sz w:val="24"/>
          <w:szCs w:val="24"/>
        </w:rPr>
        <w:t>，确定</w:t>
      </w:r>
      <w:r>
        <w:rPr>
          <w:rFonts w:hint="eastAsia" w:ascii="仿宋" w:hAnsi="仿宋" w:eastAsia="仿宋" w:cs="仿宋"/>
          <w:sz w:val="24"/>
          <w:szCs w:val="24"/>
        </w:rPr>
        <w:t>XXXXX</w:t>
      </w:r>
      <w:r>
        <w:rPr>
          <w:rFonts w:hint="eastAsia" w:ascii="仿宋" w:hAnsi="仿宋" w:eastAsia="仿宋" w:cs="仿宋"/>
          <w:color w:val="000000"/>
          <w:sz w:val="24"/>
          <w:szCs w:val="24"/>
        </w:rPr>
        <w:t>（以下简称乙方）为中标单位。依据《中华人民共和国政府采购法》、《中华人民共和国招标投标法》、《中华人民共和国民法典》以及招标文件、中标单位的投标文件正本和澄清表（函）、中标通知书，经甲、乙双方协商，确认方确认，达成如下条款。</w:t>
      </w:r>
    </w:p>
    <w:p>
      <w:pPr>
        <w:keepNext w:val="0"/>
        <w:keepLines w:val="0"/>
        <w:pageBreakBefore w:val="0"/>
        <w:widowControl/>
        <w:numPr>
          <w:ilvl w:val="0"/>
          <w:numId w:val="0"/>
        </w:numPr>
        <w:tabs>
          <w:tab w:val="left" w:pos="480"/>
        </w:tabs>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color w:val="000000"/>
          <w:sz w:val="24"/>
          <w:szCs w:val="24"/>
        </w:rPr>
      </w:pPr>
      <w:r>
        <w:rPr>
          <w:rFonts w:hint="eastAsia" w:ascii="仿宋" w:hAnsi="仿宋" w:eastAsia="仿宋" w:cs="仿宋"/>
          <w:b/>
          <w:sz w:val="24"/>
          <w:szCs w:val="24"/>
          <w:lang w:val="en-US" w:eastAsia="zh-CN"/>
        </w:rPr>
        <w:t>一、</w:t>
      </w:r>
      <w:r>
        <w:rPr>
          <w:rFonts w:hint="eastAsia" w:ascii="仿宋" w:hAnsi="仿宋" w:eastAsia="仿宋" w:cs="仿宋"/>
          <w:b/>
          <w:sz w:val="24"/>
          <w:szCs w:val="24"/>
        </w:rPr>
        <w:t>合同标的物内容及数量</w:t>
      </w:r>
      <w:r>
        <w:rPr>
          <w:rFonts w:hint="eastAsia" w:ascii="仿宋" w:hAnsi="仿宋" w:eastAsia="仿宋" w:cs="仿宋"/>
          <w:sz w:val="24"/>
          <w:szCs w:val="24"/>
        </w:rPr>
        <w:t>（以谈判响应文件正</w:t>
      </w:r>
      <w:r>
        <w:rPr>
          <w:rFonts w:hint="eastAsia" w:ascii="仿宋" w:hAnsi="仿宋" w:eastAsia="仿宋" w:cs="仿宋"/>
          <w:color w:val="000000"/>
          <w:sz w:val="24"/>
          <w:szCs w:val="24"/>
        </w:rPr>
        <w:t>本和澄清表〈函〉为准）</w:t>
      </w:r>
    </w:p>
    <w:tbl>
      <w:tblPr>
        <w:tblStyle w:val="36"/>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98"/>
        <w:gridCol w:w="1528"/>
        <w:gridCol w:w="1361"/>
        <w:gridCol w:w="748"/>
        <w:gridCol w:w="540"/>
        <w:gridCol w:w="1600"/>
        <w:gridCol w:w="1604"/>
        <w:gridCol w:w="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生产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厂家</w:t>
            </w: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60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单价</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1604"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金额</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16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735" w:type="dxa"/>
            <w:gridSpan w:val="9"/>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color w:val="000000"/>
                <w:kern w:val="0"/>
                <w:sz w:val="24"/>
                <w:szCs w:val="24"/>
                <w:lang w:bidi="ar"/>
              </w:rPr>
              <w:t>合计（人民币）大写</w:t>
            </w:r>
            <w:r>
              <w:rPr>
                <w:rFonts w:hint="eastAsia" w:ascii="仿宋" w:hAnsi="仿宋" w:eastAsia="仿宋" w:cs="仿宋"/>
                <w:kern w:val="0"/>
                <w:sz w:val="24"/>
                <w:szCs w:val="24"/>
                <w:lang w:bidi="ar"/>
              </w:rPr>
              <w:t>：</w:t>
            </w:r>
            <w:r>
              <w:rPr>
                <w:rFonts w:hint="eastAsia" w:ascii="仿宋" w:hAnsi="仿宋" w:eastAsia="仿宋" w:cs="仿宋"/>
                <w:color w:val="000000"/>
                <w:kern w:val="0"/>
                <w:sz w:val="24"/>
                <w:szCs w:val="24"/>
                <w:lang w:bidi="ar"/>
              </w:rPr>
              <w:t xml:space="preserve"> </w:t>
            </w:r>
            <w:r>
              <w:rPr>
                <w:rFonts w:hint="eastAsia" w:ascii="仿宋" w:hAnsi="仿宋" w:eastAsia="仿宋" w:cs="仿宋"/>
                <w:sz w:val="24"/>
                <w:szCs w:val="24"/>
              </w:rPr>
              <w:t>XXXXX元整   ￥XXXXX</w:t>
            </w:r>
            <w:r>
              <w:rPr>
                <w:rFonts w:hint="eastAsia" w:ascii="仿宋" w:hAnsi="仿宋" w:eastAsia="仿宋" w:cs="仿宋"/>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说明</w:t>
            </w:r>
          </w:p>
        </w:tc>
        <w:tc>
          <w:tcPr>
            <w:tcW w:w="8965" w:type="dxa"/>
            <w:gridSpan w:val="8"/>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bl>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乙方保证甲方在使用中标货物（服务）时，不承担任何涉及知识产权的法律诉讼、行政处罚、第三人异议主张的责任。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Cs/>
          <w:sz w:val="24"/>
          <w:szCs w:val="24"/>
        </w:rPr>
      </w:pPr>
      <w:r>
        <w:rPr>
          <w:rFonts w:hint="eastAsia" w:ascii="仿宋" w:hAnsi="仿宋" w:eastAsia="仿宋" w:cs="仿宋"/>
          <w:b/>
          <w:sz w:val="24"/>
          <w:szCs w:val="24"/>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（一）合同总价款为人</w:t>
      </w:r>
      <w:r>
        <w:rPr>
          <w:rFonts w:hint="eastAsia" w:ascii="仿宋" w:hAnsi="仿宋" w:eastAsia="仿宋" w:cs="仿宋"/>
          <w:color w:val="000000"/>
          <w:sz w:val="24"/>
          <w:szCs w:val="24"/>
        </w:rPr>
        <w:t>民币（大写</w:t>
      </w:r>
      <w:r>
        <w:rPr>
          <w:rFonts w:hint="eastAsia" w:ascii="仿宋" w:hAnsi="仿宋" w:eastAsia="仿宋" w:cs="仿宋"/>
          <w:sz w:val="24"/>
          <w:szCs w:val="24"/>
          <w:u w:val="single"/>
        </w:rPr>
        <w:t>）XXXXX元整（￥XXXXX元）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（二）合同总价包括：税费、货物费、运输费（含保险费）、安装调试费、检测验收费及其它全部费用。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（一）合同自双方签订后生效，整个货物按甲方指定地点，安装、调试、运行验收合格后，由乙方向甲方出具合同总价款10%，即人民币（大写）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）期限为三年的银行履约保函，甲方自收到发票之日起十五日内支付合同总价款的100%，即人民币（大写）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（三）结算方式：乙方持中标通知书、供货合同、符合甲方要求的发票（按合同总价值开甲方）、验收单、履约保函，到甲方办理资金结算。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sz w:val="24"/>
          <w:szCs w:val="24"/>
        </w:rPr>
      </w:pPr>
      <w:r>
        <w:rPr>
          <w:rFonts w:hint="eastAsia" w:ascii="仿宋" w:hAnsi="仿宋" w:eastAsia="仿宋" w:cs="仿宋"/>
          <w:b/>
          <w:sz w:val="24"/>
          <w:szCs w:val="24"/>
        </w:rPr>
        <w:t>四、交货条件：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（一）交货地点：甲方指定地点。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（二）交货期：</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自合同签订之日起20个日历日内完成安装、调试到位；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注：具体到货时间以甲方通知为准。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五、运输</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（一）运输由乙方负责，运杂费已包含在合同总价内，包括从货物供应地点所含的运输费、装卸费、仓储费、保险费、包装垃圾清运等全部费用。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（二）运输方式由乙方自行选择，但必须保证按期交货。乙方交货且甲方验收合格后货物损毁灭失的风险转移至甲方。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六、质量保证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（一）保证技术指标先进、质量性能可靠、进货渠道正常，配置合理，全面满足甲方要求。</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（二）符合国家有关规范要求，确保达到最佳运行状态，乙方对由于产品设计、工艺或材料的缺陷而产生的质量问题负责。</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（四）在质保期内乙方应免费实行保修、包换、包退服务。质保期后，如甲方要求，乙方应提供长期有偿优惠维修服务，并负责长期供应系统所需的的备品备件。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56" w:firstLineChars="200"/>
        <w:jc w:val="both"/>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五）自安装、调试正常运行并验收合格之日起免费保修叁年，终身维护，免费保修期内，同一主要部件出现质量问题经过两次维修后仍无法正常使用，可以更换同型号、同规格的产品，服务响应时间不超过24小时（1个日历日），对问题较大短期内暂不能解决的，为不影响甲方正常工作，乙方在15日内免费提供同型号备用配件，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七、售后服务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乙方所供货物提供以下售后服务：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pacing w:val="-6"/>
          <w:sz w:val="24"/>
          <w:szCs w:val="24"/>
        </w:rPr>
      </w:pPr>
      <w:r>
        <w:rPr>
          <w:rFonts w:hint="eastAsia" w:ascii="仿宋" w:hAnsi="仿宋" w:eastAsia="仿宋" w:cs="仿宋"/>
          <w:sz w:val="24"/>
          <w:szCs w:val="24"/>
        </w:rPr>
        <w:t>（一）整机保修时间：</w:t>
      </w:r>
      <w:r>
        <w:rPr>
          <w:rFonts w:hint="eastAsia" w:ascii="仿宋" w:hAnsi="仿宋" w:eastAsia="仿宋" w:cs="仿宋"/>
          <w:spacing w:val="-6"/>
          <w:sz w:val="24"/>
          <w:szCs w:val="24"/>
        </w:rPr>
        <w:t>叁年。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（二）质保期内：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发生质量问题，乙方自接到甲方通知后，应于24小时内派出专业的维修人员到现场进行检测维修，发生的全部费用由乙方承担，若需送回生产厂，乙方承担往返费用,若乙方在接到通知后未在24小时内派人到场进行维修，则甲方有权自主进行维修，由此产生的费用由乙方承担并赔偿甲方因此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2、定期派技术人员到现场走访，给予检查维护；保修期内，每年对设备提供一次免费保养服务。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（三）质保期结束前一个月内，乙方对所供设备进行全面测试，全面保养维护，确保正常运行。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（四）使用培训：院内机器安装后，乙方现场对甲方人员进行免费培训，保证操作人员能够正常使用。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八、技术与服务</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3、进口货物商检证明和报关单(国产设备忽略)；</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4、检验测试报告；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5</w:t>
      </w:r>
      <w:r>
        <w:rPr>
          <w:rFonts w:hint="eastAsia" w:ascii="仿宋" w:hAnsi="仿宋" w:eastAsia="仿宋" w:cs="仿宋"/>
          <w:color w:val="000000"/>
          <w:sz w:val="24"/>
          <w:szCs w:val="24"/>
        </w:rPr>
        <w:t>、其它资料。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（二）服务承诺：</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1、乙方保证甲方全年开机率在95%以上，如达不到，则乙方应赔偿甲方相应的损失；2、软件终生免费升级；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3、维修工程师：省内有固定的维修工程师；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（三）其他方面以投标文件、澄清表（函）、合同和随货物的相关文件为准。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九、验收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（一）货物到达甲方指定地点后，</w:t>
      </w:r>
      <w:r>
        <w:rPr>
          <w:rFonts w:hint="eastAsia" w:ascii="仿宋" w:hAnsi="仿宋" w:eastAsia="仿宋" w:cs="仿宋"/>
          <w:sz w:val="24"/>
          <w:szCs w:val="24"/>
        </w:rPr>
        <w:t>甲乙双方须在约定的时间和地点共同开箱检验。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甲方根据合同要求</w:t>
      </w:r>
      <w:r>
        <w:rPr>
          <w:rFonts w:hint="eastAsia" w:ascii="仿宋" w:hAnsi="仿宋" w:eastAsia="仿宋" w:cs="仿宋"/>
          <w:sz w:val="24"/>
          <w:szCs w:val="24"/>
        </w:rPr>
        <w:t>，进行外观验收，确认产地、规格、型号和数量。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（二）货物安装、调试并正常运行后，由乙方进行自检，合格后能够正常使用时书面通知甲方。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（三）甲方确认乙方的自检内容后，进行验收，验收合格后，填写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作为对货物的最终认可，验收合格不代表对产品质量完全无异议。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（四）乙方向甲方提交货物实施过程中的所有资料。以便甲方日后管理和维护。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（五）验收依据：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1、本合同及附件文本；</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2、国家相应的标准、规范；</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3</w:t>
      </w:r>
      <w:r>
        <w:rPr>
          <w:rFonts w:hint="eastAsia" w:ascii="仿宋" w:hAnsi="仿宋" w:eastAsia="仿宋" w:cs="仿宋"/>
          <w:color w:val="000000"/>
          <w:sz w:val="24"/>
          <w:szCs w:val="24"/>
        </w:rPr>
        <w:t>、招标文件、投标文件、澄清表（函）。</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上述依据互为补充，各文件约定不一致的，若无补充协议对适用规则作出约定的前提下，则以产生顺序最新的优先适用。适用时间规则仍不能确定如何适用的，以甲方意见为准。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十、违约责任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（一）按《政府采购法》、《民法典》中的相关条款执行。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（二）乙方逾期交货物的，每逾期一日，乙方应向甲方支付本合同总价款3‰的违约金，乙方逾期超过15日，甲方有权单方解除本合同，并要求乙方承担本合同总价款30%的违约金。</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本合同在履行过程中发生的争议，由甲、乙双方当事人协商解决，协商不成的按下列第（二）种方式解决：</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（一）提交西安仲裁委员会仲裁；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（二）依法向甲方所在地人民法院起诉。</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十二、合同生效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本合同一式捌份，甲方执陆份、乙方及确认方各执壹份。本合同经甲方、乙方及确认方三方签字盖章后生效，合同执行完毕后，自动失效（合同的服务承诺则长期有效）。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十三、其他事项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（一）确认方作为政府集中采购代理机构对合同进行确认。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（二）西安市财政局政府采购管理处在合同的履行期间以及履行期后，可以随时检查项目的执行情况，对采购内容、标准进行调查核实，并对发现的问题进行处理。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color w:val="000000"/>
          <w:sz w:val="24"/>
          <w:szCs w:val="24"/>
        </w:rPr>
        <w:t>招标文件、投标文件、澄清表（函）、中标通知书、合同附件</w:t>
      </w:r>
      <w:r>
        <w:rPr>
          <w:rFonts w:hint="eastAsia" w:ascii="仿宋" w:hAnsi="仿宋" w:eastAsia="仿宋" w:cs="仿宋"/>
          <w:sz w:val="24"/>
          <w:szCs w:val="24"/>
        </w:rPr>
        <w:t>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（四）合同未尽事宜，由甲、乙双方协商，可签订补充协议作为合同补充，与原合同具有同等法律效力。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（六）本合同按照中华人民共和国的现行法律进行解释。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十四、附件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1、所投产品技术指标偏离表及设备配置清单；</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2、中标通知书复印件；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3、廉洁供货承诺书。</w:t>
      </w:r>
    </w:p>
    <w:p>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（以下无正文）</w:t>
      </w:r>
    </w:p>
    <w:p>
      <w:pPr>
        <w:tabs>
          <w:tab w:val="left" w:pos="480"/>
        </w:tabs>
        <w:rPr>
          <w:rFonts w:hint="eastAsia" w:ascii="仿宋" w:hAnsi="仿宋" w:eastAsia="仿宋" w:cs="仿宋"/>
          <w:sz w:val="24"/>
          <w:szCs w:val="24"/>
        </w:rPr>
      </w:pPr>
      <w:r>
        <w:rPr>
          <w:rFonts w:hint="eastAsia" w:ascii="仿宋" w:hAnsi="仿宋" w:eastAsia="仿宋" w:cs="仿宋"/>
          <w:sz w:val="24"/>
          <w:szCs w:val="24"/>
        </w:rPr>
        <w:br w:type="page"/>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单位名称：西安市第八医院               单位名称：</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hanging="5520" w:hangingChars="2300"/>
        <w:textAlignment w:val="auto"/>
        <w:rPr>
          <w:rFonts w:hint="eastAsia" w:ascii="仿宋" w:hAnsi="仿宋" w:eastAsia="仿宋" w:cs="仿宋"/>
          <w:sz w:val="24"/>
          <w:szCs w:val="24"/>
          <w:lang w:eastAsia="zh-CN"/>
        </w:rPr>
      </w:pPr>
      <w:r>
        <w:rPr>
          <w:rFonts w:hint="eastAsia" w:ascii="仿宋" w:hAnsi="仿宋" w:eastAsia="仿宋" w:cs="仿宋"/>
          <w:sz w:val="24"/>
          <w:szCs w:val="24"/>
        </w:rPr>
        <w:t>地   址： 丈八东路2号                 地   址：</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代理人：（签字）                        代理人：（签字）</w:t>
      </w:r>
    </w:p>
    <w:p>
      <w:pPr>
        <w:keepNext w:val="0"/>
        <w:keepLines w:val="0"/>
        <w:pageBreakBefore w:val="0"/>
        <w:widowControl/>
        <w:kinsoku/>
        <w:wordWrap/>
        <w:overflowPunct/>
        <w:topLinePunct w:val="0"/>
        <w:autoSpaceDE/>
        <w:autoSpaceDN/>
        <w:bidi w:val="0"/>
        <w:adjustRightInd/>
        <w:snapToGrid/>
        <w:spacing w:line="360" w:lineRule="auto"/>
        <w:ind w:left="0" w:hanging="6000" w:hangingChars="25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联系电话：029-85262171                  开户银行：</w:t>
      </w:r>
      <w:r>
        <w:rPr>
          <w:rFonts w:hint="eastAsia" w:ascii="仿宋" w:hAnsi="仿宋" w:eastAsia="仿宋" w:cs="仿宋"/>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firstLine="4800" w:firstLineChars="20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帐  号：</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0" w:firstLineChars="20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确认方（法人公章）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w:t>
      </w:r>
      <w:r>
        <w:rPr>
          <w:rFonts w:hint="eastAsia" w:ascii="仿宋" w:hAnsi="仿宋" w:eastAsia="仿宋" w:cs="仿宋"/>
          <w:kern w:val="2"/>
          <w:sz w:val="24"/>
          <w:szCs w:val="24"/>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kern w:val="2"/>
          <w:sz w:val="24"/>
          <w:szCs w:val="24"/>
        </w:rPr>
        <w:t>地  址：</w:t>
      </w:r>
      <w:r>
        <w:rPr>
          <w:rFonts w:hint="eastAsia" w:ascii="仿宋" w:hAnsi="仿宋" w:eastAsia="仿宋" w:cs="仿宋"/>
          <w:kern w:val="2"/>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代理人：（签字）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联系</w:t>
      </w:r>
      <w:r>
        <w:rPr>
          <w:rFonts w:hint="eastAsia" w:ascii="仿宋" w:hAnsi="仿宋" w:eastAsia="仿宋" w:cs="仿宋"/>
          <w:kern w:val="2"/>
          <w:sz w:val="24"/>
          <w:szCs w:val="24"/>
        </w:rPr>
        <w:t>电话：</w:t>
      </w:r>
      <w:r>
        <w:rPr>
          <w:rFonts w:hint="eastAsia" w:ascii="仿宋" w:hAnsi="仿宋" w:eastAsia="仿宋" w:cs="仿宋"/>
          <w:kern w:val="2"/>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textAlignment w:val="auto"/>
        <w:rPr>
          <w:rFonts w:hint="eastAsia" w:ascii="仿宋" w:hAnsi="仿宋" w:eastAsia="仿宋" w:cs="仿宋"/>
          <w:highlight w:val="none"/>
          <w:lang w:val="en-US" w:eastAsia="zh-CN"/>
        </w:rPr>
        <w:sectPr>
          <w:headerReference r:id="rId7" w:type="default"/>
          <w:footerReference r:id="rId8" w:type="default"/>
          <w:pgSz w:w="11905" w:h="16838"/>
          <w:pgMar w:top="1417" w:right="1701" w:bottom="1417" w:left="1701" w:header="850" w:footer="992" w:gutter="0"/>
          <w:pgBorders>
            <w:top w:val="none" w:sz="0" w:space="0"/>
            <w:left w:val="none" w:sz="0" w:space="0"/>
            <w:bottom w:val="none" w:sz="0" w:space="0"/>
            <w:right w:val="none" w:sz="0" w:space="0"/>
          </w:pgBorders>
          <w:pgNumType w:fmt="decimal" w:start="1"/>
          <w:cols w:space="0" w:num="1"/>
          <w:rtlGutter w:val="0"/>
          <w:docGrid w:linePitch="420" w:charSpace="0"/>
        </w:sectPr>
      </w:pPr>
      <w:r>
        <w:rPr>
          <w:rFonts w:hint="eastAsia" w:ascii="仿宋" w:hAnsi="仿宋" w:eastAsia="仿宋" w:cs="仿宋"/>
          <w:sz w:val="24"/>
          <w:szCs w:val="24"/>
        </w:rPr>
        <w:t xml:space="preserve">签订日期：    年    月   日  </w:t>
      </w:r>
    </w:p>
    <w:p>
      <w:pPr>
        <w:pStyle w:val="2"/>
        <w:rPr>
          <w:rFonts w:ascii="仿宋" w:eastAsia="仿宋" w:cs="仿宋"/>
          <w:b/>
          <w:kern w:val="2"/>
          <w:sz w:val="32"/>
          <w:szCs w:val="32"/>
          <w:highlight w:val="none"/>
          <w:lang w:val="zh-CN"/>
        </w:rPr>
      </w:pPr>
      <w:bookmarkStart w:id="365" w:name="_Toc3208"/>
      <w:r>
        <w:rPr>
          <w:rFonts w:hint="eastAsia" w:ascii="仿宋" w:eastAsia="仿宋" w:cs="仿宋"/>
          <w:b/>
          <w:kern w:val="2"/>
          <w:sz w:val="32"/>
          <w:szCs w:val="32"/>
          <w:highlight w:val="none"/>
          <w:lang w:val="zh-CN"/>
        </w:rPr>
        <w:t>第五</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投标文件构成及格式</w:t>
      </w:r>
      <w:bookmarkEnd w:id="364"/>
      <w:bookmarkEnd w:id="365"/>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eastAsia" w:ascii="仿宋" w:hAnsi="仿宋" w:eastAsia="仿宋" w:cs="仿宋"/>
          <w:b/>
          <w:bCs/>
          <w:sz w:val="32"/>
          <w:szCs w:val="32"/>
          <w:highlight w:val="none"/>
          <w:lang w:val="zh-CN"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pStyle w:val="34"/>
        <w:ind w:firstLine="210"/>
        <w:rPr>
          <w:rFonts w:ascii="仿宋" w:hAnsi="仿宋" w:eastAsia="仿宋" w:cs="仿宋"/>
          <w:highlight w:val="none"/>
          <w:lang w:val="zh-CN"/>
        </w:rPr>
      </w:pPr>
    </w:p>
    <w:p>
      <w:pPr>
        <w:tabs>
          <w:tab w:val="left" w:pos="5670"/>
        </w:tabs>
        <w:autoSpaceDE w:val="0"/>
        <w:autoSpaceDN w:val="0"/>
        <w:adjustRightInd w:val="0"/>
        <w:spacing w:line="360" w:lineRule="auto"/>
        <w:jc w:val="center"/>
        <w:rPr>
          <w:rFonts w:ascii="仿宋" w:hAnsi="仿宋" w:eastAsia="仿宋" w:cs="仿宋"/>
          <w:b/>
          <w:bCs/>
          <w:sz w:val="44"/>
          <w:szCs w:val="44"/>
          <w:highlight w:val="none"/>
        </w:rPr>
      </w:pPr>
    </w:p>
    <w:p>
      <w:pPr>
        <w:pStyle w:val="34"/>
        <w:ind w:firstLine="440"/>
        <w:jc w:val="center"/>
        <w:rPr>
          <w:rFonts w:hint="eastAsia" w:ascii="仿宋" w:hAnsi="仿宋" w:eastAsia="仿宋" w:cs="仿宋"/>
          <w:sz w:val="40"/>
          <w:szCs w:val="40"/>
          <w:highlight w:val="none"/>
        </w:rPr>
      </w:pPr>
      <w:r>
        <w:rPr>
          <w:rFonts w:hint="eastAsia" w:ascii="仿宋" w:hAnsi="仿宋" w:eastAsia="仿宋" w:cs="仿宋"/>
          <w:b/>
          <w:bCs/>
          <w:sz w:val="40"/>
          <w:szCs w:val="40"/>
          <w:highlight w:val="none"/>
          <w:lang w:eastAsia="zh-CN"/>
        </w:rPr>
        <w:t>西安市第八医院新院区基础医疗设备采购项目</w:t>
      </w:r>
    </w:p>
    <w:p>
      <w:pPr>
        <w:pStyle w:val="34"/>
        <w:ind w:firstLine="440"/>
        <w:jc w:val="center"/>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lang w:eastAsia="zh-CN"/>
        </w:rPr>
        <w:t xml:space="preserve">包6：基础设备 </w:t>
      </w:r>
    </w:p>
    <w:p>
      <w:pPr>
        <w:tabs>
          <w:tab w:val="left" w:pos="5670"/>
        </w:tabs>
        <w:autoSpaceDE w:val="0"/>
        <w:autoSpaceDN w:val="0"/>
        <w:adjustRightInd w:val="0"/>
        <w:spacing w:line="360" w:lineRule="auto"/>
        <w:jc w:val="center"/>
        <w:rPr>
          <w:rFonts w:hint="eastAsia" w:ascii="仿宋" w:hAnsi="仿宋" w:eastAsia="仿宋" w:cs="仿宋"/>
          <w:b/>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b/>
          <w:sz w:val="40"/>
          <w:szCs w:val="40"/>
          <w:highlight w:val="none"/>
        </w:rPr>
      </w:pPr>
      <w:r>
        <w:rPr>
          <w:rFonts w:hint="eastAsia" w:ascii="仿宋" w:hAnsi="仿宋" w:eastAsia="仿宋" w:cs="仿宋"/>
          <w:b/>
          <w:sz w:val="40"/>
          <w:szCs w:val="40"/>
          <w:highlight w:val="none"/>
        </w:rPr>
        <w:t>投 标 文 件</w:t>
      </w:r>
    </w:p>
    <w:p>
      <w:pPr>
        <w:pStyle w:val="34"/>
        <w:ind w:firstLine="0" w:firstLineChars="0"/>
        <w:rPr>
          <w:rFonts w:ascii="仿宋" w:hAnsi="仿宋" w:eastAsia="仿宋" w:cs="仿宋"/>
          <w:sz w:val="42"/>
          <w:szCs w:val="4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r>
        <w:rPr>
          <w:rFonts w:hint="eastAsia" w:ascii="仿宋" w:hAnsi="仿宋" w:eastAsia="仿宋" w:cs="仿宋"/>
          <w:b/>
          <w:bCs/>
          <w:sz w:val="32"/>
          <w:szCs w:val="32"/>
          <w:highlight w:val="none"/>
        </w:rPr>
        <w:t>投  标 人：</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（盖章）</w:t>
      </w:r>
    </w:p>
    <w:p>
      <w:pPr>
        <w:spacing w:line="360" w:lineRule="auto"/>
        <w:ind w:firstLine="1285" w:firstLineChars="400"/>
        <w:rPr>
          <w:rFonts w:ascii="仿宋" w:hAnsi="仿宋" w:eastAsia="仿宋" w:cs="仿宋"/>
          <w:b/>
          <w:bCs/>
          <w:sz w:val="32"/>
          <w:szCs w:val="32"/>
          <w:highlight w:val="none"/>
        </w:rPr>
      </w:pPr>
      <w:r>
        <w:rPr>
          <w:rFonts w:hint="eastAsia" w:ascii="仿宋" w:hAnsi="仿宋" w:eastAsia="仿宋" w:cs="仿宋"/>
          <w:b/>
          <w:sz w:val="32"/>
          <w:highlight w:val="none"/>
        </w:rPr>
        <w:t>法定代表人或授权代表：</w:t>
      </w:r>
      <w:r>
        <w:rPr>
          <w:rFonts w:hint="eastAsia" w:ascii="仿宋" w:hAnsi="仿宋" w:eastAsia="仿宋" w:cs="仿宋"/>
          <w:b/>
          <w:sz w:val="32"/>
          <w:highlight w:val="none"/>
          <w:u w:val="single"/>
        </w:rPr>
        <w:t xml:space="preserve">             </w:t>
      </w:r>
      <w:r>
        <w:rPr>
          <w:rFonts w:hint="eastAsia" w:ascii="仿宋" w:hAnsi="仿宋" w:eastAsia="仿宋" w:cs="仿宋"/>
          <w:b/>
          <w:bCs/>
          <w:sz w:val="32"/>
          <w:szCs w:val="32"/>
          <w:highlight w:val="none"/>
        </w:rPr>
        <w:t>（签字）</w:t>
      </w:r>
    </w:p>
    <w:p>
      <w:pPr>
        <w:spacing w:line="360" w:lineRule="auto"/>
        <w:ind w:firstLine="1285" w:firstLineChars="400"/>
        <w:rPr>
          <w:rFonts w:ascii="仿宋" w:hAnsi="仿宋" w:eastAsia="仿宋" w:cs="仿宋"/>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ageBreakBefore/>
        <w:spacing w:line="360" w:lineRule="auto"/>
        <w:jc w:val="center"/>
        <w:rPr>
          <w:rFonts w:ascii="仿宋" w:hAnsi="仿宋" w:eastAsia="仿宋" w:cs="仿宋"/>
          <w:b/>
          <w:bCs/>
          <w:sz w:val="32"/>
          <w:szCs w:val="15"/>
          <w:highlight w:val="none"/>
          <w:lang w:val="zh-CN"/>
        </w:rPr>
      </w:pPr>
      <w:r>
        <w:rPr>
          <w:rFonts w:hint="eastAsia" w:ascii="仿宋" w:hAnsi="仿宋" w:eastAsia="仿宋" w:cs="仿宋"/>
          <w:b/>
          <w:bCs/>
          <w:sz w:val="32"/>
          <w:szCs w:val="15"/>
          <w:highlight w:val="none"/>
          <w:lang w:val="zh-CN"/>
        </w:rPr>
        <w:t>目</w:t>
      </w:r>
      <w:r>
        <w:rPr>
          <w:rFonts w:hint="eastAsia" w:ascii="仿宋" w:hAnsi="仿宋" w:eastAsia="仿宋" w:cs="仿宋"/>
          <w:b/>
          <w:bCs/>
          <w:sz w:val="32"/>
          <w:szCs w:val="15"/>
          <w:highlight w:val="none"/>
        </w:rPr>
        <w:t xml:space="preserve">  </w:t>
      </w:r>
      <w:r>
        <w:rPr>
          <w:rFonts w:hint="eastAsia" w:ascii="仿宋" w:hAnsi="仿宋" w:eastAsia="仿宋" w:cs="仿宋"/>
          <w:b/>
          <w:bCs/>
          <w:sz w:val="32"/>
          <w:szCs w:val="15"/>
          <w:highlight w:val="none"/>
          <w:lang w:val="zh-CN"/>
        </w:rPr>
        <w:t>录</w:t>
      </w:r>
    </w:p>
    <w:p>
      <w:pPr>
        <w:jc w:val="center"/>
        <w:rPr>
          <w:rFonts w:ascii="仿宋" w:hAnsi="仿宋" w:eastAsia="仿宋" w:cs="仿宋"/>
          <w:highlight w:val="none"/>
          <w:lang w:val="zh-CN"/>
        </w:rPr>
      </w:pPr>
      <w:r>
        <w:rPr>
          <w:rFonts w:hint="eastAsia" w:ascii="仿宋" w:hAnsi="仿宋" w:eastAsia="仿宋" w:cs="仿宋"/>
          <w:szCs w:val="16"/>
          <w:highlight w:val="none"/>
          <w:lang w:val="zh-CN"/>
        </w:rPr>
        <w:t>请根据投标文件内容自动生成目录</w:t>
      </w:r>
    </w:p>
    <w:p>
      <w:pPr>
        <w:rPr>
          <w:rFonts w:ascii="仿宋" w:hAnsi="仿宋" w:eastAsia="仿宋" w:cs="仿宋"/>
          <w:sz w:val="32"/>
          <w:szCs w:val="32"/>
          <w:highlight w:val="none"/>
        </w:rPr>
      </w:pPr>
      <w:r>
        <w:rPr>
          <w:rFonts w:hint="eastAsia" w:ascii="仿宋" w:hAnsi="仿宋" w:eastAsia="仿宋" w:cs="仿宋"/>
          <w:highlight w:val="none"/>
        </w:rPr>
        <w:br w:type="page"/>
      </w:r>
    </w:p>
    <w:p>
      <w:pPr>
        <w:pageBreakBefore/>
        <w:spacing w:line="360" w:lineRule="auto"/>
        <w:jc w:val="center"/>
        <w:outlineLvl w:val="1"/>
        <w:rPr>
          <w:rFonts w:ascii="仿宋" w:hAnsi="仿宋" w:eastAsia="仿宋" w:cs="仿宋"/>
          <w:highlight w:val="none"/>
          <w:lang w:val="zh-CN"/>
        </w:rPr>
      </w:pPr>
      <w:bookmarkStart w:id="366" w:name="_Toc14636"/>
      <w:bookmarkStart w:id="367" w:name="_Toc31172"/>
      <w:bookmarkStart w:id="368" w:name="_Toc452"/>
      <w:bookmarkStart w:id="369" w:name="_Toc8181"/>
      <w:bookmarkStart w:id="370" w:name="_Toc3821"/>
      <w:bookmarkStart w:id="371" w:name="_Toc25930"/>
      <w:bookmarkStart w:id="372" w:name="_Toc5100"/>
      <w:bookmarkStart w:id="373" w:name="_Toc26458"/>
      <w:r>
        <w:rPr>
          <w:rFonts w:hint="eastAsia" w:ascii="仿宋" w:hAnsi="仿宋" w:eastAsia="仿宋" w:cs="仿宋"/>
          <w:b/>
          <w:bCs/>
          <w:sz w:val="32"/>
          <w:szCs w:val="15"/>
          <w:highlight w:val="none"/>
          <w:lang w:val="zh-CN"/>
        </w:rPr>
        <w:t>一、投标函</w:t>
      </w:r>
      <w:bookmarkEnd w:id="366"/>
      <w:bookmarkEnd w:id="367"/>
      <w:bookmarkEnd w:id="368"/>
      <w:bookmarkEnd w:id="369"/>
      <w:bookmarkEnd w:id="370"/>
      <w:bookmarkEnd w:id="371"/>
      <w:bookmarkEnd w:id="372"/>
      <w:bookmarkEnd w:id="373"/>
    </w:p>
    <w:p>
      <w:pPr>
        <w:autoSpaceDE w:val="0"/>
        <w:autoSpaceDN w:val="0"/>
        <w:adjustRightInd w:val="0"/>
        <w:spacing w:line="360" w:lineRule="auto"/>
        <w:rPr>
          <w:rFonts w:ascii="仿宋" w:hAnsi="仿宋" w:eastAsia="仿宋" w:cs="仿宋"/>
          <w:b/>
          <w:bCs/>
          <w:highlight w:val="none"/>
        </w:rPr>
      </w:pPr>
      <w:r>
        <w:rPr>
          <w:rFonts w:hint="eastAsia" w:ascii="仿宋" w:hAnsi="仿宋" w:eastAsia="仿宋" w:cs="仿宋"/>
          <w:b/>
          <w:bCs/>
          <w:highlight w:val="none"/>
          <w:lang w:val="zh-CN"/>
        </w:rPr>
        <w:t>陕西笃信招标有限公司：</w:t>
      </w:r>
    </w:p>
    <w:p>
      <w:pPr>
        <w:autoSpaceDE w:val="0"/>
        <w:autoSpaceDN w:val="0"/>
        <w:adjustRightInd w:val="0"/>
        <w:spacing w:line="360" w:lineRule="auto"/>
        <w:ind w:firstLine="480" w:firstLineChars="200"/>
        <w:jc w:val="both"/>
        <w:rPr>
          <w:rFonts w:ascii="仿宋" w:hAnsi="仿宋" w:eastAsia="仿宋" w:cs="仿宋"/>
          <w:highlight w:val="none"/>
        </w:rPr>
      </w:pPr>
      <w:bookmarkStart w:id="374" w:name="_Toc7809"/>
      <w:bookmarkStart w:id="375" w:name="_Toc7105"/>
      <w:bookmarkStart w:id="376" w:name="_Toc19367"/>
      <w:bookmarkStart w:id="377" w:name="_Toc10991"/>
      <w:bookmarkStart w:id="378" w:name="_Toc22952"/>
      <w:bookmarkStart w:id="379" w:name="_Toc6838"/>
      <w:bookmarkStart w:id="380" w:name="_Toc30144"/>
      <w:bookmarkStart w:id="381" w:name="_Toc15696"/>
      <w:bookmarkStart w:id="382" w:name="_Toc4521"/>
      <w:bookmarkStart w:id="383" w:name="_Toc12106"/>
      <w:bookmarkStart w:id="384" w:name="_Toc475451801"/>
      <w:bookmarkStart w:id="385" w:name="_Toc475451554"/>
      <w:bookmarkStart w:id="386" w:name="_Toc473056004"/>
      <w:r>
        <w:rPr>
          <w:rFonts w:hint="eastAsia" w:ascii="仿宋" w:hAnsi="仿宋" w:eastAsia="仿宋" w:cs="仿宋"/>
          <w:highlight w:val="none"/>
        </w:rPr>
        <w:t>我单位收到贵公司关于</w:t>
      </w:r>
      <w:r>
        <w:rPr>
          <w:rFonts w:hint="eastAsia" w:ascii="仿宋" w:hAnsi="仿宋" w:eastAsia="仿宋" w:cs="仿宋"/>
          <w:highlight w:val="none"/>
          <w:u w:val="single"/>
          <w:lang w:eastAsia="zh-CN"/>
        </w:rPr>
        <w:t xml:space="preserve">西安市第八医院新院区基础医疗设备采购项目，包6：基础设备 </w:t>
      </w:r>
      <w:r>
        <w:rPr>
          <w:rFonts w:hint="eastAsia" w:ascii="仿宋" w:hAnsi="仿宋" w:eastAsia="仿宋" w:cs="仿宋"/>
          <w:highlight w:val="none"/>
        </w:rPr>
        <w:t>（项目编号：</w:t>
      </w:r>
      <w:r>
        <w:rPr>
          <w:rFonts w:hint="eastAsia" w:ascii="仿宋" w:hAnsi="仿宋" w:eastAsia="仿宋" w:cs="仿宋"/>
          <w:highlight w:val="none"/>
          <w:lang w:eastAsia="zh-CN"/>
        </w:rPr>
        <w:t>DX2023-245</w:t>
      </w:r>
      <w:r>
        <w:rPr>
          <w:rFonts w:hint="eastAsia" w:ascii="仿宋" w:hAnsi="仿宋" w:eastAsia="仿宋" w:cs="仿宋"/>
          <w:highlight w:val="none"/>
        </w:rPr>
        <w:t>）的招标文件，经详细研究，我们决定参加本次项目招标活动并投标。为此，我方郑重声明以下诸点，并负法律责任。</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1．我方已详细阅读了招标文件，完全理解并同意招标文件的所有事项及内容。</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3．我方同意向贵单位提供与本次招标有关的全部证明材料，并保证所提交的证明材料真实、合法、有效。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4．我方理解最低价不是成交的唯一条件，并尊重评标委员会的评审结果。</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5．我方投标文件在开启之日起</w:t>
      </w:r>
      <w:r>
        <w:rPr>
          <w:rFonts w:hint="eastAsia" w:ascii="仿宋" w:hAnsi="仿宋" w:eastAsia="仿宋" w:cs="仿宋"/>
          <w:highlight w:val="none"/>
          <w:u w:val="single"/>
        </w:rPr>
        <w:t>90</w:t>
      </w:r>
      <w:r>
        <w:rPr>
          <w:rFonts w:hint="eastAsia" w:ascii="仿宋" w:hAnsi="仿宋" w:eastAsia="仿宋" w:cs="仿宋"/>
          <w:highlight w:val="none"/>
        </w:rPr>
        <w:t>个日历日内有效。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6．若我方成交，我方承诺：（1）将投标文件有效期延长至合同执行完毕；（2）收到</w:t>
      </w:r>
      <w:r>
        <w:rPr>
          <w:rFonts w:hint="eastAsia" w:ascii="仿宋" w:hAnsi="仿宋" w:eastAsia="仿宋" w:cs="仿宋"/>
          <w:highlight w:val="none"/>
          <w:lang w:eastAsia="zh-CN"/>
        </w:rPr>
        <w:t>中标</w:t>
      </w:r>
      <w:r>
        <w:rPr>
          <w:rFonts w:hint="eastAsia" w:ascii="仿宋" w:hAnsi="仿宋" w:eastAsia="仿宋" w:cs="仿宋"/>
          <w:highlight w:val="none"/>
        </w:rPr>
        <w:t>通知书后提交纸质投标文件一正两副；（3）遵照招标文件中的要求，完成本项目的合同责任和义务。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7．有关于本投标文件的函电，请按下列地址联系。</w:t>
      </w:r>
    </w:p>
    <w:p>
      <w:pPr>
        <w:autoSpaceDE w:val="0"/>
        <w:autoSpaceDN w:val="0"/>
        <w:adjustRightInd w:val="0"/>
        <w:spacing w:line="360" w:lineRule="auto"/>
        <w:ind w:firstLine="480" w:firstLineChars="200"/>
        <w:rPr>
          <w:rFonts w:ascii="仿宋" w:hAnsi="仿宋" w:eastAsia="仿宋" w:cs="仿宋"/>
          <w:b/>
          <w:highlight w:val="none"/>
          <w:u w:val="single"/>
        </w:rPr>
      </w:pPr>
      <w:r>
        <w:rPr>
          <w:rFonts w:hint="eastAsia" w:ascii="仿宋" w:hAnsi="仿宋" w:eastAsia="仿宋" w:cs="仿宋"/>
          <w:highlight w:val="none"/>
        </w:rPr>
        <w:t>投标人全称（印章）：</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    址：</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开户银行：</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账    号：</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电    话：</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传    真：</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邮    编：</w:t>
      </w:r>
      <w:r>
        <w:rPr>
          <w:rFonts w:hint="eastAsia" w:ascii="仿宋" w:hAnsi="仿宋" w:eastAsia="仿宋" w:cs="仿宋"/>
          <w:b/>
          <w:highlight w:val="none"/>
          <w:u w:val="single"/>
        </w:rPr>
        <w:t xml:space="preserve">                                          </w:t>
      </w:r>
      <w:r>
        <w:rPr>
          <w:rFonts w:hint="eastAsia" w:ascii="仿宋" w:hAnsi="仿宋" w:eastAsia="仿宋" w:cs="仿宋"/>
          <w:highlight w:val="none"/>
        </w:rPr>
        <w:t xml:space="preserve"> </w:t>
      </w:r>
    </w:p>
    <w:p>
      <w:pPr>
        <w:pStyle w:val="24"/>
        <w:jc w:val="right"/>
        <w:rPr>
          <w:rFonts w:ascii="仿宋" w:hAnsi="仿宋" w:eastAsia="仿宋" w:cs="仿宋"/>
          <w:sz w:val="24"/>
          <w:szCs w:val="24"/>
          <w:highlight w:val="none"/>
          <w:u w:val="single"/>
        </w:rPr>
      </w:pPr>
    </w:p>
    <w:p>
      <w:pPr>
        <w:pStyle w:val="24"/>
        <w:jc w:val="right"/>
        <w:rPr>
          <w:rFonts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pStyle w:val="24"/>
        <w:rPr>
          <w:rFonts w:ascii="仿宋" w:hAnsi="仿宋" w:eastAsia="仿宋" w:cs="仿宋"/>
          <w:sz w:val="24"/>
          <w:szCs w:val="24"/>
          <w:highlight w:val="none"/>
        </w:rPr>
      </w:pPr>
    </w:p>
    <w:p>
      <w:pPr>
        <w:pageBreakBefore/>
        <w:spacing w:line="360" w:lineRule="auto"/>
        <w:jc w:val="center"/>
        <w:outlineLvl w:val="1"/>
        <w:rPr>
          <w:rFonts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spacing w:line="360" w:lineRule="auto"/>
        <w:jc w:val="center"/>
        <w:outlineLvl w:val="1"/>
        <w:rPr>
          <w:rFonts w:ascii="仿宋" w:hAnsi="仿宋" w:eastAsia="仿宋" w:cs="仿宋"/>
          <w:b/>
          <w:bCs/>
          <w:sz w:val="32"/>
          <w:szCs w:val="15"/>
          <w:highlight w:val="none"/>
          <w:lang w:val="zh-CN"/>
        </w:rPr>
      </w:pPr>
      <w:bookmarkStart w:id="387" w:name="_Toc11305"/>
      <w:r>
        <w:rPr>
          <w:rFonts w:hint="eastAsia" w:ascii="仿宋" w:hAnsi="仿宋" w:eastAsia="仿宋" w:cs="仿宋"/>
          <w:b/>
          <w:bCs/>
          <w:sz w:val="32"/>
          <w:szCs w:val="15"/>
          <w:highlight w:val="none"/>
          <w:lang w:val="zh-CN"/>
        </w:rPr>
        <w:t>二、开标一览表</w:t>
      </w:r>
      <w:bookmarkEnd w:id="374"/>
      <w:bookmarkEnd w:id="375"/>
      <w:bookmarkEnd w:id="376"/>
      <w:bookmarkEnd w:id="377"/>
      <w:bookmarkEnd w:id="378"/>
      <w:bookmarkEnd w:id="379"/>
      <w:bookmarkEnd w:id="380"/>
      <w:bookmarkEnd w:id="381"/>
      <w:bookmarkEnd w:id="382"/>
      <w:bookmarkEnd w:id="383"/>
      <w:bookmarkEnd w:id="387"/>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项目名称</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 xml:space="preserve">包6：基础设备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项目编号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DX2023-245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2091" w:type="dxa"/>
            <w:vAlign w:val="center"/>
          </w:tcPr>
          <w:p>
            <w:pPr>
              <w:widowControl/>
              <w:spacing w:line="360" w:lineRule="auto"/>
              <w:jc w:val="center"/>
              <w:rPr>
                <w:rFonts w:hint="eastAsia" w:ascii="仿宋" w:hAnsi="仿宋" w:eastAsia="仿宋" w:cs="仿宋"/>
                <w:b/>
                <w:bCs/>
                <w:highlight w:val="none"/>
              </w:rPr>
            </w:pPr>
            <w:r>
              <w:rPr>
                <w:rFonts w:hint="eastAsia" w:ascii="仿宋" w:hAnsi="仿宋" w:eastAsia="仿宋" w:cs="仿宋"/>
                <w:b/>
                <w:bCs/>
                <w:highlight w:val="none"/>
              </w:rPr>
              <w:t>投标总报价</w:t>
            </w:r>
          </w:p>
          <w:p>
            <w:pPr>
              <w:widowControl/>
              <w:spacing w:line="360" w:lineRule="auto"/>
              <w:jc w:val="center"/>
              <w:rPr>
                <w:rFonts w:hint="eastAsia" w:eastAsia="仿宋"/>
                <w:highlight w:val="none"/>
                <w:lang w:eastAsia="zh-CN"/>
              </w:rPr>
            </w:pPr>
            <w:r>
              <w:rPr>
                <w:rFonts w:hint="eastAsia" w:ascii="仿宋" w:hAnsi="仿宋" w:eastAsia="仿宋" w:cs="仿宋"/>
                <w:b/>
                <w:bCs/>
                <w:highlight w:val="none"/>
                <w:lang w:eastAsia="zh-CN"/>
              </w:rPr>
              <w:t>（元）</w:t>
            </w:r>
          </w:p>
        </w:tc>
        <w:tc>
          <w:tcPr>
            <w:tcW w:w="7068" w:type="dxa"/>
            <w:vAlign w:val="center"/>
          </w:tcPr>
          <w:p>
            <w:pPr>
              <w:spacing w:line="360" w:lineRule="auto"/>
              <w:ind w:firstLine="482" w:firstLineChars="200"/>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大写：</w:t>
            </w:r>
            <w:r>
              <w:rPr>
                <w:rFonts w:hint="eastAsia" w:ascii="仿宋" w:hAnsi="仿宋" w:eastAsia="仿宋" w:cs="仿宋"/>
                <w:b/>
                <w:bCs/>
                <w:color w:val="auto"/>
                <w:sz w:val="24"/>
                <w:szCs w:val="24"/>
                <w:u w:val="single"/>
              </w:rPr>
              <w:t xml:space="preserve">                           </w:t>
            </w:r>
          </w:p>
          <w:p>
            <w:pPr>
              <w:spacing w:line="360" w:lineRule="auto"/>
              <w:ind w:firstLine="482" w:firstLineChars="200"/>
              <w:jc w:val="both"/>
              <w:rPr>
                <w:rFonts w:ascii="仿宋" w:hAnsi="仿宋" w:eastAsia="仿宋" w:cs="仿宋"/>
                <w:b/>
                <w:bCs/>
                <w:highlight w:val="none"/>
              </w:rPr>
            </w:pPr>
            <w:r>
              <w:rPr>
                <w:rFonts w:hint="eastAsia" w:ascii="仿宋" w:hAnsi="仿宋" w:eastAsia="仿宋" w:cs="仿宋"/>
                <w:b/>
                <w:bCs/>
                <w:color w:val="auto"/>
                <w:sz w:val="24"/>
                <w:szCs w:val="24"/>
              </w:rPr>
              <w:t>小写：</w:t>
            </w:r>
            <w:r>
              <w:rPr>
                <w:rFonts w:hint="eastAsia" w:ascii="仿宋" w:hAnsi="仿宋" w:eastAsia="仿宋" w:cs="仿宋"/>
                <w:b/>
                <w:bCs/>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交货期</w:t>
            </w:r>
          </w:p>
        </w:tc>
        <w:tc>
          <w:tcPr>
            <w:tcW w:w="7068" w:type="dxa"/>
            <w:vAlign w:val="center"/>
          </w:tcPr>
          <w:p>
            <w:pPr>
              <w:spacing w:line="360" w:lineRule="auto"/>
              <w:jc w:val="center"/>
              <w:rPr>
                <w:rFonts w:ascii="仿宋" w:hAnsi="仿宋" w:eastAsia="仿宋" w:cs="仿宋"/>
                <w:b/>
                <w:bCs/>
                <w:highlight w:val="none"/>
              </w:rPr>
            </w:pPr>
          </w:p>
        </w:tc>
      </w:tr>
    </w:tbl>
    <w:p>
      <w:pPr>
        <w:spacing w:line="360" w:lineRule="auto"/>
        <w:rPr>
          <w:rFonts w:ascii="仿宋" w:hAnsi="仿宋" w:eastAsia="仿宋" w:cs="仿宋"/>
          <w:b/>
          <w:bCs/>
          <w:highlight w:val="none"/>
        </w:rPr>
      </w:pPr>
      <w:r>
        <w:rPr>
          <w:rFonts w:hint="eastAsia" w:ascii="仿宋" w:hAnsi="仿宋" w:eastAsia="仿宋" w:cs="仿宋"/>
          <w:b/>
          <w:bCs/>
          <w:highlight w:val="none"/>
        </w:rPr>
        <w:t>说明：</w:t>
      </w:r>
    </w:p>
    <w:p>
      <w:pPr>
        <w:spacing w:line="360" w:lineRule="auto"/>
        <w:rPr>
          <w:rFonts w:ascii="仿宋" w:hAnsi="仿宋" w:eastAsia="仿宋" w:cs="仿宋"/>
          <w:b/>
          <w:bCs/>
          <w:highlight w:val="none"/>
        </w:rPr>
      </w:pPr>
      <w:r>
        <w:rPr>
          <w:rFonts w:hint="eastAsia" w:ascii="仿宋" w:hAnsi="仿宋" w:eastAsia="仿宋" w:cs="仿宋"/>
          <w:b/>
          <w:bCs/>
          <w:highlight w:val="none"/>
        </w:rPr>
        <w:t>1.本表所列各项数据与招标文件其它地方表述不一致时，以本表为准。</w:t>
      </w:r>
    </w:p>
    <w:p>
      <w:pPr>
        <w:spacing w:line="360" w:lineRule="auto"/>
        <w:rPr>
          <w:rFonts w:hint="eastAsia" w:ascii="仿宋" w:hAnsi="仿宋" w:eastAsia="仿宋" w:cs="仿宋"/>
          <w:b/>
          <w:bCs/>
          <w:highlight w:val="none"/>
        </w:rPr>
      </w:pPr>
      <w:r>
        <w:rPr>
          <w:rFonts w:hint="eastAsia" w:ascii="仿宋" w:hAnsi="仿宋" w:eastAsia="仿宋" w:cs="仿宋"/>
          <w:b/>
          <w:bCs/>
          <w:highlight w:val="none"/>
        </w:rPr>
        <w:t>2.投标总报价以元为单位，四舍五入精确到小数点后两位。</w:t>
      </w:r>
    </w:p>
    <w:p>
      <w:pPr>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3.投标总报价应</w:t>
      </w:r>
      <w:r>
        <w:rPr>
          <w:rFonts w:hint="eastAsia" w:ascii="仿宋" w:hAnsi="仿宋" w:eastAsia="仿宋" w:cs="仿宋"/>
          <w:b/>
          <w:bCs/>
          <w:color w:val="auto"/>
          <w:spacing w:val="0"/>
          <w:w w:val="100"/>
          <w:sz w:val="24"/>
          <w:szCs w:val="24"/>
          <w:highlight w:val="none"/>
          <w:lang w:val="en-US" w:eastAsia="zh-CN"/>
        </w:rPr>
        <w:t>为</w:t>
      </w:r>
      <w:r>
        <w:rPr>
          <w:rFonts w:hint="eastAsia" w:ascii="仿宋" w:hAnsi="仿宋" w:eastAsia="仿宋" w:cs="仿宋"/>
          <w:b/>
          <w:bCs/>
          <w:color w:val="auto"/>
          <w:spacing w:val="0"/>
          <w:w w:val="100"/>
          <w:sz w:val="24"/>
          <w:szCs w:val="24"/>
          <w:highlight w:val="none"/>
        </w:rPr>
        <w:t>分项报价表金额合计。</w:t>
      </w:r>
    </w:p>
    <w:p>
      <w:pPr>
        <w:pStyle w:val="24"/>
        <w:rPr>
          <w:highlight w:val="none"/>
        </w:rPr>
      </w:pPr>
    </w:p>
    <w:p>
      <w:pPr>
        <w:spacing w:line="360" w:lineRule="auto"/>
        <w:ind w:firstLine="482" w:firstLineChars="200"/>
        <w:rPr>
          <w:rFonts w:ascii="仿宋" w:hAnsi="仿宋" w:eastAsia="仿宋" w:cs="仿宋"/>
          <w:b/>
          <w:bCs/>
          <w:highlight w:val="none"/>
        </w:rPr>
      </w:pPr>
    </w:p>
    <w:p>
      <w:pPr>
        <w:spacing w:line="360" w:lineRule="auto"/>
        <w:rPr>
          <w:rFonts w:ascii="仿宋" w:hAnsi="仿宋" w:eastAsia="仿宋" w:cs="仿宋"/>
          <w:bCs/>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4080" w:firstLineChars="1700"/>
        <w:rPr>
          <w:rFonts w:hint="eastAsia"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numPr>
          <w:ilvl w:val="0"/>
          <w:numId w:val="0"/>
        </w:numPr>
        <w:spacing w:line="360" w:lineRule="auto"/>
        <w:ind w:left="0" w:leftChars="0" w:firstLine="643" w:firstLineChars="200"/>
        <w:jc w:val="center"/>
        <w:outlineLvl w:val="1"/>
        <w:rPr>
          <w:rFonts w:hint="eastAsia" w:ascii="仿宋" w:hAnsi="仿宋" w:eastAsia="仿宋" w:cs="仿宋"/>
          <w:b/>
          <w:bCs/>
          <w:sz w:val="32"/>
          <w:szCs w:val="15"/>
          <w:highlight w:val="none"/>
          <w:lang w:val="zh-CN"/>
        </w:rPr>
      </w:pPr>
      <w:bookmarkStart w:id="388" w:name="_Toc11427"/>
      <w:bookmarkStart w:id="389" w:name="_Toc8284"/>
      <w:bookmarkStart w:id="390" w:name="_Toc17040"/>
      <w:bookmarkStart w:id="391" w:name="_Toc23870"/>
      <w:bookmarkStart w:id="392" w:name="_Toc5122"/>
      <w:bookmarkStart w:id="393" w:name="_Toc5579"/>
      <w:bookmarkStart w:id="394" w:name="_Toc16973"/>
      <w:bookmarkStart w:id="395" w:name="_Toc27541"/>
      <w:bookmarkStart w:id="396" w:name="_Toc27212"/>
      <w:bookmarkStart w:id="397" w:name="_Toc32414"/>
      <w:bookmarkStart w:id="398" w:name="_Toc28835"/>
      <w:r>
        <w:rPr>
          <w:rFonts w:hint="eastAsia" w:ascii="仿宋" w:hAnsi="仿宋" w:eastAsia="仿宋" w:cs="仿宋"/>
          <w:b/>
          <w:bCs/>
          <w:sz w:val="32"/>
          <w:szCs w:val="15"/>
          <w:highlight w:val="none"/>
          <w:lang w:val="zh-CN" w:eastAsia="zh-CN" w:bidi="ar-SA"/>
        </w:rPr>
        <w:t>三、</w:t>
      </w:r>
      <w:r>
        <w:rPr>
          <w:rFonts w:hint="eastAsia" w:ascii="仿宋" w:hAnsi="仿宋" w:eastAsia="仿宋" w:cs="仿宋"/>
          <w:b/>
          <w:bCs/>
          <w:sz w:val="32"/>
          <w:szCs w:val="15"/>
          <w:highlight w:val="none"/>
          <w:lang w:val="zh-CN"/>
        </w:rPr>
        <w:t>分项报价表</w:t>
      </w:r>
      <w:bookmarkEnd w:id="388"/>
      <w:bookmarkEnd w:id="389"/>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67"/>
        <w:gridCol w:w="967"/>
        <w:gridCol w:w="968"/>
        <w:gridCol w:w="968"/>
        <w:gridCol w:w="968"/>
        <w:gridCol w:w="968"/>
        <w:gridCol w:w="96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rPr>
            </w:pPr>
            <w:r>
              <w:rPr>
                <w:rFonts w:hint="eastAsia" w:ascii="仿宋" w:hAnsi="仿宋" w:eastAsia="仿宋" w:cs="仿宋"/>
                <w:b/>
                <w:bCs w:val="0"/>
                <w:color w:val="auto"/>
                <w:kern w:val="0"/>
                <w:szCs w:val="21"/>
                <w:highlight w:val="none"/>
                <w:lang w:bidi="ar"/>
              </w:rPr>
              <w:t>序号</w:t>
            </w:r>
          </w:p>
        </w:tc>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设备</w:t>
            </w:r>
          </w:p>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名称</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参数</w:t>
            </w:r>
          </w:p>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标准</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品牌</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val="en-US" w:eastAsia="zh-CN"/>
              </w:rPr>
              <w:t>型号</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数量</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单位</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highlight w:val="none"/>
              </w:rPr>
            </w:pPr>
            <w:r>
              <w:rPr>
                <w:rFonts w:hint="eastAsia" w:ascii="仿宋" w:hAnsi="仿宋" w:eastAsia="仿宋" w:cs="仿宋"/>
                <w:b/>
                <w:bCs w:val="0"/>
                <w:color w:val="auto"/>
                <w:szCs w:val="21"/>
                <w:highlight w:val="none"/>
                <w:lang w:eastAsia="zh-CN"/>
              </w:rPr>
              <w:t>单价（元）</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4444" w:type="pct"/>
            <w:gridSpan w:val="8"/>
            <w:noWrap w:val="0"/>
            <w:vAlign w:val="center"/>
          </w:tcPr>
          <w:p>
            <w:pPr>
              <w:widowControl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highlight w:val="none"/>
              </w:rPr>
              <w:t xml:space="preserve">大写：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 xml:space="preserve">    小写：</w:t>
            </w:r>
            <w:r>
              <w:rPr>
                <w:rFonts w:hint="eastAsia" w:ascii="仿宋" w:hAnsi="仿宋" w:eastAsia="仿宋" w:cs="仿宋"/>
                <w:b w:val="0"/>
                <w:bCs w:val="0"/>
                <w:highlight w:val="none"/>
                <w:lang w:val="en-US" w:eastAsia="zh-CN"/>
              </w:rPr>
              <w:t xml:space="preserve">            </w:t>
            </w:r>
            <w:r>
              <w:rPr>
                <w:rFonts w:hint="eastAsia" w:ascii="仿宋" w:hAnsi="仿宋" w:eastAsia="仿宋" w:cs="仿宋"/>
                <w:b/>
                <w:bCs/>
                <w:highlight w:val="none"/>
                <w:lang w:val="en-US" w:eastAsia="zh-CN"/>
              </w:rPr>
              <w:t xml:space="preserve"> </w:t>
            </w:r>
          </w:p>
        </w:tc>
      </w:tr>
    </w:tbl>
    <w:p>
      <w:pPr>
        <w:pStyle w:val="113"/>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pStyle w:val="113"/>
        <w:spacing w:line="360" w:lineRule="auto"/>
        <w:ind w:left="0" w:leftChars="0" w:firstLine="0" w:firstLineChars="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b/>
          <w:bCs/>
          <w:sz w:val="32"/>
          <w:szCs w:val="15"/>
          <w:highlight w:val="none"/>
          <w:lang w:val="zh-CN"/>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spacing w:line="360" w:lineRule="auto"/>
        <w:jc w:val="center"/>
        <w:outlineLvl w:val="1"/>
        <w:rPr>
          <w:rFonts w:hint="eastAsia"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399" w:name="_Toc23762"/>
    </w:p>
    <w:p>
      <w:pPr>
        <w:pageBreakBefore/>
        <w:spacing w:line="360" w:lineRule="auto"/>
        <w:jc w:val="center"/>
        <w:outlineLvl w:val="1"/>
        <w:rPr>
          <w:rFonts w:ascii="仿宋" w:hAnsi="仿宋" w:eastAsia="仿宋" w:cs="仿宋"/>
          <w:b/>
          <w:bCs/>
          <w:sz w:val="32"/>
          <w:szCs w:val="15"/>
          <w:highlight w:val="none"/>
          <w:lang w:val="zh-CN"/>
        </w:rPr>
      </w:pPr>
      <w:bookmarkStart w:id="400" w:name="_Toc4690"/>
      <w:r>
        <w:rPr>
          <w:rFonts w:hint="eastAsia" w:ascii="仿宋" w:hAnsi="仿宋" w:eastAsia="仿宋" w:cs="仿宋"/>
          <w:b/>
          <w:bCs/>
          <w:sz w:val="32"/>
          <w:szCs w:val="15"/>
          <w:highlight w:val="none"/>
          <w:lang w:val="zh-CN"/>
        </w:rPr>
        <w:t>四、投标人资格证明文件</w:t>
      </w:r>
      <w:bookmarkEnd w:id="399"/>
      <w:bookmarkEnd w:id="400"/>
    </w:p>
    <w:p>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1、提供统一社会信用代码的营业执照或其他组织经营的合法凭证或自然人的提供身份证明文件； </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w:t>
      </w:r>
      <w:r>
        <w:rPr>
          <w:rFonts w:hint="eastAsia" w:ascii="仿宋" w:hAnsi="仿宋" w:eastAsia="仿宋" w:cs="仿宋"/>
          <w:sz w:val="24"/>
          <w:szCs w:val="24"/>
          <w:highlight w:val="none"/>
          <w:lang w:eastAsia="zh-CN"/>
        </w:rPr>
        <w:t>提供具有财务审计资质单位出具的</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财务报告或开标前六个月内其基本账户银行出具的资信证明或财政部门认可的政府采购专业担保机构出具的担保函，以上形式的证明资料提供任何一种即可</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税收缴纳证明：提供已缴纳的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年1月1日以来任意时间段的纳税证明或完税证明，纳税证明或完税证明上应有代收机构或税务机关的公章或业务专用章。依法免税的投标人应提供相关文件证明；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社会保障资金缴纳证明：提供已缴存的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出具履行合同所必需的设备和专业技术能力的书面声明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、出具参加本次政府采购活动的书面声明； </w:t>
      </w:r>
    </w:p>
    <w:p>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en-US" w:eastAsia="zh-CN"/>
        </w:rPr>
        <w:t>3、投标产品属于医疗器械管理的</w:t>
      </w:r>
      <w:r>
        <w:rPr>
          <w:rFonts w:hint="eastAsia" w:ascii="仿宋" w:hAnsi="仿宋" w:eastAsia="仿宋" w:cs="仿宋"/>
          <w:highlight w:val="none"/>
          <w:lang w:val="zh-CN"/>
        </w:rPr>
        <w:t>须提供所投产品的《医疗器械产品注册证》</w:t>
      </w:r>
      <w:r>
        <w:rPr>
          <w:rFonts w:hint="eastAsia" w:ascii="仿宋" w:hAnsi="仿宋" w:eastAsia="仿宋" w:cs="仿宋"/>
          <w:highlight w:val="none"/>
          <w:lang w:val="zh-CN" w:eastAsia="zh-CN"/>
        </w:rPr>
        <w:t>或《医疗器械产品备案凭证》</w:t>
      </w:r>
      <w:r>
        <w:rPr>
          <w:rFonts w:hint="eastAsia" w:ascii="仿宋" w:hAnsi="仿宋" w:eastAsia="仿宋" w:cs="仿宋"/>
          <w:highlight w:val="none"/>
          <w:lang w:val="zh-CN"/>
        </w:rPr>
        <w:t>；</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4、</w:t>
      </w:r>
      <w:r>
        <w:rPr>
          <w:rFonts w:hint="eastAsia" w:ascii="仿宋" w:hAnsi="仿宋" w:eastAsia="仿宋" w:cs="仿宋"/>
          <w:highlight w:val="none"/>
          <w:lang w:val="zh-CN"/>
        </w:rPr>
        <w:t>投标人为生产厂家的须提供《医疗器械生产许可证》，投标人为代理商的</w:t>
      </w:r>
      <w:r>
        <w:rPr>
          <w:rFonts w:hint="eastAsia" w:ascii="仿宋" w:hAnsi="仿宋" w:eastAsia="仿宋" w:cs="仿宋"/>
          <w:highlight w:val="none"/>
          <w:lang w:val="en-US" w:eastAsia="zh-CN"/>
        </w:rPr>
        <w:t>须提供《医疗器械经营许可证》或《医疗器械经营备案证》及生产厂家的《医疗器械生产许可证》。</w:t>
      </w:r>
    </w:p>
    <w:p>
      <w:pPr>
        <w:pageBreakBefore/>
        <w:spacing w:line="360" w:lineRule="auto"/>
        <w:jc w:val="center"/>
        <w:rPr>
          <w:rFonts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36"/>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8"/>
        <w:gridCol w:w="511"/>
        <w:gridCol w:w="996"/>
        <w:gridCol w:w="2084"/>
        <w:gridCol w:w="188"/>
        <w:gridCol w:w="1161"/>
        <w:gridCol w:w="1531"/>
        <w:gridCol w:w="1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投标人名称</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法定代表人</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统一</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社会信用代码</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邮政编码</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上年营业收入</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员工总人数</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restar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营业执照</w:t>
            </w: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注册号码</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注册地址</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发证日期</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（主营）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（兼营）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基本账户开户行及账号</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资产总额（万元）</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资质名称</w:t>
            </w:r>
          </w:p>
        </w:tc>
        <w:tc>
          <w:tcPr>
            <w:tcW w:w="130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等级</w:t>
            </w:r>
          </w:p>
        </w:tc>
        <w:tc>
          <w:tcPr>
            <w:tcW w:w="665"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777"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682"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备注</w:t>
            </w:r>
          </w:p>
        </w:tc>
        <w:tc>
          <w:tcPr>
            <w:tcW w:w="4317" w:type="pct"/>
            <w:gridSpan w:val="6"/>
            <w:vAlign w:val="center"/>
          </w:tcPr>
          <w:p>
            <w:pPr>
              <w:topLinePunct/>
              <w:spacing w:line="360" w:lineRule="auto"/>
              <w:rPr>
                <w:rFonts w:ascii="仿宋" w:hAnsi="仿宋" w:eastAsia="仿宋" w:cs="仿宋"/>
                <w:highlight w:val="none"/>
              </w:rPr>
            </w:pPr>
          </w:p>
        </w:tc>
      </w:tr>
    </w:tbl>
    <w:p>
      <w:pPr>
        <w:spacing w:line="360" w:lineRule="auto"/>
        <w:ind w:firstLine="3840" w:firstLineChars="1600"/>
        <w:rPr>
          <w:rFonts w:ascii="仿宋" w:hAnsi="仿宋" w:eastAsia="仿宋" w:cs="仿宋"/>
          <w:highlight w:val="none"/>
        </w:rPr>
      </w:pPr>
    </w:p>
    <w:p>
      <w:pPr>
        <w:spacing w:line="360" w:lineRule="auto"/>
        <w:ind w:firstLine="3840" w:firstLineChars="16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numPr>
          <w:ilvl w:val="0"/>
          <w:numId w:val="15"/>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401" w:name="_Toc495681251"/>
      <w:bookmarkStart w:id="402" w:name="_Toc9183"/>
      <w:bookmarkStart w:id="403" w:name="_Toc495681405"/>
      <w:bookmarkStart w:id="404" w:name="_Toc32473"/>
      <w:bookmarkStart w:id="405" w:name="_Toc32232"/>
      <w:bookmarkStart w:id="406" w:name="_Toc495671262"/>
      <w:bookmarkStart w:id="407" w:name="_Toc495908047"/>
      <w:bookmarkStart w:id="408" w:name="_Toc31488"/>
      <w:bookmarkStart w:id="409" w:name="_Toc495681532"/>
      <w:bookmarkStart w:id="410" w:name="_Toc27035"/>
      <w:bookmarkStart w:id="411" w:name="_Toc495681541"/>
      <w:bookmarkStart w:id="412" w:name="_Toc495908056"/>
      <w:bookmarkStart w:id="413" w:name="_Toc495671271"/>
      <w:bookmarkStart w:id="414" w:name="_Toc495681414"/>
      <w:bookmarkStart w:id="415" w:name="_Toc495681260"/>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401"/>
      <w:bookmarkEnd w:id="402"/>
      <w:bookmarkEnd w:id="403"/>
      <w:bookmarkEnd w:id="404"/>
      <w:bookmarkEnd w:id="405"/>
      <w:bookmarkEnd w:id="406"/>
      <w:bookmarkEnd w:id="407"/>
      <w:bookmarkEnd w:id="408"/>
      <w:bookmarkEnd w:id="409"/>
      <w:bookmarkEnd w:id="410"/>
      <w:bookmarkStart w:id="416" w:name="_Toc89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35"/>
        <w:rPr>
          <w:rFonts w:hint="eastAsia"/>
          <w:highlight w:val="none"/>
        </w:rPr>
      </w:pPr>
    </w:p>
    <w:p>
      <w:pPr>
        <w:keepNext w:val="0"/>
        <w:keepLines w:val="0"/>
        <w:pageBreakBefore/>
        <w:widowControl w:val="0"/>
        <w:numPr>
          <w:ilvl w:val="0"/>
          <w:numId w:val="15"/>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bookmarkStart w:id="417" w:name="_Toc17786"/>
      <w:bookmarkStart w:id="418" w:name="_Toc32670"/>
      <w:bookmarkStart w:id="419" w:name="_Toc7775"/>
      <w:r>
        <w:rPr>
          <w:rFonts w:hint="eastAsia" w:ascii="仿宋" w:hAnsi="仿宋" w:eastAsia="仿宋" w:cs="仿宋"/>
          <w:b/>
          <w:bCs/>
          <w:color w:val="auto"/>
          <w:sz w:val="28"/>
          <w:szCs w:val="28"/>
          <w:highlight w:val="none"/>
        </w:rPr>
        <w:t>财务状况报告</w:t>
      </w:r>
      <w:bookmarkEnd w:id="417"/>
      <w:bookmarkEnd w:id="418"/>
      <w:bookmarkEnd w:id="419"/>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24"/>
        <w:rPr>
          <w:rFonts w:hint="eastAsia"/>
          <w:highlight w:val="none"/>
        </w:rPr>
      </w:pPr>
    </w:p>
    <w:p>
      <w:pPr>
        <w:keepNext w:val="0"/>
        <w:keepLines w:val="0"/>
        <w:pageBreakBefore/>
        <w:widowControl w:val="0"/>
        <w:numPr>
          <w:ilvl w:val="0"/>
          <w:numId w:val="15"/>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color w:val="auto"/>
          <w:sz w:val="28"/>
          <w:szCs w:val="28"/>
          <w:highlight w:val="none"/>
        </w:rPr>
      </w:pPr>
      <w:bookmarkStart w:id="420" w:name="_Toc32270"/>
      <w:bookmarkStart w:id="421" w:name="_Toc29340"/>
      <w:bookmarkStart w:id="422" w:name="_Toc7286"/>
      <w:r>
        <w:rPr>
          <w:rFonts w:hint="eastAsia" w:ascii="仿宋" w:hAnsi="仿宋" w:eastAsia="仿宋" w:cs="仿宋"/>
          <w:b/>
          <w:color w:val="auto"/>
          <w:sz w:val="28"/>
          <w:szCs w:val="28"/>
          <w:highlight w:val="none"/>
        </w:rPr>
        <w:t>税收缴纳证明</w:t>
      </w:r>
      <w:bookmarkEnd w:id="420"/>
      <w:bookmarkEnd w:id="421"/>
      <w:bookmarkEnd w:id="422"/>
    </w:p>
    <w:p>
      <w:pPr>
        <w:keepLines w:val="0"/>
        <w:wordWrap/>
        <w:bidi w:val="0"/>
        <w:spacing w:line="360" w:lineRule="auto"/>
        <w:ind w:firstLine="480" w:firstLineChars="200"/>
        <w:jc w:val="center"/>
        <w:outlineLvl w:val="9"/>
        <w:rPr>
          <w:rFonts w:hint="eastAsia"/>
          <w:highlight w:val="none"/>
          <w:lang w:eastAsia="zh-CN"/>
        </w:rPr>
      </w:pPr>
      <w:r>
        <w:rPr>
          <w:rFonts w:hint="eastAsia" w:ascii="仿宋" w:hAnsi="仿宋" w:eastAsia="仿宋" w:cs="仿宋"/>
          <w:color w:val="auto"/>
          <w:sz w:val="24"/>
          <w:szCs w:val="24"/>
          <w:highlight w:val="none"/>
          <w:lang w:val="en-US" w:eastAsia="zh-CN"/>
        </w:rPr>
        <w:t>扫描件或复印件加盖单位公章</w:t>
      </w:r>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423" w:name="_Toc17181"/>
      <w:bookmarkStart w:id="424" w:name="_Toc8355"/>
      <w:bookmarkStart w:id="425" w:name="_Toc10923"/>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社会保障资金缴纳证明</w:t>
      </w:r>
      <w:bookmarkEnd w:id="423"/>
      <w:bookmarkEnd w:id="424"/>
      <w:bookmarkEnd w:id="425"/>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spacing w:line="360" w:lineRule="auto"/>
        <w:ind w:firstLine="480"/>
        <w:rPr>
          <w:rFonts w:hint="eastAsia" w:ascii="仿宋" w:hAnsi="仿宋" w:eastAsia="仿宋" w:cs="仿宋"/>
          <w:color w:val="auto"/>
          <w:kern w:val="0"/>
          <w:sz w:val="24"/>
          <w:szCs w:val="22"/>
          <w:highlight w:val="none"/>
        </w:rPr>
      </w:pPr>
    </w:p>
    <w:p>
      <w:pPr>
        <w:pageBreakBefore/>
        <w:spacing w:line="360" w:lineRule="auto"/>
        <w:jc w:val="center"/>
        <w:outlineLvl w:val="2"/>
        <w:rPr>
          <w:rFonts w:hint="eastAsia" w:ascii="仿宋" w:hAnsi="仿宋" w:eastAsia="仿宋" w:cs="仿宋"/>
          <w:b/>
          <w:color w:val="auto"/>
          <w:sz w:val="28"/>
          <w:szCs w:val="28"/>
          <w:highlight w:val="none"/>
          <w:lang w:eastAsia="zh-CN"/>
        </w:rPr>
      </w:pPr>
      <w:bookmarkStart w:id="426" w:name="_Toc29820"/>
      <w:bookmarkStart w:id="427" w:name="_Toc11008"/>
      <w:bookmarkStart w:id="428" w:name="_Toc12754"/>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426"/>
      <w:bookmarkEnd w:id="427"/>
      <w:bookmarkEnd w:id="428"/>
    </w:p>
    <w:p>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w:t>
      </w:r>
      <w:r>
        <w:rPr>
          <w:rFonts w:ascii="仿宋" w:hAnsi="仿宋" w:eastAsia="仿宋" w:cs="仿宋"/>
          <w:color w:val="000000"/>
          <w:kern w:val="0"/>
          <w:sz w:val="24"/>
          <w:szCs w:val="24"/>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line="360" w:lineRule="auto"/>
        <w:ind w:left="0" w:leftChars="0" w:firstLine="2738" w:firstLineChars="114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pacing w:line="360" w:lineRule="auto"/>
        <w:rPr>
          <w:rFonts w:ascii="仿宋" w:hAnsi="仿宋" w:eastAsia="仿宋" w:cs="仿宋"/>
          <w:bCs/>
          <w:color w:val="auto"/>
          <w:sz w:val="24"/>
          <w:szCs w:val="24"/>
          <w:highlight w:val="none"/>
        </w:rPr>
      </w:pPr>
    </w:p>
    <w:p>
      <w:pP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pacing w:line="360" w:lineRule="auto"/>
        <w:jc w:val="center"/>
        <w:outlineLvl w:val="2"/>
        <w:rPr>
          <w:rFonts w:ascii="仿宋" w:hAnsi="仿宋" w:eastAsia="仿宋" w:cs="仿宋"/>
          <w:b/>
          <w:color w:val="auto"/>
          <w:sz w:val="28"/>
          <w:szCs w:val="28"/>
          <w:highlight w:val="none"/>
        </w:rPr>
      </w:pPr>
      <w:bookmarkStart w:id="429" w:name="_Toc1093"/>
      <w:bookmarkStart w:id="430" w:name="_Toc25982"/>
      <w:bookmarkStart w:id="431" w:name="_Toc977"/>
      <w:bookmarkStart w:id="432" w:name="_Toc18002"/>
      <w:bookmarkStart w:id="433" w:name="_Toc2890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429"/>
      <w:bookmarkEnd w:id="430"/>
      <w:bookmarkEnd w:id="431"/>
      <w:bookmarkEnd w:id="432"/>
    </w:p>
    <w:p>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年内的经营活动中____（填“没有”或“有”）重大违法记录。投标人</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pacing w:line="360" w:lineRule="auto"/>
        <w:ind w:left="0" w:leftChars="0" w:firstLine="2940" w:firstLineChars="122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autoSpaceDE w:val="0"/>
        <w:autoSpaceDN w:val="0"/>
        <w:adjustRightInd w:val="0"/>
        <w:spacing w:line="360" w:lineRule="auto"/>
        <w:ind w:left="0" w:leftChars="0" w:firstLine="2940" w:firstLineChars="1225"/>
        <w:rPr>
          <w:rFonts w:hint="eastAsia" w:ascii="仿宋" w:hAnsi="仿宋" w:eastAsia="仿宋" w:cs="仿宋"/>
          <w:b/>
          <w:bCs w:val="0"/>
          <w:kern w:val="2"/>
          <w:sz w:val="28"/>
          <w:szCs w:val="28"/>
          <w:highlight w:val="none"/>
          <w:u w:val="none"/>
          <w:lang w:val="zh-CN" w:eastAsia="zh-CN" w:bidi="ar-SA"/>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End w:id="411"/>
      <w:bookmarkEnd w:id="412"/>
      <w:bookmarkEnd w:id="413"/>
      <w:bookmarkEnd w:id="414"/>
      <w:bookmarkEnd w:id="415"/>
      <w:bookmarkEnd w:id="416"/>
      <w:bookmarkEnd w:id="433"/>
    </w:p>
    <w:p>
      <w:pPr>
        <w:pageBreakBefore/>
        <w:spacing w:line="360" w:lineRule="auto"/>
        <w:jc w:val="center"/>
        <w:outlineLvl w:val="2"/>
        <w:rPr>
          <w:rFonts w:ascii="仿宋" w:hAnsi="仿宋" w:eastAsia="仿宋" w:cs="仿宋"/>
          <w:b/>
          <w:sz w:val="28"/>
          <w:szCs w:val="28"/>
          <w:highlight w:val="none"/>
          <w:lang w:val="zh-CN"/>
        </w:rPr>
      </w:pPr>
      <w:bookmarkStart w:id="434" w:name="_Toc29473"/>
      <w:bookmarkStart w:id="435" w:name="_Toc3871"/>
      <w:bookmarkStart w:id="436" w:name="_Toc1010"/>
      <w:bookmarkStart w:id="437" w:name="_Toc17057"/>
      <w:bookmarkStart w:id="438" w:name="_Toc5061"/>
      <w:r>
        <w:rPr>
          <w:rFonts w:hint="eastAsia" w:ascii="仿宋" w:hAnsi="仿宋" w:eastAsia="仿宋" w:cs="仿宋"/>
          <w:b/>
          <w:sz w:val="28"/>
          <w:szCs w:val="28"/>
          <w:highlight w:val="none"/>
          <w:lang w:val="zh-CN"/>
        </w:rPr>
        <w:t>（七）特定资格要求</w:t>
      </w:r>
      <w:bookmarkEnd w:id="434"/>
      <w:bookmarkEnd w:id="435"/>
      <w:bookmarkEnd w:id="436"/>
      <w:bookmarkEnd w:id="437"/>
      <w:bookmarkEnd w:id="438"/>
    </w:p>
    <w:p>
      <w:pPr>
        <w:adjustRightInd w:val="0"/>
        <w:snapToGrid w:val="0"/>
        <w:spacing w:line="360" w:lineRule="auto"/>
        <w:jc w:val="center"/>
        <w:outlineLvl w:val="3"/>
        <w:rPr>
          <w:rFonts w:ascii="仿宋" w:hAnsi="仿宋" w:eastAsia="仿宋" w:cs="仿宋"/>
          <w:b/>
          <w:highlight w:val="none"/>
        </w:rPr>
      </w:pPr>
      <w:bookmarkStart w:id="439" w:name="_Toc495681406"/>
      <w:bookmarkStart w:id="440" w:name="_Toc18742"/>
      <w:bookmarkStart w:id="441" w:name="_Toc495908048"/>
      <w:bookmarkStart w:id="442" w:name="_Toc495681252"/>
      <w:bookmarkStart w:id="443" w:name="_Toc1610"/>
      <w:bookmarkStart w:id="444" w:name="_Toc32662"/>
      <w:bookmarkStart w:id="445" w:name="_Toc495671263"/>
      <w:bookmarkStart w:id="446" w:name="_Toc495681533"/>
      <w:r>
        <w:rPr>
          <w:rFonts w:hint="eastAsia" w:ascii="仿宋" w:hAnsi="仿宋" w:eastAsia="仿宋" w:cs="仿宋"/>
          <w:b/>
          <w:highlight w:val="none"/>
        </w:rPr>
        <w:t>1、法定代表人身份证明</w:t>
      </w:r>
      <w:bookmarkEnd w:id="439"/>
      <w:bookmarkEnd w:id="440"/>
      <w:bookmarkEnd w:id="441"/>
      <w:bookmarkEnd w:id="442"/>
      <w:bookmarkEnd w:id="443"/>
      <w:bookmarkEnd w:id="444"/>
      <w:bookmarkEnd w:id="445"/>
      <w:bookmarkEnd w:id="446"/>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统一社会信用代码：</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注册地址：</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年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日；经营期限：</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经营范围：主营：</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；兼营：</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性别：</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年龄：</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系</w:t>
      </w:r>
      <w:r>
        <w:rPr>
          <w:rFonts w:hint="eastAsia" w:ascii="仿宋" w:hAnsi="仿宋" w:eastAsia="仿宋" w:cs="仿宋"/>
          <w:highlight w:val="none"/>
          <w:u w:val="single"/>
        </w:rPr>
        <w:t xml:space="preserve">            </w:t>
      </w:r>
      <w:r>
        <w:rPr>
          <w:rFonts w:hint="eastAsia" w:ascii="仿宋" w:hAnsi="仿宋" w:eastAsia="仿宋" w:cs="仿宋"/>
          <w:highlight w:val="none"/>
        </w:rPr>
        <w:t>（投标人名称）的法定代表人。</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特此证明。</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附：法定代表人身份证复印件</w:t>
      </w:r>
    </w:p>
    <w:tbl>
      <w:tblPr>
        <w:tblStyle w:val="36"/>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r>
    </w:tbl>
    <w:p>
      <w:pPr>
        <w:spacing w:line="360" w:lineRule="auto"/>
        <w:ind w:firstLine="1920" w:firstLineChars="800"/>
        <w:rPr>
          <w:rFonts w:ascii="仿宋" w:hAnsi="仿宋" w:eastAsia="仿宋" w:cs="仿宋"/>
          <w:highlight w:val="none"/>
        </w:rPr>
      </w:pPr>
    </w:p>
    <w:p>
      <w:pPr>
        <w:spacing w:line="360" w:lineRule="auto"/>
        <w:ind w:firstLine="3578" w:firstLineChars="1491"/>
        <w:rPr>
          <w:rFonts w:ascii="仿宋" w:hAnsi="仿宋" w:eastAsia="仿宋" w:cs="仿宋"/>
          <w:highlight w:val="none"/>
        </w:rPr>
      </w:pPr>
      <w:bookmarkStart w:id="447" w:name="_Toc495681253"/>
      <w:bookmarkStart w:id="448" w:name="_Toc18921"/>
      <w:bookmarkStart w:id="449" w:name="_Toc495681407"/>
      <w:bookmarkStart w:id="450" w:name="_Toc495681534"/>
      <w:bookmarkStart w:id="451" w:name="_Toc495671264"/>
      <w:bookmarkStart w:id="452" w:name="_Toc495908049"/>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adjustRightInd w:val="0"/>
        <w:snapToGrid w:val="0"/>
        <w:spacing w:line="360" w:lineRule="auto"/>
        <w:jc w:val="center"/>
        <w:outlineLvl w:val="3"/>
        <w:rPr>
          <w:rFonts w:ascii="仿宋" w:hAnsi="仿宋" w:eastAsia="仿宋" w:cs="仿宋"/>
          <w:b/>
          <w:highlight w:val="none"/>
        </w:rPr>
      </w:pPr>
      <w:bookmarkStart w:id="453" w:name="_Toc32169"/>
      <w:bookmarkStart w:id="454" w:name="_Toc29369"/>
      <w:r>
        <w:rPr>
          <w:rFonts w:hint="eastAsia" w:ascii="仿宋" w:hAnsi="仿宋" w:eastAsia="仿宋" w:cs="仿宋"/>
          <w:b/>
          <w:highlight w:val="none"/>
        </w:rPr>
        <w:t>2、法定代表人授权书</w:t>
      </w:r>
      <w:bookmarkEnd w:id="447"/>
      <w:bookmarkEnd w:id="448"/>
      <w:bookmarkEnd w:id="449"/>
      <w:bookmarkEnd w:id="450"/>
      <w:bookmarkEnd w:id="451"/>
      <w:bookmarkEnd w:id="452"/>
      <w:bookmarkEnd w:id="453"/>
      <w:bookmarkEnd w:id="454"/>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lang w:val="zh-CN"/>
        </w:rPr>
        <w:t>陕西笃信招标有限公司：</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注册于</w:t>
      </w:r>
      <w:r>
        <w:rPr>
          <w:rFonts w:hint="eastAsia" w:ascii="仿宋" w:hAnsi="仿宋" w:eastAsia="仿宋" w:cs="仿宋"/>
          <w:highlight w:val="none"/>
          <w:u w:val="single"/>
          <w:lang w:val="zh-CN"/>
        </w:rPr>
        <w:t xml:space="preserve">  （工商行政管理局名称）  </w:t>
      </w:r>
      <w:r>
        <w:rPr>
          <w:rFonts w:hint="eastAsia" w:ascii="仿宋" w:hAnsi="仿宋" w:eastAsia="仿宋" w:cs="仿宋"/>
          <w:highlight w:val="none"/>
          <w:lang w:val="zh-CN"/>
        </w:rPr>
        <w:t>之</w:t>
      </w:r>
      <w:r>
        <w:rPr>
          <w:rFonts w:hint="eastAsia" w:ascii="仿宋" w:hAnsi="仿宋" w:eastAsia="仿宋" w:cs="仿宋"/>
          <w:highlight w:val="none"/>
          <w:u w:val="single"/>
          <w:lang w:val="zh-CN"/>
        </w:rPr>
        <w:t xml:space="preserve">   （投标人全称）  </w:t>
      </w:r>
      <w:r>
        <w:rPr>
          <w:rFonts w:hint="eastAsia" w:ascii="仿宋" w:hAnsi="仿宋" w:eastAsia="仿宋" w:cs="仿宋"/>
          <w:highlight w:val="none"/>
          <w:lang w:val="zh-CN"/>
        </w:rPr>
        <w:t>的法定代表人</w:t>
      </w:r>
      <w:r>
        <w:rPr>
          <w:rFonts w:hint="eastAsia" w:ascii="仿宋" w:hAnsi="仿宋" w:eastAsia="仿宋" w:cs="仿宋"/>
          <w:highlight w:val="none"/>
          <w:u w:val="single"/>
          <w:lang w:val="zh-CN"/>
        </w:rPr>
        <w:t xml:space="preserve"> （姓名）</w:t>
      </w:r>
      <w:r>
        <w:rPr>
          <w:rFonts w:hint="eastAsia" w:ascii="仿宋" w:hAnsi="仿宋" w:eastAsia="仿宋" w:cs="仿宋"/>
          <w:highlight w:val="none"/>
          <w:u w:val="single"/>
        </w:rPr>
        <w:t xml:space="preserve">  </w:t>
      </w:r>
      <w:r>
        <w:rPr>
          <w:rFonts w:hint="eastAsia" w:ascii="仿宋" w:hAnsi="仿宋" w:eastAsia="仿宋" w:cs="仿宋"/>
          <w:highlight w:val="none"/>
          <w:lang w:val="zh-CN"/>
        </w:rPr>
        <w:t>授权</w:t>
      </w:r>
      <w:r>
        <w:rPr>
          <w:rFonts w:hint="eastAsia" w:ascii="仿宋" w:hAnsi="仿宋" w:eastAsia="仿宋" w:cs="仿宋"/>
          <w:highlight w:val="none"/>
          <w:u w:val="single"/>
          <w:lang w:val="zh-CN"/>
        </w:rPr>
        <w:t xml:space="preserve"> （被授权人姓名）</w:t>
      </w:r>
      <w:r>
        <w:rPr>
          <w:rFonts w:hint="eastAsia" w:ascii="仿宋" w:hAnsi="仿宋" w:eastAsia="仿宋" w:cs="仿宋"/>
          <w:highlight w:val="none"/>
          <w:u w:val="single"/>
        </w:rPr>
        <w:t xml:space="preserve"> </w:t>
      </w:r>
      <w:r>
        <w:rPr>
          <w:rFonts w:hint="eastAsia" w:ascii="仿宋" w:hAnsi="仿宋" w:eastAsia="仿宋" w:cs="仿宋"/>
          <w:highlight w:val="none"/>
        </w:rPr>
        <w:t>为我方合法委托代理人。代理人根据授权，以我方名义签署、澄清、说明、递交、撤回、修改</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投标文件、签订合同和处理有关事宜，其法律后果由我方承担。</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代理人无转委托权。</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投标人：</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5520" w:firstLineChars="2300"/>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spacing w:line="360" w:lineRule="auto"/>
        <w:ind w:firstLine="480" w:firstLineChars="200"/>
        <w:rPr>
          <w:rFonts w:ascii="仿宋" w:hAnsi="仿宋" w:eastAsia="仿宋" w:cs="仿宋"/>
          <w:highlight w:val="none"/>
        </w:rPr>
      </w:pP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本授权有效期：自开标之日起90日历日。</w:t>
      </w:r>
    </w:p>
    <w:p>
      <w:pPr>
        <w:pStyle w:val="24"/>
        <w:ind w:firstLine="480" w:firstLineChars="200"/>
        <w:rPr>
          <w:rFonts w:eastAsia="仿宋"/>
          <w:highlight w:val="none"/>
        </w:rPr>
      </w:pPr>
      <w:r>
        <w:rPr>
          <w:rFonts w:hint="eastAsia" w:ascii="仿宋" w:hAnsi="仿宋" w:eastAsia="仿宋" w:cs="仿宋"/>
          <w:sz w:val="24"/>
          <w:szCs w:val="24"/>
          <w:highlight w:val="none"/>
        </w:rPr>
        <w:t>附：法定代表人和被授权委托代理人身份证复印件。</w:t>
      </w:r>
    </w:p>
    <w:p>
      <w:pPr>
        <w:pStyle w:val="24"/>
        <w:rPr>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说明：</w:t>
      </w:r>
      <w:r>
        <w:rPr>
          <w:rFonts w:hint="eastAsia" w:ascii="仿宋" w:hAnsi="仿宋" w:eastAsia="仿宋" w:cs="仿宋"/>
          <w:highlight w:val="none"/>
        </w:rPr>
        <w:t>后附被授权代表本单位证明：有效的劳动合同或开标截止前六个月内任意一个月养老保险缴纳证明。</w:t>
      </w:r>
    </w:p>
    <w:p>
      <w:pPr>
        <w:rPr>
          <w:rFonts w:ascii="仿宋" w:hAnsi="仿宋" w:eastAsia="仿宋" w:cs="仿宋"/>
          <w:b/>
          <w:sz w:val="28"/>
          <w:szCs w:val="28"/>
          <w:highlight w:val="none"/>
          <w:lang w:val="zh-CN"/>
        </w:rPr>
      </w:pPr>
      <w:bookmarkStart w:id="455" w:name="_Toc10845"/>
      <w:bookmarkStart w:id="456" w:name="_Toc25082"/>
      <w:bookmarkStart w:id="457" w:name="_Toc10643"/>
      <w:r>
        <w:rPr>
          <w:rFonts w:hint="eastAsia" w:ascii="仿宋" w:hAnsi="仿宋" w:eastAsia="仿宋" w:cs="仿宋"/>
          <w:b/>
          <w:sz w:val="28"/>
          <w:szCs w:val="28"/>
          <w:highlight w:val="none"/>
          <w:lang w:val="zh-CN"/>
        </w:rPr>
        <w:br w:type="page"/>
      </w:r>
    </w:p>
    <w:p>
      <w:pPr>
        <w:pStyle w:val="3"/>
        <w:bidi w:val="0"/>
        <w:spacing w:line="360" w:lineRule="auto"/>
        <w:jc w:val="center"/>
        <w:rPr>
          <w:rFonts w:hint="eastAsia" w:ascii="仿宋" w:hAnsi="仿宋" w:eastAsia="仿宋" w:cs="仿宋"/>
          <w:b/>
          <w:bCs/>
          <w:highlight w:val="none"/>
          <w:lang w:val="zh-CN"/>
        </w:rPr>
        <w:sectPr>
          <w:footerReference r:id="rId9"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adjustRightInd w:val="0"/>
        <w:snapToGrid w:val="0"/>
        <w:spacing w:line="360" w:lineRule="auto"/>
        <w:jc w:val="center"/>
        <w:outlineLvl w:val="3"/>
        <w:rPr>
          <w:rFonts w:hint="eastAsia" w:ascii="仿宋" w:hAnsi="仿宋" w:eastAsia="仿宋" w:cs="仿宋"/>
          <w:b/>
          <w:highlight w:val="none"/>
          <w:lang w:val="en-US" w:eastAsia="zh-CN"/>
        </w:rPr>
      </w:pPr>
      <w:r>
        <w:rPr>
          <w:rFonts w:hint="eastAsia" w:ascii="仿宋" w:hAnsi="仿宋" w:eastAsia="仿宋" w:cs="仿宋"/>
          <w:b/>
          <w:highlight w:val="none"/>
          <w:lang w:val="en-US" w:eastAsia="zh-CN"/>
        </w:rPr>
        <w:t>3、投标产品属于医疗器械管理的须提供所投产品的《医疗器械产品注册证》或《医疗器械产品备案凭证》；</w:t>
      </w: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4、投标人为生产厂家的须提供《医疗器械生产许可证》，投标人为代理商的须提供《医疗器械经营许可证》或《医疗器械经营备案证》及生产厂家的《医疗器械生产许可证》。</w:t>
      </w:r>
    </w:p>
    <w:p>
      <w:pPr>
        <w:pStyle w:val="3"/>
        <w:keepNext w:val="0"/>
        <w:keepLines w:val="0"/>
        <w:pageBreakBefore/>
        <w:widowControl/>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highlight w:val="none"/>
          <w:lang w:val="zh-CN"/>
        </w:rPr>
      </w:pPr>
      <w:bookmarkStart w:id="458" w:name="_Toc9841"/>
      <w:r>
        <w:rPr>
          <w:rFonts w:hint="eastAsia" w:ascii="仿宋" w:hAnsi="仿宋" w:eastAsia="仿宋" w:cs="仿宋"/>
          <w:b/>
          <w:bCs/>
          <w:highlight w:val="none"/>
          <w:lang w:val="zh-CN"/>
        </w:rPr>
        <w:t>五、提供政府采购政策等证明材料</w:t>
      </w:r>
      <w:bookmarkEnd w:id="455"/>
      <w:bookmarkEnd w:id="456"/>
      <w:bookmarkEnd w:id="457"/>
      <w:bookmarkEnd w:id="458"/>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（1）中小企业声明函（</w:t>
      </w:r>
      <w:r>
        <w:rPr>
          <w:rFonts w:hint="eastAsia" w:ascii="仿宋" w:hAnsi="仿宋" w:eastAsia="仿宋" w:cs="仿宋"/>
          <w:b w:val="0"/>
          <w:bCs w:val="0"/>
          <w:color w:val="auto"/>
          <w:sz w:val="24"/>
          <w:szCs w:val="24"/>
          <w:highlight w:val="none"/>
          <w:lang w:eastAsia="zh-CN"/>
        </w:rPr>
        <w:t>如适用</w:t>
      </w:r>
      <w:r>
        <w:rPr>
          <w:rFonts w:hint="eastAsia" w:ascii="仿宋" w:hAnsi="仿宋" w:eastAsia="仿宋" w:cs="仿宋"/>
          <w:b w:val="0"/>
          <w:bCs w:val="0"/>
          <w:highlight w:val="none"/>
        </w:rPr>
        <w:t>，</w:t>
      </w:r>
      <w:r>
        <w:rPr>
          <w:rFonts w:hint="eastAsia" w:ascii="仿宋" w:hAnsi="仿宋" w:eastAsia="仿宋" w:cs="仿宋"/>
          <w:highlight w:val="none"/>
        </w:rPr>
        <w:t>请提供，格式见附件1，</w:t>
      </w:r>
      <w:r>
        <w:rPr>
          <w:rFonts w:hint="eastAsia" w:ascii="仿宋" w:hAnsi="仿宋" w:eastAsia="仿宋" w:cs="仿宋"/>
          <w:b/>
          <w:bCs/>
          <w:highlight w:val="none"/>
        </w:rPr>
        <w:t>注：本项目属于</w:t>
      </w:r>
      <w:r>
        <w:rPr>
          <w:rFonts w:hint="eastAsia" w:ascii="仿宋" w:hAnsi="仿宋" w:eastAsia="仿宋" w:cs="仿宋"/>
          <w:b/>
          <w:bCs/>
          <w:highlight w:val="none"/>
          <w:lang w:eastAsia="zh-CN"/>
        </w:rPr>
        <w:t>工业</w:t>
      </w:r>
      <w:r>
        <w:rPr>
          <w:rFonts w:hint="eastAsia" w:ascii="仿宋" w:hAnsi="仿宋" w:eastAsia="仿宋" w:cs="仿宋"/>
          <w:highlight w:val="none"/>
        </w:rPr>
        <w:t>）；</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（2）残疾人福利性单位声明函（如适用，请提供，格式见附件2）；</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（3）监狱企业、福利企业证明材料（如适用，请提供）；</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各供应商可根据企业从业人员、营业收入、资产总额等指标，按照采购文件约定的采购标的对应的中小企业划分标准所属行业和《中小企业划型标准规定》（工信部联企业〔2011〕300 号）进行自测，判断属于中型、小型还是微型企业。</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特别提醒：</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供应商享受中小企业扶持政策的，</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供应商的《中小企业声明函》或《残疾人福利性单位声明函》或监狱企业证明文件将随</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结果公告一同公布，接受社会监督。</w:t>
      </w:r>
    </w:p>
    <w:p>
      <w:pPr>
        <w:pageBreakBefore/>
        <w:adjustRightInd w:val="0"/>
        <w:snapToGrid w:val="0"/>
        <w:spacing w:line="360" w:lineRule="auto"/>
        <w:rPr>
          <w:rFonts w:ascii="仿宋" w:hAnsi="仿宋" w:eastAsia="仿宋" w:cs="仿宋"/>
          <w:b/>
          <w:bCs/>
        </w:rPr>
      </w:pPr>
      <w:r>
        <w:rPr>
          <w:rFonts w:hint="eastAsia" w:ascii="仿宋" w:hAnsi="仿宋" w:eastAsia="仿宋" w:cs="仿宋"/>
          <w:b/>
          <w:bCs/>
        </w:rPr>
        <w:t>附件1：</w:t>
      </w:r>
    </w:p>
    <w:p>
      <w:pPr>
        <w:bidi w:val="0"/>
        <w:spacing w:line="360" w:lineRule="auto"/>
        <w:jc w:val="center"/>
        <w:rPr>
          <w:rFonts w:hint="eastAsia" w:ascii="仿宋" w:hAnsi="仿宋" w:eastAsia="仿宋" w:cs="仿宋"/>
          <w:sz w:val="28"/>
          <w:szCs w:val="28"/>
          <w:highlight w:val="none"/>
        </w:rPr>
      </w:pPr>
      <w:r>
        <w:rPr>
          <w:rFonts w:hint="eastAsia" w:ascii="仿宋" w:hAnsi="仿宋" w:eastAsia="仿宋" w:cs="仿宋"/>
          <w:b/>
          <w:bCs/>
          <w:sz w:val="28"/>
          <w:szCs w:val="24"/>
          <w:highlight w:val="none"/>
        </w:rPr>
        <w:t>中小企业声明函（工程、服务）</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本公司（联合体）郑重声明，根据《政府采购促进中小企业发展管理办法》（财库﹝2020﹞46 号）的规定，本公司（联合体）参加</w:t>
      </w:r>
      <w:r>
        <w:rPr>
          <w:rFonts w:hint="eastAsia" w:ascii="仿宋" w:hAnsi="仿宋" w:eastAsia="仿宋" w:cs="仿宋"/>
          <w:w w:val="95"/>
          <w:sz w:val="24"/>
          <w:szCs w:val="24"/>
          <w:highlight w:val="none"/>
          <w:u w:val="single"/>
        </w:rPr>
        <w:t>（单位名称）</w:t>
      </w:r>
      <w:r>
        <w:rPr>
          <w:rFonts w:hint="eastAsia" w:ascii="仿宋" w:hAnsi="仿宋" w:eastAsia="仿宋" w:cs="仿宋"/>
          <w:w w:val="95"/>
          <w:sz w:val="24"/>
          <w:szCs w:val="24"/>
          <w:highlight w:val="none"/>
        </w:rPr>
        <w:t>的</w:t>
      </w:r>
      <w:r>
        <w:rPr>
          <w:rFonts w:hint="eastAsia" w:ascii="仿宋" w:hAnsi="仿宋" w:eastAsia="仿宋" w:cs="仿宋"/>
          <w:w w:val="95"/>
          <w:sz w:val="24"/>
          <w:szCs w:val="24"/>
          <w:highlight w:val="none"/>
          <w:u w:val="single"/>
        </w:rPr>
        <w:t>（项目名称）</w:t>
      </w:r>
      <w:r>
        <w:rPr>
          <w:rFonts w:hint="eastAsia" w:ascii="仿宋" w:hAnsi="仿宋" w:eastAsia="仿宋" w:cs="仿宋"/>
          <w:color w:val="auto"/>
          <w:spacing w:val="0"/>
          <w:w w:val="100"/>
          <w:kern w:val="2"/>
          <w:sz w:val="24"/>
          <w:szCs w:val="24"/>
          <w:u w:val="single"/>
          <w:lang w:val="en-US" w:eastAsia="zh-CN" w:bidi="ar-SA"/>
        </w:rPr>
        <w:t>（包号）</w:t>
      </w:r>
      <w:r>
        <w:rPr>
          <w:rFonts w:hint="eastAsia" w:ascii="仿宋" w:hAnsi="仿宋" w:eastAsia="仿宋" w:cs="仿宋"/>
          <w:w w:val="95"/>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8"/>
        <w:kinsoku w:val="0"/>
        <w:overflowPunct w:val="0"/>
        <w:spacing w:before="34" w:line="360" w:lineRule="auto"/>
        <w:ind w:firstLine="478" w:firstLineChars="200"/>
        <w:rPr>
          <w:rFonts w:hint="eastAsia" w:ascii="仿宋" w:hAnsi="仿宋" w:eastAsia="仿宋" w:cs="仿宋"/>
          <w:w w:val="95"/>
          <w:sz w:val="24"/>
          <w:szCs w:val="24"/>
          <w:highlight w:val="none"/>
        </w:rPr>
      </w:pPr>
      <w:r>
        <w:rPr>
          <w:rFonts w:hint="eastAsia" w:ascii="仿宋" w:hAnsi="仿宋" w:eastAsia="仿宋" w:cs="仿宋"/>
          <w:spacing w:val="1"/>
          <w:w w:val="99"/>
          <w:sz w:val="24"/>
          <w:szCs w:val="24"/>
          <w:highlight w:val="none"/>
        </w:rPr>
        <w:t>1</w:t>
      </w:r>
      <w:r>
        <w:rPr>
          <w:rFonts w:hint="eastAsia" w:ascii="仿宋" w:hAnsi="仿宋" w:eastAsia="仿宋" w:cs="仿宋"/>
          <w:w w:val="99"/>
          <w:sz w:val="24"/>
          <w:szCs w:val="24"/>
          <w:highlight w:val="none"/>
        </w:rPr>
        <w:t>.</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 xml:space="preserve">人，营业收入为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w:t>
      </w:r>
      <w:r>
        <w:rPr>
          <w:rFonts w:hint="eastAsia" w:ascii="仿宋" w:hAnsi="仿宋" w:eastAsia="仿宋" w:cs="仿宋"/>
          <w:spacing w:val="2"/>
          <w:w w:val="99"/>
          <w:sz w:val="24"/>
          <w:szCs w:val="24"/>
          <w:highlight w:val="none"/>
        </w:rPr>
        <w:t>元</w:t>
      </w:r>
      <w:r>
        <w:rPr>
          <w:rFonts w:hint="eastAsia" w:ascii="仿宋" w:hAnsi="仿宋" w:eastAsia="仿宋" w:cs="仿宋"/>
          <w:spacing w:val="2"/>
          <w:w w:val="99"/>
          <w:sz w:val="24"/>
          <w:szCs w:val="24"/>
          <w:highlight w:val="none"/>
          <w:vertAlign w:val="superscript"/>
        </w:rPr>
        <w:t>1</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2.</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人，营业收入为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left="765" w:right="138" w:hanging="5"/>
        <w:rPr>
          <w:rFonts w:hint="eastAsia" w:ascii="仿宋" w:hAnsi="仿宋" w:eastAsia="仿宋" w:cs="仿宋"/>
          <w:w w:val="99"/>
          <w:sz w:val="24"/>
          <w:szCs w:val="24"/>
          <w:highlight w:val="none"/>
        </w:rPr>
      </w:pPr>
      <w:r>
        <w:rPr>
          <w:rFonts w:hint="eastAsia" w:ascii="仿宋" w:hAnsi="仿宋" w:eastAsia="仿宋" w:cs="仿宋"/>
          <w:sz w:val="24"/>
          <w:szCs w:val="24"/>
          <w:highlight w:val="none"/>
        </w:rPr>
        <w:t>……</w:t>
      </w:r>
      <w:r>
        <w:rPr>
          <w:rFonts w:hint="eastAsia" w:ascii="仿宋" w:hAnsi="仿宋" w:eastAsia="仿宋" w:cs="仿宋"/>
          <w:w w:val="99"/>
          <w:sz w:val="24"/>
          <w:szCs w:val="24"/>
          <w:highlight w:val="none"/>
        </w:rPr>
        <w:t xml:space="preserve"> </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以上企业，不属于大企业的分支机构，不存在控股股东为大企业的情形，也不存在与大企业的负责人为同一人的情形。</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本企业对上述声明内容的真实性负责。如有虚假，将依法承担相应责任。</w:t>
      </w:r>
    </w:p>
    <w:p>
      <w:pPr>
        <w:pStyle w:val="18"/>
        <w:kinsoku w:val="0"/>
        <w:overflowPunct w:val="0"/>
        <w:spacing w:before="56" w:line="360" w:lineRule="auto"/>
        <w:ind w:left="3960" w:right="1748"/>
        <w:rPr>
          <w:rFonts w:hint="eastAsia" w:ascii="仿宋" w:hAnsi="仿宋" w:eastAsia="仿宋" w:cs="仿宋"/>
          <w:spacing w:val="-18"/>
          <w:sz w:val="24"/>
          <w:szCs w:val="24"/>
          <w:highlight w:val="none"/>
        </w:rPr>
      </w:pP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keepLines w:val="0"/>
        <w:kinsoku/>
        <w:wordWrap/>
        <w:overflowPunct/>
        <w:bidi w:val="0"/>
        <w:spacing w:line="360" w:lineRule="auto"/>
        <w:rPr>
          <w:rFonts w:hint="eastAsia" w:ascii="仿宋" w:hAnsi="仿宋" w:eastAsia="仿宋" w:cs="仿宋"/>
          <w:color w:val="auto"/>
          <w:spacing w:val="6"/>
          <w:sz w:val="24"/>
          <w:szCs w:val="24"/>
          <w:highlight w:val="none"/>
        </w:rPr>
      </w:pP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从业人员、营业收入、资产总额填报上一年度数据，无上一年度数据的新成立企业可不填报。</w:t>
      </w:r>
    </w:p>
    <w:p>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仿宋" w:hAnsi="仿宋" w:eastAsia="仿宋" w:cs="仿宋"/>
          <w:b/>
          <w:color w:val="auto"/>
          <w:sz w:val="24"/>
          <w:szCs w:val="24"/>
          <w:highlight w:val="none"/>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bidi w:val="0"/>
        <w:spacing w:line="360" w:lineRule="auto"/>
        <w:jc w:val="center"/>
        <w:rPr>
          <w:rFonts w:hint="eastAsia" w:ascii="仿宋" w:hAnsi="仿宋" w:eastAsia="仿宋" w:cs="仿宋"/>
          <w:b/>
          <w:bCs/>
          <w:color w:val="auto"/>
          <w:spacing w:val="0"/>
          <w:w w:val="100"/>
          <w:sz w:val="28"/>
          <w:szCs w:val="24"/>
        </w:rPr>
      </w:pPr>
      <w:r>
        <w:rPr>
          <w:rFonts w:hint="eastAsia" w:ascii="仿宋" w:hAnsi="仿宋" w:eastAsia="仿宋" w:cs="仿宋"/>
          <w:b/>
          <w:bCs/>
          <w:color w:val="auto"/>
          <w:spacing w:val="0"/>
          <w:w w:val="100"/>
          <w:sz w:val="28"/>
          <w:szCs w:val="24"/>
        </w:rPr>
        <w:t>中小企业声明函（货物）</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spacing w:val="0"/>
          <w:w w:val="100"/>
          <w:kern w:val="2"/>
          <w:sz w:val="24"/>
          <w:szCs w:val="24"/>
          <w:u w:val="single"/>
          <w:lang w:val="en-US" w:eastAsia="zh-CN" w:bidi="ar-SA"/>
        </w:rPr>
        <w:t>（单位名称）</w:t>
      </w:r>
      <w:r>
        <w:rPr>
          <w:rFonts w:hint="eastAsia" w:ascii="仿宋" w:hAnsi="仿宋" w:eastAsia="仿宋" w:cs="仿宋"/>
          <w:color w:val="auto"/>
          <w:spacing w:val="0"/>
          <w:w w:val="100"/>
          <w:kern w:val="2"/>
          <w:sz w:val="24"/>
          <w:szCs w:val="24"/>
          <w:lang w:val="en-US" w:eastAsia="zh-CN" w:bidi="ar-SA"/>
        </w:rPr>
        <w:t>的</w:t>
      </w:r>
      <w:r>
        <w:rPr>
          <w:rFonts w:hint="eastAsia" w:ascii="仿宋" w:hAnsi="仿宋" w:eastAsia="仿宋" w:cs="仿宋"/>
          <w:color w:val="auto"/>
          <w:spacing w:val="0"/>
          <w:w w:val="100"/>
          <w:kern w:val="2"/>
          <w:sz w:val="24"/>
          <w:szCs w:val="24"/>
          <w:u w:val="single"/>
          <w:lang w:val="en-US" w:eastAsia="zh-CN" w:bidi="ar-SA"/>
        </w:rPr>
        <w:t>（项目名称）（包号）</w:t>
      </w:r>
      <w:r>
        <w:rPr>
          <w:rFonts w:hint="eastAsia" w:ascii="仿宋" w:hAnsi="仿宋" w:eastAsia="仿宋" w:cs="仿宋"/>
          <w:color w:val="auto"/>
          <w:spacing w:val="0"/>
          <w:w w:val="100"/>
          <w:kern w:val="2"/>
          <w:sz w:val="24"/>
          <w:szCs w:val="24"/>
          <w:lang w:val="en-US" w:eastAsia="zh-CN" w:bidi="ar-SA"/>
        </w:rPr>
        <w:t>采购活动，提供的货物全部由符合政策要求的中小企业制造。相关企业（含联合体中的中小企业、签订分包意向协议的中小企业）的具体情况如下：</w:t>
      </w:r>
    </w:p>
    <w:p>
      <w:pPr>
        <w:widowControl w:val="0"/>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1.</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i/>
          <w:color w:val="auto"/>
          <w:spacing w:val="0"/>
          <w:w w:val="100"/>
          <w:kern w:val="2"/>
          <w:sz w:val="24"/>
          <w:szCs w:val="24"/>
          <w:lang w:val="en-US" w:eastAsia="zh-CN" w:bidi="ar-SA"/>
        </w:rPr>
        <w:t xml:space="preserve"> </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highlight w:val="none"/>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（采购文件中明确的所属行业）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 入为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（中型企业、小型企业、微型企业）；</w:t>
      </w:r>
    </w:p>
    <w:p>
      <w:pPr>
        <w:widowControl w:val="0"/>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2.</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u w:val="single"/>
          <w:lang w:val="en-US" w:eastAsia="zh-CN" w:bidi="ar-SA"/>
        </w:rPr>
        <w:t>（采购文件中明确的所属行业）行业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人，营业收入 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 企业、微型企业）；</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 xml:space="preserve">…… </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以上企业，不属于大企业的分支机构，不存在控股股东为大企业的情形，也不存在与大企业的负责人为同一人的情形。</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本企业对上述声明内容的真实性负责。如有虚假，将依法承担相应责任。</w:t>
      </w:r>
    </w:p>
    <w:p>
      <w:pPr>
        <w:keepLines w:val="0"/>
        <w:kinsoku/>
        <w:wordWrap/>
        <w:overflowPunct/>
        <w:bidi w:val="0"/>
        <w:spacing w:line="360" w:lineRule="auto"/>
        <w:ind w:firstLine="2880" w:firstLineChars="1200"/>
        <w:rPr>
          <w:rFonts w:hint="eastAsia" w:ascii="仿宋" w:hAnsi="仿宋" w:eastAsia="仿宋" w:cs="仿宋"/>
          <w:color w:val="auto"/>
          <w:spacing w:val="0"/>
          <w:w w:val="100"/>
          <w:sz w:val="24"/>
          <w:szCs w:val="24"/>
        </w:rPr>
      </w:pP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企业名称（盖章）：</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rPr>
        <w:t xml:space="preserve"> </w:t>
      </w: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 xml:space="preserve">日 </w:t>
      </w:r>
      <w:r>
        <w:rPr>
          <w:rFonts w:hint="eastAsia" w:ascii="仿宋" w:hAnsi="仿宋" w:eastAsia="仿宋" w:cs="仿宋"/>
          <w:color w:val="auto"/>
          <w:spacing w:val="0"/>
          <w:w w:val="100"/>
          <w:sz w:val="24"/>
          <w:szCs w:val="24"/>
          <w:lang w:val="en-US" w:eastAsia="zh-CN"/>
        </w:rPr>
        <w:t xml:space="preserve">   </w:t>
      </w:r>
      <w:r>
        <w:rPr>
          <w:rFonts w:hint="eastAsia" w:ascii="仿宋" w:hAnsi="仿宋" w:eastAsia="仿宋" w:cs="仿宋"/>
          <w:color w:val="auto"/>
          <w:spacing w:val="0"/>
          <w:w w:val="100"/>
          <w:sz w:val="24"/>
          <w:szCs w:val="24"/>
        </w:rPr>
        <w:t>期：</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rPr>
        <w:t>1</w:t>
      </w:r>
      <w:r>
        <w:rPr>
          <w:rFonts w:hint="eastAsia" w:ascii="仿宋" w:hAnsi="仿宋" w:eastAsia="仿宋" w:cs="仿宋"/>
          <w:color w:val="auto"/>
          <w:spacing w:val="0"/>
          <w:w w:val="100"/>
          <w:sz w:val="24"/>
          <w:szCs w:val="24"/>
          <w:lang w:eastAsia="zh-CN"/>
        </w:rPr>
        <w:t>、</w:t>
      </w:r>
      <w:r>
        <w:rPr>
          <w:rFonts w:hint="eastAsia" w:ascii="仿宋" w:hAnsi="仿宋" w:eastAsia="仿宋" w:cs="仿宋"/>
          <w:color w:val="auto"/>
          <w:spacing w:val="0"/>
          <w:w w:val="100"/>
          <w:sz w:val="24"/>
          <w:szCs w:val="24"/>
        </w:rPr>
        <w:t>从业人员、营业收入、资产总额填报上一年度数据，无上一年度数据的新成立企业可不填报。</w:t>
      </w:r>
    </w:p>
    <w:p>
      <w:pPr>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br w:type="page"/>
      </w:r>
    </w:p>
    <w:p>
      <w:pPr>
        <w:keepLines w:val="0"/>
        <w:kinsoku/>
        <w:wordWrap/>
        <w:overflowPunct/>
        <w:bidi w:val="0"/>
        <w:spacing w:line="360" w:lineRule="auto"/>
        <w:rPr>
          <w:rFonts w:ascii="仿宋" w:hAnsi="仿宋" w:eastAsia="仿宋" w:cs="仿宋"/>
          <w:b/>
          <w:highlight w:val="none"/>
        </w:rPr>
      </w:pPr>
      <w:r>
        <w:rPr>
          <w:rFonts w:hint="eastAsia" w:ascii="仿宋" w:hAnsi="仿宋" w:eastAsia="仿宋" w:cs="仿宋"/>
          <w:b/>
          <w:highlight w:val="none"/>
        </w:rPr>
        <w:t>附件2：</w:t>
      </w:r>
    </w:p>
    <w:p>
      <w:pPr>
        <w:spacing w:line="360" w:lineRule="auto"/>
        <w:jc w:val="center"/>
        <w:rPr>
          <w:rFonts w:ascii="仿宋" w:hAnsi="仿宋" w:eastAsia="仿宋" w:cs="仿宋"/>
          <w:b/>
          <w:highlight w:val="none"/>
        </w:rPr>
      </w:pPr>
      <w:r>
        <w:rPr>
          <w:rFonts w:hint="eastAsia" w:ascii="仿宋" w:hAnsi="仿宋" w:eastAsia="仿宋" w:cs="仿宋"/>
          <w:b/>
          <w:highlight w:val="none"/>
        </w:rPr>
        <w:t>残疾人福利性单位声明函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highlight w:val="none"/>
          <w:u w:val="single"/>
        </w:rPr>
        <w:t xml:space="preserve">            </w:t>
      </w:r>
      <w:r>
        <w:rPr>
          <w:rFonts w:hint="eastAsia" w:ascii="仿宋" w:hAnsi="仿宋" w:eastAsia="仿宋" w:cs="仿宋"/>
          <w:highlight w:val="none"/>
        </w:rPr>
        <w:t>单位的</w:t>
      </w:r>
      <w:r>
        <w:rPr>
          <w:rFonts w:hint="eastAsia" w:ascii="仿宋" w:hAnsi="仿宋" w:eastAsia="仿宋" w:cs="仿宋"/>
          <w:highlight w:val="none"/>
          <w:u w:val="single"/>
        </w:rPr>
        <w:t xml:space="preserve">            </w:t>
      </w:r>
      <w:r>
        <w:rPr>
          <w:rFonts w:hint="eastAsia" w:ascii="仿宋" w:hAnsi="仿宋" w:eastAsia="仿宋" w:cs="仿宋"/>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本单位对上述声明的真实性负责。如有虚假，将依法承担相应责任。</w:t>
      </w:r>
    </w:p>
    <w:p>
      <w:pPr>
        <w:spacing w:line="360" w:lineRule="auto"/>
        <w:ind w:firstLine="480" w:firstLineChars="200"/>
        <w:rPr>
          <w:rFonts w:ascii="仿宋" w:hAnsi="仿宋" w:eastAsia="仿宋" w:cs="仿宋"/>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rPr>
          <w:rFonts w:ascii="仿宋" w:hAnsi="仿宋" w:eastAsia="仿宋" w:cs="仿宋"/>
          <w:highlight w:val="none"/>
        </w:rPr>
      </w:pPr>
    </w:p>
    <w:p>
      <w:pPr>
        <w:autoSpaceDE w:val="0"/>
        <w:autoSpaceDN w:val="0"/>
        <w:adjustRightInd w:val="0"/>
        <w:snapToGrid w:val="0"/>
        <w:spacing w:line="360" w:lineRule="auto"/>
        <w:rPr>
          <w:rFonts w:ascii="仿宋" w:hAnsi="仿宋" w:eastAsia="仿宋" w:cs="仿宋"/>
          <w:bCs/>
          <w:highlight w:val="none"/>
        </w:r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rPr>
          <w:rFonts w:ascii="仿宋" w:hAnsi="仿宋" w:eastAsia="仿宋" w:cs="仿宋"/>
          <w:b/>
          <w:highlight w:val="none"/>
        </w:rPr>
      </w:pPr>
      <w:r>
        <w:rPr>
          <w:rFonts w:hint="eastAsia" w:ascii="仿宋" w:hAnsi="仿宋" w:eastAsia="仿宋" w:cs="仿宋"/>
          <w:b/>
          <w:highlight w:val="none"/>
        </w:rPr>
        <w:t>附件3：</w:t>
      </w:r>
    </w:p>
    <w:p>
      <w:pPr>
        <w:spacing w:line="360" w:lineRule="auto"/>
        <w:ind w:firstLine="482" w:firstLineChars="200"/>
        <w:jc w:val="center"/>
        <w:rPr>
          <w:rFonts w:ascii="仿宋" w:hAnsi="仿宋" w:eastAsia="仿宋" w:cs="仿宋"/>
          <w:b/>
          <w:bCs/>
          <w:highlight w:val="none"/>
        </w:rPr>
      </w:pPr>
      <w:r>
        <w:rPr>
          <w:rFonts w:hint="eastAsia" w:ascii="仿宋" w:hAnsi="仿宋" w:eastAsia="仿宋" w:cs="仿宋"/>
          <w:b/>
          <w:bCs/>
          <w:highlight w:val="none"/>
        </w:rPr>
        <w:t>监狱企业证明函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监狱企业参加政府采购活动时，应当提供由省级以上监狱管理局、戒毒管理局（含新疆生产建设兵团）出具的属于监狱企业的证明文件。</w:t>
      </w:r>
    </w:p>
    <w:p>
      <w:pPr>
        <w:spacing w:line="588" w:lineRule="exact"/>
        <w:ind w:firstLine="480" w:firstLineChars="200"/>
        <w:rPr>
          <w:rFonts w:ascii="仿宋" w:hAnsi="仿宋" w:eastAsia="仿宋" w:cs="仿宋"/>
          <w:szCs w:val="21"/>
          <w:highlight w:val="none"/>
        </w:rPr>
      </w:pPr>
    </w:p>
    <w:p>
      <w:pPr>
        <w:spacing w:before="120" w:beforeLines="50" w:after="120" w:afterLines="50" w:line="480" w:lineRule="auto"/>
        <w:jc w:val="right"/>
        <w:rPr>
          <w:rFonts w:ascii="仿宋" w:hAnsi="仿宋" w:eastAsia="仿宋" w:cs="仿宋"/>
          <w:szCs w:val="21"/>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ind w:firstLine="240" w:firstLineChars="100"/>
        <w:rPr>
          <w:rFonts w:ascii="仿宋" w:hAnsi="仿宋" w:eastAsia="仿宋" w:cs="仿宋"/>
          <w:highlight w:val="none"/>
        </w:rPr>
      </w:pPr>
    </w:p>
    <w:p>
      <w:pPr>
        <w:adjustRightInd w:val="0"/>
        <w:snapToGrid w:val="0"/>
        <w:spacing w:line="360" w:lineRule="auto"/>
        <w:ind w:firstLine="240" w:firstLineChars="100"/>
        <w:rPr>
          <w:rFonts w:ascii="仿宋" w:hAnsi="仿宋" w:eastAsia="仿宋" w:cs="仿宋"/>
          <w:bCs/>
          <w:highlight w:val="non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jc w:val="center"/>
        <w:outlineLvl w:val="1"/>
        <w:rPr>
          <w:rFonts w:ascii="仿宋" w:hAnsi="仿宋" w:eastAsia="仿宋" w:cs="仿宋"/>
          <w:b/>
          <w:bCs/>
          <w:sz w:val="32"/>
          <w:szCs w:val="15"/>
          <w:highlight w:val="none"/>
          <w:lang w:val="zh-CN"/>
        </w:rPr>
      </w:pPr>
      <w:bookmarkStart w:id="459" w:name="_Toc16852"/>
      <w:bookmarkStart w:id="460" w:name="_Toc15669"/>
      <w:r>
        <w:rPr>
          <w:rFonts w:hint="eastAsia" w:ascii="仿宋" w:hAnsi="仿宋" w:eastAsia="仿宋" w:cs="仿宋"/>
          <w:b/>
          <w:bCs/>
          <w:sz w:val="32"/>
          <w:szCs w:val="15"/>
          <w:highlight w:val="none"/>
          <w:lang w:val="zh-CN"/>
        </w:rPr>
        <w:t>六、合同主要条款偏离表</w:t>
      </w:r>
      <w:bookmarkEnd w:id="384"/>
      <w:bookmarkEnd w:id="385"/>
      <w:bookmarkEnd w:id="386"/>
      <w:bookmarkEnd w:id="390"/>
      <w:bookmarkEnd w:id="391"/>
      <w:bookmarkEnd w:id="392"/>
      <w:bookmarkEnd w:id="393"/>
      <w:bookmarkEnd w:id="394"/>
      <w:bookmarkEnd w:id="395"/>
      <w:bookmarkEnd w:id="396"/>
      <w:bookmarkEnd w:id="397"/>
      <w:bookmarkEnd w:id="398"/>
      <w:bookmarkEnd w:id="459"/>
      <w:bookmarkEnd w:id="460"/>
    </w:p>
    <w:p>
      <w:pPr>
        <w:spacing w:line="360" w:lineRule="auto"/>
        <w:rPr>
          <w:rFonts w:hint="eastAsia" w:ascii="仿宋" w:hAnsi="仿宋" w:eastAsia="仿宋" w:cs="仿宋"/>
          <w:bCs/>
          <w:highlight w:val="none"/>
          <w:lang w:eastAsia="zh-CN"/>
        </w:rPr>
      </w:pPr>
      <w:r>
        <w:rPr>
          <w:rFonts w:hint="eastAsia" w:ascii="仿宋" w:hAnsi="仿宋" w:eastAsia="仿宋" w:cs="仿宋"/>
          <w:bCs/>
          <w:highlight w:val="none"/>
        </w:rPr>
        <w:t xml:space="preserve">项目编号：                             </w:t>
      </w:r>
      <w:r>
        <w:rPr>
          <w:rFonts w:hint="eastAsia" w:ascii="仿宋" w:hAnsi="仿宋" w:eastAsia="仿宋" w:cs="仿宋"/>
          <w:bCs/>
          <w:highlight w:val="none"/>
          <w:lang w:val="en-US" w:eastAsia="zh-CN"/>
        </w:rPr>
        <w:t xml:space="preserve">       </w:t>
      </w:r>
      <w:r>
        <w:rPr>
          <w:rFonts w:hint="eastAsia" w:ascii="仿宋" w:hAnsi="仿宋" w:eastAsia="仿宋" w:cs="仿宋"/>
          <w:bCs/>
          <w:highlight w:val="none"/>
          <w:lang w:eastAsia="zh-CN"/>
        </w:rPr>
        <w:t>包号：</w:t>
      </w:r>
    </w:p>
    <w:tbl>
      <w:tblPr>
        <w:tblStyle w:val="3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序号</w:t>
            </w:r>
          </w:p>
        </w:tc>
        <w:tc>
          <w:tcPr>
            <w:tcW w:w="138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条目号</w:t>
            </w:r>
          </w:p>
        </w:tc>
        <w:tc>
          <w:tcPr>
            <w:tcW w:w="234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招标文件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要求</w:t>
            </w:r>
          </w:p>
        </w:tc>
        <w:tc>
          <w:tcPr>
            <w:tcW w:w="2678"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投标文件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响应</w:t>
            </w:r>
          </w:p>
        </w:tc>
        <w:tc>
          <w:tcPr>
            <w:tcW w:w="84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tc>
        <w:tc>
          <w:tcPr>
            <w:tcW w:w="173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说明：</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1.</w:t>
      </w:r>
      <w:r>
        <w:rPr>
          <w:rFonts w:hint="eastAsia" w:ascii="仿宋" w:hAnsi="仿宋" w:eastAsia="仿宋" w:cs="仿宋"/>
          <w:highlight w:val="none"/>
        </w:rPr>
        <w:t>本表只填写投标文件中与招标文件有偏离（包括负偏离和正偏离）的内容，在投标文件中须一一列出，无偏离时须提供空白表。</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2.</w:t>
      </w:r>
      <w:r>
        <w:rPr>
          <w:rFonts w:hint="eastAsia" w:ascii="仿宋" w:hAnsi="仿宋" w:eastAsia="仿宋" w:cs="仿宋"/>
          <w:highlight w:val="none"/>
        </w:rPr>
        <w:t>投标人必须据实填写，不得虚假响应，否则将取消其投标或中标资格，并按有关规定进处罚。</w:t>
      </w:r>
    </w:p>
    <w:p>
      <w:pPr>
        <w:spacing w:line="360" w:lineRule="auto"/>
        <w:ind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080" w:firstLineChars="1700"/>
        <w:rPr>
          <w:rFonts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bookmarkStart w:id="461" w:name="_Toc475451556"/>
      <w:bookmarkStart w:id="462" w:name="_Toc475451803"/>
      <w:bookmarkStart w:id="463" w:name="_Toc473056006"/>
    </w:p>
    <w:p>
      <w:pPr>
        <w:pStyle w:val="3"/>
        <w:pageBreakBefore/>
        <w:adjustRightInd w:val="0"/>
        <w:spacing w:line="416" w:lineRule="atLeast"/>
        <w:ind w:firstLine="480"/>
        <w:textAlignment w:val="baseline"/>
        <w:rPr>
          <w:rFonts w:ascii="仿宋" w:hAnsi="仿宋" w:eastAsia="仿宋" w:cs="仿宋"/>
          <w:sz w:val="24"/>
          <w:szCs w:val="24"/>
          <w:highlight w:val="none"/>
          <w:lang w:val="zh-CN"/>
        </w:rPr>
        <w:sectPr>
          <w:footerReference r:id="rId11" w:type="default"/>
          <w:headerReference r:id="rId10" w:type="even"/>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464" w:name="_Toc11930"/>
    </w:p>
    <w:bookmarkEnd w:id="461"/>
    <w:bookmarkEnd w:id="462"/>
    <w:bookmarkEnd w:id="463"/>
    <w:bookmarkEnd w:id="464"/>
    <w:p>
      <w:pPr>
        <w:pageBreakBefore/>
        <w:adjustRightInd w:val="0"/>
        <w:snapToGrid w:val="0"/>
        <w:spacing w:line="360" w:lineRule="auto"/>
        <w:jc w:val="center"/>
        <w:outlineLvl w:val="1"/>
        <w:rPr>
          <w:rStyle w:val="49"/>
          <w:rFonts w:hint="eastAsia" w:ascii="仿宋" w:hAnsi="仿宋" w:eastAsia="仿宋" w:cs="仿宋"/>
          <w:color w:val="auto"/>
          <w:sz w:val="32"/>
          <w:szCs w:val="21"/>
          <w:highlight w:val="none"/>
          <w:lang w:eastAsia="zh-CN"/>
        </w:rPr>
      </w:pPr>
      <w:bookmarkStart w:id="465" w:name="_Toc13042"/>
      <w:bookmarkStart w:id="466" w:name="_Toc3327"/>
      <w:bookmarkStart w:id="467" w:name="_Toc300"/>
      <w:bookmarkStart w:id="468" w:name="_Toc21194"/>
      <w:bookmarkStart w:id="469" w:name="_Toc31326"/>
      <w:bookmarkStart w:id="470" w:name="_Toc14308"/>
      <w:bookmarkStart w:id="471" w:name="_Toc370"/>
      <w:bookmarkStart w:id="472" w:name="_Toc9217"/>
      <w:bookmarkStart w:id="473" w:name="_Toc4764"/>
      <w:bookmarkStart w:id="474" w:name="_Toc4404"/>
      <w:bookmarkStart w:id="475" w:name="_Toc22966"/>
      <w:bookmarkStart w:id="476" w:name="_Toc4501"/>
      <w:bookmarkStart w:id="477" w:name="_Toc518"/>
      <w:bookmarkStart w:id="478" w:name="_Toc8297"/>
      <w:bookmarkStart w:id="479" w:name="_Toc3451"/>
      <w:bookmarkStart w:id="480" w:name="_Toc3056"/>
      <w:bookmarkStart w:id="481" w:name="_Toc17011"/>
      <w:bookmarkStart w:id="482" w:name="_Toc13495"/>
      <w:bookmarkStart w:id="483" w:name="_Toc31471"/>
      <w:bookmarkStart w:id="484" w:name="_Toc26791"/>
      <w:bookmarkStart w:id="485" w:name="_Toc26734"/>
      <w:bookmarkStart w:id="486" w:name="_Toc8261"/>
      <w:bookmarkStart w:id="487" w:name="_Toc18224"/>
      <w:bookmarkStart w:id="488" w:name="_Toc31212"/>
      <w:r>
        <w:rPr>
          <w:rStyle w:val="49"/>
          <w:rFonts w:hint="eastAsia" w:ascii="仿宋" w:hAnsi="仿宋" w:eastAsia="仿宋" w:cs="仿宋"/>
          <w:sz w:val="32"/>
          <w:szCs w:val="21"/>
          <w:highlight w:val="none"/>
          <w:lang w:val="en-US" w:eastAsia="zh-CN"/>
        </w:rPr>
        <w:t>七</w:t>
      </w:r>
      <w:r>
        <w:rPr>
          <w:rStyle w:val="49"/>
          <w:rFonts w:hint="eastAsia" w:ascii="仿宋" w:hAnsi="仿宋" w:eastAsia="仿宋" w:cs="仿宋"/>
          <w:sz w:val="32"/>
          <w:szCs w:val="21"/>
          <w:highlight w:val="none"/>
          <w:lang w:val="zh-CN"/>
        </w:rPr>
        <w:t>、</w:t>
      </w:r>
      <w:bookmarkEnd w:id="465"/>
      <w:bookmarkStart w:id="489" w:name="_Toc11833"/>
      <w:bookmarkStart w:id="490" w:name="_Toc9136"/>
      <w:bookmarkStart w:id="491" w:name="_Toc24533"/>
      <w:bookmarkStart w:id="492" w:name="_Toc7263"/>
      <w:bookmarkStart w:id="493" w:name="_Toc13348"/>
      <w:r>
        <w:rPr>
          <w:rStyle w:val="49"/>
          <w:rFonts w:hint="eastAsia" w:ascii="仿宋" w:hAnsi="仿宋" w:eastAsia="仿宋" w:cs="仿宋"/>
          <w:color w:val="auto"/>
          <w:sz w:val="32"/>
          <w:szCs w:val="21"/>
          <w:highlight w:val="none"/>
        </w:rPr>
        <w:t>节能环保、环境标志产品明细表</w:t>
      </w:r>
      <w:r>
        <w:rPr>
          <w:rStyle w:val="49"/>
          <w:rFonts w:hint="eastAsia" w:ascii="仿宋" w:hAnsi="仿宋" w:eastAsia="仿宋" w:cs="仿宋"/>
          <w:color w:val="auto"/>
          <w:sz w:val="32"/>
          <w:szCs w:val="21"/>
          <w:highlight w:val="none"/>
          <w:lang w:eastAsia="zh-CN"/>
        </w:rPr>
        <w:t>（若有）</w:t>
      </w:r>
      <w:bookmarkEnd w:id="466"/>
    </w:p>
    <w:p>
      <w:pPr>
        <w:spacing w:line="360" w:lineRule="auto"/>
        <w:ind w:right="-226"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r>
        <w:rPr>
          <w:rFonts w:hint="eastAsia" w:ascii="仿宋" w:hAnsi="仿宋" w:eastAsia="仿宋" w:cs="仿宋"/>
          <w:bCs/>
          <w:highlight w:val="none"/>
          <w:lang w:eastAsia="zh-CN"/>
        </w:rPr>
        <w:t>包号：</w:t>
      </w:r>
    </w:p>
    <w:tbl>
      <w:tblPr>
        <w:tblStyle w:val="36"/>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序</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产品</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规格</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类</w:t>
            </w:r>
          </w:p>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认证证书</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数</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总</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bl>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Style w:val="49"/>
          <w:rFonts w:hint="eastAsia" w:ascii="仿宋" w:hAnsi="仿宋" w:eastAsia="仿宋" w:cs="仿宋"/>
          <w:sz w:val="32"/>
          <w:szCs w:val="21"/>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
        <w:keepNext w:val="0"/>
        <w:pageBreakBefore/>
        <w:spacing w:line="360" w:lineRule="auto"/>
        <w:ind w:left="0" w:leftChars="0" w:firstLine="0" w:firstLineChars="0"/>
        <w:jc w:val="center"/>
        <w:rPr>
          <w:rFonts w:hint="eastAsia" w:ascii="仿宋" w:hAnsi="仿宋" w:eastAsia="仿宋" w:cs="仿宋"/>
          <w:b/>
          <w:bCs/>
          <w:color w:val="auto"/>
          <w:spacing w:val="0"/>
          <w:w w:val="100"/>
          <w:sz w:val="32"/>
          <w:szCs w:val="15"/>
          <w:highlight w:val="none"/>
          <w:lang w:val="zh-CN" w:eastAsia="zh-CN" w:bidi="ar-SA"/>
        </w:rPr>
      </w:pPr>
      <w:bookmarkStart w:id="494" w:name="_Toc11986"/>
      <w:r>
        <w:rPr>
          <w:rStyle w:val="49"/>
          <w:rFonts w:hint="eastAsia" w:ascii="仿宋" w:hAnsi="仿宋" w:eastAsia="仿宋" w:cs="仿宋"/>
          <w:sz w:val="32"/>
          <w:szCs w:val="21"/>
          <w:highlight w:val="none"/>
          <w:lang w:eastAsia="zh-CN"/>
        </w:rPr>
        <w:t>八、</w:t>
      </w:r>
      <w:r>
        <w:rPr>
          <w:rFonts w:hint="eastAsia" w:ascii="仿宋" w:hAnsi="仿宋" w:eastAsia="仿宋" w:cs="仿宋"/>
          <w:b/>
          <w:bCs/>
          <w:color w:val="auto"/>
          <w:spacing w:val="0"/>
          <w:w w:val="100"/>
          <w:sz w:val="32"/>
          <w:szCs w:val="15"/>
          <w:highlight w:val="none"/>
          <w:lang w:val="zh-CN" w:eastAsia="zh-CN" w:bidi="ar-SA"/>
        </w:rPr>
        <w:t>技术规格偏离表</w:t>
      </w:r>
      <w:bookmarkEnd w:id="494"/>
    </w:p>
    <w:p>
      <w:pPr>
        <w:spacing w:line="360" w:lineRule="auto"/>
        <w:rPr>
          <w:rFonts w:hint="eastAsia" w:ascii="仿宋" w:hAnsi="仿宋" w:eastAsia="仿宋" w:cs="仿宋"/>
          <w:color w:val="auto"/>
          <w:spacing w:val="0"/>
          <w:w w:val="100"/>
          <w:sz w:val="28"/>
          <w:szCs w:val="28"/>
          <w:highlight w:val="none"/>
          <w:lang w:val="en-US" w:eastAsia="zh-CN"/>
        </w:rPr>
      </w:pPr>
      <w:r>
        <w:rPr>
          <w:rFonts w:hint="eastAsia" w:ascii="仿宋" w:hAnsi="仿宋" w:eastAsia="仿宋" w:cs="仿宋"/>
          <w:color w:val="auto"/>
          <w:spacing w:val="0"/>
          <w:w w:val="100"/>
          <w:sz w:val="24"/>
          <w:szCs w:val="24"/>
          <w:highlight w:val="none"/>
        </w:rPr>
        <w:t>项目编号：</w:t>
      </w:r>
      <w:r>
        <w:rPr>
          <w:rFonts w:hint="eastAsia" w:ascii="仿宋" w:hAnsi="仿宋" w:eastAsia="仿宋" w:cs="仿宋"/>
          <w:color w:val="auto"/>
          <w:spacing w:val="0"/>
          <w:w w:val="100"/>
          <w:sz w:val="24"/>
          <w:szCs w:val="24"/>
          <w:highlight w:val="none"/>
          <w:lang w:val="en-US" w:eastAsia="zh-CN"/>
        </w:rPr>
        <w:t xml:space="preserve">                                           </w:t>
      </w:r>
      <w:r>
        <w:rPr>
          <w:rFonts w:hint="eastAsia" w:ascii="仿宋" w:hAnsi="仿宋" w:eastAsia="仿宋" w:cs="仿宋"/>
          <w:bCs/>
          <w:highlight w:val="none"/>
          <w:lang w:eastAsia="zh-CN"/>
        </w:rPr>
        <w:t>包号：</w:t>
      </w:r>
    </w:p>
    <w:tbl>
      <w:tblPr>
        <w:tblStyle w:val="36"/>
        <w:tblW w:w="55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042"/>
        <w:gridCol w:w="2617"/>
        <w:gridCol w:w="2206"/>
        <w:gridCol w:w="2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374"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序号</w:t>
            </w:r>
          </w:p>
        </w:tc>
        <w:tc>
          <w:tcPr>
            <w:tcW w:w="1054" w:type="pct"/>
            <w:noWrap w:val="0"/>
            <w:vAlign w:val="center"/>
          </w:tcPr>
          <w:p>
            <w:pPr>
              <w:adjustRightInd w:val="0"/>
              <w:snapToGrid w:val="0"/>
              <w:spacing w:line="360" w:lineRule="auto"/>
              <w:ind w:right="23"/>
              <w:jc w:val="center"/>
              <w:rPr>
                <w:rFonts w:hint="default" w:ascii="仿宋" w:hAnsi="仿宋" w:eastAsia="仿宋" w:cs="仿宋"/>
                <w:b/>
                <w:bCs/>
                <w:color w:val="auto"/>
                <w:spacing w:val="0"/>
                <w:w w:val="100"/>
                <w:sz w:val="24"/>
                <w:szCs w:val="24"/>
                <w:highlight w:val="none"/>
                <w:lang w:val="en-US" w:eastAsia="zh-CN"/>
              </w:rPr>
            </w:pPr>
            <w:r>
              <w:rPr>
                <w:rFonts w:hint="eastAsia" w:ascii="仿宋" w:hAnsi="仿宋" w:eastAsia="仿宋" w:cs="仿宋"/>
                <w:b/>
                <w:bCs/>
                <w:color w:val="auto"/>
                <w:spacing w:val="0"/>
                <w:w w:val="100"/>
                <w:sz w:val="24"/>
                <w:szCs w:val="24"/>
                <w:highlight w:val="none"/>
                <w:lang w:val="en-US" w:eastAsia="zh-CN"/>
              </w:rPr>
              <w:t>设备名称</w:t>
            </w:r>
          </w:p>
        </w:tc>
        <w:tc>
          <w:tcPr>
            <w:tcW w:w="1351"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招标文件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规格及技术需求</w:t>
            </w:r>
          </w:p>
        </w:tc>
        <w:tc>
          <w:tcPr>
            <w:tcW w:w="1139"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投标文件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规格及技术参数</w:t>
            </w:r>
          </w:p>
        </w:tc>
        <w:tc>
          <w:tcPr>
            <w:tcW w:w="1080"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偏离</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bl>
    <w:p>
      <w:pPr>
        <w:spacing w:line="540" w:lineRule="exact"/>
        <w:ind w:right="-226" w:rightChars="-94" w:firstLine="480" w:firstLineChars="200"/>
        <w:jc w:val="left"/>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w:t>
      </w:r>
    </w:p>
    <w:p>
      <w:pPr>
        <w:numPr>
          <w:ilvl w:val="0"/>
          <w:numId w:val="16"/>
        </w:numPr>
        <w:spacing w:line="360" w:lineRule="auto"/>
        <w:ind w:firstLine="480" w:firstLineChars="200"/>
        <w:rPr>
          <w:rFonts w:hint="eastAsia" w:ascii="仿宋" w:hAnsi="仿宋" w:eastAsia="仿宋" w:cs="仿宋"/>
          <w:color w:val="auto"/>
          <w:spacing w:val="0"/>
          <w:w w:val="100"/>
          <w:sz w:val="24"/>
          <w:szCs w:val="24"/>
          <w:highlight w:val="none"/>
          <w:lang w:val="en-US" w:eastAsia="zh-CN"/>
        </w:rPr>
      </w:pPr>
      <w:r>
        <w:rPr>
          <w:rFonts w:hint="eastAsia" w:ascii="仿宋" w:hAnsi="仿宋" w:eastAsia="仿宋" w:cs="仿宋"/>
          <w:color w:val="auto"/>
          <w:spacing w:val="0"/>
          <w:w w:val="100"/>
          <w:sz w:val="24"/>
          <w:szCs w:val="24"/>
          <w:highlight w:val="none"/>
        </w:rPr>
        <w:t>本表</w:t>
      </w:r>
      <w:r>
        <w:rPr>
          <w:rFonts w:hint="eastAsia" w:ascii="仿宋" w:hAnsi="仿宋" w:eastAsia="仿宋" w:cs="仿宋"/>
          <w:color w:val="auto"/>
          <w:spacing w:val="0"/>
          <w:w w:val="100"/>
          <w:sz w:val="24"/>
          <w:szCs w:val="24"/>
          <w:highlight w:val="none"/>
          <w:lang w:eastAsia="zh-CN"/>
        </w:rPr>
        <w:t>需根据</w:t>
      </w:r>
      <w:r>
        <w:rPr>
          <w:rFonts w:hint="eastAsia" w:ascii="仿宋" w:hAnsi="仿宋" w:eastAsia="仿宋" w:cs="仿宋"/>
          <w:color w:val="auto"/>
          <w:spacing w:val="0"/>
          <w:w w:val="100"/>
          <w:sz w:val="24"/>
          <w:szCs w:val="24"/>
          <w:highlight w:val="none"/>
        </w:rPr>
        <w:t>招标文件“第三部分  招标内容及要求”</w:t>
      </w:r>
      <w:r>
        <w:rPr>
          <w:rFonts w:hint="eastAsia" w:ascii="仿宋" w:hAnsi="仿宋" w:eastAsia="仿宋" w:cs="仿宋"/>
          <w:color w:val="auto"/>
          <w:spacing w:val="0"/>
          <w:w w:val="100"/>
          <w:sz w:val="24"/>
          <w:szCs w:val="24"/>
          <w:highlight w:val="none"/>
          <w:lang w:eastAsia="zh-CN"/>
        </w:rPr>
        <w:t>进行逐一响应，</w:t>
      </w:r>
      <w:r>
        <w:rPr>
          <w:rFonts w:hint="eastAsia" w:ascii="仿宋" w:hAnsi="仿宋" w:eastAsia="仿宋" w:cs="仿宋"/>
          <w:color w:val="auto"/>
          <w:spacing w:val="0"/>
          <w:w w:val="100"/>
          <w:sz w:val="24"/>
          <w:szCs w:val="24"/>
          <w:highlight w:val="none"/>
          <w:lang w:val="en-US" w:eastAsia="zh-CN"/>
        </w:rPr>
        <w:t>偏离及其影响中填写“正偏离、负偏离、无偏离”。</w:t>
      </w:r>
    </w:p>
    <w:p>
      <w:pPr>
        <w:numPr>
          <w:ilvl w:val="0"/>
          <w:numId w:val="16"/>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必须据实填写，不得虚假响应，否则将取消其投标或中标资格，并按有关规定进处罚。</w:t>
      </w:r>
    </w:p>
    <w:p>
      <w:pPr>
        <w:numPr>
          <w:ilvl w:val="0"/>
          <w:numId w:val="16"/>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val="en-US" w:eastAsia="zh-CN"/>
        </w:rPr>
        <w:t>后附</w:t>
      </w:r>
      <w:r>
        <w:rPr>
          <w:rFonts w:hint="eastAsia" w:ascii="仿宋" w:hAnsi="仿宋" w:eastAsia="仿宋" w:cs="仿宋"/>
          <w:color w:val="auto"/>
          <w:spacing w:val="0"/>
          <w:w w:val="100"/>
          <w:sz w:val="24"/>
          <w:szCs w:val="24"/>
          <w:highlight w:val="none"/>
          <w:lang w:val="zh-CN"/>
        </w:rPr>
        <w:t>〖评审要素及分值一览表〗</w:t>
      </w:r>
      <w:r>
        <w:rPr>
          <w:rFonts w:hint="eastAsia" w:ascii="仿宋" w:hAnsi="仿宋" w:eastAsia="仿宋" w:cs="仿宋"/>
          <w:color w:val="auto"/>
          <w:spacing w:val="0"/>
          <w:w w:val="100"/>
          <w:sz w:val="24"/>
          <w:szCs w:val="24"/>
          <w:highlight w:val="none"/>
          <w:lang w:val="en-US" w:eastAsia="zh-CN"/>
        </w:rPr>
        <w:t>中“技术参数”评审要求提供的证明材料。</w:t>
      </w:r>
    </w:p>
    <w:p>
      <w:pPr>
        <w:spacing w:line="360" w:lineRule="auto"/>
        <w:ind w:firstLine="560" w:firstLineChars="200"/>
        <w:rPr>
          <w:rFonts w:hint="eastAsia" w:ascii="仿宋" w:hAnsi="仿宋" w:eastAsia="仿宋" w:cs="仿宋"/>
          <w:color w:val="auto"/>
          <w:spacing w:val="0"/>
          <w:w w:val="100"/>
          <w:sz w:val="28"/>
          <w:szCs w:val="28"/>
          <w:highlight w:val="none"/>
        </w:rPr>
      </w:pPr>
    </w:p>
    <w:p>
      <w:pPr>
        <w:spacing w:line="360" w:lineRule="auto"/>
        <w:ind w:firstLine="4080" w:firstLineChars="17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ind w:firstLine="4080" w:firstLineChars="1700"/>
        <w:rPr>
          <w:rFonts w:hint="eastAsia" w:ascii="仿宋" w:hAnsi="仿宋" w:eastAsia="仿宋" w:cs="仿宋"/>
          <w:color w:val="auto"/>
          <w:spacing w:val="0"/>
          <w:w w:val="100"/>
          <w:sz w:val="32"/>
          <w:szCs w:val="21"/>
          <w:highlight w:val="non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pageBreakBefore/>
        <w:numPr>
          <w:ilvl w:val="0"/>
          <w:numId w:val="0"/>
        </w:numPr>
        <w:adjustRightInd w:val="0"/>
        <w:snapToGrid w:val="0"/>
        <w:spacing w:line="360" w:lineRule="auto"/>
        <w:jc w:val="center"/>
        <w:outlineLvl w:val="1"/>
        <w:rPr>
          <w:rStyle w:val="49"/>
          <w:rFonts w:hint="eastAsia" w:ascii="仿宋" w:hAnsi="仿宋" w:eastAsia="仿宋" w:cs="仿宋"/>
          <w:sz w:val="32"/>
          <w:szCs w:val="21"/>
          <w:highlight w:val="none"/>
          <w:lang w:eastAsia="zh-CN"/>
        </w:rPr>
      </w:pPr>
      <w:bookmarkStart w:id="495" w:name="_Toc28019"/>
      <w:r>
        <w:rPr>
          <w:rFonts w:hint="eastAsia" w:ascii="仿宋" w:hAnsi="仿宋" w:eastAsia="仿宋" w:cs="仿宋"/>
          <w:b/>
          <w:kern w:val="0"/>
          <w:sz w:val="32"/>
          <w:szCs w:val="21"/>
          <w:highlight w:val="none"/>
          <w:lang w:val="en-US" w:eastAsia="zh-CN" w:bidi="ar-SA"/>
        </w:rPr>
        <w:t>九、</w:t>
      </w:r>
      <w:r>
        <w:rPr>
          <w:rStyle w:val="49"/>
          <w:rFonts w:hint="eastAsia" w:ascii="仿宋" w:hAnsi="仿宋" w:eastAsia="仿宋" w:cs="仿宋"/>
          <w:sz w:val="32"/>
          <w:szCs w:val="21"/>
          <w:highlight w:val="none"/>
          <w:lang w:eastAsia="zh-CN"/>
        </w:rPr>
        <w:t>设备供应方案</w:t>
      </w:r>
      <w:bookmarkEnd w:id="495"/>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numPr>
          <w:ilvl w:val="0"/>
          <w:numId w:val="0"/>
        </w:numPr>
        <w:rPr>
          <w:rFonts w:hint="eastAsia"/>
          <w:highlight w:val="none"/>
          <w:lang w:eastAsia="zh-CN"/>
        </w:rPr>
      </w:pPr>
    </w:p>
    <w:p>
      <w:pPr>
        <w:pageBreakBefore/>
        <w:adjustRightInd w:val="0"/>
        <w:snapToGrid w:val="0"/>
        <w:spacing w:line="360" w:lineRule="auto"/>
        <w:jc w:val="center"/>
        <w:outlineLvl w:val="1"/>
        <w:rPr>
          <w:rStyle w:val="49"/>
          <w:rFonts w:hint="eastAsia" w:ascii="仿宋" w:hAnsi="仿宋" w:eastAsia="仿宋" w:cs="仿宋"/>
          <w:sz w:val="32"/>
          <w:szCs w:val="21"/>
          <w:highlight w:val="none"/>
          <w:lang w:eastAsia="zh-CN"/>
        </w:rPr>
      </w:pPr>
      <w:bookmarkStart w:id="496" w:name="_Toc32308"/>
      <w:r>
        <w:rPr>
          <w:rStyle w:val="49"/>
          <w:rFonts w:hint="eastAsia" w:ascii="仿宋" w:hAnsi="仿宋" w:eastAsia="仿宋" w:cs="仿宋"/>
          <w:sz w:val="32"/>
          <w:szCs w:val="21"/>
          <w:highlight w:val="none"/>
          <w:lang w:eastAsia="zh-CN"/>
        </w:rPr>
        <w:t>十、实施方案</w:t>
      </w:r>
      <w:bookmarkEnd w:id="496"/>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ageBreakBefore/>
        <w:numPr>
          <w:ilvl w:val="0"/>
          <w:numId w:val="0"/>
        </w:numPr>
        <w:adjustRightInd w:val="0"/>
        <w:snapToGrid w:val="0"/>
        <w:spacing w:line="360" w:lineRule="auto"/>
        <w:ind w:left="0" w:leftChars="0" w:firstLine="0" w:firstLineChars="0"/>
        <w:jc w:val="left"/>
        <w:outlineLvl w:val="9"/>
        <w:rPr>
          <w:rStyle w:val="49"/>
          <w:rFonts w:ascii="仿宋" w:hAnsi="仿宋" w:eastAsia="仿宋" w:cs="仿宋"/>
          <w:sz w:val="32"/>
          <w:szCs w:val="21"/>
          <w:highlight w:val="none"/>
        </w:rPr>
      </w:pPr>
      <w:r>
        <w:rPr>
          <w:rFonts w:hint="eastAsia" w:ascii="仿宋" w:hAnsi="仿宋" w:eastAsia="仿宋" w:cs="仿宋"/>
          <w:b/>
          <w:kern w:val="0"/>
          <w:sz w:val="28"/>
          <w:szCs w:val="20"/>
          <w:highlight w:val="none"/>
          <w:lang w:val="en-US" w:eastAsia="zh-CN" w:bidi="ar-SA"/>
        </w:rPr>
        <w:t>附件一：</w:t>
      </w:r>
      <w:r>
        <w:rPr>
          <w:rStyle w:val="49"/>
          <w:rFonts w:hint="eastAsia" w:ascii="仿宋" w:hAnsi="仿宋" w:eastAsia="仿宋" w:cs="仿宋"/>
          <w:sz w:val="28"/>
          <w:szCs w:val="20"/>
          <w:highlight w:val="none"/>
        </w:rPr>
        <w:t>拟投入本项目的主要负责人简历表</w:t>
      </w:r>
    </w:p>
    <w:tbl>
      <w:tblPr>
        <w:tblStyle w:val="3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姓  名</w:t>
            </w:r>
          </w:p>
        </w:tc>
        <w:tc>
          <w:tcPr>
            <w:tcW w:w="1682" w:type="dxa"/>
            <w:vAlign w:val="center"/>
          </w:tcPr>
          <w:p>
            <w:pPr>
              <w:jc w:val="center"/>
              <w:rPr>
                <w:rFonts w:ascii="仿宋" w:hAnsi="仿宋" w:eastAsia="仿宋" w:cs="仿宋"/>
                <w:bCs/>
                <w:highlight w:val="none"/>
              </w:rPr>
            </w:pPr>
          </w:p>
        </w:tc>
        <w:tc>
          <w:tcPr>
            <w:tcW w:w="1050" w:type="dxa"/>
            <w:vAlign w:val="center"/>
          </w:tcPr>
          <w:p>
            <w:pPr>
              <w:jc w:val="center"/>
              <w:rPr>
                <w:rFonts w:ascii="仿宋" w:hAnsi="仿宋" w:eastAsia="仿宋" w:cs="仿宋"/>
                <w:bCs/>
                <w:highlight w:val="none"/>
              </w:rPr>
            </w:pPr>
            <w:r>
              <w:rPr>
                <w:rFonts w:hint="eastAsia" w:ascii="仿宋" w:hAnsi="仿宋" w:eastAsia="仿宋" w:cs="仿宋"/>
                <w:bCs/>
                <w:highlight w:val="none"/>
              </w:rPr>
              <w:t>性 别</w:t>
            </w:r>
          </w:p>
        </w:tc>
        <w:tc>
          <w:tcPr>
            <w:tcW w:w="945" w:type="dxa"/>
            <w:vAlign w:val="center"/>
          </w:tcPr>
          <w:p>
            <w:pPr>
              <w:rPr>
                <w:rFonts w:ascii="仿宋" w:hAnsi="仿宋" w:eastAsia="仿宋" w:cs="仿宋"/>
                <w:bCs/>
                <w:highlight w:val="none"/>
              </w:rPr>
            </w:pPr>
          </w:p>
        </w:tc>
        <w:tc>
          <w:tcPr>
            <w:tcW w:w="945" w:type="dxa"/>
            <w:vAlign w:val="center"/>
          </w:tcPr>
          <w:p>
            <w:pPr>
              <w:jc w:val="center"/>
              <w:rPr>
                <w:rFonts w:ascii="仿宋" w:hAnsi="仿宋" w:eastAsia="仿宋" w:cs="仿宋"/>
                <w:bCs/>
                <w:highlight w:val="none"/>
              </w:rPr>
            </w:pPr>
            <w:r>
              <w:rPr>
                <w:rFonts w:hint="eastAsia" w:ascii="仿宋" w:hAnsi="仿宋" w:eastAsia="仿宋" w:cs="仿宋"/>
                <w:bCs/>
                <w:highlight w:val="none"/>
              </w:rPr>
              <w:t>出生 日期</w:t>
            </w:r>
          </w:p>
        </w:tc>
        <w:tc>
          <w:tcPr>
            <w:tcW w:w="2727" w:type="dxa"/>
            <w:vAlign w:val="center"/>
          </w:tcPr>
          <w:p>
            <w:pPr>
              <w:ind w:firstLine="360" w:firstLineChars="150"/>
              <w:rPr>
                <w:rFonts w:ascii="仿宋" w:hAnsi="仿宋" w:eastAsia="仿宋" w:cs="仿宋"/>
                <w:bCs/>
                <w:highlight w:val="none"/>
              </w:rPr>
            </w:pPr>
            <w:r>
              <w:rPr>
                <w:rFonts w:hint="eastAsia" w:ascii="仿宋" w:hAnsi="仿宋" w:eastAsia="仿宋" w:cs="仿宋"/>
                <w:bCs/>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毕业院校及专业</w:t>
            </w:r>
          </w:p>
        </w:tc>
        <w:tc>
          <w:tcPr>
            <w:tcW w:w="3677" w:type="dxa"/>
            <w:gridSpan w:val="3"/>
            <w:vAlign w:val="center"/>
          </w:tcPr>
          <w:p>
            <w:pPr>
              <w:rPr>
                <w:rFonts w:ascii="仿宋" w:hAnsi="仿宋" w:eastAsia="仿宋" w:cs="仿宋"/>
                <w:bCs/>
                <w:highlight w:val="none"/>
              </w:rPr>
            </w:pPr>
          </w:p>
        </w:tc>
        <w:tc>
          <w:tcPr>
            <w:tcW w:w="945" w:type="dxa"/>
            <w:vAlign w:val="center"/>
          </w:tcPr>
          <w:p>
            <w:pPr>
              <w:ind w:left="-18"/>
              <w:jc w:val="center"/>
              <w:rPr>
                <w:rFonts w:ascii="仿宋" w:hAnsi="仿宋" w:eastAsia="仿宋" w:cs="仿宋"/>
                <w:bCs/>
                <w:highlight w:val="none"/>
              </w:rPr>
            </w:pPr>
            <w:r>
              <w:rPr>
                <w:rFonts w:hint="eastAsia" w:ascii="仿宋" w:hAnsi="仿宋" w:eastAsia="仿宋" w:cs="仿宋"/>
                <w:bCs/>
                <w:highlight w:val="none"/>
              </w:rPr>
              <w:t>毕业 时间</w:t>
            </w:r>
          </w:p>
        </w:tc>
        <w:tc>
          <w:tcPr>
            <w:tcW w:w="2727" w:type="dxa"/>
            <w:vAlign w:val="center"/>
          </w:tcPr>
          <w:p>
            <w:pPr>
              <w:ind w:left="45"/>
              <w:rPr>
                <w:rFonts w:ascii="仿宋" w:hAnsi="仿宋" w:eastAsia="仿宋" w:cs="仿宋"/>
                <w:bCs/>
                <w:highlight w:val="none"/>
              </w:rPr>
            </w:pPr>
            <w:r>
              <w:rPr>
                <w:rFonts w:hint="eastAsia" w:ascii="仿宋" w:hAnsi="仿宋" w:eastAsia="仿宋" w:cs="仿宋"/>
                <w:bCs/>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工作年限</w:t>
            </w:r>
          </w:p>
        </w:tc>
        <w:tc>
          <w:tcPr>
            <w:tcW w:w="7349" w:type="dxa"/>
            <w:gridSpan w:val="5"/>
            <w:vAlign w:val="center"/>
          </w:tcPr>
          <w:p>
            <w:pPr>
              <w:rPr>
                <w:rFonts w:ascii="仿宋" w:hAnsi="仿宋" w:eastAsia="仿宋" w:cs="仿宋"/>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pPr>
              <w:jc w:val="center"/>
              <w:rPr>
                <w:rFonts w:ascii="仿宋" w:hAnsi="仿宋" w:eastAsia="仿宋" w:cs="仿宋"/>
                <w:bCs/>
                <w:highlight w:val="none"/>
              </w:rPr>
            </w:pPr>
            <w:r>
              <w:rPr>
                <w:rFonts w:hint="eastAsia" w:ascii="仿宋" w:hAnsi="仿宋" w:eastAsia="仿宋" w:cs="仿宋"/>
                <w:bCs/>
                <w:highlight w:val="none"/>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时   间</w:t>
            </w:r>
          </w:p>
        </w:tc>
        <w:tc>
          <w:tcPr>
            <w:tcW w:w="4622" w:type="dxa"/>
            <w:gridSpan w:val="4"/>
            <w:vAlign w:val="center"/>
          </w:tcPr>
          <w:p>
            <w:pPr>
              <w:jc w:val="center"/>
              <w:rPr>
                <w:rFonts w:ascii="仿宋" w:hAnsi="仿宋" w:eastAsia="仿宋" w:cs="仿宋"/>
                <w:bCs/>
                <w:highlight w:val="none"/>
              </w:rPr>
            </w:pPr>
            <w:r>
              <w:rPr>
                <w:rFonts w:hint="eastAsia" w:ascii="仿宋" w:hAnsi="仿宋" w:eastAsia="仿宋" w:cs="仿宋"/>
                <w:bCs/>
                <w:highlight w:val="none"/>
              </w:rPr>
              <w:t>参加过的项目名称及规模</w:t>
            </w:r>
          </w:p>
        </w:tc>
        <w:tc>
          <w:tcPr>
            <w:tcW w:w="2727" w:type="dxa"/>
            <w:vAlign w:val="center"/>
          </w:tcPr>
          <w:p>
            <w:pPr>
              <w:jc w:val="center"/>
              <w:rPr>
                <w:rFonts w:ascii="仿宋" w:hAnsi="仿宋" w:eastAsia="仿宋" w:cs="仿宋"/>
                <w:bCs/>
                <w:highlight w:val="none"/>
              </w:rPr>
            </w:pPr>
            <w:r>
              <w:rPr>
                <w:rFonts w:hint="eastAsia" w:ascii="仿宋" w:hAnsi="仿宋" w:eastAsia="仿宋" w:cs="仿宋"/>
                <w:bCs/>
                <w:highlight w:val="none"/>
              </w:rPr>
              <w:t>该项目中任职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pPr>
              <w:rPr>
                <w:rFonts w:ascii="仿宋" w:hAnsi="仿宋" w:eastAsia="仿宋" w:cs="仿宋"/>
                <w:bCs/>
                <w:highlight w:val="none"/>
              </w:rPr>
            </w:pPr>
          </w:p>
        </w:tc>
        <w:tc>
          <w:tcPr>
            <w:tcW w:w="4622" w:type="dxa"/>
            <w:gridSpan w:val="4"/>
          </w:tcPr>
          <w:p>
            <w:pPr>
              <w:rPr>
                <w:rFonts w:ascii="仿宋" w:hAnsi="仿宋" w:eastAsia="仿宋" w:cs="仿宋"/>
                <w:bCs/>
                <w:highlight w:val="none"/>
              </w:rPr>
            </w:pPr>
          </w:p>
        </w:tc>
        <w:tc>
          <w:tcPr>
            <w:tcW w:w="2727" w:type="dxa"/>
          </w:tcPr>
          <w:p>
            <w:pPr>
              <w:rPr>
                <w:rFonts w:ascii="仿宋" w:hAnsi="仿宋" w:eastAsia="仿宋" w:cs="仿宋"/>
                <w:bCs/>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注：投标人需随此表在投标文件中附上相关人员学历证明及证书并加盖公章。</w:t>
      </w:r>
    </w:p>
    <w:p>
      <w:pPr>
        <w:adjustRightInd w:val="0"/>
        <w:snapToGrid w:val="0"/>
        <w:spacing w:line="360" w:lineRule="auto"/>
        <w:ind w:firstLine="480" w:firstLineChars="200"/>
        <w:rPr>
          <w:rFonts w:ascii="仿宋" w:hAnsi="仿宋" w:eastAsia="仿宋" w:cs="仿宋"/>
          <w:bCs/>
          <w:color w:val="000000"/>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rPr>
          <w:rFonts w:ascii="仿宋" w:hAnsi="仿宋" w:eastAsia="仿宋" w:cs="仿宋"/>
          <w:highlight w:val="none"/>
          <w:u w:val="single"/>
        </w:rPr>
      </w:pPr>
      <w:r>
        <w:rPr>
          <w:rFonts w:hint="eastAsia" w:ascii="仿宋" w:hAnsi="仿宋" w:eastAsia="仿宋" w:cs="仿宋"/>
          <w:highlight w:val="none"/>
          <w:u w:val="single"/>
        </w:rPr>
        <w:br w:type="page"/>
      </w:r>
    </w:p>
    <w:p>
      <w:pPr>
        <w:pageBreakBefore/>
        <w:adjustRightInd w:val="0"/>
        <w:snapToGrid w:val="0"/>
        <w:spacing w:line="360" w:lineRule="auto"/>
        <w:jc w:val="left"/>
        <w:outlineLvl w:val="9"/>
        <w:rPr>
          <w:rStyle w:val="49"/>
          <w:rFonts w:ascii="仿宋" w:hAnsi="仿宋" w:eastAsia="仿宋" w:cs="仿宋"/>
          <w:sz w:val="28"/>
          <w:szCs w:val="20"/>
          <w:highlight w:val="none"/>
        </w:rPr>
      </w:pPr>
      <w:bookmarkStart w:id="497" w:name="_Toc27006"/>
      <w:bookmarkStart w:id="498" w:name="_Toc32133"/>
      <w:r>
        <w:rPr>
          <w:rStyle w:val="49"/>
          <w:rFonts w:hint="eastAsia" w:ascii="仿宋" w:hAnsi="仿宋" w:eastAsia="仿宋" w:cs="仿宋"/>
          <w:sz w:val="28"/>
          <w:szCs w:val="20"/>
          <w:highlight w:val="none"/>
          <w:lang w:eastAsia="zh-CN"/>
        </w:rPr>
        <w:t>附件二：</w:t>
      </w:r>
      <w:r>
        <w:rPr>
          <w:rStyle w:val="49"/>
          <w:rFonts w:hint="eastAsia" w:ascii="仿宋" w:hAnsi="仿宋" w:eastAsia="仿宋" w:cs="仿宋"/>
          <w:sz w:val="28"/>
          <w:szCs w:val="20"/>
          <w:highlight w:val="none"/>
        </w:rPr>
        <w:t>参与本项目人员表</w:t>
      </w:r>
      <w:bookmarkEnd w:id="497"/>
      <w:bookmarkEnd w:id="498"/>
    </w:p>
    <w:tbl>
      <w:tblPr>
        <w:tblStyle w:val="3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736"/>
        <w:gridCol w:w="1762"/>
        <w:gridCol w:w="2419"/>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319" w:rightChars="13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17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专业</w:t>
            </w:r>
          </w:p>
        </w:tc>
        <w:tc>
          <w:tcPr>
            <w:tcW w:w="24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工作年限</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注：本表所列人员必须为实际人员，项目实施时必须本人到岗，后附相关证书。</w:t>
      </w:r>
    </w:p>
    <w:p>
      <w:pPr>
        <w:spacing w:line="360" w:lineRule="auto"/>
        <w:ind w:firstLine="4080" w:firstLineChars="1700"/>
        <w:rPr>
          <w:rFonts w:ascii="仿宋" w:hAnsi="仿宋" w:eastAsia="仿宋" w:cs="仿宋"/>
          <w:highlight w:val="none"/>
        </w:rPr>
      </w:pPr>
    </w:p>
    <w:p>
      <w:pPr>
        <w:spacing w:line="360" w:lineRule="auto"/>
        <w:ind w:firstLine="560" w:firstLineChars="200"/>
        <w:rPr>
          <w:rFonts w:ascii="仿宋" w:hAnsi="仿宋" w:eastAsia="仿宋" w:cs="仿宋"/>
          <w:sz w:val="28"/>
          <w:szCs w:val="28"/>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ind w:firstLine="4080" w:firstLineChars="1700"/>
        <w:rPr>
          <w:rFonts w:ascii="仿宋" w:hAnsi="仿宋" w:eastAsia="仿宋" w:cs="仿宋"/>
          <w:sz w:val="32"/>
          <w:szCs w:val="21"/>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p>
    <w:p>
      <w:pPr>
        <w:rPr>
          <w:rStyle w:val="49"/>
          <w:rFonts w:hint="eastAsia" w:ascii="仿宋" w:hAnsi="仿宋" w:eastAsia="仿宋" w:cs="仿宋"/>
          <w:sz w:val="32"/>
          <w:szCs w:val="21"/>
          <w:highlight w:val="none"/>
          <w:lang w:eastAsia="zh-CN"/>
        </w:rPr>
      </w:pPr>
      <w:r>
        <w:rPr>
          <w:rStyle w:val="49"/>
          <w:rFonts w:hint="eastAsia" w:ascii="仿宋" w:hAnsi="仿宋" w:eastAsia="仿宋" w:cs="仿宋"/>
          <w:sz w:val="32"/>
          <w:szCs w:val="21"/>
          <w:highlight w:val="none"/>
          <w:lang w:eastAsia="zh-CN"/>
        </w:rPr>
        <w:br w:type="page"/>
      </w:r>
    </w:p>
    <w:p>
      <w:pPr>
        <w:pageBreakBefore/>
        <w:numPr>
          <w:ilvl w:val="0"/>
          <w:numId w:val="0"/>
        </w:numPr>
        <w:adjustRightInd w:val="0"/>
        <w:snapToGrid w:val="0"/>
        <w:spacing w:line="360" w:lineRule="auto"/>
        <w:ind w:left="0" w:leftChars="0" w:firstLine="0" w:firstLineChars="0"/>
        <w:jc w:val="center"/>
        <w:outlineLvl w:val="1"/>
        <w:rPr>
          <w:rStyle w:val="49"/>
          <w:rFonts w:hint="eastAsia" w:ascii="仿宋" w:hAnsi="仿宋" w:eastAsia="仿宋" w:cs="仿宋"/>
          <w:sz w:val="32"/>
          <w:szCs w:val="21"/>
          <w:highlight w:val="none"/>
          <w:lang w:eastAsia="zh-CN"/>
        </w:rPr>
      </w:pPr>
      <w:bookmarkStart w:id="499" w:name="_Toc31542"/>
      <w:r>
        <w:rPr>
          <w:rFonts w:hint="eastAsia" w:ascii="仿宋" w:hAnsi="仿宋" w:eastAsia="仿宋" w:cs="仿宋"/>
          <w:b/>
          <w:kern w:val="0"/>
          <w:sz w:val="32"/>
          <w:szCs w:val="21"/>
          <w:highlight w:val="none"/>
          <w:lang w:val="en-US" w:eastAsia="zh-CN" w:bidi="ar-SA"/>
        </w:rPr>
        <w:t>十一、</w:t>
      </w:r>
      <w:r>
        <w:rPr>
          <w:rStyle w:val="49"/>
          <w:rFonts w:hint="eastAsia" w:ascii="仿宋" w:hAnsi="仿宋" w:eastAsia="仿宋" w:cs="仿宋"/>
          <w:sz w:val="32"/>
          <w:szCs w:val="21"/>
          <w:highlight w:val="none"/>
          <w:lang w:eastAsia="zh-CN"/>
        </w:rPr>
        <w:t>保障措施</w:t>
      </w:r>
      <w:bookmarkEnd w:id="499"/>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eastAsia="zh-CN"/>
        </w:rPr>
      </w:pPr>
    </w:p>
    <w:p>
      <w:pPr>
        <w:pageBreakBefore/>
        <w:numPr>
          <w:ilvl w:val="0"/>
          <w:numId w:val="0"/>
        </w:numPr>
        <w:adjustRightInd w:val="0"/>
        <w:snapToGrid w:val="0"/>
        <w:spacing w:line="360" w:lineRule="auto"/>
        <w:ind w:left="0" w:leftChars="0" w:firstLine="0" w:firstLineChars="0"/>
        <w:jc w:val="center"/>
        <w:outlineLvl w:val="1"/>
        <w:rPr>
          <w:rFonts w:hint="eastAsia" w:ascii="仿宋" w:hAnsi="仿宋" w:eastAsia="仿宋" w:cs="仿宋"/>
          <w:b/>
          <w:kern w:val="0"/>
          <w:sz w:val="32"/>
          <w:szCs w:val="21"/>
          <w:highlight w:val="none"/>
          <w:lang w:val="en-US" w:eastAsia="zh-CN" w:bidi="ar-SA"/>
        </w:rPr>
      </w:pPr>
      <w:bookmarkStart w:id="500" w:name="_Toc30415"/>
      <w:r>
        <w:rPr>
          <w:rFonts w:hint="eastAsia" w:ascii="仿宋" w:hAnsi="仿宋" w:eastAsia="仿宋" w:cs="仿宋"/>
          <w:b/>
          <w:kern w:val="0"/>
          <w:sz w:val="32"/>
          <w:szCs w:val="21"/>
          <w:highlight w:val="none"/>
          <w:lang w:val="en-US" w:eastAsia="zh-CN" w:bidi="ar-SA"/>
        </w:rPr>
        <w:t>十二、应急措施</w:t>
      </w:r>
      <w:bookmarkEnd w:id="500"/>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val="en-US" w:eastAsia="zh-CN"/>
        </w:rPr>
      </w:pPr>
    </w:p>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Pr>
        <w:pStyle w:val="3"/>
        <w:keepNext w:val="0"/>
        <w:keepLines w:val="0"/>
        <w:pageBreakBefore/>
        <w:widowControl w:val="0"/>
        <w:numPr>
          <w:ilvl w:val="0"/>
          <w:numId w:val="0"/>
        </w:numPr>
        <w:kinsoku/>
        <w:wordWrap/>
        <w:overflowPunct/>
        <w:topLinePunct w:val="0"/>
        <w:autoSpaceDE/>
        <w:autoSpaceDN/>
        <w:bidi w:val="0"/>
        <w:spacing w:line="360" w:lineRule="auto"/>
        <w:ind w:left="0" w:leftChars="0" w:firstLine="0" w:firstLineChars="0"/>
        <w:jc w:val="center"/>
        <w:textAlignment w:val="auto"/>
        <w:rPr>
          <w:rFonts w:hint="eastAsia" w:ascii="仿宋" w:hAnsi="仿宋" w:eastAsia="仿宋" w:cs="仿宋"/>
          <w:b/>
          <w:bCs/>
          <w:kern w:val="2"/>
          <w:szCs w:val="15"/>
          <w:highlight w:val="none"/>
          <w:lang w:val="en-US" w:eastAsia="zh-CN"/>
        </w:rPr>
      </w:pPr>
      <w:bookmarkStart w:id="501" w:name="_Toc27349"/>
      <w:bookmarkStart w:id="502" w:name="_Toc15935"/>
      <w:bookmarkStart w:id="503" w:name="_Toc9723"/>
      <w:bookmarkStart w:id="504" w:name="_Toc6448"/>
      <w:bookmarkStart w:id="505" w:name="_Toc30152"/>
      <w:bookmarkStart w:id="506" w:name="_Toc17895"/>
      <w:bookmarkStart w:id="507" w:name="_Toc31908"/>
      <w:r>
        <w:rPr>
          <w:rFonts w:hint="eastAsia" w:ascii="仿宋" w:hAnsi="仿宋" w:eastAsia="仿宋" w:cs="仿宋"/>
          <w:b/>
          <w:bCs/>
          <w:kern w:val="2"/>
          <w:sz w:val="32"/>
          <w:szCs w:val="15"/>
          <w:highlight w:val="none"/>
          <w:lang w:val="en-US" w:eastAsia="zh-CN" w:bidi="ar-SA"/>
        </w:rPr>
        <w:t>十三、</w:t>
      </w:r>
      <w:r>
        <w:rPr>
          <w:rFonts w:hint="eastAsia" w:ascii="仿宋" w:hAnsi="仿宋" w:eastAsia="仿宋" w:cs="仿宋"/>
          <w:b/>
          <w:bCs/>
          <w:kern w:val="2"/>
          <w:szCs w:val="15"/>
          <w:highlight w:val="none"/>
          <w:lang w:val="en-US" w:eastAsia="zh-CN"/>
        </w:rPr>
        <w:t>售后服务</w:t>
      </w:r>
      <w:bookmarkEnd w:id="501"/>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numPr>
          <w:ilvl w:val="0"/>
          <w:numId w:val="0"/>
        </w:numPr>
        <w:rPr>
          <w:rFonts w:hint="eastAsia"/>
          <w:highlight w:val="none"/>
          <w:lang w:val="en-US" w:eastAsia="zh-CN"/>
        </w:rPr>
      </w:pPr>
    </w:p>
    <w:p>
      <w:pPr>
        <w:pStyle w:val="18"/>
        <w:rPr>
          <w:rFonts w:hint="eastAsia"/>
          <w:lang w:val="en-US" w:eastAsia="zh-CN"/>
        </w:rPr>
        <w:sectPr>
          <w:footerReference r:id="rId12"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bookmarkEnd w:id="502"/>
    <w:bookmarkEnd w:id="503"/>
    <w:bookmarkEnd w:id="504"/>
    <w:bookmarkEnd w:id="505"/>
    <w:bookmarkEnd w:id="506"/>
    <w:bookmarkEnd w:id="507"/>
    <w:p>
      <w:pPr>
        <w:pageBreakBefore/>
        <w:spacing w:line="360" w:lineRule="auto"/>
        <w:jc w:val="center"/>
        <w:outlineLvl w:val="1"/>
        <w:rPr>
          <w:rFonts w:ascii="仿宋" w:hAnsi="仿宋" w:eastAsia="仿宋" w:cs="仿宋"/>
          <w:b/>
          <w:sz w:val="44"/>
          <w:szCs w:val="44"/>
          <w:highlight w:val="none"/>
        </w:rPr>
      </w:pPr>
      <w:bookmarkStart w:id="508" w:name="_Toc27139"/>
      <w:bookmarkStart w:id="509" w:name="_Toc18055"/>
      <w:bookmarkStart w:id="510" w:name="_Toc6638"/>
      <w:bookmarkStart w:id="511" w:name="_Toc23271"/>
      <w:bookmarkStart w:id="512" w:name="_Toc19696"/>
      <w:bookmarkStart w:id="513" w:name="_Toc8020"/>
      <w:bookmarkStart w:id="514" w:name="_Toc475451804"/>
      <w:bookmarkStart w:id="515" w:name="_Toc10131"/>
      <w:bookmarkStart w:id="516" w:name="_Toc13774"/>
      <w:bookmarkStart w:id="517" w:name="_Toc18031"/>
      <w:bookmarkStart w:id="518" w:name="_Toc8031"/>
      <w:bookmarkStart w:id="519" w:name="_Toc473056008"/>
      <w:bookmarkStart w:id="520" w:name="_Toc24129"/>
      <w:bookmarkStart w:id="521" w:name="_Toc475451557"/>
      <w:r>
        <w:rPr>
          <w:rFonts w:hint="eastAsia" w:ascii="仿宋" w:hAnsi="仿宋" w:eastAsia="仿宋" w:cs="仿宋"/>
          <w:b/>
          <w:sz w:val="32"/>
          <w:szCs w:val="32"/>
          <w:highlight w:val="none"/>
          <w:lang w:eastAsia="zh-CN"/>
        </w:rPr>
        <w:t>十</w:t>
      </w:r>
      <w:r>
        <w:rPr>
          <w:rFonts w:hint="eastAsia" w:ascii="仿宋" w:hAnsi="仿宋" w:eastAsia="仿宋" w:cs="仿宋"/>
          <w:b/>
          <w:sz w:val="32"/>
          <w:szCs w:val="32"/>
          <w:highlight w:val="none"/>
          <w:lang w:val="en-US" w:eastAsia="zh-CN"/>
        </w:rPr>
        <w:t>四</w:t>
      </w:r>
      <w:r>
        <w:rPr>
          <w:rFonts w:hint="eastAsia" w:ascii="仿宋" w:hAnsi="仿宋" w:eastAsia="仿宋" w:cs="仿宋"/>
          <w:b/>
          <w:sz w:val="32"/>
          <w:szCs w:val="32"/>
          <w:highlight w:val="none"/>
        </w:rPr>
        <w:t>、近年业绩的有关证明材料</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bl>
      <w:tblPr>
        <w:tblStyle w:val="36"/>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highlight w:val="none"/>
              </w:rPr>
            </w:pPr>
            <w:r>
              <w:rPr>
                <w:rFonts w:hint="eastAsia" w:ascii="仿宋" w:hAnsi="仿宋" w:eastAsia="仿宋" w:cs="仿宋"/>
                <w:b/>
                <w:highlight w:val="none"/>
              </w:rPr>
              <w:t>序号</w:t>
            </w:r>
          </w:p>
        </w:tc>
        <w:tc>
          <w:tcPr>
            <w:tcW w:w="1620" w:type="dxa"/>
            <w:vAlign w:val="center"/>
          </w:tcPr>
          <w:p>
            <w:pPr>
              <w:jc w:val="center"/>
              <w:rPr>
                <w:rFonts w:ascii="仿宋" w:hAnsi="仿宋" w:eastAsia="仿宋" w:cs="仿宋"/>
                <w:b/>
                <w:highlight w:val="none"/>
              </w:rPr>
            </w:pPr>
            <w:r>
              <w:rPr>
                <w:rFonts w:hint="eastAsia" w:ascii="仿宋" w:hAnsi="仿宋" w:eastAsia="仿宋" w:cs="仿宋"/>
                <w:b/>
                <w:highlight w:val="none"/>
              </w:rPr>
              <w:t>用户名称</w:t>
            </w:r>
          </w:p>
        </w:tc>
        <w:tc>
          <w:tcPr>
            <w:tcW w:w="2520" w:type="dxa"/>
            <w:vAlign w:val="center"/>
          </w:tcPr>
          <w:p>
            <w:pPr>
              <w:jc w:val="center"/>
              <w:rPr>
                <w:rFonts w:ascii="仿宋" w:hAnsi="仿宋" w:eastAsia="仿宋" w:cs="仿宋"/>
                <w:b/>
                <w:highlight w:val="none"/>
              </w:rPr>
            </w:pPr>
            <w:r>
              <w:rPr>
                <w:rFonts w:hint="eastAsia" w:ascii="仿宋" w:hAnsi="仿宋" w:eastAsia="仿宋" w:cs="仿宋"/>
                <w:b/>
                <w:highlight w:val="none"/>
              </w:rPr>
              <w:t>项目名称</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合同金额</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签订时间</w:t>
            </w:r>
          </w:p>
        </w:tc>
        <w:tc>
          <w:tcPr>
            <w:tcW w:w="1365" w:type="dxa"/>
            <w:vAlign w:val="center"/>
          </w:tcPr>
          <w:p>
            <w:pPr>
              <w:jc w:val="center"/>
              <w:rPr>
                <w:rFonts w:ascii="仿宋" w:hAnsi="仿宋" w:eastAsia="仿宋" w:cs="仿宋"/>
                <w:b/>
                <w:highlight w:val="none"/>
              </w:rPr>
            </w:pPr>
            <w:r>
              <w:rPr>
                <w:rFonts w:hint="eastAsia" w:ascii="仿宋" w:hAnsi="仿宋" w:eastAsia="仿宋" w:cs="仿宋"/>
                <w:b/>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bl>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说明：</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1.相关业绩需提供合同复印件</w:t>
      </w:r>
      <w:r>
        <w:rPr>
          <w:rFonts w:hint="eastAsia" w:ascii="仿宋" w:hAnsi="仿宋" w:eastAsia="仿宋" w:cs="仿宋"/>
          <w:highlight w:val="none"/>
        </w:rPr>
        <w:t>加盖单位公章</w:t>
      </w:r>
      <w:r>
        <w:rPr>
          <w:rFonts w:hint="eastAsia" w:ascii="仿宋" w:hAnsi="仿宋" w:eastAsia="仿宋" w:cs="仿宋"/>
          <w:highlight w:val="none"/>
          <w:lang w:val="zh-CN"/>
        </w:rPr>
        <w:t>。</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2.投标人应如实列出以上情况，如有隐瞒，一经查实将导致其投标文件被拒绝。</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3.未按上述要求提供、填写的，评审时不予以考虑。</w:t>
      </w:r>
    </w:p>
    <w:p>
      <w:pPr>
        <w:spacing w:line="360" w:lineRule="auto"/>
        <w:ind w:right="-226" w:rightChars="-94" w:firstLine="480" w:firstLineChars="200"/>
        <w:rPr>
          <w:rFonts w:ascii="仿宋" w:hAnsi="仿宋" w:eastAsia="仿宋" w:cs="仿宋"/>
          <w:highlight w:val="none"/>
        </w:rPr>
      </w:pPr>
    </w:p>
    <w:p>
      <w:pPr>
        <w:spacing w:line="360" w:lineRule="auto"/>
        <w:ind w:right="-226" w:rightChars="-94"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22" w:name="_Toc18141"/>
      <w:bookmarkStart w:id="523" w:name="_Toc18863"/>
      <w:bookmarkStart w:id="524" w:name="_Toc5549"/>
      <w:r>
        <w:rPr>
          <w:rFonts w:hint="eastAsia" w:ascii="仿宋" w:hAnsi="仿宋" w:eastAsia="仿宋" w:cs="仿宋"/>
          <w:b/>
          <w:bCs/>
          <w:szCs w:val="15"/>
          <w:highlight w:val="none"/>
        </w:rPr>
        <w:t>十</w:t>
      </w:r>
      <w:r>
        <w:rPr>
          <w:rFonts w:hint="eastAsia" w:ascii="仿宋" w:hAnsi="仿宋" w:eastAsia="仿宋" w:cs="仿宋"/>
          <w:b/>
          <w:bCs/>
          <w:szCs w:val="15"/>
          <w:highlight w:val="none"/>
          <w:lang w:val="en-US" w:eastAsia="zh-CN"/>
        </w:rPr>
        <w:t>五</w:t>
      </w:r>
      <w:r>
        <w:rPr>
          <w:rFonts w:hint="eastAsia" w:ascii="仿宋" w:hAnsi="仿宋" w:eastAsia="仿宋" w:cs="仿宋"/>
          <w:b/>
          <w:bCs/>
          <w:szCs w:val="15"/>
          <w:highlight w:val="none"/>
          <w:lang w:val="zh-CN"/>
        </w:rPr>
        <w:t>、投标人企业关系关联承诺书</w:t>
      </w:r>
      <w:bookmarkEnd w:id="522"/>
      <w:bookmarkEnd w:id="523"/>
      <w:bookmarkEnd w:id="524"/>
    </w:p>
    <w:p>
      <w:pPr>
        <w:spacing w:line="360" w:lineRule="auto"/>
        <w:rPr>
          <w:rFonts w:ascii="仿宋" w:hAnsi="仿宋" w:eastAsia="仿宋" w:cs="仿宋"/>
          <w:highlight w:val="none"/>
        </w:rPr>
      </w:pPr>
    </w:p>
    <w:p>
      <w:pPr>
        <w:spacing w:line="360" w:lineRule="auto"/>
        <w:rPr>
          <w:rFonts w:ascii="仿宋" w:hAnsi="仿宋" w:eastAsia="仿宋" w:cs="仿宋"/>
          <w:highlight w:val="none"/>
          <w:u w:val="single"/>
        </w:rPr>
      </w:pPr>
      <w:r>
        <w:rPr>
          <w:rFonts w:hint="eastAsia" w:ascii="仿宋" w:hAnsi="仿宋" w:eastAsia="仿宋" w:cs="仿宋"/>
          <w:highlight w:val="none"/>
        </w:rPr>
        <w:t>致：</w:t>
      </w:r>
      <w:r>
        <w:rPr>
          <w:rFonts w:hint="eastAsia" w:ascii="仿宋" w:hAnsi="仿宋" w:eastAsia="仿宋" w:cs="仿宋"/>
          <w:highlight w:val="none"/>
          <w:u w:val="single"/>
        </w:rPr>
        <w:t xml:space="preserve">     （采购人名称）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我方作为</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（项目编号：</w:t>
      </w:r>
      <w:r>
        <w:rPr>
          <w:rFonts w:hint="eastAsia" w:ascii="仿宋" w:hAnsi="仿宋" w:eastAsia="仿宋" w:cs="仿宋"/>
          <w:highlight w:val="none"/>
          <w:u w:val="single"/>
        </w:rPr>
        <w:t xml:space="preserve">     </w:t>
      </w:r>
      <w:r>
        <w:rPr>
          <w:rFonts w:hint="eastAsia" w:ascii="仿宋" w:hAnsi="仿宋" w:eastAsia="仿宋" w:cs="仿宋"/>
          <w:highlight w:val="none"/>
        </w:rPr>
        <w:t>）的投标人，在此郑重声明：</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1、投标人在本项目中，不存在与其它投标人负责人为同一人，有控股、管理等关联关系承诺。</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2、我方未为本项目提供整体设计、规范编制或者项目管理、监理、检测等服务。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 xml:space="preserve">如有不实，我方将无条件地退出本项目的采购活动，并遵照《政府采购法》有关“提供虚假材料的规定”接受处罚。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特此声明。</w:t>
      </w:r>
    </w:p>
    <w:p>
      <w:pPr>
        <w:autoSpaceDE w:val="0"/>
        <w:autoSpaceDN w:val="0"/>
        <w:adjustRightInd w:val="0"/>
        <w:spacing w:line="360" w:lineRule="auto"/>
        <w:ind w:firstLine="480" w:firstLineChars="200"/>
        <w:rPr>
          <w:rFonts w:ascii="仿宋" w:hAnsi="仿宋" w:eastAsia="仿宋" w:cs="仿宋"/>
          <w:highlight w:val="none"/>
        </w:rPr>
      </w:pPr>
    </w:p>
    <w:p>
      <w:pPr>
        <w:pStyle w:val="34"/>
        <w:ind w:firstLine="240"/>
        <w:rPr>
          <w:rFonts w:ascii="仿宋" w:hAnsi="仿宋" w:eastAsia="仿宋" w:cs="仿宋"/>
          <w:sz w:val="24"/>
          <w:highlight w:val="none"/>
        </w:rPr>
      </w:pPr>
    </w:p>
    <w:p>
      <w:pPr>
        <w:autoSpaceDE w:val="0"/>
        <w:autoSpaceDN w:val="0"/>
        <w:adjustRightInd w:val="0"/>
        <w:spacing w:line="360" w:lineRule="auto"/>
        <w:jc w:val="center"/>
        <w:rPr>
          <w:rFonts w:ascii="仿宋" w:hAnsi="仿宋" w:eastAsia="仿宋" w:cs="仿宋"/>
          <w:b/>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sz w:val="32"/>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25" w:name="_Toc19643"/>
      <w:bookmarkStart w:id="526" w:name="_Toc8931"/>
      <w:bookmarkStart w:id="527" w:name="_Toc31226"/>
      <w:bookmarkStart w:id="528" w:name="_Toc13565"/>
      <w:bookmarkStart w:id="529" w:name="_Toc2681"/>
      <w:bookmarkStart w:id="530" w:name="_Toc2180"/>
      <w:bookmarkStart w:id="531" w:name="_Toc19579"/>
      <w:bookmarkStart w:id="532" w:name="_Toc5082"/>
      <w:bookmarkStart w:id="533" w:name="_Toc12844"/>
      <w:bookmarkStart w:id="534" w:name="_Toc22976"/>
      <w:bookmarkStart w:id="535" w:name="_Toc7489"/>
      <w:bookmarkStart w:id="536" w:name="_Toc1644"/>
      <w:bookmarkStart w:id="537" w:name="_Toc4293"/>
      <w:bookmarkStart w:id="538" w:name="_Toc25138"/>
      <w:bookmarkStart w:id="539" w:name="_Toc7233"/>
      <w:bookmarkStart w:id="540" w:name="_Toc28697"/>
      <w:bookmarkStart w:id="541" w:name="_Toc26328"/>
      <w:bookmarkStart w:id="542" w:name="_Toc25981"/>
      <w:bookmarkStart w:id="543" w:name="_Toc4983"/>
      <w:bookmarkStart w:id="544" w:name="_Toc14521"/>
      <w:bookmarkStart w:id="545" w:name="_Toc7562"/>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六</w:t>
      </w:r>
      <w:r>
        <w:rPr>
          <w:rFonts w:hint="eastAsia" w:ascii="仿宋" w:hAnsi="仿宋" w:eastAsia="仿宋" w:cs="仿宋"/>
          <w:b/>
          <w:bCs/>
          <w:szCs w:val="15"/>
          <w:highlight w:val="none"/>
          <w:lang w:val="zh-CN"/>
        </w:rPr>
        <w:t>、</w:t>
      </w:r>
      <w:r>
        <w:rPr>
          <w:rFonts w:hint="eastAsia" w:ascii="仿宋" w:hAnsi="仿宋" w:eastAsia="仿宋" w:cs="仿宋"/>
          <w:b/>
          <w:bCs/>
          <w:szCs w:val="15"/>
          <w:highlight w:val="none"/>
          <w:lang w:eastAsia="zh-CN"/>
        </w:rPr>
        <w:t>投标人</w:t>
      </w:r>
      <w:r>
        <w:rPr>
          <w:rFonts w:hint="eastAsia" w:ascii="仿宋" w:hAnsi="仿宋" w:eastAsia="仿宋" w:cs="仿宋"/>
          <w:b/>
          <w:bCs/>
          <w:szCs w:val="15"/>
          <w:highlight w:val="none"/>
          <w:lang w:val="zh-CN"/>
        </w:rPr>
        <w:t>廉洁自律承诺书</w:t>
      </w:r>
      <w:bookmarkEnd w:id="525"/>
      <w:bookmarkEnd w:id="526"/>
      <w:bookmarkEnd w:id="527"/>
      <w:bookmarkEnd w:id="528"/>
      <w:bookmarkEnd w:id="529"/>
      <w:bookmarkEnd w:id="530"/>
      <w:bookmarkEnd w:id="531"/>
      <w:bookmarkEnd w:id="532"/>
      <w:bookmarkEnd w:id="533"/>
      <w:bookmarkEnd w:id="534"/>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为了积极配合</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（采购人名称）</w:t>
      </w:r>
      <w:r>
        <w:rPr>
          <w:rFonts w:hint="eastAsia" w:ascii="仿宋" w:hAnsi="仿宋" w:eastAsia="仿宋" w:cs="仿宋"/>
          <w:highlight w:val="none"/>
          <w:u w:val="single"/>
          <w:lang w:val="en-US" w:eastAsia="zh-CN"/>
        </w:rPr>
        <w:t xml:space="preserve">    </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进行的</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招标</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highlight w:val="none"/>
        </w:rPr>
        <w:t>工作</w:t>
      </w:r>
      <w:r>
        <w:rPr>
          <w:rFonts w:hint="eastAsia" w:ascii="仿宋" w:hAnsi="仿宋" w:eastAsia="仿宋" w:cs="仿宋"/>
          <w:snapToGrid w:val="0"/>
          <w:highlight w:val="none"/>
        </w:rPr>
        <w:fldChar w:fldCharType="end"/>
      </w:r>
      <w:r>
        <w:rPr>
          <w:rFonts w:hint="eastAsia" w:ascii="仿宋" w:hAnsi="仿宋" w:eastAsia="仿宋" w:cs="仿宋"/>
          <w:snapToGrid w:val="0"/>
          <w:highlight w:val="none"/>
        </w:rPr>
        <w:t>，有效遏制不公平竞争和违规违纪问题的发生，确保招标工作的公平、公正、公开，我们特向贵司郑重承诺，在政府采购过程中严格遵守下列行为准则：</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1、严格遵守国家有关法律法规及相关政策，以及廉洁从业的各项规定。</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2、不以围标、串标、陪标、挂靠、提供虚假信息、恶意干扰采购人、评标委员会评审等违规手段实现中标目的；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7、不以贿赂之外的其他方式拉拢采购方相关工作人员，使其违背公平、公开、公正竞争原则，帮助实现中标目的。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8、如果采购人相关工作人员以帮助实现成交目的为对价向</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索取贿赂或谋求其他个人利益，</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应拒绝采购人相关工作人员的要求，并向采购人监督部门举报。</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46" w:name="_Toc2096"/>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七</w:t>
      </w:r>
      <w:r>
        <w:rPr>
          <w:rFonts w:hint="eastAsia" w:ascii="仿宋" w:hAnsi="仿宋" w:eastAsia="仿宋" w:cs="仿宋"/>
          <w:b/>
          <w:bCs/>
          <w:szCs w:val="15"/>
          <w:highlight w:val="none"/>
          <w:lang w:val="zh-CN"/>
        </w:rPr>
        <w:t>、投标人认为有必要补充说明的事项</w:t>
      </w:r>
      <w:bookmarkEnd w:id="535"/>
      <w:bookmarkEnd w:id="536"/>
      <w:bookmarkEnd w:id="537"/>
      <w:bookmarkEnd w:id="538"/>
      <w:bookmarkEnd w:id="539"/>
      <w:bookmarkEnd w:id="540"/>
      <w:bookmarkEnd w:id="541"/>
      <w:bookmarkEnd w:id="542"/>
      <w:bookmarkEnd w:id="543"/>
      <w:bookmarkEnd w:id="544"/>
      <w:bookmarkEnd w:id="545"/>
      <w:bookmarkEnd w:id="546"/>
    </w:p>
    <w:p>
      <w:pPr>
        <w:rPr>
          <w:rFonts w:ascii="仿宋" w:hAnsi="仿宋" w:eastAsia="仿宋" w:cs="仿宋"/>
          <w:highlight w:val="none"/>
          <w:lang w:val="zh-CN"/>
        </w:rPr>
      </w:pPr>
    </w:p>
    <w:p>
      <w:pPr>
        <w:spacing w:line="560" w:lineRule="exact"/>
        <w:ind w:firstLine="640" w:firstLineChars="200"/>
        <w:jc w:val="both"/>
        <w:rPr>
          <w:rFonts w:ascii="仿宋" w:hAnsi="仿宋" w:eastAsia="仿宋" w:cs="仿宋"/>
          <w:sz w:val="32"/>
          <w:szCs w:val="32"/>
          <w:highlight w:val="none"/>
        </w:rPr>
      </w:pPr>
    </w:p>
    <w:sectPr>
      <w:footerReference r:id="rId13"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宋体, SimSu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ascii="仿宋" w:hAnsi="仿宋" w:eastAsia="仿宋" w:cs="仿宋"/>
        <w:sz w:val="15"/>
        <w:szCs w:val="15"/>
      </w:rPr>
    </w:pPr>
    <w:r>
      <w:rPr>
        <w:rFonts w:hint="eastAsia" w:ascii="仿宋" w:hAnsi="仿宋" w:eastAsia="仿宋" w:cs="仿宋"/>
        <w:b/>
        <w:bCs/>
        <w:i/>
        <w:sz w:val="15"/>
        <w:szCs w:val="11"/>
        <w:lang w:eastAsia="zh-CN"/>
      </w:rPr>
      <w:t>西安市第八医院新院区基础医疗设备采购项目</w:t>
    </w:r>
    <w:r>
      <w:rPr>
        <w:rFonts w:hint="eastAsia" w:ascii="仿宋" w:hAnsi="仿宋" w:eastAsia="仿宋" w:cs="仿宋"/>
        <w:b/>
        <w:bCs/>
        <w:i/>
        <w:sz w:val="15"/>
        <w:szCs w:val="1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15"/>
        <w:szCs w:val="15"/>
      </w:rPr>
    </w:pPr>
    <w:r>
      <w:rPr>
        <w:rFonts w:hint="eastAsia" w:ascii="宋体" w:hAnsi="宋体"/>
        <w:b/>
        <w:bCs/>
        <w:i/>
        <w:sz w:val="15"/>
        <w:szCs w:val="11"/>
        <w:lang w:eastAsia="zh-CN"/>
      </w:rPr>
      <w:t>西安市第八医院新院区基础医疗设备采购项目</w:t>
    </w:r>
    <w:r>
      <w:rPr>
        <w:rFonts w:hint="eastAsia" w:ascii="宋体" w:hAnsi="宋体"/>
        <w:b/>
        <w:bCs/>
        <w:i/>
        <w:sz w:val="15"/>
        <w:szCs w:val="11"/>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A3854"/>
    <w:multiLevelType w:val="singleLevel"/>
    <w:tmpl w:val="974A3854"/>
    <w:lvl w:ilvl="0" w:tentative="0">
      <w:start w:val="1"/>
      <w:numFmt w:val="decimal"/>
      <w:lvlText w:val="%1."/>
      <w:lvlJc w:val="left"/>
      <w:pPr>
        <w:tabs>
          <w:tab w:val="left" w:pos="312"/>
        </w:tabs>
      </w:pPr>
    </w:lvl>
  </w:abstractNum>
  <w:abstractNum w:abstractNumId="1">
    <w:nsid w:val="9C87B7AE"/>
    <w:multiLevelType w:val="multilevel"/>
    <w:tmpl w:val="9C87B7A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B35B55E"/>
    <w:multiLevelType w:val="multilevel"/>
    <w:tmpl w:val="AB35B55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B34F8BF0"/>
    <w:multiLevelType w:val="multilevel"/>
    <w:tmpl w:val="B34F8BF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E692EE13"/>
    <w:multiLevelType w:val="multilevel"/>
    <w:tmpl w:val="E692EE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55204D"/>
    <w:multiLevelType w:val="multilevel"/>
    <w:tmpl w:val="0655204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721159D"/>
    <w:multiLevelType w:val="singleLevel"/>
    <w:tmpl w:val="0721159D"/>
    <w:lvl w:ilvl="0" w:tentative="0">
      <w:start w:val="1"/>
      <w:numFmt w:val="decimal"/>
      <w:lvlText w:val="%1."/>
      <w:lvlJc w:val="left"/>
      <w:pPr>
        <w:ind w:left="425" w:hanging="425"/>
      </w:pPr>
      <w:rPr>
        <w:rFonts w:hint="default"/>
      </w:rPr>
    </w:lvl>
  </w:abstractNum>
  <w:abstractNum w:abstractNumId="7">
    <w:nsid w:val="0753AA9F"/>
    <w:multiLevelType w:val="singleLevel"/>
    <w:tmpl w:val="0753AA9F"/>
    <w:lvl w:ilvl="0" w:tentative="0">
      <w:start w:val="1"/>
      <w:numFmt w:val="decimal"/>
      <w:lvlText w:val="%1."/>
      <w:lvlJc w:val="left"/>
      <w:pPr>
        <w:ind w:left="425" w:hanging="425"/>
      </w:pPr>
      <w:rPr>
        <w:rFonts w:hint="default"/>
      </w:rPr>
    </w:lvl>
  </w:abstractNum>
  <w:abstractNum w:abstractNumId="8">
    <w:nsid w:val="31425CB2"/>
    <w:multiLevelType w:val="multilevel"/>
    <w:tmpl w:val="31425CB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350EC48"/>
    <w:multiLevelType w:val="singleLevel"/>
    <w:tmpl w:val="3350EC48"/>
    <w:lvl w:ilvl="0" w:tentative="0">
      <w:start w:val="1"/>
      <w:numFmt w:val="decimal"/>
      <w:suff w:val="nothing"/>
      <w:lvlText w:val="%1、"/>
      <w:lvlJc w:val="left"/>
    </w:lvl>
  </w:abstractNum>
  <w:abstractNum w:abstractNumId="10">
    <w:nsid w:val="408017E7"/>
    <w:multiLevelType w:val="singleLevel"/>
    <w:tmpl w:val="408017E7"/>
    <w:lvl w:ilvl="0" w:tentative="0">
      <w:start w:val="1"/>
      <w:numFmt w:val="chineseCounting"/>
      <w:suff w:val="nothing"/>
      <w:lvlText w:val="（%1）"/>
      <w:lvlJc w:val="left"/>
      <w:rPr>
        <w:rFonts w:hint="eastAsia"/>
      </w:rPr>
    </w:lvl>
  </w:abstractNum>
  <w:abstractNum w:abstractNumId="11">
    <w:nsid w:val="456E834F"/>
    <w:multiLevelType w:val="multilevel"/>
    <w:tmpl w:val="456E834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5955014"/>
    <w:multiLevelType w:val="singleLevel"/>
    <w:tmpl w:val="55955014"/>
    <w:lvl w:ilvl="0" w:tentative="0">
      <w:start w:val="1"/>
      <w:numFmt w:val="decimal"/>
      <w:suff w:val="nothing"/>
      <w:lvlText w:val="%1．"/>
      <w:lvlJc w:val="left"/>
      <w:pPr>
        <w:ind w:left="0" w:firstLine="400"/>
      </w:pPr>
      <w:rPr>
        <w:rFonts w:hint="default"/>
      </w:rPr>
    </w:lvl>
  </w:abstractNum>
  <w:abstractNum w:abstractNumId="13">
    <w:nsid w:val="5D0C47E3"/>
    <w:multiLevelType w:val="singleLevel"/>
    <w:tmpl w:val="5D0C47E3"/>
    <w:lvl w:ilvl="0" w:tentative="0">
      <w:start w:val="1"/>
      <w:numFmt w:val="decimal"/>
      <w:lvlText w:val="%1."/>
      <w:lvlJc w:val="left"/>
      <w:pPr>
        <w:tabs>
          <w:tab w:val="left" w:pos="420"/>
        </w:tabs>
        <w:ind w:left="425" w:hanging="425"/>
      </w:pPr>
      <w:rPr>
        <w:rFonts w:hint="default"/>
      </w:rPr>
    </w:lvl>
  </w:abstractNum>
  <w:abstractNum w:abstractNumId="14">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15">
    <w:nsid w:val="6DB43451"/>
    <w:multiLevelType w:val="multilevel"/>
    <w:tmpl w:val="6DB434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
  </w:num>
  <w:num w:numId="2">
    <w:abstractNumId w:val="1"/>
  </w:num>
  <w:num w:numId="3">
    <w:abstractNumId w:val="5"/>
  </w:num>
  <w:num w:numId="4">
    <w:abstractNumId w:val="15"/>
  </w:num>
  <w:num w:numId="5">
    <w:abstractNumId w:val="8"/>
  </w:num>
  <w:num w:numId="6">
    <w:abstractNumId w:val="11"/>
  </w:num>
  <w:num w:numId="7">
    <w:abstractNumId w:val="3"/>
  </w:num>
  <w:num w:numId="8">
    <w:abstractNumId w:val="2"/>
  </w:num>
  <w:num w:numId="9">
    <w:abstractNumId w:val="4"/>
  </w:num>
  <w:num w:numId="10">
    <w:abstractNumId w:val="12"/>
  </w:num>
  <w:num w:numId="11">
    <w:abstractNumId w:val="7"/>
  </w:num>
  <w:num w:numId="12">
    <w:abstractNumId w:val="6"/>
  </w:num>
  <w:num w:numId="13">
    <w:abstractNumId w:val="13"/>
  </w:num>
  <w:num w:numId="14">
    <w:abstractNumId w:val="9"/>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zYjBkMDE0MDUwZWU1MDYzY2M0YTJiMmIyMWQyNDY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1AF9"/>
    <w:rsid w:val="00022A4E"/>
    <w:rsid w:val="00022F41"/>
    <w:rsid w:val="00023261"/>
    <w:rsid w:val="000234CF"/>
    <w:rsid w:val="000235C8"/>
    <w:rsid w:val="000251DF"/>
    <w:rsid w:val="00027E6B"/>
    <w:rsid w:val="00031993"/>
    <w:rsid w:val="0003251F"/>
    <w:rsid w:val="00032BB4"/>
    <w:rsid w:val="00033377"/>
    <w:rsid w:val="00033B5A"/>
    <w:rsid w:val="000353D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2C34"/>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0B"/>
    <w:rsid w:val="000A2583"/>
    <w:rsid w:val="000A2B11"/>
    <w:rsid w:val="000A7A6A"/>
    <w:rsid w:val="000B5741"/>
    <w:rsid w:val="000B5ACF"/>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34A7"/>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67F98"/>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7D7D"/>
    <w:rsid w:val="00300067"/>
    <w:rsid w:val="00300513"/>
    <w:rsid w:val="00300B27"/>
    <w:rsid w:val="0030123B"/>
    <w:rsid w:val="00301E0D"/>
    <w:rsid w:val="00301FAE"/>
    <w:rsid w:val="003024CF"/>
    <w:rsid w:val="00306470"/>
    <w:rsid w:val="00311862"/>
    <w:rsid w:val="00316D60"/>
    <w:rsid w:val="003172BB"/>
    <w:rsid w:val="00322208"/>
    <w:rsid w:val="003245F8"/>
    <w:rsid w:val="00325A1F"/>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77482"/>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D38"/>
    <w:rsid w:val="004155E3"/>
    <w:rsid w:val="00415649"/>
    <w:rsid w:val="004156E2"/>
    <w:rsid w:val="00415AB5"/>
    <w:rsid w:val="00416478"/>
    <w:rsid w:val="00420875"/>
    <w:rsid w:val="0042388D"/>
    <w:rsid w:val="00425038"/>
    <w:rsid w:val="0042688F"/>
    <w:rsid w:val="00427ABD"/>
    <w:rsid w:val="004317AB"/>
    <w:rsid w:val="00431DBF"/>
    <w:rsid w:val="00433512"/>
    <w:rsid w:val="0043432D"/>
    <w:rsid w:val="00441423"/>
    <w:rsid w:val="00441D7B"/>
    <w:rsid w:val="00443B7E"/>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20F8"/>
    <w:rsid w:val="00522932"/>
    <w:rsid w:val="0052539A"/>
    <w:rsid w:val="005309DD"/>
    <w:rsid w:val="005330CB"/>
    <w:rsid w:val="0053320F"/>
    <w:rsid w:val="005340C0"/>
    <w:rsid w:val="00534E48"/>
    <w:rsid w:val="0053507D"/>
    <w:rsid w:val="00535F18"/>
    <w:rsid w:val="00537136"/>
    <w:rsid w:val="005406CD"/>
    <w:rsid w:val="00544037"/>
    <w:rsid w:val="00544FDF"/>
    <w:rsid w:val="0054537C"/>
    <w:rsid w:val="00547AD0"/>
    <w:rsid w:val="005509F0"/>
    <w:rsid w:val="00551012"/>
    <w:rsid w:val="00553778"/>
    <w:rsid w:val="00553AC5"/>
    <w:rsid w:val="00554646"/>
    <w:rsid w:val="00554791"/>
    <w:rsid w:val="00555365"/>
    <w:rsid w:val="005555A0"/>
    <w:rsid w:val="0056050F"/>
    <w:rsid w:val="00560BBE"/>
    <w:rsid w:val="005612F2"/>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4B53"/>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548A"/>
    <w:rsid w:val="005E5BCC"/>
    <w:rsid w:val="005E5CCE"/>
    <w:rsid w:val="005E6CCC"/>
    <w:rsid w:val="005F1247"/>
    <w:rsid w:val="005F19BB"/>
    <w:rsid w:val="005F3B5B"/>
    <w:rsid w:val="005F6909"/>
    <w:rsid w:val="005F6C88"/>
    <w:rsid w:val="0060005D"/>
    <w:rsid w:val="006022C0"/>
    <w:rsid w:val="00602E42"/>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5858"/>
    <w:rsid w:val="00636BF4"/>
    <w:rsid w:val="00637FE9"/>
    <w:rsid w:val="00642CB1"/>
    <w:rsid w:val="006431A9"/>
    <w:rsid w:val="006460E3"/>
    <w:rsid w:val="006466DF"/>
    <w:rsid w:val="00646A42"/>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390"/>
    <w:rsid w:val="00685B24"/>
    <w:rsid w:val="006870E8"/>
    <w:rsid w:val="00690BC5"/>
    <w:rsid w:val="00690C8E"/>
    <w:rsid w:val="00691341"/>
    <w:rsid w:val="006933DD"/>
    <w:rsid w:val="0069471D"/>
    <w:rsid w:val="00695670"/>
    <w:rsid w:val="00695E20"/>
    <w:rsid w:val="006A2D90"/>
    <w:rsid w:val="006A3BA0"/>
    <w:rsid w:val="006A4EC6"/>
    <w:rsid w:val="006A6B87"/>
    <w:rsid w:val="006A6DF3"/>
    <w:rsid w:val="006A7769"/>
    <w:rsid w:val="006B20D5"/>
    <w:rsid w:val="006B34F6"/>
    <w:rsid w:val="006B4952"/>
    <w:rsid w:val="006B5EA1"/>
    <w:rsid w:val="006B62C2"/>
    <w:rsid w:val="006B6316"/>
    <w:rsid w:val="006B6C2F"/>
    <w:rsid w:val="006B7A21"/>
    <w:rsid w:val="006B7F10"/>
    <w:rsid w:val="006C042B"/>
    <w:rsid w:val="006C2543"/>
    <w:rsid w:val="006C2A45"/>
    <w:rsid w:val="006C4042"/>
    <w:rsid w:val="006C6C85"/>
    <w:rsid w:val="006C6F0B"/>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B21"/>
    <w:rsid w:val="00721BAC"/>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84"/>
    <w:rsid w:val="007D20D8"/>
    <w:rsid w:val="007D249E"/>
    <w:rsid w:val="007D2EE8"/>
    <w:rsid w:val="007D4745"/>
    <w:rsid w:val="007D5763"/>
    <w:rsid w:val="007D596E"/>
    <w:rsid w:val="007D6288"/>
    <w:rsid w:val="007D7193"/>
    <w:rsid w:val="007D7958"/>
    <w:rsid w:val="007D7D00"/>
    <w:rsid w:val="007E051D"/>
    <w:rsid w:val="007E1576"/>
    <w:rsid w:val="007E2BD2"/>
    <w:rsid w:val="007E5F41"/>
    <w:rsid w:val="007E6CF2"/>
    <w:rsid w:val="007F0B94"/>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3753"/>
    <w:rsid w:val="008C64FB"/>
    <w:rsid w:val="008C6F63"/>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43A5"/>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0677"/>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43464"/>
    <w:rsid w:val="00B45223"/>
    <w:rsid w:val="00B45C7D"/>
    <w:rsid w:val="00B461F3"/>
    <w:rsid w:val="00B46548"/>
    <w:rsid w:val="00B47EFD"/>
    <w:rsid w:val="00B50604"/>
    <w:rsid w:val="00B50C36"/>
    <w:rsid w:val="00B51C5E"/>
    <w:rsid w:val="00B52083"/>
    <w:rsid w:val="00B52525"/>
    <w:rsid w:val="00B52A88"/>
    <w:rsid w:val="00B52B44"/>
    <w:rsid w:val="00B52D72"/>
    <w:rsid w:val="00B56BAC"/>
    <w:rsid w:val="00B56E5B"/>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38D5"/>
    <w:rsid w:val="00C45741"/>
    <w:rsid w:val="00C4699F"/>
    <w:rsid w:val="00C472A3"/>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34C"/>
    <w:rsid w:val="00C86F92"/>
    <w:rsid w:val="00C90072"/>
    <w:rsid w:val="00C9533B"/>
    <w:rsid w:val="00CA14A2"/>
    <w:rsid w:val="00CA408B"/>
    <w:rsid w:val="00CA597B"/>
    <w:rsid w:val="00CB0748"/>
    <w:rsid w:val="00CB18BD"/>
    <w:rsid w:val="00CB1B09"/>
    <w:rsid w:val="00CB232C"/>
    <w:rsid w:val="00CB2D79"/>
    <w:rsid w:val="00CB2E90"/>
    <w:rsid w:val="00CB31D0"/>
    <w:rsid w:val="00CB4405"/>
    <w:rsid w:val="00CB4EF4"/>
    <w:rsid w:val="00CB5BD0"/>
    <w:rsid w:val="00CB63F6"/>
    <w:rsid w:val="00CC042F"/>
    <w:rsid w:val="00CC11D6"/>
    <w:rsid w:val="00CC237A"/>
    <w:rsid w:val="00CC28FC"/>
    <w:rsid w:val="00CC2A69"/>
    <w:rsid w:val="00CD2668"/>
    <w:rsid w:val="00CD2B6F"/>
    <w:rsid w:val="00CD2FAC"/>
    <w:rsid w:val="00CD3879"/>
    <w:rsid w:val="00CD495B"/>
    <w:rsid w:val="00CD5C64"/>
    <w:rsid w:val="00CD69A5"/>
    <w:rsid w:val="00CD7C0B"/>
    <w:rsid w:val="00CD7C6C"/>
    <w:rsid w:val="00CE3BDB"/>
    <w:rsid w:val="00CE4305"/>
    <w:rsid w:val="00CE44AB"/>
    <w:rsid w:val="00CE4BC6"/>
    <w:rsid w:val="00CE4E5F"/>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F9"/>
    <w:rsid w:val="00D31768"/>
    <w:rsid w:val="00D33471"/>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6B6"/>
    <w:rsid w:val="00E227F4"/>
    <w:rsid w:val="00E23903"/>
    <w:rsid w:val="00E2465F"/>
    <w:rsid w:val="00E2575E"/>
    <w:rsid w:val="00E25E0D"/>
    <w:rsid w:val="00E27DAA"/>
    <w:rsid w:val="00E27FDC"/>
    <w:rsid w:val="00E303C9"/>
    <w:rsid w:val="00E30E7D"/>
    <w:rsid w:val="00E31BA9"/>
    <w:rsid w:val="00E332F8"/>
    <w:rsid w:val="00E33659"/>
    <w:rsid w:val="00E4021E"/>
    <w:rsid w:val="00E40872"/>
    <w:rsid w:val="00E41594"/>
    <w:rsid w:val="00E4296F"/>
    <w:rsid w:val="00E45ECF"/>
    <w:rsid w:val="00E46A08"/>
    <w:rsid w:val="00E47BE1"/>
    <w:rsid w:val="00E518FB"/>
    <w:rsid w:val="00E56FE8"/>
    <w:rsid w:val="00E57945"/>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6E57"/>
    <w:rsid w:val="00EB7A4C"/>
    <w:rsid w:val="00EC0DD8"/>
    <w:rsid w:val="00EC2A66"/>
    <w:rsid w:val="00EC3672"/>
    <w:rsid w:val="00EC44FF"/>
    <w:rsid w:val="00ED0960"/>
    <w:rsid w:val="00ED3782"/>
    <w:rsid w:val="00ED56C1"/>
    <w:rsid w:val="00ED7D80"/>
    <w:rsid w:val="00EE1F49"/>
    <w:rsid w:val="00EE1F87"/>
    <w:rsid w:val="00EE3720"/>
    <w:rsid w:val="00EE3F92"/>
    <w:rsid w:val="00EE7634"/>
    <w:rsid w:val="00EE7FE3"/>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7224"/>
    <w:rsid w:val="00FB01BB"/>
    <w:rsid w:val="00FB1215"/>
    <w:rsid w:val="00FB3D8E"/>
    <w:rsid w:val="00FB4CB0"/>
    <w:rsid w:val="00FB608E"/>
    <w:rsid w:val="00FB6392"/>
    <w:rsid w:val="00FC39BA"/>
    <w:rsid w:val="00FC3DAC"/>
    <w:rsid w:val="00FD1428"/>
    <w:rsid w:val="00FD20C5"/>
    <w:rsid w:val="00FD221D"/>
    <w:rsid w:val="00FD2761"/>
    <w:rsid w:val="00FD309E"/>
    <w:rsid w:val="00FD37B5"/>
    <w:rsid w:val="00FD4568"/>
    <w:rsid w:val="00FD5B5E"/>
    <w:rsid w:val="00FD613E"/>
    <w:rsid w:val="00FD6F4D"/>
    <w:rsid w:val="00FE0559"/>
    <w:rsid w:val="00FE05A0"/>
    <w:rsid w:val="00FE3884"/>
    <w:rsid w:val="00FE3FCF"/>
    <w:rsid w:val="00FF2E19"/>
    <w:rsid w:val="00FF756F"/>
    <w:rsid w:val="01194C66"/>
    <w:rsid w:val="011A1DCA"/>
    <w:rsid w:val="01385904"/>
    <w:rsid w:val="0164361A"/>
    <w:rsid w:val="018C17D4"/>
    <w:rsid w:val="01AB1610"/>
    <w:rsid w:val="01F5207C"/>
    <w:rsid w:val="02545337"/>
    <w:rsid w:val="02943B76"/>
    <w:rsid w:val="03067533"/>
    <w:rsid w:val="03366F2E"/>
    <w:rsid w:val="03433A17"/>
    <w:rsid w:val="03CE5F09"/>
    <w:rsid w:val="03E13B99"/>
    <w:rsid w:val="04473600"/>
    <w:rsid w:val="044F63DD"/>
    <w:rsid w:val="045B70AB"/>
    <w:rsid w:val="04E70F3D"/>
    <w:rsid w:val="04F117E7"/>
    <w:rsid w:val="04F9190C"/>
    <w:rsid w:val="050A565A"/>
    <w:rsid w:val="055E0075"/>
    <w:rsid w:val="05F45B9A"/>
    <w:rsid w:val="065B1B7A"/>
    <w:rsid w:val="065B7491"/>
    <w:rsid w:val="068C7ABB"/>
    <w:rsid w:val="06CF097B"/>
    <w:rsid w:val="06DA3A8A"/>
    <w:rsid w:val="070251B5"/>
    <w:rsid w:val="076B66BB"/>
    <w:rsid w:val="07756429"/>
    <w:rsid w:val="077F3595"/>
    <w:rsid w:val="079C09E9"/>
    <w:rsid w:val="07CC4A4E"/>
    <w:rsid w:val="080153D7"/>
    <w:rsid w:val="082E6CB9"/>
    <w:rsid w:val="082F4AD6"/>
    <w:rsid w:val="08625C0E"/>
    <w:rsid w:val="0882284B"/>
    <w:rsid w:val="089D30BD"/>
    <w:rsid w:val="08DF12A5"/>
    <w:rsid w:val="091B4D30"/>
    <w:rsid w:val="09972CBF"/>
    <w:rsid w:val="09A57378"/>
    <w:rsid w:val="0A403456"/>
    <w:rsid w:val="0A7D0B7C"/>
    <w:rsid w:val="0ABF17D9"/>
    <w:rsid w:val="0ACC4423"/>
    <w:rsid w:val="0B3643CE"/>
    <w:rsid w:val="0B474E14"/>
    <w:rsid w:val="0B640761"/>
    <w:rsid w:val="0B664089"/>
    <w:rsid w:val="0BB13318"/>
    <w:rsid w:val="0C2B3D7B"/>
    <w:rsid w:val="0C561B7F"/>
    <w:rsid w:val="0C5D4062"/>
    <w:rsid w:val="0C99359F"/>
    <w:rsid w:val="0C9B6078"/>
    <w:rsid w:val="0CEF1E03"/>
    <w:rsid w:val="0D0F299B"/>
    <w:rsid w:val="0D244E26"/>
    <w:rsid w:val="0D755806"/>
    <w:rsid w:val="0D9A6530"/>
    <w:rsid w:val="0DA97D37"/>
    <w:rsid w:val="0E3A7406"/>
    <w:rsid w:val="0E4F6BE7"/>
    <w:rsid w:val="0E816553"/>
    <w:rsid w:val="0EE8268F"/>
    <w:rsid w:val="0F265A2B"/>
    <w:rsid w:val="0F9242C9"/>
    <w:rsid w:val="0FB50E2A"/>
    <w:rsid w:val="0FBD4E9D"/>
    <w:rsid w:val="0FF15A65"/>
    <w:rsid w:val="10801A33"/>
    <w:rsid w:val="10B1408D"/>
    <w:rsid w:val="113E4DF9"/>
    <w:rsid w:val="118D3B9B"/>
    <w:rsid w:val="1193257A"/>
    <w:rsid w:val="11976CA6"/>
    <w:rsid w:val="119F5F2F"/>
    <w:rsid w:val="12154D3D"/>
    <w:rsid w:val="12B10F0A"/>
    <w:rsid w:val="131916C8"/>
    <w:rsid w:val="1467771D"/>
    <w:rsid w:val="146814E3"/>
    <w:rsid w:val="148D166A"/>
    <w:rsid w:val="14A222B6"/>
    <w:rsid w:val="14C90DDD"/>
    <w:rsid w:val="14FC0436"/>
    <w:rsid w:val="15754971"/>
    <w:rsid w:val="16054926"/>
    <w:rsid w:val="1716516A"/>
    <w:rsid w:val="17A07E36"/>
    <w:rsid w:val="187542A6"/>
    <w:rsid w:val="188678E5"/>
    <w:rsid w:val="1A0F5BC2"/>
    <w:rsid w:val="1AA6324F"/>
    <w:rsid w:val="1B8847FE"/>
    <w:rsid w:val="1B926FF4"/>
    <w:rsid w:val="1BC77B49"/>
    <w:rsid w:val="1C127CD4"/>
    <w:rsid w:val="1C580648"/>
    <w:rsid w:val="1D413B98"/>
    <w:rsid w:val="1D734458"/>
    <w:rsid w:val="1D8F1E47"/>
    <w:rsid w:val="1DBA015C"/>
    <w:rsid w:val="1E093B57"/>
    <w:rsid w:val="1E0C1B7D"/>
    <w:rsid w:val="1E5F1B35"/>
    <w:rsid w:val="1E9D0C6D"/>
    <w:rsid w:val="1EF158F8"/>
    <w:rsid w:val="1F4B6B94"/>
    <w:rsid w:val="1F897135"/>
    <w:rsid w:val="1FB32D72"/>
    <w:rsid w:val="20067F72"/>
    <w:rsid w:val="20296F02"/>
    <w:rsid w:val="206E3AAB"/>
    <w:rsid w:val="21243E24"/>
    <w:rsid w:val="21835F24"/>
    <w:rsid w:val="219E1CFE"/>
    <w:rsid w:val="21D07D7F"/>
    <w:rsid w:val="227A789C"/>
    <w:rsid w:val="22EA651D"/>
    <w:rsid w:val="231D220C"/>
    <w:rsid w:val="234D7605"/>
    <w:rsid w:val="23693C6E"/>
    <w:rsid w:val="238D3B0E"/>
    <w:rsid w:val="243A262C"/>
    <w:rsid w:val="248D427C"/>
    <w:rsid w:val="2492465E"/>
    <w:rsid w:val="24F72D22"/>
    <w:rsid w:val="2509389C"/>
    <w:rsid w:val="25657932"/>
    <w:rsid w:val="26844E74"/>
    <w:rsid w:val="27116469"/>
    <w:rsid w:val="272E506B"/>
    <w:rsid w:val="27BA21B7"/>
    <w:rsid w:val="27EE6AB8"/>
    <w:rsid w:val="28163909"/>
    <w:rsid w:val="28C36E49"/>
    <w:rsid w:val="28DC725E"/>
    <w:rsid w:val="293A25EE"/>
    <w:rsid w:val="294D08C9"/>
    <w:rsid w:val="2952510D"/>
    <w:rsid w:val="29746395"/>
    <w:rsid w:val="2996455E"/>
    <w:rsid w:val="29B2751A"/>
    <w:rsid w:val="2A3C49CC"/>
    <w:rsid w:val="2A9767DF"/>
    <w:rsid w:val="2ABC6C28"/>
    <w:rsid w:val="2AE47A9C"/>
    <w:rsid w:val="2B3562F1"/>
    <w:rsid w:val="2BE66EB8"/>
    <w:rsid w:val="2C564EB8"/>
    <w:rsid w:val="2C5C5DE2"/>
    <w:rsid w:val="2CB607EE"/>
    <w:rsid w:val="2D816359"/>
    <w:rsid w:val="2DA53476"/>
    <w:rsid w:val="2E2F55F3"/>
    <w:rsid w:val="2E5A0537"/>
    <w:rsid w:val="2ED2797B"/>
    <w:rsid w:val="2EE21A82"/>
    <w:rsid w:val="2EE44116"/>
    <w:rsid w:val="2EE601C7"/>
    <w:rsid w:val="2F0B45DB"/>
    <w:rsid w:val="2F1F1653"/>
    <w:rsid w:val="2F41001C"/>
    <w:rsid w:val="2FED5A1D"/>
    <w:rsid w:val="2FFE154C"/>
    <w:rsid w:val="300D42E6"/>
    <w:rsid w:val="301D5B54"/>
    <w:rsid w:val="3023769A"/>
    <w:rsid w:val="30BE2CF1"/>
    <w:rsid w:val="30DC6AFF"/>
    <w:rsid w:val="30F235D8"/>
    <w:rsid w:val="3160570F"/>
    <w:rsid w:val="31801BA7"/>
    <w:rsid w:val="319932ED"/>
    <w:rsid w:val="31D065DF"/>
    <w:rsid w:val="31EA5192"/>
    <w:rsid w:val="324D3345"/>
    <w:rsid w:val="32520D85"/>
    <w:rsid w:val="327204B3"/>
    <w:rsid w:val="32940D37"/>
    <w:rsid w:val="32AF26F3"/>
    <w:rsid w:val="32BE5D78"/>
    <w:rsid w:val="32D26123"/>
    <w:rsid w:val="3310254A"/>
    <w:rsid w:val="33231D82"/>
    <w:rsid w:val="332E2007"/>
    <w:rsid w:val="33385DC3"/>
    <w:rsid w:val="3383429E"/>
    <w:rsid w:val="34207B20"/>
    <w:rsid w:val="34342D4D"/>
    <w:rsid w:val="3448372F"/>
    <w:rsid w:val="34753897"/>
    <w:rsid w:val="34FA1B38"/>
    <w:rsid w:val="352E64BB"/>
    <w:rsid w:val="35C32010"/>
    <w:rsid w:val="36075618"/>
    <w:rsid w:val="3629686E"/>
    <w:rsid w:val="36D34458"/>
    <w:rsid w:val="36D8170A"/>
    <w:rsid w:val="36F4770C"/>
    <w:rsid w:val="376F1E40"/>
    <w:rsid w:val="385C4BC4"/>
    <w:rsid w:val="38B21D00"/>
    <w:rsid w:val="38C36AAA"/>
    <w:rsid w:val="38EF3C8A"/>
    <w:rsid w:val="39236DE6"/>
    <w:rsid w:val="393F419F"/>
    <w:rsid w:val="39FC75C0"/>
    <w:rsid w:val="3A2A6565"/>
    <w:rsid w:val="3A4E08BC"/>
    <w:rsid w:val="3A6366DE"/>
    <w:rsid w:val="3AEA11D1"/>
    <w:rsid w:val="3AF73132"/>
    <w:rsid w:val="3AF9127F"/>
    <w:rsid w:val="3B9B69A9"/>
    <w:rsid w:val="3BA6033C"/>
    <w:rsid w:val="3BAD6624"/>
    <w:rsid w:val="3BDB4C8A"/>
    <w:rsid w:val="3C112A88"/>
    <w:rsid w:val="3C687FDC"/>
    <w:rsid w:val="3D067E9E"/>
    <w:rsid w:val="3D2D0B07"/>
    <w:rsid w:val="3DC2196D"/>
    <w:rsid w:val="3E266119"/>
    <w:rsid w:val="3E282DE9"/>
    <w:rsid w:val="3E54789E"/>
    <w:rsid w:val="3E5527E2"/>
    <w:rsid w:val="3E565C0C"/>
    <w:rsid w:val="3E65787A"/>
    <w:rsid w:val="3E6C205F"/>
    <w:rsid w:val="3E7D1CE9"/>
    <w:rsid w:val="3F0A7FA0"/>
    <w:rsid w:val="3F456FEF"/>
    <w:rsid w:val="3FC30A96"/>
    <w:rsid w:val="3FC9171F"/>
    <w:rsid w:val="40240EF9"/>
    <w:rsid w:val="40CB7ED4"/>
    <w:rsid w:val="40DD473F"/>
    <w:rsid w:val="40E75D9D"/>
    <w:rsid w:val="41AC18CB"/>
    <w:rsid w:val="433B5262"/>
    <w:rsid w:val="43464D2B"/>
    <w:rsid w:val="43D91BAC"/>
    <w:rsid w:val="44403DB1"/>
    <w:rsid w:val="44DD2B77"/>
    <w:rsid w:val="45431007"/>
    <w:rsid w:val="4552724E"/>
    <w:rsid w:val="45B64B59"/>
    <w:rsid w:val="45D0675D"/>
    <w:rsid w:val="46291303"/>
    <w:rsid w:val="46805F22"/>
    <w:rsid w:val="46BB2228"/>
    <w:rsid w:val="47356C9B"/>
    <w:rsid w:val="473C68D4"/>
    <w:rsid w:val="47BD53D0"/>
    <w:rsid w:val="48781C17"/>
    <w:rsid w:val="48804343"/>
    <w:rsid w:val="48B32B2A"/>
    <w:rsid w:val="48C00651"/>
    <w:rsid w:val="48C466DB"/>
    <w:rsid w:val="48EB4201"/>
    <w:rsid w:val="4958211B"/>
    <w:rsid w:val="49C2099D"/>
    <w:rsid w:val="4A16118F"/>
    <w:rsid w:val="4A5757CD"/>
    <w:rsid w:val="4A7B3977"/>
    <w:rsid w:val="4AB34B18"/>
    <w:rsid w:val="4AB37E7C"/>
    <w:rsid w:val="4BF83361"/>
    <w:rsid w:val="4BFB7F0D"/>
    <w:rsid w:val="4C536130"/>
    <w:rsid w:val="4C6B369C"/>
    <w:rsid w:val="4CA60661"/>
    <w:rsid w:val="4D2B317E"/>
    <w:rsid w:val="4D3F2693"/>
    <w:rsid w:val="4D6D36A4"/>
    <w:rsid w:val="4D891B60"/>
    <w:rsid w:val="4DA97F17"/>
    <w:rsid w:val="4DFC03F6"/>
    <w:rsid w:val="4DFF1DC9"/>
    <w:rsid w:val="4E046324"/>
    <w:rsid w:val="4E4A2F00"/>
    <w:rsid w:val="4E7963D7"/>
    <w:rsid w:val="4EE60B8E"/>
    <w:rsid w:val="4F355215"/>
    <w:rsid w:val="4F957F39"/>
    <w:rsid w:val="4F9F6437"/>
    <w:rsid w:val="4FDA2B47"/>
    <w:rsid w:val="4FED7EF4"/>
    <w:rsid w:val="5043693E"/>
    <w:rsid w:val="506D39BB"/>
    <w:rsid w:val="50B34387"/>
    <w:rsid w:val="50D75D30"/>
    <w:rsid w:val="51062C1B"/>
    <w:rsid w:val="51171FE4"/>
    <w:rsid w:val="515E7B68"/>
    <w:rsid w:val="5178076C"/>
    <w:rsid w:val="51900D46"/>
    <w:rsid w:val="519C5439"/>
    <w:rsid w:val="5278063F"/>
    <w:rsid w:val="52895DB7"/>
    <w:rsid w:val="52C32476"/>
    <w:rsid w:val="52D240C6"/>
    <w:rsid w:val="533709DC"/>
    <w:rsid w:val="542D6A75"/>
    <w:rsid w:val="543633EF"/>
    <w:rsid w:val="545977B8"/>
    <w:rsid w:val="546724CF"/>
    <w:rsid w:val="55711857"/>
    <w:rsid w:val="55EA626F"/>
    <w:rsid w:val="55EE6F74"/>
    <w:rsid w:val="55FB2F36"/>
    <w:rsid w:val="56414E67"/>
    <w:rsid w:val="56535401"/>
    <w:rsid w:val="565E5325"/>
    <w:rsid w:val="567877A1"/>
    <w:rsid w:val="568633C7"/>
    <w:rsid w:val="56B06A24"/>
    <w:rsid w:val="56E53929"/>
    <w:rsid w:val="56EA3B26"/>
    <w:rsid w:val="570D3802"/>
    <w:rsid w:val="57E103E8"/>
    <w:rsid w:val="58265D9B"/>
    <w:rsid w:val="583E1941"/>
    <w:rsid w:val="58676474"/>
    <w:rsid w:val="58782EFD"/>
    <w:rsid w:val="58DA7713"/>
    <w:rsid w:val="59735B16"/>
    <w:rsid w:val="59791922"/>
    <w:rsid w:val="59C355A9"/>
    <w:rsid w:val="5A13560A"/>
    <w:rsid w:val="5A1D61C5"/>
    <w:rsid w:val="5AC53A11"/>
    <w:rsid w:val="5B0E38CC"/>
    <w:rsid w:val="5B365C7B"/>
    <w:rsid w:val="5B4C1670"/>
    <w:rsid w:val="5B524D6E"/>
    <w:rsid w:val="5BA4352C"/>
    <w:rsid w:val="5BD56781"/>
    <w:rsid w:val="5C07299B"/>
    <w:rsid w:val="5CB77534"/>
    <w:rsid w:val="5CCD6007"/>
    <w:rsid w:val="5CE07275"/>
    <w:rsid w:val="5D13187F"/>
    <w:rsid w:val="5D2757DB"/>
    <w:rsid w:val="5DD532A7"/>
    <w:rsid w:val="5DDB5030"/>
    <w:rsid w:val="5DE1152C"/>
    <w:rsid w:val="5E197E4A"/>
    <w:rsid w:val="5E4F6F11"/>
    <w:rsid w:val="5E632241"/>
    <w:rsid w:val="5E960B58"/>
    <w:rsid w:val="5EB15907"/>
    <w:rsid w:val="5EEF1CDA"/>
    <w:rsid w:val="5EF630AA"/>
    <w:rsid w:val="5F05175A"/>
    <w:rsid w:val="5FB2777E"/>
    <w:rsid w:val="60341DFF"/>
    <w:rsid w:val="605F285F"/>
    <w:rsid w:val="60D34153"/>
    <w:rsid w:val="60F242D0"/>
    <w:rsid w:val="615B3405"/>
    <w:rsid w:val="61CB0541"/>
    <w:rsid w:val="61DD3D7C"/>
    <w:rsid w:val="61EB037A"/>
    <w:rsid w:val="62036471"/>
    <w:rsid w:val="62493703"/>
    <w:rsid w:val="628C62CF"/>
    <w:rsid w:val="62950887"/>
    <w:rsid w:val="62964CA1"/>
    <w:rsid w:val="62A109BE"/>
    <w:rsid w:val="62C6367A"/>
    <w:rsid w:val="62EF6DE0"/>
    <w:rsid w:val="633F4E2D"/>
    <w:rsid w:val="635636D2"/>
    <w:rsid w:val="63695E69"/>
    <w:rsid w:val="637F1F15"/>
    <w:rsid w:val="63A53511"/>
    <w:rsid w:val="63D026D5"/>
    <w:rsid w:val="63D76992"/>
    <w:rsid w:val="647267C2"/>
    <w:rsid w:val="64805613"/>
    <w:rsid w:val="64A44F3B"/>
    <w:rsid w:val="64DA5057"/>
    <w:rsid w:val="650A1AF3"/>
    <w:rsid w:val="651942DA"/>
    <w:rsid w:val="65326B1A"/>
    <w:rsid w:val="65570171"/>
    <w:rsid w:val="659B71FD"/>
    <w:rsid w:val="65C7483E"/>
    <w:rsid w:val="65FC1B81"/>
    <w:rsid w:val="65FE28F6"/>
    <w:rsid w:val="661F0E5C"/>
    <w:rsid w:val="68337384"/>
    <w:rsid w:val="68925968"/>
    <w:rsid w:val="68BB0096"/>
    <w:rsid w:val="68C57216"/>
    <w:rsid w:val="68EC6A87"/>
    <w:rsid w:val="690378E5"/>
    <w:rsid w:val="692A37F7"/>
    <w:rsid w:val="69956E13"/>
    <w:rsid w:val="69A17C70"/>
    <w:rsid w:val="69FB0FEF"/>
    <w:rsid w:val="6A0049AD"/>
    <w:rsid w:val="6A2D7FEB"/>
    <w:rsid w:val="6A955B90"/>
    <w:rsid w:val="6AAB0F10"/>
    <w:rsid w:val="6AFB55ED"/>
    <w:rsid w:val="6B16359C"/>
    <w:rsid w:val="6B1E664C"/>
    <w:rsid w:val="6C7F70EA"/>
    <w:rsid w:val="6CBE0F49"/>
    <w:rsid w:val="6D3849DD"/>
    <w:rsid w:val="6D7C5B1F"/>
    <w:rsid w:val="6D891A5A"/>
    <w:rsid w:val="6DD238FB"/>
    <w:rsid w:val="6DE82246"/>
    <w:rsid w:val="6E174F53"/>
    <w:rsid w:val="6EB95052"/>
    <w:rsid w:val="6F363872"/>
    <w:rsid w:val="6F6C5CF4"/>
    <w:rsid w:val="6F710989"/>
    <w:rsid w:val="6F7E1B58"/>
    <w:rsid w:val="6F883393"/>
    <w:rsid w:val="6FE83F60"/>
    <w:rsid w:val="706349B0"/>
    <w:rsid w:val="707C637B"/>
    <w:rsid w:val="70D711A8"/>
    <w:rsid w:val="7102696F"/>
    <w:rsid w:val="71A409F3"/>
    <w:rsid w:val="71E85F09"/>
    <w:rsid w:val="723C709D"/>
    <w:rsid w:val="7275022A"/>
    <w:rsid w:val="729B378E"/>
    <w:rsid w:val="72EA30C2"/>
    <w:rsid w:val="730505DF"/>
    <w:rsid w:val="73593329"/>
    <w:rsid w:val="735C1DBE"/>
    <w:rsid w:val="737674AE"/>
    <w:rsid w:val="73B0655F"/>
    <w:rsid w:val="745A145A"/>
    <w:rsid w:val="75031C95"/>
    <w:rsid w:val="754E0D9A"/>
    <w:rsid w:val="755C79D6"/>
    <w:rsid w:val="75D234DD"/>
    <w:rsid w:val="764B777E"/>
    <w:rsid w:val="76CF6524"/>
    <w:rsid w:val="770D7A4F"/>
    <w:rsid w:val="771667E8"/>
    <w:rsid w:val="77187745"/>
    <w:rsid w:val="77543038"/>
    <w:rsid w:val="777A31F5"/>
    <w:rsid w:val="78003A8A"/>
    <w:rsid w:val="780C6AB8"/>
    <w:rsid w:val="781A6F51"/>
    <w:rsid w:val="781E2C43"/>
    <w:rsid w:val="786C3B6A"/>
    <w:rsid w:val="79197E84"/>
    <w:rsid w:val="79A1473F"/>
    <w:rsid w:val="79BD6BED"/>
    <w:rsid w:val="79F96996"/>
    <w:rsid w:val="7A4E5B69"/>
    <w:rsid w:val="7A6354A7"/>
    <w:rsid w:val="7AF64A28"/>
    <w:rsid w:val="7AFA39D1"/>
    <w:rsid w:val="7B0C006A"/>
    <w:rsid w:val="7BD50079"/>
    <w:rsid w:val="7C09049A"/>
    <w:rsid w:val="7C442433"/>
    <w:rsid w:val="7C6901CD"/>
    <w:rsid w:val="7C7A4C2F"/>
    <w:rsid w:val="7C9670FF"/>
    <w:rsid w:val="7D2538DC"/>
    <w:rsid w:val="7D5E77CF"/>
    <w:rsid w:val="7D751B04"/>
    <w:rsid w:val="7DC73E5B"/>
    <w:rsid w:val="7DE92515"/>
    <w:rsid w:val="7E265025"/>
    <w:rsid w:val="7EAF0FD0"/>
    <w:rsid w:val="7EFC18E2"/>
    <w:rsid w:val="7F184EA7"/>
    <w:rsid w:val="7F644171"/>
    <w:rsid w:val="87AD6F37"/>
    <w:rsid w:val="D96F9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cs="Times New Roman" w:asciiTheme="minorAscii" w:hAnsiTheme="minorAscii" w:eastAsiaTheme="minorEastAsia"/>
      <w:sz w:val="24"/>
      <w:szCs w:val="24"/>
      <w:lang w:val="en-US" w:eastAsia="zh-CN" w:bidi="ar-SA"/>
    </w:rPr>
  </w:style>
  <w:style w:type="paragraph" w:styleId="2">
    <w:name w:val="heading 1"/>
    <w:basedOn w:val="1"/>
    <w:next w:val="1"/>
    <w:link w:val="47"/>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link w:val="45"/>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link w:val="46"/>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link w:val="48"/>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link w:val="74"/>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75"/>
    <w:semiHidden/>
    <w:unhideWhenUsed/>
    <w:qFormat/>
    <w:uiPriority w:val="9"/>
    <w:pPr>
      <w:numPr>
        <w:ilvl w:val="5"/>
        <w:numId w:val="1"/>
      </w:numPr>
      <w:spacing w:before="240" w:after="60"/>
      <w:outlineLvl w:val="5"/>
    </w:pPr>
    <w:rPr>
      <w:rFonts w:cstheme="majorBidi"/>
      <w:b/>
      <w:bCs/>
      <w:sz w:val="22"/>
      <w:szCs w:val="22"/>
    </w:rPr>
  </w:style>
  <w:style w:type="paragraph" w:styleId="8">
    <w:name w:val="heading 7"/>
    <w:basedOn w:val="1"/>
    <w:next w:val="1"/>
    <w:link w:val="76"/>
    <w:semiHidden/>
    <w:unhideWhenUsed/>
    <w:qFormat/>
    <w:uiPriority w:val="9"/>
    <w:pPr>
      <w:numPr>
        <w:ilvl w:val="6"/>
        <w:numId w:val="1"/>
      </w:numPr>
      <w:spacing w:before="240" w:after="60"/>
      <w:outlineLvl w:val="6"/>
    </w:pPr>
  </w:style>
  <w:style w:type="paragraph" w:styleId="9">
    <w:name w:val="heading 8"/>
    <w:basedOn w:val="1"/>
    <w:next w:val="1"/>
    <w:link w:val="77"/>
    <w:semiHidden/>
    <w:unhideWhenUsed/>
    <w:qFormat/>
    <w:uiPriority w:val="9"/>
    <w:pPr>
      <w:numPr>
        <w:ilvl w:val="7"/>
        <w:numId w:val="1"/>
      </w:numPr>
      <w:spacing w:before="240" w:after="60"/>
      <w:outlineLvl w:val="7"/>
    </w:pPr>
    <w:rPr>
      <w:rFonts w:cstheme="majorBidi"/>
      <w:i/>
      <w:iCs/>
    </w:rPr>
  </w:style>
  <w:style w:type="paragraph" w:styleId="10">
    <w:name w:val="heading 9"/>
    <w:basedOn w:val="1"/>
    <w:next w:val="1"/>
    <w:link w:val="78"/>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te Heading"/>
    <w:basedOn w:val="1"/>
    <w:next w:val="1"/>
    <w:qFormat/>
    <w:uiPriority w:val="0"/>
    <w:pPr>
      <w:jc w:val="center"/>
    </w:pPr>
  </w:style>
  <w:style w:type="paragraph" w:styleId="12">
    <w:name w:val="Normal Indent"/>
    <w:basedOn w:val="1"/>
    <w:next w:val="13"/>
    <w:qFormat/>
    <w:uiPriority w:val="0"/>
    <w:pPr>
      <w:ind w:firstLine="420"/>
    </w:pPr>
    <w:rPr>
      <w:szCs w:val="21"/>
    </w:rPr>
  </w:style>
  <w:style w:type="paragraph" w:styleId="13">
    <w:name w:val="toc 4"/>
    <w:basedOn w:val="1"/>
    <w:next w:val="1"/>
    <w:qFormat/>
    <w:uiPriority w:val="0"/>
    <w:pPr>
      <w:ind w:left="630"/>
      <w:jc w:val="left"/>
    </w:pPr>
    <w:rPr>
      <w:sz w:val="18"/>
      <w:szCs w:val="18"/>
    </w:rPr>
  </w:style>
  <w:style w:type="paragraph" w:styleId="14">
    <w:name w:val="caption"/>
    <w:basedOn w:val="1"/>
    <w:next w:val="1"/>
    <w:semiHidden/>
    <w:unhideWhenUsed/>
    <w:qFormat/>
    <w:uiPriority w:val="35"/>
    <w:rPr>
      <w:rFonts w:eastAsia="黑体" w:asciiTheme="majorHAnsi" w:hAnsiTheme="majorHAnsi" w:cstheme="majorBidi"/>
      <w:sz w:val="20"/>
      <w:szCs w:val="20"/>
    </w:rPr>
  </w:style>
  <w:style w:type="paragraph" w:styleId="15">
    <w:name w:val="Document Map"/>
    <w:basedOn w:val="1"/>
    <w:link w:val="102"/>
    <w:semiHidden/>
    <w:unhideWhenUsed/>
    <w:qFormat/>
    <w:uiPriority w:val="99"/>
    <w:pPr>
      <w:spacing w:line="400" w:lineRule="exact"/>
      <w:jc w:val="both"/>
    </w:pPr>
    <w:rPr>
      <w:rFonts w:ascii="宋体" w:hAnsi="Calibri Light" w:eastAsia="宋体" w:cs="Calibri Light"/>
      <w:kern w:val="2"/>
      <w:sz w:val="18"/>
      <w:szCs w:val="18"/>
    </w:rPr>
  </w:style>
  <w:style w:type="paragraph" w:styleId="16">
    <w:name w:val="toa heading"/>
    <w:basedOn w:val="1"/>
    <w:next w:val="1"/>
    <w:unhideWhenUsed/>
    <w:qFormat/>
    <w:uiPriority w:val="0"/>
    <w:pPr>
      <w:spacing w:before="120"/>
    </w:pPr>
    <w:rPr>
      <w:rFonts w:ascii="Arial" w:hAnsi="Arial"/>
    </w:rPr>
  </w:style>
  <w:style w:type="paragraph" w:styleId="17">
    <w:name w:val="annotation text"/>
    <w:basedOn w:val="1"/>
    <w:link w:val="94"/>
    <w:unhideWhenUsed/>
    <w:qFormat/>
    <w:uiPriority w:val="99"/>
    <w:pPr>
      <w:spacing w:line="400" w:lineRule="exact"/>
    </w:pPr>
    <w:rPr>
      <w:rFonts w:ascii="Calibri Light" w:hAnsi="Calibri Light" w:eastAsia="华文仿宋" w:cs="Calibri Light"/>
      <w:kern w:val="2"/>
      <w:sz w:val="28"/>
      <w:szCs w:val="28"/>
    </w:rPr>
  </w:style>
  <w:style w:type="paragraph" w:styleId="18">
    <w:name w:val="Body Text"/>
    <w:basedOn w:val="1"/>
    <w:next w:val="1"/>
    <w:qFormat/>
    <w:uiPriority w:val="0"/>
    <w:pPr>
      <w:spacing w:after="120"/>
    </w:pPr>
    <w:rPr>
      <w:rFonts w:ascii="Times New Roman"/>
      <w:kern w:val="2"/>
      <w:sz w:val="21"/>
    </w:rPr>
  </w:style>
  <w:style w:type="paragraph" w:styleId="19">
    <w:name w:val="Body Text Indent"/>
    <w:basedOn w:val="1"/>
    <w:qFormat/>
    <w:uiPriority w:val="0"/>
    <w:pPr>
      <w:ind w:firstLine="630"/>
    </w:pPr>
    <w:rPr>
      <w:sz w:val="32"/>
      <w:szCs w:val="20"/>
    </w:rPr>
  </w:style>
  <w:style w:type="paragraph" w:styleId="20">
    <w:name w:val="toc 3"/>
    <w:basedOn w:val="1"/>
    <w:next w:val="1"/>
    <w:semiHidden/>
    <w:unhideWhenUsed/>
    <w:qFormat/>
    <w:uiPriority w:val="39"/>
    <w:pPr>
      <w:ind w:left="840" w:leftChars="400"/>
    </w:pPr>
  </w:style>
  <w:style w:type="paragraph" w:styleId="21">
    <w:name w:val="Plain Text"/>
    <w:basedOn w:val="1"/>
    <w:qFormat/>
    <w:uiPriority w:val="0"/>
    <w:rPr>
      <w:rFonts w:ascii="宋体" w:hAnsi="Courier New" w:cs="Courier New"/>
      <w:szCs w:val="21"/>
    </w:rPr>
  </w:style>
  <w:style w:type="paragraph" w:styleId="22">
    <w:name w:val="Date"/>
    <w:basedOn w:val="1"/>
    <w:next w:val="1"/>
    <w:link w:val="71"/>
    <w:semiHidden/>
    <w:unhideWhenUsed/>
    <w:qFormat/>
    <w:uiPriority w:val="99"/>
    <w:pPr>
      <w:ind w:left="100" w:leftChars="2500"/>
    </w:pPr>
  </w:style>
  <w:style w:type="paragraph" w:styleId="23">
    <w:name w:val="Balloon Text"/>
    <w:basedOn w:val="1"/>
    <w:link w:val="93"/>
    <w:semiHidden/>
    <w:unhideWhenUsed/>
    <w:qFormat/>
    <w:uiPriority w:val="99"/>
    <w:rPr>
      <w:sz w:val="18"/>
      <w:szCs w:val="18"/>
    </w:rPr>
  </w:style>
  <w:style w:type="paragraph" w:styleId="24">
    <w:name w:val="footer"/>
    <w:basedOn w:val="1"/>
    <w:link w:val="73"/>
    <w:unhideWhenUsed/>
    <w:qFormat/>
    <w:uiPriority w:val="99"/>
    <w:pPr>
      <w:tabs>
        <w:tab w:val="center" w:pos="4153"/>
        <w:tab w:val="right" w:pos="8306"/>
      </w:tabs>
      <w:snapToGrid w:val="0"/>
      <w:spacing w:line="240" w:lineRule="atLeast"/>
    </w:pPr>
    <w:rPr>
      <w:sz w:val="18"/>
      <w:szCs w:val="18"/>
    </w:rPr>
  </w:style>
  <w:style w:type="paragraph" w:styleId="25">
    <w:name w:val="envelope return"/>
    <w:basedOn w:val="1"/>
    <w:qFormat/>
    <w:uiPriority w:val="99"/>
    <w:pPr>
      <w:snapToGrid w:val="0"/>
    </w:pPr>
    <w:rPr>
      <w:rFonts w:ascii="Arial" w:hAnsi="Arial" w:cs="Arial"/>
    </w:rPr>
  </w:style>
  <w:style w:type="paragraph" w:styleId="26">
    <w:name w:val="header"/>
    <w:basedOn w:val="1"/>
    <w:link w:val="7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28">
    <w:name w:val="Subtitle"/>
    <w:basedOn w:val="1"/>
    <w:next w:val="1"/>
    <w:link w:val="80"/>
    <w:qFormat/>
    <w:uiPriority w:val="11"/>
    <w:pPr>
      <w:keepNext/>
      <w:spacing w:before="50" w:beforeLines="50" w:after="50" w:afterLines="50"/>
      <w:jc w:val="center"/>
      <w:outlineLvl w:val="1"/>
    </w:pPr>
    <w:rPr>
      <w:rFonts w:ascii="Calibri" w:hAnsi="Calibri" w:eastAsia="黑体" w:cstheme="majorBidi"/>
      <w:sz w:val="32"/>
    </w:rPr>
  </w:style>
  <w:style w:type="paragraph" w:styleId="29">
    <w:name w:val="Body Text Indent 3"/>
    <w:basedOn w:val="1"/>
    <w:unhideWhenUsed/>
    <w:qFormat/>
    <w:uiPriority w:val="0"/>
    <w:pPr>
      <w:spacing w:line="380" w:lineRule="exact"/>
      <w:ind w:firstLine="480"/>
    </w:pPr>
    <w:rPr>
      <w:rFonts w:ascii="宋体" w:hAnsi="宋体" w:cs="宋体"/>
      <w:kern w:val="0"/>
      <w:sz w:val="20"/>
    </w:rPr>
  </w:style>
  <w:style w:type="paragraph" w:styleId="30">
    <w:name w:val="toc 2"/>
    <w:basedOn w:val="1"/>
    <w:next w:val="1"/>
    <w:semiHidden/>
    <w:unhideWhenUsed/>
    <w:qFormat/>
    <w:uiPriority w:val="39"/>
    <w:pPr>
      <w:ind w:left="420" w:leftChars="200"/>
    </w:pPr>
  </w:style>
  <w:style w:type="paragraph" w:styleId="31">
    <w:name w:val="Normal (Web)"/>
    <w:basedOn w:val="1"/>
    <w:qFormat/>
    <w:uiPriority w:val="0"/>
    <w:pPr>
      <w:spacing w:before="100" w:beforeAutospacing="1" w:after="100" w:afterAutospacing="1"/>
    </w:pPr>
    <w:rPr>
      <w:rFonts w:ascii="宋体" w:hAnsi="宋体" w:cs="宋体"/>
    </w:rPr>
  </w:style>
  <w:style w:type="paragraph" w:styleId="32">
    <w:name w:val="Title"/>
    <w:basedOn w:val="1"/>
    <w:next w:val="1"/>
    <w:link w:val="79"/>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3">
    <w:name w:val="annotation subject"/>
    <w:basedOn w:val="17"/>
    <w:next w:val="17"/>
    <w:link w:val="101"/>
    <w:semiHidden/>
    <w:unhideWhenUsed/>
    <w:qFormat/>
    <w:uiPriority w:val="99"/>
    <w:rPr>
      <w:b/>
      <w:bCs/>
    </w:rPr>
  </w:style>
  <w:style w:type="paragraph" w:styleId="34">
    <w:name w:val="Body Text First Indent"/>
    <w:basedOn w:val="18"/>
    <w:next w:val="1"/>
    <w:unhideWhenUsed/>
    <w:qFormat/>
    <w:uiPriority w:val="99"/>
    <w:pPr>
      <w:ind w:firstLine="420" w:firstLineChars="100"/>
    </w:pPr>
  </w:style>
  <w:style w:type="paragraph" w:styleId="35">
    <w:name w:val="Body Text First Indent 2"/>
    <w:basedOn w:val="19"/>
    <w:unhideWhenUsed/>
    <w:qFormat/>
    <w:uiPriority w:val="99"/>
    <w:pPr>
      <w:ind w:firstLine="420" w:firstLineChars="200"/>
    </w:pPr>
  </w:style>
  <w:style w:type="table" w:styleId="37">
    <w:name w:val="Table Grid"/>
    <w:basedOn w:val="3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22"/>
    <w:rPr>
      <w:b/>
      <w:bCs/>
    </w:rPr>
  </w:style>
  <w:style w:type="character" w:styleId="40">
    <w:name w:val="page number"/>
    <w:qFormat/>
    <w:uiPriority w:val="0"/>
    <w:rPr>
      <w:rFonts w:ascii="Times New Roman" w:hAnsi="Times New Roman" w:eastAsia="宋体" w:cs="Times New Roman"/>
    </w:rPr>
  </w:style>
  <w:style w:type="character" w:styleId="41">
    <w:name w:val="FollowedHyperlink"/>
    <w:basedOn w:val="38"/>
    <w:semiHidden/>
    <w:unhideWhenUsed/>
    <w:qFormat/>
    <w:uiPriority w:val="99"/>
    <w:rPr>
      <w:color w:val="954F72" w:themeColor="followedHyperlink"/>
      <w:u w:val="single"/>
      <w14:textFill>
        <w14:solidFill>
          <w14:schemeClr w14:val="folHlink"/>
        </w14:solidFill>
      </w14:textFill>
    </w:rPr>
  </w:style>
  <w:style w:type="character" w:styleId="42">
    <w:name w:val="Emphasis"/>
    <w:basedOn w:val="38"/>
    <w:qFormat/>
    <w:uiPriority w:val="20"/>
    <w:rPr>
      <w:rFonts w:asciiTheme="minorHAnsi" w:hAnsiTheme="minorHAnsi"/>
      <w:b/>
      <w:i/>
      <w:iCs/>
    </w:rPr>
  </w:style>
  <w:style w:type="character" w:styleId="43">
    <w:name w:val="Hyperlink"/>
    <w:basedOn w:val="38"/>
    <w:unhideWhenUsed/>
    <w:qFormat/>
    <w:uiPriority w:val="99"/>
    <w:rPr>
      <w:color w:val="0563C1" w:themeColor="hyperlink"/>
      <w:u w:val="single"/>
      <w14:textFill>
        <w14:solidFill>
          <w14:schemeClr w14:val="hlink"/>
        </w14:solidFill>
      </w14:textFill>
    </w:rPr>
  </w:style>
  <w:style w:type="character" w:styleId="44">
    <w:name w:val="annotation reference"/>
    <w:basedOn w:val="38"/>
    <w:semiHidden/>
    <w:unhideWhenUsed/>
    <w:qFormat/>
    <w:uiPriority w:val="99"/>
    <w:rPr>
      <w:sz w:val="21"/>
      <w:szCs w:val="21"/>
    </w:rPr>
  </w:style>
  <w:style w:type="character" w:customStyle="1" w:styleId="45">
    <w:name w:val="标题 2 Char1"/>
    <w:basedOn w:val="38"/>
    <w:link w:val="3"/>
    <w:qFormat/>
    <w:uiPriority w:val="9"/>
    <w:rPr>
      <w:rFonts w:ascii="楷体" w:hAnsi="楷体" w:eastAsia="黑体"/>
      <w:sz w:val="32"/>
      <w:szCs w:val="32"/>
    </w:rPr>
  </w:style>
  <w:style w:type="character" w:customStyle="1" w:styleId="46">
    <w:name w:val="标题 3 Char"/>
    <w:basedOn w:val="38"/>
    <w:link w:val="4"/>
    <w:qFormat/>
    <w:uiPriority w:val="9"/>
    <w:rPr>
      <w:rFonts w:ascii="方正小标宋_GBK" w:hAnsi="仿宋" w:eastAsia="方正小标宋_GBK"/>
      <w:sz w:val="36"/>
      <w:szCs w:val="36"/>
    </w:rPr>
  </w:style>
  <w:style w:type="character" w:customStyle="1" w:styleId="47">
    <w:name w:val="标题 1 Char"/>
    <w:basedOn w:val="38"/>
    <w:link w:val="2"/>
    <w:qFormat/>
    <w:uiPriority w:val="9"/>
    <w:rPr>
      <w:rFonts w:ascii="方正小标宋_GBK" w:hAnsi="仿宋" w:eastAsia="方正小标宋_GBK"/>
      <w:sz w:val="44"/>
      <w:szCs w:val="44"/>
    </w:rPr>
  </w:style>
  <w:style w:type="character" w:customStyle="1" w:styleId="48">
    <w:name w:val="标题 4 Char"/>
    <w:basedOn w:val="38"/>
    <w:link w:val="5"/>
    <w:semiHidden/>
    <w:qFormat/>
    <w:uiPriority w:val="9"/>
    <w:rPr>
      <w:rFonts w:cstheme="majorBidi"/>
      <w:b/>
      <w:bCs/>
      <w:sz w:val="28"/>
      <w:szCs w:val="28"/>
    </w:rPr>
  </w:style>
  <w:style w:type="character" w:customStyle="1" w:styleId="49">
    <w:name w:val="标题 2 Char"/>
    <w:qFormat/>
    <w:uiPriority w:val="0"/>
    <w:rPr>
      <w:rFonts w:ascii="黑体" w:hAnsi="黑体"/>
      <w:b/>
      <w:kern w:val="0"/>
      <w:sz w:val="44"/>
    </w:rPr>
  </w:style>
  <w:style w:type="paragraph" w:customStyle="1" w:styleId="50">
    <w:name w:val="font5"/>
    <w:basedOn w:val="1"/>
    <w:qFormat/>
    <w:uiPriority w:val="0"/>
    <w:pPr>
      <w:spacing w:before="100" w:beforeAutospacing="1" w:after="100" w:afterAutospacing="1"/>
    </w:pPr>
    <w:rPr>
      <w:rFonts w:hint="eastAsia" w:ascii="宋体" w:hAnsi="宋体"/>
    </w:rPr>
  </w:style>
  <w:style w:type="paragraph" w:customStyle="1" w:styleId="51">
    <w:name w:val="※封面大标题"/>
    <w:basedOn w:val="1"/>
    <w:next w:val="1"/>
    <w:qFormat/>
    <w:uiPriority w:val="0"/>
    <w:pPr>
      <w:jc w:val="center"/>
    </w:pPr>
    <w:rPr>
      <w:rFonts w:ascii="华文中宋" w:hAnsi="华文中宋" w:eastAsia="华文中宋"/>
      <w:sz w:val="96"/>
      <w:szCs w:val="96"/>
    </w:rPr>
  </w:style>
  <w:style w:type="paragraph" w:customStyle="1" w:styleId="52">
    <w:name w:val="※封面题颌"/>
    <w:basedOn w:val="1"/>
    <w:next w:val="1"/>
    <w:qFormat/>
    <w:uiPriority w:val="0"/>
    <w:pPr>
      <w:jc w:val="center"/>
    </w:pPr>
    <w:rPr>
      <w:rFonts w:ascii="Calibri Light" w:hAnsi="Calibri Light" w:eastAsia="华文仿宋"/>
      <w:sz w:val="36"/>
      <w:szCs w:val="36"/>
    </w:rPr>
  </w:style>
  <w:style w:type="paragraph" w:customStyle="1" w:styleId="53">
    <w:name w:val="※封面题眉"/>
    <w:basedOn w:val="1"/>
    <w:next w:val="51"/>
    <w:qFormat/>
    <w:uiPriority w:val="0"/>
    <w:pPr>
      <w:jc w:val="center"/>
    </w:pPr>
    <w:rPr>
      <w:rFonts w:ascii="华文仿宋" w:hAnsi="华文仿宋" w:eastAsia="华文仿宋"/>
      <w:sz w:val="52"/>
      <w:szCs w:val="28"/>
    </w:rPr>
  </w:style>
  <w:style w:type="paragraph" w:customStyle="1" w:styleId="54">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5">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6">
    <w:name w:val="※目录（主）"/>
    <w:basedOn w:val="1"/>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7">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59">
    <w:name w:val="※小标题 一"/>
    <w:basedOn w:val="58"/>
    <w:next w:val="58"/>
    <w:qFormat/>
    <w:uiPriority w:val="0"/>
    <w:pPr>
      <w:spacing w:before="120" w:line="240" w:lineRule="auto"/>
      <w:outlineLvl w:val="2"/>
    </w:pPr>
    <w:rPr>
      <w:b/>
      <w:color w:val="203864" w:themeColor="accent5" w:themeShade="80"/>
      <w:sz w:val="32"/>
    </w:rPr>
  </w:style>
  <w:style w:type="paragraph" w:customStyle="1" w:styleId="60">
    <w:name w:val="※小标题（1）"/>
    <w:basedOn w:val="1"/>
    <w:next w:val="58"/>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61">
    <w:name w:val="※小标题（一）"/>
    <w:basedOn w:val="1"/>
    <w:next w:val="58"/>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2">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3">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4">
    <w:name w:val="※页眉"/>
    <w:basedOn w:val="58"/>
    <w:qFormat/>
    <w:uiPriority w:val="0"/>
    <w:pPr>
      <w:pBdr>
        <w:bottom w:val="single" w:color="auto" w:sz="4" w:space="1"/>
      </w:pBdr>
      <w:spacing w:line="240" w:lineRule="atLeast"/>
      <w:jc w:val="right"/>
    </w:pPr>
    <w:rPr>
      <w:rFonts w:ascii="宋体" w:hAnsi="宋体" w:eastAsia="宋体"/>
      <w:sz w:val="18"/>
    </w:rPr>
  </w:style>
  <w:style w:type="paragraph" w:customStyle="1" w:styleId="65">
    <w:name w:val="※章节标题（第X章）"/>
    <w:basedOn w:val="1"/>
    <w:qFormat/>
    <w:uiPriority w:val="0"/>
    <w:pPr>
      <w:jc w:val="center"/>
      <w:outlineLvl w:val="0"/>
    </w:pPr>
    <w:rPr>
      <w:rFonts w:ascii="Calibri Light" w:hAnsi="Calibri Light" w:eastAsia="黑体"/>
      <w:sz w:val="36"/>
      <w:szCs w:val="28"/>
    </w:rPr>
  </w:style>
  <w:style w:type="paragraph" w:customStyle="1" w:styleId="66">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7">
    <w:name w:val="※章节标题（第Z部分分项）"/>
    <w:basedOn w:val="66"/>
    <w:qFormat/>
    <w:uiPriority w:val="0"/>
    <w:pPr>
      <w:outlineLvl w:val="2"/>
    </w:pPr>
  </w:style>
  <w:style w:type="paragraph" w:customStyle="1" w:styleId="68">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69">
    <w:name w:val="※正文（缩进2）"/>
    <w:basedOn w:val="58"/>
    <w:qFormat/>
    <w:uiPriority w:val="0"/>
    <w:pPr>
      <w:ind w:firstLine="200" w:firstLineChars="200"/>
    </w:pPr>
  </w:style>
  <w:style w:type="paragraph" w:customStyle="1" w:styleId="70">
    <w:name w:val="※正文（缩进4）"/>
    <w:basedOn w:val="58"/>
    <w:qFormat/>
    <w:uiPriority w:val="0"/>
    <w:pPr>
      <w:ind w:firstLine="400" w:firstLineChars="400"/>
    </w:pPr>
  </w:style>
  <w:style w:type="character" w:customStyle="1" w:styleId="71">
    <w:name w:val="日期 Char"/>
    <w:basedOn w:val="38"/>
    <w:link w:val="22"/>
    <w:semiHidden/>
    <w:qFormat/>
    <w:uiPriority w:val="99"/>
    <w:rPr>
      <w:rFonts w:ascii="华文仿宋" w:hAnsi="华文仿宋" w:eastAsia="华文仿宋"/>
      <w:sz w:val="28"/>
      <w:szCs w:val="28"/>
    </w:rPr>
  </w:style>
  <w:style w:type="character" w:customStyle="1" w:styleId="72">
    <w:name w:val="页眉 Char"/>
    <w:basedOn w:val="38"/>
    <w:link w:val="26"/>
    <w:qFormat/>
    <w:uiPriority w:val="0"/>
    <w:rPr>
      <w:rFonts w:ascii="华文仿宋" w:hAnsi="华文仿宋" w:eastAsia="华文仿宋"/>
      <w:sz w:val="18"/>
      <w:szCs w:val="18"/>
    </w:rPr>
  </w:style>
  <w:style w:type="character" w:customStyle="1" w:styleId="73">
    <w:name w:val="页脚 Char"/>
    <w:basedOn w:val="38"/>
    <w:link w:val="24"/>
    <w:qFormat/>
    <w:uiPriority w:val="99"/>
    <w:rPr>
      <w:rFonts w:ascii="华文仿宋" w:hAnsi="华文仿宋" w:eastAsia="华文仿宋"/>
      <w:sz w:val="18"/>
      <w:szCs w:val="18"/>
    </w:rPr>
  </w:style>
  <w:style w:type="character" w:customStyle="1" w:styleId="74">
    <w:name w:val="标题 5 Char"/>
    <w:basedOn w:val="38"/>
    <w:link w:val="6"/>
    <w:semiHidden/>
    <w:qFormat/>
    <w:uiPriority w:val="9"/>
    <w:rPr>
      <w:b/>
      <w:bCs/>
      <w:i/>
      <w:iCs/>
      <w:sz w:val="26"/>
      <w:szCs w:val="26"/>
    </w:rPr>
  </w:style>
  <w:style w:type="character" w:customStyle="1" w:styleId="75">
    <w:name w:val="标题 6 Char"/>
    <w:basedOn w:val="38"/>
    <w:link w:val="7"/>
    <w:semiHidden/>
    <w:qFormat/>
    <w:uiPriority w:val="9"/>
    <w:rPr>
      <w:rFonts w:cstheme="majorBidi"/>
      <w:b/>
      <w:bCs/>
    </w:rPr>
  </w:style>
  <w:style w:type="character" w:customStyle="1" w:styleId="76">
    <w:name w:val="标题 7 Char"/>
    <w:basedOn w:val="38"/>
    <w:link w:val="8"/>
    <w:semiHidden/>
    <w:qFormat/>
    <w:uiPriority w:val="9"/>
    <w:rPr>
      <w:sz w:val="24"/>
      <w:szCs w:val="24"/>
    </w:rPr>
  </w:style>
  <w:style w:type="character" w:customStyle="1" w:styleId="77">
    <w:name w:val="标题 8 Char"/>
    <w:basedOn w:val="38"/>
    <w:link w:val="9"/>
    <w:semiHidden/>
    <w:qFormat/>
    <w:uiPriority w:val="9"/>
    <w:rPr>
      <w:rFonts w:cstheme="majorBidi"/>
      <w:i/>
      <w:iCs/>
      <w:sz w:val="24"/>
      <w:szCs w:val="24"/>
    </w:rPr>
  </w:style>
  <w:style w:type="character" w:customStyle="1" w:styleId="78">
    <w:name w:val="标题 9 Char"/>
    <w:basedOn w:val="38"/>
    <w:link w:val="10"/>
    <w:semiHidden/>
    <w:qFormat/>
    <w:uiPriority w:val="9"/>
    <w:rPr>
      <w:rFonts w:asciiTheme="majorHAnsi" w:hAnsiTheme="majorHAnsi" w:eastAsiaTheme="majorEastAsia" w:cstheme="majorBidi"/>
    </w:rPr>
  </w:style>
  <w:style w:type="character" w:customStyle="1" w:styleId="79">
    <w:name w:val="标题 Char"/>
    <w:basedOn w:val="38"/>
    <w:link w:val="32"/>
    <w:qFormat/>
    <w:uiPriority w:val="10"/>
    <w:rPr>
      <w:rFonts w:asciiTheme="majorHAnsi" w:hAnsiTheme="majorHAnsi" w:eastAsiaTheme="majorEastAsia" w:cstheme="majorBidi"/>
      <w:b/>
      <w:bCs/>
      <w:kern w:val="28"/>
      <w:sz w:val="32"/>
      <w:szCs w:val="32"/>
    </w:rPr>
  </w:style>
  <w:style w:type="character" w:customStyle="1" w:styleId="80">
    <w:name w:val="副标题 Char"/>
    <w:basedOn w:val="38"/>
    <w:link w:val="28"/>
    <w:qFormat/>
    <w:uiPriority w:val="11"/>
    <w:rPr>
      <w:rFonts w:ascii="Calibri" w:hAnsi="Calibri" w:eastAsia="黑体" w:cstheme="majorBidi"/>
      <w:sz w:val="32"/>
      <w:szCs w:val="24"/>
    </w:rPr>
  </w:style>
  <w:style w:type="paragraph" w:styleId="81">
    <w:name w:val="No Spacing"/>
    <w:basedOn w:val="1"/>
    <w:qFormat/>
    <w:uiPriority w:val="1"/>
    <w:rPr>
      <w:szCs w:val="32"/>
    </w:rPr>
  </w:style>
  <w:style w:type="paragraph" w:styleId="82">
    <w:name w:val="List Paragraph"/>
    <w:basedOn w:val="1"/>
    <w:qFormat/>
    <w:uiPriority w:val="0"/>
    <w:pPr>
      <w:ind w:left="720"/>
      <w:contextualSpacing/>
    </w:pPr>
  </w:style>
  <w:style w:type="paragraph" w:styleId="83">
    <w:name w:val="Quote"/>
    <w:basedOn w:val="1"/>
    <w:next w:val="1"/>
    <w:link w:val="84"/>
    <w:qFormat/>
    <w:uiPriority w:val="29"/>
    <w:rPr>
      <w:i/>
    </w:rPr>
  </w:style>
  <w:style w:type="character" w:customStyle="1" w:styleId="84">
    <w:name w:val="引用 Char"/>
    <w:basedOn w:val="38"/>
    <w:link w:val="83"/>
    <w:qFormat/>
    <w:uiPriority w:val="29"/>
    <w:rPr>
      <w:i/>
      <w:sz w:val="24"/>
      <w:szCs w:val="24"/>
    </w:rPr>
  </w:style>
  <w:style w:type="paragraph" w:styleId="85">
    <w:name w:val="Intense Quote"/>
    <w:basedOn w:val="1"/>
    <w:next w:val="1"/>
    <w:link w:val="86"/>
    <w:qFormat/>
    <w:uiPriority w:val="30"/>
    <w:pPr>
      <w:ind w:left="720" w:right="720"/>
    </w:pPr>
    <w:rPr>
      <w:b/>
      <w:i/>
      <w:szCs w:val="22"/>
    </w:rPr>
  </w:style>
  <w:style w:type="character" w:customStyle="1" w:styleId="86">
    <w:name w:val="明显引用 Char"/>
    <w:basedOn w:val="38"/>
    <w:link w:val="85"/>
    <w:qFormat/>
    <w:uiPriority w:val="30"/>
    <w:rPr>
      <w:b/>
      <w:i/>
      <w:sz w:val="24"/>
    </w:rPr>
  </w:style>
  <w:style w:type="character" w:customStyle="1" w:styleId="8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88">
    <w:name w:val="明显强调1"/>
    <w:basedOn w:val="38"/>
    <w:qFormat/>
    <w:uiPriority w:val="21"/>
    <w:rPr>
      <w:b/>
      <w:i/>
      <w:sz w:val="24"/>
      <w:szCs w:val="24"/>
      <w:u w:val="single"/>
    </w:rPr>
  </w:style>
  <w:style w:type="character" w:customStyle="1" w:styleId="89">
    <w:name w:val="不明显参考1"/>
    <w:basedOn w:val="38"/>
    <w:qFormat/>
    <w:uiPriority w:val="31"/>
    <w:rPr>
      <w:sz w:val="24"/>
      <w:szCs w:val="24"/>
      <w:u w:val="single"/>
    </w:rPr>
  </w:style>
  <w:style w:type="character" w:customStyle="1" w:styleId="90">
    <w:name w:val="明显参考1"/>
    <w:basedOn w:val="38"/>
    <w:qFormat/>
    <w:uiPriority w:val="32"/>
    <w:rPr>
      <w:b/>
      <w:sz w:val="24"/>
      <w:u w:val="single"/>
    </w:rPr>
  </w:style>
  <w:style w:type="character" w:customStyle="1" w:styleId="91">
    <w:name w:val="书籍标题1"/>
    <w:basedOn w:val="38"/>
    <w:qFormat/>
    <w:uiPriority w:val="33"/>
    <w:rPr>
      <w:rFonts w:asciiTheme="majorHAnsi" w:hAnsiTheme="majorHAnsi" w:eastAsiaTheme="majorEastAsia"/>
      <w:b/>
      <w:i/>
      <w:sz w:val="24"/>
      <w:szCs w:val="24"/>
    </w:rPr>
  </w:style>
  <w:style w:type="paragraph" w:customStyle="1" w:styleId="92">
    <w:name w:val="TOC 标题1"/>
    <w:basedOn w:val="2"/>
    <w:next w:val="1"/>
    <w:semiHidden/>
    <w:unhideWhenUsed/>
    <w:qFormat/>
    <w:uiPriority w:val="39"/>
    <w:pPr>
      <w:outlineLvl w:val="9"/>
    </w:pPr>
  </w:style>
  <w:style w:type="character" w:customStyle="1" w:styleId="93">
    <w:name w:val="批注框文本 Char"/>
    <w:basedOn w:val="38"/>
    <w:link w:val="23"/>
    <w:semiHidden/>
    <w:qFormat/>
    <w:uiPriority w:val="99"/>
    <w:rPr>
      <w:sz w:val="18"/>
      <w:szCs w:val="18"/>
    </w:rPr>
  </w:style>
  <w:style w:type="character" w:customStyle="1" w:styleId="94">
    <w:name w:val="批注文字 Char"/>
    <w:basedOn w:val="38"/>
    <w:link w:val="17"/>
    <w:qFormat/>
    <w:uiPriority w:val="99"/>
    <w:rPr>
      <w:rFonts w:ascii="Calibri Light" w:hAnsi="Calibri Light" w:eastAsia="华文仿宋" w:cs="Calibri Light"/>
      <w:kern w:val="2"/>
      <w:sz w:val="28"/>
      <w:szCs w:val="28"/>
    </w:rPr>
  </w:style>
  <w:style w:type="paragraph" w:customStyle="1" w:styleId="95">
    <w:name w:val="@正文"/>
    <w:basedOn w:val="5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6">
    <w:name w:val="@一级小标题"/>
    <w:basedOn w:val="1"/>
    <w:next w:val="95"/>
    <w:qFormat/>
    <w:uiPriority w:val="0"/>
    <w:pPr>
      <w:keepNext/>
      <w:spacing w:before="120" w:after="60"/>
      <w:outlineLvl w:val="2"/>
    </w:pPr>
    <w:rPr>
      <w:rFonts w:ascii="Calibri" w:hAnsi="Calibri" w:eastAsia="黑体"/>
      <w:kern w:val="28"/>
      <w:sz w:val="28"/>
    </w:rPr>
  </w:style>
  <w:style w:type="paragraph" w:customStyle="1" w:styleId="97">
    <w:name w:val="@标题"/>
    <w:basedOn w:val="1"/>
    <w:next w:val="95"/>
    <w:qFormat/>
    <w:uiPriority w:val="0"/>
    <w:pPr>
      <w:keepNext/>
      <w:spacing w:before="50" w:beforeLines="50" w:after="50" w:afterLines="50"/>
      <w:jc w:val="center"/>
      <w:outlineLvl w:val="1"/>
    </w:pPr>
    <w:rPr>
      <w:rFonts w:ascii="Calibri" w:hAnsi="Calibri" w:eastAsia="黑体"/>
      <w:kern w:val="32"/>
      <w:sz w:val="32"/>
    </w:rPr>
  </w:style>
  <w:style w:type="table" w:customStyle="1" w:styleId="98">
    <w:name w:val="网格型1"/>
    <w:basedOn w:val="3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9">
    <w:name w:val="页眉 Char1"/>
    <w:basedOn w:val="38"/>
    <w:semiHidden/>
    <w:qFormat/>
    <w:uiPriority w:val="99"/>
    <w:rPr>
      <w:rFonts w:cs="Calibri Light"/>
      <w:sz w:val="18"/>
      <w:szCs w:val="18"/>
    </w:rPr>
  </w:style>
  <w:style w:type="character" w:customStyle="1" w:styleId="100">
    <w:name w:val="页脚 Char1"/>
    <w:basedOn w:val="38"/>
    <w:semiHidden/>
    <w:qFormat/>
    <w:uiPriority w:val="99"/>
    <w:rPr>
      <w:rFonts w:cs="Calibri Light"/>
      <w:sz w:val="18"/>
      <w:szCs w:val="18"/>
    </w:rPr>
  </w:style>
  <w:style w:type="character" w:customStyle="1" w:styleId="101">
    <w:name w:val="批注主题 Char"/>
    <w:basedOn w:val="94"/>
    <w:link w:val="33"/>
    <w:semiHidden/>
    <w:qFormat/>
    <w:uiPriority w:val="99"/>
    <w:rPr>
      <w:rFonts w:ascii="Calibri Light" w:hAnsi="Calibri Light" w:eastAsia="华文仿宋" w:cs="Calibri Light"/>
      <w:b/>
      <w:bCs/>
      <w:kern w:val="2"/>
      <w:sz w:val="28"/>
      <w:szCs w:val="28"/>
    </w:rPr>
  </w:style>
  <w:style w:type="character" w:customStyle="1" w:styleId="102">
    <w:name w:val="文档结构图 Char"/>
    <w:basedOn w:val="38"/>
    <w:link w:val="15"/>
    <w:semiHidden/>
    <w:qFormat/>
    <w:uiPriority w:val="99"/>
    <w:rPr>
      <w:rFonts w:ascii="宋体" w:hAnsi="Calibri Light" w:eastAsia="宋体" w:cs="Calibri Light"/>
      <w:kern w:val="2"/>
      <w:sz w:val="18"/>
      <w:szCs w:val="18"/>
    </w:rPr>
  </w:style>
  <w:style w:type="character" w:styleId="103">
    <w:name w:val="Placeholder Text"/>
    <w:basedOn w:val="38"/>
    <w:semiHidden/>
    <w:qFormat/>
    <w:uiPriority w:val="99"/>
    <w:rPr>
      <w:color w:val="808080"/>
    </w:rPr>
  </w:style>
  <w:style w:type="character" w:customStyle="1" w:styleId="104">
    <w:name w:val="Unresolved Mention"/>
    <w:basedOn w:val="38"/>
    <w:semiHidden/>
    <w:unhideWhenUsed/>
    <w:qFormat/>
    <w:uiPriority w:val="99"/>
    <w:rPr>
      <w:color w:val="605E5C"/>
      <w:shd w:val="clear" w:color="auto" w:fill="E1DFDD"/>
    </w:rPr>
  </w:style>
  <w:style w:type="paragraph" w:customStyle="1" w:styleId="105">
    <w:name w:val="样式1"/>
    <w:basedOn w:val="4"/>
    <w:link w:val="107"/>
    <w:qFormat/>
    <w:uiPriority w:val="0"/>
    <w:pPr>
      <w:jc w:val="left"/>
    </w:pPr>
    <w:rPr>
      <w:rFonts w:eastAsia="楷体"/>
      <w:sz w:val="32"/>
    </w:rPr>
  </w:style>
  <w:style w:type="paragraph" w:customStyle="1" w:styleId="106">
    <w:name w:val="样式2"/>
    <w:basedOn w:val="97"/>
    <w:link w:val="109"/>
    <w:qFormat/>
    <w:uiPriority w:val="0"/>
    <w:pPr>
      <w:spacing w:line="560" w:lineRule="exact"/>
      <w:ind w:firstLine="643" w:firstLineChars="200"/>
      <w:jc w:val="both"/>
    </w:pPr>
    <w:rPr>
      <w:rFonts w:ascii="仿宋_GB2312" w:hAnsi="仿宋" w:eastAsia="仿宋_GB2312"/>
      <w:b/>
      <w:bCs/>
      <w:szCs w:val="32"/>
    </w:rPr>
  </w:style>
  <w:style w:type="character" w:customStyle="1" w:styleId="107">
    <w:name w:val="样式1 字符"/>
    <w:basedOn w:val="45"/>
    <w:link w:val="105"/>
    <w:qFormat/>
    <w:uiPriority w:val="0"/>
    <w:rPr>
      <w:rFonts w:ascii="方正小标宋_GBK" w:hAnsi="仿宋" w:eastAsia="楷体"/>
      <w:sz w:val="32"/>
      <w:szCs w:val="36"/>
    </w:rPr>
  </w:style>
  <w:style w:type="paragraph" w:customStyle="1" w:styleId="108">
    <w:name w:val="样式3"/>
    <w:basedOn w:val="1"/>
    <w:link w:val="110"/>
    <w:qFormat/>
    <w:uiPriority w:val="0"/>
    <w:pPr>
      <w:spacing w:line="560" w:lineRule="exact"/>
      <w:jc w:val="center"/>
    </w:pPr>
    <w:rPr>
      <w:rFonts w:ascii="方正小标宋_GBK" w:hAnsi="仿宋" w:eastAsia="方正小标宋_GBK"/>
      <w:sz w:val="36"/>
      <w:szCs w:val="36"/>
    </w:rPr>
  </w:style>
  <w:style w:type="character" w:customStyle="1" w:styleId="109">
    <w:name w:val="样式2 字符"/>
    <w:basedOn w:val="38"/>
    <w:link w:val="106"/>
    <w:qFormat/>
    <w:uiPriority w:val="0"/>
    <w:rPr>
      <w:rFonts w:ascii="仿宋_GB2312" w:hAnsi="仿宋" w:eastAsia="仿宋_GB2312"/>
      <w:b/>
      <w:bCs/>
      <w:kern w:val="32"/>
      <w:sz w:val="32"/>
      <w:szCs w:val="32"/>
    </w:rPr>
  </w:style>
  <w:style w:type="character" w:customStyle="1" w:styleId="110">
    <w:name w:val="样式3 字符"/>
    <w:basedOn w:val="38"/>
    <w:link w:val="108"/>
    <w:qFormat/>
    <w:uiPriority w:val="0"/>
    <w:rPr>
      <w:rFonts w:ascii="方正小标宋_GBK" w:hAnsi="仿宋" w:eastAsia="方正小标宋_GBK"/>
      <w:sz w:val="36"/>
      <w:szCs w:val="36"/>
    </w:rPr>
  </w:style>
  <w:style w:type="paragraph" w:customStyle="1" w:styleId="111">
    <w:name w:val="正文文本1"/>
    <w:basedOn w:val="1"/>
    <w:qFormat/>
    <w:uiPriority w:val="0"/>
    <w:pPr>
      <w:shd w:val="clear" w:color="auto" w:fill="FFFFFF"/>
      <w:spacing w:line="413" w:lineRule="auto"/>
      <w:ind w:firstLine="400"/>
    </w:pPr>
    <w:rPr>
      <w:rFonts w:ascii="MingLiU" w:hAnsi="MingLiU" w:eastAsia="MingLiU" w:cs="MingLiU"/>
      <w:sz w:val="28"/>
      <w:szCs w:val="28"/>
      <w:lang w:val="zh-CN" w:bidi="zh-CN"/>
    </w:rPr>
  </w:style>
  <w:style w:type="character" w:customStyle="1" w:styleId="112">
    <w:name w:val="NormalCharacter"/>
    <w:semiHidden/>
    <w:qFormat/>
    <w:uiPriority w:val="0"/>
  </w:style>
  <w:style w:type="paragraph" w:customStyle="1" w:styleId="113">
    <w:name w:val="列出段落1"/>
    <w:basedOn w:val="1"/>
    <w:qFormat/>
    <w:uiPriority w:val="34"/>
    <w:pPr>
      <w:ind w:firstLine="420" w:firstLineChars="200"/>
    </w:pPr>
    <w:rPr>
      <w:rFonts w:ascii="Calibri" w:hAnsi="Calibri" w:cs="黑体"/>
      <w:szCs w:val="22"/>
    </w:rPr>
  </w:style>
  <w:style w:type="paragraph" w:customStyle="1" w:styleId="1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5">
    <w:name w:val="Heading4"/>
    <w:basedOn w:val="1"/>
    <w:next w:val="1"/>
    <w:qFormat/>
    <w:uiPriority w:val="0"/>
    <w:pPr>
      <w:keepNext/>
      <w:keepLines/>
      <w:spacing w:before="280" w:after="290" w:line="376" w:lineRule="auto"/>
      <w:textAlignment w:val="baseline"/>
    </w:pPr>
    <w:rPr>
      <w:rFonts w:ascii="Arial" w:hAnsi="Arial"/>
      <w:b/>
      <w:bCs/>
      <w:szCs w:val="28"/>
    </w:rPr>
  </w:style>
  <w:style w:type="paragraph" w:customStyle="1" w:styleId="116">
    <w:name w:val="默认段落字体 Para Char Char Char Char"/>
    <w:basedOn w:val="1"/>
    <w:qFormat/>
    <w:uiPriority w:val="0"/>
    <w:pPr>
      <w:widowControl w:val="0"/>
      <w:jc w:val="both"/>
    </w:pPr>
    <w:rPr>
      <w:rFonts w:ascii="Times New Roman" w:hAnsi="Times New Roman" w:eastAsia="宋体"/>
      <w:kern w:val="2"/>
      <w:sz w:val="21"/>
      <w:szCs w:val="20"/>
    </w:rPr>
  </w:style>
  <w:style w:type="character" w:customStyle="1" w:styleId="117">
    <w:name w:val="font41"/>
    <w:basedOn w:val="38"/>
    <w:qFormat/>
    <w:uiPriority w:val="0"/>
    <w:rPr>
      <w:rFonts w:hint="eastAsia" w:ascii="宋体" w:hAnsi="宋体" w:eastAsia="宋体" w:cs="宋体"/>
      <w:b/>
      <w:bCs/>
      <w:color w:val="000000"/>
      <w:sz w:val="16"/>
      <w:szCs w:val="16"/>
      <w:u w:val="none"/>
    </w:rPr>
  </w:style>
  <w:style w:type="paragraph" w:customStyle="1" w:styleId="1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20">
    <w:name w:val="Footer"/>
    <w:basedOn w:val="1"/>
    <w:qFormat/>
    <w:uiPriority w:val="0"/>
    <w:pPr>
      <w:tabs>
        <w:tab w:val="center" w:pos="4153"/>
        <w:tab w:val="right" w:pos="8306"/>
      </w:tabs>
      <w:snapToGrid w:val="0"/>
      <w:jc w:val="left"/>
    </w:pPr>
    <w:rPr>
      <w:sz w:val="18"/>
    </w:rPr>
  </w:style>
  <w:style w:type="paragraph" w:customStyle="1" w:styleId="121">
    <w:name w:val="正文首行缩进两字符"/>
    <w:basedOn w:val="1"/>
    <w:qFormat/>
    <w:uiPriority w:val="0"/>
    <w:pPr>
      <w:spacing w:line="360" w:lineRule="auto"/>
      <w:ind w:firstLine="200" w:firstLineChars="200"/>
    </w:pPr>
    <w:rPr>
      <w:lang w:eastAsia="zh-CN"/>
    </w:rPr>
  </w:style>
  <w:style w:type="paragraph" w:customStyle="1" w:styleId="122">
    <w:name w:val="BodyText"/>
    <w:basedOn w:val="1"/>
    <w:next w:val="1"/>
    <w:qFormat/>
    <w:uiPriority w:val="0"/>
    <w:pPr>
      <w:spacing w:line="360" w:lineRule="auto"/>
    </w:pPr>
    <w:rPr>
      <w:kern w:val="0"/>
      <w:sz w:val="32"/>
    </w:rPr>
  </w:style>
  <w:style w:type="paragraph" w:customStyle="1" w:styleId="1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4">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25">
    <w:name w:val="PlainText"/>
    <w:basedOn w:val="1"/>
    <w:qFormat/>
    <w:uiPriority w:val="0"/>
    <w:pPr>
      <w:jc w:val="both"/>
      <w:textAlignment w:val="baseline"/>
    </w:pPr>
    <w:rPr>
      <w:rFonts w:ascii="宋体" w:hAnsi="Courier New"/>
      <w:kern w:val="2"/>
      <w:sz w:val="24"/>
      <w:szCs w:val="20"/>
      <w:lang w:val="en-US" w:eastAsia="zh-CN" w:bidi="ar-SA"/>
    </w:rPr>
  </w:style>
  <w:style w:type="paragraph" w:customStyle="1" w:styleId="126">
    <w:name w:val="无间隔1"/>
    <w:basedOn w:val="1"/>
    <w:qFormat/>
    <w:uiPriority w:val="99"/>
    <w:pPr>
      <w:widowControl/>
      <w:jc w:val="left"/>
    </w:pPr>
    <w:rPr>
      <w:rFonts w:cs="Times New Roman"/>
      <w:kern w:val="0"/>
      <w:sz w:val="20"/>
      <w:szCs w:val="20"/>
      <w:lang w:eastAsia="en-US" w:bidi="en-US"/>
    </w:rPr>
  </w:style>
  <w:style w:type="character" w:customStyle="1" w:styleId="127">
    <w:name w:val="font01"/>
    <w:qFormat/>
    <w:uiPriority w:val="0"/>
    <w:rPr>
      <w:rFonts w:ascii="微软雅黑" w:hAnsi="微软雅黑" w:eastAsia="微软雅黑" w:cs="微软雅黑"/>
      <w:color w:val="000000"/>
      <w:sz w:val="22"/>
      <w:szCs w:val="22"/>
      <w:u w:val="none"/>
    </w:rPr>
  </w:style>
  <w:style w:type="paragraph" w:customStyle="1" w:styleId="128">
    <w:name w:val="p15"/>
    <w:basedOn w:val="1"/>
    <w:qFormat/>
    <w:uiPriority w:val="0"/>
    <w:pPr>
      <w:widowControl/>
      <w:adjustRightInd w:val="0"/>
      <w:jc w:val="left"/>
    </w:pPr>
    <w:rPr>
      <w:rFonts w:ascii="Arial Unicode MS" w:hAnsi="Arial Unicode MS" w:cs="宋体"/>
      <w:color w:val="000000"/>
      <w:kern w:val="0"/>
      <w:sz w:val="24"/>
    </w:rPr>
  </w:style>
  <w:style w:type="paragraph" w:customStyle="1" w:styleId="129">
    <w:name w:val="p0"/>
    <w:basedOn w:val="1"/>
    <w:qFormat/>
    <w:uiPriority w:val="0"/>
    <w:pPr>
      <w:widowControl/>
    </w:pPr>
    <w:rPr>
      <w:rFonts w:ascii="Calibri" w:hAnsi="Calibri" w:eastAsia="宋体" w:cs="Times New Roman"/>
      <w:kern w:val="0"/>
      <w:szCs w:val="21"/>
    </w:rPr>
  </w:style>
  <w:style w:type="character" w:customStyle="1" w:styleId="130">
    <w:name w:val="fontstyle01"/>
    <w:qFormat/>
    <w:uiPriority w:val="0"/>
    <w:rPr>
      <w:rFonts w:hint="eastAsia" w:ascii="宋体" w:hAnsi="宋体" w:eastAsia="宋体"/>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91</Pages>
  <Words>40496</Words>
  <Characters>43363</Characters>
  <Lines>342</Lines>
  <Paragraphs>96</Paragraphs>
  <TotalTime>0</TotalTime>
  <ScaleCrop>false</ScaleCrop>
  <LinksUpToDate>false</LinksUpToDate>
  <CharactersWithSpaces>46575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2022-04-07T16:51:00Z</dcterms:created>
  <dc:creator>lenovo</dc:creator>
  <cp:lastModifiedBy>张亚娜</cp:lastModifiedBy>
  <cp:lastPrinted>2023-11-17T03:20:00Z</cp:lastPrinted>
  <dcterms:modified xsi:type="dcterms:W3CDTF">2023-12-08T11:10:25Z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8FE502E068D043739A0BD1D694FEB59A_13</vt:lpwstr>
  </property>
</Properties>
</file>