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
          <w:bCs/>
          <w:sz w:val="32"/>
          <w:szCs w:val="32"/>
        </w:rPr>
      </w:pPr>
      <w:r>
        <w:rPr>
          <w:rFonts w:hint="eastAsia" w:ascii="宋体" w:hAnsi="宋体" w:eastAsia="宋体" w:cs="宋体"/>
          <w:b/>
          <w:bCs/>
          <w:sz w:val="32"/>
          <w:szCs w:val="32"/>
        </w:rPr>
        <w:t>项目编号：SXWZ2023ZB-SGLJ-030</w:t>
      </w:r>
    </w:p>
    <w:p>
      <w:pPr>
        <w:jc w:val="center"/>
        <w:rPr>
          <w:rFonts w:ascii="宋体" w:hAnsi="宋体" w:eastAsia="宋体" w:cs="宋体"/>
          <w:sz w:val="44"/>
          <w:szCs w:val="44"/>
        </w:rPr>
      </w:pPr>
    </w:p>
    <w:p>
      <w:pPr>
        <w:jc w:val="both"/>
        <w:rPr>
          <w:rFonts w:ascii="宋体" w:hAnsi="宋体" w:eastAsia="宋体" w:cs="宋体"/>
          <w:sz w:val="52"/>
          <w:szCs w:val="52"/>
        </w:rPr>
      </w:pP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西安市市场监督管理局</w:t>
      </w: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2023年机电类特种设备安全质量</w:t>
      </w:r>
    </w:p>
    <w:p>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监督抽查项目</w:t>
      </w:r>
    </w:p>
    <w:p>
      <w:pPr>
        <w:jc w:val="center"/>
        <w:rPr>
          <w:rFonts w:ascii="宋体" w:hAnsi="宋体" w:eastAsia="宋体" w:cs="宋体"/>
          <w:b/>
          <w:bCs/>
          <w:sz w:val="56"/>
          <w:szCs w:val="56"/>
        </w:rPr>
      </w:pPr>
    </w:p>
    <w:p>
      <w:pPr>
        <w:jc w:val="center"/>
        <w:rPr>
          <w:rFonts w:ascii="宋体" w:hAnsi="宋体" w:eastAsia="宋体" w:cs="宋体"/>
          <w:b/>
          <w:bCs/>
          <w:sz w:val="96"/>
          <w:szCs w:val="96"/>
        </w:rPr>
      </w:pPr>
      <w:r>
        <w:rPr>
          <w:rFonts w:hint="eastAsia" w:ascii="宋体" w:hAnsi="宋体" w:eastAsia="宋体" w:cs="宋体"/>
          <w:b/>
          <w:bCs/>
          <w:sz w:val="72"/>
          <w:szCs w:val="72"/>
        </w:rPr>
        <w:t>招标文件</w:t>
      </w: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ind w:firstLine="803" w:firstLineChars="200"/>
        <w:jc w:val="both"/>
        <w:rPr>
          <w:rFonts w:ascii="宋体" w:hAnsi="宋体" w:eastAsia="宋体" w:cs="宋体"/>
          <w:b/>
          <w:bCs/>
          <w:sz w:val="40"/>
          <w:szCs w:val="40"/>
        </w:rPr>
      </w:pPr>
    </w:p>
    <w:p>
      <w:pPr>
        <w:spacing w:line="560" w:lineRule="exact"/>
        <w:jc w:val="both"/>
        <w:rPr>
          <w:rFonts w:ascii="宋体" w:hAnsi="宋体" w:eastAsia="宋体" w:cs="宋体"/>
          <w:sz w:val="32"/>
          <w:szCs w:val="32"/>
        </w:rPr>
      </w:pPr>
    </w:p>
    <w:p>
      <w:pPr>
        <w:spacing w:line="560" w:lineRule="exact"/>
        <w:ind w:firstLine="640" w:firstLineChars="200"/>
        <w:jc w:val="center"/>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陕西万泽招标有限公司</w:t>
      </w:r>
    </w:p>
    <w:p>
      <w:pPr>
        <w:jc w:val="center"/>
        <w:rPr>
          <w:rFonts w:ascii="宋体" w:hAnsi="宋体" w:eastAsia="宋体" w:cs="宋体"/>
          <w:sz w:val="32"/>
          <w:szCs w:val="32"/>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w:instrText>
      </w:r>
      <w:r>
        <w:rPr>
          <w:rFonts w:hint="eastAsia" w:ascii="宋体" w:hAnsi="宋体" w:eastAsia="宋体" w:cs="宋体"/>
          <w:sz w:val="32"/>
          <w:szCs w:val="32"/>
        </w:rPr>
        <w:fldChar w:fldCharType="separate"/>
      </w:r>
      <w:r>
        <w:rPr>
          <w:rFonts w:hint="eastAsia" w:ascii="宋体" w:hAnsi="宋体" w:eastAsia="宋体" w:cs="宋体"/>
          <w:sz w:val="32"/>
          <w:szCs w:val="32"/>
        </w:rPr>
        <w:t>2023年4月</w:t>
      </w:r>
      <w:r>
        <w:rPr>
          <w:rFonts w:hint="eastAsia" w:ascii="宋体" w:hAnsi="宋体" w:eastAsia="宋体" w:cs="宋体"/>
          <w:sz w:val="32"/>
          <w:szCs w:val="32"/>
        </w:rPr>
        <w:fldChar w:fldCharType="end"/>
      </w:r>
      <w:bookmarkStart w:id="0" w:name="_Toc100219612"/>
    </w:p>
    <w:p>
      <w:pPr>
        <w:jc w:val="center"/>
        <w:rPr>
          <w:rFonts w:ascii="宋体" w:hAnsi="宋体" w:eastAsia="宋体" w:cs="宋体"/>
          <w:sz w:val="28"/>
          <w:szCs w:val="28"/>
        </w:rPr>
      </w:pPr>
      <w:r>
        <w:rPr>
          <w:rFonts w:hint="eastAsia" w:ascii="宋体" w:hAnsi="宋体" w:eastAsia="宋体" w:cs="宋体"/>
          <w:sz w:val="28"/>
          <w:szCs w:val="28"/>
        </w:rPr>
        <w:t>目录</w:t>
      </w:r>
    </w:p>
    <w:p>
      <w:pPr>
        <w:pStyle w:val="26"/>
        <w:tabs>
          <w:tab w:val="right" w:leader="dot" w:pos="9746"/>
        </w:tabs>
        <w:spacing w:before="395" w:after="395"/>
        <w:rPr>
          <w:rFonts w:ascii="宋体" w:hAnsi="宋体" w:cs="宋体"/>
          <w:sz w:val="24"/>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"_Toc8557" </w:instrText>
      </w:r>
      <w:r>
        <w:fldChar w:fldCharType="separate"/>
      </w:r>
      <w:r>
        <w:rPr>
          <w:rFonts w:hint="eastAsia" w:ascii="宋体" w:hAnsi="宋体" w:cs="宋体"/>
          <w:sz w:val="24"/>
        </w:rPr>
        <w:t>第一章  投标邀请函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_Toc8557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26"/>
        <w:tabs>
          <w:tab w:val="right" w:leader="dot" w:pos="9746"/>
        </w:tabs>
        <w:spacing w:before="395" w:after="395"/>
        <w:rPr>
          <w:rFonts w:ascii="宋体" w:hAnsi="宋体" w:cs="宋体"/>
          <w:sz w:val="24"/>
        </w:rPr>
      </w:pPr>
      <w:r>
        <w:fldChar w:fldCharType="begin"/>
      </w:r>
      <w:r>
        <w:instrText xml:space="preserve"> HYPERLINK \l "_Toc6331" </w:instrText>
      </w:r>
      <w:r>
        <w:fldChar w:fldCharType="separate"/>
      </w:r>
      <w:r>
        <w:rPr>
          <w:rFonts w:hint="eastAsia" w:ascii="宋体" w:hAnsi="宋体" w:cs="宋体"/>
          <w:sz w:val="24"/>
        </w:rPr>
        <w:t>第二章  供应商须知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_Toc6331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"_Toc21966"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_Toc21966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"_Toc16336" </w:instrText>
      </w:r>
      <w:r>
        <w:fldChar w:fldCharType="separate"/>
      </w:r>
      <w:r>
        <w:rPr>
          <w:rFonts w:hint="eastAsia" w:ascii="宋体" w:hAnsi="宋体" w:eastAsia="宋体" w:cs="宋体"/>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_Toc16336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"_Toc16268" </w:instrText>
      </w:r>
      <w:r>
        <w:fldChar w:fldCharType="separate"/>
      </w:r>
      <w:r>
        <w:rPr>
          <w:rFonts w:hint="eastAsia" w:ascii="宋体" w:hAnsi="宋体" w:eastAsia="宋体" w:cs="宋体"/>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_Toc16268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"_Toc18583"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_Toc18583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"_Toc28396"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_Toc28396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"_Toc16145"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_Toc16145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"_Toc27949"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_Toc27949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"_Toc11090"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_Toc11090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"_Toc19973"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_Toc19973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"_Toc19289"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_Toc19289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"_Toc15204" </w:instrText>
      </w:r>
      <w:r>
        <w:fldChar w:fldCharType="separate"/>
      </w:r>
      <w:r>
        <w:rPr>
          <w:rFonts w:hint="eastAsia" w:ascii="宋体" w:hAnsi="宋体" w:eastAsia="宋体" w:cs="宋体"/>
        </w:rPr>
        <w:t>十、废标及重新招标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_Toc15204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26"/>
        <w:tabs>
          <w:tab w:val="right" w:leader="dot" w:pos="9746"/>
        </w:tabs>
        <w:spacing w:before="395" w:after="395"/>
        <w:rPr>
          <w:rFonts w:ascii="宋体" w:hAnsi="宋体" w:cs="宋体"/>
          <w:sz w:val="24"/>
        </w:rPr>
      </w:pPr>
      <w:r>
        <w:fldChar w:fldCharType="begin"/>
      </w:r>
      <w:r>
        <w:instrText xml:space="preserve"> HYPERLINK \l "_Toc15304" </w:instrText>
      </w:r>
      <w:r>
        <w:fldChar w:fldCharType="separate"/>
      </w:r>
      <w:r>
        <w:rPr>
          <w:rFonts w:hint="eastAsia" w:ascii="宋体" w:hAnsi="宋体" w:cs="宋体"/>
          <w:sz w:val="24"/>
        </w:rPr>
        <w:t>第三章  招标内容及要求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_Toc15304 \h </w:instrText>
      </w:r>
      <w:r>
        <w:rPr>
          <w:rFonts w:hint="eastAsia" w:ascii="宋体" w:hAnsi="宋体" w:cs="宋体"/>
          <w:sz w:val="24"/>
        </w:rPr>
        <w:fldChar w:fldCharType="separate"/>
      </w:r>
      <w:r>
        <w:rPr>
          <w:rFonts w:hint="eastAsia" w:ascii="宋体" w:hAnsi="宋体" w:cs="宋体"/>
          <w:sz w:val="24"/>
        </w:rPr>
        <w:t>48</w:t>
      </w:r>
      <w:r>
        <w:rPr>
          <w:rFonts w:hint="eastAsia" w:ascii="宋体" w:hAnsi="宋体" w:cs="宋体"/>
          <w:sz w:val="24"/>
        </w:rPr>
        <w:fldChar w:fldCharType="end"/>
      </w:r>
      <w:r>
        <w:rPr>
          <w:rFonts w:hint="eastAsia" w:ascii="宋体" w:hAnsi="宋体" w:cs="宋体"/>
          <w:sz w:val="24"/>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"_Toc14339" </w:instrText>
      </w:r>
      <w:r>
        <w:fldChar w:fldCharType="separate"/>
      </w:r>
      <w:r>
        <w:rPr>
          <w:rFonts w:hint="eastAsia" w:ascii="宋体" w:hAnsi="宋体" w:eastAsia="宋体" w:cs="宋体"/>
          <w:bCs/>
          <w:kern w:val="2"/>
        </w:rPr>
        <w:t>一、商务条款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_Toc14339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"_Toc7313" </w:instrText>
      </w:r>
      <w:r>
        <w:fldChar w:fldCharType="separate"/>
      </w:r>
      <w:r>
        <w:rPr>
          <w:rFonts w:hint="eastAsia" w:ascii="宋体" w:hAnsi="宋体" w:eastAsia="宋体" w:cs="宋体"/>
          <w:bCs/>
          <w:kern w:val="2"/>
        </w:rPr>
        <w:t>二、项目概况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_Toc7313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"_Toc11993" </w:instrText>
      </w:r>
      <w:r>
        <w:fldChar w:fldCharType="separate"/>
      </w:r>
      <w:r>
        <w:rPr>
          <w:rFonts w:hint="eastAsia" w:ascii="宋体" w:hAnsi="宋体" w:eastAsia="宋体" w:cs="宋体"/>
          <w:bCs/>
        </w:rPr>
        <w:t>三、项目内容及数量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_Toc11993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"_Toc5400" </w:instrText>
      </w:r>
      <w:r>
        <w:fldChar w:fldCharType="separate"/>
      </w:r>
      <w:r>
        <w:rPr>
          <w:rFonts w:hint="eastAsia" w:ascii="宋体" w:hAnsi="宋体" w:eastAsia="宋体" w:cs="宋体"/>
          <w:bCs/>
        </w:rPr>
        <w:t>四、项目实施要求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_Toc5400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746"/>
        </w:tabs>
        <w:spacing w:line="360" w:lineRule="auto"/>
        <w:ind w:left="994"/>
        <w:rPr>
          <w:rFonts w:ascii="宋体" w:hAnsi="宋体" w:eastAsia="宋体" w:cs="宋体"/>
        </w:rPr>
      </w:pPr>
      <w:r>
        <w:fldChar w:fldCharType="begin"/>
      </w:r>
      <w:r>
        <w:instrText xml:space="preserve"> HYPERLINK \l "_Toc13377" </w:instrText>
      </w:r>
      <w:r>
        <w:fldChar w:fldCharType="separate"/>
      </w:r>
      <w:r>
        <w:rPr>
          <w:rFonts w:hint="eastAsia" w:ascii="宋体" w:hAnsi="宋体" w:eastAsia="宋体" w:cs="宋体"/>
          <w:bCs/>
        </w:rPr>
        <w:t>五、具体内容及方法要求（包含但不限于以下内容）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_Toc13377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26"/>
        <w:tabs>
          <w:tab w:val="right" w:leader="dot" w:pos="9746"/>
        </w:tabs>
        <w:spacing w:before="395" w:after="395"/>
        <w:rPr>
          <w:rFonts w:ascii="宋体" w:hAnsi="宋体" w:cs="宋体"/>
          <w:sz w:val="24"/>
        </w:rPr>
      </w:pPr>
      <w:r>
        <w:fldChar w:fldCharType="begin"/>
      </w:r>
      <w:r>
        <w:instrText xml:space="preserve"> HYPERLINK \l "_Toc15832" </w:instrText>
      </w:r>
      <w:r>
        <w:fldChar w:fldCharType="separate"/>
      </w:r>
      <w:r>
        <w:rPr>
          <w:rFonts w:hint="eastAsia" w:ascii="宋体" w:hAnsi="宋体" w:cs="宋体"/>
          <w:sz w:val="24"/>
        </w:rPr>
        <w:t>第四章  合同文本</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_Toc15832 \h </w:instrText>
      </w:r>
      <w:r>
        <w:rPr>
          <w:rFonts w:hint="eastAsia" w:ascii="宋体" w:hAnsi="宋体" w:cs="宋体"/>
          <w:sz w:val="24"/>
        </w:rPr>
        <w:fldChar w:fldCharType="separate"/>
      </w:r>
      <w:r>
        <w:rPr>
          <w:rFonts w:hint="eastAsia" w:ascii="宋体" w:hAnsi="宋体" w:cs="宋体"/>
          <w:sz w:val="24"/>
        </w:rPr>
        <w:t>83</w:t>
      </w:r>
      <w:r>
        <w:rPr>
          <w:rFonts w:hint="eastAsia" w:ascii="宋体" w:hAnsi="宋体" w:cs="宋体"/>
          <w:sz w:val="24"/>
        </w:rPr>
        <w:fldChar w:fldCharType="end"/>
      </w:r>
      <w:r>
        <w:rPr>
          <w:rFonts w:hint="eastAsia" w:ascii="宋体" w:hAnsi="宋体" w:cs="宋体"/>
          <w:sz w:val="24"/>
        </w:rPr>
        <w:fldChar w:fldCharType="end"/>
      </w:r>
    </w:p>
    <w:p>
      <w:pPr>
        <w:pStyle w:val="26"/>
        <w:tabs>
          <w:tab w:val="right" w:leader="dot" w:pos="9746"/>
        </w:tabs>
        <w:spacing w:before="395" w:after="395"/>
        <w:rPr>
          <w:rFonts w:ascii="宋体" w:hAnsi="宋体" w:cs="宋体"/>
          <w:sz w:val="24"/>
        </w:rPr>
      </w:pPr>
      <w:r>
        <w:fldChar w:fldCharType="begin"/>
      </w:r>
      <w:r>
        <w:instrText xml:space="preserve"> HYPERLINK \l "_Toc32580" </w:instrText>
      </w:r>
      <w:r>
        <w:fldChar w:fldCharType="separate"/>
      </w:r>
      <w:r>
        <w:rPr>
          <w:rFonts w:hint="eastAsia" w:ascii="宋体" w:hAnsi="宋体" w:cs="宋体"/>
          <w:sz w:val="24"/>
        </w:rPr>
        <w:t>第五章  投标文件构成及格式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_Toc32580 \h </w:instrText>
      </w:r>
      <w:r>
        <w:rPr>
          <w:rFonts w:hint="eastAsia" w:ascii="宋体" w:hAnsi="宋体" w:cs="宋体"/>
          <w:sz w:val="24"/>
        </w:rPr>
        <w:fldChar w:fldCharType="separate"/>
      </w:r>
      <w:r>
        <w:rPr>
          <w:rFonts w:hint="eastAsia" w:ascii="宋体" w:hAnsi="宋体" w:cs="宋体"/>
          <w:sz w:val="24"/>
        </w:rPr>
        <w:t>83</w:t>
      </w:r>
      <w:r>
        <w:rPr>
          <w:rFonts w:hint="eastAsia" w:ascii="宋体" w:hAnsi="宋体" w:cs="宋体"/>
          <w:sz w:val="24"/>
        </w:rPr>
        <w:fldChar w:fldCharType="end"/>
      </w:r>
      <w:r>
        <w:rPr>
          <w:rFonts w:hint="eastAsia" w:ascii="宋体" w:hAnsi="宋体" w:cs="宋体"/>
          <w:sz w:val="24"/>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"_Toc13179"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_Toc13179 \h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"_Toc9494"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_Toc9494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"_Toc32367"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_Toc32367 \h </w:instrText>
      </w:r>
      <w:r>
        <w:rPr>
          <w:rFonts w:hint="eastAsia" w:ascii="宋体" w:hAnsi="宋体" w:eastAsia="宋体" w:cs="宋体"/>
        </w:rPr>
        <w:fldChar w:fldCharType="separate"/>
      </w:r>
      <w:r>
        <w:rPr>
          <w:rFonts w:hint="eastAsia" w:ascii="宋体" w:hAnsi="宋体" w:eastAsia="宋体" w:cs="宋体"/>
        </w:rPr>
        <w:t>97</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"_Toc5825"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_Toc5825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"_Toc26526" </w:instrText>
      </w:r>
      <w:r>
        <w:fldChar w:fldCharType="separate"/>
      </w:r>
      <w:r>
        <w:rPr>
          <w:rFonts w:hint="eastAsia" w:ascii="宋体" w:hAnsi="宋体" w:eastAsia="宋体" w:cs="宋体"/>
        </w:rPr>
        <w:t>第五部分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_Toc26526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"_Toc12270" </w:instrText>
      </w:r>
      <w:r>
        <w:fldChar w:fldCharType="separate"/>
      </w:r>
      <w:r>
        <w:rPr>
          <w:rFonts w:hint="eastAsia" w:ascii="宋体" w:hAnsi="宋体" w:eastAsia="宋体" w:cs="宋体"/>
        </w:rPr>
        <w:t>第六部分  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_Toc12270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"_Toc25334" </w:instrText>
      </w:r>
      <w:r>
        <w:fldChar w:fldCharType="separate"/>
      </w:r>
      <w:r>
        <w:rPr>
          <w:rFonts w:hint="eastAsia" w:ascii="宋体" w:hAnsi="宋体" w:eastAsia="宋体" w:cs="宋体"/>
        </w:rPr>
        <w:t>第七部分 技术支持资料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_Toc25334 \h </w:instrText>
      </w:r>
      <w:r>
        <w:rPr>
          <w:rFonts w:hint="eastAsia" w:ascii="宋体" w:hAnsi="宋体" w:eastAsia="宋体" w:cs="宋体"/>
        </w:rPr>
        <w:fldChar w:fldCharType="separate"/>
      </w:r>
      <w:r>
        <w:rPr>
          <w:rFonts w:hint="eastAsia" w:ascii="宋体" w:hAnsi="宋体" w:eastAsia="宋体" w:cs="宋体"/>
        </w:rPr>
        <w:t>106</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"_Toc12259" </w:instrText>
      </w:r>
      <w:r>
        <w:fldChar w:fldCharType="separate"/>
      </w:r>
      <w:r>
        <w:rPr>
          <w:rFonts w:hint="eastAsia" w:ascii="宋体" w:hAnsi="宋体" w:eastAsia="宋体" w:cs="宋体"/>
        </w:rPr>
        <w:t>第八部分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_Toc12259 \h </w:instrText>
      </w:r>
      <w:r>
        <w:rPr>
          <w:rFonts w:hint="eastAsia" w:ascii="宋体" w:hAnsi="宋体" w:eastAsia="宋体" w:cs="宋体"/>
        </w:rPr>
        <w:fldChar w:fldCharType="separate"/>
      </w:r>
      <w:r>
        <w:rPr>
          <w:rFonts w:hint="eastAsia" w:ascii="宋体" w:hAnsi="宋体" w:eastAsia="宋体" w:cs="宋体"/>
        </w:rPr>
        <w:t>107</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"_Toc14659" </w:instrText>
      </w:r>
      <w:r>
        <w:fldChar w:fldCharType="separate"/>
      </w:r>
      <w:r>
        <w:rPr>
          <w:rFonts w:hint="eastAsia" w:ascii="宋体" w:hAnsi="宋体" w:eastAsia="宋体" w:cs="宋体"/>
        </w:rPr>
        <w:t>第九部分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_Toc14659 \h </w:instrText>
      </w:r>
      <w:r>
        <w:rPr>
          <w:rFonts w:hint="eastAsia" w:ascii="宋体" w:hAnsi="宋体" w:eastAsia="宋体" w:cs="宋体"/>
        </w:rPr>
        <w:fldChar w:fldCharType="separate"/>
      </w:r>
      <w:r>
        <w:rPr>
          <w:rFonts w:hint="eastAsia" w:ascii="宋体" w:hAnsi="宋体" w:eastAsia="宋体" w:cs="宋体"/>
        </w:rPr>
        <w:t>108</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"_Toc9757" </w:instrText>
      </w:r>
      <w:r>
        <w:fldChar w:fldCharType="separate"/>
      </w:r>
      <w:r>
        <w:rPr>
          <w:rFonts w:hint="eastAsia" w:ascii="宋体" w:hAnsi="宋体" w:eastAsia="宋体" w:cs="宋体"/>
        </w:rPr>
        <w:t>附件一、中小企业申明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_Toc9757 \h </w:instrText>
      </w:r>
      <w:r>
        <w:rPr>
          <w:rFonts w:hint="eastAsia" w:ascii="宋体" w:hAnsi="宋体" w:eastAsia="宋体" w:cs="宋体"/>
        </w:rPr>
        <w:fldChar w:fldCharType="separate"/>
      </w:r>
      <w:r>
        <w:rPr>
          <w:rFonts w:hint="eastAsia" w:ascii="宋体" w:hAnsi="宋体" w:eastAsia="宋体" w:cs="宋体"/>
        </w:rPr>
        <w:t>109</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"_Toc30803" </w:instrText>
      </w:r>
      <w:r>
        <w:fldChar w:fldCharType="separate"/>
      </w:r>
      <w:r>
        <w:rPr>
          <w:rFonts w:hint="eastAsia" w:ascii="宋体" w:hAnsi="宋体" w:eastAsia="宋体" w:cs="宋体"/>
        </w:rPr>
        <w:t>附件二、残疾人福利性单位声明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_Toc30803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"_Toc23635" </w:instrText>
      </w:r>
      <w:r>
        <w:fldChar w:fldCharType="separate"/>
      </w:r>
      <w:r>
        <w:rPr>
          <w:rFonts w:hint="eastAsia" w:ascii="宋体" w:hAnsi="宋体" w:eastAsia="宋体" w:cs="宋体"/>
        </w:rPr>
        <w:t>附件三、监狱企业证明文件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_Toc23635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rPr>
          <w:rFonts w:ascii="宋体" w:hAnsi="宋体" w:eastAsia="宋体" w:cs="宋体"/>
        </w:rPr>
      </w:pPr>
      <w:r>
        <w:fldChar w:fldCharType="begin"/>
      </w:r>
      <w:r>
        <w:instrText xml:space="preserve"> HYPERLINK \l "_Toc29084" </w:instrText>
      </w:r>
      <w:r>
        <w:fldChar w:fldCharType="separate"/>
      </w:r>
      <w:r>
        <w:rPr>
          <w:rFonts w:hint="eastAsia" w:ascii="宋体" w:hAnsi="宋体" w:eastAsia="宋体" w:cs="宋体"/>
        </w:rPr>
        <w:t>附件四、“节能产品”，“环境标志产品”证明材料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_Toc29084 \h </w:instrText>
      </w:r>
      <w:r>
        <w:rPr>
          <w:rFonts w:hint="eastAsia" w:ascii="宋体" w:hAnsi="宋体" w:eastAsia="宋体" w:cs="宋体"/>
        </w:rPr>
        <w:fldChar w:fldCharType="separate"/>
      </w:r>
      <w:r>
        <w:rPr>
          <w:rFonts w:hint="eastAsia" w:ascii="宋体" w:hAnsi="宋体" w:eastAsia="宋体" w:cs="宋体"/>
        </w:rPr>
        <w:t>111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9746"/>
        </w:tabs>
        <w:spacing w:line="360" w:lineRule="auto"/>
        <w:ind w:left="497"/>
      </w:pPr>
      <w:r>
        <w:fldChar w:fldCharType="begin"/>
      </w:r>
      <w:r>
        <w:instrText xml:space="preserve"> HYPERLINK \l "_Toc14935" </w:instrText>
      </w:r>
      <w:r>
        <w:fldChar w:fldCharType="separate"/>
      </w:r>
      <w:r>
        <w:rPr>
          <w:rFonts w:hint="eastAsia" w:ascii="宋体" w:hAnsi="宋体" w:eastAsia="宋体" w:cs="宋体"/>
        </w:rPr>
        <w:t>附件五、质疑函样本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_Toc14935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rPr>
        <w:fldChar w:fldCharType="end"/>
      </w:r>
    </w:p>
    <w:p>
      <w:pPr>
        <w:jc w:val="center"/>
      </w:pPr>
      <w:r>
        <w:rPr>
          <w:rFonts w:hint="eastAsia" w:ascii="宋体" w:hAnsi="宋体" w:eastAsia="宋体" w:cs="宋体"/>
          <w:szCs w:val="28"/>
        </w:rPr>
        <w:fldChar w:fldCharType="end"/>
      </w:r>
    </w:p>
    <w:p>
      <w:pPr>
        <w:rPr>
          <w:rFonts w:ascii="宋体" w:hAnsi="宋体" w:eastAsia="宋体" w:cs="宋体"/>
        </w:rPr>
      </w:pPr>
      <w:r>
        <w:rPr>
          <w:rFonts w:hint="eastAsia" w:ascii="宋体" w:hAnsi="宋体" w:eastAsia="宋体" w:cs="宋体"/>
        </w:rPr>
        <w:br w:type="page"/>
      </w:r>
    </w:p>
    <w:p>
      <w:pPr>
        <w:pStyle w:val="3"/>
        <w:rPr>
          <w:rFonts w:ascii="宋体" w:hAnsi="宋体" w:eastAsia="宋体" w:cs="宋体"/>
        </w:rPr>
      </w:pPr>
      <w:bookmarkStart w:id="1" w:name="_Toc8557"/>
      <w:r>
        <w:rPr>
          <w:rFonts w:hint="eastAsia" w:ascii="宋体" w:hAnsi="宋体" w:eastAsia="宋体" w:cs="宋体"/>
        </w:rPr>
        <w:t>第一章  投标邀请函</w:t>
      </w:r>
      <w:bookmarkEnd w:id="0"/>
      <w:bookmarkEnd w:id="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陕西万泽招标有限公司受西安市市场监督管理局的委托，经政府采购监管部门批准，按照政府采购程序，对西安市市场监督管理局2023年机电类特种设备安全质量监督抽查项目进行公开招标，欢迎符合资格条件的、有能力提供本项目所需货物和服务的供应商参加投标。</w:t>
      </w:r>
    </w:p>
    <w:p>
      <w:pPr>
        <w:rPr>
          <w:rFonts w:ascii="宋体" w:hAnsi="宋体" w:eastAsia="宋体" w:cs="宋体"/>
          <w:sz w:val="28"/>
          <w:szCs w:val="28"/>
        </w:rPr>
      </w:pPr>
      <w:r>
        <w:rPr>
          <w:rFonts w:hint="eastAsia" w:ascii="宋体" w:hAnsi="宋体" w:eastAsia="宋体" w:cs="宋体"/>
          <w:sz w:val="28"/>
          <w:szCs w:val="28"/>
        </w:rPr>
        <w:t>一、项目基本信息：</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项目名称：西安市市场监督管理局2023年机电类特种设备安全质量监督抽查项目</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项目编号：SXWZ2023ZB-SGLJ-030</w:t>
      </w:r>
    </w:p>
    <w:p>
      <w:pPr>
        <w:numPr>
          <w:ilvl w:val="0"/>
          <w:numId w:val="2"/>
        </w:numPr>
        <w:rPr>
          <w:rFonts w:ascii="宋体" w:hAnsi="宋体" w:eastAsia="宋体" w:cs="宋体"/>
          <w:sz w:val="28"/>
          <w:szCs w:val="28"/>
        </w:rPr>
      </w:pPr>
      <w:r>
        <w:rPr>
          <w:rFonts w:hint="eastAsia" w:ascii="宋体" w:hAnsi="宋体" w:eastAsia="宋体" w:cs="宋体"/>
          <w:sz w:val="28"/>
          <w:szCs w:val="28"/>
        </w:rPr>
        <w:t>项目性质：非专门面向中小企业的采购</w:t>
      </w:r>
    </w:p>
    <w:p>
      <w:pPr>
        <w:rPr>
          <w:rFonts w:ascii="宋体" w:hAnsi="宋体" w:eastAsia="宋体" w:cs="宋体"/>
          <w:sz w:val="28"/>
          <w:szCs w:val="28"/>
        </w:rPr>
      </w:pPr>
      <w:r>
        <w:rPr>
          <w:rFonts w:hint="eastAsia" w:ascii="宋体" w:hAnsi="宋体" w:eastAsia="宋体" w:cs="宋体"/>
          <w:sz w:val="28"/>
          <w:szCs w:val="28"/>
        </w:rPr>
        <w:t>三、采购内容和要求：2023年机电类特种设备安全质量监督抽查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（详见招标文件第三章〈招标内容及要求〉）</w:t>
      </w:r>
    </w:p>
    <w:p>
      <w:pPr>
        <w:rPr>
          <w:rFonts w:ascii="宋体" w:hAnsi="宋体" w:eastAsia="宋体" w:cs="宋体"/>
          <w:sz w:val="28"/>
          <w:szCs w:val="28"/>
        </w:rPr>
      </w:pPr>
      <w:r>
        <w:rPr>
          <w:rFonts w:hint="eastAsia" w:ascii="宋体" w:hAnsi="宋体" w:eastAsia="宋体" w:cs="宋体"/>
          <w:sz w:val="28"/>
          <w:szCs w:val="28"/>
        </w:rPr>
        <w:t>四、采购预算：4300000.00元；最高限价：4300000.00元</w:t>
      </w:r>
    </w:p>
    <w:p>
      <w:pPr>
        <w:rPr>
          <w:rFonts w:ascii="宋体" w:hAnsi="宋体" w:eastAsia="宋体" w:cs="宋体"/>
          <w:sz w:val="28"/>
          <w:szCs w:val="28"/>
        </w:rPr>
      </w:pPr>
      <w:r>
        <w:rPr>
          <w:rFonts w:hint="eastAsia" w:ascii="宋体" w:hAnsi="宋体" w:eastAsia="宋体" w:cs="宋体"/>
          <w:sz w:val="28"/>
          <w:szCs w:val="28"/>
        </w:rPr>
        <w:t>五、供应商资格要求：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1．基本资格条件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满足《中华人民共和国政府釆购法》第二十二条规定。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2．特定资格条件</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2.1具有独立承担民事责任能力的法人、其他组织或自然人，并出具合法有效的营业执照或事业单位法人证书等国家规定的相关证明，自然人参与的提供其身份证明；</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2.2社会保障资金缴纳证明：供应商提供本单位2022年6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2.3税收缴纳证明：供应商提供本单位2022年6月至今已缴纳的至少一个月纳税证明或完税证明，依法免税的单位应提供相关证明材料； </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 xml:space="preserve">2.4财务状况证明：提供本单位经会计师事务所审计的2021年或2022年任意一年的财务审计报告或在开标日期前六个月内其基本开户银行出具的资信证明；  </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2.5供应商应出具参加本次政府采购活动前3年内在经营活动中没有重大违法违纪，以及未被列入失信被执行人、重大税收违法案件当事人名单、政府采购严重违法失信行为记录名单的书面声明；</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2.6非法定代表人参加投标，须提供法定代表人授权委托书；法定代表人参加投标时,只须提供法定代表人身份证；</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2.7具备国家市场监督管理总局（原国家质量监督检验检疫总局）颁发的《中华人民共和国特种设备检验检测机构核准证（综合检验机构甲类）》；</w:t>
      </w:r>
    </w:p>
    <w:p>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2.8取得电梯监督检验、定期检验、型式试验许可之一的检验检测机构；</w:t>
      </w:r>
    </w:p>
    <w:p>
      <w:pPr>
        <w:spacing w:line="360" w:lineRule="auto"/>
        <w:ind w:firstLine="576" w:firstLineChars="200"/>
        <w:rPr>
          <w:rFonts w:ascii="宋体" w:hAnsi="宋体" w:cs="宋体"/>
          <w:sz w:val="28"/>
          <w:szCs w:val="28"/>
        </w:rPr>
      </w:pPr>
      <w:r>
        <w:rPr>
          <w:rFonts w:hint="eastAsia" w:ascii="宋体" w:hAnsi="宋体" w:eastAsia="宋体" w:cs="宋体"/>
          <w:sz w:val="28"/>
          <w:szCs w:val="28"/>
        </w:rPr>
        <w:t>2.9本项目不接受联合体投标。</w:t>
      </w:r>
    </w:p>
    <w:p>
      <w:pPr>
        <w:rPr>
          <w:rFonts w:ascii="宋体" w:hAnsi="宋体" w:eastAsia="宋体" w:cs="宋体"/>
          <w:sz w:val="28"/>
          <w:szCs w:val="28"/>
        </w:rPr>
      </w:pPr>
      <w:r>
        <w:rPr>
          <w:rFonts w:hint="eastAsia" w:ascii="宋体" w:hAnsi="宋体" w:eastAsia="宋体" w:cs="宋体"/>
          <w:sz w:val="28"/>
          <w:szCs w:val="28"/>
        </w:rPr>
        <w:t>六、执行的其他政府采购政策：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3．陕西省财政厅关于印发《陕西省中小企业政府采购信用融资办法》（陕财办采〔2018〕23号）。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4．详见招标文件第二章相关事项。</w:t>
      </w:r>
    </w:p>
    <w:p>
      <w:pPr>
        <w:rPr>
          <w:rFonts w:ascii="宋体" w:hAnsi="宋体" w:eastAsia="宋体" w:cs="宋体"/>
          <w:sz w:val="28"/>
          <w:szCs w:val="28"/>
        </w:rPr>
      </w:pPr>
      <w:r>
        <w:rPr>
          <w:rFonts w:hint="eastAsia" w:ascii="宋体" w:hAnsi="宋体" w:eastAsia="宋体" w:cs="宋体"/>
          <w:sz w:val="28"/>
          <w:szCs w:val="28"/>
        </w:rPr>
        <w:t>七、招标文件获取方式及公告期限：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1．获取方式：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1.1打开【全国公共资源交易平台（陕西省·西安市）】网站（简称西安市公共资源交易平台，官网地址：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40"/>
          <w:rFonts w:hint="eastAsia" w:ascii="宋体" w:hAnsi="宋体" w:eastAsia="宋体" w:cs="宋体"/>
          <w:color w:val="auto"/>
          <w:sz w:val="28"/>
          <w:szCs w:val="28"/>
          <w:u w:val="none"/>
        </w:rPr>
        <w:t>http://sxggzyjy.xa.gov.cn/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1.2供应商于文件发售时间内登录全国公共资源交易平台（陕西省·西安市）系统 （http://sxggzyjy.xa.gov.cn/），选择本项目点击“我要投标”，参与投标活动。</w:t>
      </w:r>
    </w:p>
    <w:p>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rPr>
        <w:t>2．获取时间</w:t>
      </w:r>
      <w:r>
        <w:rPr>
          <w:rFonts w:hint="eastAsia" w:ascii="宋体" w:hAnsi="宋体" w:eastAsia="宋体" w:cs="宋体"/>
          <w:sz w:val="28"/>
          <w:szCs w:val="28"/>
          <w:highlight w:val="none"/>
        </w:rPr>
        <w:t>：2023年</w:t>
      </w:r>
      <w:r>
        <w:rPr>
          <w:rFonts w:hint="eastAsia" w:ascii="宋体" w:hAnsi="宋体" w:eastAsia="宋体" w:cs="宋体"/>
          <w:sz w:val="28"/>
          <w:szCs w:val="28"/>
          <w:highlight w:val="none"/>
          <w:lang w:val="en-US" w:eastAsia="zh-CN"/>
        </w:rPr>
        <w:t>03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日起至2023年</w:t>
      </w:r>
      <w:r>
        <w:rPr>
          <w:rFonts w:hint="eastAsia" w:ascii="宋体" w:hAnsi="宋体" w:eastAsia="宋体" w:cs="宋体"/>
          <w:sz w:val="28"/>
          <w:szCs w:val="28"/>
          <w:highlight w:val="none"/>
          <w:lang w:val="en-US" w:eastAsia="zh-CN"/>
        </w:rPr>
        <w:t>03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日止</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3．公告期自公告发布之日起5个工作日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4.友情提示：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（2）制作电子投标文件（*.SXSTF）需要使用专用制作工具。软件下载及操作说明详见西安市公共资源交易平台〖首页·〉服务指南·〉下载专区〗中的《政府采购项目投标文件制作软件及操作手册》。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rPr>
          <w:rFonts w:ascii="宋体" w:hAnsi="宋体" w:eastAsia="宋体" w:cs="宋体"/>
          <w:sz w:val="28"/>
          <w:szCs w:val="28"/>
        </w:rPr>
      </w:pPr>
      <w:r>
        <w:rPr>
          <w:rFonts w:hint="eastAsia" w:ascii="宋体" w:hAnsi="宋体" w:eastAsia="宋体" w:cs="宋体"/>
          <w:sz w:val="28"/>
          <w:szCs w:val="28"/>
        </w:rPr>
        <w:t>八、提交投标文件方式、截止时间及开标时间、形式：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2．提交投标文件截止时间及开标时</w:t>
      </w:r>
      <w:r>
        <w:rPr>
          <w:rFonts w:hint="eastAsia" w:ascii="宋体" w:hAnsi="宋体" w:eastAsia="宋体" w:cs="宋体"/>
          <w:sz w:val="28"/>
          <w:szCs w:val="28"/>
          <w:highlight w:val="none"/>
        </w:rPr>
        <w:t>间：2023年</w:t>
      </w:r>
      <w:r>
        <w:rPr>
          <w:rFonts w:hint="eastAsia" w:ascii="宋体" w:hAnsi="宋体" w:eastAsia="宋体" w:cs="宋体"/>
          <w:sz w:val="28"/>
          <w:szCs w:val="28"/>
          <w:highlight w:val="none"/>
          <w:lang w:val="en-US" w:eastAsia="zh-CN"/>
        </w:rPr>
        <w:t>03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31</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w:t>
      </w:r>
      <w:r>
        <w:rPr>
          <w:rFonts w:hint="eastAsia" w:ascii="宋体" w:hAnsi="宋体" w:eastAsia="宋体" w:cs="宋体"/>
          <w:sz w:val="28"/>
          <w:szCs w:val="28"/>
        </w:rPr>
        <w:t>，逾期提交的，系统将拒绝接收。</w:t>
      </w:r>
    </w:p>
    <w:p>
      <w:pPr>
        <w:ind w:firstLine="576" w:firstLineChars="200"/>
      </w:pPr>
      <w:r>
        <w:rPr>
          <w:rFonts w:hint="eastAsia" w:ascii="宋体" w:hAnsi="宋体" w:eastAsia="宋体" w:cs="宋体"/>
          <w:sz w:val="28"/>
          <w:szCs w:val="28"/>
        </w:rPr>
        <w:t>3.开标地址：西安市公共资源交易中心</w:t>
      </w:r>
      <w:r>
        <w:rPr>
          <w:rFonts w:hint="eastAsia" w:ascii="宋体" w:hAnsi="宋体" w:eastAsia="宋体" w:cs="宋体"/>
          <w:sz w:val="28"/>
          <w:szCs w:val="28"/>
          <w:lang w:val="en-US" w:eastAsia="zh-CN"/>
        </w:rPr>
        <w:t>5</w:t>
      </w:r>
      <w:r>
        <w:rPr>
          <w:rFonts w:hint="eastAsia" w:ascii="宋体" w:hAnsi="宋体" w:eastAsia="宋体" w:cs="宋体"/>
          <w:sz w:val="28"/>
          <w:szCs w:val="28"/>
        </w:rPr>
        <w:t>楼开标室</w:t>
      </w:r>
      <w:r>
        <w:rPr>
          <w:rFonts w:hint="eastAsia" w:ascii="宋体" w:hAnsi="宋体" w:eastAsia="宋体" w:cs="宋体"/>
          <w:sz w:val="28"/>
          <w:szCs w:val="28"/>
          <w:lang w:val="en-US" w:eastAsia="zh-CN"/>
        </w:rPr>
        <w:t>503</w:t>
      </w:r>
      <w:r>
        <w:rPr>
          <w:rFonts w:hint="eastAsia" w:ascii="宋体" w:hAnsi="宋体" w:eastAsia="宋体" w:cs="宋体"/>
          <w:sz w:val="28"/>
          <w:szCs w:val="28"/>
        </w:rPr>
        <w:t>.</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4．开标形式：本项目将采用“不见面开标”形式。操作说明详见平台〖首页·〉服务指南·〉下载专区〗中的《西安公共资源交易不见面开标大厅供应商操作手册》。</w:t>
      </w:r>
    </w:p>
    <w:p>
      <w:pPr>
        <w:rPr>
          <w:rFonts w:ascii="宋体" w:hAnsi="宋体" w:eastAsia="宋体" w:cs="宋体"/>
          <w:sz w:val="28"/>
          <w:szCs w:val="28"/>
        </w:rPr>
      </w:pPr>
      <w:r>
        <w:rPr>
          <w:rFonts w:hint="eastAsia" w:ascii="宋体" w:hAnsi="宋体" w:eastAsia="宋体" w:cs="宋体"/>
          <w:sz w:val="28"/>
          <w:szCs w:val="28"/>
        </w:rPr>
        <w:t>九、联系方式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1．采购人：西安市市场监督管理局</w:t>
      </w:r>
    </w:p>
    <w:p>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地址：陕西省西安市经开区凤城八路109号</w:t>
      </w:r>
    </w:p>
    <w:p>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联系人：王老师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highlight w:val="none"/>
        </w:rPr>
        <w:t>联系方式：029-8187695</w:t>
      </w:r>
      <w:r>
        <w:rPr>
          <w:rFonts w:hint="eastAsia" w:ascii="宋体" w:hAnsi="宋体" w:eastAsia="宋体" w:cs="宋体"/>
          <w:sz w:val="28"/>
          <w:szCs w:val="28"/>
        </w:rPr>
        <w:t>7</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2．采购代理机构：陕西万泽招标有限公司</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地址：西安市莲湖区西关正街英达大厦1507室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总机：029-88319689</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联系人：张刘艳  于晓晶  郝思思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联系电话：029-88319689-807/806</w:t>
      </w:r>
    </w:p>
    <w:p>
      <w:pPr>
        <w:spacing w:line="560" w:lineRule="exact"/>
        <w:ind w:firstLine="576" w:firstLineChars="200"/>
        <w:jc w:val="right"/>
        <w:rPr>
          <w:rFonts w:ascii="宋体" w:hAnsi="宋体" w:eastAsia="宋体" w:cs="宋体"/>
          <w:sz w:val="28"/>
          <w:szCs w:val="28"/>
        </w:rPr>
      </w:pPr>
      <w:r>
        <w:rPr>
          <w:rFonts w:hint="eastAsia" w:ascii="宋体" w:hAnsi="宋体" w:eastAsia="宋体" w:cs="宋体"/>
          <w:sz w:val="28"/>
          <w:szCs w:val="28"/>
        </w:rPr>
        <w:t>陕西万泽招标有限公司</w:t>
      </w:r>
    </w:p>
    <w:p>
      <w:pPr>
        <w:spacing w:line="560" w:lineRule="exact"/>
        <w:ind w:firstLine="576" w:firstLineChars="200"/>
        <w:jc w:val="right"/>
        <w:rPr>
          <w:rFonts w:ascii="宋体" w:hAnsi="宋体" w:eastAsia="宋体" w:cs="宋体"/>
          <w:sz w:val="28"/>
          <w:szCs w:val="28"/>
        </w:rPr>
      </w:pPr>
      <w:r>
        <w:rPr>
          <w:rFonts w:hint="eastAsia" w:ascii="宋体" w:hAnsi="宋体" w:eastAsia="宋体" w:cs="宋体"/>
          <w:sz w:val="28"/>
          <w:szCs w:val="28"/>
        </w:rPr>
        <w:t>2023年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spacing w:line="560" w:lineRule="exact"/>
        <w:ind w:firstLine="656" w:firstLineChars="200"/>
        <w:jc w:val="both"/>
        <w:rPr>
          <w:rFonts w:ascii="宋体" w:hAnsi="宋体" w:eastAsia="宋体" w:cs="宋体"/>
          <w:sz w:val="32"/>
          <w:szCs w:val="32"/>
        </w:rPr>
      </w:pPr>
      <w:bookmarkStart w:id="2" w:name="_Toc534656409"/>
      <w:bookmarkStart w:id="3" w:name="_Toc498349068"/>
      <w:bookmarkStart w:id="4" w:name="_Toc445407251"/>
      <w:bookmarkStart w:id="5" w:name="_Toc100219613"/>
      <w:bookmarkStart w:id="6" w:name="_Toc533363235"/>
      <w:bookmarkStart w:id="7" w:name="_Toc534656414"/>
      <w:bookmarkStart w:id="8" w:name="_Toc533363262"/>
      <w:bookmarkStart w:id="9" w:name="_Toc97563329"/>
      <w:r>
        <w:rPr>
          <w:rFonts w:hint="eastAsia" w:ascii="宋体" w:hAnsi="宋体" w:eastAsia="宋体" w:cs="宋体"/>
          <w:sz w:val="32"/>
          <w:szCs w:val="32"/>
        </w:rPr>
        <w:br w:type="page"/>
      </w:r>
    </w:p>
    <w:p>
      <w:pPr>
        <w:pStyle w:val="3"/>
        <w:spacing w:line="240" w:lineRule="auto"/>
        <w:rPr>
          <w:rFonts w:ascii="宋体" w:hAnsi="宋体" w:eastAsia="宋体" w:cs="宋体"/>
        </w:rPr>
      </w:pPr>
      <w:bookmarkStart w:id="10" w:name="_Toc6331"/>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pPr>
        <w:pStyle w:val="4"/>
        <w:spacing w:line="240" w:lineRule="auto"/>
        <w:ind w:firstLine="577"/>
        <w:jc w:val="left"/>
        <w:rPr>
          <w:rFonts w:ascii="宋体" w:hAnsi="宋体" w:eastAsia="宋体" w:cs="宋体"/>
          <w:sz w:val="28"/>
          <w:szCs w:val="28"/>
        </w:rPr>
      </w:pPr>
      <w:bookmarkStart w:id="11" w:name="_Toc21966"/>
      <w:r>
        <w:rPr>
          <w:rFonts w:hint="eastAsia" w:ascii="宋体" w:hAnsi="宋体" w:eastAsia="宋体" w:cs="宋体"/>
          <w:sz w:val="28"/>
          <w:szCs w:val="28"/>
        </w:rPr>
        <w:t>〖前附表〗</w:t>
      </w:r>
      <w:bookmarkEnd w:id="11"/>
    </w:p>
    <w:tbl>
      <w:tblPr>
        <w:tblStyle w:val="34"/>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1"/>
                <w:szCs w:val="21"/>
              </w:rPr>
            </w:pPr>
            <w:r>
              <w:rPr>
                <w:rFonts w:hint="eastAsia" w:ascii="宋体" w:hAnsi="宋体" w:eastAsia="宋体" w:cs="宋体"/>
                <w:b/>
                <w:bCs/>
                <w:sz w:val="21"/>
                <w:szCs w:val="21"/>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1"/>
                <w:szCs w:val="21"/>
              </w:rPr>
            </w:pPr>
            <w:r>
              <w:rPr>
                <w:rFonts w:hint="eastAsia" w:ascii="宋体" w:hAnsi="宋体" w:eastAsia="宋体" w:cs="宋体"/>
                <w:b/>
                <w:bCs/>
                <w:sz w:val="21"/>
                <w:szCs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1"/>
                <w:szCs w:val="21"/>
              </w:rPr>
            </w:pPr>
          </w:p>
        </w:tc>
        <w:tc>
          <w:tcPr>
            <w:tcW w:w="3402" w:type="dxa"/>
            <w:tcBorders>
              <w:top w:val="single" w:color="auto" w:sz="2"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项目名称</w:t>
            </w:r>
          </w:p>
        </w:tc>
        <w:tc>
          <w:tcPr>
            <w:tcW w:w="4490" w:type="dxa"/>
            <w:tcBorders>
              <w:top w:val="single" w:color="auto" w:sz="2"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西安市市场监督管理局2023年机电类特种设备安全质量监督抽查项目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项目编号</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SXWZ2023ZB-SGLJ-030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预算执行书编号</w:t>
            </w:r>
          </w:p>
        </w:tc>
        <w:tc>
          <w:tcPr>
            <w:tcW w:w="4490" w:type="dxa"/>
            <w:shd w:val="clear" w:color="auto" w:fill="auto"/>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ZCBN-西安市-2023-00196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是否预留份额</w:t>
            </w:r>
          </w:p>
          <w:p>
            <w:pPr>
              <w:jc w:val="center"/>
              <w:rPr>
                <w:rFonts w:ascii="宋体" w:hAnsi="宋体" w:eastAsia="宋体" w:cs="宋体"/>
                <w:sz w:val="21"/>
                <w:szCs w:val="21"/>
              </w:rPr>
            </w:pPr>
            <w:r>
              <w:rPr>
                <w:rFonts w:hint="eastAsia" w:ascii="宋体" w:hAnsi="宋体" w:eastAsia="宋体" w:cs="宋体"/>
                <w:sz w:val="21"/>
                <w:szCs w:val="21"/>
              </w:rPr>
              <w:t>专门面向中小企业采购</w:t>
            </w:r>
          </w:p>
        </w:tc>
        <w:tc>
          <w:tcPr>
            <w:tcW w:w="4490" w:type="dxa"/>
            <w:shd w:val="clear" w:color="auto" w:fill="auto"/>
            <w:vAlign w:val="center"/>
          </w:tcPr>
          <w:p>
            <w:pPr>
              <w:jc w:val="center"/>
              <w:rPr>
                <w:rFonts w:ascii="宋体" w:hAnsi="宋体" w:eastAsia="宋体" w:cs="宋体"/>
                <w:sz w:val="21"/>
                <w:szCs w:val="21"/>
              </w:rPr>
            </w:pPr>
            <w:sdt>
              <w:sdtPr>
                <w:rPr>
                  <w:rFonts w:hint="eastAsia" w:ascii="宋体" w:hAnsi="宋体" w:eastAsia="宋体" w:cs="宋体"/>
                  <w:sz w:val="21"/>
                  <w:szCs w:val="21"/>
                </w:rPr>
                <w:id w:val="2139916130"/>
              </w:sdtPr>
              <w:sdtEndPr>
                <w:rPr>
                  <w:rFonts w:hint="eastAsia" w:ascii="宋体" w:hAnsi="宋体" w:eastAsia="宋体" w:cs="宋体"/>
                  <w:sz w:val="21"/>
                  <w:szCs w:val="21"/>
                </w:rPr>
              </w:sdtEndPr>
              <w:sdtContent>
                <w:r>
                  <w:rPr>
                    <w:rFonts w:hint="eastAsia" w:ascii="MS Gothic" w:hAnsi="MS Gothic" w:eastAsia="宋体" w:cs="宋体"/>
                    <w:sz w:val="21"/>
                    <w:szCs w:val="21"/>
                  </w:rPr>
                  <w:t>☐</w:t>
                </w:r>
              </w:sdtContent>
            </w:sdt>
            <w:r>
              <w:rPr>
                <w:rFonts w:hint="eastAsia" w:ascii="宋体" w:hAnsi="宋体" w:eastAsia="宋体" w:cs="宋体"/>
                <w:sz w:val="21"/>
                <w:szCs w:val="21"/>
              </w:rPr>
              <w:t xml:space="preserve">是  </w:t>
            </w:r>
            <w:sdt>
              <w:sdtPr>
                <w:rPr>
                  <w:rFonts w:hint="eastAsia" w:ascii="宋体" w:hAnsi="宋体" w:eastAsia="宋体" w:cs="宋体"/>
                  <w:sz w:val="21"/>
                  <w:szCs w:val="21"/>
                </w:rPr>
                <w:id w:val="-2072024220"/>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vMerge w:val="restart"/>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预算金额</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4300000.00元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最高限价</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4300000.00元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是否接受联合体</w:t>
            </w:r>
          </w:p>
        </w:tc>
        <w:tc>
          <w:tcPr>
            <w:tcW w:w="4490" w:type="dxa"/>
            <w:shd w:val="clear" w:color="auto" w:fill="auto"/>
            <w:vAlign w:val="center"/>
          </w:tcPr>
          <w:p>
            <w:pPr>
              <w:rPr>
                <w:rFonts w:ascii="宋体" w:hAnsi="宋体" w:eastAsia="宋体" w:cs="宋体"/>
                <w:sz w:val="21"/>
                <w:szCs w:val="21"/>
              </w:rPr>
            </w:pPr>
            <w:sdt>
              <w:sdtPr>
                <w:rPr>
                  <w:rFonts w:hint="eastAsia" w:ascii="宋体" w:hAnsi="宋体" w:eastAsia="宋体" w:cs="宋体"/>
                  <w:sz w:val="21"/>
                  <w:szCs w:val="21"/>
                </w:rPr>
                <w:id w:val="1317929335"/>
              </w:sdtPr>
              <w:sdtEndPr>
                <w:rPr>
                  <w:rFonts w:hint="eastAsia" w:ascii="宋体" w:hAnsi="宋体" w:eastAsia="宋体" w:cs="宋体"/>
                  <w:sz w:val="21"/>
                  <w:szCs w:val="21"/>
                </w:rPr>
              </w:sdtEndPr>
              <w:sdtContent>
                <w:r>
                  <w:rPr>
                    <w:rFonts w:hint="eastAsia" w:ascii="MS Gothic" w:hAnsi="MS Gothic" w:eastAsia="宋体" w:cs="宋体"/>
                    <w:sz w:val="21"/>
                    <w:szCs w:val="21"/>
                  </w:rPr>
                  <w:t>☑</w:t>
                </w:r>
              </w:sdtContent>
            </w:sdt>
            <w:r>
              <w:rPr>
                <w:rFonts w:hint="eastAsia" w:ascii="宋体" w:hAnsi="宋体" w:eastAsia="宋体" w:cs="宋体"/>
                <w:sz w:val="21"/>
                <w:szCs w:val="21"/>
              </w:rPr>
              <w:t>否</w:t>
            </w:r>
          </w:p>
          <w:p>
            <w:pPr>
              <w:rPr>
                <w:rFonts w:ascii="宋体" w:hAnsi="宋体" w:eastAsia="宋体" w:cs="宋体"/>
                <w:sz w:val="21"/>
                <w:szCs w:val="21"/>
              </w:rPr>
            </w:pPr>
            <w:sdt>
              <w:sdtPr>
                <w:rPr>
                  <w:rFonts w:hint="eastAsia" w:ascii="宋体" w:hAnsi="宋体" w:eastAsia="宋体" w:cs="宋体"/>
                  <w:sz w:val="21"/>
                  <w:szCs w:val="21"/>
                </w:rPr>
                <w:id w:val="608160193"/>
              </w:sdtPr>
              <w:sdtEndPr>
                <w:rPr>
                  <w:rFonts w:hint="eastAsia" w:ascii="宋体" w:hAnsi="宋体" w:eastAsia="宋体" w:cs="宋体"/>
                  <w:sz w:val="21"/>
                  <w:szCs w:val="21"/>
                </w:rPr>
              </w:sdtEndPr>
              <w:sdtContent>
                <w:r>
                  <w:rPr>
                    <w:rFonts w:hint="eastAsia" w:ascii="MS Gothic" w:hAnsi="MS Gothic" w:eastAsia="宋体" w:cs="宋体"/>
                    <w:sz w:val="21"/>
                    <w:szCs w:val="21"/>
                  </w:rPr>
                  <w:t>☐</w:t>
                </w:r>
              </w:sdtContent>
            </w:sdt>
            <w:r>
              <w:rPr>
                <w:rFonts w:hint="eastAsia" w:ascii="宋体" w:hAnsi="宋体" w:eastAsia="宋体" w:cs="宋体"/>
                <w:sz w:val="21"/>
                <w:szCs w:val="21"/>
              </w:rPr>
              <w:t>是</w:t>
            </w:r>
          </w:p>
          <w:p>
            <w:pPr>
              <w:spacing w:line="360" w:lineRule="auto"/>
              <w:rPr>
                <w:rFonts w:ascii="宋体" w:hAnsi="宋体" w:eastAsia="宋体" w:cs="宋体"/>
                <w:b/>
                <w:bCs/>
                <w:sz w:val="21"/>
                <w:szCs w:val="21"/>
              </w:rPr>
            </w:pPr>
            <w:r>
              <w:rPr>
                <w:rFonts w:hint="eastAsia" w:ascii="宋体" w:hAnsi="宋体" w:eastAsia="宋体" w:cs="宋体"/>
                <w:sz w:val="21"/>
                <w:szCs w:val="21"/>
              </w:rPr>
              <w:t>对于联合体协议或者分包意向协议约定小微企业的合同份额占到合同总金额30％以上的，对联合体或者大中型企业的报价给予</w:t>
            </w:r>
            <w:r>
              <w:rPr>
                <w:rFonts w:hint="eastAsia" w:ascii="宋体" w:hAnsi="宋体" w:eastAsia="宋体" w:cs="宋体"/>
                <w:sz w:val="21"/>
                <w:szCs w:val="21"/>
                <w:u w:val="single"/>
              </w:rPr>
              <w:t xml:space="preserve"> 2 </w:t>
            </w:r>
            <w:r>
              <w:rPr>
                <w:rFonts w:hint="eastAsia" w:ascii="宋体" w:hAnsi="宋体" w:eastAsia="宋体" w:cs="宋体"/>
                <w:sz w:val="21"/>
                <w:szCs w:val="21"/>
              </w:rPr>
              <w:t>％（2％-3％）的扣除，用扣除后的报价参加评审。</w:t>
            </w:r>
            <w:r>
              <w:rPr>
                <w:rFonts w:hint="eastAsia" w:ascii="宋体" w:hAnsi="宋体" w:eastAsia="宋体" w:cs="宋体"/>
                <w:b/>
                <w:bCs/>
                <w:sz w:val="21"/>
                <w:szCs w:val="21"/>
              </w:rPr>
              <w:t>同时要求参加联合体的投标人均应当具备《中华人民共和国政府采购法》第22条规定的条件，并应当向采购人提交联合体协议，载明联合体各方承担的工作和义务。联合体各方应当共同与采购人签订采购合同，就采购合同约定的事项对采购人承担连带责任。否则，采购人和代理机构有权拒绝。</w:t>
            </w:r>
          </w:p>
          <w:p>
            <w:pPr>
              <w:spacing w:line="360" w:lineRule="auto"/>
              <w:rPr>
                <w:rFonts w:ascii="宋体" w:hAnsi="宋体" w:eastAsia="宋体" w:cs="宋体"/>
                <w:b/>
                <w:bCs/>
                <w:sz w:val="21"/>
                <w:szCs w:val="21"/>
              </w:rPr>
            </w:pPr>
            <w:r>
              <w:rPr>
                <w:rFonts w:hint="eastAsia" w:ascii="宋体" w:hAnsi="宋体" w:eastAsia="宋体" w:cs="宋体"/>
                <w:b/>
                <w:bCs/>
                <w:sz w:val="21"/>
                <w:szCs w:val="21"/>
              </w:rPr>
              <w:t>联合体投标的，需满足下列要求：</w:t>
            </w:r>
          </w:p>
          <w:p>
            <w:pPr>
              <w:spacing w:line="360" w:lineRule="auto"/>
              <w:rPr>
                <w:rFonts w:ascii="宋体" w:hAnsi="宋体" w:eastAsia="宋体" w:cs="宋体"/>
                <w:b/>
                <w:bCs/>
                <w:sz w:val="21"/>
                <w:szCs w:val="21"/>
              </w:rPr>
            </w:pPr>
            <w:r>
              <w:rPr>
                <w:rFonts w:hint="eastAsia" w:ascii="宋体" w:hAnsi="宋体" w:eastAsia="宋体" w:cs="宋体"/>
                <w:b/>
                <w:bCs/>
                <w:sz w:val="21"/>
                <w:szCs w:val="21"/>
              </w:rPr>
              <w:t>（1）一个联合体只能由两个成员组成；</w:t>
            </w:r>
          </w:p>
          <w:p>
            <w:pPr>
              <w:spacing w:line="360" w:lineRule="auto"/>
              <w:rPr>
                <w:rFonts w:ascii="宋体" w:hAnsi="宋体" w:eastAsia="宋体" w:cs="宋体"/>
                <w:b/>
                <w:bCs/>
                <w:sz w:val="21"/>
                <w:szCs w:val="21"/>
              </w:rPr>
            </w:pPr>
            <w:r>
              <w:rPr>
                <w:rFonts w:hint="eastAsia" w:ascii="宋体" w:hAnsi="宋体" w:eastAsia="宋体" w:cs="宋体"/>
                <w:b/>
                <w:bCs/>
                <w:sz w:val="21"/>
                <w:szCs w:val="21"/>
              </w:rPr>
              <w:t>（2）已经以独立形式进行投标的投标人之间不得再组成联合体；</w:t>
            </w:r>
          </w:p>
          <w:p>
            <w:pPr>
              <w:spacing w:line="360" w:lineRule="auto"/>
              <w:rPr>
                <w:rFonts w:ascii="宋体" w:hAnsi="宋体" w:eastAsia="宋体" w:cs="宋体"/>
                <w:sz w:val="21"/>
                <w:szCs w:val="21"/>
              </w:rPr>
            </w:pPr>
            <w:r>
              <w:rPr>
                <w:rFonts w:hint="eastAsia" w:ascii="宋体" w:hAnsi="宋体" w:eastAsia="宋体" w:cs="宋体"/>
                <w:b/>
                <w:bCs/>
                <w:sz w:val="21"/>
                <w:szCs w:val="21"/>
              </w:rPr>
              <w:t>（3）联合体各方不得再以独立形式或参加其他联合体的形式参与本项目同一包的投标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是否允许进口产品</w:t>
            </w:r>
          </w:p>
        </w:tc>
        <w:tc>
          <w:tcPr>
            <w:tcW w:w="4490" w:type="dxa"/>
            <w:shd w:val="clear" w:color="auto" w:fill="auto"/>
            <w:vAlign w:val="center"/>
          </w:tcPr>
          <w:p>
            <w:pPr>
              <w:jc w:val="center"/>
              <w:rPr>
                <w:rFonts w:ascii="宋体" w:hAnsi="宋体" w:eastAsia="宋体" w:cs="宋体"/>
                <w:sz w:val="21"/>
                <w:szCs w:val="21"/>
              </w:rPr>
            </w:pPr>
            <w:sdt>
              <w:sdtPr>
                <w:rPr>
                  <w:rFonts w:hint="eastAsia" w:ascii="宋体" w:hAnsi="宋体" w:eastAsia="宋体" w:cs="宋体"/>
                  <w:sz w:val="21"/>
                  <w:szCs w:val="21"/>
                </w:rPr>
                <w:id w:val="148570254"/>
              </w:sdtPr>
              <w:sdtEndPr>
                <w:rPr>
                  <w:rFonts w:hint="eastAsia" w:ascii="宋体" w:hAnsi="宋体" w:eastAsia="宋体" w:cs="宋体"/>
                  <w:sz w:val="21"/>
                  <w:szCs w:val="21"/>
                </w:rPr>
              </w:sdtEndPr>
              <w:sdtContent>
                <w:r>
                  <w:rPr>
                    <w:rFonts w:hint="eastAsia" w:ascii="MS Gothic" w:hAnsi="MS Gothic" w:eastAsia="宋体" w:cs="宋体"/>
                    <w:sz w:val="21"/>
                    <w:szCs w:val="21"/>
                  </w:rPr>
                  <w:t>☐</w:t>
                </w:r>
              </w:sdtContent>
            </w:sdt>
            <w:r>
              <w:rPr>
                <w:rFonts w:hint="eastAsia" w:ascii="宋体" w:hAnsi="宋体" w:eastAsia="宋体" w:cs="宋体"/>
                <w:sz w:val="21"/>
                <w:szCs w:val="21"/>
              </w:rPr>
              <w:t xml:space="preserve">是  </w:t>
            </w:r>
            <w:sdt>
              <w:sdtPr>
                <w:rPr>
                  <w:rFonts w:hint="eastAsia" w:ascii="宋体" w:hAnsi="宋体" w:eastAsia="宋体" w:cs="宋体"/>
                  <w:sz w:val="21"/>
                  <w:szCs w:val="21"/>
                </w:rPr>
                <w:id w:val="-1689594843"/>
              </w:sdtPr>
              <w:sdtEndPr>
                <w:rPr>
                  <w:rFonts w:hint="eastAsia" w:ascii="宋体" w:hAnsi="宋体" w:eastAsia="宋体" w:cs="宋体"/>
                  <w:sz w:val="21"/>
                  <w:szCs w:val="21"/>
                </w:rPr>
              </w:sdtEndPr>
              <w:sdtContent>
                <w:r>
                  <w:rPr>
                    <w:rFonts w:hint="eastAsia" w:ascii="MS Gothic" w:hAnsi="MS Gothic" w:eastAsia="宋体" w:cs="宋体"/>
                    <w:sz w:val="21"/>
                    <w:szCs w:val="21"/>
                  </w:rPr>
                  <w:t>☑</w:t>
                </w:r>
              </w:sdtContent>
            </w:sdt>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投标保证金</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履约保证金</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纸质版投标文件份数</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如纸质版文件与电子版文件不一致，以上传平台电子版文件为准；供应商需提供纸质版投标文件（密封一正两副）于开标当日10点-14点送至西安市莲湖区西关正街英达大厦1507室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现场踏勘和集中答疑</w:t>
            </w:r>
          </w:p>
        </w:tc>
        <w:tc>
          <w:tcPr>
            <w:tcW w:w="4490"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政府采购信息发布媒体</w:t>
            </w:r>
          </w:p>
          <w:p>
            <w:pPr>
              <w:jc w:val="center"/>
              <w:rPr>
                <w:rFonts w:ascii="宋体" w:hAnsi="宋体" w:eastAsia="宋体" w:cs="宋体"/>
                <w:sz w:val="21"/>
                <w:szCs w:val="21"/>
              </w:rPr>
            </w:pPr>
            <w:r>
              <w:rPr>
                <w:rFonts w:hint="eastAsia" w:ascii="宋体" w:hAnsi="宋体" w:eastAsia="宋体" w:cs="宋体"/>
                <w:sz w:val="21"/>
                <w:szCs w:val="21"/>
              </w:rPr>
              <w:t>（采购公告、采购结果公告、变更公告）</w:t>
            </w:r>
          </w:p>
        </w:tc>
        <w:tc>
          <w:tcPr>
            <w:tcW w:w="4490" w:type="dxa"/>
            <w:shd w:val="clear" w:color="auto" w:fill="auto"/>
            <w:vAlign w:val="center"/>
          </w:tcPr>
          <w:p>
            <w:pPr>
              <w:rPr>
                <w:rFonts w:ascii="宋体" w:hAnsi="宋体" w:eastAsia="宋体" w:cs="宋体"/>
                <w:sz w:val="21"/>
                <w:szCs w:val="21"/>
              </w:rPr>
            </w:pPr>
            <w:r>
              <w:rPr>
                <w:rFonts w:hint="eastAsia" w:ascii="宋体" w:hAnsi="宋体" w:eastAsia="宋体" w:cs="宋体"/>
                <w:sz w:val="21"/>
                <w:szCs w:val="21"/>
              </w:rPr>
              <w:t>1．陕西省政府采购网：仅提供项目公告，官网地址：http://ccgp-shaanxi.gov.cn/。</w:t>
            </w:r>
          </w:p>
          <w:p>
            <w:pPr>
              <w:rPr>
                <w:rFonts w:ascii="宋体" w:hAnsi="宋体" w:eastAsia="宋体" w:cs="宋体"/>
                <w:sz w:val="21"/>
                <w:szCs w:val="21"/>
              </w:rPr>
            </w:pPr>
            <w:r>
              <w:rPr>
                <w:rFonts w:hint="eastAsia" w:ascii="宋体" w:hAnsi="宋体" w:eastAsia="宋体" w:cs="宋体"/>
                <w:sz w:val="21"/>
                <w:szCs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询问和质疑</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投诉受理</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1．受理单位：西安市财政局政府采购管理处</w:t>
            </w:r>
          </w:p>
          <w:p>
            <w:pPr>
              <w:jc w:val="both"/>
              <w:rPr>
                <w:rFonts w:ascii="宋体" w:hAnsi="宋体" w:eastAsia="宋体" w:cs="宋体"/>
                <w:sz w:val="21"/>
                <w:szCs w:val="21"/>
              </w:rPr>
            </w:pPr>
            <w:r>
              <w:rPr>
                <w:rFonts w:hint="eastAsia" w:ascii="宋体" w:hAnsi="宋体" w:eastAsia="宋体" w:cs="宋体"/>
                <w:sz w:val="21"/>
                <w:szCs w:val="21"/>
              </w:rPr>
              <w:t>2．联系电话：029-89821846</w:t>
            </w:r>
          </w:p>
          <w:p>
            <w:pPr>
              <w:jc w:val="both"/>
              <w:rPr>
                <w:rFonts w:ascii="宋体" w:hAnsi="宋体" w:eastAsia="宋体" w:cs="宋体"/>
                <w:sz w:val="21"/>
                <w:szCs w:val="21"/>
              </w:rPr>
            </w:pPr>
            <w:r>
              <w:rPr>
                <w:rFonts w:hint="eastAsia" w:ascii="宋体" w:hAnsi="宋体" w:eastAsia="宋体" w:cs="宋体"/>
                <w:sz w:val="21"/>
                <w:szCs w:val="21"/>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信用信息查询截至时点</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开标形式</w:t>
            </w:r>
          </w:p>
        </w:tc>
        <w:tc>
          <w:tcPr>
            <w:tcW w:w="4490" w:type="dxa"/>
            <w:shd w:val="clear" w:color="auto" w:fill="auto"/>
            <w:vAlign w:val="center"/>
          </w:tcPr>
          <w:p>
            <w:pPr>
              <w:jc w:val="both"/>
              <w:rPr>
                <w:rFonts w:ascii="宋体" w:hAnsi="宋体" w:eastAsia="宋体" w:cs="宋体"/>
                <w:sz w:val="21"/>
                <w:szCs w:val="21"/>
              </w:rPr>
            </w:pPr>
            <w:sdt>
              <w:sdtPr>
                <w:rPr>
                  <w:rFonts w:hint="eastAsia" w:ascii="宋体" w:hAnsi="宋体" w:eastAsia="宋体" w:cs="宋体"/>
                  <w:sz w:val="21"/>
                  <w:szCs w:val="21"/>
                </w:rPr>
                <w:id w:val="1077786224"/>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 xml:space="preserve">不见面开标  </w:t>
            </w:r>
            <w:sdt>
              <w:sdtPr>
                <w:rPr>
                  <w:rFonts w:hint="eastAsia" w:ascii="宋体" w:hAnsi="宋体" w:eastAsia="宋体" w:cs="宋体"/>
                  <w:sz w:val="21"/>
                  <w:szCs w:val="21"/>
                </w:rPr>
                <w:id w:val="1553575034"/>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见面开标</w:t>
            </w:r>
          </w:p>
          <w:p>
            <w:pPr>
              <w:jc w:val="both"/>
              <w:rPr>
                <w:rFonts w:ascii="宋体" w:hAnsi="宋体" w:eastAsia="宋体" w:cs="宋体"/>
                <w:sz w:val="21"/>
                <w:szCs w:val="21"/>
              </w:rPr>
            </w:pPr>
            <w:r>
              <w:rPr>
                <w:rFonts w:hint="eastAsia" w:ascii="宋体" w:hAnsi="宋体" w:eastAsia="宋体" w:cs="宋体"/>
                <w:sz w:val="21"/>
                <w:szCs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是否允许递交多个备选投标方案</w:t>
            </w:r>
          </w:p>
        </w:tc>
        <w:tc>
          <w:tcPr>
            <w:tcW w:w="4490" w:type="dxa"/>
            <w:shd w:val="clear" w:color="auto" w:fill="auto"/>
            <w:vAlign w:val="center"/>
          </w:tcPr>
          <w:p>
            <w:pPr>
              <w:jc w:val="both"/>
              <w:rPr>
                <w:rFonts w:ascii="宋体" w:hAnsi="宋体" w:eastAsia="宋体" w:cs="宋体"/>
                <w:sz w:val="21"/>
                <w:szCs w:val="21"/>
              </w:rPr>
            </w:pPr>
            <w:sdt>
              <w:sdtPr>
                <w:rPr>
                  <w:rFonts w:hint="eastAsia" w:ascii="宋体" w:hAnsi="宋体" w:eastAsia="宋体" w:cs="宋体"/>
                  <w:sz w:val="21"/>
                  <w:szCs w:val="21"/>
                </w:rPr>
                <w:id w:val="1608857843"/>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 xml:space="preserve">是  </w:t>
            </w:r>
            <w:sdt>
              <w:sdtPr>
                <w:rPr>
                  <w:rFonts w:hint="eastAsia" w:ascii="宋体" w:hAnsi="宋体" w:eastAsia="宋体" w:cs="宋体"/>
                  <w:sz w:val="21"/>
                  <w:szCs w:val="21"/>
                </w:rPr>
                <w:id w:val="618331253"/>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中标通知书</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1．领取地点：西安市莲湖区西关正街英达大厦1507室</w:t>
            </w:r>
          </w:p>
          <w:p>
            <w:pPr>
              <w:jc w:val="both"/>
              <w:rPr>
                <w:rFonts w:ascii="宋体" w:hAnsi="宋体" w:eastAsia="宋体" w:cs="宋体"/>
                <w:sz w:val="21"/>
                <w:szCs w:val="21"/>
              </w:rPr>
            </w:pPr>
            <w:r>
              <w:rPr>
                <w:rFonts w:hint="eastAsia" w:ascii="宋体" w:hAnsi="宋体" w:eastAsia="宋体" w:cs="宋体"/>
                <w:sz w:val="21"/>
                <w:szCs w:val="21"/>
              </w:rPr>
              <w:t>2．联系电话：029-88319689-807</w:t>
            </w:r>
          </w:p>
          <w:p>
            <w:pPr>
              <w:jc w:val="both"/>
              <w:rPr>
                <w:rFonts w:ascii="宋体" w:hAnsi="宋体" w:eastAsia="宋体" w:cs="宋体"/>
                <w:sz w:val="21"/>
                <w:szCs w:val="21"/>
              </w:rPr>
            </w:pPr>
            <w:r>
              <w:rPr>
                <w:rFonts w:hint="eastAsia" w:ascii="宋体" w:hAnsi="宋体" w:eastAsia="宋体" w:cs="宋体"/>
                <w:sz w:val="21"/>
                <w:szCs w:val="21"/>
              </w:rPr>
              <w:t xml:space="preserve">3．联系人：张刘艳  于晓晶  郝思思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西安市公共资源交易中心电子化政府采购系统技术支持（软件开发商）</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国泰新点软件股份有限公司</w:t>
            </w:r>
          </w:p>
          <w:p>
            <w:pPr>
              <w:rPr>
                <w:rFonts w:ascii="宋体" w:hAnsi="宋体" w:eastAsia="宋体" w:cs="宋体"/>
                <w:sz w:val="21"/>
                <w:szCs w:val="21"/>
              </w:rPr>
            </w:pPr>
            <w:r>
              <w:rPr>
                <w:rFonts w:hint="eastAsia" w:ascii="宋体" w:hAnsi="宋体" w:eastAsia="宋体" w:cs="宋体"/>
                <w:sz w:val="21"/>
                <w:szCs w:val="21"/>
              </w:rPr>
              <w:t>1．技术支持热线：400-998-0000/400-928-0095</w:t>
            </w:r>
          </w:p>
          <w:p>
            <w:pPr>
              <w:rPr>
                <w:rFonts w:ascii="宋体" w:hAnsi="宋体" w:eastAsia="宋体" w:cs="宋体"/>
                <w:sz w:val="21"/>
                <w:szCs w:val="21"/>
              </w:rPr>
            </w:pPr>
            <w:r>
              <w:rPr>
                <w:rFonts w:hint="eastAsia" w:ascii="宋体" w:hAnsi="宋体" w:eastAsia="宋体" w:cs="宋体"/>
                <w:sz w:val="21"/>
                <w:szCs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1"/>
                <w:szCs w:val="21"/>
              </w:rPr>
            </w:pPr>
          </w:p>
        </w:tc>
        <w:tc>
          <w:tcPr>
            <w:tcW w:w="3402" w:type="dxa"/>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CA业务网点</w:t>
            </w:r>
          </w:p>
        </w:tc>
        <w:tc>
          <w:tcPr>
            <w:tcW w:w="4490" w:type="dxa"/>
            <w:shd w:val="clear" w:color="auto" w:fill="auto"/>
            <w:vAlign w:val="center"/>
          </w:tcPr>
          <w:p>
            <w:pPr>
              <w:jc w:val="both"/>
              <w:rPr>
                <w:rFonts w:ascii="宋体" w:hAnsi="宋体" w:eastAsia="宋体" w:cs="宋体"/>
                <w:sz w:val="21"/>
                <w:szCs w:val="21"/>
              </w:rPr>
            </w:pPr>
            <w:r>
              <w:rPr>
                <w:rFonts w:hint="eastAsia" w:ascii="宋体" w:hAnsi="宋体" w:eastAsia="宋体" w:cs="宋体"/>
                <w:sz w:val="21"/>
                <w:szCs w:val="21"/>
              </w:rPr>
              <w:t>陕西省数字证书认证中心股份有限公司</w:t>
            </w:r>
          </w:p>
          <w:p>
            <w:pPr>
              <w:jc w:val="both"/>
              <w:rPr>
                <w:rFonts w:ascii="宋体" w:hAnsi="宋体" w:eastAsia="宋体" w:cs="宋体"/>
                <w:sz w:val="21"/>
                <w:szCs w:val="21"/>
              </w:rPr>
            </w:pPr>
            <w:r>
              <w:rPr>
                <w:rFonts w:hint="eastAsia" w:ascii="宋体" w:hAnsi="宋体" w:eastAsia="宋体" w:cs="宋体"/>
                <w:sz w:val="21"/>
                <w:szCs w:val="21"/>
              </w:rPr>
              <w:t>网点1：西安市高新三路信息港大厦1楼客服中心</w:t>
            </w:r>
          </w:p>
          <w:p>
            <w:pPr>
              <w:jc w:val="both"/>
              <w:rPr>
                <w:rFonts w:ascii="宋体" w:hAnsi="宋体" w:eastAsia="宋体" w:cs="宋体"/>
                <w:sz w:val="21"/>
                <w:szCs w:val="21"/>
              </w:rPr>
            </w:pPr>
            <w:r>
              <w:rPr>
                <w:rFonts w:hint="eastAsia" w:ascii="宋体" w:hAnsi="宋体" w:eastAsia="宋体" w:cs="宋体"/>
                <w:sz w:val="21"/>
                <w:szCs w:val="21"/>
              </w:rPr>
              <w:t>客服电话：4006-369-888</w:t>
            </w:r>
          </w:p>
          <w:p>
            <w:pPr>
              <w:jc w:val="both"/>
              <w:rPr>
                <w:rFonts w:ascii="宋体" w:hAnsi="宋体" w:eastAsia="宋体" w:cs="宋体"/>
                <w:sz w:val="21"/>
                <w:szCs w:val="21"/>
              </w:rPr>
            </w:pPr>
            <w:r>
              <w:rPr>
                <w:rFonts w:hint="eastAsia" w:ascii="宋体" w:hAnsi="宋体" w:eastAsia="宋体" w:cs="宋体"/>
                <w:sz w:val="21"/>
                <w:szCs w:val="21"/>
              </w:rPr>
              <w:t>网点2：西安市长安北路14号省体育公寓B座一楼</w:t>
            </w:r>
          </w:p>
          <w:p>
            <w:pPr>
              <w:jc w:val="both"/>
              <w:rPr>
                <w:rFonts w:ascii="宋体" w:hAnsi="宋体" w:eastAsia="宋体" w:cs="宋体"/>
                <w:sz w:val="21"/>
                <w:szCs w:val="21"/>
              </w:rPr>
            </w:pPr>
            <w:r>
              <w:rPr>
                <w:rFonts w:hint="eastAsia" w:ascii="宋体" w:hAnsi="宋体" w:eastAsia="宋体" w:cs="宋体"/>
                <w:sz w:val="21"/>
                <w:szCs w:val="21"/>
              </w:rPr>
              <w:t>咨询电话：029-88661241</w:t>
            </w:r>
          </w:p>
          <w:p>
            <w:pPr>
              <w:jc w:val="both"/>
              <w:rPr>
                <w:rFonts w:ascii="宋体" w:hAnsi="宋体" w:eastAsia="宋体" w:cs="宋体"/>
                <w:sz w:val="21"/>
                <w:szCs w:val="21"/>
              </w:rPr>
            </w:pPr>
            <w:r>
              <w:rPr>
                <w:rFonts w:hint="eastAsia" w:ascii="宋体" w:hAnsi="宋体" w:eastAsia="宋体" w:cs="宋体"/>
                <w:sz w:val="21"/>
                <w:szCs w:val="21"/>
              </w:rPr>
              <w:t>网点3：西安市文景北路16号白桦林国际B座2楼11#窗口</w:t>
            </w:r>
          </w:p>
          <w:p>
            <w:pPr>
              <w:jc w:val="both"/>
              <w:rPr>
                <w:rFonts w:ascii="宋体" w:hAnsi="宋体" w:eastAsia="宋体" w:cs="宋体"/>
                <w:sz w:val="21"/>
                <w:szCs w:val="21"/>
              </w:rPr>
            </w:pPr>
            <w:r>
              <w:rPr>
                <w:rFonts w:hint="eastAsia" w:ascii="宋体" w:hAnsi="宋体" w:eastAsia="宋体" w:cs="宋体"/>
                <w:sz w:val="21"/>
                <w:szCs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870" w:type="dxa"/>
            <w:gridSpan w:val="3"/>
            <w:shd w:val="clear" w:color="auto" w:fill="auto"/>
            <w:vAlign w:val="center"/>
          </w:tcPr>
          <w:p>
            <w:pPr>
              <w:ind w:firstLine="436" w:firstLineChars="200"/>
              <w:jc w:val="both"/>
              <w:rPr>
                <w:rFonts w:ascii="宋体" w:hAnsi="宋体" w:eastAsia="宋体" w:cs="宋体"/>
                <w:sz w:val="21"/>
                <w:szCs w:val="21"/>
              </w:rPr>
            </w:pPr>
            <w:r>
              <w:rPr>
                <w:rFonts w:hint="eastAsia" w:ascii="宋体" w:hAnsi="宋体" w:eastAsia="宋体" w:cs="宋体"/>
                <w:sz w:val="21"/>
                <w:szCs w:val="21"/>
              </w:rPr>
              <w:t xml:space="preserve">代理服务费参照国家计委关于印发《招标代理服务收费管理暂行办法的通知》（计价格[2002]1980 号）的规定收取，服务费不足6000元的按6000元收取。由中标人在领取中标通知书时向代理机构缴纳代理服务费。 </w:t>
            </w:r>
          </w:p>
          <w:p>
            <w:pPr>
              <w:ind w:firstLine="436" w:firstLineChars="200"/>
              <w:jc w:val="both"/>
              <w:rPr>
                <w:rFonts w:ascii="宋体" w:hAnsi="宋体" w:eastAsia="宋体" w:cs="宋体"/>
                <w:sz w:val="21"/>
                <w:szCs w:val="21"/>
              </w:rPr>
            </w:pPr>
            <w:r>
              <w:rPr>
                <w:rFonts w:hint="eastAsia" w:ascii="宋体" w:hAnsi="宋体" w:eastAsia="宋体" w:cs="宋体"/>
                <w:sz w:val="21"/>
                <w:szCs w:val="21"/>
              </w:rPr>
              <w:t>供应商将招标代理服务费计入投标报价但不单独列明，中标单位在领取中标通知书前，须向采购代理机构一次性支付招标代理服务费；代理服务费以转账、电汇或现金等形式交纳。</w:t>
            </w:r>
          </w:p>
        </w:tc>
      </w:tr>
    </w:tbl>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sz w:val="28"/>
          <w:szCs w:val="28"/>
        </w:rPr>
      </w:pPr>
      <w:bookmarkStart w:id="12" w:name="_Toc16336"/>
      <w:r>
        <w:rPr>
          <w:rFonts w:hint="eastAsia" w:ascii="宋体" w:hAnsi="宋体" w:eastAsia="宋体" w:cs="宋体"/>
          <w:sz w:val="28"/>
          <w:szCs w:val="28"/>
        </w:rPr>
        <w:t>一、有关定义</w:t>
      </w:r>
      <w:bookmarkEnd w:id="1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0"/>
          <w:rFonts w:hint="eastAsia" w:ascii="宋体" w:hAnsi="宋体" w:eastAsia="宋体" w:cs="宋体"/>
          <w:color w:val="auto"/>
          <w:sz w:val="28"/>
          <w:szCs w:val="28"/>
          <w:u w:val="none"/>
        </w:rPr>
        <w:t>http://sxggzyjy.xa.gov.cn/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0"/>
          <w:rFonts w:hint="eastAsia" w:ascii="宋体" w:hAnsi="宋体" w:eastAsia="宋体" w:cs="宋体"/>
          <w:color w:val="auto"/>
          <w:sz w:val="28"/>
          <w:szCs w:val="28"/>
          <w:u w:val="none"/>
        </w:rPr>
        <w:t>http://www.sxggzyjy.cn:9002/TPBidder/memberLogin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5"/>
        <w:rPr>
          <w:rFonts w:ascii="宋体" w:hAnsi="宋体" w:eastAsia="宋体" w:cs="宋体"/>
          <w:sz w:val="28"/>
          <w:szCs w:val="28"/>
        </w:rPr>
      </w:pPr>
      <w:bookmarkStart w:id="13" w:name="_Toc16268"/>
      <w:r>
        <w:rPr>
          <w:rFonts w:hint="eastAsia" w:ascii="宋体" w:hAnsi="宋体" w:eastAsia="宋体" w:cs="宋体"/>
          <w:sz w:val="28"/>
          <w:szCs w:val="28"/>
        </w:rPr>
        <w:t>二、供应商注意事项</w:t>
      </w:r>
      <w:bookmarkEnd w:id="13"/>
    </w:p>
    <w:p>
      <w:pPr>
        <w:pStyle w:val="101"/>
        <w:spacing w:before="197" w:after="197"/>
        <w:ind w:firstLine="579"/>
        <w:outlineLvl w:val="3"/>
        <w:rPr>
          <w:rFonts w:ascii="宋体" w:hAnsi="宋体" w:eastAsia="宋体" w:cs="宋体"/>
          <w:sz w:val="28"/>
          <w:szCs w:val="28"/>
        </w:rPr>
      </w:pPr>
      <w:bookmarkStart w:id="14" w:name="_Toc14756"/>
      <w:bookmarkStart w:id="15" w:name="_Toc8868"/>
      <w:bookmarkStart w:id="16" w:name="_Toc25278"/>
      <w:r>
        <w:rPr>
          <w:rFonts w:hint="eastAsia" w:ascii="宋体" w:hAnsi="宋体" w:eastAsia="宋体" w:cs="宋体"/>
          <w:sz w:val="28"/>
          <w:szCs w:val="28"/>
        </w:rPr>
        <w:t>（一）供应商投标流程</w:t>
      </w:r>
      <w:bookmarkEnd w:id="14"/>
      <w:bookmarkEnd w:id="15"/>
      <w:bookmarkEnd w:id="1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0"/>
          <w:rFonts w:hint="eastAsia" w:ascii="宋体" w:hAnsi="宋体" w:eastAsia="宋体" w:cs="宋体"/>
          <w:color w:val="auto"/>
          <w:sz w:val="28"/>
          <w:szCs w:val="28"/>
          <w:u w:val="none"/>
        </w:rPr>
        <w:t>www.snca.com.cn/channel/show/27.html</w:t>
      </w:r>
      <w:r>
        <w:rPr>
          <w:rStyle w:val="40"/>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1"/>
        <w:spacing w:before="197" w:after="197"/>
        <w:ind w:firstLine="579"/>
        <w:outlineLvl w:val="3"/>
        <w:rPr>
          <w:rFonts w:ascii="宋体" w:hAnsi="宋体" w:eastAsia="宋体" w:cs="宋体"/>
          <w:sz w:val="28"/>
          <w:szCs w:val="28"/>
        </w:rPr>
      </w:pPr>
      <w:bookmarkStart w:id="17" w:name="_Toc16100"/>
      <w:bookmarkStart w:id="18" w:name="_Toc5831"/>
      <w:bookmarkStart w:id="19" w:name="_Toc2759"/>
      <w:r>
        <w:rPr>
          <w:rFonts w:hint="eastAsia" w:ascii="宋体" w:hAnsi="宋体" w:eastAsia="宋体" w:cs="宋体"/>
          <w:sz w:val="28"/>
          <w:szCs w:val="28"/>
        </w:rPr>
        <w:t>（二）关于询问、质疑和投诉</w:t>
      </w:r>
      <w:bookmarkEnd w:id="17"/>
      <w:bookmarkEnd w:id="18"/>
      <w:bookmarkEnd w:id="19"/>
    </w:p>
    <w:p>
      <w:pPr>
        <w:pStyle w:val="100"/>
        <w:outlineLvl w:val="9"/>
        <w:rPr>
          <w:rFonts w:ascii="宋体" w:hAnsi="宋体" w:eastAsia="宋体" w:cs="宋体"/>
          <w:sz w:val="28"/>
          <w:szCs w:val="28"/>
        </w:rPr>
      </w:pPr>
      <w:bookmarkStart w:id="20" w:name="_Toc4717"/>
      <w:bookmarkStart w:id="21" w:name="_Toc4510"/>
      <w:bookmarkStart w:id="22" w:name="_Toc15516"/>
      <w:r>
        <w:rPr>
          <w:rFonts w:hint="eastAsia" w:ascii="宋体" w:hAnsi="宋体" w:eastAsia="宋体" w:cs="宋体"/>
          <w:sz w:val="28"/>
          <w:szCs w:val="28"/>
        </w:rPr>
        <w:t>1．询问</w:t>
      </w:r>
      <w:bookmarkEnd w:id="20"/>
      <w:bookmarkEnd w:id="21"/>
      <w:bookmarkEnd w:id="2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0"/>
        <w:outlineLvl w:val="9"/>
        <w:rPr>
          <w:rFonts w:ascii="宋体" w:hAnsi="宋体" w:eastAsia="宋体" w:cs="宋体"/>
          <w:sz w:val="28"/>
          <w:szCs w:val="28"/>
        </w:rPr>
      </w:pPr>
      <w:bookmarkStart w:id="23" w:name="_Toc31375"/>
      <w:bookmarkStart w:id="24" w:name="_Toc11622"/>
      <w:bookmarkStart w:id="25" w:name="_Toc29778"/>
      <w:r>
        <w:rPr>
          <w:rFonts w:hint="eastAsia" w:ascii="宋体" w:hAnsi="宋体" w:eastAsia="宋体" w:cs="宋体"/>
          <w:sz w:val="28"/>
          <w:szCs w:val="28"/>
        </w:rPr>
        <w:t>2．质疑</w:t>
      </w:r>
      <w:bookmarkEnd w:id="23"/>
      <w:bookmarkEnd w:id="24"/>
      <w:bookmarkEnd w:id="2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0"/>
          <w:rFonts w:hint="eastAsia" w:ascii="宋体" w:hAnsi="宋体" w:eastAsia="宋体" w:cs="宋体"/>
          <w:color w:val="auto"/>
          <w:sz w:val="28"/>
          <w:szCs w:val="28"/>
          <w:u w:val="none"/>
        </w:rPr>
        <w:t>http://download.ccgp.gov.cn/2018/zhiyihanfanben.zip</w:t>
      </w:r>
      <w:r>
        <w:rPr>
          <w:rStyle w:val="40"/>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0"/>
        <w:outlineLvl w:val="9"/>
        <w:rPr>
          <w:rFonts w:ascii="宋体" w:hAnsi="宋体" w:eastAsia="宋体" w:cs="宋体"/>
          <w:sz w:val="28"/>
          <w:szCs w:val="28"/>
        </w:rPr>
      </w:pPr>
      <w:bookmarkStart w:id="26" w:name="_Toc20429"/>
      <w:bookmarkStart w:id="27" w:name="_Toc19223"/>
      <w:bookmarkStart w:id="28" w:name="_Toc15314"/>
      <w:r>
        <w:rPr>
          <w:rFonts w:hint="eastAsia" w:ascii="宋体" w:hAnsi="宋体" w:eastAsia="宋体" w:cs="宋体"/>
          <w:sz w:val="28"/>
          <w:szCs w:val="28"/>
        </w:rPr>
        <w:t>3．投诉</w:t>
      </w:r>
      <w:bookmarkEnd w:id="26"/>
      <w:bookmarkEnd w:id="27"/>
      <w:bookmarkEnd w:id="2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0"/>
          <w:rFonts w:hint="eastAsia" w:ascii="宋体" w:hAnsi="宋体" w:eastAsia="宋体" w:cs="宋体"/>
          <w:sz w:val="28"/>
          <w:szCs w:val="28"/>
        </w:rPr>
        <w:t>http://download.ccgp.gov.cn/2018/tousushufanben.zip</w:t>
      </w:r>
      <w:r>
        <w:rPr>
          <w:rStyle w:val="40"/>
          <w:rFonts w:hint="eastAsia" w:ascii="宋体" w:hAnsi="宋体" w:eastAsia="宋体" w:cs="宋体"/>
          <w:sz w:val="28"/>
          <w:szCs w:val="28"/>
        </w:rPr>
        <w:fldChar w:fldCharType="end"/>
      </w:r>
    </w:p>
    <w:p>
      <w:pPr>
        <w:pStyle w:val="100"/>
        <w:outlineLvl w:val="9"/>
        <w:rPr>
          <w:rFonts w:ascii="宋体" w:hAnsi="宋体" w:eastAsia="宋体" w:cs="宋体"/>
          <w:sz w:val="28"/>
          <w:szCs w:val="28"/>
        </w:rPr>
      </w:pPr>
      <w:bookmarkStart w:id="29" w:name="_Toc18052"/>
      <w:bookmarkStart w:id="30" w:name="_Toc21947"/>
      <w:bookmarkStart w:id="31" w:name="_Toc7447"/>
      <w:r>
        <w:rPr>
          <w:rFonts w:hint="eastAsia" w:ascii="宋体" w:hAnsi="宋体" w:eastAsia="宋体" w:cs="宋体"/>
          <w:sz w:val="28"/>
          <w:szCs w:val="28"/>
        </w:rPr>
        <w:t>4．恶意质疑、投诉的法律后果</w:t>
      </w:r>
      <w:bookmarkEnd w:id="29"/>
      <w:bookmarkEnd w:id="30"/>
      <w:bookmarkEnd w:id="3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1"/>
        <w:spacing w:before="197" w:after="197"/>
        <w:ind w:firstLine="579"/>
        <w:outlineLvl w:val="3"/>
        <w:rPr>
          <w:rFonts w:ascii="宋体" w:hAnsi="宋体" w:eastAsia="宋体" w:cs="宋体"/>
          <w:sz w:val="28"/>
          <w:szCs w:val="28"/>
        </w:rPr>
      </w:pPr>
      <w:bookmarkStart w:id="32" w:name="_Toc27472"/>
      <w:bookmarkStart w:id="33" w:name="_Toc20213"/>
      <w:bookmarkStart w:id="34" w:name="_Toc21499"/>
      <w:r>
        <w:rPr>
          <w:rFonts w:hint="eastAsia" w:ascii="宋体" w:hAnsi="宋体" w:eastAsia="宋体" w:cs="宋体"/>
          <w:sz w:val="28"/>
          <w:szCs w:val="28"/>
        </w:rPr>
        <w:t>（三）关于保证金</w:t>
      </w:r>
      <w:bookmarkEnd w:id="32"/>
      <w:bookmarkEnd w:id="33"/>
      <w:bookmarkEnd w:id="34"/>
    </w:p>
    <w:p>
      <w:pPr>
        <w:pStyle w:val="100"/>
        <w:outlineLvl w:val="9"/>
        <w:rPr>
          <w:rFonts w:ascii="宋体" w:hAnsi="宋体" w:eastAsia="宋体" w:cs="宋体"/>
          <w:sz w:val="28"/>
          <w:szCs w:val="28"/>
        </w:rPr>
      </w:pPr>
      <w:bookmarkStart w:id="35" w:name="_Toc9131"/>
      <w:bookmarkStart w:id="36" w:name="_Toc6123"/>
      <w:bookmarkStart w:id="37" w:name="_Toc1490"/>
      <w:r>
        <w:rPr>
          <w:rFonts w:hint="eastAsia" w:ascii="宋体" w:hAnsi="宋体" w:eastAsia="宋体" w:cs="宋体"/>
          <w:sz w:val="28"/>
          <w:szCs w:val="28"/>
        </w:rPr>
        <w:t>1．西安市政府采购信用担保及信用融资政策</w:t>
      </w:r>
      <w:bookmarkEnd w:id="35"/>
      <w:bookmarkEnd w:id="36"/>
      <w:bookmarkEnd w:id="3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0"/>
          <w:rFonts w:hint="eastAsia" w:ascii="宋体" w:hAnsi="宋体" w:eastAsia="宋体" w:cs="宋体"/>
          <w:color w:val="auto"/>
          <w:sz w:val="28"/>
          <w:szCs w:val="28"/>
          <w:u w:val="none"/>
        </w:rPr>
        <w:t>http://xaczj.xa.gov.cn/zfcg/cgfg/5db90552fd850863a9e4594d.html</w:t>
      </w:r>
      <w:r>
        <w:rPr>
          <w:rStyle w:val="40"/>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0"/>
          <w:rFonts w:hint="eastAsia" w:ascii="宋体" w:hAnsi="宋体" w:eastAsia="宋体" w:cs="宋体"/>
          <w:color w:val="auto"/>
          <w:sz w:val="28"/>
          <w:szCs w:val="28"/>
          <w:u w:val="none"/>
        </w:rPr>
        <w:t>http://xaczj.xa.gov.cn/zfcg/cgfg/5db9054565cbd804f69e97e0.html</w:t>
      </w:r>
      <w:r>
        <w:rPr>
          <w:rStyle w:val="40"/>
          <w:rFonts w:hint="eastAsia" w:ascii="宋体" w:hAnsi="宋体" w:eastAsia="宋体" w:cs="宋体"/>
          <w:color w:val="auto"/>
          <w:sz w:val="28"/>
          <w:szCs w:val="28"/>
          <w:u w:val="none"/>
        </w:rPr>
        <w:fldChar w:fldCharType="end"/>
      </w:r>
    </w:p>
    <w:p>
      <w:pPr>
        <w:pStyle w:val="100"/>
        <w:outlineLvl w:val="9"/>
        <w:rPr>
          <w:rFonts w:ascii="宋体" w:hAnsi="宋体" w:eastAsia="宋体" w:cs="宋体"/>
          <w:sz w:val="28"/>
          <w:szCs w:val="28"/>
        </w:rPr>
      </w:pPr>
      <w:bookmarkStart w:id="38" w:name="_Toc911"/>
      <w:bookmarkStart w:id="39" w:name="_Toc629"/>
      <w:bookmarkStart w:id="40" w:name="_Toc21323"/>
      <w:r>
        <w:rPr>
          <w:rFonts w:hint="eastAsia" w:ascii="宋体" w:hAnsi="宋体" w:eastAsia="宋体" w:cs="宋体"/>
          <w:sz w:val="28"/>
          <w:szCs w:val="28"/>
        </w:rPr>
        <w:t>2．投标保证金</w:t>
      </w:r>
      <w:bookmarkEnd w:id="38"/>
      <w:bookmarkEnd w:id="39"/>
      <w:bookmarkEnd w:id="4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0"/>
        <w:outlineLvl w:val="9"/>
        <w:rPr>
          <w:rFonts w:ascii="宋体" w:hAnsi="宋体" w:eastAsia="宋体" w:cs="宋体"/>
          <w:sz w:val="28"/>
          <w:szCs w:val="28"/>
        </w:rPr>
      </w:pPr>
      <w:bookmarkStart w:id="41" w:name="_Toc18336"/>
      <w:bookmarkStart w:id="42" w:name="_Toc25849"/>
      <w:bookmarkStart w:id="43" w:name="_Toc15288"/>
      <w:r>
        <w:rPr>
          <w:rFonts w:hint="eastAsia" w:ascii="宋体" w:hAnsi="宋体" w:eastAsia="宋体" w:cs="宋体"/>
          <w:sz w:val="28"/>
          <w:szCs w:val="28"/>
        </w:rPr>
        <w:t>3．履约保证金</w:t>
      </w:r>
      <w:bookmarkEnd w:id="41"/>
      <w:bookmarkEnd w:id="42"/>
      <w:bookmarkEnd w:id="4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无</w:t>
      </w:r>
    </w:p>
    <w:p>
      <w:pPr>
        <w:pStyle w:val="101"/>
        <w:spacing w:before="197" w:after="197"/>
        <w:ind w:firstLine="579"/>
        <w:outlineLvl w:val="3"/>
        <w:rPr>
          <w:rFonts w:ascii="宋体" w:hAnsi="宋体" w:eastAsia="宋体" w:cs="宋体"/>
          <w:sz w:val="28"/>
          <w:szCs w:val="28"/>
        </w:rPr>
      </w:pPr>
      <w:bookmarkStart w:id="44" w:name="_Toc31634"/>
      <w:bookmarkStart w:id="45" w:name="_Toc1911"/>
      <w:bookmarkStart w:id="46" w:name="_Toc13221"/>
      <w:r>
        <w:rPr>
          <w:rFonts w:hint="eastAsia" w:ascii="宋体" w:hAnsi="宋体" w:eastAsia="宋体" w:cs="宋体"/>
          <w:sz w:val="28"/>
          <w:szCs w:val="28"/>
        </w:rPr>
        <w:t>（四）关于联合体</w:t>
      </w:r>
      <w:bookmarkEnd w:id="44"/>
      <w:bookmarkEnd w:id="45"/>
      <w:bookmarkEnd w:id="4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（5）联合体出现下列情形之一的，联合体投标无效：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没有提交有效的联合体协议的；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组成联合体的大中型企业和其他自然人、法人或者其他组织，与小型、微型企业之间存在投资关系的；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联合体协议签订后，联合体成员单独参加或者与其他供应商另外组成联合体参加同一合同项下的政府采购活动的；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资格前审后联合体增减、更换成员的；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联合体成员因存在不良信用记录，被拒绝其参与政府采购活动的。</w:t>
      </w:r>
    </w:p>
    <w:p>
      <w:pPr>
        <w:pStyle w:val="101"/>
        <w:spacing w:before="197" w:after="197"/>
        <w:ind w:firstLine="579"/>
        <w:outlineLvl w:val="3"/>
        <w:rPr>
          <w:rFonts w:ascii="宋体" w:hAnsi="宋体" w:eastAsia="宋体" w:cs="宋体"/>
          <w:sz w:val="28"/>
          <w:szCs w:val="28"/>
        </w:rPr>
      </w:pPr>
      <w:bookmarkStart w:id="47" w:name="_Toc30555"/>
      <w:bookmarkStart w:id="48" w:name="_Toc5209"/>
      <w:bookmarkStart w:id="49" w:name="_Toc3859"/>
      <w:r>
        <w:rPr>
          <w:rFonts w:hint="eastAsia" w:ascii="宋体" w:hAnsi="宋体" w:eastAsia="宋体" w:cs="宋体"/>
          <w:sz w:val="28"/>
          <w:szCs w:val="28"/>
        </w:rPr>
        <w:t>（五）关于进口产品</w:t>
      </w:r>
      <w:bookmarkEnd w:id="47"/>
      <w:bookmarkEnd w:id="48"/>
      <w:bookmarkEnd w:id="4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1"/>
        <w:spacing w:before="197" w:after="197"/>
        <w:ind w:firstLine="579"/>
        <w:outlineLvl w:val="3"/>
        <w:rPr>
          <w:rFonts w:ascii="宋体" w:hAnsi="宋体" w:eastAsia="宋体" w:cs="宋体"/>
          <w:sz w:val="28"/>
          <w:szCs w:val="28"/>
        </w:rPr>
      </w:pPr>
      <w:bookmarkStart w:id="50" w:name="_Toc7633"/>
      <w:bookmarkStart w:id="51" w:name="_Toc1509"/>
      <w:bookmarkStart w:id="52" w:name="_Toc22855"/>
      <w:r>
        <w:rPr>
          <w:rFonts w:hint="eastAsia" w:ascii="宋体" w:hAnsi="宋体" w:eastAsia="宋体" w:cs="宋体"/>
          <w:sz w:val="28"/>
          <w:szCs w:val="28"/>
        </w:rPr>
        <w:t>（六）关于政府采购政策</w:t>
      </w:r>
      <w:bookmarkEnd w:id="50"/>
      <w:bookmarkEnd w:id="51"/>
      <w:bookmarkEnd w:id="52"/>
    </w:p>
    <w:p>
      <w:pPr>
        <w:pStyle w:val="100"/>
        <w:outlineLvl w:val="9"/>
        <w:rPr>
          <w:rFonts w:ascii="宋体" w:hAnsi="宋体" w:eastAsia="宋体" w:cs="宋体"/>
          <w:sz w:val="28"/>
          <w:szCs w:val="28"/>
        </w:rPr>
      </w:pPr>
      <w:bookmarkStart w:id="53" w:name="_Toc31475"/>
      <w:bookmarkStart w:id="54" w:name="_Toc21485"/>
      <w:bookmarkStart w:id="55" w:name="_Toc10187"/>
      <w:r>
        <w:rPr>
          <w:rFonts w:hint="eastAsia" w:ascii="宋体" w:hAnsi="宋体" w:eastAsia="宋体" w:cs="宋体"/>
          <w:sz w:val="28"/>
          <w:szCs w:val="28"/>
        </w:rPr>
        <w:t>1．对中小企业、监狱企业、残疾人福利性单位的优惠政策</w:t>
      </w:r>
      <w:bookmarkEnd w:id="53"/>
      <w:bookmarkEnd w:id="54"/>
      <w:bookmarkEnd w:id="5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0"/>
        <w:outlineLvl w:val="9"/>
        <w:rPr>
          <w:rFonts w:ascii="宋体" w:hAnsi="宋体" w:eastAsia="宋体" w:cs="宋体"/>
          <w:sz w:val="28"/>
          <w:szCs w:val="28"/>
        </w:rPr>
      </w:pPr>
      <w:bookmarkStart w:id="56" w:name="_Toc2556"/>
      <w:bookmarkStart w:id="57" w:name="_Toc22577"/>
      <w:bookmarkStart w:id="58" w:name="_Toc8987"/>
      <w:r>
        <w:rPr>
          <w:rFonts w:hint="eastAsia" w:ascii="宋体" w:hAnsi="宋体" w:eastAsia="宋体" w:cs="宋体"/>
          <w:sz w:val="28"/>
          <w:szCs w:val="28"/>
        </w:rPr>
        <w:t>2．节能、环保产品采购政策</w:t>
      </w:r>
      <w:bookmarkEnd w:id="56"/>
      <w:bookmarkEnd w:id="57"/>
      <w:bookmarkEnd w:id="5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0"/>
        <w:outlineLvl w:val="9"/>
        <w:rPr>
          <w:rFonts w:ascii="宋体" w:hAnsi="宋体" w:eastAsia="宋体" w:cs="宋体"/>
          <w:sz w:val="28"/>
          <w:szCs w:val="28"/>
        </w:rPr>
      </w:pPr>
      <w:bookmarkStart w:id="59" w:name="_Toc26083"/>
      <w:bookmarkStart w:id="60" w:name="_Toc28666"/>
      <w:bookmarkStart w:id="61" w:name="_Toc15090"/>
      <w:r>
        <w:rPr>
          <w:rFonts w:hint="eastAsia" w:ascii="宋体" w:hAnsi="宋体" w:eastAsia="宋体" w:cs="宋体"/>
          <w:sz w:val="28"/>
          <w:szCs w:val="28"/>
        </w:rPr>
        <w:t>3．陕西省中小企业政府采购信用融资办法</w:t>
      </w:r>
      <w:bookmarkEnd w:id="59"/>
      <w:bookmarkEnd w:id="60"/>
      <w:bookmarkEnd w:id="6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0"/>
          <w:rFonts w:hint="eastAsia" w:ascii="宋体" w:hAnsi="宋体" w:eastAsia="宋体" w:cs="宋体"/>
          <w:color w:val="auto"/>
          <w:sz w:val="28"/>
          <w:szCs w:val="28"/>
          <w:u w:val="none"/>
        </w:rPr>
        <w:t>http://www.ccgp-shaanxi.gov.cn/zcdservice/zcd/shanxi/article/zcdt/1390497710741917696</w:t>
      </w:r>
      <w:r>
        <w:rPr>
          <w:rStyle w:val="40"/>
          <w:rFonts w:hint="eastAsia" w:ascii="宋体" w:hAnsi="宋体" w:eastAsia="宋体" w:cs="宋体"/>
          <w:color w:val="auto"/>
          <w:sz w:val="28"/>
          <w:szCs w:val="28"/>
          <w:u w:val="none"/>
        </w:rPr>
        <w:fldChar w:fldCharType="end"/>
      </w:r>
    </w:p>
    <w:p>
      <w:pPr>
        <w:pStyle w:val="101"/>
        <w:spacing w:before="197" w:after="197"/>
        <w:ind w:firstLine="579"/>
        <w:outlineLvl w:val="3"/>
        <w:rPr>
          <w:rFonts w:ascii="宋体" w:hAnsi="宋体" w:eastAsia="宋体" w:cs="宋体"/>
          <w:sz w:val="28"/>
          <w:szCs w:val="28"/>
        </w:rPr>
      </w:pPr>
      <w:bookmarkStart w:id="62" w:name="_Toc903"/>
      <w:bookmarkStart w:id="63" w:name="_Toc12744"/>
      <w:bookmarkStart w:id="64" w:name="_Toc21474"/>
      <w:r>
        <w:rPr>
          <w:rFonts w:hint="eastAsia" w:ascii="宋体" w:hAnsi="宋体" w:eastAsia="宋体" w:cs="宋体"/>
          <w:sz w:val="28"/>
          <w:szCs w:val="28"/>
        </w:rPr>
        <w:t>（七）关于现场踏勘和集中答疑</w:t>
      </w:r>
      <w:bookmarkEnd w:id="62"/>
      <w:bookmarkEnd w:id="63"/>
      <w:bookmarkEnd w:id="6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1"/>
        <w:spacing w:before="197" w:after="197"/>
        <w:ind w:firstLine="579"/>
        <w:outlineLvl w:val="3"/>
        <w:rPr>
          <w:rFonts w:ascii="宋体" w:hAnsi="宋体" w:eastAsia="宋体" w:cs="宋体"/>
          <w:sz w:val="28"/>
          <w:szCs w:val="28"/>
        </w:rPr>
      </w:pPr>
      <w:bookmarkStart w:id="65" w:name="_Toc11850"/>
      <w:bookmarkStart w:id="66" w:name="_Toc21460"/>
      <w:bookmarkStart w:id="67" w:name="_Toc18895"/>
      <w:r>
        <w:rPr>
          <w:rFonts w:hint="eastAsia" w:ascii="宋体" w:hAnsi="宋体" w:eastAsia="宋体" w:cs="宋体"/>
          <w:sz w:val="28"/>
          <w:szCs w:val="28"/>
        </w:rPr>
        <w:t>（八）关于同一品牌产品的处理</w:t>
      </w:r>
      <w:bookmarkEnd w:id="65"/>
      <w:bookmarkEnd w:id="66"/>
      <w:bookmarkEnd w:id="6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候选人推荐资格；评审得分相同的，由采购人或者采购人委托评标委员会按照报价得分最高的方式确定一个供应商获得中标候选人推荐资格。</w:t>
      </w:r>
    </w:p>
    <w:p>
      <w:pPr>
        <w:pStyle w:val="101"/>
        <w:spacing w:before="197" w:after="197"/>
        <w:ind w:firstLine="579"/>
        <w:outlineLvl w:val="3"/>
        <w:rPr>
          <w:rFonts w:ascii="宋体" w:hAnsi="宋体" w:eastAsia="宋体" w:cs="宋体"/>
          <w:sz w:val="28"/>
          <w:szCs w:val="28"/>
        </w:rPr>
      </w:pPr>
      <w:bookmarkStart w:id="68" w:name="_Toc5554"/>
      <w:bookmarkStart w:id="69" w:name="_Toc27199"/>
      <w:bookmarkStart w:id="70" w:name="_Toc30039"/>
      <w:r>
        <w:rPr>
          <w:rFonts w:hint="eastAsia" w:ascii="宋体" w:hAnsi="宋体" w:eastAsia="宋体" w:cs="宋体"/>
          <w:sz w:val="28"/>
          <w:szCs w:val="28"/>
        </w:rPr>
        <w:t>（九）关于知识产权和保密事项</w:t>
      </w:r>
      <w:bookmarkEnd w:id="68"/>
      <w:bookmarkEnd w:id="69"/>
      <w:bookmarkEnd w:id="7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1"/>
        <w:spacing w:before="197" w:after="197"/>
        <w:ind w:firstLine="579"/>
        <w:outlineLvl w:val="3"/>
        <w:rPr>
          <w:rFonts w:ascii="宋体" w:hAnsi="宋体" w:eastAsia="宋体" w:cs="宋体"/>
          <w:sz w:val="28"/>
          <w:szCs w:val="28"/>
        </w:rPr>
      </w:pPr>
      <w:bookmarkStart w:id="71" w:name="_Toc18448"/>
      <w:bookmarkStart w:id="72" w:name="_Toc27768"/>
      <w:bookmarkStart w:id="73" w:name="_Toc2960"/>
      <w:r>
        <w:rPr>
          <w:rFonts w:hint="eastAsia" w:ascii="宋体" w:hAnsi="宋体" w:eastAsia="宋体" w:cs="宋体"/>
          <w:sz w:val="28"/>
          <w:szCs w:val="28"/>
        </w:rPr>
        <w:t>（十）关于信用记录的查询和使用</w:t>
      </w:r>
      <w:bookmarkEnd w:id="71"/>
      <w:bookmarkEnd w:id="72"/>
      <w:bookmarkEnd w:id="7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0"/>
          <w:rFonts w:hint="eastAsia" w:ascii="宋体" w:hAnsi="宋体" w:eastAsia="宋体" w:cs="宋体"/>
          <w:color w:val="auto"/>
          <w:sz w:val="28"/>
          <w:szCs w:val="28"/>
          <w:u w:val="none"/>
        </w:rPr>
        <w:t>https://www.creditchina.gov.cn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0"/>
          <w:rFonts w:hint="eastAsia" w:ascii="宋体" w:hAnsi="宋体" w:eastAsia="宋体" w:cs="宋体"/>
          <w:color w:val="auto"/>
          <w:sz w:val="28"/>
          <w:szCs w:val="28"/>
          <w:u w:val="none"/>
        </w:rPr>
        <w:t>http://www.ccgp.gov.cn/）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1"/>
        <w:spacing w:before="197" w:after="197"/>
        <w:ind w:firstLine="579"/>
        <w:outlineLvl w:val="3"/>
        <w:rPr>
          <w:rFonts w:ascii="宋体" w:hAnsi="宋体" w:eastAsia="宋体" w:cs="宋体"/>
          <w:sz w:val="28"/>
          <w:szCs w:val="28"/>
        </w:rPr>
      </w:pPr>
      <w:bookmarkStart w:id="74" w:name="_Toc13558"/>
      <w:bookmarkStart w:id="75" w:name="_Toc31802"/>
      <w:bookmarkStart w:id="76" w:name="_Toc20462"/>
      <w:r>
        <w:rPr>
          <w:rFonts w:hint="eastAsia" w:ascii="宋体" w:hAnsi="宋体" w:eastAsia="宋体" w:cs="宋体"/>
          <w:sz w:val="28"/>
          <w:szCs w:val="28"/>
        </w:rPr>
        <w:t>（十一）其他重要事项</w:t>
      </w:r>
      <w:bookmarkEnd w:id="74"/>
      <w:bookmarkEnd w:id="75"/>
      <w:bookmarkEnd w:id="7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sz w:val="28"/>
          <w:szCs w:val="28"/>
        </w:rPr>
      </w:pPr>
      <w:bookmarkStart w:id="77" w:name="_Toc18583"/>
      <w:r>
        <w:rPr>
          <w:rFonts w:hint="eastAsia" w:ascii="宋体" w:hAnsi="宋体" w:eastAsia="宋体" w:cs="宋体"/>
          <w:sz w:val="28"/>
          <w:szCs w:val="28"/>
        </w:rPr>
        <w:t>三、招标文件</w:t>
      </w:r>
      <w:bookmarkEnd w:id="77"/>
    </w:p>
    <w:p>
      <w:pPr>
        <w:pStyle w:val="101"/>
        <w:spacing w:before="197" w:after="197"/>
        <w:ind w:firstLine="579"/>
        <w:outlineLvl w:val="3"/>
        <w:rPr>
          <w:rFonts w:ascii="宋体" w:hAnsi="宋体" w:eastAsia="宋体" w:cs="宋体"/>
          <w:sz w:val="28"/>
          <w:szCs w:val="28"/>
        </w:rPr>
      </w:pPr>
      <w:bookmarkStart w:id="78" w:name="_Toc4420"/>
      <w:bookmarkStart w:id="79" w:name="_Toc22177"/>
      <w:bookmarkStart w:id="80" w:name="_Toc25768"/>
      <w:r>
        <w:rPr>
          <w:rFonts w:hint="eastAsia" w:ascii="宋体" w:hAnsi="宋体" w:eastAsia="宋体" w:cs="宋体"/>
          <w:sz w:val="28"/>
          <w:szCs w:val="28"/>
        </w:rPr>
        <w:t>（一）招标文件的解释权</w:t>
      </w:r>
      <w:bookmarkEnd w:id="78"/>
      <w:bookmarkEnd w:id="79"/>
      <w:bookmarkEnd w:id="8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1"/>
        <w:spacing w:before="197" w:after="197"/>
        <w:ind w:firstLine="579"/>
        <w:outlineLvl w:val="3"/>
        <w:rPr>
          <w:rFonts w:ascii="宋体" w:hAnsi="宋体" w:eastAsia="宋体" w:cs="宋体"/>
          <w:sz w:val="28"/>
          <w:szCs w:val="28"/>
        </w:rPr>
      </w:pPr>
      <w:bookmarkStart w:id="81" w:name="_Toc29738"/>
      <w:bookmarkStart w:id="82" w:name="_Toc13551"/>
      <w:bookmarkStart w:id="83" w:name="_Toc27003"/>
      <w:r>
        <w:rPr>
          <w:rFonts w:hint="eastAsia" w:ascii="宋体" w:hAnsi="宋体" w:eastAsia="宋体" w:cs="宋体"/>
          <w:sz w:val="28"/>
          <w:szCs w:val="28"/>
        </w:rPr>
        <w:t>（二）招标文件主要内容</w:t>
      </w:r>
      <w:bookmarkEnd w:id="81"/>
      <w:bookmarkEnd w:id="82"/>
      <w:bookmarkEnd w:id="8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1"/>
        <w:spacing w:before="197" w:after="197"/>
        <w:ind w:firstLine="579"/>
        <w:outlineLvl w:val="3"/>
        <w:rPr>
          <w:rFonts w:ascii="宋体" w:hAnsi="宋体" w:eastAsia="宋体" w:cs="宋体"/>
          <w:sz w:val="28"/>
          <w:szCs w:val="28"/>
        </w:rPr>
      </w:pPr>
      <w:bookmarkStart w:id="84" w:name="_Toc20422"/>
      <w:bookmarkStart w:id="85" w:name="_Toc9476"/>
      <w:bookmarkStart w:id="86" w:name="_Toc29373"/>
      <w:r>
        <w:rPr>
          <w:rFonts w:hint="eastAsia" w:ascii="宋体" w:hAnsi="宋体" w:eastAsia="宋体" w:cs="宋体"/>
          <w:sz w:val="28"/>
          <w:szCs w:val="28"/>
        </w:rPr>
        <w:t>（三）招标文件的检查及阅读</w:t>
      </w:r>
      <w:bookmarkEnd w:id="84"/>
      <w:bookmarkEnd w:id="85"/>
      <w:bookmarkEnd w:id="8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供应商应认真阅读和充分理解招标文件中所有的事项、格式条款和规范要求，在投标文件中对招标文件做出全面响应，并按招标文件的要求提交全部资料。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1"/>
        <w:spacing w:before="197" w:after="197"/>
        <w:ind w:firstLine="579"/>
        <w:outlineLvl w:val="3"/>
        <w:rPr>
          <w:rFonts w:ascii="宋体" w:hAnsi="宋体" w:eastAsia="宋体" w:cs="宋体"/>
          <w:sz w:val="28"/>
          <w:szCs w:val="28"/>
        </w:rPr>
      </w:pPr>
      <w:bookmarkStart w:id="87" w:name="_Toc12523"/>
      <w:bookmarkStart w:id="88" w:name="_Toc15105"/>
      <w:bookmarkStart w:id="89" w:name="_Toc6838"/>
      <w:r>
        <w:rPr>
          <w:rFonts w:hint="eastAsia" w:ascii="宋体" w:hAnsi="宋体" w:eastAsia="宋体" w:cs="宋体"/>
          <w:sz w:val="28"/>
          <w:szCs w:val="28"/>
        </w:rPr>
        <w:t>（四）招标文件的修改、澄清</w:t>
      </w:r>
      <w:bookmarkEnd w:id="87"/>
      <w:bookmarkEnd w:id="88"/>
      <w:bookmarkEnd w:id="8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0"/>
          <w:rFonts w:hint="eastAsia" w:ascii="宋体" w:hAnsi="宋体" w:eastAsia="宋体" w:cs="宋体"/>
          <w:color w:val="auto"/>
          <w:sz w:val="28"/>
          <w:szCs w:val="28"/>
          <w:u w:val="none"/>
        </w:rPr>
        <w:t>陕西省政府采购网</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0"/>
          <w:rFonts w:hint="eastAsia" w:ascii="宋体" w:hAnsi="宋体" w:eastAsia="宋体" w:cs="宋体"/>
          <w:color w:val="auto"/>
          <w:sz w:val="28"/>
          <w:szCs w:val="28"/>
          <w:u w:val="none"/>
        </w:rPr>
        <w:t>http://www.ccgp-shaanxi.gov.cn/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0"/>
          <w:rFonts w:hint="eastAsia" w:ascii="宋体" w:hAnsi="宋体" w:eastAsia="宋体" w:cs="宋体"/>
          <w:color w:val="auto"/>
          <w:sz w:val="28"/>
          <w:szCs w:val="28"/>
          <w:u w:val="none"/>
        </w:rPr>
        <w:t>全国公共资源交易网（陕西省·西安市）</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0"/>
          <w:rFonts w:hint="eastAsia" w:ascii="宋体" w:hAnsi="宋体" w:eastAsia="宋体" w:cs="宋体"/>
          <w:color w:val="auto"/>
          <w:sz w:val="28"/>
          <w:szCs w:val="28"/>
          <w:u w:val="none"/>
        </w:rPr>
        <w:t>http://sxggzyjy.xa.gov.cn/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90" w:name="_Toc28396"/>
      <w:r>
        <w:rPr>
          <w:rFonts w:hint="eastAsia" w:ascii="宋体" w:hAnsi="宋体" w:eastAsia="宋体" w:cs="宋体"/>
          <w:sz w:val="28"/>
          <w:szCs w:val="28"/>
        </w:rPr>
        <w:t>四、投标文件</w:t>
      </w:r>
      <w:bookmarkEnd w:id="90"/>
    </w:p>
    <w:p>
      <w:pPr>
        <w:pStyle w:val="101"/>
        <w:spacing w:before="197" w:after="197"/>
        <w:ind w:firstLine="579"/>
        <w:outlineLvl w:val="3"/>
        <w:rPr>
          <w:rFonts w:ascii="宋体" w:hAnsi="宋体" w:eastAsia="宋体" w:cs="宋体"/>
          <w:sz w:val="28"/>
          <w:szCs w:val="28"/>
        </w:rPr>
      </w:pPr>
      <w:bookmarkStart w:id="91" w:name="_Toc32648"/>
      <w:bookmarkStart w:id="92" w:name="_Toc27979"/>
      <w:bookmarkStart w:id="93" w:name="_Toc7988"/>
      <w:r>
        <w:rPr>
          <w:rFonts w:hint="eastAsia" w:ascii="宋体" w:hAnsi="宋体" w:eastAsia="宋体" w:cs="宋体"/>
          <w:sz w:val="28"/>
          <w:szCs w:val="28"/>
        </w:rPr>
        <w:t>（一）投标文件的式样</w:t>
      </w:r>
      <w:bookmarkEnd w:id="91"/>
      <w:bookmarkEnd w:id="92"/>
      <w:bookmarkEnd w:id="93"/>
    </w:p>
    <w:p>
      <w:pPr>
        <w:pStyle w:val="100"/>
        <w:outlineLvl w:val="9"/>
        <w:rPr>
          <w:rFonts w:ascii="宋体" w:hAnsi="宋体" w:eastAsia="宋体" w:cs="宋体"/>
          <w:sz w:val="28"/>
          <w:szCs w:val="28"/>
        </w:rPr>
      </w:pPr>
      <w:bookmarkStart w:id="94" w:name="_Toc29432"/>
      <w:bookmarkStart w:id="95" w:name="_Toc10324"/>
      <w:bookmarkStart w:id="96" w:name="_Toc7870"/>
      <w:r>
        <w:rPr>
          <w:rFonts w:hint="eastAsia" w:ascii="宋体" w:hAnsi="宋体" w:eastAsia="宋体" w:cs="宋体"/>
          <w:sz w:val="28"/>
          <w:szCs w:val="28"/>
        </w:rPr>
        <w:t>1．组成及格式</w:t>
      </w:r>
      <w:bookmarkEnd w:id="94"/>
      <w:bookmarkEnd w:id="95"/>
      <w:bookmarkEnd w:id="9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0"/>
        <w:outlineLvl w:val="9"/>
        <w:rPr>
          <w:rFonts w:ascii="宋体" w:hAnsi="宋体" w:eastAsia="宋体" w:cs="宋体"/>
          <w:sz w:val="28"/>
          <w:szCs w:val="28"/>
        </w:rPr>
      </w:pPr>
      <w:bookmarkStart w:id="97" w:name="_Toc2969"/>
      <w:bookmarkStart w:id="98" w:name="_Toc8641"/>
      <w:bookmarkStart w:id="99" w:name="_Toc7406"/>
      <w:r>
        <w:rPr>
          <w:rFonts w:hint="eastAsia" w:ascii="宋体" w:hAnsi="宋体" w:eastAsia="宋体" w:cs="宋体"/>
          <w:sz w:val="28"/>
          <w:szCs w:val="28"/>
        </w:rPr>
        <w:t>2．语言</w:t>
      </w:r>
      <w:bookmarkEnd w:id="97"/>
      <w:bookmarkEnd w:id="98"/>
      <w:bookmarkEnd w:id="9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0"/>
        <w:outlineLvl w:val="9"/>
        <w:rPr>
          <w:rFonts w:ascii="宋体" w:hAnsi="宋体" w:eastAsia="宋体" w:cs="宋体"/>
          <w:sz w:val="28"/>
          <w:szCs w:val="28"/>
        </w:rPr>
      </w:pPr>
      <w:bookmarkStart w:id="100" w:name="_Toc5789"/>
      <w:bookmarkStart w:id="101" w:name="_Toc20329"/>
      <w:bookmarkStart w:id="102" w:name="_Toc3202"/>
      <w:r>
        <w:rPr>
          <w:rFonts w:hint="eastAsia" w:ascii="宋体" w:hAnsi="宋体" w:eastAsia="宋体" w:cs="宋体"/>
          <w:sz w:val="28"/>
          <w:szCs w:val="28"/>
        </w:rPr>
        <w:t>3．计量单位</w:t>
      </w:r>
      <w:bookmarkEnd w:id="100"/>
      <w:bookmarkEnd w:id="101"/>
      <w:bookmarkEnd w:id="10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1"/>
        <w:spacing w:before="197" w:after="197"/>
        <w:ind w:firstLine="579"/>
        <w:outlineLvl w:val="3"/>
        <w:rPr>
          <w:rFonts w:ascii="宋体" w:hAnsi="宋体" w:eastAsia="宋体" w:cs="宋体"/>
          <w:sz w:val="28"/>
          <w:szCs w:val="28"/>
        </w:rPr>
      </w:pPr>
      <w:bookmarkStart w:id="103" w:name="_Toc27677"/>
      <w:bookmarkStart w:id="104" w:name="_Toc19653"/>
      <w:bookmarkStart w:id="105" w:name="_Toc32395"/>
      <w:r>
        <w:rPr>
          <w:rFonts w:hint="eastAsia" w:ascii="宋体" w:hAnsi="宋体" w:eastAsia="宋体" w:cs="宋体"/>
          <w:sz w:val="28"/>
          <w:szCs w:val="28"/>
        </w:rPr>
        <w:t>（二）投标文件的有效期</w:t>
      </w:r>
      <w:bookmarkEnd w:id="103"/>
      <w:bookmarkEnd w:id="104"/>
      <w:bookmarkEnd w:id="10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1"/>
        <w:spacing w:before="197" w:after="197"/>
        <w:ind w:firstLine="579"/>
        <w:outlineLvl w:val="3"/>
        <w:rPr>
          <w:rFonts w:ascii="宋体" w:hAnsi="宋体" w:eastAsia="宋体" w:cs="宋体"/>
          <w:sz w:val="28"/>
          <w:szCs w:val="28"/>
        </w:rPr>
      </w:pPr>
      <w:bookmarkStart w:id="106" w:name="_Toc931"/>
      <w:bookmarkStart w:id="107" w:name="_Toc27115"/>
      <w:bookmarkStart w:id="108" w:name="_Toc10386"/>
      <w:r>
        <w:rPr>
          <w:rFonts w:hint="eastAsia" w:ascii="宋体" w:hAnsi="宋体" w:eastAsia="宋体" w:cs="宋体"/>
          <w:sz w:val="28"/>
          <w:szCs w:val="28"/>
        </w:rPr>
        <w:t>（三）投标报价</w:t>
      </w:r>
      <w:bookmarkEnd w:id="106"/>
      <w:bookmarkEnd w:id="107"/>
      <w:bookmarkEnd w:id="10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投标报价是供应商响应采购项目要求的全部工作内容的价格体现，包括完成采购内容所需的鉴定评审费用、专家费、差旅费、直接费、间接费、利润、税金及评审过程中其它相关的一切费用。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1"/>
        <w:spacing w:before="197" w:after="197"/>
        <w:ind w:firstLine="579"/>
        <w:outlineLvl w:val="3"/>
        <w:rPr>
          <w:rFonts w:ascii="宋体" w:hAnsi="宋体" w:eastAsia="宋体" w:cs="宋体"/>
          <w:sz w:val="28"/>
          <w:szCs w:val="28"/>
        </w:rPr>
      </w:pPr>
      <w:bookmarkStart w:id="109" w:name="_Toc20169"/>
      <w:bookmarkStart w:id="110" w:name="_Toc26096"/>
      <w:bookmarkStart w:id="111" w:name="_Toc19004"/>
      <w:r>
        <w:rPr>
          <w:rFonts w:hint="eastAsia" w:ascii="宋体" w:hAnsi="宋体" w:eastAsia="宋体" w:cs="宋体"/>
          <w:sz w:val="28"/>
          <w:szCs w:val="28"/>
        </w:rPr>
        <w:t>（四）投标文件的制作和签章</w:t>
      </w:r>
      <w:bookmarkEnd w:id="109"/>
      <w:bookmarkEnd w:id="110"/>
      <w:bookmarkEnd w:id="11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0"/>
          <w:rFonts w:hint="eastAsia" w:ascii="宋体" w:hAnsi="宋体" w:eastAsia="宋体" w:cs="宋体"/>
          <w:sz w:val="28"/>
          <w:szCs w:val="28"/>
        </w:rPr>
        <w:t>http://sxggzyjy.xa.gov.cn/fwzn/004003/20181115/4d59c184-e8f6-4d5a-a416-c2f6b0601e66.html</w:t>
      </w:r>
      <w:r>
        <w:rPr>
          <w:rStyle w:val="40"/>
          <w:rFonts w:hint="eastAsia" w:ascii="宋体" w:hAnsi="宋体" w:eastAsia="宋体" w:cs="宋体"/>
          <w:sz w:val="28"/>
          <w:szCs w:val="28"/>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1"/>
        <w:spacing w:before="197" w:after="197"/>
        <w:ind w:firstLine="579"/>
        <w:outlineLvl w:val="3"/>
        <w:rPr>
          <w:rFonts w:ascii="宋体" w:hAnsi="宋体" w:eastAsia="宋体" w:cs="宋体"/>
          <w:sz w:val="28"/>
          <w:szCs w:val="28"/>
        </w:rPr>
      </w:pPr>
      <w:bookmarkStart w:id="112" w:name="_Toc3908"/>
      <w:bookmarkStart w:id="113" w:name="_Toc16688"/>
      <w:bookmarkStart w:id="114" w:name="_Toc32257"/>
      <w:r>
        <w:rPr>
          <w:rFonts w:hint="eastAsia" w:ascii="宋体" w:hAnsi="宋体" w:eastAsia="宋体" w:cs="宋体"/>
          <w:sz w:val="28"/>
          <w:szCs w:val="28"/>
        </w:rPr>
        <w:t>（五）投标文件的加密和提交</w:t>
      </w:r>
      <w:bookmarkEnd w:id="112"/>
      <w:bookmarkEnd w:id="113"/>
      <w:bookmarkEnd w:id="11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1"/>
        <w:spacing w:before="197" w:after="197"/>
        <w:ind w:firstLine="579"/>
        <w:outlineLvl w:val="3"/>
        <w:rPr>
          <w:rFonts w:ascii="宋体" w:hAnsi="宋体" w:eastAsia="宋体" w:cs="宋体"/>
          <w:sz w:val="28"/>
          <w:szCs w:val="28"/>
        </w:rPr>
      </w:pPr>
      <w:bookmarkStart w:id="115" w:name="_Toc1286"/>
      <w:bookmarkStart w:id="116" w:name="_Toc9823"/>
      <w:bookmarkStart w:id="117" w:name="_Toc3106"/>
      <w:r>
        <w:rPr>
          <w:rFonts w:hint="eastAsia" w:ascii="宋体" w:hAnsi="宋体" w:eastAsia="宋体" w:cs="宋体"/>
          <w:sz w:val="28"/>
          <w:szCs w:val="28"/>
        </w:rPr>
        <w:t>（六）投标文件的补充、修改和撤回</w:t>
      </w:r>
      <w:bookmarkEnd w:id="115"/>
      <w:bookmarkEnd w:id="116"/>
      <w:bookmarkEnd w:id="11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1"/>
        <w:spacing w:before="197" w:after="197"/>
        <w:ind w:firstLine="579"/>
        <w:outlineLvl w:val="3"/>
        <w:rPr>
          <w:rFonts w:ascii="宋体" w:hAnsi="宋体" w:eastAsia="宋体" w:cs="宋体"/>
          <w:sz w:val="28"/>
          <w:szCs w:val="28"/>
        </w:rPr>
      </w:pPr>
      <w:bookmarkStart w:id="118" w:name="_Toc11956"/>
      <w:bookmarkStart w:id="119" w:name="_Toc18903"/>
      <w:bookmarkStart w:id="120" w:name="_Toc23655"/>
      <w:r>
        <w:rPr>
          <w:rFonts w:hint="eastAsia" w:ascii="宋体" w:hAnsi="宋体" w:eastAsia="宋体" w:cs="宋体"/>
          <w:sz w:val="28"/>
          <w:szCs w:val="28"/>
        </w:rPr>
        <w:t>（七）关于投标文件的雷同性分析</w:t>
      </w:r>
      <w:bookmarkEnd w:id="118"/>
      <w:bookmarkEnd w:id="119"/>
      <w:bookmarkEnd w:id="12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w:t>
      </w:r>
      <w:bookmarkStart w:id="357" w:name="_GoBack"/>
      <w:bookmarkEnd w:id="357"/>
      <w:r>
        <w:rPr>
          <w:rFonts w:hint="eastAsia" w:ascii="宋体" w:hAnsi="宋体" w:eastAsia="宋体" w:cs="宋体"/>
          <w:sz w:val="28"/>
          <w:szCs w:val="28"/>
        </w:rPr>
        <w:t>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1"/>
        <w:spacing w:before="197" w:after="197"/>
        <w:ind w:firstLine="579"/>
        <w:outlineLvl w:val="3"/>
        <w:rPr>
          <w:rFonts w:ascii="宋体" w:hAnsi="宋体" w:eastAsia="宋体" w:cs="宋体"/>
          <w:sz w:val="28"/>
          <w:szCs w:val="28"/>
        </w:rPr>
      </w:pPr>
      <w:bookmarkStart w:id="121" w:name="_Toc26136"/>
      <w:bookmarkStart w:id="122" w:name="_Toc32375"/>
      <w:bookmarkStart w:id="123" w:name="_Toc12362"/>
      <w:r>
        <w:rPr>
          <w:rFonts w:hint="eastAsia" w:ascii="宋体" w:hAnsi="宋体" w:eastAsia="宋体" w:cs="宋体"/>
          <w:sz w:val="28"/>
          <w:szCs w:val="28"/>
        </w:rPr>
        <w:t>（八）投标文件被拒绝接收的情形</w:t>
      </w:r>
      <w:bookmarkEnd w:id="121"/>
      <w:bookmarkEnd w:id="122"/>
      <w:bookmarkEnd w:id="12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124" w:name="_Toc16145"/>
      <w:r>
        <w:rPr>
          <w:rFonts w:hint="eastAsia" w:ascii="宋体" w:hAnsi="宋体" w:eastAsia="宋体" w:cs="宋体"/>
          <w:sz w:val="28"/>
          <w:szCs w:val="28"/>
        </w:rPr>
        <w:t>五、开标程序</w:t>
      </w:r>
      <w:bookmarkEnd w:id="12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0"/>
          <w:rFonts w:hint="eastAsia" w:ascii="宋体" w:hAnsi="宋体" w:eastAsia="宋体" w:cs="宋体"/>
          <w:color w:val="auto"/>
          <w:sz w:val="28"/>
          <w:szCs w:val="28"/>
          <w:u w:val="none"/>
        </w:rPr>
        <w:t>http://sxggzyjy.xa.gov.cn/fwzn/004003/20200426/bc8b2c1e-abe2-4168-913c-68ff93345faf.html</w:t>
      </w:r>
      <w:r>
        <w:rPr>
          <w:rStyle w:val="40"/>
          <w:rFonts w:hint="eastAsia" w:ascii="宋体" w:hAnsi="宋体" w:eastAsia="宋体" w:cs="宋体"/>
          <w:color w:val="auto"/>
          <w:sz w:val="28"/>
          <w:szCs w:val="28"/>
          <w:u w:val="none"/>
        </w:rPr>
        <w:fldChar w:fldCharType="end"/>
      </w:r>
    </w:p>
    <w:p>
      <w:pPr>
        <w:pStyle w:val="101"/>
        <w:spacing w:before="197" w:after="197"/>
        <w:ind w:firstLine="579"/>
        <w:outlineLvl w:val="3"/>
        <w:rPr>
          <w:rFonts w:ascii="宋体" w:hAnsi="宋体" w:eastAsia="宋体" w:cs="宋体"/>
          <w:sz w:val="28"/>
          <w:szCs w:val="28"/>
        </w:rPr>
      </w:pPr>
      <w:bookmarkStart w:id="125" w:name="_Toc7605"/>
      <w:bookmarkStart w:id="126" w:name="_Toc10708"/>
      <w:bookmarkStart w:id="127" w:name="_Toc10446"/>
      <w:r>
        <w:rPr>
          <w:rFonts w:hint="eastAsia" w:ascii="宋体" w:hAnsi="宋体" w:eastAsia="宋体" w:cs="宋体"/>
          <w:sz w:val="28"/>
          <w:szCs w:val="28"/>
        </w:rPr>
        <w:t>（一）开标环节投标文件视为无效的情形</w:t>
      </w:r>
      <w:bookmarkEnd w:id="125"/>
      <w:bookmarkEnd w:id="126"/>
      <w:bookmarkEnd w:id="12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1"/>
        <w:spacing w:before="197" w:after="197"/>
        <w:ind w:firstLine="579"/>
        <w:outlineLvl w:val="3"/>
        <w:rPr>
          <w:rFonts w:ascii="宋体" w:hAnsi="宋体" w:eastAsia="宋体" w:cs="宋体"/>
          <w:sz w:val="28"/>
          <w:szCs w:val="28"/>
        </w:rPr>
      </w:pPr>
      <w:bookmarkStart w:id="128" w:name="_Toc28474"/>
      <w:bookmarkStart w:id="129" w:name="_Toc10968"/>
      <w:bookmarkStart w:id="130" w:name="_Toc25819"/>
      <w:r>
        <w:rPr>
          <w:rFonts w:hint="eastAsia" w:ascii="宋体" w:hAnsi="宋体" w:eastAsia="宋体" w:cs="宋体"/>
          <w:sz w:val="28"/>
          <w:szCs w:val="28"/>
        </w:rPr>
        <w:t>（二）突发状况的应急处置</w:t>
      </w:r>
      <w:bookmarkEnd w:id="128"/>
      <w:bookmarkEnd w:id="129"/>
      <w:bookmarkEnd w:id="13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131" w:name="_Toc27949"/>
      <w:r>
        <w:rPr>
          <w:rFonts w:hint="eastAsia" w:ascii="宋体" w:hAnsi="宋体" w:eastAsia="宋体" w:cs="宋体"/>
          <w:sz w:val="28"/>
          <w:szCs w:val="28"/>
        </w:rPr>
        <w:t>六、资格审查</w:t>
      </w:r>
      <w:bookmarkEnd w:id="13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供应商提供本单位2022年6月至今已缴纳的至少一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供应商提供本单位2022年6月至今已缴纳的至少一个月纳税证明或完税证明，依法免税的单位应提供相关证明材料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提供本单位经会计师事务所审计的2021年或2022年任意一年的财务审计报告或在开标日期前六个月内其基本开户银行出具的资信证明；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供应商应出具参加本次政府采购活动前3年内在经营活动中没有重大违法违纪，以及未被列入失信被执行人、重大税收违法案件当事人名单、政府采购严重违法失信行为记录名单的书面声明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法定代表人委托授权书或身份证明</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非法定代表人参加投标，须提供法定代表人授权委托书及被授权人身份证；法定代表人参加投标时,只须提供法定代表人身份证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Merge w:val="restart"/>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1940" w:type="dxa"/>
            <w:vMerge w:val="restart"/>
            <w:vAlign w:val="center"/>
          </w:tcPr>
          <w:p>
            <w:pPr>
              <w:jc w:val="center"/>
              <w:rPr>
                <w:rFonts w:ascii="宋体" w:hAnsi="宋体" w:eastAsia="宋体" w:cs="宋体"/>
                <w:sz w:val="28"/>
                <w:szCs w:val="28"/>
              </w:rPr>
            </w:pPr>
            <w:r>
              <w:rPr>
                <w:rFonts w:hint="eastAsia" w:ascii="宋体" w:hAnsi="宋体" w:eastAsia="宋体" w:cs="宋体"/>
                <w:sz w:val="28"/>
                <w:szCs w:val="28"/>
              </w:rPr>
              <w:t>企业资质</w:t>
            </w: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7.1具备国家市场监督管理总局（原国家质量监督检验检疫总局）颁发的《中华人民共和国特种设备检验检测机构核准证（综合检验机构甲类）》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36" w:type="dxa"/>
            <w:vMerge w:val="continue"/>
            <w:vAlign w:val="center"/>
          </w:tcPr>
          <w:p>
            <w:pPr>
              <w:jc w:val="center"/>
              <w:rPr>
                <w:rFonts w:ascii="宋体" w:hAnsi="宋体" w:eastAsia="宋体" w:cs="宋体"/>
                <w:sz w:val="28"/>
                <w:szCs w:val="28"/>
              </w:rPr>
            </w:pPr>
          </w:p>
        </w:tc>
        <w:tc>
          <w:tcPr>
            <w:tcW w:w="1940" w:type="dxa"/>
            <w:vMerge w:val="continue"/>
            <w:vAlign w:val="center"/>
          </w:tcPr>
          <w:p>
            <w:pPr>
              <w:jc w:val="center"/>
              <w:rPr>
                <w:rFonts w:ascii="宋体" w:hAnsi="宋体" w:eastAsia="宋体" w:cs="宋体"/>
                <w:sz w:val="28"/>
                <w:szCs w:val="28"/>
              </w:rPr>
            </w:pPr>
          </w:p>
        </w:tc>
        <w:tc>
          <w:tcPr>
            <w:tcW w:w="6092" w:type="dxa"/>
            <w:vAlign w:val="center"/>
          </w:tcPr>
          <w:p>
            <w:pPr>
              <w:jc w:val="both"/>
              <w:rPr>
                <w:rFonts w:ascii="宋体" w:hAnsi="宋体" w:eastAsia="宋体" w:cs="宋体"/>
                <w:sz w:val="28"/>
                <w:szCs w:val="28"/>
              </w:rPr>
            </w:pPr>
            <w:r>
              <w:rPr>
                <w:rFonts w:hint="eastAsia" w:ascii="宋体" w:hAnsi="宋体" w:eastAsia="宋体" w:cs="宋体"/>
                <w:sz w:val="28"/>
                <w:szCs w:val="28"/>
              </w:rPr>
              <w:t>7.2取得电梯监督检验、定期检验、型式试验许可之一的检验检测机构；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36" w:type="dxa"/>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1940" w:type="dxa"/>
            <w:vAlign w:val="center"/>
          </w:tcPr>
          <w:p>
            <w:pPr>
              <w:jc w:val="center"/>
              <w:rPr>
                <w:rFonts w:ascii="宋体" w:hAnsi="宋体" w:eastAsia="宋体" w:cs="宋体"/>
                <w:sz w:val="28"/>
                <w:szCs w:val="28"/>
              </w:rPr>
            </w:pPr>
            <w:r>
              <w:rPr>
                <w:rFonts w:hint="eastAsia" w:ascii="宋体" w:hAnsi="宋体" w:eastAsia="宋体" w:cs="宋体"/>
                <w:sz w:val="28"/>
                <w:szCs w:val="28"/>
              </w:rPr>
              <w:t>联合体</w:t>
            </w:r>
          </w:p>
        </w:tc>
        <w:tc>
          <w:tcPr>
            <w:tcW w:w="6092" w:type="dxa"/>
            <w:vAlign w:val="center"/>
          </w:tcPr>
          <w:p>
            <w:pPr>
              <w:jc w:val="both"/>
              <w:rPr>
                <w:rFonts w:ascii="宋体" w:hAnsi="宋体" w:eastAsia="宋体" w:cs="宋体"/>
                <w:sz w:val="28"/>
                <w:szCs w:val="28"/>
              </w:rPr>
            </w:pPr>
            <w:r>
              <w:rPr>
                <w:rFonts w:hint="eastAsia" w:ascii="宋体" w:hAnsi="宋体" w:eastAsia="宋体" w:cs="宋体"/>
                <w:color w:val="000000"/>
                <w:sz w:val="28"/>
                <w:szCs w:val="28"/>
              </w:rPr>
              <w:t>本项目不接受联合体投标</w:t>
            </w:r>
            <w:r>
              <w:rPr>
                <w:rFonts w:hint="eastAsia" w:ascii="宋体" w:hAnsi="宋体" w:eastAsia="宋体" w:cs="宋体"/>
                <w:b/>
                <w:bCs/>
                <w:sz w:val="28"/>
                <w:szCs w:val="28"/>
              </w:rPr>
              <w:t>。</w:t>
            </w:r>
          </w:p>
        </w:tc>
      </w:tr>
    </w:tbl>
    <w:p>
      <w:pPr>
        <w:rPr>
          <w:rFonts w:ascii="宋体" w:hAnsi="宋体" w:eastAsia="宋体" w:cs="宋体"/>
          <w:sz w:val="28"/>
          <w:szCs w:val="28"/>
        </w:rPr>
      </w:pPr>
    </w:p>
    <w:p>
      <w:pPr>
        <w:pStyle w:val="5"/>
        <w:rPr>
          <w:rFonts w:ascii="宋体" w:hAnsi="宋体" w:eastAsia="宋体" w:cs="宋体"/>
          <w:sz w:val="28"/>
          <w:szCs w:val="28"/>
        </w:rPr>
      </w:pPr>
      <w:bookmarkStart w:id="132" w:name="_Toc11090"/>
      <w:r>
        <w:rPr>
          <w:rFonts w:hint="eastAsia" w:ascii="宋体" w:hAnsi="宋体" w:eastAsia="宋体" w:cs="宋体"/>
          <w:sz w:val="28"/>
          <w:szCs w:val="28"/>
        </w:rPr>
        <w:t>七、评审方法和程序</w:t>
      </w:r>
      <w:bookmarkEnd w:id="132"/>
    </w:p>
    <w:p>
      <w:pPr>
        <w:pStyle w:val="101"/>
        <w:spacing w:before="197" w:after="197"/>
        <w:ind w:firstLine="579"/>
        <w:outlineLvl w:val="3"/>
        <w:rPr>
          <w:rFonts w:ascii="宋体" w:hAnsi="宋体" w:eastAsia="宋体" w:cs="宋体"/>
          <w:sz w:val="28"/>
          <w:szCs w:val="28"/>
        </w:rPr>
      </w:pPr>
      <w:bookmarkStart w:id="133" w:name="_Toc3761"/>
      <w:bookmarkStart w:id="134" w:name="_Toc8600"/>
      <w:bookmarkStart w:id="135" w:name="_Toc14101"/>
      <w:r>
        <w:rPr>
          <w:rFonts w:hint="eastAsia" w:ascii="宋体" w:hAnsi="宋体" w:eastAsia="宋体" w:cs="宋体"/>
          <w:sz w:val="28"/>
          <w:szCs w:val="28"/>
        </w:rPr>
        <w:t>（一）评标方法</w:t>
      </w:r>
      <w:bookmarkEnd w:id="133"/>
      <w:bookmarkEnd w:id="134"/>
      <w:bookmarkEnd w:id="13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1"/>
        <w:spacing w:before="197" w:after="197"/>
        <w:ind w:firstLine="579"/>
        <w:outlineLvl w:val="3"/>
        <w:rPr>
          <w:rFonts w:ascii="宋体" w:hAnsi="宋体" w:eastAsia="宋体" w:cs="宋体"/>
          <w:sz w:val="28"/>
          <w:szCs w:val="28"/>
        </w:rPr>
      </w:pPr>
      <w:bookmarkStart w:id="136" w:name="_Toc25239"/>
      <w:bookmarkStart w:id="137" w:name="_Toc26336"/>
      <w:bookmarkStart w:id="138" w:name="_Toc20873"/>
      <w:r>
        <w:rPr>
          <w:rFonts w:hint="eastAsia" w:ascii="宋体" w:hAnsi="宋体" w:eastAsia="宋体" w:cs="宋体"/>
          <w:sz w:val="28"/>
          <w:szCs w:val="28"/>
        </w:rPr>
        <w:t>（二）评标程序</w:t>
      </w:r>
      <w:bookmarkEnd w:id="136"/>
      <w:bookmarkEnd w:id="137"/>
      <w:bookmarkEnd w:id="138"/>
    </w:p>
    <w:p>
      <w:pPr>
        <w:pStyle w:val="100"/>
        <w:outlineLvl w:val="9"/>
        <w:rPr>
          <w:rFonts w:ascii="宋体" w:hAnsi="宋体" w:eastAsia="宋体" w:cs="宋体"/>
          <w:sz w:val="28"/>
          <w:szCs w:val="28"/>
        </w:rPr>
      </w:pPr>
      <w:bookmarkStart w:id="139" w:name="_Toc32585"/>
      <w:bookmarkStart w:id="140" w:name="_Toc21077"/>
      <w:bookmarkStart w:id="141" w:name="_Toc5086"/>
      <w:r>
        <w:rPr>
          <w:rFonts w:hint="eastAsia" w:ascii="宋体" w:hAnsi="宋体" w:eastAsia="宋体" w:cs="宋体"/>
          <w:sz w:val="28"/>
          <w:szCs w:val="28"/>
        </w:rPr>
        <w:t>1．组建评标委员会</w:t>
      </w:r>
      <w:bookmarkEnd w:id="139"/>
      <w:bookmarkEnd w:id="140"/>
      <w:bookmarkEnd w:id="14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0"/>
        <w:outlineLvl w:val="9"/>
        <w:rPr>
          <w:rFonts w:ascii="宋体" w:hAnsi="宋体" w:eastAsia="宋体" w:cs="宋体"/>
          <w:sz w:val="28"/>
          <w:szCs w:val="28"/>
        </w:rPr>
      </w:pPr>
      <w:bookmarkStart w:id="142" w:name="_Toc20571"/>
      <w:bookmarkStart w:id="143" w:name="_Toc19123"/>
      <w:bookmarkStart w:id="144" w:name="_Toc1702"/>
      <w:r>
        <w:rPr>
          <w:rFonts w:hint="eastAsia" w:ascii="宋体" w:hAnsi="宋体" w:eastAsia="宋体" w:cs="宋体"/>
          <w:sz w:val="28"/>
          <w:szCs w:val="28"/>
        </w:rPr>
        <w:t>2．投标文件的符合性审查</w:t>
      </w:r>
      <w:bookmarkEnd w:id="142"/>
      <w:bookmarkEnd w:id="143"/>
      <w:bookmarkEnd w:id="14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rPr>
            </w:pPr>
            <w:r>
              <w:rPr>
                <w:rFonts w:hint="eastAsia" w:ascii="宋体" w:hAnsi="宋体" w:eastAsia="宋体" w:cs="宋体"/>
                <w:b/>
                <w:bCs/>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rPr>
            </w:pPr>
            <w:r>
              <w:rPr>
                <w:rFonts w:hint="eastAsia" w:ascii="宋体" w:hAnsi="宋体" w:eastAsia="宋体" w:cs="宋体"/>
                <w:b/>
                <w:bCs/>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rPr>
            </w:pPr>
            <w:r>
              <w:rPr>
                <w:rFonts w:hint="eastAsia" w:ascii="宋体" w:hAnsi="宋体" w:eastAsia="宋体" w:cs="宋体"/>
                <w:b/>
                <w:bCs/>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rPr>
            </w:pPr>
            <w:r>
              <w:rPr>
                <w:rFonts w:hint="eastAsia" w:ascii="宋体" w:hAnsi="宋体" w:eastAsia="宋体" w:cs="宋体"/>
              </w:rPr>
              <w:t>1</w:t>
            </w:r>
          </w:p>
        </w:tc>
        <w:tc>
          <w:tcPr>
            <w:tcW w:w="2392" w:type="dxa"/>
            <w:tcBorders>
              <w:top w:val="single" w:color="auto" w:sz="2" w:space="0"/>
            </w:tcBorders>
            <w:vAlign w:val="center"/>
          </w:tcPr>
          <w:p>
            <w:pPr>
              <w:spacing w:line="560" w:lineRule="exact"/>
              <w:jc w:val="center"/>
              <w:rPr>
                <w:rFonts w:ascii="宋体" w:hAnsi="宋体" w:eastAsia="宋体" w:cs="宋体"/>
              </w:rPr>
            </w:pPr>
            <w:r>
              <w:rPr>
                <w:rFonts w:hint="eastAsia" w:ascii="宋体" w:hAnsi="宋体" w:eastAsia="宋体" w:cs="宋体"/>
              </w:rPr>
              <w:t>投标报价是否超过预算或最高限价</w:t>
            </w:r>
          </w:p>
        </w:tc>
        <w:tc>
          <w:tcPr>
            <w:tcW w:w="5498" w:type="dxa"/>
            <w:tcBorders>
              <w:top w:val="single" w:color="auto" w:sz="2" w:space="0"/>
            </w:tcBorders>
            <w:vAlign w:val="center"/>
          </w:tcPr>
          <w:p>
            <w:pPr>
              <w:jc w:val="both"/>
              <w:rPr>
                <w:rFonts w:ascii="宋体" w:hAnsi="宋体" w:eastAsia="宋体" w:cs="宋体"/>
              </w:rPr>
            </w:pPr>
            <w:r>
              <w:rPr>
                <w:rFonts w:hint="eastAsia" w:ascii="宋体" w:hAnsi="宋体" w:eastAsia="宋体" w:cs="宋体"/>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rPr>
            </w:pPr>
            <w:r>
              <w:rPr>
                <w:rFonts w:hint="eastAsia" w:ascii="宋体" w:hAnsi="宋体" w:eastAsia="宋体" w:cs="宋体"/>
              </w:rPr>
              <w:t>2</w:t>
            </w:r>
          </w:p>
        </w:tc>
        <w:tc>
          <w:tcPr>
            <w:tcW w:w="2392" w:type="dxa"/>
            <w:vAlign w:val="center"/>
          </w:tcPr>
          <w:p>
            <w:pPr>
              <w:spacing w:line="560" w:lineRule="exact"/>
              <w:jc w:val="center"/>
              <w:rPr>
                <w:rFonts w:ascii="宋体" w:hAnsi="宋体" w:eastAsia="宋体" w:cs="宋体"/>
              </w:rPr>
            </w:pPr>
            <w:r>
              <w:rPr>
                <w:rFonts w:hint="eastAsia" w:ascii="宋体" w:hAnsi="宋体" w:eastAsia="宋体" w:cs="宋体"/>
              </w:rPr>
              <w:t>服务期限是否满足招标文件要求</w:t>
            </w:r>
          </w:p>
        </w:tc>
        <w:tc>
          <w:tcPr>
            <w:tcW w:w="5498" w:type="dxa"/>
            <w:vAlign w:val="center"/>
          </w:tcPr>
          <w:p>
            <w:pPr>
              <w:jc w:val="both"/>
              <w:rPr>
                <w:rFonts w:ascii="宋体" w:hAnsi="宋体" w:eastAsia="宋体" w:cs="宋体"/>
              </w:rPr>
            </w:pPr>
            <w:r>
              <w:rPr>
                <w:rFonts w:hint="eastAsia" w:ascii="宋体" w:hAnsi="宋体" w:eastAsia="宋体" w:cs="宋体"/>
              </w:rPr>
              <w:t>服务期限满足招标文件要求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rPr>
            </w:pPr>
            <w:r>
              <w:rPr>
                <w:rFonts w:hint="eastAsia" w:ascii="宋体" w:hAnsi="宋体" w:eastAsia="宋体" w:cs="宋体"/>
              </w:rPr>
              <w:t>3</w:t>
            </w:r>
          </w:p>
        </w:tc>
        <w:tc>
          <w:tcPr>
            <w:tcW w:w="2392" w:type="dxa"/>
            <w:vAlign w:val="center"/>
          </w:tcPr>
          <w:p>
            <w:pPr>
              <w:spacing w:line="560" w:lineRule="exact"/>
              <w:jc w:val="center"/>
              <w:rPr>
                <w:rFonts w:ascii="宋体" w:hAnsi="宋体" w:eastAsia="宋体" w:cs="宋体"/>
              </w:rPr>
            </w:pPr>
            <w:r>
              <w:rPr>
                <w:rFonts w:hint="eastAsia" w:ascii="宋体" w:hAnsi="宋体" w:eastAsia="宋体" w:cs="宋体"/>
              </w:rPr>
              <w:t>质保期是否满足招标文件要求</w:t>
            </w:r>
          </w:p>
        </w:tc>
        <w:tc>
          <w:tcPr>
            <w:tcW w:w="5498" w:type="dxa"/>
            <w:vAlign w:val="center"/>
          </w:tcPr>
          <w:p>
            <w:pPr>
              <w:jc w:val="both"/>
              <w:rPr>
                <w:rFonts w:ascii="宋体" w:hAnsi="宋体" w:eastAsia="宋体" w:cs="宋体"/>
              </w:rPr>
            </w:pPr>
            <w:r>
              <w:rPr>
                <w:rFonts w:hint="eastAsia" w:ascii="宋体" w:hAnsi="宋体" w:eastAsia="宋体" w:cs="宋体"/>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rPr>
            </w:pPr>
            <w:r>
              <w:rPr>
                <w:rFonts w:hint="eastAsia" w:ascii="宋体" w:hAnsi="宋体" w:eastAsia="宋体" w:cs="宋体"/>
              </w:rPr>
              <w:t>4</w:t>
            </w:r>
          </w:p>
        </w:tc>
        <w:tc>
          <w:tcPr>
            <w:tcW w:w="2392" w:type="dxa"/>
            <w:vAlign w:val="center"/>
          </w:tcPr>
          <w:p>
            <w:pPr>
              <w:spacing w:line="560" w:lineRule="exact"/>
              <w:jc w:val="center"/>
              <w:rPr>
                <w:rFonts w:ascii="宋体" w:hAnsi="宋体" w:eastAsia="宋体" w:cs="宋体"/>
              </w:rPr>
            </w:pPr>
            <w:r>
              <w:rPr>
                <w:rFonts w:hint="eastAsia" w:ascii="宋体" w:hAnsi="宋体" w:eastAsia="宋体" w:cs="宋体"/>
              </w:rPr>
              <w:t>签章</w:t>
            </w:r>
          </w:p>
        </w:tc>
        <w:tc>
          <w:tcPr>
            <w:tcW w:w="5498" w:type="dxa"/>
            <w:vAlign w:val="center"/>
          </w:tcPr>
          <w:p>
            <w:pPr>
              <w:jc w:val="both"/>
              <w:rPr>
                <w:rFonts w:ascii="宋体" w:hAnsi="宋体" w:eastAsia="宋体" w:cs="宋体"/>
              </w:rPr>
            </w:pPr>
            <w:r>
              <w:rPr>
                <w:rFonts w:hint="eastAsia" w:ascii="宋体" w:hAnsi="宋体" w:eastAsia="宋体" w:cs="宋体"/>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cs="宋体"/>
              </w:rPr>
            </w:pPr>
            <w:r>
              <w:rPr>
                <w:rFonts w:hint="eastAsia" w:ascii="宋体" w:hAnsi="宋体" w:eastAsia="宋体" w:cs="宋体"/>
              </w:rPr>
              <w:t>5</w:t>
            </w:r>
          </w:p>
        </w:tc>
        <w:tc>
          <w:tcPr>
            <w:tcW w:w="2392" w:type="dxa"/>
            <w:vAlign w:val="center"/>
          </w:tcPr>
          <w:p>
            <w:pPr>
              <w:spacing w:line="560" w:lineRule="exact"/>
              <w:jc w:val="center"/>
              <w:rPr>
                <w:rFonts w:ascii="宋体" w:hAnsi="宋体" w:eastAsia="宋体" w:cs="宋体"/>
              </w:rPr>
            </w:pPr>
            <w:r>
              <w:rPr>
                <w:rFonts w:hint="eastAsia" w:ascii="宋体" w:hAnsi="宋体" w:eastAsia="宋体" w:cs="宋体"/>
              </w:rPr>
              <w:t>投标文件有效期</w:t>
            </w:r>
          </w:p>
        </w:tc>
        <w:tc>
          <w:tcPr>
            <w:tcW w:w="5498" w:type="dxa"/>
            <w:vAlign w:val="center"/>
          </w:tcPr>
          <w:p>
            <w:pPr>
              <w:jc w:val="both"/>
              <w:rPr>
                <w:rFonts w:ascii="宋体" w:hAnsi="宋体" w:eastAsia="宋体" w:cs="宋体"/>
              </w:rPr>
            </w:pPr>
            <w:r>
              <w:rPr>
                <w:rFonts w:hint="eastAsia" w:ascii="宋体" w:hAnsi="宋体" w:eastAsia="宋体" w:cs="宋体"/>
              </w:rPr>
              <w:t>符合招标文件的要求</w:t>
            </w:r>
          </w:p>
        </w:tc>
      </w:tr>
    </w:tbl>
    <w:p>
      <w:pPr>
        <w:pStyle w:val="100"/>
        <w:outlineLvl w:val="9"/>
        <w:rPr>
          <w:rFonts w:ascii="宋体" w:hAnsi="宋体" w:eastAsia="宋体" w:cs="宋体"/>
          <w:sz w:val="28"/>
          <w:szCs w:val="28"/>
        </w:rPr>
      </w:pPr>
      <w:bookmarkStart w:id="145" w:name="_Toc9318"/>
      <w:bookmarkStart w:id="146" w:name="_Toc21491"/>
      <w:bookmarkStart w:id="147" w:name="_Toc32313"/>
      <w:r>
        <w:rPr>
          <w:rFonts w:hint="eastAsia" w:ascii="宋体" w:hAnsi="宋体" w:eastAsia="宋体" w:cs="宋体"/>
          <w:sz w:val="28"/>
          <w:szCs w:val="28"/>
        </w:rPr>
        <w:t>3．综合比较与评价</w:t>
      </w:r>
      <w:bookmarkEnd w:id="145"/>
      <w:bookmarkEnd w:id="146"/>
      <w:bookmarkEnd w:id="14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color w:val="FF0000"/>
          <w:sz w:val="28"/>
          <w:szCs w:val="28"/>
        </w:rPr>
      </w:pPr>
      <w:r>
        <w:rPr>
          <w:rFonts w:hint="eastAsia" w:ascii="宋体" w:hAnsi="宋体" w:eastAsia="宋体" w:cs="宋体"/>
          <w:sz w:val="28"/>
          <w:szCs w:val="28"/>
          <w:highlight w:val="yellow"/>
        </w:rPr>
        <w:t>〖评审要素及分值一览表〗</w:t>
      </w:r>
    </w:p>
    <w:tbl>
      <w:tblPr>
        <w:tblStyle w:val="33"/>
        <w:tblW w:w="5411" w:type="pc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950"/>
        <w:gridCol w:w="752"/>
        <w:gridCol w:w="6899"/>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25"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bookmarkStart w:id="148" w:name="_Toc14692"/>
            <w:r>
              <w:rPr>
                <w:rFonts w:hint="eastAsia" w:ascii="宋体" w:hAnsi="宋体" w:eastAsia="宋体" w:cs="宋体"/>
                <w:color w:val="auto"/>
                <w:sz w:val="24"/>
                <w:szCs w:val="24"/>
              </w:rPr>
              <w:t>项别</w:t>
            </w:r>
          </w:p>
        </w:tc>
        <w:tc>
          <w:tcPr>
            <w:tcW w:w="441"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总分值</w:t>
            </w:r>
          </w:p>
        </w:tc>
        <w:tc>
          <w:tcPr>
            <w:tcW w:w="349"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分项最高分值</w:t>
            </w:r>
          </w:p>
        </w:tc>
        <w:tc>
          <w:tcPr>
            <w:tcW w:w="3201"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评审要素</w:t>
            </w:r>
          </w:p>
        </w:tc>
        <w:tc>
          <w:tcPr>
            <w:tcW w:w="682"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25"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价格</w:t>
            </w:r>
          </w:p>
        </w:tc>
        <w:tc>
          <w:tcPr>
            <w:tcW w:w="441"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tc>
        <w:tc>
          <w:tcPr>
            <w:tcW w:w="349"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tc>
        <w:tc>
          <w:tcPr>
            <w:tcW w:w="3201" w:type="pct"/>
          </w:tcPr>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1.经初审合格的投标文件，其投标报价为有效投标报价价，并对有效投标报价进行政策性扣减，并依据扣减后的价格（评审价格）进行价格评审。</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2.满足招标文件实质性要求且最终报价最低的投标人的价格为投标基准价，其价格分为满分</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3.投标报价得分=（投标基准价/投标报价）×</w:t>
            </w:r>
            <w:r>
              <w:rPr>
                <w:rFonts w:hint="eastAsia" w:ascii="宋体" w:hAnsi="宋体" w:eastAsia="宋体" w:cs="宋体"/>
                <w:sz w:val="24"/>
                <w:szCs w:val="24"/>
                <w:lang w:val="en-US" w:eastAsia="zh-CN"/>
              </w:rPr>
              <w:t>1</w:t>
            </w:r>
            <w:r>
              <w:rPr>
                <w:rFonts w:hint="eastAsia" w:ascii="宋体" w:hAnsi="宋体" w:eastAsia="宋体" w:cs="宋体"/>
                <w:sz w:val="24"/>
                <w:szCs w:val="24"/>
              </w:rPr>
              <w:t>0的公式计算得分。</w:t>
            </w:r>
          </w:p>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4.投标报价不完整的，不进入评标标准价的计算，本项得0分。</w:t>
            </w:r>
          </w:p>
          <w:p>
            <w:pPr>
              <w:pStyle w:val="109"/>
              <w:pBdr>
                <w:between w:val="single" w:color="auto" w:sz="4" w:space="1"/>
              </w:pBd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5.经评委一致认定，投标人的投标总报价低于公认市场成本，或超过采购预算,其投标将被拒绝。</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5" w:type="pct"/>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监督</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抽查</w:t>
            </w:r>
          </w:p>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方案</w:t>
            </w:r>
          </w:p>
        </w:tc>
        <w:tc>
          <w:tcPr>
            <w:tcW w:w="441" w:type="pct"/>
            <w:vMerge w:val="restart"/>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27</w:t>
            </w: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4</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需求理解：</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 采购需求的理解；</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 对项目现状的了解情况；</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 对本项目重点、难点的分析；</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 合理化建议。</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评分标准：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（1）对采购项目需求的理解准确到位，对现状了解正确，对采购项目的特点、重点、难点有针对性的切实可行的解决方法，措施科学全面的得4分；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（2）对采购项目需求的理解基本准确，对现状基本了解，对采购项目的特点、重点、难点的解决办法有一定的针对性，措施基本合理的得2-4分；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（3）对采购项目需求不够理解，对现状不了解，对需求的特点、重点、难点的解决方法无针对性，措施不具体，错误较多的得1-2分;</w:t>
            </w:r>
          </w:p>
          <w:p>
            <w:pPr>
              <w:pStyle w:val="109"/>
              <w:spacing w:line="240" w:lineRule="auto"/>
              <w:ind w:firstLine="496" w:firstLineChars="200"/>
              <w:jc w:val="both"/>
              <w:rPr>
                <w:rFonts w:hint="eastAsia" w:ascii="宋体" w:hAnsi="宋体" w:eastAsia="宋体" w:cs="宋体"/>
                <w:sz w:val="24"/>
                <w:szCs w:val="24"/>
              </w:rPr>
            </w:pPr>
            <w:r>
              <w:rPr>
                <w:rFonts w:hint="eastAsia" w:ascii="宋体" w:hAnsi="宋体" w:eastAsia="宋体" w:cs="宋体"/>
                <w:color w:val="auto"/>
                <w:kern w:val="2"/>
                <w:sz w:val="24"/>
                <w:szCs w:val="24"/>
              </w:rPr>
              <w:t>（4）未提供相应内容的不得分。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12</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监督抽查实施方案应具备以下内容：</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 工作内容及流程；2. 抽查项目及内容；3. 为项目配备人员、工具和车辆；4. 重点难点的应对措施或改进现状措施；5. 项目实施计划；6. 应急预案和紧急事件处置措施。</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方案符合以上1-6内容且详细完整，工作流程科学合理，工作措施与监督抽查实际结合紧密，监督抽查方案的项目、抽查内容及要求符合项目要求，总体监督抽查计划和月度计划安排符合项目进度要求，熟悉项目开展地区相关情况并能够为项目开展配备足够人员、工具、车辆等，得9-12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方案符合以上1-6内容且相对完整，工作流程、工作措施与监督抽查实际结合相对紧密，监督抽查方案的项目、抽查内容及要求、总体监督抽查计划和月度计划安排基本符合项目进度、要求，对项目开展地区相关情况相对熟悉，并能够为项目开展配备人员、工具、车辆等，得6-9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（3）方案符合以上1-6内容，但工作流程、工作措施，监督抽查方案的项目、抽查内容及要求、总体监督抽查计划和月度计划安排与项目精度、要求结合不紧密，人员配备与项目世家需求差距较大。得3-6分；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方案未能满足本项目的需求，未针对用户的日常用途和需求所提合理性建议，其服务水平未能符合国家、行业和地方标准的得1-3分；</w:t>
            </w:r>
          </w:p>
          <w:p>
            <w:pPr>
              <w:pStyle w:val="109"/>
              <w:spacing w:line="240" w:lineRule="auto"/>
              <w:ind w:firstLine="496" w:firstLineChars="200"/>
              <w:jc w:val="both"/>
              <w:rPr>
                <w:rFonts w:hint="eastAsia" w:ascii="宋体" w:hAnsi="宋体" w:eastAsia="宋体" w:cs="宋体"/>
                <w:sz w:val="24"/>
                <w:szCs w:val="24"/>
              </w:rPr>
            </w:pPr>
            <w:r>
              <w:rPr>
                <w:rFonts w:hint="eastAsia" w:ascii="宋体" w:hAnsi="宋体" w:eastAsia="宋体" w:cs="宋体"/>
                <w:color w:val="auto"/>
                <w:kern w:val="2"/>
                <w:sz w:val="24"/>
                <w:szCs w:val="24"/>
              </w:rPr>
              <w:t>（4）未提供相应内容的不得分。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6</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项目管理组织架构及管理制度：</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1.项目管理机构及其运作方法与流程；</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2.各项管理制度；</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评分标准: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（1）具有完善的组织架构，健全的服务管理制度、作业流程及服务工作计划的得4-6分；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（2）具有项目管理组织架构及管理制度，基本能满足本项目实施的得2-4分；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（3）项目管理组织架构及管理制度有较多内容缺失或模糊不清的得1-2分；</w:t>
            </w:r>
          </w:p>
          <w:p>
            <w:pPr>
              <w:pStyle w:val="109"/>
              <w:spacing w:line="240" w:lineRule="auto"/>
              <w:ind w:firstLine="496" w:firstLineChars="200"/>
              <w:jc w:val="both"/>
              <w:rPr>
                <w:rFonts w:hint="eastAsia" w:ascii="宋体" w:hAnsi="宋体" w:eastAsia="宋体" w:cs="宋体"/>
                <w:sz w:val="24"/>
                <w:szCs w:val="24"/>
              </w:rPr>
            </w:pPr>
            <w:r>
              <w:rPr>
                <w:rFonts w:hint="eastAsia" w:ascii="宋体" w:hAnsi="宋体" w:eastAsia="宋体" w:cs="宋体"/>
                <w:color w:val="auto"/>
                <w:kern w:val="2"/>
                <w:sz w:val="24"/>
                <w:szCs w:val="24"/>
              </w:rPr>
              <w:t>（4）未提供相应内容的不得分。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5</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出具报告的格式及内容：</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按文件中的要求制定监督抽查报告的格式及内容。</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（1）抽查报告格式科学合理、内容完整的得4-5分；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（2）抽查报告格式基本合理、内容基本完整的得3-4分；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（3）抽查报告格式混乱、内容不完整的得1-3分；</w:t>
            </w:r>
          </w:p>
          <w:p>
            <w:pPr>
              <w:spacing w:line="240" w:lineRule="auto"/>
              <w:ind w:firstLine="496" w:firstLineChars="200"/>
              <w:rPr>
                <w:rFonts w:hint="eastAsia" w:ascii="宋体" w:hAnsi="宋体" w:eastAsia="宋体" w:cs="宋体"/>
                <w:color w:val="auto"/>
                <w:sz w:val="24"/>
                <w:szCs w:val="24"/>
              </w:rPr>
            </w:pPr>
            <w:r>
              <w:rPr>
                <w:rFonts w:hint="eastAsia" w:ascii="宋体" w:hAnsi="宋体" w:eastAsia="宋体" w:cs="宋体"/>
                <w:sz w:val="24"/>
                <w:szCs w:val="24"/>
              </w:rPr>
              <w:t>（4）未提供相应内容的不得分。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5" w:type="pct"/>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质量</w:t>
            </w:r>
          </w:p>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保证</w:t>
            </w:r>
          </w:p>
        </w:tc>
        <w:tc>
          <w:tcPr>
            <w:tcW w:w="441" w:type="pct"/>
            <w:vMerge w:val="restar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8</w:t>
            </w: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2</w:t>
            </w:r>
          </w:p>
        </w:tc>
        <w:tc>
          <w:tcPr>
            <w:tcW w:w="6899" w:type="dxa"/>
            <w:vAlign w:val="center"/>
          </w:tcPr>
          <w:p>
            <w:pPr>
              <w:pStyle w:val="109"/>
              <w:spacing w:line="240" w:lineRule="auto"/>
              <w:rPr>
                <w:rFonts w:hint="eastAsia" w:ascii="宋体" w:hAnsi="宋体" w:eastAsia="宋体" w:cs="宋体"/>
                <w:b/>
                <w:kern w:val="2"/>
                <w:sz w:val="24"/>
                <w:szCs w:val="24"/>
              </w:rPr>
            </w:pPr>
            <w:r>
              <w:rPr>
                <w:rFonts w:hint="eastAsia" w:ascii="宋体" w:hAnsi="宋体" w:eastAsia="宋体" w:cs="宋体"/>
                <w:b/>
                <w:kern w:val="2"/>
                <w:sz w:val="24"/>
                <w:szCs w:val="24"/>
              </w:rPr>
              <w:t>信息化能力：</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1.具有特种设备监督抽查系统，完成监督抽查全流程报告出具工作，提供电子文档；</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2.可实现随机抽样、接收下发抽查数据任务、抽查进展状况查询、抽查结果传递、数据统计分析等功能。</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（1）具有上述信息化能力1-2要求的所有功能的得2分；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（2）具有上述信息化能力1-2要求的部分功能，缺失功能不多的得1分；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（3）未提供相应内容的不得分。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（提供与软件开发公司关于开发信息系统平台的合同复印件或内部立项及验收材料。）</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3</w:t>
            </w:r>
          </w:p>
        </w:tc>
        <w:tc>
          <w:tcPr>
            <w:tcW w:w="6899" w:type="dxa"/>
            <w:vAlign w:val="center"/>
          </w:tcPr>
          <w:p>
            <w:pPr>
              <w:pStyle w:val="109"/>
              <w:spacing w:line="240" w:lineRule="auto"/>
              <w:jc w:val="both"/>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rPr>
              <w:t>质量保证措施：</w:t>
            </w:r>
            <w:r>
              <w:rPr>
                <w:rFonts w:hint="eastAsia" w:ascii="宋体" w:hAnsi="宋体" w:eastAsia="宋体" w:cs="宋体"/>
                <w:color w:val="auto"/>
                <w:kern w:val="2"/>
                <w:sz w:val="24"/>
                <w:szCs w:val="24"/>
              </w:rPr>
              <w:t>1.质量目标；2.奖惩措施；3.服务质量检查；4.验收方法和标准;5.投诉处理；6.整改方案。</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（1）质量保证措施内容符合上述1—6要求的，得3分；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（2）质量保证措施基本符合上述1—6要求的，得2分；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（3）质量保证措施与上述1—6要求相比有缺失的，得1分；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（4）未提供相应质量保证措施的不得分。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3</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服务承诺：</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1.售后服务承诺；2.服务响应及时；3.违约承诺。</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（1）售后承诺操作性强，服务响应迅速且责任明晰的，得3分；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（2）售后承诺操作性一般，有服务响应及责任区分的，得2分；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（3）售后承诺、服务响应、违约内容有缺项的，得1分；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（4）未提供相应内容的不得分。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25" w:type="pct"/>
            <w:vMerge w:val="restart"/>
            <w:vAlign w:val="center"/>
          </w:tcPr>
          <w:p>
            <w:pPr>
              <w:pStyle w:val="109"/>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人员</w:t>
            </w:r>
          </w:p>
          <w:p>
            <w:pPr>
              <w:pStyle w:val="109"/>
              <w:spacing w:line="240" w:lineRule="auto"/>
              <w:jc w:val="center"/>
              <w:rPr>
                <w:rFonts w:hint="eastAsia" w:ascii="宋体" w:hAnsi="宋体" w:eastAsia="宋体" w:cs="宋体"/>
                <w:color w:val="auto"/>
                <w:sz w:val="24"/>
                <w:szCs w:val="24"/>
              </w:rPr>
            </w:pPr>
            <w:r>
              <w:rPr>
                <w:rFonts w:hint="eastAsia" w:ascii="宋体" w:hAnsi="宋体" w:eastAsia="宋体" w:cs="宋体"/>
                <w:kern w:val="2"/>
                <w:sz w:val="24"/>
                <w:szCs w:val="24"/>
              </w:rPr>
              <w:t>配备</w:t>
            </w:r>
          </w:p>
        </w:tc>
        <w:tc>
          <w:tcPr>
            <w:tcW w:w="441" w:type="pct"/>
            <w:vMerge w:val="restart"/>
            <w:vAlign w:val="center"/>
          </w:tcPr>
          <w:p>
            <w:pPr>
              <w:pStyle w:val="109"/>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rPr>
              <w:t>9</w:t>
            </w:r>
          </w:p>
        </w:tc>
        <w:tc>
          <w:tcPr>
            <w:tcW w:w="75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4</w:t>
            </w:r>
          </w:p>
        </w:tc>
        <w:tc>
          <w:tcPr>
            <w:tcW w:w="6899" w:type="dxa"/>
            <w:vAlign w:val="center"/>
          </w:tcPr>
          <w:p>
            <w:pPr>
              <w:pStyle w:val="109"/>
              <w:spacing w:line="240" w:lineRule="auto"/>
              <w:rPr>
                <w:rFonts w:hint="eastAsia" w:ascii="宋体" w:hAnsi="宋体" w:eastAsia="宋体" w:cs="宋体"/>
                <w:kern w:val="2"/>
                <w:sz w:val="24"/>
                <w:szCs w:val="24"/>
              </w:rPr>
            </w:pPr>
            <w:r>
              <w:rPr>
                <w:rFonts w:hint="eastAsia" w:ascii="宋体" w:hAnsi="宋体" w:eastAsia="宋体" w:cs="宋体"/>
                <w:b/>
                <w:kern w:val="2"/>
                <w:sz w:val="24"/>
                <w:szCs w:val="24"/>
              </w:rPr>
              <w:t>拟安排的项目负责人情况:</w:t>
            </w:r>
          </w:p>
          <w:p>
            <w:pPr>
              <w:pStyle w:val="109"/>
              <w:spacing w:line="240" w:lineRule="auto"/>
              <w:ind w:firstLine="496" w:firstLineChars="200"/>
              <w:rPr>
                <w:rFonts w:hint="eastAsia" w:ascii="宋体" w:hAnsi="宋体" w:eastAsia="宋体" w:cs="宋体"/>
                <w:kern w:val="2"/>
                <w:sz w:val="24"/>
                <w:szCs w:val="24"/>
              </w:rPr>
            </w:pPr>
            <w:r>
              <w:rPr>
                <w:rFonts w:hint="eastAsia" w:ascii="宋体" w:hAnsi="宋体" w:eastAsia="宋体" w:cs="宋体"/>
                <w:kern w:val="2"/>
                <w:sz w:val="24"/>
                <w:szCs w:val="24"/>
              </w:rPr>
              <w:t>监督抽查项目负责人（1人）：</w:t>
            </w:r>
          </w:p>
          <w:p>
            <w:pPr>
              <w:pStyle w:val="109"/>
              <w:spacing w:line="240" w:lineRule="auto"/>
              <w:ind w:firstLine="496" w:firstLineChars="200"/>
              <w:rPr>
                <w:rFonts w:hint="eastAsia" w:ascii="宋体" w:hAnsi="宋体" w:eastAsia="宋体" w:cs="宋体"/>
                <w:kern w:val="2"/>
                <w:sz w:val="24"/>
                <w:szCs w:val="24"/>
              </w:rPr>
            </w:pPr>
            <w:r>
              <w:rPr>
                <w:rFonts w:hint="eastAsia" w:ascii="宋体" w:hAnsi="宋体" w:eastAsia="宋体" w:cs="宋体"/>
                <w:kern w:val="2"/>
                <w:sz w:val="24"/>
                <w:szCs w:val="24"/>
              </w:rPr>
              <w:t>1.项目负责人具有正高（教授）级职称，得2分；项目负责人具有高级职称，得1分。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2.项目负责人参与或主持过国家级特种设备技术规范、标准起草工作的，得2分；项目负责人参与或主持过省级及以下特种设备技术规范、地方标准起草工作的，得1分；</w:t>
            </w:r>
          </w:p>
          <w:p>
            <w:pPr>
              <w:spacing w:line="240" w:lineRule="auto"/>
              <w:ind w:firstLine="496" w:firstLineChars="200"/>
              <w:rPr>
                <w:rFonts w:hint="eastAsia" w:ascii="宋体" w:hAnsi="宋体" w:eastAsia="宋体" w:cs="宋体"/>
                <w:color w:val="auto"/>
                <w:sz w:val="24"/>
                <w:szCs w:val="24"/>
              </w:rPr>
            </w:pPr>
            <w:r>
              <w:rPr>
                <w:rFonts w:hint="eastAsia" w:ascii="宋体" w:hAnsi="宋体" w:eastAsia="宋体" w:cs="宋体"/>
                <w:sz w:val="24"/>
                <w:szCs w:val="24"/>
              </w:rPr>
              <w:t>（1.职称证书及工作经历证明材料扫描件（原件备查）作为得分依据；2.评分中出现无证明资料或专家无法凭所提供资料判断是否得分的情况，一律作不得分处理；3.要求拟安排的项目负责人（1人）必须在投标单位缴纳一年以上社保，否则本项直接计0分。要求提供人员社保记录，社保记录与投标人单位应保持一致。）</w:t>
            </w:r>
          </w:p>
        </w:tc>
        <w:tc>
          <w:tcPr>
            <w:tcW w:w="682"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41"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5</w:t>
            </w:r>
          </w:p>
        </w:tc>
        <w:tc>
          <w:tcPr>
            <w:tcW w:w="6899" w:type="dxa"/>
            <w:vAlign w:val="center"/>
          </w:tcPr>
          <w:p>
            <w:pPr>
              <w:pStyle w:val="109"/>
              <w:spacing w:line="240" w:lineRule="auto"/>
              <w:rPr>
                <w:rFonts w:hint="eastAsia" w:ascii="宋体" w:hAnsi="宋体" w:eastAsia="宋体" w:cs="宋体"/>
                <w:b/>
                <w:kern w:val="2"/>
                <w:sz w:val="24"/>
                <w:szCs w:val="24"/>
              </w:rPr>
            </w:pPr>
            <w:r>
              <w:rPr>
                <w:rFonts w:hint="eastAsia" w:ascii="宋体" w:hAnsi="宋体" w:eastAsia="宋体" w:cs="宋体"/>
                <w:b/>
                <w:kern w:val="2"/>
                <w:sz w:val="24"/>
                <w:szCs w:val="24"/>
              </w:rPr>
              <w:t>拟投入本项目的人员资质及数量：</w:t>
            </w:r>
          </w:p>
          <w:p>
            <w:pPr>
              <w:spacing w:line="24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1.电梯检验师资质的人员达到30人及以上，电梯检验员资质的人员达到30人及以上，得5分（需要同时满足）；</w:t>
            </w:r>
          </w:p>
          <w:p>
            <w:pPr>
              <w:spacing w:line="24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2.电梯检验师资质的人员达到30人及以上，电梯检验员资质的人员达到20人及以上，得4分（需要同时满足）；</w:t>
            </w:r>
          </w:p>
          <w:p>
            <w:pPr>
              <w:spacing w:line="24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3.电梯检验师资质的人员达到20人及以上，电梯检验员资质的人员达到20人及以上，得3分（需要同时满足）；</w:t>
            </w:r>
          </w:p>
          <w:p>
            <w:pPr>
              <w:spacing w:line="24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4.电梯检验师资质的人员达到20人及以上，电梯检验员资质的人员达到10人及以上，得2分（需要同时满足）；</w:t>
            </w:r>
          </w:p>
          <w:p>
            <w:pPr>
              <w:spacing w:line="240" w:lineRule="auto"/>
              <w:ind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5.电梯检验师资质的人员达到10人及以上，电梯检验员资质的人员达到10人及以下，得1分（需要同时满足）；</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（提供相关人员资格证书和本项目开标日前连续三个月供应商为相关人员缴纳的社保证明文件复印件。）</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restart"/>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综合</w:t>
            </w:r>
          </w:p>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实力</w:t>
            </w:r>
          </w:p>
        </w:tc>
        <w:tc>
          <w:tcPr>
            <w:tcW w:w="441" w:type="pct"/>
            <w:vMerge w:val="restart"/>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26</w:t>
            </w:r>
          </w:p>
        </w:tc>
        <w:tc>
          <w:tcPr>
            <w:tcW w:w="75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4</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认证体系：</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1.实验室CNAS认可或检验机构CNAS认可；2.CMA资质认定；3.特种设备检验检测机构核准证；4.质量管理体系认证。</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评分标准: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1.提供有效的资格（认证）证书复印件，原件备查；</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2.评分中出现无证明资料或专家无法凭所提供资料判断是否得分的情况，一律作不得分处理。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3.每提供一个上述认证得1分，此项最多得4分。</w:t>
            </w:r>
          </w:p>
        </w:tc>
        <w:tc>
          <w:tcPr>
            <w:tcW w:w="682" w:type="pct"/>
            <w:vMerge w:val="restar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sz w:val="24"/>
                <w:szCs w:val="24"/>
              </w:rPr>
              <w:t>6</w:t>
            </w:r>
          </w:p>
        </w:tc>
        <w:tc>
          <w:tcPr>
            <w:tcW w:w="6899" w:type="dxa"/>
            <w:vAlign w:val="center"/>
          </w:tcPr>
          <w:p>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技术力量：</w:t>
            </w:r>
          </w:p>
          <w:p>
            <w:pPr>
              <w:spacing w:line="240" w:lineRule="auto"/>
              <w:ind w:firstLine="496" w:firstLineChars="200"/>
              <w:rPr>
                <w:rFonts w:hint="eastAsia" w:ascii="宋体" w:hAnsi="宋体" w:eastAsia="宋体" w:cs="宋体"/>
                <w:bCs/>
                <w:sz w:val="24"/>
                <w:szCs w:val="24"/>
              </w:rPr>
            </w:pPr>
            <w:r>
              <w:rPr>
                <w:rFonts w:hint="eastAsia" w:ascii="宋体" w:hAnsi="宋体" w:eastAsia="宋体" w:cs="宋体"/>
                <w:bCs/>
                <w:sz w:val="24"/>
                <w:szCs w:val="24"/>
              </w:rPr>
              <w:t>1.投标单位具有特种设备高级检验师，每1人得1分，最高得3分；</w:t>
            </w:r>
          </w:p>
          <w:p>
            <w:pPr>
              <w:spacing w:line="240" w:lineRule="auto"/>
              <w:ind w:firstLine="496" w:firstLineChars="200"/>
              <w:rPr>
                <w:rFonts w:hint="eastAsia" w:ascii="宋体" w:hAnsi="宋体" w:eastAsia="宋体" w:cs="宋体"/>
                <w:bCs/>
                <w:sz w:val="24"/>
                <w:szCs w:val="24"/>
              </w:rPr>
            </w:pPr>
            <w:r>
              <w:rPr>
                <w:rFonts w:hint="eastAsia" w:ascii="宋体" w:hAnsi="宋体" w:eastAsia="宋体" w:cs="宋体"/>
                <w:bCs/>
                <w:sz w:val="24"/>
                <w:szCs w:val="24"/>
              </w:rPr>
              <w:t>2.投标单位具有机电类特种设备检验资质持证人员100人(含)以上，得3分；80人(含)以下，得2分；60人(含)以下，得1分。</w:t>
            </w:r>
          </w:p>
          <w:p>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评分标准：</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bCs/>
                <w:sz w:val="24"/>
                <w:szCs w:val="24"/>
              </w:rPr>
              <w:t>特种设备高级检验师、机电类特种设备持证人员需提供执业注册信息（中国特种设备检验协会注册人员网站查询截图），执业单位应当为投标单位。</w:t>
            </w:r>
          </w:p>
        </w:tc>
        <w:tc>
          <w:tcPr>
            <w:tcW w:w="682" w:type="pct"/>
            <w:vMerge w:val="continue"/>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投标人资格情况及通过相关认证情况: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投标人通过国家质检中心的，得2分；投标人通过省级重点实验室的，得1.5分；投标人取得省级质检站（中心）的，得1分。</w:t>
            </w:r>
          </w:p>
          <w:p>
            <w:pPr>
              <w:pStyle w:val="109"/>
              <w:spacing w:line="240" w:lineRule="auto"/>
              <w:jc w:val="both"/>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1.提供有效的资格（认证）证书复印件，原件备查；</w:t>
            </w:r>
          </w:p>
          <w:p>
            <w:pPr>
              <w:pStyle w:val="109"/>
              <w:spacing w:line="240" w:lineRule="auto"/>
              <w:ind w:firstLine="496" w:firstLineChars="200"/>
              <w:jc w:val="both"/>
              <w:rPr>
                <w:rFonts w:hint="eastAsia" w:ascii="宋体" w:hAnsi="宋体" w:eastAsia="宋体" w:cs="宋体"/>
                <w:bCs/>
                <w:sz w:val="24"/>
                <w:szCs w:val="24"/>
              </w:rPr>
            </w:pPr>
            <w:r>
              <w:rPr>
                <w:rFonts w:hint="eastAsia" w:ascii="宋体" w:hAnsi="宋体" w:eastAsia="宋体" w:cs="宋体"/>
                <w:color w:val="auto"/>
                <w:kern w:val="2"/>
                <w:sz w:val="24"/>
                <w:szCs w:val="24"/>
              </w:rPr>
              <w:t>2.评分中出现无证明资料或专家无法凭所提供资料判断是否得分的情况，一律作不得分处理。）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科研能力：</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2015年1月1日起承担过国家级机电类科研项目的，每项2分，省级及以下机电类科研项目的，每项1分，最多得4分。</w:t>
            </w:r>
          </w:p>
          <w:p>
            <w:pPr>
              <w:pStyle w:val="109"/>
              <w:spacing w:line="240" w:lineRule="auto"/>
              <w:jc w:val="both"/>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1.提供相关证明复印件，原件备查；</w:t>
            </w:r>
          </w:p>
          <w:p>
            <w:pPr>
              <w:pStyle w:val="109"/>
              <w:spacing w:line="240" w:lineRule="auto"/>
              <w:ind w:firstLine="496" w:firstLineChars="200"/>
              <w:jc w:val="both"/>
              <w:rPr>
                <w:rFonts w:hint="eastAsia" w:ascii="宋体" w:hAnsi="宋体" w:eastAsia="宋体" w:cs="宋体"/>
                <w:bCs/>
                <w:sz w:val="24"/>
                <w:szCs w:val="24"/>
              </w:rPr>
            </w:pPr>
            <w:r>
              <w:rPr>
                <w:rFonts w:hint="eastAsia" w:ascii="宋体" w:hAnsi="宋体" w:eastAsia="宋体" w:cs="宋体"/>
                <w:kern w:val="2"/>
                <w:sz w:val="24"/>
                <w:szCs w:val="24"/>
              </w:rPr>
              <w:t>2.评分中出现无证明资料或专家无法凭所提供资料判断是否得分的情况，一律作不得分处理。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6899" w:type="dxa"/>
            <w:vAlign w:val="center"/>
          </w:tcPr>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自主知识产权产品（创新、设计）: </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2015年1月1日起投标人在电梯领域获得的国家发明专利授权，每项1分，最多4分。</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1.提供相关证明复印件，原件备查；</w:t>
            </w:r>
          </w:p>
          <w:p>
            <w:pPr>
              <w:spacing w:line="240" w:lineRule="auto"/>
              <w:rPr>
                <w:rFonts w:hint="eastAsia" w:ascii="宋体" w:hAnsi="宋体" w:eastAsia="宋体" w:cs="宋体"/>
                <w:bCs/>
                <w:sz w:val="24"/>
                <w:szCs w:val="24"/>
              </w:rPr>
            </w:pPr>
            <w:r>
              <w:rPr>
                <w:rFonts w:hint="eastAsia" w:ascii="宋体" w:hAnsi="宋体" w:eastAsia="宋体" w:cs="宋体"/>
                <w:sz w:val="24"/>
                <w:szCs w:val="24"/>
              </w:rPr>
              <w:t>2.评分中出现无证明资料或专家无法凭所提供资料判断是否得分的情况，一律作不得分处理。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6899" w:type="dxa"/>
            <w:vAlign w:val="center"/>
          </w:tcPr>
          <w:p>
            <w:pPr>
              <w:pStyle w:val="109"/>
              <w:spacing w:line="240" w:lineRule="auto"/>
              <w:jc w:val="both"/>
              <w:rPr>
                <w:rFonts w:hint="eastAsia" w:ascii="宋体" w:hAnsi="宋体" w:eastAsia="宋体" w:cs="宋体"/>
                <w:b/>
                <w:kern w:val="2"/>
                <w:sz w:val="24"/>
                <w:szCs w:val="24"/>
              </w:rPr>
            </w:pPr>
            <w:r>
              <w:rPr>
                <w:rFonts w:hint="eastAsia" w:ascii="宋体" w:hAnsi="宋体" w:eastAsia="宋体" w:cs="宋体"/>
                <w:b/>
                <w:kern w:val="2"/>
                <w:sz w:val="24"/>
                <w:szCs w:val="24"/>
              </w:rPr>
              <w:t>应急保障经验：</w:t>
            </w:r>
          </w:p>
          <w:p>
            <w:pPr>
              <w:pStyle w:val="109"/>
              <w:spacing w:line="240" w:lineRule="auto"/>
              <w:ind w:firstLine="485" w:firstLineChars="196"/>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1.参与国际型会议、赛事、重大活动等主会场电梯安全保障工作的，得6分；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2.参与全国性会议、赛事、重大活动等主会场电梯安全保障工作的，得4分；</w:t>
            </w:r>
          </w:p>
          <w:p>
            <w:pPr>
              <w:pStyle w:val="109"/>
              <w:spacing w:line="240" w:lineRule="auto"/>
              <w:ind w:firstLine="49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3.参与全省性会议、赛事、重大活动等主会场电梯安全保障工作的，得2分。</w:t>
            </w:r>
          </w:p>
          <w:p>
            <w:pPr>
              <w:pStyle w:val="109"/>
              <w:spacing w:line="240" w:lineRule="auto"/>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 xml:space="preserve">评分标准: </w:t>
            </w:r>
          </w:p>
          <w:p>
            <w:pPr>
              <w:pStyle w:val="109"/>
              <w:spacing w:line="240" w:lineRule="auto"/>
              <w:ind w:firstLine="485" w:firstLineChars="196"/>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1.提供会议、赛事、重大活动举办方或举办地政府部门相关证明文件；</w:t>
            </w:r>
          </w:p>
          <w:p>
            <w:pPr>
              <w:pStyle w:val="109"/>
              <w:spacing w:line="240" w:lineRule="auto"/>
              <w:ind w:firstLine="485" w:firstLineChars="196"/>
              <w:jc w:val="both"/>
              <w:rPr>
                <w:rFonts w:hint="eastAsia" w:ascii="宋体" w:hAnsi="宋体" w:eastAsia="宋体" w:cs="宋体"/>
                <w:bCs/>
                <w:sz w:val="24"/>
                <w:szCs w:val="24"/>
              </w:rPr>
            </w:pPr>
            <w:r>
              <w:rPr>
                <w:rFonts w:hint="eastAsia" w:ascii="宋体" w:hAnsi="宋体" w:eastAsia="宋体" w:cs="宋体"/>
                <w:color w:val="auto"/>
                <w:kern w:val="2"/>
                <w:sz w:val="24"/>
                <w:szCs w:val="24"/>
              </w:rPr>
              <w:t>2.评分中出现无证明资料或专家无法凭所提供资料判断是否得分的情况，一律作不得分处理。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restart"/>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业绩</w:t>
            </w:r>
          </w:p>
        </w:tc>
        <w:tc>
          <w:tcPr>
            <w:tcW w:w="441" w:type="pct"/>
            <w:vMerge w:val="restart"/>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20</w:t>
            </w:r>
          </w:p>
        </w:tc>
        <w:tc>
          <w:tcPr>
            <w:tcW w:w="752" w:type="dxa"/>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p>
        </w:tc>
        <w:tc>
          <w:tcPr>
            <w:tcW w:w="6899" w:type="dxa"/>
            <w:vAlign w:val="center"/>
          </w:tcPr>
          <w:p>
            <w:pPr>
              <w:pStyle w:val="109"/>
              <w:spacing w:line="24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检验检测能力：</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近五年机电类特种设备检验检测数量合计60万台以上的，得3分；近五年机电类特种设备检验检测数量合计40万台以上的，得2分；近五年机电类特种设备检验检测数量，合计20万台以上的，得1分；近五年机电类特种设备检验检测数量，合计10万台以下的，得0.5分。</w:t>
            </w:r>
          </w:p>
          <w:p>
            <w:pPr>
              <w:pStyle w:val="109"/>
              <w:spacing w:line="24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评分标准：</w:t>
            </w:r>
          </w:p>
          <w:p>
            <w:pPr>
              <w:pStyle w:val="109"/>
              <w:spacing w:line="240" w:lineRule="auto"/>
              <w:ind w:firstLine="496"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rPr>
              <w:t>统计周期截止时间为2022年12月31日，检验检测数量需提供相应的政府监管部门证明。。</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8</w:t>
            </w:r>
          </w:p>
        </w:tc>
        <w:tc>
          <w:tcPr>
            <w:tcW w:w="6899" w:type="dxa"/>
            <w:vAlign w:val="center"/>
          </w:tcPr>
          <w:p>
            <w:pPr>
              <w:pStyle w:val="109"/>
              <w:spacing w:line="24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业绩证明：</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1：在各地政府项目中承担电梯维护保养质量监督抽查工作的业绩证明，每出具一份得1分，最高得2分；</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2：在各地政府项目中承担电梯维保单位监督抽查工作的业绩证明，每出具一份得1分，最高得2分；</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3：在各地政府项目中承担机电类特种设备使用单位监督抽查工作的业绩证明，每出具一份得1分，最高得2分；</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4：在各地政府项目中承担电梯检验检测质量监督抽查工作的业绩证明，每出具一份得1分，最高得2分。</w:t>
            </w:r>
          </w:p>
          <w:p>
            <w:pPr>
              <w:pStyle w:val="109"/>
              <w:spacing w:line="240" w:lineRule="auto"/>
              <w:ind w:firstLine="496"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各类监督抽查工作包含但不限于特种设备政府监管部门下达的电梯安全评估、保障性检验、隐患排查等工作。</w:t>
            </w:r>
          </w:p>
          <w:p>
            <w:pPr>
              <w:pStyle w:val="109"/>
              <w:spacing w:line="240" w:lineRule="auto"/>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rPr>
              <w:t>评分标准：</w:t>
            </w:r>
          </w:p>
          <w:p>
            <w:pPr>
              <w:pStyle w:val="109"/>
              <w:spacing w:line="240" w:lineRule="auto"/>
              <w:ind w:firstLine="496"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rPr>
              <w:t>以上业绩需提供2015年至今已开始实施的采购合同（或任务书、工作文件）和相应的验收文件复印件加盖公章，原件备查。</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6</w:t>
            </w:r>
          </w:p>
        </w:tc>
        <w:tc>
          <w:tcPr>
            <w:tcW w:w="6899" w:type="dxa"/>
            <w:vAlign w:val="center"/>
          </w:tcPr>
          <w:p>
            <w:pPr>
              <w:pStyle w:val="109"/>
              <w:spacing w:line="240" w:lineRule="auto"/>
              <w:jc w:val="both"/>
              <w:rPr>
                <w:rFonts w:hint="eastAsia" w:ascii="宋体" w:hAnsi="宋体" w:eastAsia="宋体" w:cs="宋体"/>
                <w:b/>
                <w:kern w:val="2"/>
                <w:sz w:val="24"/>
                <w:szCs w:val="24"/>
              </w:rPr>
            </w:pPr>
            <w:r>
              <w:rPr>
                <w:rFonts w:hint="eastAsia" w:ascii="宋体" w:hAnsi="宋体" w:eastAsia="宋体" w:cs="宋体"/>
                <w:b/>
                <w:kern w:val="2"/>
                <w:sz w:val="24"/>
                <w:szCs w:val="24"/>
              </w:rPr>
              <w:t>服务质量评价：</w:t>
            </w:r>
          </w:p>
          <w:p>
            <w:pPr>
              <w:pStyle w:val="109"/>
              <w:spacing w:line="240" w:lineRule="auto"/>
              <w:ind w:firstLine="496" w:firstLineChars="200"/>
              <w:jc w:val="both"/>
              <w:rPr>
                <w:rFonts w:hint="eastAsia" w:ascii="宋体" w:hAnsi="宋体" w:eastAsia="宋体" w:cs="宋体"/>
                <w:b/>
                <w:color w:val="000000"/>
                <w:kern w:val="2"/>
                <w:sz w:val="24"/>
                <w:szCs w:val="24"/>
                <w:lang w:val="en-US" w:eastAsia="zh-CN" w:bidi="ar-SA"/>
              </w:rPr>
            </w:pPr>
            <w:r>
              <w:rPr>
                <w:rFonts w:hint="eastAsia" w:ascii="宋体" w:hAnsi="宋体" w:eastAsia="宋体" w:cs="宋体"/>
                <w:kern w:val="2"/>
                <w:sz w:val="24"/>
                <w:szCs w:val="24"/>
              </w:rPr>
              <w:t>获得采购单位出具的服务质量评价，每出具一份评价为优的，得1分；评价为良的，得0.5分；其他情况得0分。最高</w:t>
            </w:r>
            <w:r>
              <w:rPr>
                <w:rFonts w:hint="eastAsia" w:ascii="宋体" w:hAnsi="宋体" w:eastAsia="宋体" w:cs="宋体"/>
                <w:color w:val="auto"/>
                <w:kern w:val="2"/>
                <w:sz w:val="24"/>
                <w:szCs w:val="24"/>
              </w:rPr>
              <w:t>得6分。</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spacing w:line="240" w:lineRule="auto"/>
              <w:jc w:val="center"/>
              <w:rPr>
                <w:rFonts w:hint="eastAsia" w:ascii="宋体" w:hAnsi="宋体" w:eastAsia="宋体" w:cs="宋体"/>
                <w:color w:val="auto"/>
                <w:sz w:val="24"/>
                <w:szCs w:val="24"/>
              </w:rPr>
            </w:pPr>
          </w:p>
        </w:tc>
        <w:tc>
          <w:tcPr>
            <w:tcW w:w="441" w:type="pct"/>
            <w:vMerge w:val="continue"/>
            <w:vAlign w:val="center"/>
          </w:tcPr>
          <w:p>
            <w:pPr>
              <w:spacing w:line="240" w:lineRule="auto"/>
              <w:jc w:val="center"/>
              <w:rPr>
                <w:rFonts w:hint="eastAsia" w:ascii="宋体" w:hAnsi="宋体" w:eastAsia="宋体" w:cs="宋体"/>
                <w:color w:val="auto"/>
                <w:sz w:val="24"/>
                <w:szCs w:val="24"/>
              </w:rPr>
            </w:pPr>
          </w:p>
        </w:tc>
        <w:tc>
          <w:tcPr>
            <w:tcW w:w="752" w:type="dxa"/>
            <w:vAlign w:val="center"/>
          </w:tcPr>
          <w:p>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p>
        </w:tc>
        <w:tc>
          <w:tcPr>
            <w:tcW w:w="6899" w:type="dxa"/>
            <w:vAlign w:val="center"/>
          </w:tcPr>
          <w:p>
            <w:pPr>
              <w:pStyle w:val="109"/>
              <w:spacing w:line="240" w:lineRule="auto"/>
              <w:jc w:val="both"/>
              <w:rPr>
                <w:rFonts w:hint="eastAsia" w:ascii="宋体" w:hAnsi="宋体" w:eastAsia="宋体" w:cs="宋体"/>
                <w:b/>
                <w:kern w:val="2"/>
                <w:sz w:val="24"/>
                <w:szCs w:val="24"/>
              </w:rPr>
            </w:pPr>
            <w:r>
              <w:rPr>
                <w:rFonts w:hint="eastAsia" w:ascii="宋体" w:hAnsi="宋体" w:eastAsia="宋体" w:cs="宋体"/>
                <w:b/>
                <w:kern w:val="2"/>
                <w:sz w:val="24"/>
                <w:szCs w:val="24"/>
              </w:rPr>
              <w:t>信息平台业绩证明：</w:t>
            </w:r>
          </w:p>
          <w:p>
            <w:pPr>
              <w:pStyle w:val="109"/>
              <w:spacing w:line="240" w:lineRule="auto"/>
              <w:ind w:firstLine="496"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运用监督抽查业务系统完成抽查任务管理和报告出具，得到采购单位出具的认可证明。每份证明得1分，最高得</w:t>
            </w:r>
            <w:r>
              <w:rPr>
                <w:rFonts w:hint="eastAsia" w:ascii="宋体" w:hAnsi="宋体" w:eastAsia="宋体" w:cs="宋体"/>
                <w:color w:val="auto"/>
                <w:kern w:val="2"/>
                <w:sz w:val="24"/>
                <w:szCs w:val="24"/>
              </w:rPr>
              <w:t>3</w:t>
            </w:r>
            <w:r>
              <w:rPr>
                <w:rFonts w:hint="eastAsia" w:ascii="宋体" w:hAnsi="宋体" w:eastAsia="宋体" w:cs="宋体"/>
                <w:color w:val="auto"/>
                <w:kern w:val="0"/>
                <w:sz w:val="24"/>
                <w:szCs w:val="24"/>
              </w:rPr>
              <w:t>分</w:t>
            </w:r>
            <w:r>
              <w:rPr>
                <w:rFonts w:hint="eastAsia" w:ascii="宋体" w:hAnsi="宋体" w:eastAsia="宋体" w:cs="宋体"/>
                <w:color w:val="auto"/>
                <w:kern w:val="2"/>
                <w:sz w:val="24"/>
                <w:szCs w:val="24"/>
              </w:rPr>
              <w:t>。</w:t>
            </w:r>
          </w:p>
        </w:tc>
        <w:tc>
          <w:tcPr>
            <w:tcW w:w="682" w:type="pct"/>
          </w:tcPr>
          <w:p>
            <w:pPr>
              <w:pStyle w:val="109"/>
              <w:pBdr>
                <w:between w:val="single" w:color="auto" w:sz="4" w:space="1"/>
              </w:pBd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25" w:type="pc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4674" w:type="pct"/>
            <w:gridSpan w:val="4"/>
            <w:vAlign w:val="center"/>
          </w:tcPr>
          <w:p>
            <w:pPr>
              <w:pStyle w:val="109"/>
              <w:pBdr>
                <w:between w:val="single" w:color="auto" w:sz="4" w:space="1"/>
              </w:pBd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1、评标委员会成员必须按照本评审要素据实打分，各类数字计算均按“四舍五入”保留小数点后两位；</w:t>
            </w:r>
          </w:p>
          <w:p>
            <w:pPr>
              <w:pStyle w:val="109"/>
              <w:pBdr>
                <w:between w:val="single" w:color="auto" w:sz="4" w:space="1"/>
              </w:pBd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2、对小型和微型企业的报价给予10%的价格扣除，用扣除后的价格参与评审；未提供中小企业声明函的不享受价格折扣。</w:t>
            </w:r>
          </w:p>
          <w:p>
            <w:pPr>
              <w:spacing w:line="240" w:lineRule="auto"/>
              <w:rPr>
                <w:rFonts w:hint="eastAsia" w:ascii="宋体" w:hAnsi="宋体" w:eastAsia="宋体" w:cs="宋体"/>
                <w:sz w:val="24"/>
                <w:szCs w:val="24"/>
              </w:rPr>
            </w:pPr>
            <w:r>
              <w:rPr>
                <w:rFonts w:hint="eastAsia" w:ascii="宋体" w:hAnsi="宋体" w:eastAsia="宋体" w:cs="宋体"/>
                <w:sz w:val="24"/>
                <w:szCs w:val="24"/>
              </w:rPr>
              <w:t>3、评委打分超过得分界限或未按本表规定赋分时，该评委的打分作废，不计入汇总分。</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4、分值区段中，各项分值中下限分值均不含本数，上限分值均包含本数</w:t>
            </w:r>
            <w:r>
              <w:rPr>
                <w:rFonts w:hint="eastAsia" w:ascii="宋体" w:hAnsi="宋体" w:eastAsia="宋体" w:cs="宋体"/>
                <w:sz w:val="24"/>
                <w:szCs w:val="24"/>
                <w:lang w:eastAsia="zh-CN"/>
              </w:rPr>
              <w:t>。</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、各种计算采用插入法，数字均保留一位小数，第二位“四舍五入”。</w:t>
            </w:r>
          </w:p>
          <w:p>
            <w:pPr>
              <w:pStyle w:val="109"/>
              <w:pBdr>
                <w:between w:val="single" w:color="auto" w:sz="4" w:space="1"/>
              </w:pBd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、评标过程中，若出现特殊情况时，由评标委员会决定暂停评标，并提出具体处理意见。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25" w:type="pct"/>
            <w:vMerge w:val="restart"/>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政府采购政策</w:t>
            </w:r>
          </w:p>
        </w:tc>
        <w:tc>
          <w:tcPr>
            <w:tcW w:w="4674" w:type="pct"/>
            <w:gridSpan w:val="4"/>
            <w:vAlign w:val="center"/>
          </w:tcPr>
          <w:p>
            <w:pPr>
              <w:spacing w:line="240" w:lineRule="auto"/>
              <w:ind w:firstLine="248" w:firstLineChars="100"/>
              <w:rPr>
                <w:rFonts w:hint="eastAsia" w:ascii="宋体" w:hAnsi="宋体" w:eastAsia="宋体" w:cs="宋体"/>
                <w:b/>
                <w:bCs/>
                <w:sz w:val="24"/>
                <w:szCs w:val="24"/>
              </w:rPr>
            </w:pPr>
            <w:r>
              <w:rPr>
                <w:rFonts w:hint="eastAsia" w:ascii="宋体" w:hAnsi="宋体" w:eastAsia="宋体" w:cs="宋体"/>
                <w:b/>
                <w:bCs/>
                <w:sz w:val="24"/>
                <w:szCs w:val="24"/>
              </w:rPr>
              <w:t>对小型或微型企业参加政府采购投标的扶持：</w:t>
            </w:r>
          </w:p>
          <w:p>
            <w:pPr>
              <w:pStyle w:val="109"/>
              <w:pBdr>
                <w:between w:val="single" w:color="auto" w:sz="4" w:space="1"/>
              </w:pBdr>
              <w:spacing w:line="240" w:lineRule="auto"/>
              <w:rPr>
                <w:rFonts w:hint="eastAsia" w:ascii="宋体" w:hAnsi="宋体" w:eastAsia="宋体" w:cs="宋体"/>
                <w:color w:val="auto"/>
                <w:sz w:val="24"/>
                <w:szCs w:val="24"/>
              </w:rPr>
            </w:pPr>
            <w:r>
              <w:rPr>
                <w:rFonts w:hint="eastAsia" w:ascii="宋体" w:hAnsi="宋体" w:eastAsia="宋体" w:cs="宋体"/>
                <w:sz w:val="24"/>
                <w:szCs w:val="24"/>
              </w:rPr>
              <w:t>根据《政府采购促进中小企业发展管理办法》（财库[2020]46号）、《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674" w:type="pct"/>
            <w:gridSpan w:val="4"/>
            <w:vAlign w:val="center"/>
          </w:tcPr>
          <w:p>
            <w:pPr>
              <w:spacing w:line="240" w:lineRule="auto"/>
              <w:ind w:firstLine="496" w:firstLineChars="200"/>
              <w:rPr>
                <w:rFonts w:hint="eastAsia" w:ascii="宋体" w:hAnsi="宋体" w:eastAsia="宋体" w:cs="宋体"/>
                <w:b/>
                <w:bCs/>
                <w:sz w:val="24"/>
                <w:szCs w:val="24"/>
              </w:rPr>
            </w:pPr>
            <w:r>
              <w:rPr>
                <w:rFonts w:hint="eastAsia" w:ascii="宋体" w:hAnsi="宋体" w:eastAsia="宋体" w:cs="宋体"/>
                <w:b/>
                <w:bCs/>
                <w:sz w:val="24"/>
                <w:szCs w:val="24"/>
              </w:rPr>
              <w:t>对监狱企业、残疾人福利企业的扶持</w:t>
            </w:r>
          </w:p>
          <w:p>
            <w:pPr>
              <w:pStyle w:val="109"/>
              <w:pBdr>
                <w:between w:val="single" w:color="auto" w:sz="4" w:space="1"/>
              </w:pBdr>
              <w:spacing w:line="240" w:lineRule="auto"/>
              <w:rPr>
                <w:rFonts w:hint="eastAsia" w:ascii="宋体" w:hAnsi="宋体" w:eastAsia="宋体" w:cs="宋体"/>
                <w:sz w:val="24"/>
                <w:szCs w:val="24"/>
              </w:rPr>
            </w:pPr>
            <w:r>
              <w:rPr>
                <w:rFonts w:hint="eastAsia" w:ascii="宋体" w:hAnsi="宋体" w:eastAsia="宋体" w:cs="宋体"/>
                <w:sz w:val="24"/>
                <w:szCs w:val="24"/>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674" w:type="pct"/>
            <w:gridSpan w:val="4"/>
            <w:vAlign w:val="center"/>
          </w:tcPr>
          <w:p>
            <w:pPr>
              <w:pStyle w:val="109"/>
              <w:pBdr>
                <w:between w:val="single" w:color="auto" w:sz="4" w:space="1"/>
              </w:pBdr>
              <w:spacing w:line="240" w:lineRule="auto"/>
              <w:ind w:firstLine="496" w:firstLineChars="200"/>
              <w:rPr>
                <w:rFonts w:hint="eastAsia" w:ascii="宋体" w:hAnsi="宋体" w:eastAsia="宋体" w:cs="宋体"/>
                <w:sz w:val="24"/>
                <w:szCs w:val="24"/>
              </w:rPr>
            </w:pPr>
            <w:r>
              <w:rPr>
                <w:rFonts w:hint="eastAsia" w:ascii="宋体" w:hAnsi="宋体" w:eastAsia="宋体" w:cs="宋体"/>
                <w:b/>
                <w:bCs/>
                <w:sz w:val="24"/>
                <w:szCs w:val="24"/>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25" w:type="pct"/>
            <w:vMerge w:val="continue"/>
            <w:vAlign w:val="center"/>
          </w:tcPr>
          <w:p>
            <w:pPr>
              <w:pStyle w:val="109"/>
              <w:pBdr>
                <w:between w:val="single" w:color="auto" w:sz="4" w:space="1"/>
              </w:pBdr>
              <w:spacing w:line="240" w:lineRule="auto"/>
              <w:jc w:val="center"/>
              <w:rPr>
                <w:rFonts w:hint="eastAsia" w:ascii="宋体" w:hAnsi="宋体" w:eastAsia="宋体" w:cs="宋体"/>
                <w:color w:val="auto"/>
                <w:sz w:val="24"/>
                <w:szCs w:val="24"/>
              </w:rPr>
            </w:pPr>
          </w:p>
        </w:tc>
        <w:tc>
          <w:tcPr>
            <w:tcW w:w="4674" w:type="pct"/>
            <w:gridSpan w:val="4"/>
            <w:vAlign w:val="center"/>
          </w:tcPr>
          <w:p>
            <w:pPr>
              <w:spacing w:line="240" w:lineRule="auto"/>
              <w:ind w:firstLine="496" w:firstLineChars="200"/>
              <w:rPr>
                <w:rFonts w:hint="eastAsia" w:ascii="宋体" w:hAnsi="宋体" w:eastAsia="宋体" w:cs="宋体"/>
                <w:b/>
                <w:bCs/>
                <w:sz w:val="24"/>
                <w:szCs w:val="24"/>
              </w:rPr>
            </w:pPr>
            <w:r>
              <w:rPr>
                <w:rFonts w:hint="eastAsia" w:ascii="宋体" w:hAnsi="宋体" w:eastAsia="宋体" w:cs="宋体"/>
                <w:b/>
                <w:bCs/>
                <w:sz w:val="24"/>
                <w:szCs w:val="24"/>
              </w:rPr>
              <w:t>对节能、环保政策的支持</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24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09"/>
              <w:pBdr>
                <w:between w:val="single" w:color="auto" w:sz="4" w:space="1"/>
              </w:pBdr>
              <w:spacing w:line="240" w:lineRule="auto"/>
              <w:rPr>
                <w:rFonts w:hint="eastAsia" w:ascii="宋体" w:hAnsi="宋体" w:eastAsia="宋体" w:cs="宋体"/>
                <w:b/>
                <w:bCs/>
                <w:sz w:val="24"/>
                <w:szCs w:val="24"/>
              </w:rPr>
            </w:pPr>
            <w:r>
              <w:rPr>
                <w:rFonts w:hint="eastAsia" w:ascii="宋体" w:hAnsi="宋体" w:eastAsia="宋体" w:cs="宋体"/>
                <w:sz w:val="24"/>
                <w:szCs w:val="24"/>
              </w:rPr>
              <w:t>3、产品同时属于“非强制采购节能产品”、环境标志产品的，评审时只有其中一项能享受优先待遇（供应商自行选择，并在报价文件中填写相关信息及数据）。</w:t>
            </w:r>
          </w:p>
        </w:tc>
      </w:tr>
    </w:tbl>
    <w:p>
      <w:pPr>
        <w:pStyle w:val="100"/>
        <w:outlineLvl w:val="9"/>
        <w:rPr>
          <w:rFonts w:ascii="宋体" w:hAnsi="宋体" w:eastAsia="宋体" w:cs="宋体"/>
          <w:sz w:val="28"/>
          <w:szCs w:val="28"/>
        </w:rPr>
      </w:pPr>
      <w:bookmarkStart w:id="149" w:name="_Toc16015"/>
      <w:bookmarkStart w:id="150" w:name="_Toc3521"/>
      <w:r>
        <w:rPr>
          <w:rFonts w:hint="eastAsia" w:ascii="宋体" w:hAnsi="宋体" w:eastAsia="宋体" w:cs="宋体"/>
          <w:sz w:val="28"/>
          <w:szCs w:val="28"/>
        </w:rPr>
        <w:t>4．推荐中标候选人</w:t>
      </w:r>
      <w:bookmarkEnd w:id="148"/>
      <w:bookmarkEnd w:id="149"/>
      <w:bookmarkEnd w:id="15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0"/>
        <w:outlineLvl w:val="9"/>
        <w:rPr>
          <w:rFonts w:ascii="宋体" w:hAnsi="宋体" w:eastAsia="宋体" w:cs="宋体"/>
          <w:sz w:val="28"/>
          <w:szCs w:val="28"/>
        </w:rPr>
      </w:pPr>
      <w:bookmarkStart w:id="151" w:name="_Toc8436"/>
      <w:bookmarkStart w:id="152" w:name="_Toc10501"/>
      <w:bookmarkStart w:id="153" w:name="_Toc9776"/>
      <w:r>
        <w:rPr>
          <w:rFonts w:hint="eastAsia" w:ascii="宋体" w:hAnsi="宋体" w:eastAsia="宋体" w:cs="宋体"/>
          <w:sz w:val="28"/>
          <w:szCs w:val="28"/>
        </w:rPr>
        <w:t>5．编写评审报告</w:t>
      </w:r>
      <w:bookmarkEnd w:id="151"/>
      <w:bookmarkEnd w:id="152"/>
      <w:bookmarkEnd w:id="15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1"/>
        <w:spacing w:before="197" w:after="197"/>
        <w:ind w:firstLine="579"/>
        <w:outlineLvl w:val="3"/>
        <w:rPr>
          <w:rFonts w:ascii="宋体" w:hAnsi="宋体" w:eastAsia="宋体" w:cs="宋体"/>
          <w:sz w:val="28"/>
          <w:szCs w:val="28"/>
        </w:rPr>
      </w:pPr>
      <w:bookmarkStart w:id="154" w:name="_Toc26208"/>
      <w:bookmarkStart w:id="155" w:name="_Toc17734"/>
      <w:bookmarkStart w:id="156" w:name="_Toc14951"/>
      <w:r>
        <w:rPr>
          <w:rFonts w:hint="eastAsia" w:ascii="宋体" w:hAnsi="宋体" w:eastAsia="宋体" w:cs="宋体"/>
          <w:sz w:val="28"/>
          <w:szCs w:val="28"/>
        </w:rPr>
        <w:t>（三）评标争议处理规则</w:t>
      </w:r>
      <w:bookmarkEnd w:id="154"/>
      <w:bookmarkEnd w:id="155"/>
      <w:bookmarkEnd w:id="15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1"/>
        <w:spacing w:before="197" w:after="197"/>
        <w:ind w:firstLine="579"/>
        <w:outlineLvl w:val="3"/>
        <w:rPr>
          <w:rFonts w:ascii="宋体" w:hAnsi="宋体" w:eastAsia="宋体" w:cs="宋体"/>
          <w:sz w:val="28"/>
          <w:szCs w:val="28"/>
        </w:rPr>
      </w:pPr>
      <w:bookmarkStart w:id="157" w:name="_Toc27541"/>
      <w:bookmarkStart w:id="158" w:name="_Toc2631"/>
      <w:bookmarkStart w:id="159" w:name="_Toc14406"/>
      <w:r>
        <w:rPr>
          <w:rFonts w:hint="eastAsia" w:ascii="宋体" w:hAnsi="宋体" w:eastAsia="宋体" w:cs="宋体"/>
          <w:sz w:val="28"/>
          <w:szCs w:val="28"/>
        </w:rPr>
        <w:t>（四）评审现场人员的保密责任</w:t>
      </w:r>
      <w:bookmarkEnd w:id="157"/>
      <w:bookmarkEnd w:id="158"/>
      <w:bookmarkEnd w:id="15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1"/>
        <w:spacing w:before="197" w:after="197"/>
        <w:ind w:firstLine="579"/>
        <w:outlineLvl w:val="3"/>
        <w:rPr>
          <w:rFonts w:ascii="宋体" w:hAnsi="宋体" w:eastAsia="宋体" w:cs="宋体"/>
          <w:sz w:val="28"/>
          <w:szCs w:val="28"/>
        </w:rPr>
      </w:pPr>
      <w:bookmarkStart w:id="160" w:name="_Toc10213"/>
      <w:bookmarkStart w:id="161" w:name="_Toc22694"/>
      <w:bookmarkStart w:id="162" w:name="_Toc15209"/>
      <w:r>
        <w:rPr>
          <w:rFonts w:hint="eastAsia" w:ascii="宋体" w:hAnsi="宋体" w:eastAsia="宋体" w:cs="宋体"/>
          <w:sz w:val="28"/>
          <w:szCs w:val="28"/>
        </w:rPr>
        <w:t>（五）视同供应商串通投标的情形，其投标无效：</w:t>
      </w:r>
      <w:bookmarkEnd w:id="160"/>
      <w:bookmarkEnd w:id="161"/>
      <w:bookmarkEnd w:id="16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163" w:name="_Toc19973"/>
      <w:r>
        <w:rPr>
          <w:rFonts w:hint="eastAsia" w:ascii="宋体" w:hAnsi="宋体" w:eastAsia="宋体" w:cs="宋体"/>
          <w:sz w:val="28"/>
          <w:szCs w:val="28"/>
        </w:rPr>
        <w:t>八、中标</w:t>
      </w:r>
      <w:bookmarkEnd w:id="16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0"/>
          <w:rFonts w:hint="eastAsia" w:ascii="宋体" w:hAnsi="宋体" w:eastAsia="宋体" w:cs="宋体"/>
          <w:color w:val="auto"/>
          <w:sz w:val="28"/>
          <w:szCs w:val="28"/>
          <w:u w:val="none"/>
        </w:rPr>
        <w:t>陕西省政府采购网</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0"/>
          <w:rFonts w:hint="eastAsia" w:ascii="宋体" w:hAnsi="宋体" w:eastAsia="宋体" w:cs="宋体"/>
          <w:color w:val="auto"/>
          <w:sz w:val="28"/>
          <w:szCs w:val="28"/>
          <w:u w:val="none"/>
        </w:rPr>
        <w:t>http://www.ccgp-shaanxi.gov.cn/</w:t>
      </w:r>
      <w:r>
        <w:rPr>
          <w:rStyle w:val="40"/>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164" w:name="_Toc19289"/>
      <w:r>
        <w:rPr>
          <w:rFonts w:hint="eastAsia" w:ascii="宋体" w:hAnsi="宋体" w:eastAsia="宋体" w:cs="宋体"/>
          <w:sz w:val="28"/>
          <w:szCs w:val="28"/>
        </w:rPr>
        <w:t>九、合同签订、履行及验收</w:t>
      </w:r>
      <w:bookmarkEnd w:id="16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1"/>
        <w:spacing w:before="197" w:after="197"/>
        <w:ind w:firstLine="579"/>
        <w:outlineLvl w:val="3"/>
        <w:rPr>
          <w:rFonts w:ascii="宋体" w:hAnsi="宋体" w:eastAsia="宋体" w:cs="宋体"/>
          <w:sz w:val="28"/>
          <w:szCs w:val="28"/>
        </w:rPr>
      </w:pPr>
      <w:bookmarkStart w:id="165" w:name="_Toc16790"/>
      <w:bookmarkStart w:id="166" w:name="_Toc444"/>
      <w:bookmarkStart w:id="167" w:name="_Toc15766"/>
      <w:r>
        <w:rPr>
          <w:rFonts w:hint="eastAsia" w:ascii="宋体" w:hAnsi="宋体" w:eastAsia="宋体" w:cs="宋体"/>
          <w:sz w:val="28"/>
          <w:szCs w:val="28"/>
        </w:rPr>
        <w:t>（一）签订政府采购合同</w:t>
      </w:r>
      <w:bookmarkEnd w:id="165"/>
      <w:bookmarkEnd w:id="166"/>
      <w:bookmarkEnd w:id="16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1"/>
        <w:spacing w:before="197" w:after="197"/>
        <w:ind w:firstLine="579"/>
        <w:outlineLvl w:val="3"/>
        <w:rPr>
          <w:rFonts w:ascii="宋体" w:hAnsi="宋体" w:eastAsia="宋体" w:cs="宋体"/>
          <w:sz w:val="28"/>
          <w:szCs w:val="28"/>
        </w:rPr>
      </w:pPr>
      <w:bookmarkStart w:id="168" w:name="_Toc26383"/>
      <w:bookmarkStart w:id="169" w:name="_Toc11043"/>
      <w:bookmarkStart w:id="170" w:name="_Toc13157"/>
      <w:r>
        <w:rPr>
          <w:rFonts w:hint="eastAsia" w:ascii="宋体" w:hAnsi="宋体" w:eastAsia="宋体" w:cs="宋体"/>
          <w:sz w:val="28"/>
          <w:szCs w:val="28"/>
        </w:rPr>
        <w:t>（二）合同公告及备案</w:t>
      </w:r>
      <w:bookmarkEnd w:id="168"/>
      <w:bookmarkEnd w:id="169"/>
      <w:bookmarkEnd w:id="17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1"/>
        <w:spacing w:before="197" w:after="197"/>
        <w:ind w:firstLine="579"/>
        <w:outlineLvl w:val="3"/>
        <w:rPr>
          <w:rFonts w:ascii="宋体" w:hAnsi="宋体" w:eastAsia="宋体" w:cs="宋体"/>
          <w:sz w:val="28"/>
          <w:szCs w:val="28"/>
        </w:rPr>
      </w:pPr>
      <w:bookmarkStart w:id="171" w:name="_Toc5592"/>
      <w:bookmarkStart w:id="172" w:name="_Toc1245"/>
      <w:bookmarkStart w:id="173" w:name="_Toc25755"/>
      <w:r>
        <w:rPr>
          <w:rFonts w:hint="eastAsia" w:ascii="宋体" w:hAnsi="宋体" w:eastAsia="宋体" w:cs="宋体"/>
          <w:sz w:val="28"/>
          <w:szCs w:val="28"/>
        </w:rPr>
        <w:t>（三）履行合同</w:t>
      </w:r>
      <w:bookmarkEnd w:id="171"/>
      <w:bookmarkEnd w:id="172"/>
      <w:bookmarkEnd w:id="17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1"/>
        <w:spacing w:before="197" w:after="197"/>
        <w:ind w:firstLine="579"/>
        <w:outlineLvl w:val="3"/>
        <w:rPr>
          <w:rFonts w:ascii="宋体" w:hAnsi="宋体" w:eastAsia="宋体" w:cs="宋体"/>
          <w:sz w:val="28"/>
          <w:szCs w:val="28"/>
        </w:rPr>
      </w:pPr>
      <w:bookmarkStart w:id="174" w:name="_Toc765"/>
      <w:bookmarkStart w:id="175" w:name="_Toc602"/>
      <w:bookmarkStart w:id="176" w:name="_Toc1104"/>
      <w:r>
        <w:rPr>
          <w:rFonts w:hint="eastAsia" w:ascii="宋体" w:hAnsi="宋体" w:eastAsia="宋体" w:cs="宋体"/>
          <w:sz w:val="28"/>
          <w:szCs w:val="28"/>
        </w:rPr>
        <w:t>（四）验收或考核</w:t>
      </w:r>
      <w:bookmarkEnd w:id="174"/>
      <w:bookmarkEnd w:id="175"/>
      <w:bookmarkEnd w:id="17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5"/>
        <w:rPr>
          <w:rFonts w:ascii="宋体" w:hAnsi="宋体" w:eastAsia="宋体" w:cs="宋体"/>
          <w:sz w:val="28"/>
          <w:szCs w:val="28"/>
        </w:rPr>
      </w:pPr>
      <w:bookmarkStart w:id="177" w:name="_Toc15204"/>
      <w:r>
        <w:rPr>
          <w:rFonts w:hint="eastAsia" w:ascii="宋体" w:hAnsi="宋体" w:eastAsia="宋体" w:cs="宋体"/>
          <w:sz w:val="28"/>
          <w:szCs w:val="28"/>
        </w:rPr>
        <w:t>十、废标及重新招标</w:t>
      </w:r>
      <w:bookmarkEnd w:id="17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ascii="宋体" w:hAnsi="宋体" w:eastAsia="宋体" w:cs="宋体"/>
          <w:sz w:val="32"/>
          <w:szCs w:val="32"/>
        </w:rPr>
      </w:pPr>
      <w:bookmarkStart w:id="178" w:name="_Toc100219614"/>
      <w:r>
        <w:rPr>
          <w:rFonts w:hint="eastAsia" w:ascii="宋体" w:hAnsi="宋体" w:eastAsia="宋体" w:cs="宋体"/>
          <w:sz w:val="32"/>
          <w:szCs w:val="32"/>
        </w:rPr>
        <w:br w:type="page"/>
      </w:r>
    </w:p>
    <w:p>
      <w:pPr>
        <w:rPr>
          <w:rFonts w:ascii="宋体" w:hAnsi="宋体" w:eastAsia="宋体" w:cs="宋体"/>
        </w:rPr>
      </w:pPr>
    </w:p>
    <w:p>
      <w:pPr>
        <w:pStyle w:val="3"/>
        <w:rPr>
          <w:rFonts w:ascii="宋体" w:hAnsi="宋体" w:eastAsia="宋体" w:cs="宋体"/>
        </w:rPr>
      </w:pPr>
      <w:bookmarkStart w:id="179" w:name="_Toc15304"/>
      <w:r>
        <w:rPr>
          <w:rFonts w:hint="eastAsia" w:ascii="宋体" w:hAnsi="宋体" w:eastAsia="宋体" w:cs="宋体"/>
        </w:rPr>
        <w:t>第三章  招标内容及要求</w:t>
      </w:r>
      <w:bookmarkEnd w:id="178"/>
      <w:bookmarkEnd w:id="179"/>
    </w:p>
    <w:p>
      <w:pPr>
        <w:widowControl w:val="0"/>
        <w:spacing w:line="360" w:lineRule="auto"/>
        <w:jc w:val="both"/>
        <w:outlineLvl w:val="2"/>
        <w:rPr>
          <w:rFonts w:ascii="宋体" w:hAnsi="宋体" w:eastAsia="宋体" w:cs="宋体"/>
          <w:kern w:val="2"/>
        </w:rPr>
      </w:pPr>
      <w:bookmarkStart w:id="180" w:name="_Toc14339"/>
      <w:r>
        <w:rPr>
          <w:rFonts w:ascii="宋体" w:hAnsi="宋体" w:eastAsia="宋体" w:cs="宋体"/>
          <w:b/>
          <w:bCs/>
          <w:kern w:val="2"/>
        </w:rPr>
        <w:t>一、商务条款</w:t>
      </w:r>
      <w:bookmarkEnd w:id="180"/>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（一）服务期限</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b/>
          <w:bCs/>
          <w:kern w:val="2"/>
        </w:rPr>
        <w:t>自合同签订后5个工作日内开始实施监督抽查工作，并于2023年10月30日完成现场抽查任务。</w:t>
      </w:r>
      <w:r>
        <w:rPr>
          <w:rFonts w:hint="eastAsia" w:ascii="宋体" w:hAnsi="宋体" w:eastAsia="宋体" w:cs="宋体"/>
          <w:kern w:val="2"/>
        </w:rPr>
        <w:t>完成现场监督抽查任务后15个工作日内，向采购人提交西安市市场监督管理局2023年机电类特种设备安全质量监督抽查分析报告和总结报告。</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（二）服务终止</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在有效服务期内，如供中标供应商在人员配置、作业管理、质量控制、科学高效、便捷服务等各方面不能满足采购文件的相关要求或没有实现投标文件中的相关承诺，采购人有权单方面解除合同，并保留追究违约责任。同时将违约情况上报财政部门列入政府采购失信名单。</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（三）完成服务成果</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1.中标供应商于2023年10月30 日前，完成电梯维保质量监督抽查不少于5800台、电梯检验检测质量监督抽查不少于800台、机电类特种设备使用单位监督抽查不少于500家、电梯维保单位监督抽查不少于40家。</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2.中标供应商于2023年11月15日前，向采购人提交西安市市场监督管理局2023年机电类特种设备安全质量监督抽查汇总表、分析报告、总结报告；同时提交不少于5800份电梯维保量监督抽查报告、不少于800份电梯检验质量监督抽查报告、不少于500份机电类特种设备使用单位监督抽查报告、不少于40份电梯维保单位监督抽查报告的电子版材料。提交报告及电子版材料符合采购人要求后视为合同履约完成。</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3.承办2023年机电类特种设备安全质量监督抽查工作动员部署会议、阶段小结、监督抽查完成后的总结会议以及项目验收会。根据采购人需求，组织开展相关宣传工作。</w:t>
      </w:r>
    </w:p>
    <w:p>
      <w:pPr>
        <w:widowControl w:val="0"/>
        <w:spacing w:line="360" w:lineRule="auto"/>
        <w:ind w:firstLine="496" w:firstLineChars="200"/>
        <w:jc w:val="both"/>
        <w:rPr>
          <w:rFonts w:ascii="宋体" w:hAnsi="宋体" w:eastAsia="宋体" w:cs="宋体"/>
          <w:kern w:val="2"/>
        </w:rPr>
      </w:pPr>
      <w:r>
        <w:rPr>
          <w:rFonts w:hint="eastAsia" w:ascii="宋体" w:hAnsi="宋体" w:eastAsia="宋体" w:cs="宋体"/>
          <w:kern w:val="2"/>
        </w:rPr>
        <w:t>4.本项目设定质量保证期，</w:t>
      </w:r>
      <w:r>
        <w:rPr>
          <w:rFonts w:hint="eastAsia" w:ascii="宋体" w:hAnsi="宋体" w:eastAsia="宋体" w:cs="宋体"/>
          <w:b/>
          <w:bCs/>
          <w:kern w:val="2"/>
        </w:rPr>
        <w:t>质保期为项目验收完成后5 个月</w:t>
      </w:r>
      <w:r>
        <w:rPr>
          <w:rFonts w:hint="eastAsia" w:ascii="宋体" w:hAnsi="宋体" w:eastAsia="宋体" w:cs="宋体"/>
          <w:kern w:val="2"/>
        </w:rPr>
        <w:t>，主要内容为项目现场复核、报告复核、技术咨询回应等。</w:t>
      </w:r>
    </w:p>
    <w:p>
      <w:pPr>
        <w:widowControl w:val="0"/>
        <w:spacing w:line="360" w:lineRule="auto"/>
        <w:ind w:firstLine="496" w:firstLineChars="200"/>
        <w:jc w:val="both"/>
        <w:rPr>
          <w:rFonts w:ascii="宋体" w:hAnsi="宋体" w:eastAsia="宋体" w:cs="宋体"/>
          <w:kern w:val="2"/>
          <w:highlight w:val="none"/>
        </w:rPr>
      </w:pPr>
      <w:r>
        <w:rPr>
          <w:rFonts w:ascii="宋体" w:hAnsi="宋体" w:eastAsia="宋体" w:cs="宋体"/>
          <w:kern w:val="2"/>
          <w:highlight w:val="none"/>
        </w:rPr>
        <w:t>（四）</w:t>
      </w:r>
      <w:r>
        <w:rPr>
          <w:rFonts w:hint="eastAsia" w:ascii="宋体" w:hAnsi="宋体" w:eastAsia="宋体" w:cs="宋体"/>
          <w:kern w:val="2"/>
          <w:highlight w:val="none"/>
        </w:rPr>
        <w:t>付款方式</w:t>
      </w:r>
    </w:p>
    <w:p>
      <w:pPr>
        <w:widowControl w:val="0"/>
        <w:spacing w:line="360" w:lineRule="auto"/>
        <w:ind w:firstLine="496" w:firstLineChars="200"/>
        <w:jc w:val="both"/>
        <w:rPr>
          <w:rFonts w:ascii="宋体" w:hAnsi="宋体" w:eastAsia="宋体" w:cs="宋体"/>
          <w:kern w:val="2"/>
          <w:highlight w:val="none"/>
        </w:rPr>
      </w:pPr>
      <w:r>
        <w:rPr>
          <w:rFonts w:hint="eastAsia" w:ascii="宋体" w:hAnsi="宋体" w:eastAsia="宋体" w:cs="宋体"/>
          <w:kern w:val="2"/>
          <w:highlight w:val="none"/>
        </w:rPr>
        <w:t>1.</w:t>
      </w:r>
      <w:r>
        <w:rPr>
          <w:rFonts w:ascii="宋体" w:hAnsi="宋体" w:eastAsia="宋体" w:cs="宋体"/>
          <w:kern w:val="2"/>
          <w:highlight w:val="none"/>
        </w:rPr>
        <w:t>款项支付：银行转账，分期付款。</w:t>
      </w:r>
    </w:p>
    <w:p>
      <w:pPr>
        <w:widowControl w:val="0"/>
        <w:spacing w:line="360" w:lineRule="auto"/>
        <w:ind w:firstLine="496" w:firstLineChars="200"/>
        <w:jc w:val="both"/>
        <w:rPr>
          <w:rFonts w:ascii="宋体" w:hAnsi="宋体" w:eastAsia="宋体" w:cs="宋体"/>
          <w:kern w:val="2"/>
          <w:highlight w:val="yellow"/>
        </w:rPr>
      </w:pPr>
      <w:r>
        <w:rPr>
          <w:rFonts w:hint="eastAsia" w:ascii="宋体" w:hAnsi="宋体" w:eastAsia="宋体" w:cs="宋体"/>
          <w:kern w:val="2"/>
          <w:highlight w:val="none"/>
        </w:rPr>
        <w:t>2.</w:t>
      </w:r>
      <w:r>
        <w:rPr>
          <w:rFonts w:ascii="宋体" w:hAnsi="宋体" w:eastAsia="宋体" w:cs="宋体"/>
          <w:kern w:val="2"/>
          <w:highlight w:val="none"/>
        </w:rPr>
        <w:t>付款条件：</w:t>
      </w:r>
      <w:r>
        <w:rPr>
          <w:rFonts w:hint="eastAsia" w:ascii="宋体" w:hAnsi="宋体" w:eastAsia="宋体" w:cs="宋体"/>
          <w:kern w:val="2"/>
          <w:highlight w:val="none"/>
        </w:rPr>
        <w:t>签订合同后支付合同总价款的</w:t>
      </w:r>
      <w:r>
        <w:rPr>
          <w:rFonts w:hint="eastAsia" w:ascii="宋体" w:hAnsi="宋体" w:eastAsia="宋体" w:cs="宋体"/>
          <w:kern w:val="2"/>
          <w:highlight w:val="none"/>
          <w:lang w:val="en-US" w:eastAsia="zh-CN"/>
        </w:rPr>
        <w:t>8</w:t>
      </w:r>
      <w:r>
        <w:rPr>
          <w:rFonts w:hint="eastAsia" w:ascii="宋体" w:hAnsi="宋体" w:eastAsia="宋体" w:cs="宋体"/>
          <w:kern w:val="2"/>
          <w:highlight w:val="none"/>
        </w:rPr>
        <w:t>0%，项目完成并经验收合格后支付剩余合同价款。</w:t>
      </w:r>
    </w:p>
    <w:p>
      <w:pPr>
        <w:rPr>
          <w:rFonts w:ascii="宋体" w:hAnsi="宋体" w:eastAsia="宋体" w:cs="宋体"/>
          <w:b/>
          <w:bCs/>
          <w:kern w:val="2"/>
        </w:rPr>
      </w:pPr>
      <w:r>
        <w:rPr>
          <w:rFonts w:hint="eastAsia" w:ascii="宋体" w:hAnsi="宋体" w:eastAsia="宋体" w:cs="宋体"/>
          <w:b/>
          <w:bCs/>
          <w:kern w:val="2"/>
        </w:rPr>
        <w:br w:type="page"/>
      </w:r>
    </w:p>
    <w:p>
      <w:pPr>
        <w:widowControl w:val="0"/>
        <w:spacing w:line="360" w:lineRule="auto"/>
        <w:jc w:val="both"/>
        <w:outlineLvl w:val="2"/>
        <w:rPr>
          <w:rFonts w:ascii="宋体" w:hAnsi="宋体" w:eastAsia="宋体" w:cs="宋体"/>
          <w:b/>
          <w:bCs/>
          <w:kern w:val="2"/>
        </w:rPr>
      </w:pPr>
      <w:bookmarkStart w:id="181" w:name="_Toc7313"/>
      <w:r>
        <w:rPr>
          <w:rFonts w:hint="eastAsia" w:ascii="宋体" w:hAnsi="宋体" w:eastAsia="宋体" w:cs="宋体"/>
          <w:b/>
          <w:bCs/>
          <w:kern w:val="2"/>
        </w:rPr>
        <w:t>二、项目概况</w:t>
      </w:r>
      <w:bookmarkEnd w:id="181"/>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为规范我市机电类特种设备使用管理、维护保养和检验检测行为，强化特种设备安全责任落实，预防和减少特种设备事故发生，根据《中华人民共和国特种设备安全法》等法律法规规章和市局2023年重点工作安排，结合机电类特种设备安全工作实际，坚持以问题为导向，按照随机抽查、突出重点的原则，对全市机电类特种设备安全质量进行监督抽查，查找和解决机电类特种设备使用管理、维护保养、检验检测环节中存在的问题和风险，整治安全隐患，查处违法行为，规范安全管理秩序，进一步夯实安全主体责任，提升机电类特种设备质量安全水平，促进安全形势平稳向好发展。</w:t>
      </w:r>
    </w:p>
    <w:p>
      <w:pPr>
        <w:spacing w:line="360" w:lineRule="auto"/>
        <w:outlineLvl w:val="2"/>
        <w:rPr>
          <w:rFonts w:ascii="宋体" w:hAnsi="宋体" w:eastAsia="宋体" w:cs="宋体"/>
        </w:rPr>
      </w:pPr>
      <w:bookmarkStart w:id="182" w:name="_Toc11993"/>
      <w:bookmarkStart w:id="183" w:name="_Toc100219615"/>
      <w:r>
        <w:rPr>
          <w:rFonts w:hint="eastAsia" w:ascii="宋体" w:hAnsi="宋体" w:eastAsia="宋体" w:cs="宋体"/>
          <w:b/>
          <w:bCs/>
        </w:rPr>
        <w:t>三、项目内容及数量</w:t>
      </w:r>
      <w:bookmarkEnd w:id="182"/>
    </w:p>
    <w:p>
      <w:pPr>
        <w:spacing w:line="360" w:lineRule="auto"/>
        <w:ind w:firstLine="496" w:firstLineChars="200"/>
        <w:rPr>
          <w:rFonts w:ascii="宋体" w:hAnsi="宋体" w:eastAsia="宋体" w:cs="宋体"/>
        </w:rPr>
      </w:pPr>
      <w:r>
        <w:rPr>
          <w:rFonts w:hint="eastAsia" w:ascii="宋体" w:hAnsi="宋体" w:eastAsia="宋体" w:cs="宋体"/>
          <w:b/>
          <w:bCs/>
        </w:rPr>
        <w:t>（一）电梯维保质量质量监督抽查。</w:t>
      </w:r>
      <w:r>
        <w:rPr>
          <w:rFonts w:hint="eastAsia" w:ascii="宋体" w:hAnsi="宋体" w:eastAsia="宋体" w:cs="宋体"/>
        </w:rPr>
        <w:t>随机抽取西安市辖区内在用电梯5800台。依据相关法律法规规章和安全技术规范，通过对电梯关键部位、主要部件、安全保护装置等电梯安全性能指标和电梯安全技术资料进行检查、确认、验证，核查电梯安全状况和电梯安全管理情况，监督电梯维保项目和电梯维保质量落实。</w:t>
      </w:r>
    </w:p>
    <w:p>
      <w:pPr>
        <w:autoSpaceDE w:val="0"/>
        <w:autoSpaceDN w:val="0"/>
        <w:adjustRightInd w:val="0"/>
        <w:spacing w:line="360" w:lineRule="auto"/>
        <w:ind w:firstLine="496" w:firstLineChars="200"/>
        <w:rPr>
          <w:rFonts w:ascii="宋体" w:hAnsi="宋体" w:eastAsia="宋体" w:cs="宋体"/>
        </w:rPr>
      </w:pPr>
      <w:r>
        <w:rPr>
          <w:rFonts w:hint="eastAsia" w:ascii="宋体" w:hAnsi="宋体" w:eastAsia="宋体" w:cs="宋体"/>
          <w:b/>
          <w:bCs/>
        </w:rPr>
        <w:t>（二）电梯检验检测质量监督抽查。</w:t>
      </w:r>
      <w:r>
        <w:rPr>
          <w:rFonts w:hint="eastAsia" w:ascii="宋体" w:hAnsi="宋体" w:eastAsia="宋体" w:cs="宋体"/>
        </w:rPr>
        <w:t>随机抽取西安市辖区内电梯检验检测机构检验、检测完成的电梯800台。依据相关法律法规规章和安全技术规范，对电梯检验、检测项目落实情况进行核查确认，对电梯检验、检测质量进行监督验证。</w:t>
      </w:r>
    </w:p>
    <w:p>
      <w:pPr>
        <w:spacing w:line="360" w:lineRule="auto"/>
        <w:ind w:firstLine="496" w:firstLineChars="200"/>
        <w:rPr>
          <w:rFonts w:ascii="宋体" w:hAnsi="宋体" w:eastAsia="宋体" w:cs="宋体"/>
        </w:rPr>
      </w:pPr>
      <w:r>
        <w:rPr>
          <w:rFonts w:hint="eastAsia" w:ascii="宋体" w:hAnsi="宋体" w:eastAsia="宋体" w:cs="宋体"/>
          <w:b/>
          <w:bCs/>
        </w:rPr>
        <w:t>（三）机电类特种设备使用单位监督抽查。</w:t>
      </w:r>
      <w:r>
        <w:rPr>
          <w:rFonts w:hint="eastAsia" w:ascii="宋体" w:hAnsi="宋体" w:eastAsia="宋体" w:cs="宋体"/>
        </w:rPr>
        <w:t>随机抽取西安市辖区内机电类特种设备使用单位500家，依据相关法律法规规章和安全技术规范，对其在用特种设备安全情况及安全管理机构设置、安全管理制度、安全技术档案建立落实等情况进行检查，对使用单位安全主体责任落实情况进行监督验证。</w:t>
      </w:r>
    </w:p>
    <w:p>
      <w:pPr>
        <w:spacing w:line="360" w:lineRule="auto"/>
        <w:ind w:firstLine="496" w:firstLineChars="200"/>
        <w:rPr>
          <w:rFonts w:ascii="仿宋_GB2312" w:eastAsia="仿宋_GB2312"/>
        </w:rPr>
      </w:pPr>
      <w:r>
        <w:rPr>
          <w:rFonts w:hint="eastAsia" w:ascii="宋体" w:hAnsi="宋体" w:eastAsia="宋体" w:cs="宋体"/>
          <w:b/>
          <w:bCs/>
        </w:rPr>
        <w:t>（四）电梯维保单位监督抽查。</w:t>
      </w:r>
      <w:r>
        <w:rPr>
          <w:rFonts w:hint="eastAsia" w:ascii="宋体" w:hAnsi="宋体" w:eastAsia="宋体" w:cs="宋体"/>
        </w:rPr>
        <w:t>随机抽取在西安市辖区内从事电梯维护保养业务的电梯维保单位40家，依据相关法律法规规章和安全技术规范，对其行政许可、人员管理以及许可资源条件保持情况进行检查，对电梯维保单位维保质量体系运行情况进行监督验证。</w:t>
      </w:r>
    </w:p>
    <w:p>
      <w:pPr>
        <w:spacing w:line="360" w:lineRule="auto"/>
        <w:outlineLvl w:val="2"/>
        <w:rPr>
          <w:rFonts w:ascii="宋体" w:hAnsi="宋体" w:eastAsia="宋体" w:cs="宋体"/>
        </w:rPr>
      </w:pPr>
      <w:bookmarkStart w:id="184" w:name="_Toc5400"/>
      <w:r>
        <w:rPr>
          <w:rFonts w:hint="eastAsia" w:ascii="宋体" w:hAnsi="宋体" w:eastAsia="宋体" w:cs="宋体"/>
          <w:b/>
          <w:bCs/>
        </w:rPr>
        <w:t>四、项目实施要求</w:t>
      </w:r>
      <w:bookmarkEnd w:id="184"/>
    </w:p>
    <w:p>
      <w:pPr>
        <w:autoSpaceDE w:val="0"/>
        <w:autoSpaceDN w:val="0"/>
        <w:adjustRightInd w:val="0"/>
        <w:spacing w:line="360" w:lineRule="auto"/>
        <w:ind w:firstLine="496" w:firstLineChars="200"/>
        <w:rPr>
          <w:rFonts w:ascii="宋体" w:hAnsi="宋体" w:eastAsia="宋体" w:cs="宋体"/>
        </w:rPr>
      </w:pPr>
      <w:r>
        <w:rPr>
          <w:rFonts w:hint="eastAsia" w:ascii="宋体" w:hAnsi="宋体" w:eastAsia="宋体" w:cs="宋体"/>
          <w:b/>
          <w:bCs/>
        </w:rPr>
        <w:t>（一）出具报告相关规定</w:t>
      </w:r>
    </w:p>
    <w:p>
      <w:pPr>
        <w:spacing w:line="360" w:lineRule="auto"/>
        <w:ind w:firstLine="496" w:firstLineChars="200"/>
        <w:rPr>
          <w:rFonts w:ascii="宋体" w:hAnsi="宋体" w:eastAsia="宋体" w:cs="宋体"/>
        </w:rPr>
      </w:pPr>
      <w:r>
        <w:rPr>
          <w:rFonts w:hint="eastAsia" w:ascii="宋体" w:hAnsi="宋体" w:eastAsia="宋体" w:cs="宋体"/>
        </w:rPr>
        <w:t>1.按照《西安市市场监督管理局2023年机电类特种设备安全质量监督抽查实施方案》和采购单位要求，对抽查单位和设备，逐台设备、逐个单位实施监督抽查并逐份出具监督抽查报告。</w:t>
      </w:r>
    </w:p>
    <w:p>
      <w:pPr>
        <w:spacing w:line="360" w:lineRule="auto"/>
        <w:ind w:firstLine="496" w:firstLineChars="200"/>
        <w:rPr>
          <w:rFonts w:ascii="宋体" w:hAnsi="宋体" w:eastAsia="宋体" w:cs="宋体"/>
        </w:rPr>
      </w:pPr>
      <w:r>
        <w:rPr>
          <w:rFonts w:hint="eastAsia" w:ascii="宋体" w:hAnsi="宋体" w:eastAsia="宋体" w:cs="宋体"/>
        </w:rPr>
        <w:t>2.监督抽查过程中发现不符合项的，监督抽查机构现场向被抽查单位出具《监督抽查不符合项目通知书》，并经被抽查单位现场负责人签字确认；发现严重隐患（重大问题）的，出具《严重隐患（重大问题）报告单》，并经被抽查单位现场负责人签字确认，同时报区县市场监管局、开发区分局。</w:t>
      </w:r>
    </w:p>
    <w:p>
      <w:pPr>
        <w:spacing w:line="360" w:lineRule="auto"/>
        <w:ind w:firstLine="496" w:firstLineChars="200"/>
        <w:rPr>
          <w:rFonts w:ascii="宋体" w:hAnsi="宋体" w:eastAsia="宋体" w:cs="宋体"/>
        </w:rPr>
      </w:pPr>
      <w:r>
        <w:rPr>
          <w:rFonts w:hint="eastAsia" w:ascii="宋体" w:hAnsi="宋体" w:eastAsia="宋体" w:cs="宋体"/>
        </w:rPr>
        <w:t>3.监督抽查机构收到被抽查单位复查申请后，应及时安排复查，对复查合格的出具报告；对复查不合格的，向被抽查单位出具《复查不合格设备报送单》，对逾期未申请复查的单位，监督抽查机构应填写《逾期未申请复查设备报送单》并报送区县市场监管局、开发区分局。</w:t>
      </w:r>
    </w:p>
    <w:p>
      <w:pPr>
        <w:spacing w:line="360" w:lineRule="auto"/>
        <w:ind w:firstLine="496" w:firstLineChars="200"/>
        <w:rPr>
          <w:rFonts w:ascii="宋体" w:hAnsi="宋体" w:eastAsia="宋体" w:cs="宋体"/>
        </w:rPr>
      </w:pPr>
      <w:r>
        <w:rPr>
          <w:rFonts w:hint="eastAsia" w:ascii="宋体" w:hAnsi="宋体" w:eastAsia="宋体" w:cs="宋体"/>
        </w:rPr>
        <w:t>4.被抽查单位对抽查结果有异议的，监督抽查机构应当配合各级监管部门做好相关处理工作。</w:t>
      </w:r>
    </w:p>
    <w:p>
      <w:pPr>
        <w:spacing w:line="360" w:lineRule="auto"/>
        <w:ind w:firstLine="496" w:firstLineChars="200"/>
        <w:rPr>
          <w:rFonts w:ascii="宋体" w:hAnsi="宋体" w:eastAsia="宋体" w:cs="宋体"/>
        </w:rPr>
      </w:pPr>
      <w:r>
        <w:rPr>
          <w:rFonts w:hint="eastAsia" w:ascii="宋体" w:hAnsi="宋体" w:eastAsia="宋体" w:cs="宋体"/>
        </w:rPr>
        <w:t>5.《通知书》《报告单》中对不符合项目、严重隐患和重大问题的文字表述必须与《监督抽查报告》及监督抽查原始记录一致。</w:t>
      </w:r>
    </w:p>
    <w:p>
      <w:pPr>
        <w:autoSpaceDE w:val="0"/>
        <w:autoSpaceDN w:val="0"/>
        <w:adjustRightInd w:val="0"/>
        <w:spacing w:line="360" w:lineRule="auto"/>
        <w:ind w:firstLine="496" w:firstLineChars="200"/>
        <w:rPr>
          <w:rFonts w:ascii="宋体" w:hAnsi="宋体" w:eastAsia="宋体" w:cs="宋体"/>
        </w:rPr>
      </w:pPr>
      <w:r>
        <w:rPr>
          <w:rFonts w:hint="eastAsia" w:ascii="宋体" w:hAnsi="宋体" w:eastAsia="宋体" w:cs="宋体"/>
          <w:b/>
          <w:bCs/>
        </w:rPr>
        <w:t>（二）技术服务要求</w:t>
      </w:r>
    </w:p>
    <w:p>
      <w:pPr>
        <w:spacing w:line="360" w:lineRule="auto"/>
        <w:ind w:firstLine="496" w:firstLineChars="200"/>
        <w:rPr>
          <w:rFonts w:ascii="宋体" w:hAnsi="宋体" w:eastAsia="宋体" w:cs="宋体"/>
        </w:rPr>
      </w:pPr>
      <w:r>
        <w:rPr>
          <w:rFonts w:hint="eastAsia" w:ascii="宋体" w:hAnsi="宋体" w:eastAsia="宋体" w:cs="宋体"/>
        </w:rPr>
        <w:t>1.未经采购人同意中标供应商不得以任何方式转包、分包或挂靠本项目。</w:t>
      </w:r>
    </w:p>
    <w:p>
      <w:pPr>
        <w:spacing w:line="360" w:lineRule="auto"/>
        <w:ind w:firstLine="496" w:firstLineChars="200"/>
        <w:rPr>
          <w:rFonts w:ascii="宋体" w:hAnsi="宋体" w:eastAsia="宋体" w:cs="宋体"/>
        </w:rPr>
      </w:pPr>
      <w:r>
        <w:rPr>
          <w:rFonts w:hint="eastAsia" w:ascii="宋体" w:hAnsi="宋体" w:eastAsia="宋体" w:cs="宋体"/>
        </w:rPr>
        <w:t>2.中标供应商应当在西安市设立固定办公场所，并于合同签订后15 个日历日内向采购方提供相关证明材料。</w:t>
      </w:r>
    </w:p>
    <w:p>
      <w:pPr>
        <w:spacing w:line="360" w:lineRule="auto"/>
        <w:ind w:firstLine="496" w:firstLineChars="200"/>
        <w:rPr>
          <w:rFonts w:ascii="宋体" w:hAnsi="宋体" w:eastAsia="宋体" w:cs="宋体"/>
        </w:rPr>
      </w:pPr>
      <w:r>
        <w:rPr>
          <w:rFonts w:hint="eastAsia" w:ascii="宋体" w:hAnsi="宋体" w:eastAsia="宋体" w:cs="宋体"/>
        </w:rPr>
        <w:t>3.中标供应商应当成立监督抽查工作机构，根据有关法律、法规、安全技术规范编制监督抽查方案。方案应当科学、高效、准确、便捷，符合实际，方案应当包含监督抽查需求的技术人员、检测工具、车辆配置、突发事件处置等要素。</w:t>
      </w:r>
    </w:p>
    <w:p>
      <w:pPr>
        <w:spacing w:line="360" w:lineRule="auto"/>
        <w:ind w:firstLine="496" w:firstLineChars="200"/>
        <w:rPr>
          <w:rFonts w:ascii="宋体" w:hAnsi="宋体" w:eastAsia="宋体" w:cs="宋体"/>
        </w:rPr>
      </w:pPr>
      <w:r>
        <w:rPr>
          <w:rFonts w:hint="eastAsia" w:ascii="宋体" w:hAnsi="宋体" w:eastAsia="宋体" w:cs="宋体"/>
        </w:rPr>
        <w:t>4.中标供应商应当制定监督抽查工作总计划、月度计划，且抽查计划任务分布合理；对监督抽查过程中出现的突发情况能迅速组织力量响应。</w:t>
      </w:r>
    </w:p>
    <w:p>
      <w:pPr>
        <w:spacing w:line="360" w:lineRule="auto"/>
        <w:ind w:firstLine="496" w:firstLineChars="200"/>
        <w:rPr>
          <w:rFonts w:ascii="宋体" w:hAnsi="宋体" w:eastAsia="宋体" w:cs="宋体"/>
        </w:rPr>
      </w:pPr>
      <w:r>
        <w:rPr>
          <w:rFonts w:hint="eastAsia" w:ascii="宋体" w:hAnsi="宋体" w:eastAsia="宋体" w:cs="宋体"/>
        </w:rPr>
        <w:t>5.中标供应商应当严格按照监督抽查实施方案规定的项目、要求和方法组织实施监督抽查工作。监督抽查时做好有关安全防护措施，对监督抽查过程的安全负责。</w:t>
      </w:r>
    </w:p>
    <w:p>
      <w:pPr>
        <w:spacing w:line="360" w:lineRule="auto"/>
        <w:ind w:firstLine="496" w:firstLineChars="200"/>
        <w:rPr>
          <w:rFonts w:ascii="宋体" w:hAnsi="宋体" w:eastAsia="宋体" w:cs="宋体"/>
        </w:rPr>
      </w:pPr>
      <w:r>
        <w:rPr>
          <w:rFonts w:hint="eastAsia" w:ascii="宋体" w:hAnsi="宋体" w:eastAsia="宋体" w:cs="宋体"/>
        </w:rPr>
        <w:t>6.中标供应商现场监督抽查时，应避开设备使用高峰期，减少对被抽查单位正常工作的影响。不得向被抽查对象提出与监督抽查无关的服务和要求，严格遵守有关纪律规定。</w:t>
      </w:r>
    </w:p>
    <w:p>
      <w:pPr>
        <w:spacing w:line="360" w:lineRule="auto"/>
        <w:ind w:firstLine="496" w:firstLineChars="200"/>
        <w:rPr>
          <w:rFonts w:ascii="宋体" w:hAnsi="宋体" w:eastAsia="宋体" w:cs="宋体"/>
        </w:rPr>
      </w:pPr>
      <w:r>
        <w:rPr>
          <w:rFonts w:hint="eastAsia" w:ascii="宋体" w:hAnsi="宋体" w:eastAsia="宋体" w:cs="宋体"/>
        </w:rPr>
        <w:t>7.中标供应商提供监督抽查任务管理数据系统，能确保监督抽查工作顺利开展，并具有收集抽查任务、现场抽查、抽查进度管理等功能，系统应用可靠、稳定；配备专人配合市市场监督管理局做好监督抽查全过程数据处理工作。</w:t>
      </w:r>
    </w:p>
    <w:p>
      <w:pPr>
        <w:spacing w:line="360" w:lineRule="auto"/>
        <w:ind w:firstLine="496" w:firstLineChars="200"/>
        <w:rPr>
          <w:rFonts w:ascii="宋体" w:hAnsi="宋体" w:eastAsia="宋体" w:cs="宋体"/>
        </w:rPr>
      </w:pPr>
      <w:r>
        <w:rPr>
          <w:rFonts w:hint="eastAsia" w:ascii="宋体" w:hAnsi="宋体" w:eastAsia="宋体" w:cs="宋体"/>
        </w:rPr>
        <w:t>8.中标供应商拟投入监督抽查工作人员应当熟悉电梯监督抽查项目内容、判定依据、并对相关行政监管法规要求、工作流程有一定认识；现场监督抽查时，持证检验员不得少于2人，其中电梯检验检测质量监督抽查时，至少有1名持证电梯检验师。</w:t>
      </w:r>
    </w:p>
    <w:p>
      <w:pPr>
        <w:spacing w:line="360" w:lineRule="auto"/>
        <w:ind w:firstLine="496" w:firstLineChars="200"/>
        <w:rPr>
          <w:rFonts w:ascii="宋体" w:hAnsi="宋体" w:eastAsia="宋体" w:cs="宋体"/>
        </w:rPr>
      </w:pPr>
      <w:r>
        <w:rPr>
          <w:rFonts w:hint="eastAsia" w:ascii="宋体" w:hAnsi="宋体" w:eastAsia="宋体" w:cs="宋体"/>
        </w:rPr>
        <w:t>9.中标供应商不得提前向被抽查单位透露有关监督抽查的计划、内容等信息；未经同意，不得对外发布、泄漏监督抽查工作的相关信息；不得泄漏被抽查单位的商业信息。</w:t>
      </w:r>
    </w:p>
    <w:p>
      <w:pPr>
        <w:spacing w:line="360" w:lineRule="auto"/>
        <w:ind w:firstLine="496" w:firstLineChars="200"/>
        <w:rPr>
          <w:rFonts w:ascii="宋体" w:hAnsi="宋体" w:eastAsia="宋体" w:cs="宋体"/>
        </w:rPr>
      </w:pPr>
      <w:r>
        <w:rPr>
          <w:rFonts w:hint="eastAsia" w:ascii="宋体" w:hAnsi="宋体" w:eastAsia="宋体" w:cs="宋体"/>
        </w:rPr>
        <w:t>10.中标供应商对监督抽查过程中未发现问题的，应及时出具报告，并分类、逐台、逐单位建立监督抽查电子档案，定期向采购人提交汇总信息。</w:t>
      </w:r>
    </w:p>
    <w:p>
      <w:pPr>
        <w:autoSpaceDE w:val="0"/>
        <w:autoSpaceDN w:val="0"/>
        <w:adjustRightInd w:val="0"/>
        <w:spacing w:line="360" w:lineRule="auto"/>
        <w:ind w:firstLine="496" w:firstLineChars="200"/>
        <w:rPr>
          <w:rFonts w:ascii="宋体" w:hAnsi="宋体" w:eastAsia="宋体" w:cs="宋体"/>
        </w:rPr>
      </w:pPr>
      <w:r>
        <w:rPr>
          <w:rFonts w:hint="eastAsia" w:ascii="宋体" w:hAnsi="宋体" w:eastAsia="宋体" w:cs="宋体"/>
        </w:rPr>
        <w:t>11.中标供应商对监督抽查过程中发现的严重隐患（重大问题）每周汇总一次，对发现的不符合项每月汇总一次，并将《严重隐患（重大问题）汇总表》《监督抽查汇总表》提交采购人。</w:t>
      </w:r>
    </w:p>
    <w:p>
      <w:pPr>
        <w:spacing w:line="360" w:lineRule="auto"/>
        <w:outlineLvl w:val="2"/>
        <w:rPr>
          <w:rFonts w:ascii="宋体" w:hAnsi="宋体" w:eastAsia="宋体" w:cs="宋体"/>
        </w:rPr>
      </w:pPr>
      <w:bookmarkStart w:id="185" w:name="_Toc13377"/>
      <w:r>
        <w:rPr>
          <w:rFonts w:hint="eastAsia" w:ascii="宋体" w:hAnsi="宋体" w:eastAsia="宋体" w:cs="宋体"/>
          <w:b/>
          <w:bCs/>
        </w:rPr>
        <w:t>五、具体内容及方法要求（包含但不限于以下内容）</w:t>
      </w:r>
      <w:bookmarkEnd w:id="185"/>
    </w:p>
    <w:p>
      <w:pPr>
        <w:autoSpaceDE w:val="0"/>
        <w:autoSpaceDN w:val="0"/>
        <w:adjustRightInd w:val="0"/>
        <w:spacing w:line="360" w:lineRule="auto"/>
        <w:rPr>
          <w:rFonts w:ascii="宋体" w:hAnsi="宋体" w:eastAsia="宋体" w:cs="宋体"/>
        </w:rPr>
      </w:pPr>
      <w:r>
        <w:rPr>
          <w:rFonts w:hint="eastAsia" w:ascii="宋体" w:hAnsi="宋体" w:eastAsia="宋体" w:cs="宋体"/>
          <w:b/>
          <w:bCs/>
        </w:rPr>
        <w:t>（一）电梯维保质量监督抽查项目内容及方法要求</w:t>
      </w:r>
    </w:p>
    <w:p>
      <w:pPr>
        <w:spacing w:line="360" w:lineRule="auto"/>
        <w:rPr>
          <w:rFonts w:ascii="宋体" w:hAnsi="宋体" w:eastAsia="宋体" w:cs="宋体"/>
        </w:rPr>
      </w:pPr>
      <w:r>
        <w:rPr>
          <w:rFonts w:hint="eastAsia" w:ascii="宋体" w:hAnsi="宋体" w:eastAsia="宋体" w:cs="宋体"/>
        </w:rPr>
        <w:t>1.曳引驱动电梯</w:t>
      </w:r>
    </w:p>
    <w:tbl>
      <w:tblPr>
        <w:tblStyle w:val="33"/>
        <w:tblW w:w="98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6"/>
        <w:gridCol w:w="1950"/>
        <w:gridCol w:w="4530"/>
        <w:gridCol w:w="2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项目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监督抽查内容与要求</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监督抽查方法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w:t>
            </w:r>
          </w:p>
        </w:tc>
        <w:tc>
          <w:tcPr>
            <w:tcW w:w="1950" w:type="dxa"/>
            <w:vAlign w:val="center"/>
          </w:tcPr>
          <w:p>
            <w:pPr>
              <w:spacing w:line="360" w:lineRule="auto"/>
              <w:jc w:val="center"/>
              <w:outlineLvl w:val="2"/>
              <w:rPr>
                <w:rFonts w:ascii="宋体" w:hAnsi="宋体" w:eastAsia="宋体" w:cs="宋体"/>
              </w:rPr>
            </w:pPr>
            <w:bookmarkStart w:id="186" w:name="_Toc9604"/>
            <w:r>
              <w:rPr>
                <w:rFonts w:hint="eastAsia" w:ascii="宋体" w:hAnsi="宋体" w:eastAsia="宋体" w:cs="宋体"/>
              </w:rPr>
              <w:t>使用管理</w:t>
            </w:r>
            <w:bookmarkEnd w:id="186"/>
          </w:p>
        </w:tc>
        <w:tc>
          <w:tcPr>
            <w:tcW w:w="4530" w:type="dxa"/>
            <w:vAlign w:val="center"/>
          </w:tcPr>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（1）使用单位管理制度及相关档案：①安全管理制度；②安全技术档案；③日常巡查、检查，运行故障和事故记录；④应急救援预案及演练记录</w:t>
            </w:r>
          </w:p>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（2）应在电梯显著位置进行下列标识：①特种设备使用标志；②电梯使用安全注意事项；③96333标识；④警示标志；</w:t>
            </w:r>
          </w:p>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（3）检查轿厢紧急报警装置。</w:t>
            </w:r>
          </w:p>
        </w:tc>
        <w:tc>
          <w:tcPr>
            <w:tcW w:w="2775" w:type="dxa"/>
            <w:vAlign w:val="center"/>
          </w:tcPr>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（1）现场查看资料；</w:t>
            </w:r>
          </w:p>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（2）测试紧急报警装置。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w:t>
            </w:r>
          </w:p>
        </w:tc>
        <w:tc>
          <w:tcPr>
            <w:tcW w:w="1950" w:type="dxa"/>
            <w:vAlign w:val="center"/>
          </w:tcPr>
          <w:p>
            <w:pPr>
              <w:spacing w:line="360" w:lineRule="auto"/>
              <w:jc w:val="center"/>
              <w:outlineLvl w:val="2"/>
              <w:rPr>
                <w:rFonts w:ascii="宋体" w:hAnsi="宋体" w:eastAsia="宋体" w:cs="宋体"/>
                <w:bCs/>
              </w:rPr>
            </w:pPr>
            <w:bookmarkStart w:id="187" w:name="_Toc22582"/>
            <w:r>
              <w:rPr>
                <w:rFonts w:hint="eastAsia" w:ascii="宋体" w:hAnsi="宋体" w:eastAsia="宋体" w:cs="宋体"/>
                <w:bCs/>
              </w:rPr>
              <w:t>维护保养记录</w:t>
            </w:r>
            <w:bookmarkEnd w:id="187"/>
          </w:p>
        </w:tc>
        <w:tc>
          <w:tcPr>
            <w:tcW w:w="4530" w:type="dxa"/>
            <w:vAlign w:val="center"/>
          </w:tcPr>
          <w:p>
            <w:pPr>
              <w:spacing w:line="360" w:lineRule="auto"/>
              <w:rPr>
                <w:rFonts w:ascii="宋体" w:hAnsi="宋体" w:eastAsia="宋体" w:cs="宋体"/>
                <w:bCs/>
              </w:rPr>
            </w:pPr>
            <w:r>
              <w:rPr>
                <w:rFonts w:hint="eastAsia" w:ascii="宋体" w:hAnsi="宋体" w:eastAsia="宋体" w:cs="宋体"/>
                <w:bCs/>
              </w:rPr>
              <w:t>（1）电梯维护保养按照TSG T5002-2017的要求进行。</w:t>
            </w:r>
          </w:p>
        </w:tc>
        <w:tc>
          <w:tcPr>
            <w:tcW w:w="2775" w:type="dxa"/>
            <w:vAlign w:val="center"/>
          </w:tcPr>
          <w:p>
            <w:pPr>
              <w:spacing w:line="360" w:lineRule="auto"/>
              <w:rPr>
                <w:rFonts w:ascii="宋体" w:hAnsi="宋体" w:eastAsia="宋体" w:cs="宋体"/>
              </w:rPr>
            </w:pPr>
            <w:r>
              <w:rPr>
                <w:rFonts w:hint="eastAsia" w:ascii="宋体" w:hAnsi="宋体" w:eastAsia="宋体" w:cs="宋体"/>
              </w:rPr>
              <w:t>（1）查看维保记录是否符合</w:t>
            </w:r>
            <w:r>
              <w:rPr>
                <w:rFonts w:hint="eastAsia" w:ascii="宋体" w:hAnsi="宋体" w:eastAsia="宋体" w:cs="宋体"/>
                <w:bCs/>
              </w:rPr>
              <w:t>TSG T5002-2017相关要求</w:t>
            </w:r>
            <w:r>
              <w:rPr>
                <w:rFonts w:hint="eastAsia" w:ascii="宋体" w:hAnsi="宋体" w:eastAsia="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制动器作为轿厢意外移动保护装置制停子系统时的自监测</w:t>
            </w:r>
          </w:p>
        </w:tc>
        <w:tc>
          <w:tcPr>
            <w:tcW w:w="4530" w:type="dxa"/>
            <w:vAlign w:val="center"/>
          </w:tcPr>
          <w:p>
            <w:pPr>
              <w:spacing w:line="360" w:lineRule="auto"/>
              <w:rPr>
                <w:rFonts w:ascii="宋体" w:hAnsi="宋体" w:eastAsia="宋体" w:cs="宋体"/>
              </w:rPr>
            </w:pPr>
            <w:r>
              <w:rPr>
                <w:rFonts w:hint="eastAsia" w:ascii="宋体" w:hAnsi="宋体" w:eastAsia="宋体" w:cs="宋体"/>
              </w:rPr>
              <w:t>制动力人工方式检测符合使用维护说明书要求；制动力自监测系统有记录。</w:t>
            </w:r>
          </w:p>
        </w:tc>
        <w:tc>
          <w:tcPr>
            <w:tcW w:w="2775" w:type="dxa"/>
            <w:vAlign w:val="center"/>
          </w:tcPr>
          <w:p>
            <w:pPr>
              <w:spacing w:line="360" w:lineRule="auto"/>
              <w:rPr>
                <w:rFonts w:ascii="宋体" w:hAnsi="宋体" w:eastAsia="宋体" w:cs="宋体"/>
              </w:rPr>
            </w:pPr>
            <w:r>
              <w:rPr>
                <w:rFonts w:hint="eastAsia" w:ascii="宋体" w:hAnsi="宋体" w:eastAsia="宋体" w:cs="宋体"/>
              </w:rPr>
              <w:t>查看制动力自监测系统或人工检测记录。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9"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4</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制动器</w:t>
            </w:r>
          </w:p>
        </w:tc>
        <w:tc>
          <w:tcPr>
            <w:tcW w:w="4530" w:type="dxa"/>
            <w:vAlign w:val="center"/>
          </w:tcPr>
          <w:p>
            <w:pPr>
              <w:spacing w:line="360" w:lineRule="auto"/>
              <w:rPr>
                <w:rFonts w:ascii="宋体" w:hAnsi="宋体" w:eastAsia="宋体" w:cs="宋体"/>
              </w:rPr>
            </w:pPr>
            <w:r>
              <w:rPr>
                <w:rFonts w:hint="eastAsia" w:ascii="宋体" w:hAnsi="宋体" w:eastAsia="宋体" w:cs="宋体"/>
              </w:rPr>
              <w:t>（1）制动器动作灵活，制动时制动闸瓦(制动钳)紧密、均匀地贴合在制动轮(制动盘)上，电梯运行时制动闸瓦(制动钳)与制动轮(制动盘)不发生摩擦，制动闸瓦(制动钳)以及制动轮(制动盘)工作面上没有油污；</w:t>
            </w:r>
          </w:p>
          <w:p>
            <w:pPr>
              <w:spacing w:line="360" w:lineRule="auto"/>
              <w:rPr>
                <w:rFonts w:ascii="宋体" w:hAnsi="宋体" w:eastAsia="宋体" w:cs="宋体"/>
              </w:rPr>
            </w:pPr>
            <w:r>
              <w:rPr>
                <w:rFonts w:hint="eastAsia" w:ascii="宋体" w:hAnsi="宋体" w:eastAsia="宋体" w:cs="宋体"/>
              </w:rPr>
              <w:t>（2）轿厢空载以正常运行速度上行时，切断电动机与制动器供电，轿厢应当完全停止，并且无明显变形和损坏；</w:t>
            </w:r>
          </w:p>
          <w:p>
            <w:pPr>
              <w:spacing w:line="360" w:lineRule="auto"/>
              <w:rPr>
                <w:rFonts w:ascii="宋体" w:hAnsi="宋体" w:eastAsia="宋体" w:cs="宋体"/>
              </w:rPr>
            </w:pPr>
            <w:r>
              <w:rPr>
                <w:rFonts w:hint="eastAsia" w:ascii="宋体" w:hAnsi="宋体" w:eastAsia="宋体" w:cs="宋体"/>
              </w:rPr>
              <w:t>（3）使用鼓式制动器的电梯，完成电磁铁拆解保养和松闸顶杆更换工作。</w:t>
            </w:r>
          </w:p>
        </w:tc>
        <w:tc>
          <w:tcPr>
            <w:tcW w:w="2775" w:type="dxa"/>
            <w:vAlign w:val="center"/>
          </w:tcPr>
          <w:p>
            <w:pPr>
              <w:spacing w:line="360" w:lineRule="auto"/>
              <w:rPr>
                <w:rFonts w:ascii="宋体" w:hAnsi="宋体" w:eastAsia="宋体" w:cs="宋体"/>
              </w:rPr>
            </w:pPr>
            <w:r>
              <w:rPr>
                <w:rFonts w:hint="eastAsia" w:ascii="宋体" w:hAnsi="宋体" w:eastAsia="宋体" w:cs="宋体"/>
              </w:rPr>
              <w:t>（1）目测制动器工作情况；</w:t>
            </w:r>
          </w:p>
          <w:p>
            <w:pPr>
              <w:spacing w:line="360" w:lineRule="auto"/>
              <w:rPr>
                <w:rFonts w:ascii="宋体" w:hAnsi="宋体" w:eastAsia="宋体" w:cs="宋体"/>
              </w:rPr>
            </w:pPr>
            <w:r>
              <w:rPr>
                <w:rFonts w:hint="eastAsia" w:ascii="宋体" w:hAnsi="宋体" w:eastAsia="宋体" w:cs="宋体"/>
              </w:rPr>
              <w:t>（2）轿厢空载以正常运行速度上行时，断开主开关，检查轿厢停止及完好情况；</w:t>
            </w:r>
          </w:p>
          <w:p>
            <w:pPr>
              <w:spacing w:line="360" w:lineRule="auto"/>
              <w:rPr>
                <w:rFonts w:ascii="宋体" w:hAnsi="宋体" w:eastAsia="宋体" w:cs="宋体"/>
              </w:rPr>
            </w:pPr>
            <w:r>
              <w:rPr>
                <w:rFonts w:hint="eastAsia" w:ascii="宋体" w:hAnsi="宋体" w:eastAsia="宋体" w:cs="宋体"/>
              </w:rPr>
              <w:t>（3）查验有关电磁铁拆解保养过程和松闸顶杆更换工作照片、视频资料。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5</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机房、滑轮间环境</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清洁，门窗完好，照明正常。</w:t>
            </w:r>
          </w:p>
        </w:tc>
        <w:tc>
          <w:tcPr>
            <w:tcW w:w="2775" w:type="dxa"/>
            <w:vAlign w:val="center"/>
          </w:tcPr>
          <w:p>
            <w:pPr>
              <w:spacing w:line="360" w:lineRule="auto"/>
              <w:rPr>
                <w:rFonts w:ascii="宋体" w:hAnsi="宋体" w:eastAsia="宋体" w:cs="宋体"/>
              </w:rPr>
            </w:pPr>
            <w:r>
              <w:rPr>
                <w:rFonts w:hint="eastAsia" w:ascii="宋体" w:hAnsi="宋体" w:eastAsia="宋体" w:cs="宋体"/>
              </w:rPr>
              <w:t>目测、操作验证机房照明有效性。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6</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手动紧急操作装置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齐全，在指定位置。</w:t>
            </w:r>
          </w:p>
        </w:tc>
        <w:tc>
          <w:tcPr>
            <w:tcW w:w="2775" w:type="dxa"/>
            <w:vAlign w:val="center"/>
          </w:tcPr>
          <w:p>
            <w:pPr>
              <w:spacing w:line="360" w:lineRule="auto"/>
              <w:rPr>
                <w:rFonts w:ascii="宋体" w:hAnsi="宋体" w:eastAsia="宋体" w:cs="宋体"/>
              </w:rPr>
            </w:pPr>
            <w:r>
              <w:rPr>
                <w:rFonts w:hint="eastAsia" w:ascii="宋体" w:hAnsi="宋体" w:eastAsia="宋体" w:cs="宋体"/>
              </w:rPr>
              <w:t>目测、验证手动紧急操作装置的匹配性。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7</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驱动主机</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运行时无异常振动和异常声响</w:t>
            </w:r>
          </w:p>
        </w:tc>
        <w:tc>
          <w:tcPr>
            <w:tcW w:w="2775" w:type="dxa"/>
            <w:vAlign w:val="center"/>
          </w:tcPr>
          <w:p>
            <w:pPr>
              <w:spacing w:line="360" w:lineRule="auto"/>
              <w:rPr>
                <w:rFonts w:ascii="宋体" w:hAnsi="宋体" w:eastAsia="宋体" w:cs="宋体"/>
              </w:rPr>
            </w:pPr>
            <w:r>
              <w:rPr>
                <w:rFonts w:hint="eastAsia" w:ascii="宋体" w:hAnsi="宋体" w:eastAsia="宋体" w:cs="宋体"/>
              </w:rPr>
              <w:t>电梯正常运行，目测驱动主机运行情况。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8</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制动器各销轴部位</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动作灵活</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目测；检查制动器状况。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9</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制动器间隙</w:t>
            </w:r>
          </w:p>
        </w:tc>
        <w:tc>
          <w:tcPr>
            <w:tcW w:w="4530" w:type="dxa"/>
            <w:vAlign w:val="center"/>
          </w:tcPr>
          <w:p>
            <w:pPr>
              <w:spacing w:line="360" w:lineRule="auto"/>
              <w:rPr>
                <w:rFonts w:ascii="宋体" w:hAnsi="宋体" w:eastAsia="宋体" w:cs="宋体"/>
              </w:rPr>
            </w:pPr>
            <w:r>
              <w:rPr>
                <w:rFonts w:hint="eastAsia" w:ascii="宋体" w:hAnsi="宋体" w:eastAsia="宋体" w:cs="宋体"/>
              </w:rPr>
              <w:t>打开时制动衬与制动轮不应发生摩擦，间隙值符合制造单位要求。</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目测；检查制动器状况。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10</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编码器</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清洁，安装牢固。</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11</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限速器各销轴部位</w:t>
            </w:r>
          </w:p>
        </w:tc>
        <w:tc>
          <w:tcPr>
            <w:tcW w:w="4530" w:type="dxa"/>
            <w:vAlign w:val="center"/>
          </w:tcPr>
          <w:p>
            <w:pPr>
              <w:spacing w:line="360" w:lineRule="auto"/>
              <w:rPr>
                <w:rFonts w:ascii="宋体" w:hAnsi="宋体" w:eastAsia="宋体" w:cs="宋体"/>
              </w:rPr>
            </w:pPr>
            <w:r>
              <w:rPr>
                <w:rFonts w:hint="eastAsia" w:ascii="宋体" w:hAnsi="宋体" w:eastAsia="宋体" w:cs="宋体"/>
              </w:rPr>
              <w:t>润滑，转动灵活；电气开关正常。</w:t>
            </w:r>
          </w:p>
        </w:tc>
        <w:tc>
          <w:tcPr>
            <w:tcW w:w="2775" w:type="dxa"/>
            <w:vAlign w:val="center"/>
          </w:tcPr>
          <w:p>
            <w:pPr>
              <w:spacing w:line="360" w:lineRule="auto"/>
              <w:rPr>
                <w:rFonts w:ascii="宋体" w:hAnsi="宋体" w:eastAsia="宋体" w:cs="宋体"/>
              </w:rPr>
            </w:pPr>
            <w:r>
              <w:rPr>
                <w:rFonts w:hint="eastAsia" w:ascii="宋体" w:hAnsi="宋体" w:eastAsia="宋体" w:cs="宋体"/>
              </w:rPr>
              <w:t>人为动作限速器，目测限速器各销轴部位是否转动灵活；轿厢空载以检修速度运行，人为使限速器电气安全装置动作，观察轿厢是否停止运行。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12</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层门和轿门</w:t>
            </w:r>
          </w:p>
          <w:p>
            <w:pPr>
              <w:spacing w:line="360" w:lineRule="auto"/>
              <w:jc w:val="center"/>
              <w:rPr>
                <w:rFonts w:ascii="宋体" w:hAnsi="宋体" w:eastAsia="宋体" w:cs="宋体"/>
              </w:rPr>
            </w:pPr>
            <w:r>
              <w:rPr>
                <w:rFonts w:hint="eastAsia" w:ascii="宋体" w:hAnsi="宋体" w:eastAsia="宋体" w:cs="宋体"/>
              </w:rPr>
              <w:t>旁路装置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目测旁路装置设置及标识；模拟操作检查旁路装置功能。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13</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紧急电动运行</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目测；通过模拟操作检查紧急电动运行装置功能。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14</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 顶</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清洁，防护栏安全可靠。</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15</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轿顶检修开关、停止装置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操作验证检修运行控制装置、停止装置的功能。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16</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导靴上油杯</w:t>
            </w:r>
          </w:p>
        </w:tc>
        <w:tc>
          <w:tcPr>
            <w:tcW w:w="4530" w:type="dxa"/>
            <w:vAlign w:val="center"/>
          </w:tcPr>
          <w:p>
            <w:pPr>
              <w:spacing w:line="360" w:lineRule="auto"/>
              <w:rPr>
                <w:rFonts w:ascii="宋体" w:hAnsi="宋体" w:eastAsia="宋体" w:cs="宋体"/>
              </w:rPr>
            </w:pPr>
            <w:r>
              <w:rPr>
                <w:rFonts w:hint="eastAsia" w:ascii="宋体" w:hAnsi="宋体" w:eastAsia="宋体" w:cs="宋体"/>
              </w:rPr>
              <w:t>吸油毛毡齐全，油量适宜，油杯无泄漏。</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17</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对重/平衡重块及其压板</w:t>
            </w:r>
          </w:p>
        </w:tc>
        <w:tc>
          <w:tcPr>
            <w:tcW w:w="4530" w:type="dxa"/>
            <w:vAlign w:val="center"/>
          </w:tcPr>
          <w:p>
            <w:pPr>
              <w:spacing w:line="360" w:lineRule="auto"/>
              <w:rPr>
                <w:rFonts w:ascii="宋体" w:hAnsi="宋体" w:eastAsia="宋体" w:cs="宋体"/>
              </w:rPr>
            </w:pPr>
            <w:r>
              <w:rPr>
                <w:rFonts w:hint="eastAsia" w:ascii="宋体" w:hAnsi="宋体" w:eastAsia="宋体" w:cs="宋体"/>
              </w:rPr>
              <w:t>对重/平衡重块无松动，压板紧固,标识明显。</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18</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井道照明</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齐全，正常。</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19</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轿厢照明、风扇、应急照明</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目测；断开正常照明供电电源,验证紧急照明功能。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20</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轿厢检修开关、停止装置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操作验证检修运行控制装置、停止装置的功能。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21</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轿内报警装置、对讲系统</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rPr>
                <w:rFonts w:ascii="宋体" w:hAnsi="宋体" w:eastAsia="宋体" w:cs="宋体"/>
              </w:rPr>
            </w:pPr>
            <w:r>
              <w:rPr>
                <w:rFonts w:hint="eastAsia" w:ascii="宋体" w:hAnsi="宋体" w:eastAsia="宋体" w:cs="宋体"/>
              </w:rPr>
              <w:t>接通和断开紧急报警装置的正常供电电源，分别验证紧急报警装置的功能。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22</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轿内显示、指令按钮、IC 卡系统</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齐全有效</w:t>
            </w:r>
          </w:p>
        </w:tc>
        <w:tc>
          <w:tcPr>
            <w:tcW w:w="2775" w:type="dxa"/>
            <w:vAlign w:val="center"/>
          </w:tcPr>
          <w:p>
            <w:pPr>
              <w:spacing w:line="360" w:lineRule="auto"/>
              <w:rPr>
                <w:rFonts w:ascii="宋体" w:hAnsi="宋体" w:eastAsia="宋体" w:cs="宋体"/>
              </w:rPr>
            </w:pPr>
            <w:r>
              <w:rPr>
                <w:rFonts w:hint="eastAsia" w:ascii="宋体" w:hAnsi="宋体" w:eastAsia="宋体" w:cs="宋体"/>
              </w:rPr>
              <w:t>目测；将电梯置于检修状态以及紧急电动运行、火灾召回、地震运行状态（如果有），验证IC卡功能是否退出。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23</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轿门门锁电气触点</w:t>
            </w:r>
          </w:p>
        </w:tc>
        <w:tc>
          <w:tcPr>
            <w:tcW w:w="4530" w:type="dxa"/>
            <w:vAlign w:val="center"/>
          </w:tcPr>
          <w:p>
            <w:pPr>
              <w:spacing w:line="360" w:lineRule="auto"/>
              <w:rPr>
                <w:rFonts w:ascii="宋体" w:hAnsi="宋体" w:eastAsia="宋体" w:cs="宋体"/>
              </w:rPr>
            </w:pPr>
            <w:r>
              <w:rPr>
                <w:rFonts w:hint="eastAsia" w:ascii="宋体" w:hAnsi="宋体" w:eastAsia="宋体" w:cs="宋体"/>
              </w:rPr>
              <w:t>清洁，触点接触良好，接线可靠。</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24</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轿门防撞击保护装置(安全触板，光幕、</w:t>
            </w:r>
          </w:p>
          <w:p>
            <w:pPr>
              <w:spacing w:line="360" w:lineRule="auto"/>
              <w:jc w:val="center"/>
              <w:rPr>
                <w:rFonts w:ascii="宋体" w:hAnsi="宋体" w:eastAsia="宋体" w:cs="宋体"/>
              </w:rPr>
            </w:pPr>
            <w:r>
              <w:rPr>
                <w:rFonts w:hint="eastAsia" w:ascii="宋体" w:hAnsi="宋体" w:eastAsia="宋体" w:cs="宋体"/>
              </w:rPr>
              <w:t>光电等)</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功能有效</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模拟动作试验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25</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轿门运行</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开启和关闭工作正常</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模拟运行试验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26</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轿厢平层准确度</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符合标准值</w:t>
            </w:r>
          </w:p>
        </w:tc>
        <w:tc>
          <w:tcPr>
            <w:tcW w:w="2775" w:type="dxa"/>
            <w:vAlign w:val="center"/>
          </w:tcPr>
          <w:p>
            <w:pPr>
              <w:spacing w:line="360" w:lineRule="auto"/>
              <w:rPr>
                <w:rFonts w:ascii="宋体" w:hAnsi="宋体" w:eastAsia="宋体" w:cs="宋体"/>
              </w:rPr>
            </w:pPr>
            <w:r>
              <w:rPr>
                <w:rFonts w:hint="eastAsia" w:ascii="宋体" w:hAnsi="宋体" w:eastAsia="宋体" w:cs="宋体"/>
              </w:rPr>
              <w:t>轿厢轻载，单层、多层、全程上下各运行一次，在开门宽度的中部测量层门地坎上表面和轿门地坎上表面间的垂直高度差。轿厢平层准确度应在±10mm范围内。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27</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层站召唤、层楼显示</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齐全，有效。</w:t>
            </w:r>
          </w:p>
        </w:tc>
        <w:tc>
          <w:tcPr>
            <w:tcW w:w="2775"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抽取基站、端站以及至少20%其他层站的层站，目测并验证功能有效性。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28</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层门地坎</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清洁</w:t>
            </w:r>
          </w:p>
        </w:tc>
        <w:tc>
          <w:tcPr>
            <w:tcW w:w="2775"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抽取基站、端站以及至少20%其他层站的层门地坎，目测。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29</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层门自动关门装置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正常</w:t>
            </w:r>
          </w:p>
        </w:tc>
        <w:tc>
          <w:tcPr>
            <w:tcW w:w="2775"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抽取基站、端站以及至少20%其他层站的层门，将轿厢运行至开锁区域外，打开层门，观察层门关闭情况及防止重块坠落措施的有效性。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30</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层门门锁自动复位</w:t>
            </w:r>
          </w:p>
        </w:tc>
        <w:tc>
          <w:tcPr>
            <w:tcW w:w="4530" w:type="dxa"/>
            <w:vAlign w:val="center"/>
          </w:tcPr>
          <w:p>
            <w:pPr>
              <w:spacing w:line="360" w:lineRule="auto"/>
              <w:rPr>
                <w:rFonts w:ascii="宋体" w:hAnsi="宋体" w:eastAsia="宋体" w:cs="宋体"/>
              </w:rPr>
            </w:pPr>
            <w:r>
              <w:rPr>
                <w:rFonts w:hint="eastAsia" w:ascii="宋体" w:hAnsi="宋体" w:eastAsia="宋体" w:cs="宋体"/>
              </w:rPr>
              <w:t>用层门钥匙打开手动开锁装置释放后，层门门锁能自动复位。</w:t>
            </w:r>
          </w:p>
        </w:tc>
        <w:tc>
          <w:tcPr>
            <w:tcW w:w="2775"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抽取基站、端站以及至少20%其他层站的层门，用钥匙操作紧急开锁装置，验证其功能。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31</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层门门锁电气触点</w:t>
            </w:r>
          </w:p>
        </w:tc>
        <w:tc>
          <w:tcPr>
            <w:tcW w:w="4530" w:type="dxa"/>
            <w:vAlign w:val="center"/>
          </w:tcPr>
          <w:p>
            <w:pPr>
              <w:spacing w:line="360" w:lineRule="auto"/>
              <w:rPr>
                <w:rFonts w:ascii="宋体" w:hAnsi="宋体" w:eastAsia="宋体" w:cs="宋体"/>
              </w:rPr>
            </w:pPr>
            <w:r>
              <w:rPr>
                <w:rFonts w:hint="eastAsia" w:ascii="宋体" w:hAnsi="宋体" w:eastAsia="宋体" w:cs="宋体"/>
              </w:rPr>
              <w:t>清洁，触点接触良好、接线可靠。</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32</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层门锁紧元件啮合长度</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不小于7mm</w:t>
            </w:r>
          </w:p>
        </w:tc>
        <w:tc>
          <w:tcPr>
            <w:tcW w:w="2775" w:type="dxa"/>
            <w:vAlign w:val="center"/>
          </w:tcPr>
          <w:p>
            <w:pPr>
              <w:spacing w:line="360" w:lineRule="auto"/>
              <w:rPr>
                <w:rFonts w:ascii="宋体" w:hAnsi="宋体" w:eastAsia="宋体" w:cs="宋体"/>
              </w:rPr>
            </w:pPr>
            <w:r>
              <w:rPr>
                <w:rFonts w:hint="eastAsia" w:ascii="宋体" w:hAnsi="宋体" w:eastAsia="宋体" w:cs="宋体"/>
              </w:rPr>
              <w:t>目测锁紧元件的啮合情况，认为啮合长度可能不足时测量电气触点刚闭合时锁紧元件的啮合长度。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33</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底坑环境</w:t>
            </w:r>
          </w:p>
        </w:tc>
        <w:tc>
          <w:tcPr>
            <w:tcW w:w="4530" w:type="dxa"/>
            <w:vAlign w:val="center"/>
          </w:tcPr>
          <w:p>
            <w:pPr>
              <w:spacing w:line="360" w:lineRule="auto"/>
              <w:rPr>
                <w:rFonts w:ascii="宋体" w:hAnsi="宋体" w:eastAsia="宋体" w:cs="宋体"/>
              </w:rPr>
            </w:pPr>
            <w:r>
              <w:rPr>
                <w:rFonts w:hint="eastAsia" w:ascii="宋体" w:hAnsi="宋体" w:eastAsia="宋体" w:cs="宋体"/>
              </w:rPr>
              <w:t>清洁，无渗水、积水，照明正常。</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6" w:type="dxa"/>
            <w:vAlign w:val="center"/>
          </w:tcPr>
          <w:p>
            <w:pPr>
              <w:spacing w:line="360" w:lineRule="auto"/>
              <w:jc w:val="center"/>
              <w:rPr>
                <w:rFonts w:ascii="宋体" w:hAnsi="宋体" w:eastAsia="宋体" w:cs="宋体"/>
              </w:rPr>
            </w:pPr>
            <w:r>
              <w:rPr>
                <w:rFonts w:hint="eastAsia" w:ascii="宋体" w:hAnsi="宋体" w:eastAsia="宋体" w:cs="宋体"/>
              </w:rPr>
              <w:t>34</w:t>
            </w:r>
          </w:p>
        </w:tc>
        <w:tc>
          <w:tcPr>
            <w:tcW w:w="1950" w:type="dxa"/>
            <w:vAlign w:val="center"/>
          </w:tcPr>
          <w:p>
            <w:pPr>
              <w:spacing w:line="360" w:lineRule="auto"/>
              <w:jc w:val="center"/>
              <w:rPr>
                <w:rFonts w:ascii="宋体" w:hAnsi="宋体" w:eastAsia="宋体" w:cs="宋体"/>
              </w:rPr>
            </w:pPr>
            <w:r>
              <w:rPr>
                <w:rFonts w:hint="eastAsia" w:ascii="宋体" w:hAnsi="宋体" w:eastAsia="宋体" w:cs="宋体"/>
              </w:rPr>
              <w:t>底坑停止装置</w:t>
            </w:r>
          </w:p>
        </w:tc>
        <w:tc>
          <w:tcPr>
            <w:tcW w:w="453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2775" w:type="dxa"/>
            <w:vAlign w:val="center"/>
          </w:tcPr>
          <w:p>
            <w:pPr>
              <w:spacing w:line="360" w:lineRule="auto"/>
              <w:jc w:val="center"/>
              <w:rPr>
                <w:rFonts w:ascii="宋体" w:hAnsi="宋体" w:eastAsia="宋体" w:cs="宋体"/>
              </w:rPr>
            </w:pPr>
            <w:r>
              <w:rPr>
                <w:rFonts w:hint="eastAsia" w:ascii="宋体" w:hAnsi="宋体" w:eastAsia="宋体" w:cs="宋体"/>
              </w:rPr>
              <w:t>操作验证停止装置功能</w:t>
            </w:r>
          </w:p>
        </w:tc>
      </w:tr>
    </w:tbl>
    <w:p>
      <w:pPr>
        <w:rPr>
          <w:rFonts w:ascii="宋体" w:hAnsi="宋体" w:eastAsia="宋体" w:cs="宋体"/>
        </w:rPr>
      </w:pPr>
      <w:r>
        <w:rPr>
          <w:rFonts w:hint="eastAsia" w:ascii="宋体" w:hAnsi="宋体" w:eastAsia="宋体" w:cs="宋体"/>
        </w:rPr>
        <w:br w:type="page"/>
      </w:r>
    </w:p>
    <w:p>
      <w:pPr>
        <w:spacing w:line="360" w:lineRule="auto"/>
        <w:rPr>
          <w:rFonts w:ascii="宋体" w:hAnsi="宋体" w:eastAsia="宋体" w:cs="宋体"/>
        </w:rPr>
      </w:pPr>
      <w:r>
        <w:rPr>
          <w:rFonts w:hint="eastAsia" w:ascii="宋体" w:hAnsi="宋体" w:eastAsia="宋体" w:cs="宋体"/>
        </w:rPr>
        <w:t>2.自动扶梯与自动人行道</w:t>
      </w:r>
    </w:p>
    <w:tbl>
      <w:tblPr>
        <w:tblStyle w:val="33"/>
        <w:tblW w:w="95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9"/>
        <w:gridCol w:w="1957"/>
        <w:gridCol w:w="3690"/>
        <w:gridCol w:w="3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项目</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监督抽查内容与要求</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监督抽查方法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1"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w:t>
            </w:r>
          </w:p>
        </w:tc>
        <w:tc>
          <w:tcPr>
            <w:tcW w:w="1957" w:type="dxa"/>
            <w:vAlign w:val="center"/>
          </w:tcPr>
          <w:p>
            <w:pPr>
              <w:spacing w:line="360" w:lineRule="auto"/>
              <w:jc w:val="center"/>
              <w:outlineLvl w:val="2"/>
              <w:rPr>
                <w:rFonts w:ascii="宋体" w:hAnsi="宋体" w:eastAsia="宋体" w:cs="宋体"/>
              </w:rPr>
            </w:pPr>
            <w:bookmarkStart w:id="188" w:name="_Toc5284"/>
            <w:r>
              <w:rPr>
                <w:rFonts w:hint="eastAsia" w:ascii="宋体" w:hAnsi="宋体" w:eastAsia="宋体" w:cs="宋体"/>
              </w:rPr>
              <w:t>使用管理</w:t>
            </w:r>
            <w:bookmarkEnd w:id="188"/>
          </w:p>
        </w:tc>
        <w:tc>
          <w:tcPr>
            <w:tcW w:w="3690" w:type="dxa"/>
            <w:vAlign w:val="center"/>
          </w:tcPr>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（1）使用单位管理制度及相关档案：</w:t>
            </w:r>
          </w:p>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①安全管理制度；②安全技术档案；③日常巡查、检查，运行故障和事故记录；④应急救援预案及演练记录</w:t>
            </w:r>
          </w:p>
          <w:p>
            <w:pPr>
              <w:pStyle w:val="17"/>
              <w:spacing w:line="360" w:lineRule="auto"/>
              <w:jc w:val="both"/>
              <w:rPr>
                <w:rFonts w:ascii="宋体" w:hAnsi="宋体" w:eastAsia="宋体" w:cs="宋体"/>
                <w:sz w:val="24"/>
                <w:szCs w:val="24"/>
              </w:rPr>
            </w:pPr>
            <w:r>
              <w:rPr>
                <w:rFonts w:hint="eastAsia" w:ascii="宋体" w:hAnsi="宋体" w:eastAsia="宋体" w:cs="宋体"/>
                <w:sz w:val="24"/>
                <w:szCs w:val="24"/>
              </w:rPr>
              <w:t>（2）应在电梯显著位置进行下列标识：①特种设备使用标志；②电梯使用安全注意事项；③96333标识；④警示标志；</w:t>
            </w:r>
          </w:p>
        </w:tc>
        <w:tc>
          <w:tcPr>
            <w:tcW w:w="3331" w:type="dxa"/>
            <w:vAlign w:val="center"/>
          </w:tcPr>
          <w:p>
            <w:pPr>
              <w:pStyle w:val="17"/>
              <w:spacing w:line="360" w:lineRule="auto"/>
              <w:jc w:val="center"/>
              <w:rPr>
                <w:rFonts w:ascii="宋体" w:hAnsi="宋体" w:eastAsia="宋体" w:cs="宋体"/>
                <w:sz w:val="24"/>
                <w:szCs w:val="24"/>
              </w:rPr>
            </w:pPr>
            <w:r>
              <w:rPr>
                <w:rFonts w:hint="eastAsia" w:ascii="宋体" w:hAnsi="宋体" w:eastAsia="宋体" w:cs="宋体"/>
                <w:sz w:val="24"/>
                <w:szCs w:val="24"/>
              </w:rPr>
              <w:t>现场查看资料；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1"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w:t>
            </w:r>
          </w:p>
        </w:tc>
        <w:tc>
          <w:tcPr>
            <w:tcW w:w="1957" w:type="dxa"/>
            <w:vAlign w:val="center"/>
          </w:tcPr>
          <w:p>
            <w:pPr>
              <w:spacing w:line="360" w:lineRule="auto"/>
              <w:jc w:val="center"/>
              <w:outlineLvl w:val="2"/>
              <w:rPr>
                <w:rFonts w:ascii="宋体" w:hAnsi="宋体" w:eastAsia="宋体" w:cs="宋体"/>
                <w:bCs/>
              </w:rPr>
            </w:pPr>
            <w:bookmarkStart w:id="189" w:name="_Toc27131"/>
            <w:r>
              <w:rPr>
                <w:rFonts w:hint="eastAsia" w:ascii="宋体" w:hAnsi="宋体" w:eastAsia="宋体" w:cs="宋体"/>
                <w:bCs/>
              </w:rPr>
              <w:t>维护保</w:t>
            </w:r>
            <w:bookmarkEnd w:id="189"/>
          </w:p>
          <w:p>
            <w:pPr>
              <w:spacing w:line="360" w:lineRule="auto"/>
              <w:jc w:val="center"/>
              <w:outlineLvl w:val="2"/>
              <w:rPr>
                <w:rFonts w:ascii="宋体" w:hAnsi="宋体" w:eastAsia="宋体" w:cs="宋体"/>
              </w:rPr>
            </w:pPr>
            <w:bookmarkStart w:id="190" w:name="_Toc29053"/>
            <w:r>
              <w:rPr>
                <w:rFonts w:hint="eastAsia" w:ascii="宋体" w:hAnsi="宋体" w:eastAsia="宋体" w:cs="宋体"/>
                <w:bCs/>
              </w:rPr>
              <w:t>养记录</w:t>
            </w:r>
            <w:bookmarkEnd w:id="190"/>
          </w:p>
        </w:tc>
        <w:tc>
          <w:tcPr>
            <w:tcW w:w="3690" w:type="dxa"/>
            <w:vAlign w:val="center"/>
          </w:tcPr>
          <w:p>
            <w:pPr>
              <w:spacing w:line="360" w:lineRule="auto"/>
              <w:rPr>
                <w:rFonts w:ascii="宋体" w:hAnsi="宋体" w:eastAsia="宋体" w:cs="宋体"/>
                <w:bCs/>
              </w:rPr>
            </w:pPr>
            <w:r>
              <w:rPr>
                <w:rFonts w:hint="eastAsia" w:ascii="宋体" w:hAnsi="宋体" w:eastAsia="宋体" w:cs="宋体"/>
                <w:bCs/>
              </w:rPr>
              <w:t>（1）电梯维护保养按照TSG T5002-2017的要求进行半月保养。</w:t>
            </w:r>
          </w:p>
          <w:p>
            <w:pPr>
              <w:spacing w:line="360" w:lineRule="auto"/>
              <w:rPr>
                <w:rFonts w:ascii="宋体" w:hAnsi="宋体" w:eastAsia="宋体" w:cs="宋体"/>
              </w:rPr>
            </w:pPr>
            <w:r>
              <w:rPr>
                <w:rFonts w:hint="eastAsia" w:ascii="宋体" w:hAnsi="宋体" w:eastAsia="宋体" w:cs="宋体"/>
              </w:rPr>
              <w:t>（2）参与按需维保试点的电梯，按照《西安市电梯维护保养模式改革试点工作方案》相关规定组织维保。</w:t>
            </w:r>
          </w:p>
        </w:tc>
        <w:tc>
          <w:tcPr>
            <w:tcW w:w="3331" w:type="dxa"/>
            <w:vAlign w:val="center"/>
          </w:tcPr>
          <w:p>
            <w:pPr>
              <w:spacing w:line="360" w:lineRule="auto"/>
              <w:rPr>
                <w:rFonts w:ascii="宋体" w:hAnsi="宋体" w:eastAsia="宋体" w:cs="宋体"/>
              </w:rPr>
            </w:pPr>
            <w:r>
              <w:rPr>
                <w:rFonts w:hint="eastAsia" w:ascii="宋体" w:hAnsi="宋体" w:eastAsia="宋体" w:cs="宋体"/>
              </w:rPr>
              <w:t>（1）查看维保记录、维保项目是否齐全且符合</w:t>
            </w:r>
            <w:r>
              <w:rPr>
                <w:rFonts w:hint="eastAsia" w:ascii="宋体" w:hAnsi="宋体" w:eastAsia="宋体" w:cs="宋体"/>
                <w:bCs/>
              </w:rPr>
              <w:t>TSG T5002-2017相关要求</w:t>
            </w:r>
            <w:r>
              <w:rPr>
                <w:rFonts w:hint="eastAsia" w:ascii="宋体" w:hAnsi="宋体" w:eastAsia="宋体" w:cs="宋体"/>
              </w:rPr>
              <w:t>;</w:t>
            </w:r>
          </w:p>
          <w:p>
            <w:pPr>
              <w:spacing w:line="360" w:lineRule="auto"/>
              <w:rPr>
                <w:rFonts w:ascii="宋体" w:hAnsi="宋体" w:eastAsia="宋体" w:cs="宋体"/>
              </w:rPr>
            </w:pPr>
            <w:r>
              <w:rPr>
                <w:rFonts w:hint="eastAsia" w:ascii="宋体" w:hAnsi="宋体" w:eastAsia="宋体" w:cs="宋体"/>
              </w:rPr>
              <w:t>（2）检查按需维保内容是否符合《西安市电梯维护保养模式改革试点工作方案》相关要求。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3</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电气部件</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清洁，接线紧固。</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4</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故障显示板</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信号功能正常</w:t>
            </w:r>
          </w:p>
        </w:tc>
        <w:tc>
          <w:tcPr>
            <w:tcW w:w="3331" w:type="dxa"/>
            <w:vAlign w:val="center"/>
          </w:tcPr>
          <w:p>
            <w:pPr>
              <w:spacing w:line="360" w:lineRule="auto"/>
              <w:rPr>
                <w:rFonts w:ascii="宋体" w:hAnsi="宋体" w:eastAsia="宋体" w:cs="宋体"/>
              </w:rPr>
            </w:pPr>
            <w:r>
              <w:rPr>
                <w:rFonts w:hint="eastAsia" w:ascii="宋体" w:hAnsi="宋体" w:eastAsia="宋体" w:cs="宋体"/>
              </w:rPr>
              <w:t>模拟部分故障，观察信号功能是否正常。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5</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设备运行</w:t>
            </w:r>
          </w:p>
          <w:p>
            <w:pPr>
              <w:spacing w:line="360" w:lineRule="auto"/>
              <w:jc w:val="center"/>
              <w:rPr>
                <w:rFonts w:ascii="宋体" w:hAnsi="宋体" w:eastAsia="宋体" w:cs="宋体"/>
              </w:rPr>
            </w:pPr>
            <w:r>
              <w:rPr>
                <w:rFonts w:hint="eastAsia" w:ascii="宋体" w:hAnsi="宋体" w:eastAsia="宋体" w:cs="宋体"/>
              </w:rPr>
              <w:t>状况</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正常，没有异常声响和抖动。</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6</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主驱动链</w:t>
            </w:r>
          </w:p>
        </w:tc>
        <w:tc>
          <w:tcPr>
            <w:tcW w:w="3690" w:type="dxa"/>
            <w:vAlign w:val="center"/>
          </w:tcPr>
          <w:p>
            <w:pPr>
              <w:spacing w:line="360" w:lineRule="auto"/>
              <w:rPr>
                <w:rFonts w:ascii="宋体" w:hAnsi="宋体" w:eastAsia="宋体" w:cs="宋体"/>
              </w:rPr>
            </w:pPr>
            <w:r>
              <w:rPr>
                <w:rFonts w:hint="eastAsia" w:ascii="宋体" w:hAnsi="宋体" w:eastAsia="宋体" w:cs="宋体"/>
              </w:rPr>
              <w:t>运转正常，电气安全保护装置动作有效。</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目测；模拟动作试验。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7</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制动器机械</w:t>
            </w:r>
          </w:p>
          <w:p>
            <w:pPr>
              <w:spacing w:line="360" w:lineRule="auto"/>
              <w:jc w:val="center"/>
              <w:rPr>
                <w:rFonts w:ascii="宋体" w:hAnsi="宋体" w:eastAsia="宋体" w:cs="宋体"/>
              </w:rPr>
            </w:pPr>
            <w:r>
              <w:rPr>
                <w:rFonts w:hint="eastAsia" w:ascii="宋体" w:hAnsi="宋体" w:eastAsia="宋体" w:cs="宋体"/>
              </w:rPr>
              <w:t>装置</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清洁，动作正常。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8</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制动器状态监测开关</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模拟制动器松闸故障，观察确认监测开关有效性。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9</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减速机润滑油</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油量适宜，无渗油。</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10</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电机通风口</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清洁</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11</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检修控制装置</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手动试验检验控制装置功能，应满足TSG T7005-2012附件A：7检修装置的要求。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12</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自动润滑油罐</w:t>
            </w:r>
          </w:p>
          <w:p>
            <w:pPr>
              <w:spacing w:line="360" w:lineRule="auto"/>
              <w:jc w:val="center"/>
              <w:rPr>
                <w:rFonts w:ascii="宋体" w:hAnsi="宋体" w:eastAsia="宋体" w:cs="宋体"/>
              </w:rPr>
            </w:pPr>
            <w:r>
              <w:rPr>
                <w:rFonts w:hint="eastAsia" w:ascii="宋体" w:hAnsi="宋体" w:eastAsia="宋体" w:cs="宋体"/>
              </w:rPr>
              <w:t>油位</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油位正常，润滑系统工作正常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8"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13</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梳齿板开关</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拆下中间部位的梳齿板，用工具使梳齿板向后或者向上移动（或者前后、上下），检查安全装置是否动作，自动扶梯或者自动人行道能否启动。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14</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梳齿板照明</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照明正常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15</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检修盖板和楼层板</w:t>
            </w:r>
          </w:p>
        </w:tc>
        <w:tc>
          <w:tcPr>
            <w:tcW w:w="3690" w:type="dxa"/>
            <w:vAlign w:val="center"/>
          </w:tcPr>
          <w:p>
            <w:pPr>
              <w:spacing w:line="360" w:lineRule="auto"/>
              <w:rPr>
                <w:rFonts w:ascii="宋体" w:hAnsi="宋体" w:eastAsia="宋体" w:cs="宋体"/>
              </w:rPr>
            </w:pPr>
            <w:r>
              <w:rPr>
                <w:rFonts w:hint="eastAsia" w:ascii="宋体" w:hAnsi="宋体" w:eastAsia="宋体" w:cs="宋体"/>
              </w:rPr>
              <w:t>防倾覆或者翻转措施和监控装置有效、可靠。</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16</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紧急停止开关</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操作试验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17</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驱动主机的固定</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牢固可靠</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2"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18</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梯级链张紧开关</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位置正确，动作正常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模拟驱动元件断裂或者过分伸长的状况，检查动作装置能否使安全装置动作，并且使设备停止运行。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19</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梯级、踏板与围裙板之间的间隙</w:t>
            </w:r>
          </w:p>
        </w:tc>
        <w:tc>
          <w:tcPr>
            <w:tcW w:w="3690" w:type="dxa"/>
            <w:vAlign w:val="center"/>
          </w:tcPr>
          <w:p>
            <w:pPr>
              <w:spacing w:line="360" w:lineRule="auto"/>
              <w:rPr>
                <w:rFonts w:ascii="宋体" w:hAnsi="宋体" w:eastAsia="宋体" w:cs="宋体"/>
              </w:rPr>
            </w:pPr>
            <w:r>
              <w:rPr>
                <w:rFonts w:hint="eastAsia" w:ascii="宋体" w:hAnsi="宋体" w:eastAsia="宋体" w:cs="宋体"/>
              </w:rPr>
              <w:t>任何一侧的水平间隙及两侧间隙之和符合标准值。</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目测，测量相关数据。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2"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20</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梳齿板梳齿与踏板面齿槽、导向胶带</w:t>
            </w:r>
          </w:p>
        </w:tc>
        <w:tc>
          <w:tcPr>
            <w:tcW w:w="3690" w:type="dxa"/>
            <w:vAlign w:val="center"/>
          </w:tcPr>
          <w:p>
            <w:pPr>
              <w:spacing w:line="360" w:lineRule="auto"/>
              <w:rPr>
                <w:rFonts w:ascii="宋体" w:hAnsi="宋体" w:eastAsia="宋体" w:cs="宋体"/>
              </w:rPr>
            </w:pPr>
            <w:r>
              <w:rPr>
                <w:rFonts w:hint="eastAsia" w:ascii="宋体" w:hAnsi="宋体" w:eastAsia="宋体" w:cs="宋体"/>
              </w:rPr>
              <w:t>梳齿板完好无损，梳齿板梳齿与踏板面齿槽、导向胶带啮合正常。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21</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防护挡板</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有效，无破损。</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目测，测量相关数据。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22</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梯级滚轮和梯级导轨</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观察梯级滚轮及上下运行情况。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23</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运行方向显示</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24</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扶手带入口处保护开关</w:t>
            </w:r>
          </w:p>
        </w:tc>
        <w:tc>
          <w:tcPr>
            <w:tcW w:w="3690" w:type="dxa"/>
            <w:vAlign w:val="center"/>
          </w:tcPr>
          <w:p>
            <w:pPr>
              <w:spacing w:line="360" w:lineRule="auto"/>
              <w:rPr>
                <w:rFonts w:ascii="宋体" w:hAnsi="宋体" w:eastAsia="宋体" w:cs="宋体"/>
              </w:rPr>
            </w:pPr>
            <w:r>
              <w:rPr>
                <w:rFonts w:hint="eastAsia" w:ascii="宋体" w:hAnsi="宋体" w:eastAsia="宋体" w:cs="宋体"/>
              </w:rPr>
              <w:t>动作灵活可靠，清除入口处垃圾。</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模拟动作试验；目测。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25</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扶手带</w:t>
            </w:r>
          </w:p>
        </w:tc>
        <w:tc>
          <w:tcPr>
            <w:tcW w:w="3690" w:type="dxa"/>
            <w:vAlign w:val="center"/>
          </w:tcPr>
          <w:p>
            <w:pPr>
              <w:spacing w:line="360" w:lineRule="auto"/>
              <w:rPr>
                <w:rFonts w:ascii="宋体" w:hAnsi="宋体" w:eastAsia="宋体" w:cs="宋体"/>
              </w:rPr>
            </w:pPr>
            <w:r>
              <w:rPr>
                <w:rFonts w:hint="eastAsia" w:ascii="宋体" w:hAnsi="宋体" w:eastAsia="宋体" w:cs="宋体"/>
              </w:rPr>
              <w:t>表面无毛刺，无机械损伤，运行无摩擦。</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2"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26</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扶手带运行</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速度正常</w:t>
            </w:r>
          </w:p>
        </w:tc>
        <w:tc>
          <w:tcPr>
            <w:tcW w:w="3331" w:type="dxa"/>
            <w:vAlign w:val="center"/>
          </w:tcPr>
          <w:p>
            <w:pPr>
              <w:spacing w:line="360" w:lineRule="auto"/>
              <w:rPr>
                <w:rFonts w:ascii="宋体" w:hAnsi="宋体" w:eastAsia="宋体" w:cs="宋体"/>
              </w:rPr>
            </w:pPr>
            <w:r>
              <w:rPr>
                <w:rFonts w:hint="eastAsia" w:ascii="宋体" w:hAnsi="宋体" w:eastAsia="宋体" w:cs="宋体"/>
              </w:rPr>
              <w:t>用同步率测试仪等仪器分别测量左右扶手带和梯级、踏板或者胶带速度，检查是否符合要求。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27</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扶手护壁板</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牢固可靠</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28</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上下出入口处照明</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目测；必要时测量梳齿相交线处的光照度。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29</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上下出入口和扶梯之间保护栏杆</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牢固可靠</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30</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出入口安全警示标志</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齐全，醒目。</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31</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分离机房、各驱动和转向站</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清洁，无杂物。</w:t>
            </w:r>
          </w:p>
        </w:tc>
        <w:tc>
          <w:tcPr>
            <w:tcW w:w="3331"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579" w:type="dxa"/>
            <w:vAlign w:val="center"/>
          </w:tcPr>
          <w:p>
            <w:pPr>
              <w:spacing w:line="360" w:lineRule="auto"/>
              <w:jc w:val="center"/>
              <w:rPr>
                <w:rFonts w:ascii="宋体" w:hAnsi="宋体" w:eastAsia="宋体" w:cs="宋体"/>
              </w:rPr>
            </w:pPr>
            <w:r>
              <w:rPr>
                <w:rFonts w:hint="eastAsia" w:ascii="宋体" w:hAnsi="宋体" w:eastAsia="宋体" w:cs="宋体"/>
              </w:rPr>
              <w:t>32</w:t>
            </w:r>
          </w:p>
        </w:tc>
        <w:tc>
          <w:tcPr>
            <w:tcW w:w="1957" w:type="dxa"/>
            <w:vAlign w:val="center"/>
          </w:tcPr>
          <w:p>
            <w:pPr>
              <w:spacing w:line="360" w:lineRule="auto"/>
              <w:jc w:val="center"/>
              <w:rPr>
                <w:rFonts w:ascii="宋体" w:hAnsi="宋体" w:eastAsia="宋体" w:cs="宋体"/>
              </w:rPr>
            </w:pPr>
            <w:r>
              <w:rPr>
                <w:rFonts w:hint="eastAsia" w:ascii="宋体" w:hAnsi="宋体" w:eastAsia="宋体" w:cs="宋体"/>
              </w:rPr>
              <w:t>自动运行功能</w:t>
            </w:r>
          </w:p>
        </w:tc>
        <w:tc>
          <w:tcPr>
            <w:tcW w:w="3690" w:type="dxa"/>
            <w:vAlign w:val="center"/>
          </w:tcPr>
          <w:p>
            <w:pPr>
              <w:spacing w:line="360" w:lineRule="auto"/>
              <w:jc w:val="center"/>
              <w:rPr>
                <w:rFonts w:ascii="宋体" w:hAnsi="宋体" w:eastAsia="宋体" w:cs="宋体"/>
              </w:rPr>
            </w:pPr>
            <w:r>
              <w:rPr>
                <w:rFonts w:hint="eastAsia" w:ascii="宋体" w:hAnsi="宋体" w:eastAsia="宋体" w:cs="宋体"/>
              </w:rPr>
              <w:t>工作正常</w:t>
            </w:r>
          </w:p>
        </w:tc>
        <w:tc>
          <w:tcPr>
            <w:tcW w:w="3331" w:type="dxa"/>
            <w:vAlign w:val="center"/>
          </w:tcPr>
          <w:p>
            <w:pPr>
              <w:spacing w:line="360" w:lineRule="auto"/>
              <w:rPr>
                <w:rFonts w:ascii="宋体" w:hAnsi="宋体" w:eastAsia="宋体" w:cs="宋体"/>
              </w:rPr>
            </w:pPr>
            <w:r>
              <w:rPr>
                <w:rFonts w:hint="eastAsia" w:ascii="宋体" w:hAnsi="宋体" w:eastAsia="宋体" w:cs="宋体"/>
              </w:rPr>
              <w:t>目测；测量检查采用自动启动的自动扶梯或者自动人行道在TSG T7005-2012附件A：8.2项要求条件下的运行时间。</w:t>
            </w:r>
          </w:p>
        </w:tc>
      </w:tr>
    </w:tbl>
    <w:p>
      <w:pPr>
        <w:rPr>
          <w:rFonts w:ascii="宋体" w:hAnsi="宋体" w:eastAsia="宋体" w:cs="宋体"/>
          <w:b/>
          <w:bCs/>
        </w:rPr>
      </w:pPr>
      <w:r>
        <w:rPr>
          <w:rFonts w:hint="eastAsia" w:ascii="宋体" w:hAnsi="宋体" w:eastAsia="宋体" w:cs="宋体"/>
          <w:b/>
          <w:bCs/>
        </w:rPr>
        <w:br w:type="page"/>
      </w:r>
    </w:p>
    <w:p>
      <w:pPr>
        <w:spacing w:line="360" w:lineRule="auto"/>
        <w:rPr>
          <w:rFonts w:ascii="宋体" w:hAnsi="宋体" w:eastAsia="宋体" w:cs="宋体"/>
          <w:b/>
          <w:bCs/>
        </w:rPr>
      </w:pPr>
      <w:r>
        <w:rPr>
          <w:rFonts w:hint="eastAsia" w:ascii="宋体" w:hAnsi="宋体" w:eastAsia="宋体" w:cs="宋体"/>
          <w:b/>
          <w:bCs/>
        </w:rPr>
        <w:t>（二）电梯检验检测质量监督抽查项目内容及方法要求</w:t>
      </w:r>
    </w:p>
    <w:p>
      <w:pPr>
        <w:spacing w:line="360" w:lineRule="auto"/>
        <w:ind w:firstLine="496" w:firstLineChars="200"/>
        <w:rPr>
          <w:rFonts w:ascii="宋体" w:hAnsi="宋体" w:eastAsia="宋体" w:cs="宋体"/>
        </w:rPr>
      </w:pPr>
      <w:r>
        <w:rPr>
          <w:rFonts w:hint="eastAsia" w:ascii="宋体" w:hAnsi="宋体" w:eastAsia="宋体" w:cs="宋体"/>
        </w:rPr>
        <w:t>1.曳引驱动电梯</w:t>
      </w:r>
    </w:p>
    <w:tbl>
      <w:tblPr>
        <w:tblStyle w:val="33"/>
        <w:tblW w:w="95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1"/>
        <w:gridCol w:w="1454"/>
        <w:gridCol w:w="4969"/>
        <w:gridCol w:w="2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项目</w:t>
            </w:r>
          </w:p>
        </w:tc>
        <w:tc>
          <w:tcPr>
            <w:tcW w:w="4969" w:type="dxa"/>
            <w:vAlign w:val="center"/>
          </w:tcPr>
          <w:p>
            <w:pPr>
              <w:spacing w:line="360" w:lineRule="auto"/>
              <w:jc w:val="center"/>
              <w:rPr>
                <w:rFonts w:ascii="宋体" w:hAnsi="宋体" w:eastAsia="宋体" w:cs="宋体"/>
              </w:rPr>
            </w:pPr>
            <w:r>
              <w:rPr>
                <w:rFonts w:hint="eastAsia" w:ascii="宋体" w:hAnsi="宋体" w:eastAsia="宋体" w:cs="宋体"/>
              </w:rPr>
              <w:t>监督抽查内容与要求</w:t>
            </w:r>
          </w:p>
        </w:tc>
        <w:tc>
          <w:tcPr>
            <w:tcW w:w="2594" w:type="dxa"/>
            <w:vAlign w:val="center"/>
          </w:tcPr>
          <w:p>
            <w:pPr>
              <w:spacing w:line="360" w:lineRule="auto"/>
              <w:jc w:val="center"/>
              <w:rPr>
                <w:rFonts w:ascii="宋体" w:hAnsi="宋体" w:eastAsia="宋体" w:cs="宋体"/>
              </w:rPr>
            </w:pPr>
            <w:r>
              <w:rPr>
                <w:rFonts w:hint="eastAsia" w:ascii="宋体" w:hAnsi="宋体" w:eastAsia="宋体" w:cs="宋体"/>
              </w:rPr>
              <w:t>监督抽查方法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w:t>
            </w:r>
          </w:p>
        </w:tc>
        <w:tc>
          <w:tcPr>
            <w:tcW w:w="1454" w:type="dxa"/>
            <w:vAlign w:val="center"/>
          </w:tcPr>
          <w:p>
            <w:pPr>
              <w:spacing w:line="360" w:lineRule="auto"/>
              <w:jc w:val="center"/>
              <w:outlineLvl w:val="2"/>
              <w:rPr>
                <w:rFonts w:ascii="宋体" w:hAnsi="宋体" w:eastAsia="宋体" w:cs="宋体"/>
              </w:rPr>
            </w:pPr>
            <w:bookmarkStart w:id="191" w:name="_Toc3604"/>
            <w:r>
              <w:rPr>
                <w:rFonts w:hint="eastAsia" w:ascii="宋体" w:hAnsi="宋体" w:eastAsia="宋体" w:cs="宋体"/>
              </w:rPr>
              <w:t>驱动主机</w:t>
            </w:r>
            <w:bookmarkEnd w:id="191"/>
          </w:p>
        </w:tc>
        <w:tc>
          <w:tcPr>
            <w:tcW w:w="4969" w:type="dxa"/>
            <w:vAlign w:val="center"/>
          </w:tcPr>
          <w:p>
            <w:pPr>
              <w:spacing w:line="360" w:lineRule="auto"/>
              <w:rPr>
                <w:rFonts w:ascii="宋体" w:hAnsi="宋体" w:eastAsia="宋体" w:cs="宋体"/>
              </w:rPr>
            </w:pPr>
            <w:r>
              <w:rPr>
                <w:rFonts w:hint="eastAsia" w:ascii="宋体" w:hAnsi="宋体" w:eastAsia="宋体" w:cs="宋体"/>
              </w:rPr>
              <w:t xml:space="preserve">（1）驱动主机工作时无异常噪声和振动 </w:t>
            </w:r>
          </w:p>
          <w:p>
            <w:pPr>
              <w:spacing w:line="360" w:lineRule="auto"/>
              <w:rPr>
                <w:rFonts w:ascii="宋体" w:hAnsi="宋体" w:eastAsia="宋体" w:cs="宋体"/>
              </w:rPr>
            </w:pPr>
            <w:r>
              <w:rPr>
                <w:rFonts w:hint="eastAsia" w:ascii="宋体" w:hAnsi="宋体" w:eastAsia="宋体" w:cs="宋体"/>
              </w:rPr>
              <w:t>（2）曳引轮轮槽不得有缺损或者不正常磨损；如果轮槽的磨损有可能影响曳引能力时进行曳引能力验证试验；</w:t>
            </w:r>
          </w:p>
          <w:p>
            <w:pPr>
              <w:spacing w:line="360" w:lineRule="auto"/>
              <w:rPr>
                <w:rFonts w:ascii="宋体" w:hAnsi="宋体" w:eastAsia="宋体" w:cs="宋体"/>
              </w:rPr>
            </w:pPr>
            <w:r>
              <w:rPr>
                <w:rFonts w:hint="eastAsia" w:ascii="宋体" w:hAnsi="宋体" w:eastAsia="宋体" w:cs="宋体"/>
              </w:rPr>
              <w:t>（3）手动紧急操作应当符合以下要求：①对于可拆卸盘车手轮，设有一个电气安全装置，最迟在盘车手轮装上电梯驱动主机时动作；②松闸扳手涂成红色，盘车手轮是无辐条的并涂成黄色，可拆卸盘车手轮 放置在机房内容易接近的明显部位；③在电梯驱动主机上接近盘车手轮处，明显标出轿厢运行方向，如果手轮是不能拆卸的可以在手轮上标出；</w:t>
            </w:r>
          </w:p>
        </w:tc>
        <w:tc>
          <w:tcPr>
            <w:tcW w:w="2594" w:type="dxa"/>
            <w:vAlign w:val="center"/>
          </w:tcPr>
          <w:p>
            <w:pPr>
              <w:spacing w:line="360" w:lineRule="auto"/>
              <w:rPr>
                <w:rFonts w:ascii="宋体" w:hAnsi="宋体" w:eastAsia="宋体" w:cs="宋体"/>
              </w:rPr>
            </w:pPr>
            <w:r>
              <w:rPr>
                <w:rFonts w:hint="eastAsia" w:ascii="宋体" w:hAnsi="宋体" w:eastAsia="宋体" w:cs="宋体"/>
              </w:rPr>
              <w:t>（1）目测驱动主机的工作情况</w:t>
            </w:r>
          </w:p>
          <w:p>
            <w:pPr>
              <w:spacing w:line="360" w:lineRule="auto"/>
              <w:rPr>
                <w:rFonts w:ascii="宋体" w:hAnsi="宋体" w:eastAsia="宋体" w:cs="宋体"/>
              </w:rPr>
            </w:pPr>
            <w:r>
              <w:rPr>
                <w:rFonts w:hint="eastAsia" w:ascii="宋体" w:hAnsi="宋体" w:eastAsia="宋体" w:cs="宋体"/>
              </w:rPr>
              <w:t>（2）现场检查曳引轮轮槽状况；</w:t>
            </w:r>
          </w:p>
          <w:p>
            <w:pPr>
              <w:spacing w:line="360" w:lineRule="auto"/>
              <w:rPr>
                <w:rFonts w:ascii="宋体" w:hAnsi="宋体" w:eastAsia="宋体" w:cs="宋体"/>
              </w:rPr>
            </w:pPr>
            <w:r>
              <w:rPr>
                <w:rFonts w:hint="eastAsia" w:ascii="宋体" w:hAnsi="宋体" w:eastAsia="宋体" w:cs="宋体"/>
              </w:rPr>
              <w:t>（3）通过目测和模拟操作验证手动紧急操作装置的设置情况。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2</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制动器</w:t>
            </w:r>
          </w:p>
        </w:tc>
        <w:tc>
          <w:tcPr>
            <w:tcW w:w="4969" w:type="dxa"/>
            <w:vAlign w:val="center"/>
          </w:tcPr>
          <w:p>
            <w:pPr>
              <w:spacing w:line="360" w:lineRule="auto"/>
              <w:rPr>
                <w:rFonts w:ascii="宋体" w:hAnsi="宋体" w:eastAsia="宋体" w:cs="宋体"/>
              </w:rPr>
            </w:pPr>
            <w:r>
              <w:rPr>
                <w:rFonts w:hint="eastAsia" w:ascii="宋体" w:hAnsi="宋体" w:eastAsia="宋体" w:cs="宋体"/>
              </w:rPr>
              <w:t>（1）制动器动作灵活，制动时制动闸瓦(制动钳)紧密、均匀地贴合在制动轮(制动盘)上，电梯运行时制动闸瓦(制动钳)与制动轮(制动盘)不发生摩擦，制动闸瓦(制动钳)以及制动轮(制动盘)工作面上没有油污；</w:t>
            </w:r>
          </w:p>
          <w:p>
            <w:pPr>
              <w:spacing w:line="360" w:lineRule="auto"/>
              <w:rPr>
                <w:rFonts w:ascii="宋体" w:hAnsi="宋体" w:eastAsia="宋体" w:cs="宋体"/>
              </w:rPr>
            </w:pPr>
            <w:r>
              <w:rPr>
                <w:rFonts w:hint="eastAsia" w:ascii="宋体" w:hAnsi="宋体" w:eastAsia="宋体" w:cs="宋体"/>
              </w:rPr>
              <w:t>（2）轿厢空载以正常运行速度上行时，切断电动机与制动器供电，轿厢应当完全停止，并且无明显变形和损坏；</w:t>
            </w:r>
          </w:p>
          <w:p>
            <w:pPr>
              <w:spacing w:line="360" w:lineRule="auto"/>
              <w:rPr>
                <w:rFonts w:ascii="宋体" w:hAnsi="宋体" w:eastAsia="宋体" w:cs="宋体"/>
              </w:rPr>
            </w:pPr>
            <w:r>
              <w:rPr>
                <w:rFonts w:hint="eastAsia" w:ascii="宋体" w:hAnsi="宋体" w:eastAsia="宋体" w:cs="宋体"/>
              </w:rPr>
              <w:t>（3）使用鼓式制动器的电梯，完成电磁铁拆解保养和松闸顶杆更换工作。</w:t>
            </w:r>
          </w:p>
        </w:tc>
        <w:tc>
          <w:tcPr>
            <w:tcW w:w="2594" w:type="dxa"/>
            <w:vAlign w:val="center"/>
          </w:tcPr>
          <w:p>
            <w:pPr>
              <w:spacing w:line="360" w:lineRule="auto"/>
              <w:rPr>
                <w:rFonts w:ascii="宋体" w:hAnsi="宋体" w:eastAsia="宋体" w:cs="宋体"/>
              </w:rPr>
            </w:pPr>
            <w:r>
              <w:rPr>
                <w:rFonts w:hint="eastAsia" w:ascii="宋体" w:hAnsi="宋体" w:eastAsia="宋体" w:cs="宋体"/>
              </w:rPr>
              <w:t>（1）目测制动器工作情况；</w:t>
            </w:r>
          </w:p>
          <w:p>
            <w:pPr>
              <w:spacing w:line="360" w:lineRule="auto"/>
              <w:rPr>
                <w:rFonts w:ascii="宋体" w:hAnsi="宋体" w:eastAsia="宋体" w:cs="宋体"/>
              </w:rPr>
            </w:pPr>
            <w:r>
              <w:rPr>
                <w:rFonts w:hint="eastAsia" w:ascii="宋体" w:hAnsi="宋体" w:eastAsia="宋体" w:cs="宋体"/>
              </w:rPr>
              <w:t>（2）轿厢空载以正常运行速度上行时，断开主开关，检查轿厢停止及完好情况；</w:t>
            </w:r>
          </w:p>
          <w:p>
            <w:pPr>
              <w:spacing w:line="360" w:lineRule="auto"/>
              <w:rPr>
                <w:rFonts w:ascii="宋体" w:hAnsi="宋体" w:eastAsia="宋体" w:cs="宋体"/>
              </w:rPr>
            </w:pPr>
            <w:r>
              <w:rPr>
                <w:rFonts w:hint="eastAsia" w:ascii="宋体" w:hAnsi="宋体" w:eastAsia="宋体" w:cs="宋体"/>
              </w:rPr>
              <w:t>（3）查验有关电磁铁拆解保养过程和松闸顶杆更换工作照片、视频资料。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4"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3</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轿厢上行超速保护装置实验</w:t>
            </w:r>
          </w:p>
        </w:tc>
        <w:tc>
          <w:tcPr>
            <w:tcW w:w="4969" w:type="dxa"/>
            <w:vAlign w:val="center"/>
          </w:tcPr>
          <w:p>
            <w:pPr>
              <w:spacing w:line="360" w:lineRule="auto"/>
              <w:rPr>
                <w:rFonts w:ascii="宋体" w:hAnsi="宋体" w:eastAsia="宋体" w:cs="宋体"/>
              </w:rPr>
            </w:pPr>
            <w:r>
              <w:rPr>
                <w:rFonts w:hint="eastAsia" w:ascii="宋体" w:hAnsi="宋体" w:eastAsia="宋体" w:cs="宋体"/>
              </w:rPr>
              <w:t>当轿厢上行速度失控时，轿厢上行超速保护装置应当动作，使轿厢制停或者至少使其速度降低至对重缓冲器的设计范围；该装置动作时，应当使一个电气安全装置动作。</w:t>
            </w:r>
          </w:p>
        </w:tc>
        <w:tc>
          <w:tcPr>
            <w:tcW w:w="2594" w:type="dxa"/>
            <w:vAlign w:val="center"/>
          </w:tcPr>
          <w:p>
            <w:pPr>
              <w:spacing w:line="360" w:lineRule="auto"/>
              <w:rPr>
                <w:rFonts w:ascii="宋体" w:hAnsi="宋体" w:eastAsia="宋体" w:cs="宋体"/>
              </w:rPr>
            </w:pPr>
            <w:r>
              <w:rPr>
                <w:rFonts w:hint="eastAsia" w:ascii="宋体" w:hAnsi="宋体" w:eastAsia="宋体" w:cs="宋体"/>
              </w:rPr>
              <w:t>由维护保养单位按照制造单位规定的方法进行试验，抽查人员现场观察、确认。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4</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轿厢限速器—安全钳动作试验</w:t>
            </w:r>
          </w:p>
        </w:tc>
        <w:tc>
          <w:tcPr>
            <w:tcW w:w="4969" w:type="dxa"/>
            <w:vAlign w:val="center"/>
          </w:tcPr>
          <w:p>
            <w:pPr>
              <w:spacing w:line="360" w:lineRule="auto"/>
              <w:rPr>
                <w:rFonts w:ascii="宋体" w:hAnsi="宋体" w:eastAsia="宋体" w:cs="宋体"/>
              </w:rPr>
            </w:pPr>
            <w:r>
              <w:rPr>
                <w:rFonts w:hint="eastAsia" w:ascii="宋体" w:hAnsi="宋体" w:eastAsia="宋体" w:cs="宋体"/>
              </w:rPr>
              <w:t>轿厢空载，以检修速度下行，进行限速器-安全钳联动试验，限速器、安全钳动作应当可靠。</w:t>
            </w:r>
          </w:p>
        </w:tc>
        <w:tc>
          <w:tcPr>
            <w:tcW w:w="2594" w:type="dxa"/>
            <w:vAlign w:val="center"/>
          </w:tcPr>
          <w:p>
            <w:pPr>
              <w:spacing w:line="360" w:lineRule="auto"/>
              <w:rPr>
                <w:rFonts w:ascii="宋体" w:hAnsi="宋体" w:eastAsia="宋体" w:cs="宋体"/>
              </w:rPr>
            </w:pPr>
            <w:r>
              <w:rPr>
                <w:rFonts w:hint="eastAsia" w:ascii="宋体" w:hAnsi="宋体" w:eastAsia="宋体" w:cs="宋体"/>
              </w:rPr>
              <w:t>轿厢空载以检修速度运行，人为分别使限速器和安全钳的电气安全装置动作，观察轿厢是否停止运行；然后短接限速器和安全钳的电气安全装置，轿厢空载以检修速度向下运行，人为动作限速器，观察轿厢制停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5</w:t>
            </w:r>
          </w:p>
        </w:tc>
        <w:tc>
          <w:tcPr>
            <w:tcW w:w="1454" w:type="dxa"/>
            <w:vAlign w:val="center"/>
          </w:tcPr>
          <w:p>
            <w:pPr>
              <w:adjustRightInd w:val="0"/>
              <w:spacing w:line="360" w:lineRule="auto"/>
              <w:jc w:val="center"/>
              <w:rPr>
                <w:rFonts w:ascii="宋体" w:hAnsi="宋体" w:eastAsia="宋体" w:cs="宋体"/>
                <w:bCs/>
              </w:rPr>
            </w:pPr>
            <w:r>
              <w:rPr>
                <w:rFonts w:hint="eastAsia" w:ascii="宋体" w:hAnsi="宋体" w:eastAsia="宋体" w:cs="宋体"/>
                <w:bCs/>
              </w:rPr>
              <w:t>限速器绳张紧装置</w:t>
            </w:r>
          </w:p>
        </w:tc>
        <w:tc>
          <w:tcPr>
            <w:tcW w:w="4969" w:type="dxa"/>
            <w:vAlign w:val="center"/>
          </w:tcPr>
          <w:p>
            <w:pPr>
              <w:adjustRightInd w:val="0"/>
              <w:spacing w:line="360" w:lineRule="auto"/>
              <w:rPr>
                <w:rFonts w:ascii="宋体" w:hAnsi="宋体" w:eastAsia="宋体" w:cs="宋体"/>
                <w:bCs/>
              </w:rPr>
            </w:pPr>
            <w:r>
              <w:rPr>
                <w:rFonts w:hint="eastAsia" w:ascii="宋体" w:hAnsi="宋体" w:eastAsia="宋体" w:cs="宋体"/>
                <w:bCs/>
              </w:rPr>
              <w:t>当限速器绳断裂或者过分伸长时，应当通过一个电气安全装置的作用，使电梯停止运转。</w:t>
            </w:r>
          </w:p>
        </w:tc>
        <w:tc>
          <w:tcPr>
            <w:tcW w:w="2594" w:type="dxa"/>
            <w:vAlign w:val="center"/>
          </w:tcPr>
          <w:p>
            <w:pPr>
              <w:adjustRightInd w:val="0"/>
              <w:spacing w:line="360" w:lineRule="auto"/>
              <w:rPr>
                <w:rFonts w:ascii="宋体" w:hAnsi="宋体" w:eastAsia="宋体" w:cs="宋体"/>
                <w:bCs/>
              </w:rPr>
            </w:pPr>
            <w:r>
              <w:rPr>
                <w:rFonts w:hint="eastAsia" w:ascii="宋体" w:hAnsi="宋体" w:eastAsia="宋体" w:cs="宋体"/>
                <w:bCs/>
              </w:rPr>
              <w:t>目测及见证功能试验，</w:t>
            </w:r>
            <w:r>
              <w:rPr>
                <w:rFonts w:hint="eastAsia" w:ascii="宋体" w:hAnsi="宋体" w:eastAsia="宋体" w:cs="宋体"/>
              </w:rPr>
              <w:t>验证其功能。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6</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减速箱漏油</w:t>
            </w:r>
          </w:p>
        </w:tc>
        <w:tc>
          <w:tcPr>
            <w:tcW w:w="4969" w:type="dxa"/>
            <w:vAlign w:val="center"/>
          </w:tcPr>
          <w:p>
            <w:pPr>
              <w:spacing w:line="360" w:lineRule="auto"/>
              <w:rPr>
                <w:rFonts w:ascii="宋体" w:hAnsi="宋体" w:eastAsia="宋体" w:cs="宋体"/>
              </w:rPr>
            </w:pPr>
            <w:r>
              <w:rPr>
                <w:rFonts w:hint="eastAsia" w:ascii="宋体" w:hAnsi="宋体" w:eastAsia="宋体" w:cs="宋体"/>
              </w:rPr>
              <w:t>电梯正常工作时，减速箱除蜗杆轴伸出一端允许有轻微的渗油外，其余各处不得有渗油。</w:t>
            </w:r>
          </w:p>
        </w:tc>
        <w:tc>
          <w:tcPr>
            <w:tcW w:w="2594" w:type="dxa"/>
            <w:vAlign w:val="center"/>
          </w:tcPr>
          <w:p>
            <w:pPr>
              <w:spacing w:line="360" w:lineRule="auto"/>
              <w:jc w:val="center"/>
              <w:rPr>
                <w:rFonts w:ascii="宋体" w:hAnsi="宋体" w:eastAsia="宋体" w:cs="宋体"/>
              </w:rPr>
            </w:pPr>
            <w:r>
              <w:rPr>
                <w:rFonts w:hint="eastAsia" w:ascii="宋体" w:hAnsi="宋体" w:eastAsia="宋体" w:cs="宋体"/>
              </w:rPr>
              <w:t>现场目测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7</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断相、错相</w:t>
            </w:r>
          </w:p>
          <w:p>
            <w:pPr>
              <w:spacing w:line="360" w:lineRule="auto"/>
              <w:jc w:val="center"/>
              <w:rPr>
                <w:rFonts w:ascii="宋体" w:hAnsi="宋体" w:eastAsia="宋体" w:cs="宋体"/>
              </w:rPr>
            </w:pPr>
            <w:r>
              <w:rPr>
                <w:rFonts w:hint="eastAsia" w:ascii="宋体" w:hAnsi="宋体" w:eastAsia="宋体" w:cs="宋体"/>
              </w:rPr>
              <w:t>保护装置</w:t>
            </w:r>
          </w:p>
        </w:tc>
        <w:tc>
          <w:tcPr>
            <w:tcW w:w="4969" w:type="dxa"/>
            <w:vAlign w:val="center"/>
          </w:tcPr>
          <w:p>
            <w:pPr>
              <w:spacing w:line="360" w:lineRule="auto"/>
              <w:rPr>
                <w:rFonts w:ascii="宋体" w:hAnsi="宋体" w:eastAsia="宋体" w:cs="宋体"/>
              </w:rPr>
            </w:pPr>
            <w:r>
              <w:rPr>
                <w:rFonts w:hint="eastAsia" w:ascii="宋体" w:hAnsi="宋体" w:eastAsia="宋体" w:cs="宋体"/>
              </w:rPr>
              <w:t>断相、错相保护功能有效，电梯运行与相序无关时，可以不设错相保护。</w:t>
            </w:r>
          </w:p>
        </w:tc>
        <w:tc>
          <w:tcPr>
            <w:tcW w:w="2594" w:type="dxa"/>
            <w:vAlign w:val="center"/>
          </w:tcPr>
          <w:p>
            <w:pPr>
              <w:spacing w:line="360" w:lineRule="auto"/>
              <w:rPr>
                <w:rFonts w:ascii="宋体" w:hAnsi="宋体" w:eastAsia="宋体" w:cs="宋体"/>
              </w:rPr>
            </w:pPr>
            <w:r>
              <w:rPr>
                <w:rFonts w:hint="eastAsia" w:ascii="宋体" w:hAnsi="宋体" w:eastAsia="宋体" w:cs="宋体"/>
              </w:rPr>
              <w:t>断开主开关，在其输出端，分别断开三相交流电源的任意一根导线后，闭合主开关，检查电梯能否启动；断开主开关，在其输出端，调换三相交流电源的两根导线的相互位置后，闭合主开关，检查电梯能否启动。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4"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8</w:t>
            </w:r>
          </w:p>
        </w:tc>
        <w:tc>
          <w:tcPr>
            <w:tcW w:w="1454" w:type="dxa"/>
            <w:vAlign w:val="center"/>
          </w:tcPr>
          <w:p>
            <w:pPr>
              <w:spacing w:line="360" w:lineRule="auto"/>
              <w:jc w:val="center"/>
              <w:outlineLvl w:val="2"/>
              <w:rPr>
                <w:rFonts w:ascii="宋体" w:hAnsi="宋体" w:eastAsia="宋体" w:cs="宋体"/>
              </w:rPr>
            </w:pPr>
            <w:bookmarkStart w:id="192" w:name="_Toc492"/>
            <w:r>
              <w:rPr>
                <w:rFonts w:hint="eastAsia" w:ascii="宋体" w:hAnsi="宋体" w:eastAsia="宋体" w:cs="宋体"/>
              </w:rPr>
              <w:t>紧急照明和</w:t>
            </w:r>
            <w:bookmarkEnd w:id="192"/>
          </w:p>
          <w:p>
            <w:pPr>
              <w:spacing w:line="360" w:lineRule="auto"/>
              <w:jc w:val="center"/>
              <w:outlineLvl w:val="2"/>
              <w:rPr>
                <w:rFonts w:ascii="宋体" w:hAnsi="宋体" w:eastAsia="宋体" w:cs="宋体"/>
              </w:rPr>
            </w:pPr>
            <w:bookmarkStart w:id="193" w:name="_Toc24768"/>
            <w:r>
              <w:rPr>
                <w:rFonts w:hint="eastAsia" w:ascii="宋体" w:hAnsi="宋体" w:eastAsia="宋体" w:cs="宋体"/>
              </w:rPr>
              <w:t>报警装置</w:t>
            </w:r>
            <w:bookmarkEnd w:id="193"/>
          </w:p>
        </w:tc>
        <w:tc>
          <w:tcPr>
            <w:tcW w:w="4969" w:type="dxa"/>
            <w:vAlign w:val="center"/>
          </w:tcPr>
          <w:p>
            <w:pPr>
              <w:spacing w:line="360" w:lineRule="auto"/>
              <w:rPr>
                <w:rFonts w:ascii="宋体" w:hAnsi="宋体" w:eastAsia="宋体" w:cs="宋体"/>
              </w:rPr>
            </w:pPr>
            <w:r>
              <w:rPr>
                <w:rFonts w:hint="eastAsia" w:ascii="宋体" w:hAnsi="宋体" w:eastAsia="宋体" w:cs="宋体"/>
              </w:rPr>
              <w:t>(1)正常照明电源中断时，能够自动接通紧急照明电源；</w:t>
            </w:r>
          </w:p>
          <w:p>
            <w:pPr>
              <w:spacing w:line="360" w:lineRule="auto"/>
              <w:rPr>
                <w:rFonts w:ascii="宋体" w:hAnsi="宋体" w:eastAsia="宋体" w:cs="宋体"/>
              </w:rPr>
            </w:pPr>
            <w:r>
              <w:rPr>
                <w:rFonts w:hint="eastAsia" w:ascii="宋体" w:hAnsi="宋体" w:eastAsia="宋体" w:cs="宋体"/>
              </w:rPr>
              <w:t>(2)紧急报警装置采用对讲系统以便与救援服务持续联系，当电梯行程大于30m时，在轿厢和机房之间也设置对讲系统，紧急报警装置的供电来自本条(1)所述的紧急照明电源或者等效电源；在启动对讲系统后，被困乘客不必 再做其他操作。</w:t>
            </w:r>
          </w:p>
        </w:tc>
        <w:tc>
          <w:tcPr>
            <w:tcW w:w="2594" w:type="dxa"/>
            <w:vAlign w:val="center"/>
          </w:tcPr>
          <w:p>
            <w:pPr>
              <w:spacing w:line="360" w:lineRule="auto"/>
              <w:rPr>
                <w:rFonts w:ascii="宋体" w:hAnsi="宋体" w:eastAsia="宋体" w:cs="宋体"/>
              </w:rPr>
            </w:pPr>
            <w:r>
              <w:rPr>
                <w:rFonts w:hint="eastAsia" w:ascii="宋体" w:hAnsi="宋体" w:eastAsia="宋体" w:cs="宋体"/>
              </w:rPr>
              <w:t>断开正常照明供电电源，验证紧急照明的功能；接通和断开紧急报警装置的正常供电电源，分别验证紧急报警装置的功能。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7"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9</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自动关闭</w:t>
            </w:r>
          </w:p>
          <w:p>
            <w:pPr>
              <w:spacing w:line="360" w:lineRule="auto"/>
              <w:jc w:val="center"/>
              <w:rPr>
                <w:rFonts w:ascii="宋体" w:hAnsi="宋体" w:eastAsia="宋体" w:cs="宋体"/>
              </w:rPr>
            </w:pPr>
            <w:r>
              <w:rPr>
                <w:rFonts w:hint="eastAsia" w:ascii="宋体" w:hAnsi="宋体" w:eastAsia="宋体" w:cs="宋体"/>
              </w:rPr>
              <w:t>层门装置</w:t>
            </w:r>
          </w:p>
        </w:tc>
        <w:tc>
          <w:tcPr>
            <w:tcW w:w="4969" w:type="dxa"/>
            <w:vAlign w:val="center"/>
          </w:tcPr>
          <w:p>
            <w:pPr>
              <w:spacing w:line="360" w:lineRule="auto"/>
              <w:rPr>
                <w:rFonts w:ascii="宋体" w:hAnsi="宋体" w:eastAsia="宋体" w:cs="宋体"/>
              </w:rPr>
            </w:pPr>
            <w:r>
              <w:rPr>
                <w:rFonts w:hint="eastAsia" w:ascii="宋体" w:hAnsi="宋体" w:eastAsia="宋体" w:cs="宋体"/>
              </w:rPr>
              <w:t>在轿门驱动层门的情况下，当轿厢在开锁区域之外时，如果层门开启（无论何种原因），应当有一种装置能够确保该层门自动关闭。自动关闭装置采用重块时，应当有防止重块坠落的措施 。</w:t>
            </w:r>
          </w:p>
        </w:tc>
        <w:tc>
          <w:tcPr>
            <w:tcW w:w="2594"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抽取基站、端站以及至少20%其他层站的层门，将轿厢运行至开锁区域外，打开层门，观察层门关闭情况及防止重块坠落措施的有效性。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10</w:t>
            </w:r>
          </w:p>
        </w:tc>
        <w:tc>
          <w:tcPr>
            <w:tcW w:w="1454" w:type="dxa"/>
            <w:vAlign w:val="center"/>
          </w:tcPr>
          <w:p>
            <w:pPr>
              <w:spacing w:line="360" w:lineRule="auto"/>
              <w:jc w:val="center"/>
              <w:outlineLvl w:val="2"/>
              <w:rPr>
                <w:rFonts w:ascii="宋体" w:hAnsi="宋体" w:eastAsia="宋体" w:cs="宋体"/>
              </w:rPr>
            </w:pPr>
            <w:bookmarkStart w:id="194" w:name="_Toc3999"/>
            <w:r>
              <w:rPr>
                <w:rFonts w:hint="eastAsia" w:ascii="宋体" w:hAnsi="宋体" w:eastAsia="宋体" w:cs="宋体"/>
              </w:rPr>
              <w:t>防止门夹</w:t>
            </w:r>
            <w:bookmarkEnd w:id="194"/>
          </w:p>
          <w:p>
            <w:pPr>
              <w:spacing w:line="360" w:lineRule="auto"/>
              <w:jc w:val="center"/>
              <w:outlineLvl w:val="2"/>
              <w:rPr>
                <w:rFonts w:ascii="宋体" w:hAnsi="宋体" w:eastAsia="宋体" w:cs="宋体"/>
              </w:rPr>
            </w:pPr>
            <w:bookmarkStart w:id="195" w:name="_Toc29085"/>
            <w:r>
              <w:rPr>
                <w:rFonts w:hint="eastAsia" w:ascii="宋体" w:hAnsi="宋体" w:eastAsia="宋体" w:cs="宋体"/>
              </w:rPr>
              <w:t>人的保护</w:t>
            </w:r>
            <w:bookmarkEnd w:id="195"/>
          </w:p>
          <w:p>
            <w:pPr>
              <w:spacing w:line="360" w:lineRule="auto"/>
              <w:jc w:val="center"/>
              <w:outlineLvl w:val="2"/>
              <w:rPr>
                <w:rFonts w:ascii="宋体" w:hAnsi="宋体" w:eastAsia="宋体" w:cs="宋体"/>
              </w:rPr>
            </w:pPr>
            <w:bookmarkStart w:id="196" w:name="_Toc19908"/>
            <w:r>
              <w:rPr>
                <w:rFonts w:hint="eastAsia" w:ascii="宋体" w:hAnsi="宋体" w:eastAsia="宋体" w:cs="宋体"/>
              </w:rPr>
              <w:t>装置</w:t>
            </w:r>
            <w:bookmarkEnd w:id="196"/>
          </w:p>
        </w:tc>
        <w:tc>
          <w:tcPr>
            <w:tcW w:w="4969" w:type="dxa"/>
            <w:vAlign w:val="center"/>
          </w:tcPr>
          <w:p>
            <w:pPr>
              <w:spacing w:line="360" w:lineRule="auto"/>
              <w:rPr>
                <w:rFonts w:ascii="宋体" w:hAnsi="宋体" w:eastAsia="宋体" w:cs="宋体"/>
              </w:rPr>
            </w:pPr>
            <w:r>
              <w:rPr>
                <w:rFonts w:hint="eastAsia" w:ascii="宋体" w:hAnsi="宋体" w:eastAsia="宋体" w:cs="宋体"/>
              </w:rPr>
              <w:t>动力驱动的自动水平滑动门应当设置防止门夹人的保护装置，当人员通过层门入口被正在关闭的门扇撞击或者将被撞击时，该装置应当自动使门重新开启。</w:t>
            </w:r>
          </w:p>
        </w:tc>
        <w:tc>
          <w:tcPr>
            <w:tcW w:w="2594" w:type="dxa"/>
            <w:vAlign w:val="center"/>
          </w:tcPr>
          <w:p>
            <w:pPr>
              <w:spacing w:line="360" w:lineRule="auto"/>
              <w:jc w:val="center"/>
              <w:rPr>
                <w:rFonts w:ascii="宋体" w:hAnsi="宋体" w:eastAsia="宋体" w:cs="宋体"/>
              </w:rPr>
            </w:pPr>
            <w:r>
              <w:rPr>
                <w:rFonts w:hint="eastAsia" w:ascii="宋体" w:hAnsi="宋体" w:eastAsia="宋体" w:cs="宋体"/>
              </w:rPr>
              <w:t>模拟动作试验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11</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门的闭合</w:t>
            </w:r>
          </w:p>
        </w:tc>
        <w:tc>
          <w:tcPr>
            <w:tcW w:w="4969" w:type="dxa"/>
            <w:vAlign w:val="center"/>
          </w:tcPr>
          <w:p>
            <w:pPr>
              <w:spacing w:line="360" w:lineRule="auto"/>
              <w:rPr>
                <w:rFonts w:ascii="宋体" w:hAnsi="宋体" w:eastAsia="宋体" w:cs="宋体"/>
              </w:rPr>
            </w:pPr>
            <w:r>
              <w:rPr>
                <w:rFonts w:hint="eastAsia" w:ascii="宋体" w:hAnsi="宋体" w:eastAsia="宋体" w:cs="宋体"/>
              </w:rPr>
              <w:t>（1）正常运行时应当不能打开层门，除非轿厢在该层门的开锁区域内停止或者停站；如果一个层门或者轿门（或者多扇门中的任何一扇门）开着，在正常操作情况下，应当不能启动电梯或者不能保持继续运行。</w:t>
            </w:r>
          </w:p>
          <w:p>
            <w:pPr>
              <w:spacing w:line="360" w:lineRule="auto"/>
              <w:rPr>
                <w:rFonts w:ascii="宋体" w:hAnsi="宋体" w:eastAsia="宋体" w:cs="宋体"/>
              </w:rPr>
            </w:pPr>
            <w:r>
              <w:rPr>
                <w:rFonts w:hint="eastAsia" w:ascii="宋体" w:hAnsi="宋体" w:eastAsia="宋体" w:cs="宋体"/>
                <w:bCs/>
              </w:rPr>
              <w:t>（2）每个层门和轿门的闭合都应当由电气安全装置来验证,如果滑动门是由数个间接机械连接的门扇组成,则未被锁住的门扇上也应当设置电气安全装置以验证其闭合状态。</w:t>
            </w:r>
          </w:p>
        </w:tc>
        <w:tc>
          <w:tcPr>
            <w:tcW w:w="2594" w:type="dxa"/>
            <w:vAlign w:val="center"/>
          </w:tcPr>
          <w:p>
            <w:pPr>
              <w:spacing w:line="360" w:lineRule="auto"/>
              <w:rPr>
                <w:rFonts w:ascii="宋体" w:hAnsi="宋体" w:eastAsia="宋体" w:cs="宋体"/>
              </w:rPr>
            </w:pPr>
            <w:r>
              <w:rPr>
                <w:rFonts w:hint="eastAsia" w:ascii="宋体" w:hAnsi="宋体" w:eastAsia="宋体" w:cs="宋体"/>
              </w:rPr>
              <w:t>(1)使电梯以检修速度运行，打开层门，检查电梯是否停止；</w:t>
            </w:r>
          </w:p>
          <w:p>
            <w:pPr>
              <w:spacing w:line="360" w:lineRule="auto"/>
              <w:rPr>
                <w:rFonts w:ascii="宋体" w:hAnsi="宋体" w:eastAsia="宋体" w:cs="宋体"/>
              </w:rPr>
            </w:pPr>
            <w:r>
              <w:rPr>
                <w:rFonts w:hint="eastAsia" w:ascii="宋体" w:hAnsi="宋体" w:eastAsia="宋体" w:cs="宋体"/>
              </w:rPr>
              <w:t>(2)将电梯置于检修状态，层门关闭，打开轿门，观察电梯能否运行；</w:t>
            </w:r>
          </w:p>
          <w:p>
            <w:pPr>
              <w:spacing w:line="360" w:lineRule="auto"/>
              <w:rPr>
                <w:rFonts w:ascii="宋体" w:hAnsi="宋体" w:eastAsia="宋体" w:cs="宋体"/>
                <w:bCs/>
              </w:rPr>
            </w:pPr>
            <w:r>
              <w:rPr>
                <w:rFonts w:hint="eastAsia" w:ascii="宋体" w:hAnsi="宋体" w:eastAsia="宋体" w:cs="宋体"/>
              </w:rPr>
              <w:t>(3)对于由数个间接机械连接的门扇组成的滑动门，抽取轿门和基站、端站以及至少 20%其他层站的层门，短接被锁住门扇上的电气安全装置，使各门扇均打开，观察电梯能否运行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7" w:hRule="atLeast"/>
        </w:trPr>
        <w:tc>
          <w:tcPr>
            <w:tcW w:w="581" w:type="dxa"/>
            <w:vAlign w:val="center"/>
          </w:tcPr>
          <w:p>
            <w:pPr>
              <w:spacing w:line="360" w:lineRule="auto"/>
              <w:jc w:val="center"/>
              <w:outlineLvl w:val="2"/>
              <w:rPr>
                <w:rFonts w:ascii="宋体" w:hAnsi="宋体" w:eastAsia="宋体" w:cs="宋体"/>
              </w:rPr>
            </w:pPr>
            <w:bookmarkStart w:id="197" w:name="_Toc2335"/>
            <w:r>
              <w:rPr>
                <w:rFonts w:hint="eastAsia" w:ascii="宋体" w:hAnsi="宋体" w:eastAsia="宋体" w:cs="宋体"/>
              </w:rPr>
              <w:t>12</w:t>
            </w:r>
            <w:bookmarkEnd w:id="197"/>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门的锁紧</w:t>
            </w:r>
          </w:p>
        </w:tc>
        <w:tc>
          <w:tcPr>
            <w:tcW w:w="4969" w:type="dxa"/>
            <w:vAlign w:val="center"/>
          </w:tcPr>
          <w:p>
            <w:pPr>
              <w:spacing w:line="360" w:lineRule="auto"/>
              <w:rPr>
                <w:rFonts w:ascii="宋体" w:hAnsi="宋体" w:eastAsia="宋体" w:cs="宋体"/>
                <w:bCs/>
              </w:rPr>
            </w:pPr>
            <w:r>
              <w:rPr>
                <w:rFonts w:hint="eastAsia" w:ascii="宋体" w:hAnsi="宋体" w:eastAsia="宋体" w:cs="宋体"/>
                <w:bCs/>
              </w:rPr>
              <w:t>（1）每个层门都应当设有符合下述要求的门锁装置：①门锁装置上设有铭牌，标明制造单位名称、型号和型式试验机构的名称或者标志，铭牌和型式试验证书内容相符；②锁紧动作由重力、永久磁铁或者弹簧来产生和保持，即使永久磁铁或者弹簧失效，重力亦不能导致开锁；③轿厢在锁紧元件啮合不小于7mm时才能启动；④门的锁紧由一个电气安全装置来验证，该装置由锁紧元件强制操作而没有任何中间机构，并且能够防止误动作。</w:t>
            </w:r>
          </w:p>
          <w:p>
            <w:pPr>
              <w:spacing w:line="360" w:lineRule="auto"/>
              <w:rPr>
                <w:rFonts w:ascii="宋体" w:hAnsi="宋体" w:eastAsia="宋体" w:cs="宋体"/>
              </w:rPr>
            </w:pPr>
            <w:r>
              <w:rPr>
                <w:rFonts w:hint="eastAsia" w:ascii="宋体" w:hAnsi="宋体" w:eastAsia="宋体" w:cs="宋体"/>
                <w:bCs/>
              </w:rPr>
              <w:t>（2）如果轿门采用了门锁装置，该装置应当符合本条（1）的要求。</w:t>
            </w:r>
          </w:p>
        </w:tc>
        <w:tc>
          <w:tcPr>
            <w:tcW w:w="2594" w:type="dxa"/>
            <w:vAlign w:val="center"/>
          </w:tcPr>
          <w:p>
            <w:pPr>
              <w:spacing w:line="360" w:lineRule="auto"/>
              <w:rPr>
                <w:rFonts w:ascii="宋体" w:hAnsi="宋体" w:eastAsia="宋体" w:cs="宋体"/>
              </w:rPr>
            </w:pPr>
            <w:r>
              <w:rPr>
                <w:rFonts w:hint="eastAsia" w:ascii="宋体" w:hAnsi="宋体" w:eastAsia="宋体" w:cs="宋体"/>
              </w:rPr>
              <w:t>检查锁紧元件啮合情况，认为啮合长度可能不足时，测量电气触点刚闭合时锁紧元件的啮合长度。使电梯以检修速度运行，打开门锁，观察电梯是否停止。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13</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紧急开锁</w:t>
            </w:r>
          </w:p>
          <w:p>
            <w:pPr>
              <w:spacing w:line="360" w:lineRule="auto"/>
              <w:jc w:val="center"/>
              <w:rPr>
                <w:rFonts w:ascii="宋体" w:hAnsi="宋体" w:eastAsia="宋体" w:cs="宋体"/>
              </w:rPr>
            </w:pPr>
            <w:r>
              <w:rPr>
                <w:rFonts w:hint="eastAsia" w:ascii="宋体" w:hAnsi="宋体" w:eastAsia="宋体" w:cs="宋体"/>
              </w:rPr>
              <w:t>装置</w:t>
            </w:r>
          </w:p>
        </w:tc>
        <w:tc>
          <w:tcPr>
            <w:tcW w:w="4969" w:type="dxa"/>
            <w:vAlign w:val="center"/>
          </w:tcPr>
          <w:p>
            <w:pPr>
              <w:spacing w:line="360" w:lineRule="auto"/>
              <w:rPr>
                <w:rFonts w:ascii="宋体" w:hAnsi="宋体" w:eastAsia="宋体" w:cs="宋体"/>
              </w:rPr>
            </w:pPr>
            <w:r>
              <w:rPr>
                <w:rFonts w:hint="eastAsia" w:ascii="宋体" w:hAnsi="宋体" w:eastAsia="宋体" w:cs="宋体"/>
              </w:rPr>
              <w:t>每个层门均应当能够被一把符合要求的钥匙从外面开启；紧急开锁后，在层门闭合时门锁装置不应当保持开锁位置。</w:t>
            </w:r>
          </w:p>
        </w:tc>
        <w:tc>
          <w:tcPr>
            <w:tcW w:w="2594" w:type="dxa"/>
            <w:vAlign w:val="center"/>
          </w:tcPr>
          <w:p>
            <w:pPr>
              <w:spacing w:line="360" w:lineRule="auto"/>
              <w:rPr>
                <w:rFonts w:ascii="宋体" w:hAnsi="宋体" w:eastAsia="宋体" w:cs="宋体"/>
              </w:rPr>
            </w:pPr>
            <w:r>
              <w:rPr>
                <w:rFonts w:hint="eastAsia" w:ascii="宋体" w:hAnsi="宋体" w:eastAsia="宋体" w:cs="宋体"/>
              </w:rPr>
              <w:t>抽取基站、端站以及至少20%其他层站的层门，用钥匙操作紧急开锁装置，验证其功能。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14</w:t>
            </w:r>
          </w:p>
        </w:tc>
        <w:tc>
          <w:tcPr>
            <w:tcW w:w="1454" w:type="dxa"/>
            <w:vAlign w:val="center"/>
          </w:tcPr>
          <w:p>
            <w:pPr>
              <w:spacing w:line="360" w:lineRule="auto"/>
              <w:jc w:val="center"/>
              <w:outlineLvl w:val="2"/>
              <w:rPr>
                <w:rFonts w:ascii="宋体" w:hAnsi="宋体" w:eastAsia="宋体" w:cs="宋体"/>
              </w:rPr>
            </w:pPr>
            <w:bookmarkStart w:id="198" w:name="_Toc9484"/>
            <w:r>
              <w:rPr>
                <w:rFonts w:hint="eastAsia" w:ascii="宋体" w:hAnsi="宋体" w:eastAsia="宋体" w:cs="宋体"/>
              </w:rPr>
              <w:t>地坑设施</w:t>
            </w:r>
            <w:bookmarkEnd w:id="198"/>
          </w:p>
          <w:p>
            <w:pPr>
              <w:spacing w:line="360" w:lineRule="auto"/>
              <w:jc w:val="center"/>
              <w:outlineLvl w:val="2"/>
              <w:rPr>
                <w:rFonts w:ascii="宋体" w:hAnsi="宋体" w:eastAsia="宋体" w:cs="宋体"/>
              </w:rPr>
            </w:pPr>
            <w:bookmarkStart w:id="199" w:name="_Toc28411"/>
            <w:r>
              <w:rPr>
                <w:rFonts w:hint="eastAsia" w:ascii="宋体" w:hAnsi="宋体" w:eastAsia="宋体" w:cs="宋体"/>
              </w:rPr>
              <w:t>与装置</w:t>
            </w:r>
            <w:bookmarkEnd w:id="199"/>
          </w:p>
        </w:tc>
        <w:tc>
          <w:tcPr>
            <w:tcW w:w="4969" w:type="dxa"/>
            <w:vAlign w:val="center"/>
          </w:tcPr>
          <w:p>
            <w:pPr>
              <w:spacing w:line="360" w:lineRule="auto"/>
              <w:rPr>
                <w:rFonts w:ascii="宋体" w:hAnsi="宋体" w:eastAsia="宋体" w:cs="宋体"/>
              </w:rPr>
            </w:pPr>
            <w:r>
              <w:rPr>
                <w:rFonts w:hint="eastAsia" w:ascii="宋体" w:hAnsi="宋体" w:eastAsia="宋体" w:cs="宋体"/>
              </w:rPr>
              <w:t>底坑内应当设置在进入底坑时和底坑地面上均能够方便操作的停止装置，停止装置的操作为双稳态、红色、标以“停止”字样，并且有防止误操作的保护。</w:t>
            </w:r>
          </w:p>
        </w:tc>
        <w:tc>
          <w:tcPr>
            <w:tcW w:w="2594" w:type="dxa"/>
            <w:vAlign w:val="center"/>
          </w:tcPr>
          <w:p>
            <w:pPr>
              <w:spacing w:line="360" w:lineRule="auto"/>
              <w:rPr>
                <w:rFonts w:ascii="宋体" w:hAnsi="宋体" w:eastAsia="宋体" w:cs="宋体"/>
              </w:rPr>
            </w:pPr>
            <w:r>
              <w:rPr>
                <w:rFonts w:hint="eastAsia" w:ascii="宋体" w:hAnsi="宋体" w:eastAsia="宋体" w:cs="宋体"/>
              </w:rPr>
              <w:t>目测；操作验证停止装置功能。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9"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15</w:t>
            </w:r>
          </w:p>
        </w:tc>
        <w:tc>
          <w:tcPr>
            <w:tcW w:w="1454" w:type="dxa"/>
            <w:vAlign w:val="center"/>
          </w:tcPr>
          <w:p>
            <w:pPr>
              <w:spacing w:line="360" w:lineRule="auto"/>
              <w:jc w:val="center"/>
              <w:rPr>
                <w:rFonts w:ascii="宋体" w:hAnsi="宋体" w:eastAsia="宋体" w:cs="宋体"/>
              </w:rPr>
            </w:pPr>
            <w:r>
              <w:rPr>
                <w:rFonts w:hint="eastAsia" w:ascii="宋体" w:hAnsi="宋体" w:eastAsia="宋体" w:cs="宋体"/>
              </w:rPr>
              <w:t>门的运行</w:t>
            </w:r>
          </w:p>
          <w:p>
            <w:pPr>
              <w:spacing w:line="360" w:lineRule="auto"/>
              <w:jc w:val="center"/>
              <w:rPr>
                <w:rFonts w:ascii="宋体" w:hAnsi="宋体" w:eastAsia="宋体" w:cs="宋体"/>
              </w:rPr>
            </w:pPr>
            <w:r>
              <w:rPr>
                <w:rFonts w:hint="eastAsia" w:ascii="宋体" w:hAnsi="宋体" w:eastAsia="宋体" w:cs="宋体"/>
              </w:rPr>
              <w:t>和导向</w:t>
            </w:r>
          </w:p>
        </w:tc>
        <w:tc>
          <w:tcPr>
            <w:tcW w:w="4969" w:type="dxa"/>
            <w:vAlign w:val="center"/>
          </w:tcPr>
          <w:p>
            <w:pPr>
              <w:spacing w:line="360" w:lineRule="auto"/>
              <w:rPr>
                <w:rFonts w:ascii="宋体" w:hAnsi="宋体" w:eastAsia="宋体" w:cs="宋体"/>
              </w:rPr>
            </w:pPr>
            <w:r>
              <w:rPr>
                <w:rFonts w:hint="eastAsia" w:ascii="宋体" w:hAnsi="宋体" w:eastAsia="宋体" w:cs="宋体"/>
              </w:rPr>
              <w:t>层门和轿门正常运行时不得出现脱轨、机械卡阻或者在行程终端时错位；如果磨损、锈蚀或者火灾可能造成层门导向装置失效，应当设置应急导向装置，使层门保持在原有位置。</w:t>
            </w:r>
          </w:p>
        </w:tc>
        <w:tc>
          <w:tcPr>
            <w:tcW w:w="2594" w:type="dxa"/>
            <w:vAlign w:val="center"/>
          </w:tcPr>
          <w:p>
            <w:pPr>
              <w:spacing w:line="360" w:lineRule="auto"/>
              <w:rPr>
                <w:rFonts w:ascii="宋体" w:hAnsi="宋体" w:eastAsia="宋体" w:cs="宋体"/>
              </w:rPr>
            </w:pPr>
            <w:r>
              <w:rPr>
                <w:rFonts w:hint="eastAsia" w:ascii="宋体" w:hAnsi="宋体" w:eastAsia="宋体" w:cs="宋体"/>
              </w:rPr>
              <w:t>对于层门，抽取基站、端站以及至少20%其他层站的层门进行检查，验证其功能。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581" w:type="dxa"/>
            <w:vAlign w:val="center"/>
          </w:tcPr>
          <w:p>
            <w:pPr>
              <w:spacing w:line="360" w:lineRule="auto"/>
              <w:jc w:val="center"/>
              <w:outlineLvl w:val="2"/>
              <w:rPr>
                <w:rFonts w:ascii="宋体" w:hAnsi="宋体" w:eastAsia="宋体" w:cs="宋体"/>
              </w:rPr>
            </w:pPr>
            <w:bookmarkStart w:id="200" w:name="_Toc24828"/>
            <w:r>
              <w:rPr>
                <w:rFonts w:hint="eastAsia" w:ascii="宋体" w:hAnsi="宋体" w:eastAsia="宋体" w:cs="宋体"/>
              </w:rPr>
              <w:t>16</w:t>
            </w:r>
            <w:bookmarkEnd w:id="200"/>
          </w:p>
        </w:tc>
        <w:tc>
          <w:tcPr>
            <w:tcW w:w="1454" w:type="dxa"/>
            <w:vAlign w:val="center"/>
          </w:tcPr>
          <w:p>
            <w:pPr>
              <w:spacing w:line="360" w:lineRule="auto"/>
              <w:jc w:val="center"/>
              <w:outlineLvl w:val="2"/>
              <w:rPr>
                <w:rFonts w:ascii="宋体" w:hAnsi="宋体" w:eastAsia="宋体" w:cs="宋体"/>
              </w:rPr>
            </w:pPr>
            <w:bookmarkStart w:id="201" w:name="_Toc24764"/>
            <w:r>
              <w:rPr>
                <w:rFonts w:hint="eastAsia" w:ascii="宋体" w:hAnsi="宋体" w:eastAsia="宋体" w:cs="宋体"/>
              </w:rPr>
              <w:t>缓冲器</w:t>
            </w:r>
            <w:bookmarkEnd w:id="201"/>
          </w:p>
        </w:tc>
        <w:tc>
          <w:tcPr>
            <w:tcW w:w="4969" w:type="dxa"/>
            <w:vAlign w:val="center"/>
          </w:tcPr>
          <w:p>
            <w:pPr>
              <w:snapToGrid w:val="0"/>
              <w:spacing w:line="360" w:lineRule="auto"/>
              <w:rPr>
                <w:rFonts w:ascii="宋体" w:hAnsi="宋体" w:eastAsia="宋体" w:cs="宋体"/>
              </w:rPr>
            </w:pPr>
            <w:r>
              <w:rPr>
                <w:rFonts w:hint="eastAsia" w:ascii="宋体" w:hAnsi="宋体" w:eastAsia="宋体" w:cs="宋体"/>
              </w:rPr>
              <w:t>(1)轿厢和对重的行程底部极限位置应当设置缓冲器，强制驱动电梯还应当在行程上部极限位置设置缓冲器；蓄能型缓冲器只能用于额定速度不大于1m/s的电梯，耗能型缓冲器可以用于任何额定速度的电梯；</w:t>
            </w:r>
          </w:p>
          <w:p>
            <w:pPr>
              <w:snapToGrid w:val="0"/>
              <w:spacing w:line="360" w:lineRule="auto"/>
              <w:rPr>
                <w:rFonts w:ascii="宋体" w:hAnsi="宋体" w:eastAsia="宋体" w:cs="宋体"/>
              </w:rPr>
            </w:pPr>
            <w:r>
              <w:rPr>
                <w:rFonts w:hint="eastAsia" w:ascii="宋体" w:hAnsi="宋体" w:eastAsia="宋体" w:cs="宋体"/>
              </w:rPr>
              <w:t>(2)缓冲器上应当设有铭牌或者标签，标明制造单位名称、型号、规格参数和型式试验机构的名称或者标志，铭牌或者标签和型式试验合格证内容应当相符；</w:t>
            </w:r>
          </w:p>
          <w:p>
            <w:pPr>
              <w:snapToGrid w:val="0"/>
              <w:spacing w:line="360" w:lineRule="auto"/>
              <w:rPr>
                <w:rFonts w:ascii="宋体" w:hAnsi="宋体" w:eastAsia="宋体" w:cs="宋体"/>
              </w:rPr>
            </w:pPr>
            <w:r>
              <w:rPr>
                <w:rFonts w:hint="eastAsia" w:ascii="宋体" w:hAnsi="宋体" w:eastAsia="宋体" w:cs="宋体"/>
              </w:rPr>
              <w:t>(3)缓冲器应当固定可靠、无明显倾斜，并且无断裂、塑性变形、剥落、破损等现象；</w:t>
            </w:r>
          </w:p>
          <w:p>
            <w:pPr>
              <w:snapToGrid w:val="0"/>
              <w:spacing w:line="360" w:lineRule="auto"/>
              <w:rPr>
                <w:rFonts w:ascii="宋体" w:hAnsi="宋体" w:eastAsia="宋体" w:cs="宋体"/>
              </w:rPr>
            </w:pPr>
            <w:r>
              <w:rPr>
                <w:rFonts w:hint="eastAsia" w:ascii="宋体" w:hAnsi="宋体" w:eastAsia="宋体" w:cs="宋体"/>
              </w:rPr>
              <w:t>(4)耗能型缓冲器液位应当正确，有验证柱塞复位的电气安全装置；</w:t>
            </w:r>
          </w:p>
          <w:p>
            <w:pPr>
              <w:snapToGrid w:val="0"/>
              <w:spacing w:line="360" w:lineRule="auto"/>
              <w:rPr>
                <w:rFonts w:ascii="宋体" w:hAnsi="宋体" w:eastAsia="宋体" w:cs="宋体"/>
              </w:rPr>
            </w:pPr>
            <w:r>
              <w:rPr>
                <w:rFonts w:hint="eastAsia" w:ascii="宋体" w:hAnsi="宋体" w:eastAsia="宋体" w:cs="宋体"/>
              </w:rPr>
              <w:t>(5)对重缓冲器附近应当设置永久性的明显标识，标明当轿厢位于顶层端站平层位置时，对重装置撞板与其缓冲器顶面间的最大允许垂直距离；并且该垂直距离不超过最大允许值</w:t>
            </w:r>
          </w:p>
        </w:tc>
        <w:tc>
          <w:tcPr>
            <w:tcW w:w="2594" w:type="dxa"/>
            <w:vAlign w:val="center"/>
          </w:tcPr>
          <w:p>
            <w:pPr>
              <w:adjustRightInd w:val="0"/>
              <w:snapToGrid w:val="0"/>
              <w:spacing w:line="360" w:lineRule="auto"/>
              <w:rPr>
                <w:rFonts w:ascii="宋体" w:hAnsi="宋体" w:eastAsia="宋体" w:cs="宋体"/>
              </w:rPr>
            </w:pPr>
            <w:r>
              <w:rPr>
                <w:rFonts w:hint="eastAsia" w:ascii="宋体" w:hAnsi="宋体" w:eastAsia="宋体" w:cs="宋体"/>
              </w:rPr>
              <w:t>(1)对照检查缓冲器型式试验合格证和铭牌或者标签；</w:t>
            </w:r>
          </w:p>
          <w:p>
            <w:pPr>
              <w:adjustRightInd w:val="0"/>
              <w:snapToGrid w:val="0"/>
              <w:spacing w:line="360" w:lineRule="auto"/>
              <w:rPr>
                <w:rFonts w:ascii="宋体" w:hAnsi="宋体" w:eastAsia="宋体" w:cs="宋体"/>
              </w:rPr>
            </w:pPr>
            <w:r>
              <w:rPr>
                <w:rFonts w:hint="eastAsia" w:ascii="宋体" w:hAnsi="宋体" w:eastAsia="宋体" w:cs="宋体"/>
              </w:rPr>
              <w:t>(2)目测缓冲器的固定和完好情况；必要时，将限位开关(如果有)、极限开关短接，以检修速度运行空载轿厢，将缓冲器充分压缩后，观察缓冲器有无断裂、塑性变形、剥落、破损等现象；</w:t>
            </w:r>
          </w:p>
          <w:p>
            <w:pPr>
              <w:adjustRightInd w:val="0"/>
              <w:snapToGrid w:val="0"/>
              <w:spacing w:line="360" w:lineRule="auto"/>
              <w:rPr>
                <w:rFonts w:ascii="宋体" w:hAnsi="宋体" w:eastAsia="宋体" w:cs="宋体"/>
              </w:rPr>
            </w:pPr>
            <w:r>
              <w:rPr>
                <w:rFonts w:hint="eastAsia" w:ascii="宋体" w:hAnsi="宋体" w:eastAsia="宋体" w:cs="宋体"/>
              </w:rPr>
              <w:t>(3)目测耗能型缓冲器的液位和电气安全装置；</w:t>
            </w:r>
          </w:p>
          <w:p>
            <w:pPr>
              <w:adjustRightInd w:val="0"/>
              <w:snapToGrid w:val="0"/>
              <w:spacing w:line="360" w:lineRule="auto"/>
              <w:rPr>
                <w:rFonts w:ascii="宋体" w:hAnsi="宋体" w:eastAsia="宋体" w:cs="宋体"/>
              </w:rPr>
            </w:pPr>
            <w:r>
              <w:rPr>
                <w:rFonts w:hint="eastAsia" w:ascii="宋体" w:hAnsi="宋体" w:eastAsia="宋体" w:cs="宋体"/>
              </w:rPr>
              <w:t>(4)目测对重越程距离标识；定期检验时，查验当轿厢位于顶层端站平层位置时，对重装置撞板与其缓冲器顶面间的垂直距离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17</w:t>
            </w:r>
          </w:p>
        </w:tc>
        <w:tc>
          <w:tcPr>
            <w:tcW w:w="1454" w:type="dxa"/>
            <w:vAlign w:val="center"/>
          </w:tcPr>
          <w:p>
            <w:pPr>
              <w:spacing w:line="360" w:lineRule="auto"/>
              <w:jc w:val="center"/>
              <w:outlineLvl w:val="2"/>
              <w:rPr>
                <w:rFonts w:ascii="宋体" w:hAnsi="宋体" w:eastAsia="宋体" w:cs="宋体"/>
              </w:rPr>
            </w:pPr>
            <w:bookmarkStart w:id="202" w:name="_Toc20647"/>
            <w:r>
              <w:rPr>
                <w:rFonts w:hint="eastAsia" w:ascii="宋体" w:hAnsi="宋体" w:eastAsia="宋体" w:cs="宋体"/>
              </w:rPr>
              <w:t>对重（平衡</w:t>
            </w:r>
            <w:bookmarkEnd w:id="202"/>
          </w:p>
          <w:p>
            <w:pPr>
              <w:spacing w:line="360" w:lineRule="auto"/>
              <w:jc w:val="center"/>
              <w:outlineLvl w:val="2"/>
              <w:rPr>
                <w:rFonts w:ascii="宋体" w:hAnsi="宋体" w:eastAsia="宋体" w:cs="宋体"/>
              </w:rPr>
            </w:pPr>
            <w:bookmarkStart w:id="203" w:name="_Toc8721"/>
            <w:r>
              <w:rPr>
                <w:rFonts w:hint="eastAsia" w:ascii="宋体" w:hAnsi="宋体" w:eastAsia="宋体" w:cs="宋体"/>
              </w:rPr>
              <w:t>重）块</w:t>
            </w:r>
            <w:bookmarkEnd w:id="203"/>
          </w:p>
        </w:tc>
        <w:tc>
          <w:tcPr>
            <w:tcW w:w="4969" w:type="dxa"/>
            <w:vAlign w:val="center"/>
          </w:tcPr>
          <w:p>
            <w:pPr>
              <w:spacing w:line="360" w:lineRule="auto"/>
              <w:rPr>
                <w:rFonts w:ascii="宋体" w:hAnsi="宋体" w:eastAsia="宋体" w:cs="宋体"/>
              </w:rPr>
            </w:pPr>
            <w:r>
              <w:rPr>
                <w:rFonts w:hint="eastAsia" w:ascii="宋体" w:hAnsi="宋体" w:eastAsia="宋体" w:cs="宋体"/>
              </w:rPr>
              <w:t>对重(平衡重)块可靠固定，无松动，压板紧固。</w:t>
            </w:r>
          </w:p>
        </w:tc>
        <w:tc>
          <w:tcPr>
            <w:tcW w:w="2594" w:type="dxa"/>
            <w:vAlign w:val="center"/>
          </w:tcPr>
          <w:p>
            <w:pPr>
              <w:spacing w:line="360" w:lineRule="auto"/>
              <w:jc w:val="center"/>
              <w:rPr>
                <w:rFonts w:ascii="宋体" w:hAnsi="宋体" w:eastAsia="宋体" w:cs="宋体"/>
              </w:rPr>
            </w:pPr>
            <w:r>
              <w:rPr>
                <w:rFonts w:hint="eastAsia" w:ascii="宋体" w:hAnsi="宋体" w:eastAsia="宋体" w:cs="宋体"/>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9"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18</w:t>
            </w:r>
          </w:p>
        </w:tc>
        <w:tc>
          <w:tcPr>
            <w:tcW w:w="1454" w:type="dxa"/>
            <w:vAlign w:val="center"/>
          </w:tcPr>
          <w:p>
            <w:pPr>
              <w:adjustRightInd w:val="0"/>
              <w:spacing w:line="360" w:lineRule="auto"/>
              <w:jc w:val="center"/>
              <w:rPr>
                <w:rFonts w:ascii="宋体" w:hAnsi="宋体" w:eastAsia="宋体" w:cs="宋体"/>
                <w:bCs/>
              </w:rPr>
            </w:pPr>
            <w:r>
              <w:rPr>
                <w:rFonts w:hint="eastAsia" w:ascii="宋体" w:hAnsi="宋体" w:eastAsia="宋体" w:cs="宋体"/>
                <w:bCs/>
              </w:rPr>
              <w:t>轿厢与井道壁距离</w:t>
            </w:r>
          </w:p>
        </w:tc>
        <w:tc>
          <w:tcPr>
            <w:tcW w:w="4969" w:type="dxa"/>
            <w:vAlign w:val="center"/>
          </w:tcPr>
          <w:p>
            <w:pPr>
              <w:adjustRightInd w:val="0"/>
              <w:spacing w:line="360" w:lineRule="auto"/>
              <w:rPr>
                <w:rFonts w:ascii="宋体" w:hAnsi="宋体" w:eastAsia="宋体" w:cs="宋体"/>
                <w:bCs/>
              </w:rPr>
            </w:pPr>
            <w:r>
              <w:rPr>
                <w:rFonts w:hint="eastAsia" w:ascii="宋体" w:hAnsi="宋体" w:eastAsia="宋体" w:cs="宋体"/>
                <w:bCs/>
              </w:rPr>
              <w:t>轿厢与面对轿厢入口的井道壁的间距不大于0.15m，对于局部高度不大于0.50m 或者采用垂直滑动门的载货电梯，该间距可以增加到0.20m。如果轿厢装有机械锁紧的门并且门只能在开锁区内打开时，则上述间距不受限制</w:t>
            </w:r>
          </w:p>
        </w:tc>
        <w:tc>
          <w:tcPr>
            <w:tcW w:w="2594" w:type="dxa"/>
            <w:vAlign w:val="center"/>
          </w:tcPr>
          <w:p>
            <w:pPr>
              <w:adjustRightInd w:val="0"/>
              <w:spacing w:line="360" w:lineRule="auto"/>
              <w:rPr>
                <w:rFonts w:ascii="宋体" w:hAnsi="宋体" w:eastAsia="宋体" w:cs="宋体"/>
                <w:bCs/>
              </w:rPr>
            </w:pPr>
            <w:r>
              <w:rPr>
                <w:rFonts w:hint="eastAsia" w:ascii="宋体" w:hAnsi="宋体" w:eastAsia="宋体" w:cs="宋体"/>
                <w:bCs/>
              </w:rPr>
              <w:t>测量相关数据；观察轿厢门锁设置情况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2" w:hRule="atLeast"/>
        </w:trPr>
        <w:tc>
          <w:tcPr>
            <w:tcW w:w="581" w:type="dxa"/>
            <w:vAlign w:val="center"/>
          </w:tcPr>
          <w:p>
            <w:pPr>
              <w:spacing w:line="360" w:lineRule="auto"/>
              <w:jc w:val="center"/>
              <w:rPr>
                <w:rFonts w:ascii="宋体" w:hAnsi="宋体" w:eastAsia="宋体" w:cs="宋体"/>
              </w:rPr>
            </w:pPr>
            <w:r>
              <w:rPr>
                <w:rFonts w:hint="eastAsia" w:ascii="宋体" w:hAnsi="宋体" w:eastAsia="宋体" w:cs="宋体"/>
              </w:rPr>
              <w:t>19</w:t>
            </w:r>
          </w:p>
        </w:tc>
        <w:tc>
          <w:tcPr>
            <w:tcW w:w="1454" w:type="dxa"/>
            <w:vAlign w:val="center"/>
          </w:tcPr>
          <w:p>
            <w:pPr>
              <w:adjustRightInd w:val="0"/>
              <w:spacing w:line="360" w:lineRule="auto"/>
              <w:jc w:val="center"/>
              <w:rPr>
                <w:rFonts w:ascii="宋体" w:hAnsi="宋体" w:eastAsia="宋体" w:cs="宋体"/>
                <w:bCs/>
              </w:rPr>
            </w:pPr>
            <w:r>
              <w:rPr>
                <w:rFonts w:hint="eastAsia" w:ascii="宋体" w:hAnsi="宋体" w:eastAsia="宋体" w:cs="宋体"/>
                <w:bCs/>
              </w:rPr>
              <w:t>应急救援</w:t>
            </w:r>
          </w:p>
          <w:p>
            <w:pPr>
              <w:adjustRightInd w:val="0"/>
              <w:spacing w:line="360" w:lineRule="auto"/>
              <w:jc w:val="center"/>
              <w:rPr>
                <w:rFonts w:ascii="宋体" w:hAnsi="宋体" w:eastAsia="宋体" w:cs="宋体"/>
                <w:bCs/>
              </w:rPr>
            </w:pPr>
            <w:r>
              <w:rPr>
                <w:rFonts w:hint="eastAsia" w:ascii="宋体" w:hAnsi="宋体" w:eastAsia="宋体" w:cs="宋体"/>
                <w:bCs/>
              </w:rPr>
              <w:t>试验</w:t>
            </w:r>
          </w:p>
        </w:tc>
        <w:tc>
          <w:tcPr>
            <w:tcW w:w="4969" w:type="dxa"/>
            <w:vAlign w:val="center"/>
          </w:tcPr>
          <w:p>
            <w:pPr>
              <w:adjustRightInd w:val="0"/>
              <w:spacing w:line="360" w:lineRule="auto"/>
              <w:rPr>
                <w:rFonts w:ascii="宋体" w:hAnsi="宋体" w:eastAsia="宋体" w:cs="宋体"/>
                <w:bCs/>
              </w:rPr>
            </w:pPr>
            <w:r>
              <w:rPr>
                <w:rFonts w:hint="eastAsia" w:ascii="宋体" w:hAnsi="宋体" w:eastAsia="宋体" w:cs="宋体"/>
                <w:bCs/>
              </w:rPr>
              <w:t>（1）在机房内或者紧急操作和动态测试装置上设有明晰的应急救援程序；</w:t>
            </w:r>
          </w:p>
          <w:p>
            <w:pPr>
              <w:adjustRightInd w:val="0"/>
              <w:spacing w:line="360" w:lineRule="auto"/>
              <w:rPr>
                <w:rFonts w:ascii="宋体" w:hAnsi="宋体" w:eastAsia="宋体" w:cs="宋体"/>
                <w:bCs/>
              </w:rPr>
            </w:pPr>
            <w:r>
              <w:rPr>
                <w:rFonts w:hint="eastAsia" w:ascii="宋体" w:hAnsi="宋体" w:eastAsia="宋体" w:cs="宋体"/>
                <w:bCs/>
              </w:rPr>
              <w:t>(2)在各种载荷工况下，按照本条(1)所述的应急救援程序实施操作，能够安全、及时地解救被困人员</w:t>
            </w:r>
          </w:p>
        </w:tc>
        <w:tc>
          <w:tcPr>
            <w:tcW w:w="2594" w:type="dxa"/>
            <w:vAlign w:val="center"/>
          </w:tcPr>
          <w:p>
            <w:pPr>
              <w:spacing w:line="360" w:lineRule="auto"/>
              <w:rPr>
                <w:rFonts w:ascii="宋体" w:hAnsi="宋体" w:eastAsia="宋体" w:cs="宋体"/>
              </w:rPr>
            </w:pPr>
            <w:r>
              <w:rPr>
                <w:rFonts w:hint="eastAsia" w:ascii="宋体" w:hAnsi="宋体" w:eastAsia="宋体" w:cs="宋体"/>
              </w:rPr>
              <w:t>(1)目测；</w:t>
            </w:r>
          </w:p>
          <w:p>
            <w:pPr>
              <w:spacing w:line="360" w:lineRule="auto"/>
              <w:rPr>
                <w:rFonts w:ascii="宋体" w:hAnsi="宋体" w:eastAsia="宋体" w:cs="宋体"/>
                <w:bCs/>
              </w:rPr>
            </w:pPr>
            <w:r>
              <w:rPr>
                <w:rFonts w:hint="eastAsia" w:ascii="宋体" w:hAnsi="宋体" w:eastAsia="宋体" w:cs="宋体"/>
              </w:rPr>
              <w:t>(2)在空载工况下进行。由施工或者维护保养单位进行操作，检验人员现场观察、确认</w:t>
            </w:r>
          </w:p>
        </w:tc>
      </w:tr>
    </w:tbl>
    <w:p>
      <w:pPr>
        <w:rPr>
          <w:rFonts w:ascii="宋体" w:hAnsi="宋体" w:eastAsia="宋体" w:cs="宋体"/>
        </w:rPr>
      </w:pPr>
      <w:r>
        <w:rPr>
          <w:rFonts w:hint="eastAsia" w:ascii="宋体" w:hAnsi="宋体" w:eastAsia="宋体" w:cs="宋体"/>
        </w:rPr>
        <w:br w:type="page"/>
      </w:r>
    </w:p>
    <w:p>
      <w:pPr>
        <w:spacing w:afterLines="50" w:line="360" w:lineRule="auto"/>
        <w:ind w:firstLine="496" w:firstLineChars="200"/>
        <w:rPr>
          <w:rFonts w:ascii="宋体" w:hAnsi="宋体" w:eastAsia="宋体" w:cs="宋体"/>
        </w:rPr>
      </w:pPr>
      <w:r>
        <w:rPr>
          <w:rFonts w:hint="eastAsia" w:ascii="宋体" w:hAnsi="宋体" w:eastAsia="宋体" w:cs="宋体"/>
        </w:rPr>
        <w:t>2.自动扶梯与自动人行道</w:t>
      </w:r>
    </w:p>
    <w:tbl>
      <w:tblPr>
        <w:tblStyle w:val="33"/>
        <w:tblW w:w="935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8"/>
        <w:gridCol w:w="1417"/>
        <w:gridCol w:w="4991"/>
        <w:gridCol w:w="238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568" w:type="dxa"/>
            <w:vAlign w:val="center"/>
          </w:tcPr>
          <w:p>
            <w:pPr>
              <w:spacing w:line="360" w:lineRule="auto"/>
              <w:jc w:val="center"/>
              <w:outlineLvl w:val="2"/>
              <w:rPr>
                <w:rFonts w:ascii="宋体" w:hAnsi="宋体" w:eastAsia="宋体" w:cs="宋体"/>
              </w:rPr>
            </w:pPr>
            <w:bookmarkStart w:id="204" w:name="_Toc15935"/>
            <w:r>
              <w:rPr>
                <w:rFonts w:hint="eastAsia" w:ascii="宋体" w:hAnsi="宋体" w:eastAsia="宋体" w:cs="宋体"/>
              </w:rPr>
              <w:t>序号</w:t>
            </w:r>
            <w:bookmarkEnd w:id="204"/>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项目</w:t>
            </w:r>
          </w:p>
        </w:tc>
        <w:tc>
          <w:tcPr>
            <w:tcW w:w="4991" w:type="dxa"/>
            <w:vAlign w:val="center"/>
          </w:tcPr>
          <w:p>
            <w:pPr>
              <w:spacing w:line="360" w:lineRule="auto"/>
              <w:jc w:val="center"/>
              <w:rPr>
                <w:rFonts w:ascii="宋体" w:hAnsi="宋体" w:eastAsia="宋体" w:cs="宋体"/>
              </w:rPr>
            </w:pPr>
            <w:r>
              <w:rPr>
                <w:rFonts w:hint="eastAsia" w:ascii="宋体" w:hAnsi="宋体" w:eastAsia="宋体" w:cs="宋体"/>
              </w:rPr>
              <w:t>抽查内容及要求</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抽查方法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81"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紧急停止</w:t>
            </w:r>
          </w:p>
          <w:p>
            <w:pPr>
              <w:spacing w:line="360" w:lineRule="auto"/>
              <w:jc w:val="center"/>
              <w:rPr>
                <w:rFonts w:ascii="宋体" w:hAnsi="宋体" w:eastAsia="宋体" w:cs="宋体"/>
              </w:rPr>
            </w:pPr>
            <w:r>
              <w:rPr>
                <w:rFonts w:hint="eastAsia" w:ascii="宋体" w:hAnsi="宋体" w:eastAsia="宋体" w:cs="宋体"/>
              </w:rPr>
              <w:t>装置</w:t>
            </w:r>
          </w:p>
        </w:tc>
        <w:tc>
          <w:tcPr>
            <w:tcW w:w="4991" w:type="dxa"/>
            <w:vAlign w:val="center"/>
          </w:tcPr>
          <w:p>
            <w:pPr>
              <w:spacing w:line="360" w:lineRule="auto"/>
              <w:rPr>
                <w:rFonts w:ascii="宋体" w:hAnsi="宋体" w:eastAsia="宋体" w:cs="宋体"/>
              </w:rPr>
            </w:pPr>
            <w:r>
              <w:rPr>
                <w:rFonts w:hint="eastAsia" w:ascii="宋体" w:hAnsi="宋体" w:eastAsia="宋体" w:cs="宋体"/>
              </w:rPr>
              <w:t>紧急停止装置应当设置在自动扶梯或者自动人行道出入口附近、明显并且易于接近的位置。紧急停止装置应当为红色，有清晰的永久性中文标识；如果紧急停止装置位于扶手装置高度的1/2以下，应当在扶手装置1/2高度以上的醒目位置张贴直径至少为80mm的红底白字“急停”指示标记，箭头指向紧急停止装置。</w:t>
            </w:r>
          </w:p>
        </w:tc>
        <w:tc>
          <w:tcPr>
            <w:tcW w:w="2380" w:type="dxa"/>
            <w:vAlign w:val="center"/>
          </w:tcPr>
          <w:p>
            <w:pPr>
              <w:spacing w:line="360" w:lineRule="auto"/>
              <w:rPr>
                <w:rFonts w:ascii="宋体" w:hAnsi="宋体" w:eastAsia="宋体" w:cs="宋体"/>
              </w:rPr>
            </w:pPr>
            <w:r>
              <w:rPr>
                <w:rFonts w:hint="eastAsia" w:ascii="宋体" w:hAnsi="宋体" w:eastAsia="宋体" w:cs="宋体"/>
              </w:rPr>
              <w:t>操作试验</w:t>
            </w:r>
            <w:r>
              <w:rPr>
                <w:rFonts w:hint="eastAsia" w:ascii="宋体" w:hAnsi="宋体" w:eastAsia="宋体" w:cs="宋体"/>
                <w:bCs/>
              </w:rPr>
              <w:t>，</w:t>
            </w:r>
            <w:r>
              <w:rPr>
                <w:rFonts w:hint="eastAsia" w:ascii="宋体" w:hAnsi="宋体" w:eastAsia="宋体" w:cs="宋体"/>
              </w:rPr>
              <w:t>验证其功能。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9"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2</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出入口保护</w:t>
            </w:r>
          </w:p>
        </w:tc>
        <w:tc>
          <w:tcPr>
            <w:tcW w:w="4991" w:type="dxa"/>
            <w:vAlign w:val="center"/>
          </w:tcPr>
          <w:p>
            <w:pPr>
              <w:numPr>
                <w:ilvl w:val="0"/>
                <w:numId w:val="3"/>
              </w:numPr>
              <w:spacing w:line="360" w:lineRule="auto"/>
              <w:rPr>
                <w:rFonts w:ascii="宋体" w:hAnsi="宋体" w:eastAsia="宋体" w:cs="宋体"/>
              </w:rPr>
            </w:pPr>
            <w:r>
              <w:rPr>
                <w:rFonts w:hint="eastAsia" w:ascii="宋体" w:hAnsi="宋体" w:eastAsia="宋体" w:cs="宋体"/>
              </w:rPr>
              <w:t>在自动扶梯和自动人行道的出入口，应当有充分畅通的区域。该畅通区的宽度至少等于扶手带外缘距离加上每边各80mm，该畅通区纵深尺寸从扶手装置端部算起至少为2.50m；如果该区域的宽度不小于扶手带外缘之间距离的两倍加上每边各80mm，则其纵深尺寸允许减少至2m；</w:t>
            </w:r>
          </w:p>
          <w:p>
            <w:pPr>
              <w:numPr>
                <w:ilvl w:val="0"/>
                <w:numId w:val="3"/>
              </w:numPr>
              <w:spacing w:line="360" w:lineRule="auto"/>
              <w:rPr>
                <w:rFonts w:ascii="宋体" w:hAnsi="宋体" w:eastAsia="宋体" w:cs="宋体"/>
              </w:rPr>
            </w:pPr>
            <w:r>
              <w:rPr>
                <w:rFonts w:hint="eastAsia" w:ascii="宋体" w:hAnsi="宋体" w:eastAsia="宋体" w:cs="宋体"/>
              </w:rPr>
              <w:t>如果人员在出入口可能接触到扶手带的外缘并且引起危险，则应当采取适当的预防措施。例如：①设置固定的阻挡装置以阻止乘客进入该空间；②在危险区域内，由建筑物结构形成的固定护栏至少增加到高出扶手带100mm，并且位于扶手带外缘的80mm至120mm之间。</w:t>
            </w:r>
          </w:p>
        </w:tc>
        <w:tc>
          <w:tcPr>
            <w:tcW w:w="2380" w:type="dxa"/>
            <w:vAlign w:val="center"/>
          </w:tcPr>
          <w:p>
            <w:pPr>
              <w:spacing w:line="360" w:lineRule="auto"/>
              <w:rPr>
                <w:rFonts w:ascii="宋体" w:hAnsi="宋体" w:eastAsia="宋体" w:cs="宋体"/>
              </w:rPr>
            </w:pPr>
            <w:r>
              <w:rPr>
                <w:rFonts w:hint="eastAsia" w:ascii="宋体" w:hAnsi="宋体" w:eastAsia="宋体" w:cs="宋体"/>
              </w:rPr>
              <w:t>目测；测量相关数据。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1"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3</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使用须知</w:t>
            </w:r>
          </w:p>
        </w:tc>
        <w:tc>
          <w:tcPr>
            <w:tcW w:w="4991" w:type="dxa"/>
            <w:vAlign w:val="center"/>
          </w:tcPr>
          <w:p>
            <w:pPr>
              <w:spacing w:line="360" w:lineRule="auto"/>
              <w:rPr>
                <w:rFonts w:ascii="宋体" w:hAnsi="宋体" w:eastAsia="宋体" w:cs="宋体"/>
              </w:rPr>
            </w:pPr>
            <w:r>
              <w:rPr>
                <w:rFonts w:hint="eastAsia" w:ascii="宋体" w:hAnsi="宋体" w:eastAsia="宋体" w:cs="宋体"/>
              </w:rPr>
              <w:t xml:space="preserve">在自动扶梯或自动人行道入口处应当设置使用须知的标牌，标牌须包括以下内容： ①应拉住小孩； ②应抱住宠物； ③握住扶手带；④禁止使用非专用手推车(无坡度自动人行道除外)。 这些使用须知，应尽可能用象形图表示。 </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目测检查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65"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4</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梳齿板保护</w:t>
            </w:r>
          </w:p>
        </w:tc>
        <w:tc>
          <w:tcPr>
            <w:tcW w:w="4991" w:type="dxa"/>
            <w:vAlign w:val="center"/>
          </w:tcPr>
          <w:p>
            <w:pPr>
              <w:spacing w:line="360" w:lineRule="auto"/>
              <w:rPr>
                <w:rFonts w:ascii="宋体" w:hAnsi="宋体" w:eastAsia="宋体" w:cs="宋体"/>
              </w:rPr>
            </w:pPr>
            <w:r>
              <w:rPr>
                <w:rFonts w:hint="eastAsia" w:ascii="宋体" w:hAnsi="宋体" w:eastAsia="宋体" w:cs="宋体"/>
              </w:rPr>
              <w:t>当有异物卡入，并且梳齿与梯级或者踏板不能正常啮合，导致梳齿板与梯级或者踏板发生碰撞时，自动扶梯或者自动人行道应当自动停止运行。</w:t>
            </w:r>
          </w:p>
        </w:tc>
        <w:tc>
          <w:tcPr>
            <w:tcW w:w="2380" w:type="dxa"/>
            <w:vAlign w:val="center"/>
          </w:tcPr>
          <w:p>
            <w:pPr>
              <w:spacing w:line="360" w:lineRule="auto"/>
              <w:rPr>
                <w:rFonts w:ascii="宋体" w:hAnsi="宋体" w:eastAsia="宋体" w:cs="宋体"/>
              </w:rPr>
            </w:pPr>
            <w:r>
              <w:rPr>
                <w:rFonts w:hint="eastAsia" w:ascii="宋体" w:hAnsi="宋体" w:eastAsia="宋体" w:cs="宋体"/>
              </w:rPr>
              <w:t>拆下中间部位的梳齿板，用工具使梳齿板向后或者向上移动（或者前后、上下），检查安全装置是否动作，自动扶梯或自动人行道能否启动。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568" w:type="dxa"/>
            <w:vAlign w:val="center"/>
          </w:tcPr>
          <w:p>
            <w:pPr>
              <w:spacing w:line="360" w:lineRule="auto"/>
              <w:jc w:val="center"/>
              <w:outlineLvl w:val="2"/>
              <w:rPr>
                <w:rFonts w:ascii="宋体" w:hAnsi="宋体" w:eastAsia="宋体" w:cs="宋体"/>
              </w:rPr>
            </w:pPr>
            <w:bookmarkStart w:id="205" w:name="_Toc7331"/>
            <w:r>
              <w:rPr>
                <w:rFonts w:hint="eastAsia" w:ascii="宋体" w:hAnsi="宋体" w:eastAsia="宋体" w:cs="宋体"/>
              </w:rPr>
              <w:t>5</w:t>
            </w:r>
            <w:bookmarkEnd w:id="205"/>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梳齿与梳齿板</w:t>
            </w:r>
          </w:p>
        </w:tc>
        <w:tc>
          <w:tcPr>
            <w:tcW w:w="4991" w:type="dxa"/>
            <w:vAlign w:val="center"/>
          </w:tcPr>
          <w:p>
            <w:pPr>
              <w:spacing w:line="360" w:lineRule="auto"/>
              <w:rPr>
                <w:rFonts w:ascii="宋体" w:hAnsi="宋体" w:eastAsia="宋体" w:cs="宋体"/>
              </w:rPr>
            </w:pPr>
            <w:r>
              <w:rPr>
                <w:rFonts w:hint="eastAsia" w:ascii="宋体" w:hAnsi="宋体" w:eastAsia="宋体" w:cs="宋体"/>
              </w:rPr>
              <w:t xml:space="preserve">梳齿板梳齿或者踏面齿应当完好，不得缺损。梳齿板梳齿与踏板面齿槽的啮合深度应当至少4mm，间隙不超过4mm。 </w:t>
            </w:r>
          </w:p>
        </w:tc>
        <w:tc>
          <w:tcPr>
            <w:tcW w:w="2380" w:type="dxa"/>
            <w:vAlign w:val="center"/>
          </w:tcPr>
          <w:p>
            <w:pPr>
              <w:spacing w:line="360" w:lineRule="auto"/>
              <w:rPr>
                <w:rFonts w:ascii="宋体" w:hAnsi="宋体" w:eastAsia="宋体" w:cs="宋体"/>
              </w:rPr>
            </w:pPr>
            <w:r>
              <w:rPr>
                <w:rFonts w:hint="eastAsia" w:ascii="宋体" w:hAnsi="宋体" w:eastAsia="宋体" w:cs="宋体"/>
              </w:rPr>
              <w:t>目测，测量相关数据。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6</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断错相保护</w:t>
            </w:r>
          </w:p>
        </w:tc>
        <w:tc>
          <w:tcPr>
            <w:tcW w:w="4991" w:type="dxa"/>
            <w:vAlign w:val="center"/>
          </w:tcPr>
          <w:p>
            <w:pPr>
              <w:spacing w:line="360" w:lineRule="auto"/>
              <w:rPr>
                <w:rFonts w:ascii="宋体" w:hAnsi="宋体" w:eastAsia="宋体" w:cs="宋体"/>
              </w:rPr>
            </w:pPr>
            <w:r>
              <w:rPr>
                <w:rFonts w:hint="eastAsia" w:ascii="宋体" w:hAnsi="宋体" w:eastAsia="宋体" w:cs="宋体"/>
                <w:bCs/>
              </w:rPr>
              <w:t>应当设置断相、错相保护装置；当运行与相序无关时，可以不装设错相保护装置。</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bCs/>
              </w:rPr>
              <w:t>功能试验，</w:t>
            </w:r>
            <w:r>
              <w:rPr>
                <w:rFonts w:hint="eastAsia" w:ascii="宋体" w:hAnsi="宋体" w:eastAsia="宋体" w:cs="宋体"/>
              </w:rPr>
              <w:t>验证其功能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1"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7</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检修盖板和楼层板</w:t>
            </w:r>
          </w:p>
        </w:tc>
        <w:tc>
          <w:tcPr>
            <w:tcW w:w="4991" w:type="dxa"/>
            <w:vAlign w:val="center"/>
          </w:tcPr>
          <w:p>
            <w:pPr>
              <w:spacing w:line="360" w:lineRule="auto"/>
              <w:rPr>
                <w:rFonts w:ascii="宋体" w:hAnsi="宋体" w:eastAsia="宋体" w:cs="宋体"/>
              </w:rPr>
            </w:pPr>
            <w:r>
              <w:rPr>
                <w:rFonts w:hint="eastAsia" w:ascii="宋体" w:hAnsi="宋体" w:eastAsia="宋体" w:cs="宋体"/>
              </w:rPr>
              <w:t>（1）应当采取适当的措施(如安装楼层板防倾覆装置、螺栓固定等)，防止楼层板因人员踩踏或者自重的作用而发生倾覆、翻转 。</w:t>
            </w:r>
          </w:p>
          <w:p>
            <w:pPr>
              <w:spacing w:line="360" w:lineRule="auto"/>
              <w:rPr>
                <w:rFonts w:ascii="宋体" w:hAnsi="宋体" w:eastAsia="宋体" w:cs="宋体"/>
              </w:rPr>
            </w:pPr>
            <w:r>
              <w:rPr>
                <w:rFonts w:hint="eastAsia" w:ascii="宋体" w:hAnsi="宋体" w:eastAsia="宋体" w:cs="宋体"/>
              </w:rPr>
              <w:t xml:space="preserve">（2）监控检修盖板和楼层板的电气安全装置的设置应当符合下列要求之一： </w:t>
            </w:r>
          </w:p>
          <w:p>
            <w:pPr>
              <w:spacing w:line="360" w:lineRule="auto"/>
              <w:rPr>
                <w:rFonts w:ascii="宋体" w:hAnsi="宋体" w:eastAsia="宋体" w:cs="宋体"/>
              </w:rPr>
            </w:pPr>
            <w:r>
              <w:rPr>
                <w:rFonts w:hint="eastAsia" w:ascii="宋体" w:hAnsi="宋体" w:eastAsia="宋体" w:cs="宋体"/>
              </w:rPr>
              <w:t>①移除任何一块检修盖板或者楼层板时，电气安全装置动作；</w:t>
            </w:r>
          </w:p>
          <w:p>
            <w:pPr>
              <w:spacing w:line="360" w:lineRule="auto"/>
              <w:rPr>
                <w:rFonts w:ascii="宋体" w:hAnsi="宋体" w:eastAsia="宋体" w:cs="宋体"/>
              </w:rPr>
            </w:pPr>
            <w:r>
              <w:rPr>
                <w:rFonts w:hint="eastAsia" w:ascii="宋体" w:hAnsi="宋体" w:eastAsia="宋体" w:cs="宋体"/>
              </w:rPr>
              <w:t xml:space="preserve">②如果机械结构能够保证只能先移除某一块检修盖板或者楼层板时，至少在移除该块检修盖板或者楼层板后，电气安全装置动作。 </w:t>
            </w:r>
          </w:p>
        </w:tc>
        <w:tc>
          <w:tcPr>
            <w:tcW w:w="2380" w:type="dxa"/>
            <w:vAlign w:val="center"/>
          </w:tcPr>
          <w:p>
            <w:pPr>
              <w:spacing w:line="360" w:lineRule="auto"/>
              <w:rPr>
                <w:rFonts w:ascii="宋体" w:hAnsi="宋体" w:eastAsia="宋体" w:cs="宋体"/>
              </w:rPr>
            </w:pPr>
            <w:r>
              <w:rPr>
                <w:rFonts w:hint="eastAsia" w:ascii="宋体" w:hAnsi="宋体" w:eastAsia="宋体" w:cs="宋体"/>
              </w:rPr>
              <w:t>目测；开启检修盖板、楼层板，观察驱动主机能否启动。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72"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8</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检修控制装置的设置</w:t>
            </w:r>
          </w:p>
        </w:tc>
        <w:tc>
          <w:tcPr>
            <w:tcW w:w="4991" w:type="dxa"/>
            <w:vAlign w:val="center"/>
          </w:tcPr>
          <w:p>
            <w:pPr>
              <w:spacing w:line="360" w:lineRule="auto"/>
              <w:rPr>
                <w:rFonts w:ascii="宋体" w:hAnsi="宋体" w:eastAsia="宋体" w:cs="宋体"/>
                <w:bCs/>
              </w:rPr>
            </w:pPr>
            <w:r>
              <w:rPr>
                <w:rFonts w:hint="eastAsia" w:ascii="宋体" w:hAnsi="宋体" w:eastAsia="宋体" w:cs="宋体"/>
                <w:bCs/>
              </w:rPr>
              <w:t>应当设置符合以下要求的检修控制装置：</w:t>
            </w:r>
          </w:p>
          <w:p>
            <w:pPr>
              <w:spacing w:line="360" w:lineRule="auto"/>
              <w:rPr>
                <w:rFonts w:ascii="宋体" w:hAnsi="宋体" w:eastAsia="宋体" w:cs="宋体"/>
                <w:bCs/>
              </w:rPr>
            </w:pPr>
            <w:r>
              <w:rPr>
                <w:rFonts w:hint="eastAsia" w:ascii="宋体" w:hAnsi="宋体" w:eastAsia="宋体" w:cs="宋体"/>
                <w:bCs/>
              </w:rPr>
              <w:t>（1）在驱动站和转向站内至少提供一个用于便携式控制装置连接的检修插座，检修插座的设置能够使检修控制装置到达自动扶梯或自动人行道的任何位置；</w:t>
            </w:r>
          </w:p>
          <w:p>
            <w:pPr>
              <w:spacing w:line="360" w:lineRule="auto"/>
              <w:rPr>
                <w:rFonts w:ascii="宋体" w:hAnsi="宋体" w:eastAsia="宋体" w:cs="宋体"/>
                <w:bCs/>
              </w:rPr>
            </w:pPr>
            <w:r>
              <w:rPr>
                <w:rFonts w:hint="eastAsia" w:ascii="宋体" w:hAnsi="宋体" w:eastAsia="宋体" w:cs="宋体"/>
                <w:bCs/>
              </w:rPr>
              <w:t>（2）每个检修控制装置应配置一个符合以下要求的停止开关：</w:t>
            </w:r>
          </w:p>
          <w:p>
            <w:pPr>
              <w:spacing w:line="360" w:lineRule="auto"/>
              <w:rPr>
                <w:rFonts w:ascii="宋体" w:hAnsi="宋体" w:eastAsia="宋体" w:cs="宋体"/>
                <w:bCs/>
              </w:rPr>
            </w:pPr>
            <w:r>
              <w:rPr>
                <w:rFonts w:hint="eastAsia" w:ascii="宋体" w:hAnsi="宋体" w:eastAsia="宋体" w:cs="宋体"/>
                <w:bCs/>
              </w:rPr>
              <w:t>①手动操作；②有清晰的位置标记；③符合安全触点要求的安全开关；④需要手动复位;</w:t>
            </w:r>
          </w:p>
          <w:p>
            <w:pPr>
              <w:spacing w:line="360" w:lineRule="auto"/>
              <w:rPr>
                <w:rFonts w:ascii="宋体" w:hAnsi="宋体" w:eastAsia="宋体" w:cs="宋体"/>
              </w:rPr>
            </w:pPr>
            <w:r>
              <w:rPr>
                <w:rFonts w:hint="eastAsia" w:ascii="宋体" w:hAnsi="宋体" w:eastAsia="宋体" w:cs="宋体"/>
                <w:bCs/>
              </w:rPr>
              <w:t>（3）检修控制装置上有明显识别运行方向的标识</w:t>
            </w:r>
          </w:p>
        </w:tc>
        <w:tc>
          <w:tcPr>
            <w:tcW w:w="2380" w:type="dxa"/>
            <w:vAlign w:val="center"/>
          </w:tcPr>
          <w:p>
            <w:pPr>
              <w:spacing w:line="360" w:lineRule="auto"/>
              <w:rPr>
                <w:rFonts w:ascii="宋体" w:hAnsi="宋体" w:eastAsia="宋体" w:cs="宋体"/>
              </w:rPr>
            </w:pPr>
            <w:r>
              <w:rPr>
                <w:rFonts w:hint="eastAsia" w:ascii="宋体" w:hAnsi="宋体" w:eastAsia="宋体" w:cs="宋体"/>
              </w:rPr>
              <w:t>检查检修控制装置是否设置满足要求。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9</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扶手带</w:t>
            </w:r>
          </w:p>
        </w:tc>
        <w:tc>
          <w:tcPr>
            <w:tcW w:w="4991" w:type="dxa"/>
            <w:vAlign w:val="center"/>
          </w:tcPr>
          <w:p>
            <w:pPr>
              <w:spacing w:line="360" w:lineRule="auto"/>
              <w:rPr>
                <w:rFonts w:ascii="宋体" w:hAnsi="宋体" w:eastAsia="宋体" w:cs="宋体"/>
              </w:rPr>
            </w:pPr>
            <w:r>
              <w:rPr>
                <w:rFonts w:hint="eastAsia" w:ascii="宋体" w:hAnsi="宋体" w:eastAsia="宋体" w:cs="宋体"/>
              </w:rPr>
              <w:t>扶手带开口处与导轨或者扶手支架之间的距离在任何情况下均不大于8mm。</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测量相关数据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10</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扶手带入口保护</w:t>
            </w:r>
          </w:p>
        </w:tc>
        <w:tc>
          <w:tcPr>
            <w:tcW w:w="4991" w:type="dxa"/>
            <w:vAlign w:val="center"/>
          </w:tcPr>
          <w:p>
            <w:pPr>
              <w:spacing w:line="360" w:lineRule="auto"/>
              <w:rPr>
                <w:rFonts w:ascii="宋体" w:hAnsi="宋体" w:eastAsia="宋体" w:cs="宋体"/>
              </w:rPr>
            </w:pPr>
            <w:r>
              <w:rPr>
                <w:rFonts w:hint="eastAsia" w:ascii="宋体" w:hAnsi="宋体" w:eastAsia="宋体" w:cs="宋体"/>
              </w:rPr>
              <w:t xml:space="preserve">在扶手转向端的扶手带入口处应当设置手指和手的保护装置，该装置动作时，驱动主机应当不能启动或者立即停止。  </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模拟动作试验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4"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11</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扶手带的运行速度偏差</w:t>
            </w:r>
          </w:p>
        </w:tc>
        <w:tc>
          <w:tcPr>
            <w:tcW w:w="4991" w:type="dxa"/>
            <w:vAlign w:val="center"/>
          </w:tcPr>
          <w:p>
            <w:pPr>
              <w:spacing w:line="360" w:lineRule="auto"/>
              <w:rPr>
                <w:rFonts w:ascii="宋体" w:hAnsi="宋体" w:eastAsia="宋体" w:cs="宋体"/>
              </w:rPr>
            </w:pPr>
            <w:r>
              <w:rPr>
                <w:rFonts w:hint="eastAsia" w:ascii="宋体" w:hAnsi="宋体" w:eastAsia="宋体" w:cs="宋体"/>
              </w:rPr>
              <w:t>扶手带的运行速度相对于梯级、踏板或者胶带实际速度的允许偏差为0-2%。</w:t>
            </w:r>
          </w:p>
        </w:tc>
        <w:tc>
          <w:tcPr>
            <w:tcW w:w="2380" w:type="dxa"/>
            <w:vAlign w:val="center"/>
          </w:tcPr>
          <w:p>
            <w:pPr>
              <w:spacing w:line="360" w:lineRule="auto"/>
              <w:rPr>
                <w:rFonts w:ascii="宋体" w:hAnsi="宋体" w:eastAsia="宋体" w:cs="宋体"/>
              </w:rPr>
            </w:pPr>
            <w:r>
              <w:rPr>
                <w:rFonts w:hint="eastAsia" w:ascii="宋体" w:hAnsi="宋体" w:eastAsia="宋体" w:cs="宋体"/>
              </w:rPr>
              <w:t>使用仪器分别测量左右扶手带和梯级、踏板或者胶带速度，检查是否符合要求。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12</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扶手带外缘距离</w:t>
            </w:r>
          </w:p>
        </w:tc>
        <w:tc>
          <w:tcPr>
            <w:tcW w:w="4991" w:type="dxa"/>
            <w:vAlign w:val="center"/>
          </w:tcPr>
          <w:p>
            <w:pPr>
              <w:spacing w:line="360" w:lineRule="auto"/>
              <w:rPr>
                <w:rFonts w:ascii="宋体" w:hAnsi="宋体" w:eastAsia="宋体" w:cs="宋体"/>
              </w:rPr>
            </w:pPr>
            <w:r>
              <w:rPr>
                <w:rFonts w:hint="eastAsia" w:ascii="宋体" w:hAnsi="宋体" w:eastAsia="宋体" w:cs="宋体"/>
              </w:rPr>
              <w:t>墙壁或其他障碍物与扶手带外缘之间的水平距离在任何情况下均不得小于80mm，与扶手带下缘的垂直距离均不得小于25mm</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目测、测量相关</w:t>
            </w:r>
          </w:p>
          <w:p>
            <w:pPr>
              <w:spacing w:line="360" w:lineRule="auto"/>
              <w:jc w:val="center"/>
              <w:rPr>
                <w:rFonts w:ascii="宋体" w:hAnsi="宋体" w:eastAsia="宋体" w:cs="宋体"/>
              </w:rPr>
            </w:pPr>
            <w:r>
              <w:rPr>
                <w:rFonts w:hint="eastAsia" w:ascii="宋体" w:hAnsi="宋体" w:eastAsia="宋体" w:cs="宋体"/>
              </w:rPr>
              <w:t>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8"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13</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梯级、踏板或者胶带的驱动元件保护</w:t>
            </w:r>
          </w:p>
        </w:tc>
        <w:tc>
          <w:tcPr>
            <w:tcW w:w="4991" w:type="dxa"/>
            <w:vAlign w:val="center"/>
          </w:tcPr>
          <w:p>
            <w:pPr>
              <w:spacing w:line="360" w:lineRule="auto"/>
              <w:rPr>
                <w:rFonts w:ascii="宋体" w:hAnsi="宋体" w:eastAsia="宋体" w:cs="宋体"/>
              </w:rPr>
            </w:pPr>
            <w:r>
              <w:rPr>
                <w:rFonts w:hint="eastAsia" w:ascii="宋体" w:hAnsi="宋体" w:eastAsia="宋体" w:cs="宋体"/>
              </w:rPr>
              <w:t>直接驱动梯级、踏板或者胶带的元件(如：链条或者齿条)断裂或者过分伸长，自动扶梯或者自动人行道应当自动停止运行。</w:t>
            </w:r>
          </w:p>
        </w:tc>
        <w:tc>
          <w:tcPr>
            <w:tcW w:w="2380" w:type="dxa"/>
            <w:vAlign w:val="center"/>
          </w:tcPr>
          <w:p>
            <w:pPr>
              <w:spacing w:line="360" w:lineRule="auto"/>
              <w:rPr>
                <w:rFonts w:ascii="宋体" w:hAnsi="宋体" w:eastAsia="宋体" w:cs="宋体"/>
              </w:rPr>
            </w:pPr>
            <w:r>
              <w:rPr>
                <w:rFonts w:hint="eastAsia" w:ascii="宋体" w:hAnsi="宋体" w:eastAsia="宋体" w:cs="宋体"/>
              </w:rPr>
              <w:t>模拟驱动元件断裂或者过分伸长的状况，检查动作装置能否使安全装置动作，并且使设备停止运行。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64"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14</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梯级、踏板或者胶带与围裙板间隙</w:t>
            </w:r>
          </w:p>
        </w:tc>
        <w:tc>
          <w:tcPr>
            <w:tcW w:w="4991" w:type="dxa"/>
            <w:vAlign w:val="center"/>
          </w:tcPr>
          <w:p>
            <w:pPr>
              <w:spacing w:line="360" w:lineRule="auto"/>
              <w:rPr>
                <w:rFonts w:ascii="宋体" w:hAnsi="宋体" w:eastAsia="宋体" w:cs="宋体"/>
              </w:rPr>
            </w:pPr>
            <w:r>
              <w:rPr>
                <w:rFonts w:hint="eastAsia" w:ascii="宋体" w:hAnsi="宋体" w:eastAsia="宋体" w:cs="宋体"/>
              </w:rPr>
              <w:t>自动扶梯或者自动人行道的围裙板应当设置在梯级、踏板或者胶带的两侧，任何一侧的水平间隙应当不大于4mm，并且两侧对称位置处的间隙总和不大于7mm。</w:t>
            </w:r>
          </w:p>
          <w:p>
            <w:pPr>
              <w:spacing w:line="360" w:lineRule="auto"/>
              <w:rPr>
                <w:rFonts w:ascii="宋体" w:hAnsi="宋体" w:eastAsia="宋体" w:cs="宋体"/>
              </w:rPr>
            </w:pPr>
            <w:r>
              <w:rPr>
                <w:rFonts w:hint="eastAsia" w:ascii="宋体" w:hAnsi="宋体" w:eastAsia="宋体" w:cs="宋体"/>
              </w:rPr>
              <w:t xml:space="preserve">如果自动人行道的围裙板设置在踏板或者胶带之上，则踏板表面与围裙板下端所测得的垂直间隙应当不大于4mm；踏板或者胶带产生横向移动时，不允许踏板或者胶带的侧边与围裙板垂直投影间产生间隙。 </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测量相关数据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1"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15</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防护挡板</w:t>
            </w:r>
          </w:p>
        </w:tc>
        <w:tc>
          <w:tcPr>
            <w:tcW w:w="4991" w:type="dxa"/>
            <w:vAlign w:val="center"/>
          </w:tcPr>
          <w:p>
            <w:pPr>
              <w:spacing w:line="360" w:lineRule="auto"/>
              <w:rPr>
                <w:rFonts w:ascii="宋体" w:hAnsi="宋体" w:eastAsia="宋体" w:cs="宋体"/>
              </w:rPr>
            </w:pPr>
            <w:r>
              <w:rPr>
                <w:rFonts w:hint="eastAsia" w:ascii="宋体" w:hAnsi="宋体" w:eastAsia="宋体" w:cs="宋体"/>
              </w:rPr>
              <w:t>如果建筑物的障碍物会引起人员伤害，应当采取相应的预防措施。特别是在与楼板交叉处以及各交叉设置的自动扶梯或者自动人行道之间，应当设置一个高度不小于0.30m、无锐利边缘的垂直固定封闭防护挡板，位于扶手带上方，并且延伸至扶手带外缘下至少25mm（扶手带外缘与任何障碍物之间距离大于等于400mm的除外）。</w:t>
            </w:r>
          </w:p>
        </w:tc>
        <w:tc>
          <w:tcPr>
            <w:tcW w:w="2380" w:type="dxa"/>
            <w:vAlign w:val="center"/>
          </w:tcPr>
          <w:p>
            <w:pPr>
              <w:spacing w:line="360" w:lineRule="auto"/>
              <w:jc w:val="center"/>
              <w:rPr>
                <w:rFonts w:ascii="宋体" w:hAnsi="宋体" w:eastAsia="宋体" w:cs="宋体"/>
              </w:rPr>
            </w:pPr>
            <w:r>
              <w:rPr>
                <w:rFonts w:hint="eastAsia" w:ascii="宋体" w:hAnsi="宋体" w:eastAsia="宋体" w:cs="宋体"/>
              </w:rPr>
              <w:t>测量相关数据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5" w:hRule="atLeast"/>
        </w:trPr>
        <w:tc>
          <w:tcPr>
            <w:tcW w:w="568" w:type="dxa"/>
            <w:vAlign w:val="center"/>
          </w:tcPr>
          <w:p>
            <w:pPr>
              <w:spacing w:line="360" w:lineRule="auto"/>
              <w:jc w:val="center"/>
              <w:rPr>
                <w:rFonts w:ascii="宋体" w:hAnsi="宋体" w:eastAsia="宋体" w:cs="宋体"/>
              </w:rPr>
            </w:pPr>
            <w:r>
              <w:rPr>
                <w:rFonts w:hint="eastAsia" w:ascii="宋体" w:hAnsi="宋体" w:eastAsia="宋体" w:cs="宋体"/>
              </w:rPr>
              <w:t>16</w:t>
            </w:r>
          </w:p>
        </w:tc>
        <w:tc>
          <w:tcPr>
            <w:tcW w:w="1417" w:type="dxa"/>
            <w:vAlign w:val="center"/>
          </w:tcPr>
          <w:p>
            <w:pPr>
              <w:spacing w:line="360" w:lineRule="auto"/>
              <w:jc w:val="center"/>
              <w:rPr>
                <w:rFonts w:ascii="宋体" w:hAnsi="宋体" w:eastAsia="宋体" w:cs="宋体"/>
              </w:rPr>
            </w:pPr>
            <w:r>
              <w:rPr>
                <w:rFonts w:hint="eastAsia" w:ascii="宋体" w:hAnsi="宋体" w:eastAsia="宋体" w:cs="宋体"/>
              </w:rPr>
              <w:t>空载制停距离</w:t>
            </w:r>
          </w:p>
        </w:tc>
        <w:tc>
          <w:tcPr>
            <w:tcW w:w="4991" w:type="dxa"/>
            <w:vAlign w:val="center"/>
          </w:tcPr>
          <w:p>
            <w:pPr>
              <w:spacing w:line="360" w:lineRule="auto"/>
              <w:rPr>
                <w:rFonts w:ascii="宋体" w:hAnsi="宋体" w:eastAsia="宋体" w:cs="宋体"/>
              </w:rPr>
            </w:pPr>
            <w:r>
              <w:rPr>
                <w:rFonts w:hint="eastAsia" w:ascii="宋体" w:hAnsi="宋体" w:eastAsia="宋体" w:cs="宋体"/>
              </w:rPr>
              <w:t>自动扶梯或者自动人行道的制停距离：</w:t>
            </w:r>
          </w:p>
          <w:p>
            <w:pPr>
              <w:spacing w:line="360" w:lineRule="auto"/>
              <w:rPr>
                <w:rFonts w:ascii="宋体" w:hAnsi="宋体" w:eastAsia="宋体" w:cs="宋体"/>
              </w:rPr>
            </w:pPr>
            <w:r>
              <w:rPr>
                <w:rFonts w:hint="eastAsia" w:ascii="宋体" w:hAnsi="宋体" w:eastAsia="宋体" w:cs="宋体"/>
              </w:rPr>
              <w:t>①空载向下运行的自动扶梯：</w:t>
            </w:r>
          </w:p>
          <w:p>
            <w:pPr>
              <w:spacing w:line="360" w:lineRule="auto"/>
              <w:rPr>
                <w:rFonts w:ascii="宋体" w:hAnsi="宋体" w:eastAsia="宋体" w:cs="宋体"/>
              </w:rPr>
            </w:pPr>
            <w:r>
              <w:rPr>
                <w:rFonts w:hint="eastAsia" w:ascii="宋体" w:hAnsi="宋体" w:eastAsia="宋体" w:cs="宋体"/>
              </w:rPr>
              <w:t>名义速度制停距离范围</w:t>
            </w:r>
          </w:p>
          <w:p>
            <w:pPr>
              <w:spacing w:line="360" w:lineRule="auto"/>
              <w:rPr>
                <w:rFonts w:ascii="宋体" w:hAnsi="宋体" w:eastAsia="宋体" w:cs="宋体"/>
              </w:rPr>
            </w:pPr>
            <w:r>
              <w:rPr>
                <w:rFonts w:hint="eastAsia" w:ascii="宋体" w:hAnsi="宋体" w:eastAsia="宋体" w:cs="宋体"/>
              </w:rPr>
              <w:t>0.50m/s    0.20m～1.00m</w:t>
            </w:r>
          </w:p>
          <w:p>
            <w:pPr>
              <w:spacing w:line="360" w:lineRule="auto"/>
              <w:rPr>
                <w:rFonts w:ascii="宋体" w:hAnsi="宋体" w:eastAsia="宋体" w:cs="宋体"/>
              </w:rPr>
            </w:pPr>
            <w:r>
              <w:rPr>
                <w:rFonts w:hint="eastAsia" w:ascii="宋体" w:hAnsi="宋体" w:eastAsia="宋体" w:cs="宋体"/>
              </w:rPr>
              <w:t>0.65m/s    0.30m～1.30m</w:t>
            </w:r>
          </w:p>
          <w:p>
            <w:pPr>
              <w:spacing w:line="360" w:lineRule="auto"/>
              <w:rPr>
                <w:rFonts w:ascii="宋体" w:hAnsi="宋体" w:eastAsia="宋体" w:cs="宋体"/>
              </w:rPr>
            </w:pPr>
            <w:r>
              <w:rPr>
                <w:rFonts w:hint="eastAsia" w:ascii="宋体" w:hAnsi="宋体" w:eastAsia="宋体" w:cs="宋体"/>
              </w:rPr>
              <w:t>0.75m/s    0.40m～1.50m</w:t>
            </w:r>
          </w:p>
          <w:p>
            <w:pPr>
              <w:spacing w:line="360" w:lineRule="auto"/>
              <w:rPr>
                <w:rFonts w:ascii="宋体" w:hAnsi="宋体" w:eastAsia="宋体" w:cs="宋体"/>
              </w:rPr>
            </w:pPr>
            <w:r>
              <w:rPr>
                <w:rFonts w:hint="eastAsia" w:ascii="宋体" w:hAnsi="宋体" w:eastAsia="宋体" w:cs="宋体"/>
              </w:rPr>
              <w:t>②空载水平运行或者向下运行的自动人行道：</w:t>
            </w:r>
          </w:p>
          <w:p>
            <w:pPr>
              <w:spacing w:line="360" w:lineRule="auto"/>
              <w:rPr>
                <w:rFonts w:ascii="宋体" w:hAnsi="宋体" w:eastAsia="宋体" w:cs="宋体"/>
              </w:rPr>
            </w:pPr>
            <w:r>
              <w:rPr>
                <w:rFonts w:hint="eastAsia" w:ascii="宋体" w:hAnsi="宋体" w:eastAsia="宋体" w:cs="宋体"/>
              </w:rPr>
              <w:t>名义速度制停距离范围</w:t>
            </w:r>
          </w:p>
          <w:p>
            <w:pPr>
              <w:spacing w:line="360" w:lineRule="auto"/>
              <w:rPr>
                <w:rFonts w:ascii="宋体" w:hAnsi="宋体" w:eastAsia="宋体" w:cs="宋体"/>
              </w:rPr>
            </w:pPr>
            <w:r>
              <w:rPr>
                <w:rFonts w:hint="eastAsia" w:ascii="宋体" w:hAnsi="宋体" w:eastAsia="宋体" w:cs="宋体"/>
              </w:rPr>
              <w:t>0.50m/s    0.20m～1.00m</w:t>
            </w:r>
          </w:p>
          <w:p>
            <w:pPr>
              <w:spacing w:line="360" w:lineRule="auto"/>
              <w:rPr>
                <w:rFonts w:ascii="宋体" w:hAnsi="宋体" w:eastAsia="宋体" w:cs="宋体"/>
              </w:rPr>
            </w:pPr>
            <w:r>
              <w:rPr>
                <w:rFonts w:hint="eastAsia" w:ascii="宋体" w:hAnsi="宋体" w:eastAsia="宋体" w:cs="宋体"/>
              </w:rPr>
              <w:t>0.65m/s    0.30m～1.30m</w:t>
            </w:r>
          </w:p>
          <w:p>
            <w:pPr>
              <w:spacing w:line="360" w:lineRule="auto"/>
              <w:rPr>
                <w:rFonts w:ascii="宋体" w:hAnsi="宋体" w:eastAsia="宋体" w:cs="宋体"/>
              </w:rPr>
            </w:pPr>
            <w:r>
              <w:rPr>
                <w:rFonts w:hint="eastAsia" w:ascii="宋体" w:hAnsi="宋体" w:eastAsia="宋体" w:cs="宋体"/>
              </w:rPr>
              <w:t>0.75m/s    0.40m～1.50m</w:t>
            </w:r>
          </w:p>
          <w:p>
            <w:pPr>
              <w:spacing w:line="360" w:lineRule="auto"/>
              <w:rPr>
                <w:rFonts w:ascii="宋体" w:hAnsi="宋体" w:eastAsia="宋体" w:cs="宋体"/>
              </w:rPr>
            </w:pPr>
            <w:r>
              <w:rPr>
                <w:rFonts w:hint="eastAsia" w:ascii="宋体" w:hAnsi="宋体" w:eastAsia="宋体" w:cs="宋体"/>
              </w:rPr>
              <w:t>0.90m/s    0.55m～1.70m</w:t>
            </w:r>
          </w:p>
        </w:tc>
        <w:tc>
          <w:tcPr>
            <w:tcW w:w="2380" w:type="dxa"/>
            <w:vAlign w:val="center"/>
          </w:tcPr>
          <w:p>
            <w:pPr>
              <w:spacing w:line="360" w:lineRule="auto"/>
              <w:rPr>
                <w:rFonts w:ascii="宋体" w:hAnsi="宋体" w:eastAsia="宋体" w:cs="宋体"/>
              </w:rPr>
            </w:pPr>
            <w:r>
              <w:rPr>
                <w:rFonts w:hint="eastAsia" w:ascii="宋体" w:hAnsi="宋体" w:eastAsia="宋体" w:cs="宋体"/>
              </w:rPr>
              <w:t>制停距离应从电气制动装置动作时开始测量。</w:t>
            </w:r>
          </w:p>
          <w:p>
            <w:pPr>
              <w:spacing w:line="360" w:lineRule="auto"/>
              <w:rPr>
                <w:rFonts w:ascii="宋体" w:hAnsi="宋体" w:eastAsia="宋体" w:cs="宋体"/>
              </w:rPr>
            </w:pPr>
            <w:r>
              <w:rPr>
                <w:rFonts w:hint="eastAsia" w:ascii="宋体" w:hAnsi="宋体" w:eastAsia="宋体" w:cs="宋体"/>
              </w:rPr>
              <w:t>（1）仪器测量；</w:t>
            </w:r>
          </w:p>
          <w:p>
            <w:pPr>
              <w:spacing w:line="360" w:lineRule="auto"/>
              <w:rPr>
                <w:rFonts w:ascii="宋体" w:hAnsi="宋体" w:eastAsia="宋体" w:cs="宋体"/>
              </w:rPr>
            </w:pPr>
            <w:r>
              <w:rPr>
                <w:rFonts w:hint="eastAsia" w:ascii="宋体" w:hAnsi="宋体" w:eastAsia="宋体" w:cs="宋体"/>
              </w:rPr>
              <w:t>（2）标记测量</w:t>
            </w:r>
          </w:p>
          <w:p>
            <w:pPr>
              <w:spacing w:line="360" w:lineRule="auto"/>
              <w:rPr>
                <w:rFonts w:ascii="宋体" w:hAnsi="宋体" w:eastAsia="宋体" w:cs="宋体"/>
              </w:rPr>
            </w:pPr>
            <w:r>
              <w:rPr>
                <w:rFonts w:hint="eastAsia" w:ascii="宋体" w:hAnsi="宋体" w:eastAsia="宋体" w:cs="宋体"/>
              </w:rPr>
              <w:t>只做空载试验</w:t>
            </w:r>
          </w:p>
        </w:tc>
      </w:tr>
    </w:tbl>
    <w:p>
      <w:pPr>
        <w:spacing w:line="360" w:lineRule="auto"/>
        <w:ind w:firstLine="248" w:firstLineChars="100"/>
        <w:rPr>
          <w:rFonts w:ascii="宋体" w:hAnsi="宋体" w:eastAsia="宋体" w:cs="宋体"/>
          <w:b/>
          <w:bCs/>
        </w:rPr>
      </w:pPr>
      <w:r>
        <w:rPr>
          <w:rFonts w:hint="eastAsia" w:ascii="宋体" w:hAnsi="宋体" w:eastAsia="宋体" w:cs="宋体"/>
          <w:b/>
          <w:bCs/>
        </w:rPr>
        <w:t>（三）机电类特种设备使用单位监督抽查项目内容及方法要求</w:t>
      </w:r>
    </w:p>
    <w:tbl>
      <w:tblPr>
        <w:tblStyle w:val="33"/>
        <w:tblW w:w="932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7"/>
        <w:gridCol w:w="534"/>
        <w:gridCol w:w="760"/>
        <w:gridCol w:w="5902"/>
        <w:gridCol w:w="155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567" w:type="dxa"/>
            <w:vAlign w:val="center"/>
          </w:tcPr>
          <w:p>
            <w:pPr>
              <w:spacing w:line="360" w:lineRule="auto"/>
              <w:jc w:val="center"/>
              <w:rPr>
                <w:rFonts w:ascii="宋体" w:hAnsi="宋体" w:eastAsia="宋体" w:cs="宋体"/>
                <w:bCs/>
              </w:rPr>
            </w:pPr>
            <w:r>
              <w:rPr>
                <w:rFonts w:hint="eastAsia" w:ascii="宋体" w:hAnsi="宋体" w:eastAsia="宋体" w:cs="宋体"/>
                <w:bCs/>
              </w:rPr>
              <w:t>序号</w:t>
            </w:r>
          </w:p>
        </w:tc>
        <w:tc>
          <w:tcPr>
            <w:tcW w:w="1294" w:type="dxa"/>
            <w:gridSpan w:val="2"/>
            <w:vAlign w:val="center"/>
          </w:tcPr>
          <w:p>
            <w:pPr>
              <w:spacing w:line="360" w:lineRule="auto"/>
              <w:jc w:val="center"/>
              <w:rPr>
                <w:rFonts w:ascii="宋体" w:hAnsi="宋体" w:eastAsia="宋体" w:cs="宋体"/>
                <w:bCs/>
              </w:rPr>
            </w:pPr>
            <w:r>
              <w:rPr>
                <w:rFonts w:hint="eastAsia" w:ascii="宋体" w:hAnsi="宋体" w:eastAsia="宋体" w:cs="宋体"/>
                <w:bCs/>
              </w:rPr>
              <w:t>项目</w:t>
            </w:r>
          </w:p>
        </w:tc>
        <w:tc>
          <w:tcPr>
            <w:tcW w:w="5902" w:type="dxa"/>
            <w:tcBorders>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抽查内容与要求</w:t>
            </w:r>
          </w:p>
        </w:tc>
        <w:tc>
          <w:tcPr>
            <w:tcW w:w="1559" w:type="dxa"/>
            <w:tcBorders>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抽查</w:t>
            </w:r>
          </w:p>
          <w:p>
            <w:pPr>
              <w:spacing w:line="360" w:lineRule="auto"/>
              <w:jc w:val="center"/>
              <w:rPr>
                <w:rFonts w:ascii="宋体" w:hAnsi="宋体" w:eastAsia="宋体" w:cs="宋体"/>
                <w:bCs/>
              </w:rPr>
            </w:pPr>
            <w:r>
              <w:rPr>
                <w:rFonts w:hint="eastAsia" w:ascii="宋体" w:hAnsi="宋体" w:eastAsia="宋体" w:cs="宋体"/>
                <w:bCs/>
              </w:rPr>
              <w:t>方法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86" w:hRule="atLeast"/>
        </w:trPr>
        <w:tc>
          <w:tcPr>
            <w:tcW w:w="567" w:type="dxa"/>
            <w:vMerge w:val="restart"/>
            <w:vAlign w:val="center"/>
          </w:tcPr>
          <w:p>
            <w:pPr>
              <w:spacing w:line="360" w:lineRule="auto"/>
              <w:jc w:val="center"/>
              <w:rPr>
                <w:rFonts w:ascii="宋体" w:hAnsi="宋体" w:eastAsia="宋体" w:cs="宋体"/>
                <w:bCs/>
              </w:rPr>
            </w:pPr>
            <w:r>
              <w:rPr>
                <w:rFonts w:hint="eastAsia" w:ascii="宋体" w:hAnsi="宋体" w:eastAsia="宋体" w:cs="宋体"/>
                <w:bCs/>
              </w:rPr>
              <w:t>1</w:t>
            </w:r>
          </w:p>
        </w:tc>
        <w:tc>
          <w:tcPr>
            <w:tcW w:w="534" w:type="dxa"/>
            <w:vMerge w:val="restart"/>
            <w:vAlign w:val="center"/>
          </w:tcPr>
          <w:p>
            <w:pPr>
              <w:spacing w:line="360" w:lineRule="auto"/>
              <w:jc w:val="center"/>
              <w:rPr>
                <w:rFonts w:ascii="宋体" w:hAnsi="宋体" w:eastAsia="宋体" w:cs="宋体"/>
                <w:bCs/>
              </w:rPr>
            </w:pPr>
            <w:r>
              <w:rPr>
                <w:rFonts w:hint="eastAsia" w:ascii="宋体" w:hAnsi="宋体" w:eastAsia="宋体" w:cs="宋体"/>
                <w:bCs/>
              </w:rPr>
              <w:t>档案资料</w:t>
            </w:r>
          </w:p>
        </w:tc>
        <w:tc>
          <w:tcPr>
            <w:tcW w:w="760" w:type="dxa"/>
            <w:tcBorders>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安全技术档案</w:t>
            </w:r>
          </w:p>
        </w:tc>
        <w:tc>
          <w:tcPr>
            <w:tcW w:w="5902" w:type="dxa"/>
            <w:tcBorders>
              <w:bottom w:val="single" w:color="auto" w:sz="4" w:space="0"/>
            </w:tcBorders>
            <w:vAlign w:val="center"/>
          </w:tcPr>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（1）使用单位应当逐台建立特种设备安全技术档案，且至少包括以下内容：</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①使用登记证。</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②《特种设备使用登记表》。</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③特种设备设计、制造技术资料和文件，包括设计文件、产品质量合格证明（含合格证及其数据表、质量证明书）、安装及使用维护保养说明、监督检验证书、型式试验证书等。</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④特种设备安装、改造和修理的方案、图样、材料质量证明书和施工质量证明文件、安装改造维修监督检验报告、验收报告等技术资料。</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⑤特种设备定期自行检查记录和定期检验报告。</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⑥特种设备日常使用状况记录。</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⑦特种设备及其附属仪器仪表维护保养记录。</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⑧特种设备安全附件和安全保护装置校验、检修、更换记录和有关报告。</w:t>
            </w:r>
          </w:p>
          <w:p>
            <w:pPr>
              <w:pStyle w:val="113"/>
              <w:widowControl w:val="0"/>
              <w:adjustRightInd w:val="0"/>
              <w:snapToGrid w:val="0"/>
              <w:spacing w:line="360" w:lineRule="auto"/>
              <w:ind w:firstLine="0" w:firstLineChars="0"/>
              <w:rPr>
                <w:rFonts w:hAnsi="宋体" w:cs="宋体"/>
                <w:bCs/>
                <w:spacing w:val="4"/>
                <w:sz w:val="24"/>
                <w:szCs w:val="24"/>
              </w:rPr>
            </w:pPr>
            <w:r>
              <w:rPr>
                <w:rFonts w:hint="eastAsia" w:hAnsi="宋体" w:cs="宋体"/>
                <w:bCs/>
                <w:spacing w:val="4"/>
                <w:sz w:val="24"/>
                <w:szCs w:val="24"/>
              </w:rPr>
              <w:t>⑨特种设备运行故障和事故记录及事故处理报告。</w:t>
            </w:r>
          </w:p>
          <w:p>
            <w:pPr>
              <w:spacing w:line="360" w:lineRule="auto"/>
              <w:rPr>
                <w:rFonts w:ascii="宋体" w:hAnsi="宋体" w:eastAsia="宋体" w:cs="宋体"/>
                <w:bCs/>
                <w:spacing w:val="4"/>
              </w:rPr>
            </w:pPr>
            <w:r>
              <w:rPr>
                <w:rFonts w:hint="eastAsia" w:ascii="宋体" w:hAnsi="宋体" w:eastAsia="宋体" w:cs="宋体"/>
                <w:bCs/>
                <w:spacing w:val="4"/>
              </w:rPr>
              <w:t>使用单位应当在设备使用地保存①②⑤⑥⑦⑧⑨规定的资料的原件或者复印件，以便备查。</w:t>
            </w:r>
          </w:p>
        </w:tc>
        <w:tc>
          <w:tcPr>
            <w:tcW w:w="1559" w:type="dxa"/>
            <w:vMerge w:val="restart"/>
            <w:vAlign w:val="center"/>
          </w:tcPr>
          <w:p>
            <w:pPr>
              <w:spacing w:line="360" w:lineRule="auto"/>
              <w:jc w:val="center"/>
              <w:rPr>
                <w:rFonts w:ascii="宋体" w:hAnsi="宋体" w:eastAsia="宋体" w:cs="宋体"/>
                <w:bCs/>
              </w:rPr>
            </w:pPr>
            <w:r>
              <w:rPr>
                <w:rFonts w:hint="eastAsia" w:ascii="宋体" w:hAnsi="宋体" w:eastAsia="宋体" w:cs="宋体"/>
                <w:bCs/>
              </w:rPr>
              <w:t>检查各类档案是否齐全，</w:t>
            </w:r>
            <w:r>
              <w:rPr>
                <w:rFonts w:hint="eastAsia" w:ascii="宋体" w:hAnsi="宋体" w:eastAsia="宋体" w:cs="宋体"/>
              </w:rPr>
              <w:t>查看证书有效期及聘用手续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5" w:hRule="atLeast"/>
        </w:trPr>
        <w:tc>
          <w:tcPr>
            <w:tcW w:w="567" w:type="dxa"/>
            <w:vMerge w:val="continue"/>
            <w:vAlign w:val="center"/>
          </w:tcPr>
          <w:p>
            <w:pPr>
              <w:spacing w:line="360" w:lineRule="auto"/>
              <w:jc w:val="center"/>
              <w:rPr>
                <w:rFonts w:ascii="宋体" w:hAnsi="宋体" w:eastAsia="宋体" w:cs="宋体"/>
                <w:bCs/>
              </w:rPr>
            </w:pPr>
          </w:p>
        </w:tc>
        <w:tc>
          <w:tcPr>
            <w:tcW w:w="534" w:type="dxa"/>
            <w:vMerge w:val="continue"/>
            <w:vAlign w:val="center"/>
          </w:tcPr>
          <w:p>
            <w:pPr>
              <w:spacing w:line="360" w:lineRule="auto"/>
              <w:jc w:val="center"/>
              <w:rPr>
                <w:rFonts w:ascii="宋体" w:hAnsi="宋体" w:eastAsia="宋体" w:cs="宋体"/>
                <w:bCs/>
              </w:rPr>
            </w:pP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设备档案</w:t>
            </w:r>
          </w:p>
        </w:tc>
        <w:tc>
          <w:tcPr>
            <w:tcW w:w="5902" w:type="dxa"/>
            <w:tcBorders>
              <w:top w:val="single" w:color="auto" w:sz="4" w:space="0"/>
              <w:bottom w:val="single" w:color="auto" w:sz="4" w:space="0"/>
            </w:tcBorders>
            <w:vAlign w:val="center"/>
          </w:tcPr>
          <w:p>
            <w:pPr>
              <w:spacing w:line="360" w:lineRule="auto"/>
              <w:rPr>
                <w:rFonts w:ascii="宋体" w:hAnsi="宋体" w:eastAsia="宋体" w:cs="宋体"/>
                <w:bCs/>
                <w:spacing w:val="4"/>
              </w:rPr>
            </w:pPr>
            <w:r>
              <w:rPr>
                <w:rFonts w:hint="eastAsia" w:ascii="宋体" w:hAnsi="宋体" w:eastAsia="宋体" w:cs="宋体"/>
                <w:bCs/>
                <w:spacing w:val="4"/>
              </w:rPr>
              <w:t>（2）在用设备在有效检验期内。</w:t>
            </w:r>
          </w:p>
          <w:p>
            <w:pPr>
              <w:spacing w:line="360" w:lineRule="auto"/>
              <w:rPr>
                <w:rFonts w:ascii="宋体" w:hAnsi="宋体" w:eastAsia="宋体" w:cs="宋体"/>
              </w:rPr>
            </w:pPr>
            <w:r>
              <w:rPr>
                <w:rFonts w:hint="eastAsia" w:ascii="宋体" w:hAnsi="宋体" w:eastAsia="宋体" w:cs="宋体"/>
                <w:bCs/>
                <w:spacing w:val="4"/>
              </w:rPr>
              <w:t>（3）</w:t>
            </w:r>
            <w:r>
              <w:rPr>
                <w:rFonts w:hint="eastAsia" w:ascii="宋体" w:hAnsi="宋体" w:eastAsia="宋体" w:cs="宋体"/>
              </w:rPr>
              <w:t>有设备故障、异常情况处理记录。</w:t>
            </w:r>
          </w:p>
          <w:p>
            <w:pPr>
              <w:spacing w:line="360" w:lineRule="auto"/>
              <w:rPr>
                <w:rFonts w:ascii="宋体" w:hAnsi="宋体" w:eastAsia="宋体" w:cs="宋体"/>
                <w:bCs/>
                <w:spacing w:val="4"/>
              </w:rPr>
            </w:pPr>
            <w:r>
              <w:rPr>
                <w:rFonts w:hint="eastAsia" w:ascii="宋体" w:hAnsi="宋体" w:eastAsia="宋体" w:cs="宋体"/>
              </w:rPr>
              <w:t>（4）有事故隐患排查和整治记录。</w:t>
            </w:r>
          </w:p>
        </w:tc>
        <w:tc>
          <w:tcPr>
            <w:tcW w:w="1559" w:type="dxa"/>
            <w:vMerge w:val="continue"/>
            <w:vAlign w:val="center"/>
          </w:tcPr>
          <w:p>
            <w:pPr>
              <w:spacing w:line="360" w:lineRule="auto"/>
              <w:jc w:val="center"/>
              <w:rPr>
                <w:rFonts w:ascii="宋体" w:hAnsi="宋体" w:eastAsia="宋体" w:cs="宋体"/>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567" w:type="dxa"/>
            <w:vMerge w:val="continue"/>
            <w:tcBorders>
              <w:bottom w:val="single" w:color="auto" w:sz="4" w:space="0"/>
            </w:tcBorders>
            <w:vAlign w:val="center"/>
          </w:tcPr>
          <w:p>
            <w:pPr>
              <w:spacing w:line="360" w:lineRule="auto"/>
              <w:jc w:val="center"/>
              <w:rPr>
                <w:rFonts w:ascii="宋体" w:hAnsi="宋体" w:eastAsia="宋体" w:cs="宋体"/>
                <w:bCs/>
              </w:rPr>
            </w:pPr>
          </w:p>
        </w:tc>
        <w:tc>
          <w:tcPr>
            <w:tcW w:w="534" w:type="dxa"/>
            <w:vMerge w:val="continue"/>
            <w:tcBorders>
              <w:bottom w:val="single" w:color="auto" w:sz="4" w:space="0"/>
            </w:tcBorders>
            <w:vAlign w:val="center"/>
          </w:tcPr>
          <w:p>
            <w:pPr>
              <w:spacing w:line="360" w:lineRule="auto"/>
              <w:jc w:val="center"/>
              <w:rPr>
                <w:rFonts w:ascii="宋体" w:hAnsi="宋体" w:eastAsia="宋体" w:cs="宋体"/>
                <w:bCs/>
              </w:rPr>
            </w:pP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人员档案</w:t>
            </w:r>
          </w:p>
        </w:tc>
        <w:tc>
          <w:tcPr>
            <w:tcW w:w="5902" w:type="dxa"/>
            <w:tcBorders>
              <w:top w:val="single" w:color="auto" w:sz="4" w:space="0"/>
              <w:bottom w:val="single" w:color="auto" w:sz="4" w:space="0"/>
            </w:tcBorders>
            <w:vAlign w:val="center"/>
          </w:tcPr>
          <w:p>
            <w:pPr>
              <w:spacing w:line="360" w:lineRule="auto"/>
              <w:rPr>
                <w:rFonts w:ascii="宋体" w:hAnsi="宋体" w:eastAsia="宋体" w:cs="宋体"/>
              </w:rPr>
            </w:pPr>
            <w:r>
              <w:rPr>
                <w:rFonts w:hint="eastAsia" w:ascii="宋体" w:hAnsi="宋体" w:eastAsia="宋体" w:cs="宋体"/>
                <w:bCs/>
                <w:spacing w:val="4"/>
              </w:rPr>
              <w:t>（5）</w:t>
            </w:r>
            <w:r>
              <w:rPr>
                <w:rFonts w:hint="eastAsia" w:ascii="宋体" w:hAnsi="宋体" w:eastAsia="宋体" w:cs="宋体"/>
              </w:rPr>
              <w:t>安全管理人员和作业人员证件在有效期内，项目符合要求并办理聘用手续。</w:t>
            </w:r>
          </w:p>
          <w:p>
            <w:pPr>
              <w:spacing w:line="360" w:lineRule="auto"/>
              <w:rPr>
                <w:rFonts w:ascii="宋体" w:hAnsi="宋体" w:eastAsia="宋体" w:cs="宋体"/>
                <w:bCs/>
                <w:spacing w:val="4"/>
              </w:rPr>
            </w:pPr>
            <w:r>
              <w:rPr>
                <w:rFonts w:hint="eastAsia" w:ascii="宋体" w:hAnsi="宋体" w:eastAsia="宋体" w:cs="宋体"/>
              </w:rPr>
              <w:t>（6）有特种设备作业人员培训考核记录</w:t>
            </w:r>
          </w:p>
        </w:tc>
        <w:tc>
          <w:tcPr>
            <w:tcW w:w="1559" w:type="dxa"/>
            <w:vMerge w:val="continue"/>
            <w:tcBorders>
              <w:bottom w:val="single" w:color="auto" w:sz="4" w:space="0"/>
            </w:tcBorders>
            <w:vAlign w:val="center"/>
          </w:tcPr>
          <w:p>
            <w:pPr>
              <w:spacing w:line="360" w:lineRule="auto"/>
              <w:jc w:val="center"/>
              <w:rPr>
                <w:rFonts w:ascii="宋体" w:hAnsi="宋体" w:eastAsia="宋体" w:cs="宋体"/>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3" w:hRule="atLeast"/>
        </w:trPr>
        <w:tc>
          <w:tcPr>
            <w:tcW w:w="567" w:type="dxa"/>
            <w:tcBorders>
              <w:top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2</w:t>
            </w:r>
          </w:p>
        </w:tc>
        <w:tc>
          <w:tcPr>
            <w:tcW w:w="534" w:type="dxa"/>
            <w:tcBorders>
              <w:top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机构及</w:t>
            </w:r>
          </w:p>
          <w:p>
            <w:pPr>
              <w:spacing w:line="360" w:lineRule="auto"/>
              <w:jc w:val="center"/>
              <w:rPr>
                <w:rFonts w:ascii="宋体" w:hAnsi="宋体" w:eastAsia="宋体" w:cs="宋体"/>
                <w:bCs/>
              </w:rPr>
            </w:pPr>
            <w:r>
              <w:rPr>
                <w:rFonts w:hint="eastAsia" w:ascii="宋体" w:hAnsi="宋体" w:eastAsia="宋体" w:cs="宋体"/>
                <w:bCs/>
              </w:rPr>
              <w:t>制度</w:t>
            </w:r>
          </w:p>
        </w:tc>
        <w:tc>
          <w:tcPr>
            <w:tcW w:w="760" w:type="dxa"/>
            <w:tcBorders>
              <w:top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安全管理机构及制度</w:t>
            </w:r>
          </w:p>
        </w:tc>
        <w:tc>
          <w:tcPr>
            <w:tcW w:w="5902" w:type="dxa"/>
            <w:tcBorders>
              <w:top w:val="single" w:color="auto" w:sz="4" w:space="0"/>
            </w:tcBorders>
            <w:vAlign w:val="center"/>
          </w:tcPr>
          <w:p>
            <w:pPr>
              <w:spacing w:line="360" w:lineRule="auto"/>
              <w:rPr>
                <w:rFonts w:ascii="宋体" w:hAnsi="宋体" w:eastAsia="宋体" w:cs="宋体"/>
                <w:bCs/>
                <w:spacing w:val="4"/>
              </w:rPr>
            </w:pPr>
            <w:r>
              <w:rPr>
                <w:rFonts w:hint="eastAsia" w:ascii="宋体" w:hAnsi="宋体" w:eastAsia="宋体" w:cs="宋体"/>
              </w:rPr>
              <w:t>（1）</w:t>
            </w:r>
            <w:r>
              <w:rPr>
                <w:rFonts w:hint="eastAsia" w:ascii="宋体" w:hAnsi="宋体" w:eastAsia="宋体" w:cs="宋体"/>
                <w:bCs/>
                <w:spacing w:val="4"/>
              </w:rPr>
              <w:t>按照《特种设备使用管理规则》（TSG 08-2017）相关要求</w:t>
            </w:r>
            <w:r>
              <w:rPr>
                <w:rFonts w:hint="eastAsia" w:ascii="宋体" w:hAnsi="宋体" w:eastAsia="宋体" w:cs="宋体"/>
              </w:rPr>
              <w:t>设置安全管理机构，并书面任命安全责任人</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（2）使用单位应当按照特种设备相关法律、法规、规章和安全技术规范的要求，建立健全特种设备使用安全节能管理制度。管理制度至少包括以下内容：</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①特种设备安全管理机构(需要设置时)和相关人员岗位职责；</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②特种设备经常性维护保养、定期自行检查和有关记录制度；</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③特种设备使用登记、定期检验、申请实施管理制度；</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④特种设备隐患排查治理制度；</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⑤特种设备安全管理人员与作业人员管理和培训制度；</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⑥特种设备采购、安装、改造、修理、报废等管理制度；</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sz w:val="24"/>
                <w:szCs w:val="24"/>
              </w:rPr>
              <w:t>⑦特种设备应急预案管理制度；</w:t>
            </w:r>
          </w:p>
          <w:p>
            <w:pPr>
              <w:spacing w:line="360" w:lineRule="auto"/>
              <w:rPr>
                <w:rFonts w:ascii="宋体" w:hAnsi="宋体" w:eastAsia="宋体" w:cs="宋体"/>
              </w:rPr>
            </w:pPr>
            <w:r>
              <w:rPr>
                <w:rFonts w:hint="eastAsia" w:ascii="宋体" w:hAnsi="宋体" w:eastAsia="宋体" w:cs="宋体"/>
              </w:rPr>
              <w:t>⑧特种设备事故报告和处理制度。</w:t>
            </w:r>
          </w:p>
          <w:p>
            <w:pPr>
              <w:spacing w:line="360" w:lineRule="auto"/>
              <w:rPr>
                <w:rFonts w:ascii="宋体" w:hAnsi="宋体" w:eastAsia="宋体" w:cs="宋体"/>
              </w:rPr>
            </w:pPr>
            <w:r>
              <w:rPr>
                <w:rFonts w:hint="eastAsia" w:ascii="宋体" w:hAnsi="宋体" w:eastAsia="宋体" w:cs="宋体"/>
              </w:rPr>
              <w:t>（9）使用单位应当根据所使用设备运行特点制定操作规程并严格实施。</w:t>
            </w:r>
          </w:p>
          <w:p>
            <w:pPr>
              <w:spacing w:line="360" w:lineRule="auto"/>
              <w:rPr>
                <w:rFonts w:ascii="宋体" w:hAnsi="宋体" w:eastAsia="宋体" w:cs="宋体"/>
                <w:bCs/>
                <w:spacing w:val="4"/>
              </w:rPr>
            </w:pPr>
            <w:r>
              <w:rPr>
                <w:rFonts w:hint="eastAsia" w:ascii="宋体" w:hAnsi="宋体" w:eastAsia="宋体" w:cs="宋体"/>
              </w:rPr>
              <w:t>（3）制定事故应急（专项）预案并有演练记录</w:t>
            </w:r>
          </w:p>
        </w:tc>
        <w:tc>
          <w:tcPr>
            <w:tcW w:w="1559" w:type="dxa"/>
            <w:tcBorders>
              <w:top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rPr>
              <w:t>查看机构设置、人员任命等相关文件，检查证书有效期及聘用手续，</w:t>
            </w:r>
            <w:r>
              <w:rPr>
                <w:rFonts w:hint="eastAsia" w:ascii="宋体" w:hAnsi="宋体" w:eastAsia="宋体" w:cs="宋体"/>
                <w:bCs/>
              </w:rPr>
              <w:t>查看安全管理制度是否齐全，检查</w:t>
            </w:r>
            <w:r>
              <w:rPr>
                <w:rFonts w:hint="eastAsia" w:ascii="宋体" w:hAnsi="宋体" w:eastAsia="宋体" w:cs="宋体"/>
              </w:rPr>
              <w:t>事故应急（专项）预案及演练记录、</w:t>
            </w:r>
            <w:r>
              <w:rPr>
                <w:rFonts w:hint="eastAsia" w:ascii="宋体" w:hAnsi="宋体" w:eastAsia="宋体" w:cs="宋体"/>
                <w:bCs/>
              </w:rPr>
              <w:t>救援工器具</w:t>
            </w:r>
            <w:r>
              <w:rPr>
                <w:rFonts w:hint="eastAsia" w:ascii="宋体" w:hAnsi="宋体" w:eastAsia="宋体" w:cs="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23" w:hRule="atLeast"/>
        </w:trPr>
        <w:tc>
          <w:tcPr>
            <w:tcW w:w="567" w:type="dxa"/>
            <w:vMerge w:val="restart"/>
            <w:vAlign w:val="center"/>
          </w:tcPr>
          <w:p>
            <w:pPr>
              <w:spacing w:line="360" w:lineRule="auto"/>
              <w:jc w:val="center"/>
              <w:rPr>
                <w:rFonts w:ascii="宋体" w:hAnsi="宋体" w:eastAsia="宋体" w:cs="宋体"/>
                <w:bCs/>
              </w:rPr>
            </w:pPr>
            <w:r>
              <w:rPr>
                <w:rFonts w:hint="eastAsia" w:ascii="宋体" w:hAnsi="宋体" w:eastAsia="宋体" w:cs="宋体"/>
                <w:bCs/>
              </w:rPr>
              <w:t xml:space="preserve">9 </w:t>
            </w:r>
          </w:p>
        </w:tc>
        <w:tc>
          <w:tcPr>
            <w:tcW w:w="534" w:type="dxa"/>
            <w:vMerge w:val="restart"/>
            <w:vAlign w:val="center"/>
          </w:tcPr>
          <w:p>
            <w:pPr>
              <w:spacing w:line="360" w:lineRule="auto"/>
              <w:jc w:val="center"/>
              <w:rPr>
                <w:rFonts w:ascii="宋体" w:hAnsi="宋体" w:eastAsia="宋体" w:cs="宋体"/>
                <w:bCs/>
              </w:rPr>
            </w:pPr>
            <w:r>
              <w:rPr>
                <w:rFonts w:hint="eastAsia" w:ascii="宋体" w:hAnsi="宋体" w:eastAsia="宋体" w:cs="宋体"/>
                <w:bCs/>
              </w:rPr>
              <w:t>安全管理专项要求</w:t>
            </w: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电梯</w:t>
            </w:r>
          </w:p>
        </w:tc>
        <w:tc>
          <w:tcPr>
            <w:tcW w:w="5902" w:type="dxa"/>
            <w:tcBorders>
              <w:top w:val="single" w:color="auto" w:sz="4" w:space="0"/>
              <w:bottom w:val="single" w:color="auto" w:sz="4" w:space="0"/>
            </w:tcBorders>
            <w:vAlign w:val="center"/>
          </w:tcPr>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（1）使用标志及安全警示：①设备按要求办理使用登记并将使用标志置于设备的显著位置。②安全注意事项和警示标志置于易于为乘客注意的显著位置。</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（2）检验情况：设备在检验有效期内。</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3）安全保护装置：①电梯轿厢内设置的紧急报警装置有效，联系畅通。②轿厢门防夹保护装置有效。③自动扶梯和自动人行道急停开关有效，且有清晰的永久性标识。④自动扶梯围裙板上的防夹装置完整。⑤自动扶梯和自动人行道出入口处梳齿板完好。⑥在与楼板交叉处以及各交叉设置的自动扶梯或者自动人行道之间，按要求装设防护挡板（扶手带外缘与任何障碍物之间距离大于等于400mm的除外）。</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（4）显示信号系统：抽查呼梯、选层、楼层指示等显示信号系统功能有效，指示正确。</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（5）维保情况：①签订维保合同并在有效期内。②有维保记录，并经安全管理人员确认。</w:t>
            </w:r>
          </w:p>
        </w:tc>
        <w:tc>
          <w:tcPr>
            <w:tcW w:w="1559" w:type="dxa"/>
            <w:tcBorders>
              <w:bottom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检查使用标志、警示标识张贴、安全保护装置、信号显示、维保记录是否符合要求。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567" w:type="dxa"/>
            <w:vMerge w:val="continue"/>
            <w:vAlign w:val="center"/>
          </w:tcPr>
          <w:p>
            <w:pPr>
              <w:spacing w:line="360" w:lineRule="auto"/>
              <w:jc w:val="center"/>
              <w:rPr>
                <w:rFonts w:ascii="宋体" w:hAnsi="宋体" w:eastAsia="宋体" w:cs="宋体"/>
                <w:bCs/>
              </w:rPr>
            </w:pPr>
          </w:p>
        </w:tc>
        <w:tc>
          <w:tcPr>
            <w:tcW w:w="534" w:type="dxa"/>
            <w:vMerge w:val="continue"/>
            <w:vAlign w:val="center"/>
          </w:tcPr>
          <w:p>
            <w:pPr>
              <w:spacing w:line="360" w:lineRule="auto"/>
              <w:jc w:val="center"/>
              <w:rPr>
                <w:rFonts w:ascii="宋体" w:hAnsi="宋体" w:eastAsia="宋体" w:cs="宋体"/>
                <w:bCs/>
              </w:rPr>
            </w:pP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起重机械</w:t>
            </w:r>
          </w:p>
        </w:tc>
        <w:tc>
          <w:tcPr>
            <w:tcW w:w="5902" w:type="dxa"/>
            <w:tcBorders>
              <w:top w:val="single" w:color="auto" w:sz="4" w:space="0"/>
              <w:bottom w:val="single" w:color="auto" w:sz="4" w:space="0"/>
            </w:tcBorders>
            <w:vAlign w:val="center"/>
          </w:tcPr>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（1）使用标志：①设备按要求办理使用登记并将使用标志置于设备的显著位置或存放档案中。②有额定起重量（额定起重力矩）标识，且固定在显著位置。</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（2）检验情况：设备在检验有效期内。</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（3）作业人员：作业人员按规定持有有效证件，并办理了聘用手续。</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（4）安全保护装置：①按要求设置紧急停止开关且完好。②按要求设置起重量限制器且完好。③按要求设置力矩限制器且完好。④按要求设置防坠安全器且完好。⑤按要求设置高度限制器且完好。</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（5）维保情况：按规定进行定期自行检查和维护保养</w:t>
            </w:r>
          </w:p>
        </w:tc>
        <w:tc>
          <w:tcPr>
            <w:tcW w:w="1559" w:type="dxa"/>
            <w:vMerge w:val="restart"/>
            <w:tcBorders>
              <w:top w:val="single" w:color="auto" w:sz="4" w:space="0"/>
            </w:tcBorders>
            <w:vAlign w:val="center"/>
          </w:tcPr>
          <w:p>
            <w:pPr>
              <w:spacing w:line="360" w:lineRule="auto"/>
              <w:jc w:val="center"/>
              <w:rPr>
                <w:rFonts w:ascii="宋体" w:hAnsi="宋体" w:eastAsia="宋体" w:cs="宋体"/>
                <w:bCs/>
              </w:rPr>
            </w:pPr>
            <w:r>
              <w:rPr>
                <w:rFonts w:hint="eastAsia" w:ascii="宋体" w:hAnsi="宋体" w:eastAsia="宋体" w:cs="宋体"/>
                <w:bCs/>
              </w:rPr>
              <w:t>检查相关标志、标识张贴情况及；查看安全注意事项、安全使用说明、乘客须知、警示标志等相关内容；现场验证设备的安全装置、警示装置功能是否完好。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567" w:type="dxa"/>
            <w:vMerge w:val="continue"/>
            <w:vAlign w:val="center"/>
          </w:tcPr>
          <w:p>
            <w:pPr>
              <w:spacing w:line="360" w:lineRule="auto"/>
              <w:jc w:val="center"/>
              <w:rPr>
                <w:rFonts w:ascii="宋体" w:hAnsi="宋体" w:eastAsia="宋体" w:cs="宋体"/>
                <w:bCs/>
              </w:rPr>
            </w:pPr>
          </w:p>
        </w:tc>
        <w:tc>
          <w:tcPr>
            <w:tcW w:w="534" w:type="dxa"/>
            <w:vMerge w:val="continue"/>
            <w:vAlign w:val="center"/>
          </w:tcPr>
          <w:p>
            <w:pPr>
              <w:spacing w:line="360" w:lineRule="auto"/>
              <w:jc w:val="center"/>
              <w:rPr>
                <w:rFonts w:ascii="宋体" w:hAnsi="宋体" w:eastAsia="宋体" w:cs="宋体"/>
                <w:bCs/>
              </w:rPr>
            </w:pP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客运索道</w:t>
            </w:r>
          </w:p>
        </w:tc>
        <w:tc>
          <w:tcPr>
            <w:tcW w:w="5902" w:type="dxa"/>
            <w:tcBorders>
              <w:top w:val="single" w:color="auto" w:sz="4" w:space="0"/>
              <w:bottom w:val="single" w:color="auto" w:sz="4" w:space="0"/>
            </w:tcBorders>
            <w:vAlign w:val="center"/>
          </w:tcPr>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sz w:val="24"/>
                <w:szCs w:val="24"/>
              </w:rPr>
              <w:t>（1）</w:t>
            </w:r>
            <w:r>
              <w:rPr>
                <w:rFonts w:hint="eastAsia" w:hAnsi="宋体" w:cs="宋体"/>
                <w:kern w:val="0"/>
                <w:sz w:val="24"/>
                <w:szCs w:val="24"/>
              </w:rPr>
              <w:t>使用标志及安全标志：①设备按要求办理使用登记并将使用标志置于显著位置。②进站口设乘客须知。③站台按规定设上下车线、禁止线等安全标志。④吊篮、吊箱内有安全说明。</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（2）检验情况：设备在检验有效期内。</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（3）作业人员：作业人员具有有效证件，并办理了聘用手续，且在显著位置公示。</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（4）通信装置：①站房之间有专用电话，且至少有一条外线电话，并能保持通讯可靠。②沿线广播系统有效。</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（5）应急救援：有应急救援专项预案、救援装备，并按照要求开展应急救援演练。</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kern w:val="0"/>
                <w:sz w:val="24"/>
                <w:szCs w:val="24"/>
              </w:rPr>
              <w:t>（6）运行及维保情况：按规定进行设备运营前试运行检查、日常检查和维护保养、定期自行检查，并有检查记录。</w:t>
            </w:r>
          </w:p>
        </w:tc>
        <w:tc>
          <w:tcPr>
            <w:tcW w:w="1559" w:type="dxa"/>
            <w:vMerge w:val="continue"/>
            <w:vAlign w:val="center"/>
          </w:tcPr>
          <w:p>
            <w:pPr>
              <w:spacing w:line="360" w:lineRule="auto"/>
              <w:jc w:val="center"/>
              <w:rPr>
                <w:rFonts w:ascii="宋体" w:hAnsi="宋体" w:eastAsia="宋体" w:cs="宋体"/>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567" w:type="dxa"/>
            <w:vMerge w:val="continue"/>
            <w:vAlign w:val="center"/>
          </w:tcPr>
          <w:p>
            <w:pPr>
              <w:spacing w:line="360" w:lineRule="auto"/>
              <w:jc w:val="center"/>
              <w:rPr>
                <w:rFonts w:ascii="宋体" w:hAnsi="宋体" w:eastAsia="宋体" w:cs="宋体"/>
                <w:bCs/>
              </w:rPr>
            </w:pPr>
          </w:p>
        </w:tc>
        <w:tc>
          <w:tcPr>
            <w:tcW w:w="534" w:type="dxa"/>
            <w:vMerge w:val="continue"/>
            <w:vAlign w:val="center"/>
          </w:tcPr>
          <w:p>
            <w:pPr>
              <w:spacing w:line="360" w:lineRule="auto"/>
              <w:jc w:val="center"/>
              <w:rPr>
                <w:rFonts w:ascii="宋体" w:hAnsi="宋体" w:eastAsia="宋体" w:cs="宋体"/>
                <w:bCs/>
              </w:rPr>
            </w:pPr>
          </w:p>
        </w:tc>
        <w:tc>
          <w:tcPr>
            <w:tcW w:w="760" w:type="dxa"/>
            <w:tcBorders>
              <w:top w:val="single" w:color="auto" w:sz="4" w:space="0"/>
              <w:bottom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大型游乐设施</w:t>
            </w:r>
          </w:p>
        </w:tc>
        <w:tc>
          <w:tcPr>
            <w:tcW w:w="5902" w:type="dxa"/>
            <w:tcBorders>
              <w:top w:val="single" w:color="auto" w:sz="4" w:space="0"/>
              <w:bottom w:val="single" w:color="auto" w:sz="4" w:space="0"/>
            </w:tcBorders>
            <w:vAlign w:val="center"/>
          </w:tcPr>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sz w:val="24"/>
                <w:szCs w:val="24"/>
              </w:rPr>
              <w:t>（1）</w:t>
            </w:r>
            <w:r>
              <w:rPr>
                <w:rFonts w:hint="eastAsia" w:hAnsi="宋体" w:cs="宋体"/>
                <w:kern w:val="0"/>
                <w:sz w:val="24"/>
                <w:szCs w:val="24"/>
              </w:rPr>
              <w:t>使用标志及安全标志：①设备按要求办理使用登记并将使用标志置于显著位置。②设有显著的警示标志。③进出口设有显著的乘客须知和身高标尺等安全标志。</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（2）检验情况：设备在检验有效期内。</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（3）作业人员：作业人员具有有效证件，并办理了聘用手续，且在显著位置公示。</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sz w:val="24"/>
                <w:szCs w:val="24"/>
              </w:rPr>
              <w:t>（4）</w:t>
            </w:r>
            <w:r>
              <w:rPr>
                <w:rFonts w:hint="eastAsia" w:hAnsi="宋体" w:cs="宋体"/>
                <w:kern w:val="0"/>
                <w:sz w:val="24"/>
                <w:szCs w:val="24"/>
              </w:rPr>
              <w:t>安全保护装置：①抽查配备的安全带、安全压杠等乘客束缚装置，应当完好有效。②抽查座舱舱门锁紧装置，应当完好有效。</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kern w:val="0"/>
                <w:sz w:val="24"/>
                <w:szCs w:val="24"/>
              </w:rPr>
              <w:t>（5）应急救援：有应急救援专项预案，并按照要求开展应急救援演练。</w:t>
            </w:r>
          </w:p>
        </w:tc>
        <w:tc>
          <w:tcPr>
            <w:tcW w:w="1559" w:type="dxa"/>
            <w:vMerge w:val="continue"/>
            <w:vAlign w:val="center"/>
          </w:tcPr>
          <w:p>
            <w:pPr>
              <w:spacing w:line="360" w:lineRule="auto"/>
              <w:jc w:val="center"/>
              <w:rPr>
                <w:rFonts w:ascii="宋体" w:hAnsi="宋体" w:eastAsia="宋体" w:cs="宋体"/>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567" w:type="dxa"/>
            <w:vMerge w:val="continue"/>
            <w:vAlign w:val="center"/>
          </w:tcPr>
          <w:p>
            <w:pPr>
              <w:spacing w:line="360" w:lineRule="auto"/>
              <w:jc w:val="center"/>
              <w:rPr>
                <w:rFonts w:ascii="宋体" w:hAnsi="宋体" w:eastAsia="宋体" w:cs="宋体"/>
                <w:bCs/>
              </w:rPr>
            </w:pPr>
          </w:p>
        </w:tc>
        <w:tc>
          <w:tcPr>
            <w:tcW w:w="534" w:type="dxa"/>
            <w:vMerge w:val="continue"/>
            <w:vAlign w:val="center"/>
          </w:tcPr>
          <w:p>
            <w:pPr>
              <w:spacing w:line="360" w:lineRule="auto"/>
              <w:jc w:val="center"/>
              <w:rPr>
                <w:rFonts w:ascii="宋体" w:hAnsi="宋体" w:eastAsia="宋体" w:cs="宋体"/>
                <w:bCs/>
              </w:rPr>
            </w:pPr>
          </w:p>
        </w:tc>
        <w:tc>
          <w:tcPr>
            <w:tcW w:w="760" w:type="dxa"/>
            <w:tcBorders>
              <w:top w:val="single" w:color="auto" w:sz="4" w:space="0"/>
            </w:tcBorders>
            <w:vAlign w:val="center"/>
          </w:tcPr>
          <w:p>
            <w:pPr>
              <w:spacing w:line="360" w:lineRule="auto"/>
              <w:jc w:val="center"/>
              <w:rPr>
                <w:rFonts w:ascii="宋体" w:hAnsi="宋体" w:eastAsia="宋体" w:cs="宋体"/>
              </w:rPr>
            </w:pPr>
            <w:r>
              <w:rPr>
                <w:rFonts w:hint="eastAsia" w:ascii="宋体" w:hAnsi="宋体" w:eastAsia="宋体" w:cs="宋体"/>
              </w:rPr>
              <w:t>场（厂）内专用机动车辆</w:t>
            </w:r>
          </w:p>
        </w:tc>
        <w:tc>
          <w:tcPr>
            <w:tcW w:w="5902" w:type="dxa"/>
            <w:tcBorders>
              <w:top w:val="single" w:color="auto" w:sz="4" w:space="0"/>
            </w:tcBorders>
            <w:vAlign w:val="center"/>
          </w:tcPr>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（1）使用标志及安全标志：①设备按要求办理使用登记并将使用标志置于显著位置。②悬挂有效牌照。③设置安全警示标志。</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（2）检验情况：设备在检验有效期内。</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（3）作业人员：作业人员具有有效证件，并办理了聘用手续。</w:t>
            </w:r>
          </w:p>
          <w:p>
            <w:pPr>
              <w:pStyle w:val="113"/>
              <w:widowControl w:val="0"/>
              <w:adjustRightInd w:val="0"/>
              <w:snapToGrid w:val="0"/>
              <w:spacing w:line="360" w:lineRule="auto"/>
              <w:ind w:firstLine="0" w:firstLineChars="0"/>
              <w:rPr>
                <w:rFonts w:hAnsi="宋体" w:cs="宋体"/>
                <w:kern w:val="0"/>
                <w:sz w:val="24"/>
                <w:szCs w:val="24"/>
              </w:rPr>
            </w:pPr>
            <w:r>
              <w:rPr>
                <w:rFonts w:hint="eastAsia" w:hAnsi="宋体" w:cs="宋体"/>
                <w:kern w:val="0"/>
                <w:sz w:val="24"/>
                <w:szCs w:val="24"/>
              </w:rPr>
              <w:t>（4）安全装置：①车辆的照明系统和仪表盘正常。②车辆的行车、驻车制动系统有效。③有能发出清晰声响的警示装置（如喇叭）。④车辆后视镜有效。⑤按要求配备灭火器（仅观光车辆）。⑥按要求配置安全带（仅坐驾式车辆）。</w:t>
            </w:r>
          </w:p>
          <w:p>
            <w:pPr>
              <w:pStyle w:val="113"/>
              <w:widowControl w:val="0"/>
              <w:adjustRightInd w:val="0"/>
              <w:snapToGrid w:val="0"/>
              <w:spacing w:line="360" w:lineRule="auto"/>
              <w:ind w:firstLine="0" w:firstLineChars="0"/>
              <w:rPr>
                <w:rFonts w:hAnsi="宋体" w:cs="宋体"/>
                <w:sz w:val="24"/>
                <w:szCs w:val="24"/>
              </w:rPr>
            </w:pPr>
            <w:r>
              <w:rPr>
                <w:rFonts w:hint="eastAsia" w:hAnsi="宋体" w:cs="宋体"/>
                <w:kern w:val="0"/>
                <w:sz w:val="24"/>
                <w:szCs w:val="24"/>
              </w:rPr>
              <w:t>（5）运行及维保情况：：①按规定进行定期自行检查和维护保养。②非公路用旅游观光车辆在上下车站点处明示行驶路线图。</w:t>
            </w:r>
          </w:p>
        </w:tc>
        <w:tc>
          <w:tcPr>
            <w:tcW w:w="1559" w:type="dxa"/>
            <w:vMerge w:val="continue"/>
            <w:vAlign w:val="center"/>
          </w:tcPr>
          <w:p>
            <w:pPr>
              <w:spacing w:line="360" w:lineRule="auto"/>
              <w:jc w:val="center"/>
              <w:rPr>
                <w:rFonts w:ascii="宋体" w:hAnsi="宋体" w:eastAsia="宋体" w:cs="宋体"/>
                <w:bCs/>
              </w:rPr>
            </w:pPr>
          </w:p>
        </w:tc>
      </w:tr>
    </w:tbl>
    <w:p>
      <w:pPr>
        <w:rPr>
          <w:rFonts w:ascii="宋体" w:hAnsi="宋体" w:eastAsia="宋体" w:cs="宋体"/>
        </w:rPr>
      </w:pPr>
      <w:r>
        <w:rPr>
          <w:rFonts w:hint="eastAsia" w:ascii="宋体" w:hAnsi="宋体" w:eastAsia="宋体" w:cs="宋体"/>
        </w:rPr>
        <w:br w:type="page"/>
      </w:r>
    </w:p>
    <w:p>
      <w:pPr>
        <w:spacing w:line="360" w:lineRule="auto"/>
        <w:rPr>
          <w:rFonts w:ascii="宋体" w:hAnsi="宋体" w:eastAsia="宋体" w:cs="宋体"/>
          <w:b/>
          <w:bCs/>
        </w:rPr>
      </w:pPr>
      <w:r>
        <w:rPr>
          <w:rFonts w:hint="eastAsia" w:ascii="宋体" w:hAnsi="宋体" w:eastAsia="宋体" w:cs="宋体"/>
          <w:b/>
          <w:bCs/>
        </w:rPr>
        <w:t>（四）电梯维保单位监督抽查项目内容及方法要求</w:t>
      </w:r>
    </w:p>
    <w:tbl>
      <w:tblPr>
        <w:tblStyle w:val="33"/>
        <w:tblW w:w="935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67"/>
        <w:gridCol w:w="992"/>
        <w:gridCol w:w="6378"/>
        <w:gridCol w:w="141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trPr>
        <w:tc>
          <w:tcPr>
            <w:tcW w:w="567" w:type="dxa"/>
            <w:vAlign w:val="center"/>
          </w:tcPr>
          <w:p>
            <w:pPr>
              <w:spacing w:line="360" w:lineRule="auto"/>
              <w:jc w:val="center"/>
              <w:rPr>
                <w:rFonts w:ascii="宋体" w:hAnsi="宋体" w:eastAsia="宋体" w:cs="宋体"/>
                <w:bCs/>
              </w:rPr>
            </w:pPr>
            <w:r>
              <w:rPr>
                <w:rFonts w:hint="eastAsia" w:ascii="宋体" w:hAnsi="宋体" w:eastAsia="宋体" w:cs="宋体"/>
                <w:bCs/>
              </w:rPr>
              <w:t>序号</w:t>
            </w:r>
          </w:p>
        </w:tc>
        <w:tc>
          <w:tcPr>
            <w:tcW w:w="992" w:type="dxa"/>
            <w:vAlign w:val="center"/>
          </w:tcPr>
          <w:p>
            <w:pPr>
              <w:spacing w:line="360" w:lineRule="auto"/>
              <w:jc w:val="center"/>
              <w:rPr>
                <w:rFonts w:ascii="宋体" w:hAnsi="宋体" w:eastAsia="宋体" w:cs="宋体"/>
                <w:bCs/>
              </w:rPr>
            </w:pPr>
            <w:r>
              <w:rPr>
                <w:rFonts w:hint="eastAsia" w:ascii="宋体" w:hAnsi="宋体" w:eastAsia="宋体" w:cs="宋体"/>
                <w:bCs/>
              </w:rPr>
              <w:t>项目</w:t>
            </w:r>
          </w:p>
        </w:tc>
        <w:tc>
          <w:tcPr>
            <w:tcW w:w="6378" w:type="dxa"/>
            <w:vAlign w:val="center"/>
          </w:tcPr>
          <w:p>
            <w:pPr>
              <w:spacing w:line="360" w:lineRule="auto"/>
              <w:jc w:val="center"/>
              <w:rPr>
                <w:rFonts w:ascii="宋体" w:hAnsi="宋体" w:eastAsia="宋体" w:cs="宋体"/>
                <w:bCs/>
              </w:rPr>
            </w:pPr>
            <w:r>
              <w:rPr>
                <w:rFonts w:hint="eastAsia" w:ascii="宋体" w:hAnsi="宋体" w:eastAsia="宋体" w:cs="宋体"/>
                <w:bCs/>
              </w:rPr>
              <w:t>抽查内容与要求</w:t>
            </w:r>
          </w:p>
        </w:tc>
        <w:tc>
          <w:tcPr>
            <w:tcW w:w="1417" w:type="dxa"/>
            <w:vAlign w:val="center"/>
          </w:tcPr>
          <w:p>
            <w:pPr>
              <w:spacing w:line="360" w:lineRule="auto"/>
              <w:jc w:val="center"/>
              <w:rPr>
                <w:rFonts w:ascii="宋体" w:hAnsi="宋体" w:eastAsia="宋体" w:cs="宋体"/>
                <w:bCs/>
              </w:rPr>
            </w:pPr>
            <w:r>
              <w:rPr>
                <w:rFonts w:hint="eastAsia" w:ascii="宋体" w:hAnsi="宋体" w:eastAsia="宋体" w:cs="宋体"/>
                <w:bCs/>
              </w:rPr>
              <w:t>抽查方法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8" w:hRule="atLeast"/>
        </w:trPr>
        <w:tc>
          <w:tcPr>
            <w:tcW w:w="567" w:type="dxa"/>
            <w:vAlign w:val="center"/>
          </w:tcPr>
          <w:p>
            <w:pPr>
              <w:spacing w:line="360" w:lineRule="auto"/>
              <w:jc w:val="center"/>
              <w:outlineLvl w:val="2"/>
              <w:rPr>
                <w:rFonts w:ascii="宋体" w:hAnsi="宋体" w:eastAsia="宋体" w:cs="宋体"/>
              </w:rPr>
            </w:pPr>
            <w:bookmarkStart w:id="206" w:name="_Toc31775"/>
            <w:r>
              <w:rPr>
                <w:rFonts w:hint="eastAsia" w:ascii="宋体" w:hAnsi="宋体" w:eastAsia="宋体" w:cs="宋体"/>
              </w:rPr>
              <w:t>1</w:t>
            </w:r>
            <w:bookmarkEnd w:id="206"/>
          </w:p>
        </w:tc>
        <w:tc>
          <w:tcPr>
            <w:tcW w:w="992" w:type="dxa"/>
            <w:vAlign w:val="center"/>
          </w:tcPr>
          <w:p>
            <w:pPr>
              <w:spacing w:line="360" w:lineRule="auto"/>
              <w:jc w:val="center"/>
              <w:outlineLvl w:val="2"/>
              <w:rPr>
                <w:rFonts w:ascii="宋体" w:hAnsi="宋体" w:eastAsia="宋体" w:cs="宋体"/>
              </w:rPr>
            </w:pPr>
            <w:bookmarkStart w:id="207" w:name="_Toc29545"/>
            <w:r>
              <w:rPr>
                <w:rFonts w:hint="eastAsia" w:ascii="宋体" w:hAnsi="宋体" w:eastAsia="宋体" w:cs="宋体"/>
              </w:rPr>
              <w:t>许可条件保持情况</w:t>
            </w:r>
            <w:bookmarkEnd w:id="207"/>
          </w:p>
        </w:tc>
        <w:tc>
          <w:tcPr>
            <w:tcW w:w="6378" w:type="dxa"/>
            <w:vAlign w:val="center"/>
          </w:tcPr>
          <w:p>
            <w:pPr>
              <w:spacing w:line="360" w:lineRule="auto"/>
              <w:outlineLvl w:val="2"/>
              <w:rPr>
                <w:rFonts w:ascii="宋体" w:hAnsi="宋体" w:eastAsia="宋体" w:cs="宋体"/>
              </w:rPr>
            </w:pPr>
            <w:bookmarkStart w:id="208" w:name="_Toc31548"/>
            <w:r>
              <w:rPr>
                <w:rFonts w:hint="eastAsia" w:ascii="宋体" w:hAnsi="宋体" w:eastAsia="宋体" w:cs="宋体"/>
              </w:rPr>
              <w:t>（1）《营业执照》《中华人民共和国特种设备生产许可证》信息一致，并在有效期内；具有日常工作需要的固定办公场所，面积符合《特种设备生产和充装单位许可规则》（TSG 07-2019）相关要求；</w:t>
            </w:r>
            <w:bookmarkEnd w:id="208"/>
          </w:p>
          <w:p>
            <w:pPr>
              <w:spacing w:line="360" w:lineRule="auto"/>
              <w:rPr>
                <w:rFonts w:ascii="宋体" w:hAnsi="宋体" w:eastAsia="宋体" w:cs="宋体"/>
              </w:rPr>
            </w:pPr>
            <w:r>
              <w:rPr>
                <w:rFonts w:hint="eastAsia" w:ascii="宋体" w:hAnsi="宋体" w:eastAsia="宋体" w:cs="宋体"/>
              </w:rPr>
              <w:t>（2）制定持续保持许可条件的制度或措施；</w:t>
            </w:r>
          </w:p>
          <w:p>
            <w:pPr>
              <w:autoSpaceDE w:val="0"/>
              <w:autoSpaceDN w:val="0"/>
              <w:adjustRightInd w:val="0"/>
              <w:spacing w:line="360" w:lineRule="auto"/>
              <w:rPr>
                <w:rFonts w:ascii="宋体" w:hAnsi="宋体" w:eastAsia="宋体" w:cs="宋体"/>
              </w:rPr>
            </w:pPr>
            <w:r>
              <w:rPr>
                <w:rFonts w:hint="eastAsia" w:ascii="宋体" w:hAnsi="宋体" w:eastAsia="宋体" w:cs="宋体"/>
              </w:rPr>
              <w:t>（3）许可条件发生变化或不能满足时及时整改，仍达不到许可条件的应报告发证机关。</w:t>
            </w:r>
          </w:p>
        </w:tc>
        <w:tc>
          <w:tcPr>
            <w:tcW w:w="1417" w:type="dxa"/>
            <w:vAlign w:val="center"/>
          </w:tcPr>
          <w:p>
            <w:pPr>
              <w:spacing w:line="360" w:lineRule="auto"/>
              <w:jc w:val="center"/>
              <w:outlineLvl w:val="2"/>
              <w:rPr>
                <w:rFonts w:ascii="宋体" w:hAnsi="宋体" w:eastAsia="宋体" w:cs="宋体"/>
              </w:rPr>
            </w:pPr>
            <w:bookmarkStart w:id="209" w:name="_Toc19931"/>
            <w:r>
              <w:rPr>
                <w:rFonts w:hint="eastAsia" w:ascii="宋体" w:hAnsi="宋体" w:eastAsia="宋体" w:cs="宋体"/>
              </w:rPr>
              <w:t>现场查验相关信息及资料</w:t>
            </w:r>
            <w:bookmarkEnd w:id="209"/>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567" w:type="dxa"/>
            <w:vAlign w:val="center"/>
          </w:tcPr>
          <w:p>
            <w:pPr>
              <w:spacing w:line="360" w:lineRule="auto"/>
              <w:jc w:val="center"/>
              <w:outlineLvl w:val="2"/>
              <w:rPr>
                <w:rFonts w:ascii="宋体" w:hAnsi="宋体" w:eastAsia="宋体" w:cs="宋体"/>
              </w:rPr>
            </w:pPr>
            <w:bookmarkStart w:id="210" w:name="_Toc15913"/>
            <w:r>
              <w:rPr>
                <w:rFonts w:hint="eastAsia" w:ascii="宋体" w:hAnsi="宋体" w:eastAsia="宋体" w:cs="宋体"/>
              </w:rPr>
              <w:t>2</w:t>
            </w:r>
            <w:bookmarkEnd w:id="210"/>
          </w:p>
        </w:tc>
        <w:tc>
          <w:tcPr>
            <w:tcW w:w="992" w:type="dxa"/>
            <w:vAlign w:val="center"/>
          </w:tcPr>
          <w:p>
            <w:pPr>
              <w:spacing w:line="360" w:lineRule="auto"/>
              <w:jc w:val="center"/>
              <w:outlineLvl w:val="2"/>
              <w:rPr>
                <w:rFonts w:ascii="宋体" w:hAnsi="宋体" w:eastAsia="宋体" w:cs="宋体"/>
              </w:rPr>
            </w:pPr>
            <w:bookmarkStart w:id="211" w:name="_Toc366"/>
            <w:r>
              <w:rPr>
                <w:rFonts w:hint="eastAsia" w:ascii="宋体" w:hAnsi="宋体" w:eastAsia="宋体" w:cs="宋体"/>
              </w:rPr>
              <w:t>建立安全管理体系</w:t>
            </w:r>
            <w:bookmarkEnd w:id="211"/>
          </w:p>
        </w:tc>
        <w:tc>
          <w:tcPr>
            <w:tcW w:w="6378" w:type="dxa"/>
            <w:vAlign w:val="center"/>
          </w:tcPr>
          <w:p>
            <w:pPr>
              <w:spacing w:line="360" w:lineRule="auto"/>
              <w:outlineLvl w:val="2"/>
              <w:rPr>
                <w:rFonts w:ascii="宋体" w:hAnsi="宋体" w:eastAsia="宋体" w:cs="宋体"/>
              </w:rPr>
            </w:pPr>
            <w:bookmarkStart w:id="212" w:name="_Toc21764"/>
            <w:r>
              <w:rPr>
                <w:rFonts w:hint="eastAsia" w:ascii="宋体" w:hAnsi="宋体" w:eastAsia="宋体" w:cs="宋体"/>
              </w:rPr>
              <w:t>（1）现行有效的相关法规政策文件齐全,在其框架下建立安全管理体系，整理建档；</w:t>
            </w:r>
            <w:bookmarkEnd w:id="212"/>
          </w:p>
          <w:p>
            <w:pPr>
              <w:spacing w:line="360" w:lineRule="auto"/>
              <w:outlineLvl w:val="2"/>
              <w:rPr>
                <w:rFonts w:ascii="宋体" w:hAnsi="宋体" w:eastAsia="宋体" w:cs="宋体"/>
              </w:rPr>
            </w:pPr>
            <w:bookmarkStart w:id="213" w:name="_Toc13375"/>
            <w:r>
              <w:rPr>
                <w:rFonts w:hint="eastAsia" w:ascii="宋体" w:hAnsi="宋体" w:eastAsia="宋体" w:cs="宋体"/>
              </w:rPr>
              <w:t>（2）质量保证、安全管理和岗位责任等制度健全；</w:t>
            </w:r>
            <w:bookmarkEnd w:id="213"/>
          </w:p>
          <w:p>
            <w:pPr>
              <w:spacing w:line="360" w:lineRule="auto"/>
              <w:outlineLvl w:val="2"/>
              <w:rPr>
                <w:rFonts w:ascii="宋体" w:hAnsi="宋体" w:eastAsia="宋体" w:cs="宋体"/>
              </w:rPr>
            </w:pPr>
            <w:bookmarkStart w:id="214" w:name="_Toc12812"/>
            <w:r>
              <w:rPr>
                <w:rFonts w:hint="eastAsia" w:ascii="宋体" w:hAnsi="宋体" w:eastAsia="宋体" w:cs="宋体"/>
              </w:rPr>
              <w:t>（3）有保障安全管理体系有效运行的措施。</w:t>
            </w:r>
            <w:bookmarkEnd w:id="214"/>
          </w:p>
        </w:tc>
        <w:tc>
          <w:tcPr>
            <w:tcW w:w="1417" w:type="dxa"/>
            <w:vAlign w:val="center"/>
          </w:tcPr>
          <w:p>
            <w:pPr>
              <w:spacing w:line="360" w:lineRule="auto"/>
              <w:jc w:val="center"/>
              <w:outlineLvl w:val="2"/>
              <w:rPr>
                <w:rFonts w:ascii="宋体" w:hAnsi="宋体" w:eastAsia="宋体" w:cs="宋体"/>
              </w:rPr>
            </w:pPr>
            <w:bookmarkStart w:id="215" w:name="_Toc10716"/>
            <w:r>
              <w:rPr>
                <w:rFonts w:hint="eastAsia" w:ascii="宋体" w:hAnsi="宋体" w:eastAsia="宋体" w:cs="宋体"/>
              </w:rPr>
              <w:t>查阅体系</w:t>
            </w:r>
            <w:bookmarkEnd w:id="215"/>
          </w:p>
          <w:p>
            <w:pPr>
              <w:spacing w:line="360" w:lineRule="auto"/>
              <w:jc w:val="center"/>
              <w:outlineLvl w:val="2"/>
              <w:rPr>
                <w:rFonts w:ascii="宋体" w:hAnsi="宋体" w:eastAsia="宋体" w:cs="宋体"/>
              </w:rPr>
            </w:pPr>
            <w:bookmarkStart w:id="216" w:name="_Toc25523"/>
            <w:r>
              <w:rPr>
                <w:rFonts w:hint="eastAsia" w:ascii="宋体" w:hAnsi="宋体" w:eastAsia="宋体" w:cs="宋体"/>
              </w:rPr>
              <w:t>文件</w:t>
            </w:r>
            <w:bookmarkEnd w:id="216"/>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8" w:hRule="atLeast"/>
        </w:trPr>
        <w:tc>
          <w:tcPr>
            <w:tcW w:w="567" w:type="dxa"/>
            <w:vAlign w:val="center"/>
          </w:tcPr>
          <w:p>
            <w:pPr>
              <w:spacing w:line="360" w:lineRule="auto"/>
              <w:jc w:val="center"/>
              <w:outlineLvl w:val="2"/>
              <w:rPr>
                <w:rFonts w:ascii="宋体" w:hAnsi="宋体" w:eastAsia="宋体" w:cs="宋体"/>
              </w:rPr>
            </w:pPr>
            <w:bookmarkStart w:id="217" w:name="_Toc13193"/>
            <w:r>
              <w:rPr>
                <w:rFonts w:hint="eastAsia" w:ascii="宋体" w:hAnsi="宋体" w:eastAsia="宋体" w:cs="宋体"/>
              </w:rPr>
              <w:t>3</w:t>
            </w:r>
            <w:bookmarkEnd w:id="217"/>
          </w:p>
        </w:tc>
        <w:tc>
          <w:tcPr>
            <w:tcW w:w="992" w:type="dxa"/>
            <w:vAlign w:val="center"/>
          </w:tcPr>
          <w:p>
            <w:pPr>
              <w:spacing w:line="360" w:lineRule="auto"/>
              <w:jc w:val="center"/>
              <w:outlineLvl w:val="2"/>
              <w:rPr>
                <w:rFonts w:ascii="宋体" w:hAnsi="宋体" w:eastAsia="宋体" w:cs="宋体"/>
              </w:rPr>
            </w:pPr>
            <w:bookmarkStart w:id="218" w:name="_Toc26723"/>
            <w:r>
              <w:rPr>
                <w:rFonts w:hint="eastAsia" w:ascii="宋体" w:hAnsi="宋体" w:eastAsia="宋体" w:cs="宋体"/>
              </w:rPr>
              <w:t>配备相应人员</w:t>
            </w:r>
            <w:bookmarkEnd w:id="218"/>
          </w:p>
        </w:tc>
        <w:tc>
          <w:tcPr>
            <w:tcW w:w="6378" w:type="dxa"/>
            <w:vAlign w:val="center"/>
          </w:tcPr>
          <w:p>
            <w:pPr>
              <w:spacing w:line="360" w:lineRule="auto"/>
              <w:outlineLvl w:val="2"/>
              <w:rPr>
                <w:rFonts w:ascii="宋体" w:hAnsi="宋体" w:eastAsia="宋体" w:cs="宋体"/>
              </w:rPr>
            </w:pPr>
            <w:bookmarkStart w:id="219" w:name="_Toc18292"/>
            <w:r>
              <w:rPr>
                <w:rFonts w:hint="eastAsia" w:ascii="宋体" w:hAnsi="宋体" w:eastAsia="宋体" w:cs="宋体"/>
              </w:rPr>
              <w:t>（1）按照《特种设备生产和充装单位许可规则》（TSG 07-2019）相关要求，具有相应的技术负责人、质量保证体系人员、技术人员（项目负责人）、质量检验人员、作业人员，并且有相关人员任命文件；</w:t>
            </w:r>
            <w:bookmarkEnd w:id="219"/>
          </w:p>
          <w:p>
            <w:pPr>
              <w:spacing w:line="360" w:lineRule="auto"/>
              <w:outlineLvl w:val="2"/>
              <w:rPr>
                <w:rFonts w:ascii="宋体" w:hAnsi="宋体" w:eastAsia="宋体" w:cs="宋体"/>
              </w:rPr>
            </w:pPr>
            <w:bookmarkStart w:id="220" w:name="_Toc12627"/>
            <w:r>
              <w:rPr>
                <w:rFonts w:hint="eastAsia" w:ascii="宋体" w:hAnsi="宋体" w:eastAsia="宋体" w:cs="宋体"/>
              </w:rPr>
              <w:t>（2）技术负责人、质量保证体系人员、技术人员（项目负责人）、质量检验人员、作业人员数量、职称或者学历符合《特种设备生产和充装单位许可规则》（TSG 07-2019）规定要求；</w:t>
            </w:r>
            <w:bookmarkEnd w:id="220"/>
          </w:p>
          <w:p>
            <w:pPr>
              <w:spacing w:line="360" w:lineRule="auto"/>
              <w:outlineLvl w:val="2"/>
              <w:rPr>
                <w:rFonts w:ascii="宋体" w:hAnsi="宋体" w:eastAsia="宋体" w:cs="宋体"/>
              </w:rPr>
            </w:pPr>
            <w:bookmarkStart w:id="221" w:name="_Toc7856"/>
            <w:r>
              <w:rPr>
                <w:rFonts w:hint="eastAsia" w:ascii="宋体" w:hAnsi="宋体" w:eastAsia="宋体" w:cs="宋体"/>
              </w:rPr>
              <w:t>（3）建立人员台账，按照年度安全教育和技能培训计划，定期组织开展必要的安全教育和技能培训、考核。</w:t>
            </w:r>
            <w:bookmarkEnd w:id="221"/>
          </w:p>
          <w:p>
            <w:pPr>
              <w:spacing w:line="360" w:lineRule="auto"/>
              <w:outlineLvl w:val="2"/>
              <w:rPr>
                <w:rFonts w:ascii="宋体" w:hAnsi="宋体" w:eastAsia="宋体" w:cs="宋体"/>
              </w:rPr>
            </w:pPr>
            <w:bookmarkStart w:id="222" w:name="_Toc21790"/>
            <w:r>
              <w:rPr>
                <w:rFonts w:hint="eastAsia" w:ascii="宋体" w:hAnsi="宋体" w:eastAsia="宋体" w:cs="宋体"/>
              </w:rPr>
              <w:t>（4）有保障人员执行安全技术规范和管理制度的措施。</w:t>
            </w:r>
            <w:bookmarkEnd w:id="222"/>
          </w:p>
        </w:tc>
        <w:tc>
          <w:tcPr>
            <w:tcW w:w="1417" w:type="dxa"/>
            <w:vAlign w:val="center"/>
          </w:tcPr>
          <w:p>
            <w:pPr>
              <w:spacing w:line="360" w:lineRule="auto"/>
              <w:jc w:val="center"/>
              <w:outlineLvl w:val="2"/>
              <w:rPr>
                <w:rFonts w:ascii="宋体" w:hAnsi="宋体" w:eastAsia="宋体" w:cs="宋体"/>
              </w:rPr>
            </w:pPr>
            <w:bookmarkStart w:id="223" w:name="_Toc30708"/>
            <w:r>
              <w:rPr>
                <w:rFonts w:hint="eastAsia" w:ascii="宋体" w:hAnsi="宋体" w:eastAsia="宋体" w:cs="宋体"/>
              </w:rPr>
              <w:t>现场检查相关资料</w:t>
            </w:r>
            <w:bookmarkEnd w:id="223"/>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567" w:type="dxa"/>
            <w:vAlign w:val="center"/>
          </w:tcPr>
          <w:p>
            <w:pPr>
              <w:spacing w:line="360" w:lineRule="auto"/>
              <w:jc w:val="center"/>
              <w:outlineLvl w:val="2"/>
              <w:rPr>
                <w:rFonts w:ascii="宋体" w:hAnsi="宋体" w:eastAsia="宋体" w:cs="宋体"/>
              </w:rPr>
            </w:pPr>
            <w:bookmarkStart w:id="224" w:name="_Toc14333"/>
            <w:r>
              <w:rPr>
                <w:rFonts w:hint="eastAsia" w:ascii="宋体" w:hAnsi="宋体" w:eastAsia="宋体" w:cs="宋体"/>
              </w:rPr>
              <w:t>4</w:t>
            </w:r>
            <w:bookmarkEnd w:id="224"/>
          </w:p>
        </w:tc>
        <w:tc>
          <w:tcPr>
            <w:tcW w:w="992" w:type="dxa"/>
            <w:vAlign w:val="center"/>
          </w:tcPr>
          <w:p>
            <w:pPr>
              <w:spacing w:line="360" w:lineRule="auto"/>
              <w:jc w:val="center"/>
              <w:outlineLvl w:val="2"/>
              <w:rPr>
                <w:rFonts w:ascii="宋体" w:hAnsi="宋体" w:eastAsia="宋体" w:cs="宋体"/>
              </w:rPr>
            </w:pPr>
            <w:bookmarkStart w:id="225" w:name="_Toc19828"/>
            <w:r>
              <w:rPr>
                <w:rFonts w:hint="eastAsia" w:ascii="宋体" w:hAnsi="宋体" w:eastAsia="宋体" w:cs="宋体"/>
              </w:rPr>
              <w:t>加强日常安全自查</w:t>
            </w:r>
            <w:bookmarkEnd w:id="225"/>
          </w:p>
        </w:tc>
        <w:tc>
          <w:tcPr>
            <w:tcW w:w="6378" w:type="dxa"/>
            <w:vAlign w:val="center"/>
          </w:tcPr>
          <w:p>
            <w:pPr>
              <w:spacing w:line="360" w:lineRule="auto"/>
              <w:outlineLvl w:val="2"/>
              <w:rPr>
                <w:rFonts w:ascii="宋体" w:hAnsi="宋体" w:eastAsia="宋体" w:cs="宋体"/>
              </w:rPr>
            </w:pPr>
            <w:bookmarkStart w:id="226" w:name="_Toc24267"/>
            <w:r>
              <w:rPr>
                <w:rFonts w:hint="eastAsia" w:ascii="宋体" w:hAnsi="宋体" w:eastAsia="宋体" w:cs="宋体"/>
              </w:rPr>
              <w:t>（1）制定自行检测、日常检查、维护保养、检验等自查计划并按相关技术规范要求实施；</w:t>
            </w:r>
            <w:bookmarkEnd w:id="226"/>
          </w:p>
          <w:p>
            <w:pPr>
              <w:spacing w:line="360" w:lineRule="auto"/>
              <w:outlineLvl w:val="2"/>
              <w:rPr>
                <w:rFonts w:ascii="宋体" w:hAnsi="宋体" w:eastAsia="宋体" w:cs="宋体"/>
              </w:rPr>
            </w:pPr>
            <w:bookmarkStart w:id="227" w:name="_Toc32326"/>
            <w:r>
              <w:rPr>
                <w:rFonts w:hint="eastAsia" w:ascii="宋体" w:hAnsi="宋体" w:eastAsia="宋体" w:cs="宋体"/>
              </w:rPr>
              <w:t>（2）保存相关自查记录，保证信息能追溯。</w:t>
            </w:r>
            <w:bookmarkEnd w:id="227"/>
          </w:p>
        </w:tc>
        <w:tc>
          <w:tcPr>
            <w:tcW w:w="1417" w:type="dxa"/>
            <w:vAlign w:val="center"/>
          </w:tcPr>
          <w:p>
            <w:pPr>
              <w:spacing w:line="360" w:lineRule="auto"/>
              <w:jc w:val="center"/>
              <w:outlineLvl w:val="2"/>
              <w:rPr>
                <w:rFonts w:ascii="宋体" w:hAnsi="宋体" w:eastAsia="宋体" w:cs="宋体"/>
              </w:rPr>
            </w:pPr>
            <w:bookmarkStart w:id="228" w:name="_Toc2881"/>
            <w:r>
              <w:rPr>
                <w:rFonts w:hint="eastAsia" w:ascii="宋体" w:hAnsi="宋体" w:eastAsia="宋体" w:cs="宋体"/>
              </w:rPr>
              <w:t>查阅相关</w:t>
            </w:r>
            <w:bookmarkEnd w:id="228"/>
          </w:p>
          <w:p>
            <w:pPr>
              <w:spacing w:line="360" w:lineRule="auto"/>
              <w:jc w:val="center"/>
              <w:outlineLvl w:val="2"/>
              <w:rPr>
                <w:rFonts w:ascii="宋体" w:hAnsi="宋体" w:eastAsia="宋体" w:cs="宋体"/>
              </w:rPr>
            </w:pPr>
            <w:bookmarkStart w:id="229" w:name="_Toc12342"/>
            <w:r>
              <w:rPr>
                <w:rFonts w:hint="eastAsia" w:ascii="宋体" w:hAnsi="宋体" w:eastAsia="宋体" w:cs="宋体"/>
              </w:rPr>
              <w:t>资料</w:t>
            </w:r>
            <w:bookmarkEnd w:id="229"/>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1" w:hRule="atLeast"/>
        </w:trPr>
        <w:tc>
          <w:tcPr>
            <w:tcW w:w="567" w:type="dxa"/>
            <w:vAlign w:val="center"/>
          </w:tcPr>
          <w:p>
            <w:pPr>
              <w:spacing w:line="360" w:lineRule="auto"/>
              <w:jc w:val="center"/>
              <w:outlineLvl w:val="2"/>
              <w:rPr>
                <w:rFonts w:ascii="宋体" w:hAnsi="宋体" w:eastAsia="宋体" w:cs="宋体"/>
              </w:rPr>
            </w:pPr>
            <w:bookmarkStart w:id="230" w:name="_Toc29460"/>
            <w:r>
              <w:rPr>
                <w:rFonts w:hint="eastAsia" w:ascii="宋体" w:hAnsi="宋体" w:eastAsia="宋体" w:cs="宋体"/>
              </w:rPr>
              <w:t>5</w:t>
            </w:r>
            <w:bookmarkEnd w:id="230"/>
          </w:p>
        </w:tc>
        <w:tc>
          <w:tcPr>
            <w:tcW w:w="992" w:type="dxa"/>
            <w:vAlign w:val="center"/>
          </w:tcPr>
          <w:p>
            <w:pPr>
              <w:spacing w:line="360" w:lineRule="auto"/>
              <w:jc w:val="center"/>
              <w:outlineLvl w:val="2"/>
              <w:rPr>
                <w:rFonts w:ascii="宋体" w:hAnsi="宋体" w:eastAsia="宋体" w:cs="宋体"/>
              </w:rPr>
            </w:pPr>
            <w:bookmarkStart w:id="231" w:name="_Toc5368"/>
            <w:r>
              <w:rPr>
                <w:rFonts w:hint="eastAsia" w:ascii="宋体" w:hAnsi="宋体" w:eastAsia="宋体" w:cs="宋体"/>
              </w:rPr>
              <w:t>按规范维护保养</w:t>
            </w:r>
            <w:bookmarkEnd w:id="231"/>
          </w:p>
        </w:tc>
        <w:tc>
          <w:tcPr>
            <w:tcW w:w="6378" w:type="dxa"/>
            <w:vAlign w:val="center"/>
          </w:tcPr>
          <w:p>
            <w:pPr>
              <w:spacing w:line="360" w:lineRule="auto"/>
              <w:outlineLvl w:val="2"/>
              <w:rPr>
                <w:rFonts w:ascii="宋体" w:hAnsi="宋体" w:eastAsia="宋体" w:cs="宋体"/>
              </w:rPr>
            </w:pPr>
            <w:bookmarkStart w:id="232" w:name="_Toc12489"/>
            <w:r>
              <w:rPr>
                <w:rFonts w:hint="eastAsia" w:ascii="宋体" w:hAnsi="宋体" w:eastAsia="宋体" w:cs="宋体"/>
              </w:rPr>
              <w:t>（1）建立维护保养电梯台账，根据《电梯维护保养规则》（TSG T5002-2017）以及电梯产品安装使用维护说明书的相关要求，制定维护保养方案，并严格执行；</w:t>
            </w:r>
            <w:bookmarkEnd w:id="232"/>
          </w:p>
          <w:p>
            <w:pPr>
              <w:spacing w:line="360" w:lineRule="auto"/>
              <w:outlineLvl w:val="2"/>
              <w:rPr>
                <w:rFonts w:ascii="宋体" w:hAnsi="宋体" w:eastAsia="宋体" w:cs="宋体"/>
              </w:rPr>
            </w:pPr>
            <w:bookmarkStart w:id="233" w:name="_Toc22030"/>
            <w:r>
              <w:rPr>
                <w:rFonts w:hint="eastAsia" w:ascii="宋体" w:hAnsi="宋体" w:eastAsia="宋体" w:cs="宋体"/>
              </w:rPr>
              <w:t>（2）如实填写维护保养记录，每部电梯的保养记录保存4 年以上。采用按需维保模式的要保存相关信息并可查证；</w:t>
            </w:r>
            <w:bookmarkEnd w:id="233"/>
          </w:p>
          <w:p>
            <w:pPr>
              <w:spacing w:line="360" w:lineRule="auto"/>
              <w:outlineLvl w:val="2"/>
              <w:rPr>
                <w:rFonts w:ascii="宋体" w:hAnsi="宋体" w:eastAsia="宋体" w:cs="宋体"/>
              </w:rPr>
            </w:pPr>
            <w:bookmarkStart w:id="234" w:name="_Toc17544"/>
            <w:r>
              <w:rPr>
                <w:rFonts w:hint="eastAsia" w:ascii="宋体" w:hAnsi="宋体" w:eastAsia="宋体" w:cs="宋体"/>
              </w:rPr>
              <w:t>（3）抽查本年度2-5个维保项目各1-3台电梯的维护保养记录，检查维保项目落实情况；</w:t>
            </w:r>
            <w:bookmarkEnd w:id="234"/>
          </w:p>
          <w:p>
            <w:pPr>
              <w:spacing w:line="360" w:lineRule="auto"/>
              <w:outlineLvl w:val="2"/>
              <w:rPr>
                <w:rFonts w:ascii="宋体" w:hAnsi="宋体" w:eastAsia="宋体" w:cs="宋体"/>
              </w:rPr>
            </w:pPr>
            <w:bookmarkStart w:id="235" w:name="_Toc17644"/>
            <w:r>
              <w:rPr>
                <w:rFonts w:hint="eastAsia" w:ascii="宋体" w:hAnsi="宋体" w:eastAsia="宋体" w:cs="宋体"/>
              </w:rPr>
              <w:t>（4）对保存有效期内的其他年度的维护保养记录随机抽查3—5份，检查维保项目落实情况；</w:t>
            </w:r>
            <w:bookmarkEnd w:id="235"/>
          </w:p>
        </w:tc>
        <w:tc>
          <w:tcPr>
            <w:tcW w:w="1417" w:type="dxa"/>
            <w:vAlign w:val="center"/>
          </w:tcPr>
          <w:p>
            <w:pPr>
              <w:spacing w:line="360" w:lineRule="auto"/>
              <w:jc w:val="center"/>
              <w:outlineLvl w:val="2"/>
              <w:rPr>
                <w:rFonts w:ascii="宋体" w:hAnsi="宋体" w:eastAsia="宋体" w:cs="宋体"/>
              </w:rPr>
            </w:pPr>
            <w:bookmarkStart w:id="236" w:name="_Toc27704"/>
            <w:r>
              <w:rPr>
                <w:rFonts w:hint="eastAsia" w:ascii="宋体" w:hAnsi="宋体" w:eastAsia="宋体" w:cs="宋体"/>
              </w:rPr>
              <w:t>查阅相关方案及维护保养记录</w:t>
            </w:r>
            <w:bookmarkEnd w:id="236"/>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567" w:type="dxa"/>
            <w:vAlign w:val="center"/>
          </w:tcPr>
          <w:p>
            <w:pPr>
              <w:spacing w:line="360" w:lineRule="auto"/>
              <w:jc w:val="center"/>
              <w:outlineLvl w:val="2"/>
              <w:rPr>
                <w:rFonts w:ascii="宋体" w:hAnsi="宋体" w:eastAsia="宋体" w:cs="宋体"/>
              </w:rPr>
            </w:pPr>
            <w:bookmarkStart w:id="237" w:name="_Toc6424"/>
            <w:r>
              <w:rPr>
                <w:rFonts w:hint="eastAsia" w:ascii="宋体" w:hAnsi="宋体" w:eastAsia="宋体" w:cs="宋体"/>
              </w:rPr>
              <w:t>6</w:t>
            </w:r>
            <w:bookmarkEnd w:id="237"/>
          </w:p>
        </w:tc>
        <w:tc>
          <w:tcPr>
            <w:tcW w:w="992" w:type="dxa"/>
            <w:vAlign w:val="center"/>
          </w:tcPr>
          <w:p>
            <w:pPr>
              <w:spacing w:line="360" w:lineRule="auto"/>
              <w:jc w:val="center"/>
              <w:outlineLvl w:val="2"/>
              <w:rPr>
                <w:rFonts w:ascii="宋体" w:hAnsi="宋体" w:eastAsia="宋体" w:cs="宋体"/>
              </w:rPr>
            </w:pPr>
            <w:bookmarkStart w:id="238" w:name="_Toc5534"/>
            <w:r>
              <w:rPr>
                <w:rFonts w:hint="eastAsia" w:ascii="宋体" w:hAnsi="宋体" w:eastAsia="宋体" w:cs="宋体"/>
              </w:rPr>
              <w:t>遵守安全防护操作规程</w:t>
            </w:r>
            <w:bookmarkEnd w:id="238"/>
          </w:p>
        </w:tc>
        <w:tc>
          <w:tcPr>
            <w:tcW w:w="6378" w:type="dxa"/>
            <w:vAlign w:val="center"/>
          </w:tcPr>
          <w:p>
            <w:pPr>
              <w:spacing w:line="360" w:lineRule="auto"/>
              <w:outlineLvl w:val="2"/>
              <w:rPr>
                <w:rFonts w:ascii="宋体" w:hAnsi="宋体" w:eastAsia="宋体" w:cs="宋体"/>
              </w:rPr>
            </w:pPr>
            <w:bookmarkStart w:id="239" w:name="_Toc5201"/>
            <w:r>
              <w:rPr>
                <w:rFonts w:hint="eastAsia" w:ascii="宋体" w:hAnsi="宋体" w:eastAsia="宋体" w:cs="宋体"/>
              </w:rPr>
              <w:t>进行维护保养或救援时，落实现场安全防护措施，按照操作规程和技术规范作业，保证施工安全。</w:t>
            </w:r>
            <w:bookmarkEnd w:id="239"/>
          </w:p>
        </w:tc>
        <w:tc>
          <w:tcPr>
            <w:tcW w:w="1417" w:type="dxa"/>
            <w:vAlign w:val="center"/>
          </w:tcPr>
          <w:p>
            <w:pPr>
              <w:spacing w:line="360" w:lineRule="auto"/>
              <w:jc w:val="center"/>
              <w:outlineLvl w:val="2"/>
              <w:rPr>
                <w:rFonts w:ascii="宋体" w:hAnsi="宋体" w:eastAsia="宋体" w:cs="宋体"/>
              </w:rPr>
            </w:pPr>
            <w:bookmarkStart w:id="240" w:name="_Toc600"/>
            <w:r>
              <w:rPr>
                <w:rFonts w:hint="eastAsia" w:ascii="宋体" w:hAnsi="宋体" w:eastAsia="宋体" w:cs="宋体"/>
              </w:rPr>
              <w:t>查阅相关见证资料</w:t>
            </w:r>
            <w:bookmarkEnd w:id="240"/>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1" w:hRule="atLeast"/>
        </w:trPr>
        <w:tc>
          <w:tcPr>
            <w:tcW w:w="567" w:type="dxa"/>
            <w:vAlign w:val="center"/>
          </w:tcPr>
          <w:p>
            <w:pPr>
              <w:spacing w:line="360" w:lineRule="auto"/>
              <w:jc w:val="center"/>
              <w:outlineLvl w:val="2"/>
              <w:rPr>
                <w:rFonts w:ascii="宋体" w:hAnsi="宋体" w:eastAsia="宋体" w:cs="宋体"/>
              </w:rPr>
            </w:pPr>
            <w:bookmarkStart w:id="241" w:name="_Toc25870"/>
            <w:r>
              <w:rPr>
                <w:rFonts w:hint="eastAsia" w:ascii="宋体" w:hAnsi="宋体" w:eastAsia="宋体" w:cs="宋体"/>
              </w:rPr>
              <w:t>7</w:t>
            </w:r>
            <w:bookmarkEnd w:id="241"/>
          </w:p>
        </w:tc>
        <w:tc>
          <w:tcPr>
            <w:tcW w:w="992" w:type="dxa"/>
            <w:vAlign w:val="center"/>
          </w:tcPr>
          <w:p>
            <w:pPr>
              <w:spacing w:line="360" w:lineRule="auto"/>
              <w:jc w:val="center"/>
              <w:outlineLvl w:val="2"/>
              <w:rPr>
                <w:rFonts w:ascii="宋体" w:hAnsi="宋体" w:eastAsia="宋体" w:cs="宋体"/>
              </w:rPr>
            </w:pPr>
            <w:bookmarkStart w:id="242" w:name="_Toc8657"/>
            <w:r>
              <w:rPr>
                <w:rFonts w:hint="eastAsia" w:ascii="宋体" w:hAnsi="宋体" w:eastAsia="宋体" w:cs="宋体"/>
              </w:rPr>
              <w:t>规范作业人员管理</w:t>
            </w:r>
            <w:bookmarkEnd w:id="242"/>
          </w:p>
        </w:tc>
        <w:tc>
          <w:tcPr>
            <w:tcW w:w="6378" w:type="dxa"/>
            <w:vAlign w:val="center"/>
          </w:tcPr>
          <w:p>
            <w:pPr>
              <w:spacing w:line="360" w:lineRule="auto"/>
              <w:outlineLvl w:val="2"/>
              <w:rPr>
                <w:rFonts w:ascii="宋体" w:hAnsi="宋体" w:eastAsia="宋体" w:cs="宋体"/>
              </w:rPr>
            </w:pPr>
            <w:bookmarkStart w:id="243" w:name="_Toc14197"/>
            <w:r>
              <w:rPr>
                <w:rFonts w:hint="eastAsia" w:ascii="宋体" w:hAnsi="宋体" w:eastAsia="宋体" w:cs="宋体"/>
              </w:rPr>
              <w:t>（1）配备与维护保养业务相适应的维护保养人员，加强培训教育管理，持证上岗；</w:t>
            </w:r>
            <w:bookmarkEnd w:id="243"/>
          </w:p>
          <w:p>
            <w:pPr>
              <w:spacing w:line="360" w:lineRule="auto"/>
              <w:outlineLvl w:val="2"/>
              <w:rPr>
                <w:rFonts w:ascii="宋体" w:hAnsi="宋体" w:eastAsia="宋体" w:cs="宋体"/>
              </w:rPr>
            </w:pPr>
            <w:bookmarkStart w:id="244" w:name="_Toc19484"/>
            <w:r>
              <w:rPr>
                <w:rFonts w:hint="eastAsia" w:ascii="宋体" w:hAnsi="宋体" w:eastAsia="宋体" w:cs="宋体"/>
              </w:rPr>
              <w:t>（2）维护保养或救援时不得少于2 人；</w:t>
            </w:r>
            <w:bookmarkEnd w:id="244"/>
          </w:p>
          <w:p>
            <w:pPr>
              <w:spacing w:line="360" w:lineRule="auto"/>
              <w:outlineLvl w:val="2"/>
              <w:rPr>
                <w:rFonts w:ascii="宋体" w:hAnsi="宋体" w:eastAsia="宋体" w:cs="宋体"/>
              </w:rPr>
            </w:pPr>
            <w:bookmarkStart w:id="245" w:name="_Toc3811"/>
            <w:r>
              <w:rPr>
                <w:rFonts w:hint="eastAsia" w:ascii="宋体" w:hAnsi="宋体" w:eastAsia="宋体" w:cs="宋体"/>
              </w:rPr>
              <w:t>（3）鼓励建立惩戒措施或制度，规范作业人员行为。</w:t>
            </w:r>
            <w:bookmarkEnd w:id="245"/>
          </w:p>
        </w:tc>
        <w:tc>
          <w:tcPr>
            <w:tcW w:w="1417" w:type="dxa"/>
            <w:vAlign w:val="center"/>
          </w:tcPr>
          <w:p>
            <w:pPr>
              <w:spacing w:line="360" w:lineRule="auto"/>
              <w:jc w:val="center"/>
              <w:outlineLvl w:val="2"/>
              <w:rPr>
                <w:rFonts w:ascii="宋体" w:hAnsi="宋体" w:eastAsia="宋体" w:cs="宋体"/>
              </w:rPr>
            </w:pPr>
            <w:bookmarkStart w:id="246" w:name="_Toc12"/>
            <w:r>
              <w:rPr>
                <w:rFonts w:hint="eastAsia" w:ascii="宋体" w:hAnsi="宋体" w:eastAsia="宋体" w:cs="宋体"/>
              </w:rPr>
              <w:t>查阅相关记录及见证材料</w:t>
            </w:r>
            <w:bookmarkEnd w:id="246"/>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567" w:type="dxa"/>
            <w:vAlign w:val="center"/>
          </w:tcPr>
          <w:p>
            <w:pPr>
              <w:spacing w:line="360" w:lineRule="auto"/>
              <w:jc w:val="center"/>
              <w:outlineLvl w:val="2"/>
              <w:rPr>
                <w:rFonts w:ascii="宋体" w:hAnsi="宋体" w:eastAsia="宋体" w:cs="宋体"/>
              </w:rPr>
            </w:pPr>
            <w:bookmarkStart w:id="247" w:name="_Toc3332"/>
            <w:r>
              <w:rPr>
                <w:rFonts w:hint="eastAsia" w:ascii="宋体" w:hAnsi="宋体" w:eastAsia="宋体" w:cs="宋体"/>
              </w:rPr>
              <w:t>8</w:t>
            </w:r>
            <w:bookmarkEnd w:id="247"/>
          </w:p>
        </w:tc>
        <w:tc>
          <w:tcPr>
            <w:tcW w:w="992" w:type="dxa"/>
            <w:vAlign w:val="center"/>
          </w:tcPr>
          <w:p>
            <w:pPr>
              <w:spacing w:line="360" w:lineRule="auto"/>
              <w:jc w:val="center"/>
              <w:outlineLvl w:val="2"/>
              <w:rPr>
                <w:rFonts w:ascii="宋体" w:hAnsi="宋体" w:eastAsia="宋体" w:cs="宋体"/>
              </w:rPr>
            </w:pPr>
            <w:bookmarkStart w:id="248" w:name="_Toc24047"/>
            <w:r>
              <w:rPr>
                <w:rFonts w:hint="eastAsia" w:ascii="宋体" w:hAnsi="宋体" w:eastAsia="宋体" w:cs="宋体"/>
              </w:rPr>
              <w:t>保持电梯安全性能</w:t>
            </w:r>
            <w:bookmarkEnd w:id="248"/>
          </w:p>
        </w:tc>
        <w:tc>
          <w:tcPr>
            <w:tcW w:w="6378" w:type="dxa"/>
            <w:vAlign w:val="center"/>
          </w:tcPr>
          <w:p>
            <w:pPr>
              <w:spacing w:line="360" w:lineRule="auto"/>
              <w:outlineLvl w:val="2"/>
              <w:rPr>
                <w:rFonts w:ascii="宋体" w:hAnsi="宋体" w:eastAsia="宋体" w:cs="宋体"/>
              </w:rPr>
            </w:pPr>
            <w:bookmarkStart w:id="249" w:name="_Toc30759"/>
            <w:r>
              <w:rPr>
                <w:rFonts w:hint="eastAsia" w:ascii="宋体" w:hAnsi="宋体" w:eastAsia="宋体" w:cs="宋体"/>
              </w:rPr>
              <w:t>（1）加强电梯安全防范和隐患治理，协助电梯使用单位制定安全管理制度和应急救援预案；</w:t>
            </w:r>
            <w:bookmarkEnd w:id="249"/>
          </w:p>
          <w:p>
            <w:pPr>
              <w:spacing w:line="360" w:lineRule="auto"/>
              <w:outlineLvl w:val="2"/>
              <w:rPr>
                <w:rFonts w:ascii="宋体" w:hAnsi="宋体" w:eastAsia="宋体" w:cs="宋体"/>
              </w:rPr>
            </w:pPr>
            <w:bookmarkStart w:id="250" w:name="_Toc25926"/>
            <w:r>
              <w:rPr>
                <w:rFonts w:hint="eastAsia" w:ascii="宋体" w:hAnsi="宋体" w:eastAsia="宋体" w:cs="宋体"/>
              </w:rPr>
              <w:t>（2）发现事故隐患及时书面告知电梯使用单位；</w:t>
            </w:r>
            <w:bookmarkEnd w:id="250"/>
          </w:p>
          <w:p>
            <w:pPr>
              <w:spacing w:line="360" w:lineRule="auto"/>
              <w:outlineLvl w:val="2"/>
              <w:rPr>
                <w:rFonts w:ascii="宋体" w:hAnsi="宋体" w:eastAsia="宋体" w:cs="宋体"/>
              </w:rPr>
            </w:pPr>
            <w:bookmarkStart w:id="251" w:name="_Toc649"/>
            <w:r>
              <w:rPr>
                <w:rFonts w:hint="eastAsia" w:ascii="宋体" w:hAnsi="宋体" w:eastAsia="宋体" w:cs="宋体"/>
              </w:rPr>
              <w:t>（3）对新承担维护保养的电梯进行安全性能确认；</w:t>
            </w:r>
            <w:bookmarkEnd w:id="251"/>
          </w:p>
          <w:p>
            <w:pPr>
              <w:spacing w:line="360" w:lineRule="auto"/>
              <w:outlineLvl w:val="2"/>
              <w:rPr>
                <w:rFonts w:ascii="宋体" w:hAnsi="宋体" w:eastAsia="宋体" w:cs="宋体"/>
              </w:rPr>
            </w:pPr>
            <w:bookmarkStart w:id="252" w:name="_Toc29968"/>
            <w:r>
              <w:rPr>
                <w:rFonts w:hint="eastAsia" w:ascii="宋体" w:hAnsi="宋体" w:eastAsia="宋体" w:cs="宋体"/>
              </w:rPr>
              <w:t>（4）不得擅自调整电梯的安全保护装置，并保证其正常有效。</w:t>
            </w:r>
            <w:bookmarkEnd w:id="252"/>
          </w:p>
        </w:tc>
        <w:tc>
          <w:tcPr>
            <w:tcW w:w="1417" w:type="dxa"/>
            <w:vAlign w:val="center"/>
          </w:tcPr>
          <w:p>
            <w:pPr>
              <w:spacing w:line="360" w:lineRule="auto"/>
              <w:jc w:val="center"/>
              <w:outlineLvl w:val="2"/>
              <w:rPr>
                <w:rFonts w:ascii="宋体" w:hAnsi="宋体" w:eastAsia="宋体" w:cs="宋体"/>
              </w:rPr>
            </w:pPr>
            <w:bookmarkStart w:id="253" w:name="_Toc5629"/>
            <w:r>
              <w:rPr>
                <w:rFonts w:hint="eastAsia" w:ascii="宋体" w:hAnsi="宋体" w:eastAsia="宋体" w:cs="宋体"/>
              </w:rPr>
              <w:t>查阅相关见证材料</w:t>
            </w:r>
            <w:bookmarkEnd w:id="253"/>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4" w:hRule="atLeast"/>
        </w:trPr>
        <w:tc>
          <w:tcPr>
            <w:tcW w:w="567" w:type="dxa"/>
            <w:vAlign w:val="center"/>
          </w:tcPr>
          <w:p>
            <w:pPr>
              <w:spacing w:line="360" w:lineRule="auto"/>
              <w:jc w:val="center"/>
              <w:outlineLvl w:val="2"/>
              <w:rPr>
                <w:rFonts w:ascii="宋体" w:hAnsi="宋体" w:eastAsia="宋体" w:cs="宋体"/>
              </w:rPr>
            </w:pPr>
            <w:bookmarkStart w:id="254" w:name="_Toc860"/>
            <w:r>
              <w:rPr>
                <w:rFonts w:hint="eastAsia" w:ascii="宋体" w:hAnsi="宋体" w:eastAsia="宋体" w:cs="宋体"/>
              </w:rPr>
              <w:t>9</w:t>
            </w:r>
            <w:bookmarkEnd w:id="254"/>
          </w:p>
        </w:tc>
        <w:tc>
          <w:tcPr>
            <w:tcW w:w="992" w:type="dxa"/>
            <w:vAlign w:val="center"/>
          </w:tcPr>
          <w:p>
            <w:pPr>
              <w:spacing w:line="360" w:lineRule="auto"/>
              <w:jc w:val="center"/>
              <w:outlineLvl w:val="2"/>
              <w:rPr>
                <w:rFonts w:ascii="宋体" w:hAnsi="宋体" w:eastAsia="宋体" w:cs="宋体"/>
              </w:rPr>
            </w:pPr>
            <w:bookmarkStart w:id="255" w:name="_Toc23991"/>
            <w:r>
              <w:rPr>
                <w:rFonts w:hint="eastAsia" w:ascii="宋体" w:hAnsi="宋体" w:eastAsia="宋体" w:cs="宋体"/>
              </w:rPr>
              <w:t>履行应急救援职责</w:t>
            </w:r>
            <w:bookmarkEnd w:id="255"/>
          </w:p>
        </w:tc>
        <w:tc>
          <w:tcPr>
            <w:tcW w:w="6378" w:type="dxa"/>
            <w:vAlign w:val="center"/>
          </w:tcPr>
          <w:p>
            <w:pPr>
              <w:spacing w:line="360" w:lineRule="auto"/>
              <w:outlineLvl w:val="2"/>
              <w:rPr>
                <w:rFonts w:ascii="宋体" w:hAnsi="宋体" w:eastAsia="宋体" w:cs="宋体"/>
              </w:rPr>
            </w:pPr>
            <w:bookmarkStart w:id="256" w:name="_Toc28272"/>
            <w:r>
              <w:rPr>
                <w:rFonts w:hint="eastAsia" w:ascii="宋体" w:hAnsi="宋体" w:eastAsia="宋体" w:cs="宋体"/>
              </w:rPr>
              <w:t>（1）建立应急值班制度，保持24 小时电话畅通，接到故障或困人等信息后，设区市抵达时间不超过30 分钟，其他地区一般不超过1小时；</w:t>
            </w:r>
            <w:bookmarkEnd w:id="256"/>
          </w:p>
          <w:p>
            <w:pPr>
              <w:spacing w:line="360" w:lineRule="auto"/>
              <w:outlineLvl w:val="2"/>
              <w:rPr>
                <w:rFonts w:ascii="宋体" w:hAnsi="宋体" w:eastAsia="宋体" w:cs="宋体"/>
              </w:rPr>
            </w:pPr>
            <w:bookmarkStart w:id="257" w:name="_Toc1885"/>
            <w:r>
              <w:rPr>
                <w:rFonts w:hint="eastAsia" w:ascii="宋体" w:hAnsi="宋体" w:eastAsia="宋体" w:cs="宋体"/>
              </w:rPr>
              <w:t>（2）制定电梯故障和事故应急救援预案，每年至少进行一次应急救援演练并作出记录。</w:t>
            </w:r>
            <w:bookmarkEnd w:id="257"/>
          </w:p>
        </w:tc>
        <w:tc>
          <w:tcPr>
            <w:tcW w:w="1417" w:type="dxa"/>
            <w:vAlign w:val="center"/>
          </w:tcPr>
          <w:p>
            <w:pPr>
              <w:spacing w:line="360" w:lineRule="auto"/>
              <w:jc w:val="center"/>
              <w:outlineLvl w:val="2"/>
              <w:rPr>
                <w:rFonts w:ascii="宋体" w:hAnsi="宋体" w:eastAsia="宋体" w:cs="宋体"/>
              </w:rPr>
            </w:pPr>
            <w:bookmarkStart w:id="258" w:name="_Toc7165"/>
            <w:r>
              <w:rPr>
                <w:rFonts w:hint="eastAsia" w:ascii="宋体" w:hAnsi="宋体" w:eastAsia="宋体" w:cs="宋体"/>
              </w:rPr>
              <w:t>查阅应急救援专项预案及演练记录验证应急预案电话是否畅通</w:t>
            </w:r>
            <w:bookmarkEnd w:id="258"/>
          </w:p>
        </w:tc>
      </w:tr>
    </w:tbl>
    <w:p>
      <w:pPr>
        <w:spacing w:line="360" w:lineRule="auto"/>
        <w:ind w:firstLine="496" w:firstLineChars="200"/>
        <w:rPr>
          <w:rFonts w:ascii="宋体" w:hAnsi="宋体" w:eastAsia="宋体" w:cs="宋体"/>
        </w:rPr>
      </w:pPr>
      <w:r>
        <w:rPr>
          <w:rFonts w:hint="eastAsia" w:ascii="宋体" w:hAnsi="宋体" w:eastAsia="宋体" w:cs="宋体"/>
        </w:rPr>
        <w:br w:type="page"/>
      </w:r>
    </w:p>
    <w:p>
      <w:pPr>
        <w:pStyle w:val="3"/>
        <w:rPr>
          <w:rFonts w:ascii="宋体" w:hAnsi="宋体" w:cs="宋体"/>
          <w:b/>
          <w:bCs/>
        </w:rPr>
      </w:pPr>
      <w:bookmarkStart w:id="259" w:name="_Toc15832"/>
      <w:r>
        <w:rPr>
          <w:rFonts w:hint="eastAsia" w:ascii="宋体" w:hAnsi="宋体" w:eastAsia="宋体" w:cs="宋体"/>
        </w:rPr>
        <w:t>第四章  合同文本</w:t>
      </w:r>
      <w:bookmarkEnd w:id="183"/>
      <w:bookmarkEnd w:id="259"/>
      <w:bookmarkStart w:id="260" w:name="_Toc100219616"/>
    </w:p>
    <w:p>
      <w:pPr>
        <w:spacing w:line="360" w:lineRule="auto"/>
        <w:jc w:val="right"/>
        <w:rPr>
          <w:rFonts w:ascii="宋体" w:hAnsi="宋体" w:eastAsia="宋体" w:cs="宋体"/>
          <w:sz w:val="72"/>
          <w:szCs w:val="72"/>
        </w:rPr>
      </w:pPr>
      <w:bookmarkStart w:id="261" w:name="_Toc32580"/>
      <w:r>
        <w:rPr>
          <w:rFonts w:hint="eastAsia" w:ascii="宋体" w:hAnsi="宋体" w:eastAsia="宋体" w:cs="宋体"/>
          <w:b/>
          <w:sz w:val="32"/>
          <w:szCs w:val="32"/>
          <w:bdr w:val="single" w:color="auto" w:sz="4" w:space="0"/>
          <w:shd w:val="pct10" w:color="auto" w:fill="FFFFFF"/>
        </w:rPr>
        <w:t>政府采购项目</w:t>
      </w:r>
    </w:p>
    <w:p>
      <w:pPr>
        <w:pStyle w:val="29"/>
        <w:spacing w:beforeLines="100"/>
        <w:ind w:firstLine="420"/>
        <w:jc w:val="center"/>
        <w:rPr>
          <w:rFonts w:eastAsia="宋体"/>
          <w:b/>
          <w:bCs/>
          <w:color w:val="333333"/>
          <w:sz w:val="48"/>
          <w:szCs w:val="48"/>
        </w:rPr>
      </w:pPr>
    </w:p>
    <w:p>
      <w:pPr>
        <w:pStyle w:val="29"/>
        <w:spacing w:beforeLines="100"/>
        <w:ind w:firstLine="420"/>
        <w:jc w:val="center"/>
        <w:rPr>
          <w:rFonts w:eastAsia="宋体"/>
          <w:b/>
          <w:bCs/>
          <w:color w:val="333333"/>
          <w:sz w:val="48"/>
          <w:szCs w:val="48"/>
        </w:rPr>
      </w:pPr>
      <w:r>
        <w:rPr>
          <w:rFonts w:hint="eastAsia" w:eastAsia="宋体"/>
          <w:b/>
          <w:bCs/>
          <w:color w:val="333333"/>
          <w:sz w:val="48"/>
          <w:szCs w:val="48"/>
        </w:rPr>
        <w:t>西安市市场监督管理局2023年机电类</w:t>
      </w:r>
    </w:p>
    <w:p>
      <w:pPr>
        <w:pStyle w:val="29"/>
        <w:spacing w:beforeLines="100"/>
        <w:ind w:firstLine="420"/>
        <w:jc w:val="center"/>
        <w:rPr>
          <w:rFonts w:eastAsia="宋体"/>
          <w:b/>
          <w:bCs/>
          <w:color w:val="333333"/>
          <w:sz w:val="48"/>
          <w:szCs w:val="48"/>
        </w:rPr>
      </w:pPr>
      <w:r>
        <w:rPr>
          <w:rFonts w:hint="eastAsia" w:eastAsia="宋体"/>
          <w:b/>
          <w:bCs/>
          <w:color w:val="333333"/>
          <w:sz w:val="48"/>
          <w:szCs w:val="48"/>
        </w:rPr>
        <w:t>特种设备安全质量监督抽查项目</w:t>
      </w:r>
    </w:p>
    <w:p>
      <w:pPr>
        <w:jc w:val="center"/>
        <w:rPr>
          <w:rFonts w:ascii="宋体" w:hAnsi="宋体" w:eastAsia="宋体" w:cs="宋体"/>
          <w:b/>
          <w:bCs/>
          <w:sz w:val="72"/>
          <w:szCs w:val="72"/>
        </w:rPr>
      </w:pPr>
    </w:p>
    <w:p>
      <w:pPr>
        <w:jc w:val="center"/>
        <w:rPr>
          <w:rFonts w:ascii="宋体" w:hAnsi="宋体" w:eastAsia="宋体" w:cs="宋体"/>
          <w:b/>
          <w:bCs/>
          <w:spacing w:val="68"/>
          <w:sz w:val="28"/>
          <w:szCs w:val="28"/>
        </w:rPr>
      </w:pPr>
      <w:r>
        <w:rPr>
          <w:rFonts w:hint="eastAsia" w:ascii="宋体" w:hAnsi="宋体" w:eastAsia="宋体" w:cs="宋体"/>
          <w:b/>
          <w:bCs/>
          <w:sz w:val="72"/>
          <w:szCs w:val="72"/>
        </w:rPr>
        <w:t>服务合同</w:t>
      </w:r>
    </w:p>
    <w:p>
      <w:pPr>
        <w:rPr>
          <w:rFonts w:ascii="宋体" w:hAnsi="宋体" w:eastAsia="宋体" w:cs="宋体"/>
          <w:spacing w:val="68"/>
          <w:sz w:val="28"/>
          <w:szCs w:val="28"/>
        </w:rPr>
      </w:pPr>
    </w:p>
    <w:p>
      <w:pPr>
        <w:rPr>
          <w:rFonts w:ascii="宋体" w:hAnsi="宋体" w:eastAsia="宋体" w:cs="宋体"/>
          <w:spacing w:val="68"/>
          <w:sz w:val="28"/>
          <w:szCs w:val="28"/>
        </w:rPr>
      </w:pPr>
    </w:p>
    <w:p>
      <w:pPr>
        <w:rPr>
          <w:rFonts w:ascii="宋体" w:hAnsi="宋体" w:eastAsia="宋体" w:cs="宋体"/>
          <w:spacing w:val="68"/>
          <w:sz w:val="28"/>
          <w:szCs w:val="28"/>
        </w:rPr>
      </w:pPr>
    </w:p>
    <w:p>
      <w:pPr>
        <w:rPr>
          <w:rFonts w:ascii="宋体" w:hAnsi="宋体" w:eastAsia="宋体" w:cs="宋体"/>
          <w:spacing w:val="68"/>
          <w:sz w:val="28"/>
          <w:szCs w:val="28"/>
        </w:rPr>
      </w:pPr>
    </w:p>
    <w:p>
      <w:pPr>
        <w:rPr>
          <w:rFonts w:ascii="宋体" w:hAnsi="宋体" w:eastAsia="宋体" w:cs="宋体"/>
          <w:spacing w:val="68"/>
          <w:sz w:val="28"/>
          <w:szCs w:val="28"/>
        </w:rPr>
      </w:pPr>
    </w:p>
    <w:p>
      <w:pPr>
        <w:rPr>
          <w:rFonts w:ascii="宋体" w:hAnsi="宋体" w:eastAsia="宋体" w:cs="宋体"/>
          <w:spacing w:val="68"/>
          <w:sz w:val="28"/>
          <w:szCs w:val="28"/>
        </w:rPr>
      </w:pPr>
    </w:p>
    <w:p>
      <w:pPr>
        <w:spacing w:line="360" w:lineRule="auto"/>
        <w:rPr>
          <w:rFonts w:ascii="宋体" w:hAnsi="宋体" w:eastAsia="宋体" w:cs="宋体"/>
          <w:b/>
          <w:sz w:val="28"/>
          <w:szCs w:val="28"/>
        </w:rPr>
      </w:pPr>
      <w:r>
        <w:rPr>
          <w:rFonts w:hint="eastAsia" w:ascii="宋体" w:hAnsi="宋体" w:eastAsia="宋体" w:cs="宋体"/>
          <w:b/>
          <w:sz w:val="28"/>
          <w:szCs w:val="28"/>
        </w:rPr>
        <w:t>编    号：政采-西安市-2023-</w:t>
      </w:r>
    </w:p>
    <w:p>
      <w:pPr>
        <w:spacing w:line="360" w:lineRule="auto"/>
        <w:rPr>
          <w:rFonts w:ascii="宋体" w:hAnsi="宋体" w:eastAsia="宋体" w:cs="宋体"/>
          <w:b/>
          <w:sz w:val="28"/>
          <w:szCs w:val="28"/>
        </w:rPr>
      </w:pPr>
      <w:r>
        <w:rPr>
          <w:rFonts w:hint="eastAsia" w:ascii="宋体" w:hAnsi="宋体" w:eastAsia="宋体" w:cs="宋体"/>
          <w:b/>
          <w:sz w:val="28"/>
          <w:szCs w:val="28"/>
        </w:rPr>
        <w:t>合同编号：</w:t>
      </w:r>
    </w:p>
    <w:p>
      <w:pPr>
        <w:spacing w:line="360" w:lineRule="auto"/>
        <w:rPr>
          <w:rFonts w:ascii="宋体" w:hAnsi="宋体" w:eastAsia="宋体" w:cs="宋体"/>
          <w:b/>
          <w:sz w:val="28"/>
          <w:szCs w:val="28"/>
        </w:rPr>
      </w:pPr>
      <w:r>
        <w:rPr>
          <w:rFonts w:hint="eastAsia" w:ascii="宋体" w:hAnsi="宋体" w:eastAsia="宋体" w:cs="宋体"/>
          <w:b/>
          <w:sz w:val="28"/>
          <w:szCs w:val="28"/>
        </w:rPr>
        <w:t>服务内容：2023年机电类特种设备安全质量监督抽查项目</w:t>
      </w:r>
    </w:p>
    <w:p>
      <w:pPr>
        <w:spacing w:line="360" w:lineRule="auto"/>
        <w:rPr>
          <w:rFonts w:ascii="宋体" w:hAnsi="宋体" w:eastAsia="宋体" w:cs="宋体"/>
          <w:b/>
          <w:sz w:val="28"/>
          <w:szCs w:val="28"/>
        </w:rPr>
      </w:pPr>
      <w:r>
        <w:rPr>
          <w:rFonts w:hint="eastAsia" w:ascii="宋体" w:hAnsi="宋体" w:eastAsia="宋体" w:cs="宋体"/>
          <w:b/>
          <w:sz w:val="28"/>
          <w:szCs w:val="28"/>
        </w:rPr>
        <w:t>需    方：西安市市场监督管理局</w:t>
      </w:r>
    </w:p>
    <w:p>
      <w:pPr>
        <w:spacing w:line="360" w:lineRule="auto"/>
        <w:rPr>
          <w:rFonts w:ascii="宋体" w:hAnsi="宋体" w:eastAsia="宋体" w:cs="宋体"/>
          <w:b/>
          <w:sz w:val="28"/>
          <w:szCs w:val="28"/>
        </w:rPr>
      </w:pPr>
      <w:r>
        <w:rPr>
          <w:rFonts w:hint="eastAsia" w:ascii="宋体" w:hAnsi="宋体" w:eastAsia="宋体" w:cs="宋体"/>
          <w:b/>
          <w:sz w:val="28"/>
          <w:szCs w:val="28"/>
        </w:rPr>
        <w:t>供    方：</w:t>
      </w:r>
    </w:p>
    <w:p>
      <w:pPr>
        <w:rPr>
          <w:rFonts w:ascii="宋体" w:hAnsi="宋体" w:eastAsia="宋体" w:cs="宋体"/>
          <w:spacing w:val="68"/>
          <w:sz w:val="28"/>
          <w:szCs w:val="28"/>
        </w:rPr>
      </w:pPr>
      <w:r>
        <w:rPr>
          <w:rFonts w:hint="eastAsia" w:ascii="宋体" w:hAnsi="宋体" w:eastAsia="宋体" w:cs="宋体"/>
          <w:b/>
          <w:sz w:val="28"/>
          <w:szCs w:val="28"/>
        </w:rPr>
        <w:t>鉴 证 方：陕西万泽招标有限公司</w:t>
      </w:r>
    </w:p>
    <w:p>
      <w:pPr>
        <w:jc w:val="center"/>
        <w:rPr>
          <w:rFonts w:ascii="宋体" w:hAnsi="宋体" w:eastAsia="宋体" w:cs="宋体"/>
        </w:rPr>
      </w:pPr>
    </w:p>
    <w:p>
      <w:pPr>
        <w:adjustRightInd w:val="0"/>
        <w:snapToGrid w:val="0"/>
        <w:spacing w:line="360" w:lineRule="auto"/>
        <w:ind w:firstLine="640"/>
        <w:rPr>
          <w:rFonts w:ascii="宋体" w:hAnsi="宋体" w:eastAsia="宋体" w:cs="宋体"/>
        </w:rPr>
      </w:pPr>
      <w:r>
        <w:rPr>
          <w:rFonts w:hint="eastAsia" w:ascii="宋体" w:hAnsi="宋体" w:eastAsia="宋体" w:cs="宋体"/>
          <w:u w:val="single"/>
        </w:rPr>
        <w:t>西安市市场监督管理局</w:t>
      </w:r>
      <w:r>
        <w:rPr>
          <w:rFonts w:hint="eastAsia" w:ascii="宋体" w:hAnsi="宋体" w:eastAsia="宋体" w:cs="宋体"/>
        </w:rPr>
        <w:t xml:space="preserve"> （以下简称需方）和（以下简称供方）根据《中华人民共和国民法典》和有关法律法规，遵循平等、自愿、公平和诚实信用原则，同意按照下面的条款和条件订立本政府采购合同，共同信守。</w:t>
      </w:r>
    </w:p>
    <w:p>
      <w:pPr>
        <w:adjustRightInd w:val="0"/>
        <w:snapToGrid w:val="0"/>
        <w:spacing w:line="360" w:lineRule="auto"/>
        <w:ind w:firstLine="496" w:firstLineChars="200"/>
        <w:rPr>
          <w:rFonts w:ascii="宋体" w:hAnsi="宋体" w:eastAsia="宋体" w:cs="宋体"/>
          <w:b/>
          <w:bCs/>
        </w:rPr>
      </w:pPr>
      <w:r>
        <w:rPr>
          <w:rFonts w:hint="eastAsia" w:ascii="宋体" w:hAnsi="宋体" w:eastAsia="宋体" w:cs="宋体"/>
          <w:b/>
          <w:bCs/>
          <w:color w:val="000000"/>
          <w:kern w:val="2"/>
        </w:rPr>
        <w:t xml:space="preserve">一、项目概况 </w:t>
      </w:r>
    </w:p>
    <w:p>
      <w:pPr>
        <w:adjustRightInd w:val="0"/>
        <w:snapToGrid w:val="0"/>
        <w:spacing w:line="360" w:lineRule="auto"/>
        <w:ind w:firstLine="640"/>
        <w:rPr>
          <w:rFonts w:ascii="宋体" w:hAnsi="宋体" w:eastAsia="宋体" w:cs="宋体"/>
        </w:rPr>
      </w:pPr>
      <w:r>
        <w:rPr>
          <w:rFonts w:hint="eastAsia" w:ascii="宋体" w:hAnsi="宋体" w:eastAsia="宋体" w:cs="宋体"/>
          <w:color w:val="000000"/>
          <w:kern w:val="2"/>
        </w:rPr>
        <w:t>（一）项目名称：2023年机电类特种设备安全质量监督抽查项目</w:t>
      </w:r>
    </w:p>
    <w:p>
      <w:pPr>
        <w:adjustRightInd w:val="0"/>
        <w:snapToGrid w:val="0"/>
        <w:spacing w:line="360" w:lineRule="auto"/>
        <w:ind w:firstLine="640"/>
        <w:rPr>
          <w:rFonts w:ascii="宋体" w:hAnsi="宋体" w:eastAsia="宋体" w:cs="宋体"/>
        </w:rPr>
      </w:pPr>
      <w:r>
        <w:rPr>
          <w:rFonts w:hint="eastAsia" w:ascii="宋体" w:hAnsi="宋体" w:eastAsia="宋体" w:cs="宋体"/>
          <w:color w:val="000000"/>
          <w:kern w:val="2"/>
        </w:rPr>
        <w:t>（二）项目地点：西安市</w:t>
      </w:r>
      <w:r>
        <w:rPr>
          <w:rFonts w:hint="eastAsia" w:ascii="宋体" w:hAnsi="宋体" w:eastAsia="宋体" w:cs="宋体"/>
        </w:rPr>
        <w:t>辖区范围内</w:t>
      </w:r>
    </w:p>
    <w:p>
      <w:pPr>
        <w:adjustRightInd w:val="0"/>
        <w:snapToGrid w:val="0"/>
        <w:spacing w:line="360" w:lineRule="auto"/>
        <w:ind w:firstLine="640"/>
        <w:rPr>
          <w:rFonts w:ascii="宋体" w:hAnsi="宋体" w:eastAsia="宋体" w:cs="宋体"/>
        </w:rPr>
      </w:pPr>
      <w:r>
        <w:rPr>
          <w:rFonts w:hint="eastAsia" w:ascii="宋体" w:hAnsi="宋体" w:eastAsia="宋体" w:cs="宋体"/>
          <w:color w:val="000000"/>
          <w:kern w:val="2"/>
        </w:rPr>
        <w:t>（三）项目概况：为规范我市机电类特种设备使用管理、维护保养和检验检测行为，强化特种设备安全责任落实，预防和减少特种设备事故发生，根据《中华人民共和国特种设备安全法》等法律法规规章和市局2023年重点工作安排，结合机电类特种设备安全工作实际，坚持以问题为导向，按照随机抽查、突出重点的原则，对全市机电类特种设备安全质量进行监督抽查，查找和解决机电类特种设备使用管理、维护保养、检验检测环节中存在的问题和风险，整治安全隐患，查处违法行为，规范安全管理秩序，进一步夯实安全主体责任，提升机电类特种设备质量安全水平，促进安全形势平稳向好发展</w:t>
      </w:r>
    </w:p>
    <w:p>
      <w:pPr>
        <w:adjustRightInd w:val="0"/>
        <w:snapToGrid w:val="0"/>
        <w:spacing w:line="360" w:lineRule="auto"/>
        <w:ind w:firstLine="496" w:firstLineChars="200"/>
        <w:rPr>
          <w:rFonts w:ascii="宋体" w:hAnsi="宋体" w:eastAsia="宋体" w:cs="宋体"/>
          <w:color w:val="000000"/>
          <w:kern w:val="2"/>
        </w:rPr>
      </w:pPr>
      <w:r>
        <w:rPr>
          <w:rFonts w:hint="eastAsia" w:ascii="宋体" w:hAnsi="宋体" w:eastAsia="宋体" w:cs="宋体"/>
          <w:b/>
          <w:bCs/>
          <w:color w:val="000000"/>
          <w:kern w:val="2"/>
        </w:rPr>
        <w:t>二、合同标的物内容及数量</w:t>
      </w:r>
      <w:r>
        <w:rPr>
          <w:rFonts w:hint="eastAsia" w:ascii="宋体" w:hAnsi="宋体" w:eastAsia="宋体" w:cs="宋体"/>
          <w:color w:val="000000"/>
          <w:kern w:val="2"/>
        </w:rPr>
        <w:t>：</w:t>
      </w:r>
    </w:p>
    <w:p>
      <w:pPr>
        <w:adjustRightInd w:val="0"/>
        <w:snapToGrid w:val="0"/>
        <w:spacing w:line="360" w:lineRule="auto"/>
        <w:ind w:firstLine="496" w:firstLineChars="200"/>
        <w:rPr>
          <w:rFonts w:ascii="宋体" w:hAnsi="宋体" w:eastAsia="宋体" w:cs="宋体"/>
          <w:color w:val="000000"/>
          <w:kern w:val="2"/>
        </w:rPr>
      </w:pPr>
      <w:r>
        <w:rPr>
          <w:rFonts w:hint="eastAsia" w:ascii="宋体" w:hAnsi="宋体" w:eastAsia="宋体" w:cs="宋体"/>
          <w:color w:val="000000"/>
          <w:kern w:val="2"/>
        </w:rPr>
        <w:t>（一）电梯维保质量质量监督抽查。随机抽取西安市辖区内在用电梯5800台。依据相关法律法规规章和安全技术规范，通过对电梯关键部位、主要部件、安全保护装置等电梯安全性能指标和电梯安全技术资料进行检查、确认、验证，核查电梯安全状况和电梯安全管理情况，监督电梯维保项目和电梯维保质量落实。</w:t>
      </w:r>
    </w:p>
    <w:p>
      <w:pPr>
        <w:adjustRightInd w:val="0"/>
        <w:snapToGrid w:val="0"/>
        <w:spacing w:line="360" w:lineRule="auto"/>
        <w:ind w:firstLine="496" w:firstLineChars="200"/>
        <w:rPr>
          <w:rFonts w:ascii="宋体" w:hAnsi="宋体" w:eastAsia="宋体" w:cs="宋体"/>
          <w:color w:val="000000"/>
          <w:kern w:val="2"/>
        </w:rPr>
      </w:pPr>
      <w:r>
        <w:rPr>
          <w:rFonts w:hint="eastAsia" w:ascii="宋体" w:hAnsi="宋体" w:eastAsia="宋体" w:cs="宋体"/>
          <w:color w:val="000000"/>
          <w:kern w:val="2"/>
        </w:rPr>
        <w:t>（二）电梯检验检测质量监督抽查。随机抽取西安市辖区内电梯检验检测机构检验、检测完成的电梯800台。依据相关法律法规规章和安全技术规范，对电梯检验、检测项目落实情况进行核查确认，对电梯检验、检测质量进行监督验证。</w:t>
      </w:r>
    </w:p>
    <w:p>
      <w:pPr>
        <w:adjustRightInd w:val="0"/>
        <w:snapToGrid w:val="0"/>
        <w:spacing w:line="360" w:lineRule="auto"/>
        <w:ind w:firstLine="496" w:firstLineChars="200"/>
        <w:rPr>
          <w:rFonts w:ascii="宋体" w:hAnsi="宋体" w:eastAsia="宋体" w:cs="宋体"/>
          <w:color w:val="000000"/>
          <w:kern w:val="2"/>
        </w:rPr>
      </w:pPr>
      <w:r>
        <w:rPr>
          <w:rFonts w:hint="eastAsia" w:ascii="宋体" w:hAnsi="宋体" w:eastAsia="宋体" w:cs="宋体"/>
          <w:color w:val="000000"/>
          <w:kern w:val="2"/>
        </w:rPr>
        <w:t>（三）机电类特种设备使用单位监督抽查。随机抽取西安市辖区内机电类特种设备使用单位500家，依据相关法律法规规章和安全技术规范，对其在用特种设备安全情况及安全管理机构设置、安全管理制度、安全技术档案建立落实等情况进行检查，对使用单位安全主体责任落实情况进行监督验证。</w:t>
      </w:r>
    </w:p>
    <w:p>
      <w:pPr>
        <w:adjustRightInd w:val="0"/>
        <w:snapToGrid w:val="0"/>
        <w:spacing w:line="360" w:lineRule="auto"/>
        <w:ind w:firstLine="496" w:firstLineChars="200"/>
        <w:rPr>
          <w:rFonts w:ascii="宋体" w:hAnsi="宋体" w:eastAsia="宋体" w:cs="宋体"/>
          <w:color w:val="000000"/>
          <w:kern w:val="2"/>
        </w:rPr>
      </w:pPr>
      <w:r>
        <w:rPr>
          <w:rFonts w:hint="eastAsia" w:ascii="宋体" w:hAnsi="宋体" w:eastAsia="宋体" w:cs="宋体"/>
          <w:color w:val="000000"/>
          <w:kern w:val="2"/>
        </w:rPr>
        <w:t>（四）电梯维保单位监督抽查。随机抽取在西安市辖区内从事电梯维护保养业务的电梯维保单位40家，依据相关法律法规规章和安全技术规范，对其行政许可、人员管理以及许可资源条件保持情况进行检查，对电梯维保单位维保质量体系运行情况进行监督验证。</w:t>
      </w:r>
    </w:p>
    <w:p>
      <w:pPr>
        <w:spacing w:line="360" w:lineRule="auto"/>
        <w:ind w:firstLine="496" w:firstLineChars="200"/>
        <w:rPr>
          <w:rFonts w:ascii="宋体" w:hAnsi="宋体" w:eastAsia="宋体" w:cs="宋体"/>
        </w:rPr>
      </w:pPr>
      <w:r>
        <w:rPr>
          <w:rFonts w:hint="eastAsia" w:ascii="宋体" w:hAnsi="宋体" w:eastAsia="宋体" w:cs="宋体"/>
          <w:b/>
          <w:color w:val="000000"/>
        </w:rPr>
        <w:t xml:space="preserve">三、合同价款 </w:t>
      </w:r>
    </w:p>
    <w:p>
      <w:pPr>
        <w:numPr>
          <w:ilvl w:val="0"/>
          <w:numId w:val="4"/>
        </w:numPr>
        <w:spacing w:line="360" w:lineRule="auto"/>
        <w:rPr>
          <w:rFonts w:ascii="宋体" w:hAnsi="宋体" w:eastAsia="宋体" w:cs="宋体"/>
          <w:color w:val="000000"/>
        </w:rPr>
      </w:pPr>
      <w:r>
        <w:rPr>
          <w:rFonts w:hint="eastAsia" w:ascii="宋体" w:hAnsi="宋体" w:eastAsia="宋体" w:cs="宋体"/>
          <w:color w:val="000000"/>
        </w:rPr>
        <w:t>合同总价款：元整（￥元）含税。</w:t>
      </w:r>
    </w:p>
    <w:p>
      <w:pPr>
        <w:numPr>
          <w:ilvl w:val="0"/>
          <w:numId w:val="4"/>
        </w:numPr>
        <w:spacing w:line="360" w:lineRule="auto"/>
        <w:rPr>
          <w:rFonts w:ascii="宋体" w:hAnsi="宋体" w:eastAsia="宋体" w:cs="宋体"/>
          <w:color w:val="000000"/>
        </w:rPr>
      </w:pPr>
      <w:r>
        <w:rPr>
          <w:rFonts w:hint="eastAsia" w:ascii="宋体" w:hAnsi="宋体" w:eastAsia="宋体" w:cs="宋体"/>
          <w:color w:val="000000"/>
        </w:rPr>
        <w:t>合同总价即中标价，包含但不限于检测费、税费等一切费用，除此之外需方对供方不承担其他任何付款义务，不受市场价变化或实际工作量变化的影响。</w:t>
      </w:r>
    </w:p>
    <w:p>
      <w:pPr>
        <w:spacing w:line="360" w:lineRule="auto"/>
        <w:ind w:firstLine="496" w:firstLineChars="200"/>
        <w:rPr>
          <w:rFonts w:ascii="宋体" w:hAnsi="宋体" w:eastAsia="宋体" w:cs="宋体"/>
          <w:b/>
          <w:color w:val="000000"/>
        </w:rPr>
      </w:pPr>
      <w:r>
        <w:rPr>
          <w:rFonts w:hint="eastAsia" w:ascii="宋体" w:hAnsi="宋体" w:eastAsia="宋体" w:cs="宋体"/>
          <w:b/>
          <w:color w:val="000000"/>
        </w:rPr>
        <w:t>四、服务要求</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（一）服务期限：自合同签订后5个工作日内开始实施监督抽查工作，并于2023年10月30日前完成监督抽查工作。</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（二）项目实施地点：需方指定地点。</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（三）质保期：项目验收完成后5个月</w:t>
      </w:r>
    </w:p>
    <w:p>
      <w:pPr>
        <w:pStyle w:val="14"/>
        <w:spacing w:line="360" w:lineRule="auto"/>
        <w:ind w:left="497"/>
        <w:rPr>
          <w:rFonts w:ascii="宋体" w:hAnsi="宋体" w:eastAsia="宋体" w:cs="宋体"/>
          <w:b/>
          <w:bCs/>
          <w:color w:val="000000"/>
          <w:sz w:val="24"/>
        </w:rPr>
      </w:pPr>
      <w:r>
        <w:rPr>
          <w:rFonts w:hint="eastAsia" w:ascii="宋体" w:hAnsi="宋体" w:eastAsia="宋体" w:cs="宋体"/>
          <w:b/>
          <w:bCs/>
          <w:color w:val="000000"/>
          <w:sz w:val="24"/>
        </w:rPr>
        <w:t>五、进度要求</w:t>
      </w:r>
    </w:p>
    <w:p>
      <w:pPr>
        <w:numPr>
          <w:ilvl w:val="0"/>
          <w:numId w:val="5"/>
        </w:numPr>
        <w:spacing w:line="360" w:lineRule="auto"/>
        <w:ind w:right="66" w:rightChars="27"/>
        <w:rPr>
          <w:rFonts w:ascii="宋体" w:hAnsi="宋体" w:eastAsia="宋体" w:cs="宋体"/>
        </w:rPr>
      </w:pPr>
      <w:r>
        <w:rPr>
          <w:rFonts w:hint="eastAsia" w:ascii="宋体" w:hAnsi="宋体" w:eastAsia="宋体" w:cs="宋体"/>
        </w:rPr>
        <w:t>自合同签订后5个工作日内开始实施监督</w:t>
      </w:r>
      <w:bookmarkStart w:id="262" w:name="_Hlk6526521"/>
      <w:r>
        <w:rPr>
          <w:rFonts w:hint="eastAsia" w:ascii="宋体" w:hAnsi="宋体" w:eastAsia="宋体" w:cs="宋体"/>
        </w:rPr>
        <w:t>抽查工作</w:t>
      </w:r>
      <w:bookmarkEnd w:id="262"/>
      <w:r>
        <w:rPr>
          <w:rFonts w:hint="eastAsia" w:ascii="宋体" w:hAnsi="宋体" w:eastAsia="宋体" w:cs="宋体"/>
        </w:rPr>
        <w:t>，并于2023年10月30日完成现场抽查任务。完成现场监督抽查任务后15个工作日内，向采购人提交西安市市场监督管理局2023年机电类特种设备安全质量监督抽查分析报告和总结报告。</w:t>
      </w:r>
    </w:p>
    <w:p>
      <w:pPr>
        <w:numPr>
          <w:ilvl w:val="0"/>
          <w:numId w:val="5"/>
        </w:numPr>
        <w:spacing w:line="360" w:lineRule="auto"/>
        <w:ind w:right="66" w:rightChars="27"/>
        <w:rPr>
          <w:rFonts w:ascii="宋体" w:hAnsi="宋体" w:eastAsia="宋体" w:cs="宋体"/>
        </w:rPr>
      </w:pPr>
      <w:r>
        <w:rPr>
          <w:rFonts w:hint="eastAsia" w:ascii="宋体" w:hAnsi="宋体" w:eastAsia="宋体" w:cs="宋体"/>
        </w:rPr>
        <w:t>在监督抽查总任务量和总经费不变的情况下，根据工作实际，需方有权对监督抽查任务项目进行适当的调整，其他特殊情况双方协商确定。</w:t>
      </w:r>
    </w:p>
    <w:p>
      <w:pPr>
        <w:ind w:firstLine="496" w:firstLineChars="200"/>
        <w:rPr>
          <w:rFonts w:ascii="宋体" w:hAnsi="宋体" w:eastAsia="宋体" w:cs="宋体"/>
          <w:b/>
          <w:color w:val="000000"/>
        </w:rPr>
      </w:pPr>
      <w:r>
        <w:rPr>
          <w:rFonts w:hint="eastAsia" w:ascii="宋体" w:hAnsi="宋体" w:eastAsia="宋体" w:cs="宋体"/>
          <w:b/>
          <w:color w:val="000000"/>
        </w:rPr>
        <w:t>六、付款方式</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（一）支付方式：分期付款，银行转账</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（二）</w:t>
      </w:r>
      <w:r>
        <w:rPr>
          <w:rFonts w:hint="eastAsia" w:ascii="宋体" w:hAnsi="宋体" w:eastAsia="宋体" w:cs="宋体"/>
          <w:kern w:val="2"/>
          <w:highlight w:val="none"/>
        </w:rPr>
        <w:t>签订合同后支付合同总价款的</w:t>
      </w:r>
      <w:r>
        <w:rPr>
          <w:rFonts w:hint="eastAsia" w:ascii="宋体" w:hAnsi="宋体" w:eastAsia="宋体" w:cs="宋体"/>
          <w:kern w:val="2"/>
          <w:highlight w:val="none"/>
          <w:lang w:val="en-US" w:eastAsia="zh-CN"/>
        </w:rPr>
        <w:t>8</w:t>
      </w:r>
      <w:r>
        <w:rPr>
          <w:rFonts w:hint="eastAsia" w:ascii="宋体" w:hAnsi="宋体" w:eastAsia="宋体" w:cs="宋体"/>
          <w:kern w:val="2"/>
          <w:highlight w:val="none"/>
        </w:rPr>
        <w:t>0%，</w:t>
      </w:r>
      <w:r>
        <w:rPr>
          <w:rFonts w:hint="eastAsia" w:ascii="宋体" w:hAnsi="宋体" w:eastAsia="宋体" w:cs="宋体"/>
          <w:color w:val="000000"/>
        </w:rPr>
        <w:t>即人民币（大写）元整；（￥元）。</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（三）</w:t>
      </w:r>
      <w:r>
        <w:rPr>
          <w:rFonts w:hint="eastAsia" w:ascii="宋体" w:hAnsi="宋体" w:eastAsia="宋体" w:cs="宋体"/>
          <w:kern w:val="2"/>
          <w:highlight w:val="none"/>
        </w:rPr>
        <w:t>项目完成并经验收合格后支付剩余合同价款</w:t>
      </w:r>
      <w:r>
        <w:rPr>
          <w:rFonts w:hint="eastAsia" w:ascii="宋体" w:hAnsi="宋体" w:eastAsia="宋体" w:cs="宋体"/>
          <w:color w:val="000000"/>
        </w:rPr>
        <w:t>即人民币</w:t>
      </w:r>
      <w:r>
        <w:rPr>
          <w:rFonts w:hint="eastAsia" w:ascii="宋体" w:hAnsi="宋体" w:eastAsia="宋体" w:cs="宋体"/>
          <w:color w:val="000000"/>
          <w:u w:val="single"/>
        </w:rPr>
        <w:t>（大写）</w:t>
      </w:r>
      <w:r>
        <w:rPr>
          <w:rFonts w:hint="eastAsia" w:ascii="宋体" w:hAnsi="宋体" w:eastAsia="宋体" w:cs="宋体"/>
          <w:color w:val="000000"/>
        </w:rPr>
        <w:t>元整；（￥元）。</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（四）</w:t>
      </w:r>
      <w:r>
        <w:rPr>
          <w:rFonts w:hint="eastAsia" w:ascii="宋体" w:hAnsi="宋体" w:eastAsia="宋体" w:cs="宋体"/>
          <w:color w:val="000000"/>
          <w:sz w:val="24"/>
        </w:rPr>
        <w:t>供方收款帐号信息：</w:t>
      </w:r>
    </w:p>
    <w:p>
      <w:pPr>
        <w:pStyle w:val="14"/>
        <w:spacing w:line="360" w:lineRule="auto"/>
        <w:ind w:left="497"/>
        <w:rPr>
          <w:rFonts w:ascii="宋体" w:hAnsi="宋体" w:eastAsia="宋体" w:cs="宋体"/>
          <w:color w:val="000000"/>
          <w:sz w:val="24"/>
        </w:rPr>
      </w:pPr>
      <w:r>
        <w:rPr>
          <w:rFonts w:hint="eastAsia" w:ascii="宋体" w:hAnsi="宋体" w:eastAsia="宋体" w:cs="宋体"/>
          <w:color w:val="000000"/>
          <w:sz w:val="24"/>
        </w:rPr>
        <w:t>（五）需方在收到供方开具的付款等额增值税普通发票后按照上述付款期限付款。</w:t>
      </w:r>
    </w:p>
    <w:p>
      <w:pPr>
        <w:ind w:firstLine="496" w:firstLineChars="200"/>
        <w:rPr>
          <w:rFonts w:ascii="宋体" w:hAnsi="宋体" w:eastAsia="宋体" w:cs="宋体"/>
          <w:b/>
          <w:color w:val="000000"/>
        </w:rPr>
      </w:pPr>
      <w:r>
        <w:rPr>
          <w:rFonts w:hint="eastAsia" w:ascii="宋体" w:hAnsi="宋体" w:eastAsia="宋体" w:cs="宋体"/>
          <w:b/>
          <w:color w:val="000000"/>
        </w:rPr>
        <w:t>七、质量保证</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（一）</w:t>
      </w:r>
      <w:r>
        <w:rPr>
          <w:rFonts w:hint="eastAsia" w:ascii="宋体" w:hAnsi="宋体" w:eastAsia="宋体" w:cs="宋体"/>
        </w:rPr>
        <w:t>供方应遵循严谨、准确、客观、公开、公平原则，保证检验报告准确性并对检验质量及检验结果的真实性承担法律责任。</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（二）</w:t>
      </w:r>
      <w:r>
        <w:rPr>
          <w:rFonts w:hint="eastAsia" w:ascii="宋体" w:hAnsi="宋体" w:eastAsia="宋体" w:cs="宋体"/>
        </w:rPr>
        <w:t>供方保证按时、准确完成特种设备监督抽查任务；</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（三）</w:t>
      </w:r>
      <w:r>
        <w:rPr>
          <w:rFonts w:hint="eastAsia" w:ascii="宋体" w:hAnsi="宋体" w:eastAsia="宋体" w:cs="宋体"/>
        </w:rPr>
        <w:t>供方保证所供服务没有涉及其他权力纠纷。因侵权而产生的一切后果由供方负责，需方保留索赔权力；</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（四）</w:t>
      </w:r>
      <w:r>
        <w:rPr>
          <w:rFonts w:hint="eastAsia" w:ascii="宋体" w:hAnsi="宋体" w:eastAsia="宋体" w:cs="宋体"/>
        </w:rPr>
        <w:t>供方所提供的服务符合国家现行标准和相应的技术规范，这些标准和技术规范应为合同签订之日为止最新公布发行的标准和技术规范。</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（五）</w:t>
      </w:r>
      <w:r>
        <w:rPr>
          <w:rFonts w:hint="eastAsia" w:ascii="宋体" w:hAnsi="宋体" w:eastAsia="宋体" w:cs="宋体"/>
        </w:rPr>
        <w:t>供方提供的货物、工程、服务等需符合现行的国家、行业、地区、企业质量安全标准及要求，标准不一致的，以更为严格的为准，投标服务商对提供的货物、工程、服务等的质量、安全、环保等负全权责任。</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color w:val="000000"/>
        </w:rPr>
        <w:t>（六）</w:t>
      </w:r>
      <w:r>
        <w:rPr>
          <w:rFonts w:hint="eastAsia" w:ascii="宋体" w:hAnsi="宋体" w:eastAsia="宋体" w:cs="宋体"/>
        </w:rPr>
        <w:t>供方在抽查工作中接受西安市市场监管局的监督。抽查工作须保证整体工作质量，按时完成工作计划，配合西安市市场监管局、分局实施问题特种设备复查和后期处理工作。对西安市市场监管局责令整改逾期未改的，西安市市场监管局可根据实际情况，终止服务合同，并由供方承担违约责任。</w:t>
      </w:r>
    </w:p>
    <w:p>
      <w:pPr>
        <w:pStyle w:val="14"/>
        <w:ind w:left="497"/>
        <w:rPr>
          <w:rFonts w:ascii="宋体" w:hAnsi="宋体" w:eastAsia="宋体" w:cs="宋体"/>
          <w:b/>
          <w:color w:val="000000"/>
          <w:sz w:val="24"/>
        </w:rPr>
      </w:pPr>
      <w:r>
        <w:rPr>
          <w:rFonts w:hint="eastAsia" w:ascii="宋体" w:hAnsi="宋体" w:eastAsia="宋体" w:cs="宋体"/>
          <w:b/>
          <w:color w:val="000000"/>
          <w:sz w:val="24"/>
        </w:rPr>
        <w:t>八、服务成果</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rPr>
        <w:t>（一）于2023年10月30 日前，完成电梯维保质量监督抽查不少于5800台、电梯检验检测质量监督抽查不少于800台、机电类特种设备使用单位监督抽查不少于500家、电梯维保单位监督抽查不少于40家。</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rPr>
        <w:t>（二）中标供应商于2023年11月15日前，向采购人提交西安市市场监督管理局2023年机电类特种设备安全质量监督抽查汇总表、分析报告、总结报告；同时提交不少于5800份电梯维保量监督抽查报告、不少于800份电梯检验质量监督抽查报告、不少于500份机电类特种设备使用单位监督抽查报告、不少于40份电梯维保单位监督抽查报告的电子版材料。提交报告及电子版材料符合采购人要求后视为合同履约完成。</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rPr>
        <w:t>（三）承办2023年机电类特种设备安全质量监督抽查工作动员部署会议、阶段小结、监督抽查完成后的总结会议以及项目验收会。根据采购人需求，组织开展相关宣传工作。</w:t>
      </w:r>
    </w:p>
    <w:p>
      <w:pPr>
        <w:autoSpaceDE w:val="0"/>
        <w:autoSpaceDN w:val="0"/>
        <w:adjustRightInd w:val="0"/>
        <w:spacing w:line="300" w:lineRule="auto"/>
        <w:ind w:firstLine="496" w:firstLineChars="200"/>
        <w:rPr>
          <w:rFonts w:ascii="宋体" w:hAnsi="宋体" w:eastAsia="宋体" w:cs="宋体"/>
        </w:rPr>
      </w:pPr>
      <w:r>
        <w:rPr>
          <w:rFonts w:hint="eastAsia" w:ascii="宋体" w:hAnsi="宋体" w:eastAsia="宋体" w:cs="宋体"/>
        </w:rPr>
        <w:t>（四）本项目设定质量保证期，质保期为项目验收完成后5 个月，主要内容为项目现场复核、报告复核、技术咨询回应等。</w:t>
      </w:r>
    </w:p>
    <w:p>
      <w:pPr>
        <w:ind w:firstLine="496" w:firstLineChars="200"/>
        <w:rPr>
          <w:rFonts w:ascii="宋体" w:hAnsi="宋体" w:eastAsia="宋体" w:cs="宋体"/>
          <w:b/>
          <w:color w:val="000000"/>
        </w:rPr>
      </w:pPr>
      <w:r>
        <w:rPr>
          <w:rFonts w:hint="eastAsia" w:ascii="宋体" w:hAnsi="宋体" w:eastAsia="宋体" w:cs="宋体"/>
          <w:b/>
          <w:color w:val="000000"/>
        </w:rPr>
        <w:t>九、考核验收：</w:t>
      </w:r>
    </w:p>
    <w:p>
      <w:pPr>
        <w:spacing w:line="360" w:lineRule="auto"/>
        <w:ind w:firstLine="496" w:firstLineChars="200"/>
        <w:rPr>
          <w:rFonts w:ascii="宋体" w:hAnsi="宋体" w:eastAsia="宋体" w:cs="宋体"/>
        </w:rPr>
      </w:pPr>
      <w:r>
        <w:rPr>
          <w:rFonts w:hint="eastAsia" w:ascii="宋体" w:hAnsi="宋体" w:eastAsia="宋体" w:cs="宋体"/>
          <w:color w:val="000000"/>
        </w:rPr>
        <w:t>（一）服务期满后，需方组织供方,必要时请有关专家进行考核验收，验收合格后，填写政府采购项目验收单（一式伍份）作为对服务的最终认可。</w:t>
      </w:r>
    </w:p>
    <w:p>
      <w:pPr>
        <w:spacing w:line="360" w:lineRule="auto"/>
        <w:ind w:firstLine="496" w:firstLineChars="200"/>
        <w:rPr>
          <w:rFonts w:ascii="宋体" w:hAnsi="宋体" w:eastAsia="宋体" w:cs="宋体"/>
        </w:rPr>
      </w:pPr>
      <w:r>
        <w:rPr>
          <w:rFonts w:hint="eastAsia" w:ascii="宋体" w:hAnsi="宋体" w:eastAsia="宋体" w:cs="宋体"/>
          <w:color w:val="000000"/>
        </w:rPr>
        <w:t>（二）需方向供方提供服务过程中的所有资料,以便需方日后管理和维护。</w:t>
      </w:r>
    </w:p>
    <w:p>
      <w:pPr>
        <w:spacing w:line="360" w:lineRule="auto"/>
        <w:ind w:firstLine="496" w:firstLineChars="200"/>
        <w:rPr>
          <w:rFonts w:ascii="宋体" w:hAnsi="宋体" w:eastAsia="宋体" w:cs="宋体"/>
        </w:rPr>
      </w:pPr>
      <w:r>
        <w:rPr>
          <w:rFonts w:hint="eastAsia" w:ascii="宋体" w:hAnsi="宋体" w:eastAsia="宋体" w:cs="宋体"/>
          <w:color w:val="000000"/>
        </w:rPr>
        <w:t xml:space="preserve">（三）验收依据 </w:t>
      </w:r>
    </w:p>
    <w:p>
      <w:pPr>
        <w:spacing w:line="360" w:lineRule="auto"/>
        <w:ind w:firstLine="496" w:firstLineChars="200"/>
        <w:rPr>
          <w:rFonts w:ascii="宋体" w:hAnsi="宋体" w:eastAsia="宋体" w:cs="宋体"/>
        </w:rPr>
      </w:pPr>
      <w:r>
        <w:rPr>
          <w:rFonts w:hint="eastAsia" w:ascii="宋体" w:hAnsi="宋体" w:eastAsia="宋体" w:cs="宋体"/>
          <w:color w:val="000000"/>
        </w:rPr>
        <w:t>1、招标文件、投标文件、澄清表（函）；</w:t>
      </w:r>
    </w:p>
    <w:p>
      <w:pPr>
        <w:spacing w:line="360" w:lineRule="auto"/>
        <w:ind w:firstLine="496" w:firstLineChars="200"/>
        <w:rPr>
          <w:rFonts w:ascii="宋体" w:hAnsi="宋体" w:eastAsia="宋体" w:cs="宋体"/>
        </w:rPr>
      </w:pPr>
      <w:r>
        <w:rPr>
          <w:rFonts w:hint="eastAsia" w:ascii="宋体" w:hAnsi="宋体" w:eastAsia="宋体" w:cs="宋体"/>
          <w:color w:val="000000"/>
        </w:rPr>
        <w:t xml:space="preserve">2、本合同及附件文本； </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3、国家相应的标准、规范。</w:t>
      </w:r>
    </w:p>
    <w:p>
      <w:pPr>
        <w:spacing w:line="360" w:lineRule="auto"/>
        <w:ind w:firstLine="496" w:firstLineChars="200"/>
        <w:rPr>
          <w:rFonts w:ascii="宋体" w:hAnsi="宋体" w:eastAsia="宋体" w:cs="宋体"/>
          <w:b/>
          <w:color w:val="000000"/>
        </w:rPr>
      </w:pPr>
      <w:r>
        <w:rPr>
          <w:rFonts w:hint="eastAsia" w:ascii="宋体" w:hAnsi="宋体" w:eastAsia="宋体" w:cs="宋体"/>
          <w:b/>
          <w:color w:val="000000"/>
        </w:rPr>
        <w:t>十、保密条款</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（一）未经需方同意，供方不得向第三方扩散、转让需方该项目中的所有中间抽查数据和总结报告；</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（二）双方应妥善保管对方提供的资料，保守对方的各项秘密。未经对方许可，不得利用知悉的对方资料和总结报告为自己或第三方谋取利益。</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（三）在合同有效期内，供方在合同义务下所完成的需提交给需方的全部成果（包括知识产权）全部归需方所有。</w:t>
      </w:r>
    </w:p>
    <w:p>
      <w:pPr>
        <w:spacing w:line="360" w:lineRule="auto"/>
        <w:ind w:firstLine="496" w:firstLineChars="200"/>
        <w:rPr>
          <w:rFonts w:ascii="宋体" w:hAnsi="宋体" w:eastAsia="宋体" w:cs="宋体"/>
        </w:rPr>
      </w:pPr>
      <w:r>
        <w:rPr>
          <w:rFonts w:hint="eastAsia" w:ascii="宋体" w:hAnsi="宋体" w:eastAsia="宋体" w:cs="宋体"/>
          <w:b/>
          <w:color w:val="000000"/>
        </w:rPr>
        <w:t>十一、合同争议的解决</w:t>
      </w:r>
    </w:p>
    <w:p>
      <w:pPr>
        <w:spacing w:line="360" w:lineRule="auto"/>
        <w:ind w:firstLine="496" w:firstLineChars="200"/>
        <w:rPr>
          <w:rFonts w:ascii="宋体" w:hAnsi="宋体" w:eastAsia="宋体" w:cs="宋体"/>
        </w:rPr>
      </w:pPr>
      <w:r>
        <w:rPr>
          <w:rFonts w:hint="eastAsia" w:ascii="宋体" w:hAnsi="宋体" w:eastAsia="宋体" w:cs="宋体"/>
          <w:color w:val="000000"/>
        </w:rPr>
        <w:t>合同执行中发生争议的，当事人双方应协商解决，协商达不成一致时，可向需方所在地人民法院提请诉讼。</w:t>
      </w:r>
    </w:p>
    <w:p>
      <w:pPr>
        <w:spacing w:line="360" w:lineRule="auto"/>
        <w:ind w:firstLine="496" w:firstLineChars="200"/>
        <w:rPr>
          <w:rFonts w:ascii="宋体" w:hAnsi="宋体" w:eastAsia="宋体" w:cs="宋体"/>
        </w:rPr>
      </w:pPr>
      <w:r>
        <w:rPr>
          <w:rFonts w:hint="eastAsia" w:ascii="宋体" w:hAnsi="宋体" w:eastAsia="宋体" w:cs="宋体"/>
          <w:b/>
          <w:color w:val="000000"/>
        </w:rPr>
        <w:t>十二、不可抗力情况下的免责约定</w:t>
      </w:r>
    </w:p>
    <w:p>
      <w:pPr>
        <w:spacing w:line="360" w:lineRule="auto"/>
        <w:ind w:firstLine="496" w:firstLineChars="200"/>
        <w:rPr>
          <w:rFonts w:ascii="宋体" w:hAnsi="宋体" w:eastAsia="宋体" w:cs="宋体"/>
        </w:rPr>
      </w:pPr>
      <w:r>
        <w:rPr>
          <w:rFonts w:hint="eastAsia" w:ascii="宋体" w:hAnsi="宋体" w:eastAsia="宋体" w:cs="宋体"/>
          <w:color w:val="000000"/>
        </w:rPr>
        <w:t>双方约定不可抗力情况指：双方不可预见、不可避免、不可克服的客观情况，但不包括双方的违约或疏忽。这些事件包括但不限于：战争、严重火灾、洪水、</w:t>
      </w:r>
    </w:p>
    <w:p>
      <w:pPr>
        <w:spacing w:line="360" w:lineRule="auto"/>
        <w:rPr>
          <w:rFonts w:ascii="宋体" w:hAnsi="宋体" w:eastAsia="宋体" w:cs="宋体"/>
        </w:rPr>
      </w:pPr>
      <w:r>
        <w:rPr>
          <w:rFonts w:hint="eastAsia" w:ascii="宋体" w:hAnsi="宋体" w:eastAsia="宋体" w:cs="宋体"/>
          <w:color w:val="000000"/>
        </w:rPr>
        <w:t>台风、地震等。</w:t>
      </w:r>
    </w:p>
    <w:p>
      <w:pPr>
        <w:spacing w:line="360" w:lineRule="auto"/>
        <w:ind w:firstLine="496" w:firstLineChars="200"/>
        <w:rPr>
          <w:rFonts w:ascii="宋体" w:hAnsi="宋体" w:eastAsia="宋体" w:cs="宋体"/>
          <w:b/>
          <w:color w:val="000000"/>
        </w:rPr>
      </w:pPr>
      <w:r>
        <w:rPr>
          <w:rFonts w:hint="eastAsia" w:ascii="宋体" w:hAnsi="宋体" w:eastAsia="宋体" w:cs="宋体"/>
          <w:b/>
          <w:color w:val="000000"/>
        </w:rPr>
        <w:t>十三、违约责任：</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（一）按《中华人民共和国民法典》中的相关条款执行。</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二）未按合同要求提供服务或服务质量不能满足合同要求，需方应当将供方违约的情况以及拟采取的措施以书面形式报政府采购监管部门，根据政府采购监管部门的处理意见，需方有权依据《中华人民共和国民法典》有关条款及合同约定终止合同，并要求供方承担违约责任。同时，政府采购监管部门有权依据《政府采购法》及相关法律法规对供方的违法行为进行相应的处罚。</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（三）在本合同履行过程中，双方因违约或造成对方经济、社会效益等损失的应当赔偿。</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（四）需方无正当理由拒绝接受服务，到期拒付服务费的，需方向供方偿付本合同总价款 5 %的违约金。由于需方为政府职能部门，双方一致同意因地方政府涉及本合同中对应的抽检产品质量监管规定或有关法律、法规及政策的变化调整、财政支付程序性问题造成的需方支付延迟的，供方予以谅解，需方不必承担违约责任。</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（五）供方提供的服务不符合本项目相关文件和本合同规定的，需方有权拒绝，并且供方须向需方支付本合同总价款 5 %的违约金。</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（六）供方未能按照本合同约定时间提供服务或完成约定的项目服务内容的，从逾期之日起每日按本合同总价款 0.1 %的数额向需方支付违约金；逾期 30 日以上的，需方有权终止合同，由此造成的需方经济损失由供方承担。</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（七）未经需方同意，供方不得擅自将本合同服务转包第三方承担。</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（八）双方确定，在本合同有效期内，需方指定______为需方项目联系人，供方指定______为供方项目联系人。项目联系人承担以下责任：</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 xml:space="preserve">1．保持联络，及时协调有关问题。 </w:t>
      </w:r>
    </w:p>
    <w:p>
      <w:pPr>
        <w:spacing w:line="360" w:lineRule="auto"/>
        <w:ind w:firstLine="496" w:firstLineChars="200"/>
        <w:rPr>
          <w:rFonts w:ascii="宋体" w:hAnsi="宋体" w:eastAsia="宋体" w:cs="宋体"/>
          <w:color w:val="000000"/>
        </w:rPr>
      </w:pPr>
      <w:r>
        <w:rPr>
          <w:rFonts w:hint="eastAsia" w:ascii="宋体" w:hAnsi="宋体" w:eastAsia="宋体" w:cs="宋体"/>
          <w:color w:val="000000"/>
        </w:rPr>
        <w:t>2．监督合同的执行。</w:t>
      </w:r>
    </w:p>
    <w:p>
      <w:pPr>
        <w:spacing w:line="360" w:lineRule="auto"/>
        <w:ind w:firstLine="496" w:firstLineChars="200"/>
        <w:rPr>
          <w:rFonts w:ascii="宋体" w:hAnsi="宋体" w:eastAsia="宋体" w:cs="宋体"/>
        </w:rPr>
      </w:pPr>
      <w:r>
        <w:rPr>
          <w:rFonts w:hint="eastAsia" w:ascii="宋体" w:hAnsi="宋体" w:eastAsia="宋体" w:cs="宋体"/>
          <w:color w:val="000000"/>
        </w:rPr>
        <w:t>一方变更项目联系人的，应当及时以书面形式通知另一方。未及时通知并影响本合同履行或造成损失的，应承担相应的责任。</w:t>
      </w:r>
    </w:p>
    <w:p>
      <w:pPr>
        <w:ind w:firstLine="496" w:firstLineChars="200"/>
        <w:rPr>
          <w:rFonts w:ascii="宋体" w:hAnsi="宋体" w:eastAsia="宋体" w:cs="宋体"/>
          <w:b/>
          <w:bCs/>
          <w:color w:val="000000"/>
        </w:rPr>
      </w:pPr>
      <w:r>
        <w:rPr>
          <w:rFonts w:hint="eastAsia" w:ascii="宋体" w:hAnsi="宋体" w:eastAsia="宋体" w:cs="宋体"/>
          <w:b/>
          <w:bCs/>
          <w:color w:val="000000"/>
        </w:rPr>
        <w:t>十四、合同变更</w:t>
      </w:r>
    </w:p>
    <w:p>
      <w:pPr>
        <w:spacing w:line="360" w:lineRule="auto"/>
        <w:ind w:firstLine="496" w:firstLineChars="200"/>
        <w:rPr>
          <w:rFonts w:ascii="宋体" w:hAnsi="宋体" w:eastAsia="宋体" w:cs="宋体"/>
        </w:rPr>
      </w:pPr>
      <w:r>
        <w:rPr>
          <w:rFonts w:hint="eastAsia" w:ascii="宋体" w:hAnsi="宋体" w:eastAsia="宋体" w:cs="宋体"/>
          <w:color w:val="000000"/>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pPr>
        <w:spacing w:line="360" w:lineRule="auto"/>
        <w:ind w:firstLine="496" w:firstLineChars="200"/>
        <w:rPr>
          <w:rFonts w:ascii="宋体" w:hAnsi="宋体" w:eastAsia="宋体" w:cs="宋体"/>
          <w:b/>
          <w:bCs/>
          <w:color w:val="000000"/>
        </w:rPr>
      </w:pPr>
      <w:r>
        <w:rPr>
          <w:rFonts w:hint="eastAsia" w:ascii="宋体" w:hAnsi="宋体" w:eastAsia="宋体" w:cs="宋体"/>
          <w:b/>
          <w:bCs/>
          <w:color w:val="000000"/>
        </w:rPr>
        <w:t>十五、送达及生效</w:t>
      </w:r>
    </w:p>
    <w:p>
      <w:pPr>
        <w:spacing w:line="360" w:lineRule="auto"/>
        <w:ind w:firstLine="248" w:firstLineChars="100"/>
        <w:rPr>
          <w:rFonts w:ascii="宋体" w:hAnsi="宋体" w:eastAsia="宋体" w:cs="宋体"/>
          <w:color w:val="000000"/>
        </w:rPr>
      </w:pPr>
      <w:r>
        <w:rPr>
          <w:rFonts w:hint="eastAsia" w:ascii="宋体" w:hAnsi="宋体" w:eastAsia="宋体" w:cs="宋体"/>
          <w:color w:val="000000"/>
        </w:rPr>
        <w:t>合同所显示当事人联系方式和联系信息适用于双方往来联系、书面文件送达及争议解决时法律文书送达。因联系方式和联系信息错误而无法直接送达的自交邮后第7日视为送达。</w:t>
      </w:r>
    </w:p>
    <w:p>
      <w:pPr>
        <w:spacing w:line="360" w:lineRule="auto"/>
        <w:ind w:firstLine="248" w:firstLineChars="100"/>
        <w:rPr>
          <w:rFonts w:ascii="宋体" w:hAnsi="宋体" w:eastAsia="宋体" w:cs="宋体"/>
          <w:color w:val="000000"/>
        </w:rPr>
      </w:pPr>
      <w:r>
        <w:rPr>
          <w:rFonts w:hint="eastAsia" w:ascii="宋体" w:hAnsi="宋体" w:eastAsia="宋体" w:cs="宋体"/>
          <w:color w:val="000000"/>
        </w:rPr>
        <w:t>本政府采购合同经双方盖章且授权代表签字后生效。本合同一式陆份，需方叁份、供方贰份、鉴证方壹份。</w:t>
      </w:r>
    </w:p>
    <w:p>
      <w:pPr>
        <w:autoSpaceDE w:val="0"/>
        <w:autoSpaceDN w:val="0"/>
        <w:adjustRightInd w:val="0"/>
        <w:spacing w:line="360" w:lineRule="auto"/>
        <w:ind w:firstLine="496" w:firstLineChars="200"/>
        <w:rPr>
          <w:rFonts w:ascii="宋体" w:hAnsi="宋体" w:eastAsia="宋体" w:cs="宋体"/>
          <w:b/>
          <w:color w:val="000000"/>
        </w:rPr>
      </w:pPr>
      <w:r>
        <w:rPr>
          <w:rFonts w:hint="eastAsia" w:ascii="宋体" w:hAnsi="宋体" w:eastAsia="宋体" w:cs="宋体"/>
          <w:b/>
          <w:color w:val="000000"/>
        </w:rPr>
        <w:t>十六、其他事项</w:t>
      </w:r>
    </w:p>
    <w:p>
      <w:pPr>
        <w:spacing w:line="360" w:lineRule="auto"/>
        <w:ind w:left="420"/>
        <w:rPr>
          <w:rFonts w:ascii="宋体" w:hAnsi="宋体" w:eastAsia="宋体" w:cs="宋体"/>
          <w:color w:val="000000"/>
        </w:rPr>
      </w:pPr>
      <w:r>
        <w:rPr>
          <w:rFonts w:hint="eastAsia" w:ascii="宋体" w:hAnsi="宋体" w:eastAsia="宋体" w:cs="宋体"/>
          <w:color w:val="000000"/>
        </w:rPr>
        <w:t>（一）采购文件、响应文件、澄清表（函）、成交通知书、合同附件均成为合同不可分割的部分。</w:t>
      </w:r>
    </w:p>
    <w:p>
      <w:pPr>
        <w:spacing w:line="360" w:lineRule="auto"/>
        <w:ind w:left="420"/>
        <w:rPr>
          <w:rFonts w:ascii="宋体" w:hAnsi="宋体" w:eastAsia="宋体" w:cs="宋体"/>
        </w:rPr>
      </w:pPr>
      <w:r>
        <w:rPr>
          <w:rFonts w:hint="eastAsia" w:ascii="宋体" w:hAnsi="宋体" w:eastAsia="宋体" w:cs="宋体"/>
        </w:rPr>
        <w:t>（二）未尽事宜，经双方协商一致，签订补充协议，补充协议与本合同具有同等法律效力。</w:t>
      </w:r>
    </w:p>
    <w:p>
      <w:pPr>
        <w:spacing w:line="360" w:lineRule="auto"/>
        <w:ind w:firstLine="248" w:firstLineChars="100"/>
        <w:rPr>
          <w:rFonts w:ascii="宋体" w:hAnsi="宋体" w:eastAsia="宋体" w:cs="宋体"/>
          <w:color w:val="000000"/>
        </w:rPr>
      </w:pPr>
    </w:p>
    <w:p>
      <w:pPr>
        <w:spacing w:line="360" w:lineRule="auto"/>
        <w:ind w:firstLine="248" w:firstLineChars="100"/>
        <w:rPr>
          <w:rFonts w:ascii="宋体" w:hAnsi="宋体" w:eastAsia="宋体" w:cs="宋体"/>
          <w:color w:val="000000"/>
        </w:rPr>
      </w:pPr>
    </w:p>
    <w:p>
      <w:pPr>
        <w:spacing w:line="360" w:lineRule="auto"/>
        <w:ind w:firstLine="248" w:firstLineChars="100"/>
        <w:rPr>
          <w:rFonts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本页无正文</w:t>
      </w:r>
    </w:p>
    <w:tbl>
      <w:tblPr>
        <w:tblStyle w:val="33"/>
        <w:tblW w:w="9038" w:type="dxa"/>
        <w:jc w:val="center"/>
        <w:tblLayout w:type="fixed"/>
        <w:tblCellMar>
          <w:top w:w="0" w:type="dxa"/>
          <w:left w:w="108" w:type="dxa"/>
          <w:bottom w:w="0" w:type="dxa"/>
          <w:right w:w="108" w:type="dxa"/>
        </w:tblCellMar>
      </w:tblPr>
      <w:tblGrid>
        <w:gridCol w:w="3043"/>
        <w:gridCol w:w="2978"/>
        <w:gridCol w:w="3017"/>
      </w:tblGrid>
      <w:tr>
        <w:tblPrEx>
          <w:tblCellMar>
            <w:top w:w="0" w:type="dxa"/>
            <w:left w:w="108" w:type="dxa"/>
            <w:bottom w:w="0" w:type="dxa"/>
            <w:right w:w="108" w:type="dxa"/>
          </w:tblCellMar>
        </w:tblPrEx>
        <w:trPr>
          <w:trHeight w:val="739" w:hRule="atLeast"/>
          <w:jc w:val="center"/>
        </w:trPr>
        <w:tc>
          <w:tcPr>
            <w:tcW w:w="3043" w:type="dxa"/>
            <w:noWrap/>
            <w:vAlign w:val="center"/>
          </w:tcPr>
          <w:p>
            <w:pPr>
              <w:rPr>
                <w:rFonts w:ascii="宋体" w:hAnsi="宋体" w:cs="宋体"/>
              </w:rPr>
            </w:pPr>
            <w:r>
              <w:rPr>
                <w:rFonts w:hint="eastAsia" w:ascii="宋体" w:hAnsi="宋体" w:cs="宋体"/>
                <w:b/>
                <w:bCs/>
              </w:rPr>
              <w:t>需方：西安市市场监督管理局（盖章）</w:t>
            </w:r>
          </w:p>
        </w:tc>
        <w:tc>
          <w:tcPr>
            <w:tcW w:w="2978" w:type="dxa"/>
            <w:noWrap/>
            <w:vAlign w:val="center"/>
          </w:tcPr>
          <w:p>
            <w:pPr>
              <w:rPr>
                <w:rFonts w:ascii="宋体" w:hAnsi="宋体" w:cs="宋体"/>
              </w:rPr>
            </w:pPr>
            <w:r>
              <w:rPr>
                <w:rFonts w:hint="eastAsia" w:ascii="宋体" w:hAnsi="宋体" w:cs="宋体"/>
                <w:b/>
                <w:bCs/>
              </w:rPr>
              <w:t>供方：（盖章）</w:t>
            </w:r>
          </w:p>
        </w:tc>
        <w:tc>
          <w:tcPr>
            <w:tcW w:w="3017" w:type="dxa"/>
            <w:vMerge w:val="restart"/>
            <w:noWrap/>
          </w:tcPr>
          <w:p>
            <w:pPr>
              <w:rPr>
                <w:rFonts w:ascii="宋体" w:hAnsi="宋体" w:cs="宋体"/>
                <w:b/>
                <w:bCs/>
              </w:rPr>
            </w:pPr>
            <w:r>
              <w:rPr>
                <w:rFonts w:hint="eastAsia" w:ascii="宋体" w:hAnsi="宋体" w:cs="宋体"/>
                <w:b/>
                <w:bCs/>
              </w:rPr>
              <w:t>鉴证方：陕西万泽招标有限公司</w:t>
            </w:r>
          </w:p>
          <w:p>
            <w:pPr>
              <w:ind w:left="242" w:hanging="239" w:hangingChars="97"/>
              <w:rPr>
                <w:rFonts w:ascii="宋体" w:hAnsi="宋体" w:cs="宋体"/>
              </w:rPr>
            </w:pPr>
            <w:r>
              <w:rPr>
                <w:rFonts w:hint="eastAsia" w:ascii="宋体" w:hAnsi="宋体" w:cs="宋体"/>
                <w:b/>
                <w:bCs/>
              </w:rPr>
              <w:t>（盖章）</w:t>
            </w:r>
          </w:p>
        </w:tc>
      </w:tr>
      <w:tr>
        <w:tblPrEx>
          <w:tblCellMar>
            <w:top w:w="0" w:type="dxa"/>
            <w:left w:w="108" w:type="dxa"/>
            <w:bottom w:w="0" w:type="dxa"/>
            <w:right w:w="108" w:type="dxa"/>
          </w:tblCellMar>
        </w:tblPrEx>
        <w:trPr>
          <w:trHeight w:val="598" w:hRule="atLeast"/>
          <w:jc w:val="center"/>
        </w:trPr>
        <w:tc>
          <w:tcPr>
            <w:tcW w:w="3043" w:type="dxa"/>
            <w:noWrap/>
            <w:vAlign w:val="center"/>
          </w:tcPr>
          <w:p>
            <w:pPr>
              <w:rPr>
                <w:rFonts w:ascii="宋体" w:hAnsi="宋体" w:cs="宋体"/>
              </w:rPr>
            </w:pPr>
            <w:r>
              <w:rPr>
                <w:rFonts w:hint="eastAsia" w:ascii="宋体" w:hAnsi="宋体" w:cs="宋体"/>
                <w:b/>
                <w:bCs/>
              </w:rPr>
              <w:t>法人或委托代理人：</w:t>
            </w:r>
          </w:p>
        </w:tc>
        <w:tc>
          <w:tcPr>
            <w:tcW w:w="2978" w:type="dxa"/>
            <w:noWrap/>
            <w:vAlign w:val="center"/>
          </w:tcPr>
          <w:p>
            <w:pPr>
              <w:rPr>
                <w:rFonts w:ascii="宋体" w:hAnsi="宋体" w:cs="宋体"/>
              </w:rPr>
            </w:pPr>
            <w:r>
              <w:rPr>
                <w:rFonts w:hint="eastAsia" w:ascii="宋体" w:hAnsi="宋体" w:cs="宋体"/>
                <w:b/>
                <w:bCs/>
              </w:rPr>
              <w:t>法人或委托代理人：</w:t>
            </w:r>
          </w:p>
        </w:tc>
        <w:tc>
          <w:tcPr>
            <w:tcW w:w="3017" w:type="dxa"/>
            <w:vMerge w:val="continue"/>
            <w:noWrap/>
            <w:vAlign w:val="center"/>
          </w:tcPr>
          <w:p>
            <w:pPr>
              <w:rPr>
                <w:rFonts w:ascii="宋体" w:hAnsi="宋体" w:cs="宋体"/>
              </w:rPr>
            </w:pPr>
          </w:p>
        </w:tc>
      </w:tr>
      <w:tr>
        <w:tblPrEx>
          <w:tblCellMar>
            <w:top w:w="0" w:type="dxa"/>
            <w:left w:w="108" w:type="dxa"/>
            <w:bottom w:w="0" w:type="dxa"/>
            <w:right w:w="108" w:type="dxa"/>
          </w:tblCellMar>
        </w:tblPrEx>
        <w:trPr>
          <w:trHeight w:val="739" w:hRule="atLeast"/>
          <w:jc w:val="center"/>
        </w:trPr>
        <w:tc>
          <w:tcPr>
            <w:tcW w:w="3043" w:type="dxa"/>
            <w:noWrap/>
            <w:vAlign w:val="center"/>
          </w:tcPr>
          <w:p>
            <w:pPr>
              <w:rPr>
                <w:rFonts w:ascii="宋体" w:hAnsi="宋体" w:cs="宋体"/>
              </w:rPr>
            </w:pPr>
            <w:r>
              <w:rPr>
                <w:rFonts w:hint="eastAsia" w:ascii="宋体" w:hAnsi="宋体" w:cs="宋体"/>
                <w:b/>
                <w:bCs/>
              </w:rPr>
              <w:t>户名：</w:t>
            </w:r>
          </w:p>
        </w:tc>
        <w:tc>
          <w:tcPr>
            <w:tcW w:w="2978" w:type="dxa"/>
            <w:noWrap/>
            <w:vAlign w:val="center"/>
          </w:tcPr>
          <w:p>
            <w:pPr>
              <w:rPr>
                <w:rFonts w:ascii="宋体" w:hAnsi="宋体" w:cs="宋体"/>
              </w:rPr>
            </w:pPr>
            <w:r>
              <w:rPr>
                <w:rFonts w:hint="eastAsia" w:ascii="宋体" w:hAnsi="宋体" w:cs="宋体"/>
                <w:b/>
                <w:bCs/>
              </w:rPr>
              <w:t>户名：</w:t>
            </w:r>
          </w:p>
        </w:tc>
        <w:tc>
          <w:tcPr>
            <w:tcW w:w="3017" w:type="dxa"/>
            <w:vMerge w:val="continue"/>
            <w:noWrap/>
            <w:vAlign w:val="center"/>
          </w:tcPr>
          <w:p>
            <w:pPr>
              <w:rPr>
                <w:rFonts w:ascii="宋体" w:hAnsi="宋体" w:cs="宋体"/>
              </w:rPr>
            </w:pPr>
          </w:p>
        </w:tc>
      </w:tr>
      <w:tr>
        <w:tblPrEx>
          <w:tblCellMar>
            <w:top w:w="0" w:type="dxa"/>
            <w:left w:w="108" w:type="dxa"/>
            <w:bottom w:w="0" w:type="dxa"/>
            <w:right w:w="108" w:type="dxa"/>
          </w:tblCellMar>
        </w:tblPrEx>
        <w:trPr>
          <w:trHeight w:val="739" w:hRule="atLeast"/>
          <w:jc w:val="center"/>
        </w:trPr>
        <w:tc>
          <w:tcPr>
            <w:tcW w:w="3043" w:type="dxa"/>
            <w:noWrap/>
            <w:vAlign w:val="center"/>
          </w:tcPr>
          <w:p>
            <w:pPr>
              <w:rPr>
                <w:rFonts w:ascii="宋体" w:hAnsi="宋体" w:cs="宋体"/>
              </w:rPr>
            </w:pPr>
            <w:r>
              <w:rPr>
                <w:rFonts w:hint="eastAsia" w:ascii="宋体" w:hAnsi="宋体" w:cs="宋体"/>
                <w:b/>
                <w:bCs/>
              </w:rPr>
              <w:t>开户行：</w:t>
            </w:r>
          </w:p>
        </w:tc>
        <w:tc>
          <w:tcPr>
            <w:tcW w:w="2978" w:type="dxa"/>
            <w:noWrap/>
            <w:vAlign w:val="center"/>
          </w:tcPr>
          <w:p>
            <w:pPr>
              <w:rPr>
                <w:rFonts w:ascii="宋体" w:hAnsi="宋体" w:cs="宋体"/>
              </w:rPr>
            </w:pPr>
            <w:r>
              <w:rPr>
                <w:rFonts w:hint="eastAsia" w:ascii="宋体" w:hAnsi="宋体" w:cs="宋体"/>
                <w:b/>
                <w:bCs/>
              </w:rPr>
              <w:t>开户行：</w:t>
            </w:r>
          </w:p>
        </w:tc>
        <w:tc>
          <w:tcPr>
            <w:tcW w:w="3017" w:type="dxa"/>
            <w:noWrap/>
            <w:vAlign w:val="center"/>
          </w:tcPr>
          <w:p>
            <w:pPr>
              <w:rPr>
                <w:rFonts w:ascii="宋体" w:hAnsi="宋体" w:cs="宋体"/>
              </w:rPr>
            </w:pPr>
            <w:r>
              <w:rPr>
                <w:rFonts w:hint="eastAsia" w:ascii="宋体" w:hAnsi="宋体" w:cs="宋体"/>
                <w:b/>
                <w:bCs/>
              </w:rPr>
              <w:t>代表签字：</w:t>
            </w:r>
          </w:p>
        </w:tc>
      </w:tr>
      <w:tr>
        <w:tblPrEx>
          <w:tblCellMar>
            <w:top w:w="0" w:type="dxa"/>
            <w:left w:w="108" w:type="dxa"/>
            <w:bottom w:w="0" w:type="dxa"/>
            <w:right w:w="108" w:type="dxa"/>
          </w:tblCellMar>
        </w:tblPrEx>
        <w:trPr>
          <w:trHeight w:val="598" w:hRule="atLeast"/>
          <w:jc w:val="center"/>
        </w:trPr>
        <w:tc>
          <w:tcPr>
            <w:tcW w:w="3043" w:type="dxa"/>
            <w:noWrap/>
            <w:vAlign w:val="center"/>
          </w:tcPr>
          <w:p>
            <w:pPr>
              <w:rPr>
                <w:rFonts w:ascii="宋体" w:hAnsi="宋体" w:cs="宋体"/>
              </w:rPr>
            </w:pPr>
            <w:r>
              <w:rPr>
                <w:rFonts w:hint="eastAsia" w:ascii="宋体" w:hAnsi="宋体" w:cs="宋体"/>
                <w:b/>
                <w:bCs/>
              </w:rPr>
              <w:t>帐号：</w:t>
            </w:r>
          </w:p>
        </w:tc>
        <w:tc>
          <w:tcPr>
            <w:tcW w:w="2978" w:type="dxa"/>
            <w:noWrap/>
            <w:vAlign w:val="center"/>
          </w:tcPr>
          <w:p>
            <w:pPr>
              <w:rPr>
                <w:rFonts w:ascii="宋体" w:hAnsi="宋体" w:cs="宋体"/>
              </w:rPr>
            </w:pPr>
            <w:r>
              <w:rPr>
                <w:rFonts w:hint="eastAsia" w:ascii="宋体" w:hAnsi="宋体" w:cs="宋体"/>
                <w:b/>
                <w:bCs/>
              </w:rPr>
              <w:t>帐号：</w:t>
            </w:r>
          </w:p>
        </w:tc>
        <w:tc>
          <w:tcPr>
            <w:tcW w:w="3017" w:type="dxa"/>
            <w:noWrap/>
            <w:vAlign w:val="center"/>
          </w:tcPr>
          <w:p>
            <w:pPr>
              <w:rPr>
                <w:rFonts w:ascii="宋体" w:hAnsi="宋体" w:cs="宋体"/>
              </w:rPr>
            </w:pPr>
          </w:p>
        </w:tc>
      </w:tr>
      <w:tr>
        <w:tblPrEx>
          <w:tblCellMar>
            <w:top w:w="0" w:type="dxa"/>
            <w:left w:w="108" w:type="dxa"/>
            <w:bottom w:w="0" w:type="dxa"/>
            <w:right w:w="108" w:type="dxa"/>
          </w:tblCellMar>
        </w:tblPrEx>
        <w:trPr>
          <w:trHeight w:val="598" w:hRule="atLeast"/>
          <w:jc w:val="center"/>
        </w:trPr>
        <w:tc>
          <w:tcPr>
            <w:tcW w:w="3043" w:type="dxa"/>
            <w:noWrap/>
            <w:vAlign w:val="center"/>
          </w:tcPr>
          <w:p>
            <w:pPr>
              <w:rPr>
                <w:rFonts w:ascii="宋体" w:hAnsi="宋体" w:cs="宋体"/>
              </w:rPr>
            </w:pPr>
            <w:r>
              <w:rPr>
                <w:rFonts w:hint="eastAsia" w:ascii="宋体" w:hAnsi="宋体" w:cs="宋体"/>
                <w:b/>
                <w:bCs/>
              </w:rPr>
              <w:t>电话：</w:t>
            </w:r>
          </w:p>
        </w:tc>
        <w:tc>
          <w:tcPr>
            <w:tcW w:w="2978" w:type="dxa"/>
            <w:noWrap/>
            <w:vAlign w:val="center"/>
          </w:tcPr>
          <w:p>
            <w:pPr>
              <w:rPr>
                <w:rFonts w:ascii="宋体" w:hAnsi="宋体" w:cs="宋体"/>
              </w:rPr>
            </w:pPr>
            <w:r>
              <w:rPr>
                <w:rFonts w:hint="eastAsia" w:ascii="宋体" w:hAnsi="宋体" w:cs="宋体"/>
                <w:b/>
                <w:bCs/>
              </w:rPr>
              <w:t xml:space="preserve">电话: </w:t>
            </w:r>
          </w:p>
        </w:tc>
        <w:tc>
          <w:tcPr>
            <w:tcW w:w="3017" w:type="dxa"/>
            <w:noWrap/>
            <w:vAlign w:val="center"/>
          </w:tcPr>
          <w:p>
            <w:pPr>
              <w:rPr>
                <w:rFonts w:ascii="宋体" w:hAnsi="宋体" w:cs="宋体"/>
              </w:rPr>
            </w:pPr>
            <w:r>
              <w:rPr>
                <w:rFonts w:hint="eastAsia" w:ascii="宋体" w:hAnsi="宋体" w:cs="宋体"/>
                <w:b/>
                <w:bCs/>
              </w:rPr>
              <w:t>电话029-88319689</w:t>
            </w:r>
          </w:p>
        </w:tc>
      </w:tr>
      <w:tr>
        <w:tblPrEx>
          <w:tblCellMar>
            <w:top w:w="0" w:type="dxa"/>
            <w:left w:w="108" w:type="dxa"/>
            <w:bottom w:w="0" w:type="dxa"/>
            <w:right w:w="108" w:type="dxa"/>
          </w:tblCellMar>
        </w:tblPrEx>
        <w:trPr>
          <w:trHeight w:val="1109" w:hRule="atLeast"/>
          <w:jc w:val="center"/>
        </w:trPr>
        <w:tc>
          <w:tcPr>
            <w:tcW w:w="3043" w:type="dxa"/>
            <w:noWrap/>
            <w:vAlign w:val="center"/>
          </w:tcPr>
          <w:p>
            <w:pPr>
              <w:rPr>
                <w:rFonts w:ascii="宋体" w:hAnsi="宋体" w:cs="宋体"/>
              </w:rPr>
            </w:pPr>
            <w:r>
              <w:rPr>
                <w:rFonts w:hint="eastAsia" w:ascii="宋体" w:hAnsi="宋体" w:cs="宋体"/>
                <w:b/>
                <w:bCs/>
              </w:rPr>
              <w:t>地址：凤城八路109号2号楼五层</w:t>
            </w:r>
          </w:p>
        </w:tc>
        <w:tc>
          <w:tcPr>
            <w:tcW w:w="2978" w:type="dxa"/>
            <w:noWrap/>
            <w:vAlign w:val="center"/>
          </w:tcPr>
          <w:p>
            <w:pPr>
              <w:rPr>
                <w:rFonts w:ascii="宋体" w:hAnsi="宋体" w:cs="宋体"/>
              </w:rPr>
            </w:pPr>
            <w:r>
              <w:rPr>
                <w:rFonts w:hint="eastAsia" w:ascii="宋体" w:hAnsi="宋体" w:cs="宋体"/>
                <w:b/>
                <w:bCs/>
              </w:rPr>
              <w:t>地址：</w:t>
            </w:r>
          </w:p>
        </w:tc>
        <w:tc>
          <w:tcPr>
            <w:tcW w:w="3017" w:type="dxa"/>
            <w:noWrap/>
            <w:vAlign w:val="center"/>
          </w:tcPr>
          <w:p>
            <w:pPr>
              <w:rPr>
                <w:rFonts w:ascii="宋体" w:hAnsi="宋体" w:cs="宋体"/>
              </w:rPr>
            </w:pPr>
            <w:r>
              <w:rPr>
                <w:rFonts w:hint="eastAsia" w:ascii="宋体" w:hAnsi="宋体" w:cs="宋体"/>
                <w:b/>
                <w:bCs/>
              </w:rPr>
              <w:t>地址：西安市莲湖区西关正街英达大厦1507室</w:t>
            </w:r>
          </w:p>
        </w:tc>
      </w:tr>
      <w:tr>
        <w:tblPrEx>
          <w:tblCellMar>
            <w:top w:w="0" w:type="dxa"/>
            <w:left w:w="108" w:type="dxa"/>
            <w:bottom w:w="0" w:type="dxa"/>
            <w:right w:w="108" w:type="dxa"/>
          </w:tblCellMar>
        </w:tblPrEx>
        <w:trPr>
          <w:trHeight w:val="598" w:hRule="atLeast"/>
          <w:jc w:val="center"/>
        </w:trPr>
        <w:tc>
          <w:tcPr>
            <w:tcW w:w="3043" w:type="dxa"/>
            <w:noWrap/>
            <w:vAlign w:val="center"/>
          </w:tcPr>
          <w:p>
            <w:pPr>
              <w:rPr>
                <w:rFonts w:ascii="宋体" w:hAnsi="宋体" w:cs="宋体"/>
              </w:rPr>
            </w:pPr>
            <w:r>
              <w:rPr>
                <w:rFonts w:hint="eastAsia" w:ascii="宋体" w:hAnsi="宋体" w:cs="宋体"/>
                <w:b/>
                <w:bCs/>
              </w:rPr>
              <w:t>日期: 2023年月日</w:t>
            </w:r>
          </w:p>
        </w:tc>
        <w:tc>
          <w:tcPr>
            <w:tcW w:w="2978" w:type="dxa"/>
            <w:noWrap/>
            <w:vAlign w:val="center"/>
          </w:tcPr>
          <w:p>
            <w:pPr>
              <w:rPr>
                <w:rFonts w:ascii="宋体" w:hAnsi="宋体" w:cs="宋体"/>
              </w:rPr>
            </w:pPr>
            <w:r>
              <w:rPr>
                <w:rFonts w:hint="eastAsia" w:ascii="宋体" w:hAnsi="宋体" w:cs="宋体"/>
                <w:b/>
                <w:bCs/>
              </w:rPr>
              <w:t>日期: 2023年月日</w:t>
            </w:r>
          </w:p>
        </w:tc>
        <w:tc>
          <w:tcPr>
            <w:tcW w:w="3017" w:type="dxa"/>
            <w:noWrap/>
            <w:vAlign w:val="center"/>
          </w:tcPr>
          <w:p>
            <w:pPr>
              <w:rPr>
                <w:rFonts w:ascii="宋体" w:hAnsi="宋体" w:cs="宋体"/>
              </w:rPr>
            </w:pPr>
          </w:p>
        </w:tc>
      </w:tr>
    </w:tbl>
    <w:p>
      <w:pPr>
        <w:pStyle w:val="14"/>
        <w:ind w:left="497" w:firstLine="559"/>
        <w:rPr>
          <w:rFonts w:ascii="宋体" w:hAnsi="宋体" w:eastAsia="宋体" w:cs="宋体"/>
          <w:color w:val="000000"/>
          <w:sz w:val="24"/>
        </w:rPr>
      </w:pPr>
    </w:p>
    <w:p>
      <w:pPr>
        <w:rPr>
          <w:rFonts w:ascii="宋体" w:hAnsi="宋体" w:eastAsia="宋体" w:cs="宋体"/>
        </w:rPr>
      </w:pPr>
      <w:r>
        <w:rPr>
          <w:rFonts w:hint="eastAsia" w:ascii="宋体" w:hAnsi="宋体" w:eastAsia="宋体" w:cs="宋体"/>
        </w:rPr>
        <w:br w:type="page"/>
      </w:r>
    </w:p>
    <w:p>
      <w:pPr>
        <w:pStyle w:val="3"/>
        <w:rPr>
          <w:rFonts w:ascii="宋体" w:hAnsi="宋体" w:eastAsia="宋体" w:cs="宋体"/>
          <w:b/>
          <w:bCs/>
        </w:rPr>
      </w:pPr>
      <w:r>
        <w:rPr>
          <w:rFonts w:hint="eastAsia" w:ascii="宋体" w:hAnsi="宋体" w:eastAsia="宋体" w:cs="宋体"/>
          <w:b/>
          <w:bCs/>
        </w:rPr>
        <w:t>第五章  投标文件构成及格式</w:t>
      </w:r>
      <w:bookmarkEnd w:id="260"/>
      <w:bookmarkEnd w:id="261"/>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西安市市场监督管理局</w:t>
      </w:r>
    </w:p>
    <w:p>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2023年机电类特种设备安全质量监督抽查项目</w:t>
      </w:r>
    </w:p>
    <w:p>
      <w:pPr>
        <w:snapToGrid w:val="0"/>
        <w:jc w:val="center"/>
        <w:rPr>
          <w:rFonts w:asciiTheme="minorEastAsia" w:hAnsiTheme="minorEastAsia" w:cstheme="minorEastAsia"/>
          <w:b/>
          <w:bCs/>
          <w:sz w:val="44"/>
          <w:szCs w:val="44"/>
        </w:rPr>
      </w:pPr>
    </w:p>
    <w:p>
      <w:pPr>
        <w:snapToGrid w:val="0"/>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投标文件</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560" w:lineRule="exact"/>
        <w:ind w:firstLine="656" w:firstLineChars="200"/>
        <w:jc w:val="center"/>
        <w:rPr>
          <w:rFonts w:ascii="宋体" w:hAnsi="宋体" w:eastAsia="宋体" w:cs="宋体"/>
          <w:sz w:val="32"/>
          <w:szCs w:val="32"/>
        </w:rPr>
      </w:pPr>
      <w:r>
        <w:rPr>
          <w:rFonts w:hint="eastAsia" w:ascii="宋体" w:hAnsi="宋体" w:eastAsia="宋体" w:cs="宋体"/>
          <w:b/>
          <w:bCs/>
          <w:sz w:val="32"/>
          <w:szCs w:val="32"/>
        </w:rPr>
        <w:t>项目编号：SXWZ2023ZB-SGLJ-030</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napToGrid w:val="0"/>
        <w:spacing w:line="480" w:lineRule="auto"/>
        <w:ind w:firstLine="1152" w:firstLineChars="400"/>
        <w:rPr>
          <w:rFonts w:ascii="宋体" w:hAnsi="宋体" w:cs="宋体"/>
          <w:sz w:val="28"/>
          <w:szCs w:val="28"/>
        </w:rPr>
      </w:pPr>
      <w:r>
        <w:rPr>
          <w:rFonts w:hint="eastAsia" w:ascii="宋体" w:hAnsi="宋体" w:cs="宋体"/>
          <w:sz w:val="28"/>
          <w:szCs w:val="28"/>
          <w:lang w:val="zh-CN"/>
        </w:rPr>
        <w:t>供应商（单位名称及公章）：</w:t>
      </w:r>
    </w:p>
    <w:p>
      <w:pPr>
        <w:snapToGrid w:val="0"/>
        <w:spacing w:line="480" w:lineRule="auto"/>
        <w:ind w:firstLine="1152" w:firstLineChars="400"/>
        <w:jc w:val="both"/>
        <w:rPr>
          <w:sz w:val="22"/>
          <w:szCs w:val="22"/>
        </w:rPr>
      </w:pPr>
      <w:r>
        <w:rPr>
          <w:rFonts w:hint="eastAsia" w:ascii="宋体" w:hAnsi="宋体" w:cs="宋体"/>
          <w:sz w:val="28"/>
          <w:szCs w:val="28"/>
        </w:rPr>
        <w:t>法定代表人或被授权人（签字或盖章）：</w:t>
      </w:r>
    </w:p>
    <w:p>
      <w:pPr>
        <w:snapToGrid w:val="0"/>
        <w:spacing w:line="480" w:lineRule="auto"/>
        <w:ind w:firstLine="1152" w:firstLineChars="400"/>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lang w:val="zh-CN"/>
        </w:rPr>
        <w:t>：</w:t>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20"/>
        <w:snapToGrid w:val="0"/>
        <w:spacing w:line="480" w:lineRule="auto"/>
        <w:ind w:firstLine="576" w:firstLineChars="200"/>
        <w:rPr>
          <w:rFonts w:hAnsi="宋体" w:eastAsia="宋体" w:cs="宋体"/>
          <w:b/>
          <w:bCs/>
          <w:sz w:val="28"/>
          <w:szCs w:val="28"/>
        </w:rPr>
      </w:pPr>
      <w:r>
        <w:rPr>
          <w:rFonts w:hint="eastAsia" w:hAnsi="宋体" w:eastAsia="宋体" w:cs="宋体"/>
          <w:b/>
          <w:bCs/>
          <w:sz w:val="28"/>
          <w:szCs w:val="28"/>
        </w:rPr>
        <w:t>第一部分   投标函</w:t>
      </w:r>
    </w:p>
    <w:p>
      <w:pPr>
        <w:snapToGrid w:val="0"/>
        <w:spacing w:line="480" w:lineRule="auto"/>
        <w:ind w:firstLine="576" w:firstLineChars="200"/>
        <w:rPr>
          <w:rFonts w:hAnsi="宋体" w:eastAsia="宋体" w:cs="宋体"/>
          <w:b/>
          <w:bCs/>
          <w:sz w:val="28"/>
          <w:szCs w:val="28"/>
        </w:rPr>
      </w:pPr>
      <w:r>
        <w:rPr>
          <w:rFonts w:hint="eastAsia" w:ascii="宋体" w:hAnsi="宋体" w:eastAsia="宋体" w:cs="宋体"/>
          <w:b/>
          <w:sz w:val="28"/>
          <w:szCs w:val="28"/>
        </w:rPr>
        <w:t>第二</w:t>
      </w:r>
      <w:r>
        <w:rPr>
          <w:rFonts w:hint="eastAsia" w:ascii="宋体" w:hAnsi="宋体" w:eastAsia="宋体" w:cs="宋体"/>
          <w:b/>
          <w:bCs/>
          <w:sz w:val="28"/>
          <w:szCs w:val="28"/>
        </w:rPr>
        <w:t>部分</w:t>
      </w:r>
      <w:r>
        <w:rPr>
          <w:rFonts w:hint="eastAsia" w:ascii="宋体" w:hAnsi="宋体" w:eastAsia="宋体" w:cs="宋体"/>
          <w:b/>
          <w:sz w:val="28"/>
          <w:szCs w:val="28"/>
        </w:rPr>
        <w:t xml:space="preserve">   开标一览表 </w:t>
      </w:r>
    </w:p>
    <w:p>
      <w:pPr>
        <w:pStyle w:val="20"/>
        <w:snapToGrid w:val="0"/>
        <w:spacing w:line="480" w:lineRule="auto"/>
        <w:ind w:firstLine="576" w:firstLineChars="200"/>
        <w:rPr>
          <w:rFonts w:hAnsi="宋体" w:eastAsia="宋体" w:cs="宋体"/>
          <w:b/>
          <w:bCs/>
          <w:sz w:val="28"/>
          <w:szCs w:val="28"/>
        </w:rPr>
      </w:pPr>
      <w:r>
        <w:rPr>
          <w:rFonts w:hint="eastAsia" w:hAnsi="宋体" w:eastAsia="宋体" w:cs="宋体"/>
          <w:b/>
          <w:bCs/>
          <w:sz w:val="28"/>
          <w:szCs w:val="28"/>
        </w:rPr>
        <w:t xml:space="preserve">第三部分   </w:t>
      </w:r>
      <w:r>
        <w:rPr>
          <w:rFonts w:hint="eastAsia" w:hAnsi="宋体" w:eastAsia="宋体" w:cs="宋体"/>
          <w:b/>
          <w:sz w:val="28"/>
          <w:szCs w:val="28"/>
        </w:rPr>
        <w:t>资格证明文件</w:t>
      </w:r>
    </w:p>
    <w:p>
      <w:pPr>
        <w:pStyle w:val="20"/>
        <w:snapToGrid w:val="0"/>
        <w:spacing w:line="480" w:lineRule="auto"/>
        <w:ind w:firstLine="576" w:firstLineChars="200"/>
        <w:rPr>
          <w:rFonts w:hAnsi="宋体" w:eastAsia="宋体" w:cs="宋体"/>
          <w:b/>
          <w:bCs/>
          <w:sz w:val="28"/>
          <w:szCs w:val="28"/>
        </w:rPr>
      </w:pPr>
      <w:r>
        <w:rPr>
          <w:rFonts w:hint="eastAsia" w:hAnsi="宋体" w:eastAsia="宋体" w:cs="宋体"/>
          <w:b/>
          <w:sz w:val="28"/>
          <w:szCs w:val="28"/>
        </w:rPr>
        <w:t>第四</w:t>
      </w:r>
      <w:r>
        <w:rPr>
          <w:rFonts w:hint="eastAsia" w:hAnsi="宋体" w:eastAsia="宋体" w:cs="宋体"/>
          <w:b/>
          <w:bCs/>
          <w:sz w:val="28"/>
          <w:szCs w:val="28"/>
        </w:rPr>
        <w:t>部分</w:t>
      </w:r>
      <w:r>
        <w:rPr>
          <w:rFonts w:hint="eastAsia" w:hAnsi="宋体" w:eastAsia="宋体" w:cs="宋体"/>
          <w:b/>
          <w:sz w:val="28"/>
          <w:szCs w:val="28"/>
        </w:rPr>
        <w:t xml:space="preserve">   供应商概况</w:t>
      </w:r>
    </w:p>
    <w:p>
      <w:pPr>
        <w:pStyle w:val="20"/>
        <w:snapToGrid w:val="0"/>
        <w:spacing w:line="480" w:lineRule="auto"/>
        <w:ind w:firstLine="576" w:firstLineChars="200"/>
        <w:rPr>
          <w:rFonts w:hAnsi="宋体" w:eastAsia="宋体" w:cs="宋体"/>
          <w:b/>
          <w:sz w:val="28"/>
          <w:szCs w:val="28"/>
        </w:rPr>
      </w:pPr>
      <w:r>
        <w:rPr>
          <w:rFonts w:hint="eastAsia" w:hAnsi="宋体" w:eastAsia="宋体" w:cs="宋体"/>
          <w:b/>
          <w:sz w:val="28"/>
          <w:szCs w:val="28"/>
        </w:rPr>
        <w:t>第五</w:t>
      </w:r>
      <w:r>
        <w:rPr>
          <w:rFonts w:hint="eastAsia" w:hAnsi="宋体" w:eastAsia="宋体" w:cs="宋体"/>
          <w:b/>
          <w:bCs/>
          <w:sz w:val="28"/>
          <w:szCs w:val="28"/>
        </w:rPr>
        <w:t>部分</w:t>
      </w:r>
      <w:r>
        <w:rPr>
          <w:rFonts w:hint="eastAsia" w:hAnsi="宋体" w:eastAsia="宋体" w:cs="宋体"/>
          <w:b/>
          <w:sz w:val="28"/>
          <w:szCs w:val="28"/>
        </w:rPr>
        <w:t xml:space="preserve">   商务和技术响应偏离表</w:t>
      </w:r>
    </w:p>
    <w:p>
      <w:pPr>
        <w:pStyle w:val="20"/>
        <w:snapToGrid w:val="0"/>
        <w:spacing w:line="480" w:lineRule="auto"/>
        <w:ind w:firstLine="576" w:firstLineChars="200"/>
        <w:rPr>
          <w:rFonts w:hAnsi="宋体" w:eastAsia="宋体" w:cs="宋体"/>
          <w:b/>
          <w:sz w:val="28"/>
          <w:szCs w:val="28"/>
        </w:rPr>
      </w:pPr>
      <w:r>
        <w:rPr>
          <w:rFonts w:hint="eastAsia" w:hAnsi="宋体" w:eastAsia="宋体" w:cs="宋体"/>
          <w:b/>
          <w:sz w:val="28"/>
          <w:szCs w:val="28"/>
        </w:rPr>
        <w:t>第六</w:t>
      </w:r>
      <w:r>
        <w:rPr>
          <w:rFonts w:hint="eastAsia" w:hAnsi="宋体" w:eastAsia="宋体" w:cs="宋体"/>
          <w:b/>
          <w:bCs/>
          <w:sz w:val="28"/>
          <w:szCs w:val="28"/>
        </w:rPr>
        <w:t>部分</w:t>
      </w:r>
      <w:r>
        <w:rPr>
          <w:rFonts w:hint="eastAsia" w:hAnsi="宋体" w:eastAsia="宋体" w:cs="宋体"/>
          <w:b/>
          <w:sz w:val="28"/>
          <w:szCs w:val="28"/>
        </w:rPr>
        <w:t xml:space="preserve">   服务方案</w:t>
      </w:r>
    </w:p>
    <w:p>
      <w:pPr>
        <w:pStyle w:val="20"/>
        <w:snapToGrid w:val="0"/>
        <w:spacing w:line="480" w:lineRule="auto"/>
        <w:ind w:firstLine="576" w:firstLineChars="200"/>
        <w:rPr>
          <w:rFonts w:hAnsi="宋体" w:eastAsia="宋体" w:cs="宋体"/>
          <w:b/>
          <w:sz w:val="28"/>
          <w:szCs w:val="28"/>
        </w:rPr>
      </w:pPr>
      <w:r>
        <w:rPr>
          <w:rFonts w:hint="eastAsia" w:hAnsi="宋体" w:eastAsia="宋体" w:cs="宋体"/>
          <w:b/>
          <w:sz w:val="28"/>
          <w:szCs w:val="28"/>
        </w:rPr>
        <w:t>第七部分   技术支持资料</w:t>
      </w:r>
    </w:p>
    <w:p>
      <w:pPr>
        <w:pStyle w:val="20"/>
        <w:snapToGrid w:val="0"/>
        <w:spacing w:line="480" w:lineRule="auto"/>
        <w:ind w:firstLine="576" w:firstLineChars="200"/>
        <w:rPr>
          <w:rFonts w:hAnsi="宋体" w:eastAsia="宋体" w:cs="宋体"/>
          <w:b/>
          <w:sz w:val="28"/>
          <w:szCs w:val="28"/>
        </w:rPr>
      </w:pPr>
      <w:r>
        <w:rPr>
          <w:rFonts w:hint="eastAsia" w:hAnsi="宋体" w:eastAsia="宋体" w:cs="宋体"/>
          <w:b/>
          <w:sz w:val="28"/>
          <w:szCs w:val="28"/>
        </w:rPr>
        <w:t>第八</w:t>
      </w:r>
      <w:r>
        <w:rPr>
          <w:rFonts w:hint="eastAsia" w:hAnsi="宋体" w:eastAsia="宋体" w:cs="宋体"/>
          <w:b/>
          <w:bCs/>
          <w:sz w:val="28"/>
          <w:szCs w:val="28"/>
        </w:rPr>
        <w:t>部分</w:t>
      </w:r>
      <w:r>
        <w:rPr>
          <w:rFonts w:hint="eastAsia" w:hAnsi="宋体" w:eastAsia="宋体" w:cs="宋体"/>
          <w:b/>
          <w:sz w:val="28"/>
          <w:szCs w:val="28"/>
        </w:rPr>
        <w:t xml:space="preserve">   供应商业绩一览表</w:t>
      </w:r>
    </w:p>
    <w:p>
      <w:pPr>
        <w:pStyle w:val="20"/>
        <w:snapToGrid w:val="0"/>
        <w:spacing w:line="480" w:lineRule="auto"/>
        <w:ind w:firstLine="576" w:firstLineChars="200"/>
        <w:rPr>
          <w:rFonts w:hAnsi="宋体" w:eastAsia="宋体" w:cs="宋体"/>
          <w:b/>
          <w:sz w:val="28"/>
          <w:szCs w:val="28"/>
        </w:rPr>
      </w:pPr>
      <w:r>
        <w:rPr>
          <w:rFonts w:hint="eastAsia" w:hAnsi="宋体" w:eastAsia="宋体" w:cs="宋体"/>
          <w:b/>
          <w:sz w:val="28"/>
          <w:szCs w:val="28"/>
        </w:rPr>
        <w:t>第九</w:t>
      </w:r>
      <w:r>
        <w:rPr>
          <w:rFonts w:hint="eastAsia" w:hAnsi="宋体" w:eastAsia="宋体" w:cs="宋体"/>
          <w:b/>
          <w:bCs/>
          <w:sz w:val="28"/>
          <w:szCs w:val="28"/>
        </w:rPr>
        <w:t>部分</w:t>
      </w:r>
      <w:r>
        <w:rPr>
          <w:rFonts w:hint="eastAsia" w:hAnsi="宋体" w:eastAsia="宋体" w:cs="宋体"/>
          <w:b/>
          <w:sz w:val="28"/>
          <w:szCs w:val="28"/>
        </w:rPr>
        <w:t xml:space="preserve">   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263" w:name="_Toc13179"/>
      <w:r>
        <w:rPr>
          <w:rFonts w:hint="eastAsia" w:ascii="宋体" w:hAnsi="宋体" w:eastAsia="宋体" w:cs="宋体"/>
        </w:rPr>
        <w:t>第一部分  投标函</w:t>
      </w:r>
      <w:bookmarkEnd w:id="26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陕西万泽招标有限公司：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 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6"/>
        </w:numPr>
        <w:ind w:firstLine="657"/>
        <w:jc w:val="center"/>
        <w:rPr>
          <w:rFonts w:ascii="宋体" w:hAnsi="宋体" w:eastAsia="宋体" w:cs="宋体"/>
        </w:rPr>
      </w:pPr>
      <w:bookmarkStart w:id="264" w:name="_Toc9494"/>
      <w:r>
        <w:rPr>
          <w:rFonts w:hint="eastAsia" w:ascii="宋体" w:hAnsi="宋体" w:eastAsia="宋体" w:cs="宋体"/>
        </w:rPr>
        <w:t>开标一览表</w:t>
      </w:r>
      <w:bookmarkEnd w:id="264"/>
    </w:p>
    <w:p>
      <w:pPr>
        <w:kinsoku w:val="0"/>
        <w:spacing w:line="360" w:lineRule="auto"/>
        <w:rPr>
          <w:rFonts w:ascii="宋体" w:hAnsi="宋体" w:eastAsia="宋体" w:cs="宋体"/>
          <w:sz w:val="28"/>
          <w:szCs w:val="28"/>
        </w:rPr>
      </w:pPr>
      <w:r>
        <w:rPr>
          <w:rFonts w:hint="eastAsia" w:ascii="宋体" w:hAnsi="宋体" w:eastAsia="宋体" w:cs="宋体"/>
          <w:sz w:val="28"/>
          <w:szCs w:val="28"/>
        </w:rPr>
        <w:t xml:space="preserve">项目名称：                                    </w:t>
      </w:r>
    </w:p>
    <w:p>
      <w:pPr>
        <w:kinsoku w:val="0"/>
        <w:spacing w:line="360" w:lineRule="auto"/>
        <w:rPr>
          <w:rFonts w:ascii="宋体" w:hAnsi="宋体" w:eastAsia="宋体" w:cs="宋体"/>
          <w:sz w:val="28"/>
          <w:szCs w:val="28"/>
        </w:rPr>
      </w:pPr>
      <w:r>
        <w:rPr>
          <w:rFonts w:hint="eastAsia" w:ascii="宋体" w:hAnsi="宋体" w:eastAsia="宋体" w:cs="宋体"/>
          <w:sz w:val="28"/>
          <w:szCs w:val="28"/>
        </w:rPr>
        <w:t>项目编号：</w:t>
      </w:r>
    </w:p>
    <w:p>
      <w:pPr>
        <w:kinsoku w:val="0"/>
        <w:spacing w:line="360" w:lineRule="auto"/>
        <w:rPr>
          <w:rFonts w:ascii="宋体" w:hAnsi="宋体" w:eastAsia="宋体" w:cs="宋体"/>
          <w:b/>
          <w:bCs/>
          <w:spacing w:val="20"/>
          <w:sz w:val="28"/>
          <w:szCs w:val="28"/>
        </w:rPr>
      </w:pPr>
      <w:r>
        <w:rPr>
          <w:rFonts w:hint="eastAsia" w:ascii="宋体" w:hAnsi="宋体" w:eastAsia="宋体" w:cs="宋体"/>
          <w:sz w:val="28"/>
          <w:szCs w:val="28"/>
        </w:rPr>
        <w:t>单    位：元</w:t>
      </w:r>
    </w:p>
    <w:tbl>
      <w:tblPr>
        <w:tblStyle w:val="33"/>
        <w:tblW w:w="10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2220"/>
        <w:gridCol w:w="3015"/>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905" w:type="dxa"/>
            <w:tcBorders>
              <w:tl2br w:val="single" w:color="auto" w:sz="4" w:space="0"/>
            </w:tcBorders>
          </w:tcPr>
          <w:p>
            <w:pPr>
              <w:kinsoku w:val="0"/>
              <w:spacing w:line="480" w:lineRule="auto"/>
              <w:ind w:firstLine="1488" w:firstLineChars="600"/>
              <w:rPr>
                <w:rFonts w:ascii="宋体" w:hAnsi="宋体" w:eastAsia="宋体" w:cs="宋体"/>
                <w:szCs w:val="21"/>
              </w:rPr>
            </w:pPr>
            <w:r>
              <w:rPr>
                <w:rFonts w:hint="eastAsia" w:ascii="宋体" w:hAnsi="宋体" w:eastAsia="宋体" w:cs="宋体"/>
                <w:szCs w:val="21"/>
              </w:rPr>
              <w:t>报价内容</w:t>
            </w:r>
          </w:p>
          <w:p>
            <w:pPr>
              <w:kinsoku w:val="0"/>
              <w:spacing w:line="480" w:lineRule="auto"/>
              <w:rPr>
                <w:rFonts w:ascii="宋体" w:hAnsi="宋体" w:eastAsia="宋体" w:cs="宋体"/>
                <w:szCs w:val="21"/>
              </w:rPr>
            </w:pPr>
            <w:r>
              <w:rPr>
                <w:rFonts w:hint="eastAsia" w:ascii="宋体" w:hAnsi="宋体" w:eastAsia="宋体" w:cs="宋体"/>
                <w:szCs w:val="21"/>
              </w:rPr>
              <w:t>投标内容</w:t>
            </w:r>
          </w:p>
        </w:tc>
        <w:tc>
          <w:tcPr>
            <w:tcW w:w="2220" w:type="dxa"/>
            <w:vAlign w:val="center"/>
          </w:tcPr>
          <w:p>
            <w:pPr>
              <w:kinsoku w:val="0"/>
              <w:spacing w:line="480" w:lineRule="auto"/>
              <w:jc w:val="center"/>
              <w:rPr>
                <w:rFonts w:ascii="宋体" w:hAnsi="宋体" w:eastAsia="宋体" w:cs="宋体"/>
                <w:szCs w:val="21"/>
              </w:rPr>
            </w:pPr>
            <w:r>
              <w:rPr>
                <w:rFonts w:hint="eastAsia" w:ascii="宋体" w:hAnsi="宋体" w:eastAsia="宋体" w:cs="宋体"/>
                <w:szCs w:val="21"/>
              </w:rPr>
              <w:t>投标总报价</w:t>
            </w:r>
          </w:p>
        </w:tc>
        <w:tc>
          <w:tcPr>
            <w:tcW w:w="3015" w:type="dxa"/>
            <w:vAlign w:val="center"/>
          </w:tcPr>
          <w:p>
            <w:pPr>
              <w:kinsoku w:val="0"/>
              <w:spacing w:line="480" w:lineRule="auto"/>
              <w:jc w:val="center"/>
              <w:rPr>
                <w:rFonts w:ascii="宋体" w:hAnsi="宋体" w:eastAsia="宋体" w:cs="宋体"/>
                <w:szCs w:val="21"/>
              </w:rPr>
            </w:pPr>
            <w:r>
              <w:rPr>
                <w:rFonts w:hint="eastAsia" w:ascii="宋体" w:hAnsi="宋体" w:eastAsia="宋体" w:cs="宋体"/>
                <w:szCs w:val="21"/>
              </w:rPr>
              <w:t>服务期限</w:t>
            </w:r>
          </w:p>
        </w:tc>
        <w:tc>
          <w:tcPr>
            <w:tcW w:w="2679" w:type="dxa"/>
            <w:vAlign w:val="center"/>
          </w:tcPr>
          <w:p>
            <w:pPr>
              <w:kinsoku w:val="0"/>
              <w:spacing w:line="480" w:lineRule="auto"/>
              <w:jc w:val="center"/>
              <w:rPr>
                <w:rFonts w:ascii="宋体" w:hAnsi="宋体" w:eastAsia="宋体" w:cs="宋体"/>
                <w:szCs w:val="21"/>
              </w:rPr>
            </w:pPr>
            <w:r>
              <w:rPr>
                <w:rFonts w:hint="eastAsia" w:ascii="宋体" w:hAnsi="宋体" w:eastAsia="宋体" w:cs="宋体"/>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2905" w:type="dxa"/>
            <w:vAlign w:val="center"/>
          </w:tcPr>
          <w:p>
            <w:pPr>
              <w:kinsoku w:val="0"/>
              <w:spacing w:line="480" w:lineRule="auto"/>
              <w:rPr>
                <w:rFonts w:ascii="宋体" w:hAnsi="宋体" w:eastAsia="宋体" w:cs="宋体"/>
                <w:szCs w:val="21"/>
              </w:rPr>
            </w:pPr>
            <w:r>
              <w:rPr>
                <w:rFonts w:hint="eastAsia" w:ascii="宋体" w:hAnsi="宋体" w:eastAsia="宋体" w:cs="宋体"/>
                <w:szCs w:val="21"/>
              </w:rPr>
              <w:t>西安市市场监督管理局2023年机电类特种设备安全质量监督抽查项目</w:t>
            </w:r>
          </w:p>
        </w:tc>
        <w:tc>
          <w:tcPr>
            <w:tcW w:w="2220" w:type="dxa"/>
            <w:vAlign w:val="center"/>
          </w:tcPr>
          <w:p>
            <w:pPr>
              <w:kinsoku w:val="0"/>
              <w:spacing w:line="480" w:lineRule="auto"/>
              <w:rPr>
                <w:rFonts w:ascii="宋体" w:hAnsi="宋体" w:eastAsia="宋体" w:cs="宋体"/>
                <w:szCs w:val="21"/>
              </w:rPr>
            </w:pPr>
          </w:p>
        </w:tc>
        <w:tc>
          <w:tcPr>
            <w:tcW w:w="3015" w:type="dxa"/>
            <w:vAlign w:val="center"/>
          </w:tcPr>
          <w:p>
            <w:pPr>
              <w:kinsoku w:val="0"/>
              <w:spacing w:line="480" w:lineRule="auto"/>
              <w:ind w:firstLine="496" w:firstLineChars="200"/>
              <w:rPr>
                <w:rFonts w:ascii="宋体" w:hAnsi="宋体" w:eastAsia="宋体" w:cs="宋体"/>
                <w:szCs w:val="21"/>
              </w:rPr>
            </w:pPr>
          </w:p>
        </w:tc>
        <w:tc>
          <w:tcPr>
            <w:tcW w:w="2679" w:type="dxa"/>
            <w:vAlign w:val="center"/>
          </w:tcPr>
          <w:p>
            <w:pPr>
              <w:kinsoku w:val="0"/>
              <w:spacing w:line="480" w:lineRule="auto"/>
              <w:ind w:firstLine="496" w:firstLineChars="20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819" w:type="dxa"/>
            <w:gridSpan w:val="4"/>
            <w:vAlign w:val="center"/>
          </w:tcPr>
          <w:p>
            <w:pPr>
              <w:kinsoku w:val="0"/>
              <w:spacing w:line="480" w:lineRule="auto"/>
              <w:rPr>
                <w:rFonts w:ascii="宋体" w:hAnsi="宋体" w:eastAsia="宋体" w:cs="宋体"/>
                <w:szCs w:val="21"/>
              </w:rPr>
            </w:pPr>
            <w:r>
              <w:rPr>
                <w:rFonts w:hint="eastAsia" w:ascii="宋体" w:hAnsi="宋体" w:eastAsia="宋体" w:cs="宋体"/>
                <w:szCs w:val="21"/>
              </w:rPr>
              <w:t>投标总报价：人民币</w:t>
            </w:r>
            <w:r>
              <w:rPr>
                <w:rFonts w:hint="eastAsia" w:ascii="宋体" w:hAnsi="宋体" w:eastAsia="宋体" w:cs="宋体"/>
                <w:szCs w:val="21"/>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0819" w:type="dxa"/>
            <w:gridSpan w:val="4"/>
            <w:vAlign w:val="center"/>
          </w:tcPr>
          <w:p>
            <w:pPr>
              <w:kinsoku w:val="0"/>
              <w:rPr>
                <w:rFonts w:ascii="宋体" w:hAnsi="宋体" w:eastAsia="宋体" w:cs="宋体"/>
              </w:rPr>
            </w:pPr>
            <w:r>
              <w:rPr>
                <w:rFonts w:hint="eastAsia" w:ascii="宋体" w:hAnsi="宋体" w:eastAsia="宋体" w:cs="宋体"/>
              </w:rPr>
              <w:t>备注：</w:t>
            </w:r>
          </w:p>
          <w:p>
            <w:pPr>
              <w:kinsoku w:val="0"/>
              <w:ind w:firstLine="496" w:firstLineChars="200"/>
              <w:rPr>
                <w:rFonts w:ascii="宋体" w:hAnsi="宋体" w:eastAsia="宋体" w:cs="宋体"/>
              </w:rPr>
            </w:pPr>
            <w:r>
              <w:rPr>
                <w:rFonts w:hint="eastAsia" w:ascii="宋体" w:hAnsi="宋体" w:eastAsia="宋体" w:cs="宋体"/>
              </w:rPr>
              <w:t xml:space="preserve">1、表内报价内容以元为单位，精确到小数点后两位。 </w:t>
            </w:r>
          </w:p>
          <w:p>
            <w:pPr>
              <w:ind w:firstLine="496" w:firstLineChars="200"/>
              <w:rPr>
                <w:rFonts w:ascii="宋体" w:hAnsi="宋体" w:cs="宋体"/>
              </w:rPr>
            </w:pPr>
            <w:r>
              <w:rPr>
                <w:rFonts w:ascii="宋体" w:hAnsi="宋体" w:cs="宋体"/>
              </w:rPr>
              <w:t>2、</w:t>
            </w:r>
            <w:r>
              <w:rPr>
                <w:rFonts w:hint="eastAsia" w:ascii="宋体" w:hAnsi="宋体" w:cs="宋体"/>
              </w:rPr>
              <w:t>服务</w:t>
            </w:r>
            <w:r>
              <w:rPr>
                <w:rFonts w:ascii="宋体" w:hAnsi="宋体" w:cs="宋体"/>
              </w:rPr>
              <w:t>期</w:t>
            </w:r>
            <w:r>
              <w:rPr>
                <w:rFonts w:hint="eastAsia" w:ascii="宋体" w:hAnsi="宋体" w:cs="宋体"/>
              </w:rPr>
              <w:t>限、质保期</w:t>
            </w:r>
            <w:r>
              <w:rPr>
                <w:rFonts w:ascii="宋体" w:hAnsi="宋体" w:cs="宋体"/>
              </w:rPr>
              <w:t>要求详见第</w:t>
            </w:r>
            <w:r>
              <w:rPr>
                <w:rFonts w:hint="eastAsia" w:ascii="宋体" w:hAnsi="宋体" w:cs="宋体"/>
              </w:rPr>
              <w:t>三章招标内容及要求中一、商务条款。</w:t>
            </w:r>
          </w:p>
        </w:tc>
      </w:tr>
    </w:tbl>
    <w:p>
      <w:pPr>
        <w:tabs>
          <w:tab w:val="left" w:pos="4000"/>
        </w:tabs>
        <w:snapToGrid w:val="0"/>
        <w:spacing w:line="300" w:lineRule="auto"/>
        <w:rPr>
          <w:rFonts w:ascii="宋体" w:hAnsi="宋体" w:eastAsia="宋体" w:cs="宋体"/>
          <w:b/>
          <w:bCs/>
          <w:spacing w:val="20"/>
          <w:sz w:val="28"/>
          <w:szCs w:val="28"/>
        </w:rPr>
      </w:pPr>
    </w:p>
    <w:p>
      <w:pPr>
        <w:adjustRightInd w:val="0"/>
        <w:snapToGrid w:val="0"/>
        <w:spacing w:line="480" w:lineRule="auto"/>
        <w:rPr>
          <w:rFonts w:ascii="宋体" w:hAnsi="宋体" w:eastAsia="宋体" w:cs="宋体"/>
          <w:sz w:val="28"/>
          <w:szCs w:val="28"/>
          <w:u w:val="single"/>
        </w:rPr>
      </w:pPr>
      <w:r>
        <w:rPr>
          <w:rFonts w:hint="eastAsia" w:ascii="宋体" w:hAnsi="宋体" w:eastAsia="宋体" w:cs="宋体"/>
          <w:sz w:val="28"/>
          <w:szCs w:val="28"/>
        </w:rPr>
        <w:t>供应商（单位名称及公章）：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日    期：年月日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w:t>
      </w:r>
    </w:p>
    <w:p>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项目名称：西安市市场监督管理局2023年机电类特种设备安全质量监督抽查项目</w:t>
      </w:r>
    </w:p>
    <w:p>
      <w:pPr>
        <w:wordWrap w:val="0"/>
        <w:spacing w:line="360" w:lineRule="auto"/>
        <w:rPr>
          <w:rFonts w:asci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SXWZ2023ZB-SGLJ-030</w:t>
      </w:r>
    </w:p>
    <w:p>
      <w:pPr>
        <w:wordWrap w:val="0"/>
        <w:spacing w:line="360" w:lineRule="auto"/>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p>
    <w:p>
      <w:pPr>
        <w:spacing w:line="560" w:lineRule="exact"/>
        <w:ind w:firstLine="496" w:firstLineChars="200"/>
        <w:rPr>
          <w:rFonts w:ascii="宋体" w:hAnsi="宋体" w:eastAsia="宋体" w:cs="宋体"/>
        </w:rPr>
      </w:pPr>
      <w:r>
        <w:rPr>
          <w:rFonts w:hint="eastAsia" w:ascii="宋体" w:hAnsi="宋体" w:eastAsia="宋体" w:cs="宋体"/>
        </w:rPr>
        <w:t>单位：元</w:t>
      </w:r>
    </w:p>
    <w:tbl>
      <w:tblPr>
        <w:tblStyle w:val="33"/>
        <w:tblW w:w="91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76"/>
        <w:gridCol w:w="1215"/>
        <w:gridCol w:w="4602"/>
        <w:gridCol w:w="799"/>
        <w:gridCol w:w="931"/>
        <w:gridCol w:w="9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9160" w:type="dxa"/>
            <w:gridSpan w:val="6"/>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费用明细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序号</w:t>
            </w:r>
          </w:p>
        </w:tc>
        <w:tc>
          <w:tcPr>
            <w:tcW w:w="1215" w:type="dxa"/>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费用名称</w:t>
            </w:r>
          </w:p>
        </w:tc>
        <w:tc>
          <w:tcPr>
            <w:tcW w:w="4602" w:type="dxa"/>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费用描述</w:t>
            </w:r>
          </w:p>
        </w:tc>
        <w:tc>
          <w:tcPr>
            <w:tcW w:w="799" w:type="dxa"/>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数量</w:t>
            </w:r>
          </w:p>
        </w:tc>
        <w:tc>
          <w:tcPr>
            <w:tcW w:w="931" w:type="dxa"/>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单价</w:t>
            </w:r>
          </w:p>
        </w:tc>
        <w:tc>
          <w:tcPr>
            <w:tcW w:w="937" w:type="dxa"/>
            <w:vAlign w:val="center"/>
          </w:tcPr>
          <w:p>
            <w:pPr>
              <w:jc w:val="center"/>
              <w:rPr>
                <w:rFonts w:ascii="宋体" w:hAnsi="宋体" w:eastAsia="宋体" w:cs="宋体"/>
              </w:rPr>
            </w:pPr>
            <w:r>
              <w:rPr>
                <w:rFonts w:hint="eastAsia" w:ascii="宋体" w:hAnsi="宋体" w:eastAsia="宋体" w:cs="宋体"/>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2" w:hRule="atLeast"/>
          <w:jc w:val="center"/>
        </w:trPr>
        <w:tc>
          <w:tcPr>
            <w:tcW w:w="676" w:type="dxa"/>
            <w:noWrap/>
            <w:tcMar>
              <w:top w:w="20" w:type="dxa"/>
              <w:left w:w="20" w:type="dxa"/>
              <w:bottom w:w="0" w:type="dxa"/>
              <w:right w:w="20" w:type="dxa"/>
            </w:tcMar>
            <w:vAlign w:val="center"/>
          </w:tcPr>
          <w:p>
            <w:pPr>
              <w:jc w:val="center"/>
              <w:rPr>
                <w:rFonts w:ascii="宋体" w:hAnsi="宋体" w:eastAsia="宋体" w:cs="宋体"/>
              </w:rPr>
            </w:pPr>
          </w:p>
        </w:tc>
        <w:tc>
          <w:tcPr>
            <w:tcW w:w="1215" w:type="dxa"/>
            <w:noWrap/>
            <w:tcMar>
              <w:top w:w="20" w:type="dxa"/>
              <w:left w:w="20" w:type="dxa"/>
              <w:bottom w:w="0" w:type="dxa"/>
              <w:right w:w="20" w:type="dxa"/>
            </w:tcMar>
            <w:vAlign w:val="center"/>
          </w:tcPr>
          <w:p>
            <w:pPr>
              <w:jc w:val="center"/>
              <w:rPr>
                <w:rFonts w:ascii="宋体" w:hAnsi="宋体" w:eastAsia="宋体" w:cs="宋体"/>
              </w:rPr>
            </w:pPr>
          </w:p>
        </w:tc>
        <w:tc>
          <w:tcPr>
            <w:tcW w:w="4602" w:type="dxa"/>
            <w:noWrap/>
            <w:tcMar>
              <w:top w:w="20" w:type="dxa"/>
              <w:left w:w="20" w:type="dxa"/>
              <w:bottom w:w="0" w:type="dxa"/>
              <w:right w:w="20" w:type="dxa"/>
            </w:tcMar>
            <w:vAlign w:val="center"/>
          </w:tcPr>
          <w:p>
            <w:pPr>
              <w:jc w:val="center"/>
              <w:rPr>
                <w:rFonts w:ascii="宋体" w:hAnsi="宋体" w:eastAsia="宋体" w:cs="宋体"/>
              </w:rPr>
            </w:pPr>
          </w:p>
        </w:tc>
        <w:tc>
          <w:tcPr>
            <w:tcW w:w="799" w:type="dxa"/>
            <w:noWrap/>
            <w:tcMar>
              <w:top w:w="20" w:type="dxa"/>
              <w:left w:w="20" w:type="dxa"/>
              <w:bottom w:w="0" w:type="dxa"/>
              <w:right w:w="20" w:type="dxa"/>
            </w:tcMar>
            <w:vAlign w:val="center"/>
          </w:tcPr>
          <w:p>
            <w:pPr>
              <w:jc w:val="center"/>
              <w:rPr>
                <w:rFonts w:ascii="宋体" w:hAnsi="宋体" w:eastAsia="宋体" w:cs="宋体"/>
              </w:rPr>
            </w:pPr>
          </w:p>
        </w:tc>
        <w:tc>
          <w:tcPr>
            <w:tcW w:w="931" w:type="dxa"/>
            <w:noWrap/>
            <w:tcMar>
              <w:top w:w="20" w:type="dxa"/>
              <w:left w:w="20" w:type="dxa"/>
              <w:bottom w:w="0" w:type="dxa"/>
              <w:right w:w="20" w:type="dxa"/>
            </w:tcMar>
            <w:vAlign w:val="center"/>
          </w:tcPr>
          <w:p>
            <w:pPr>
              <w:jc w:val="center"/>
              <w:rPr>
                <w:rFonts w:ascii="宋体" w:hAnsi="宋体" w:eastAsia="宋体" w:cs="宋体"/>
              </w:rPr>
            </w:pPr>
          </w:p>
        </w:tc>
        <w:tc>
          <w:tcPr>
            <w:tcW w:w="937" w:type="dxa"/>
            <w:vAlign w:val="center"/>
          </w:tcPr>
          <w:p>
            <w:pPr>
              <w:jc w:val="cente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6" w:hRule="atLeast"/>
          <w:jc w:val="center"/>
        </w:trPr>
        <w:tc>
          <w:tcPr>
            <w:tcW w:w="8223" w:type="dxa"/>
            <w:gridSpan w:val="5"/>
            <w:noWrap/>
            <w:tcMar>
              <w:top w:w="20" w:type="dxa"/>
              <w:left w:w="20" w:type="dxa"/>
              <w:bottom w:w="0" w:type="dxa"/>
              <w:right w:w="20" w:type="dxa"/>
            </w:tcMar>
            <w:vAlign w:val="center"/>
          </w:tcPr>
          <w:p>
            <w:pPr>
              <w:jc w:val="center"/>
              <w:rPr>
                <w:rFonts w:ascii="宋体" w:hAnsi="宋体" w:eastAsia="宋体" w:cs="宋体"/>
              </w:rPr>
            </w:pPr>
            <w:r>
              <w:rPr>
                <w:rFonts w:hint="eastAsia" w:ascii="宋体" w:hAnsi="宋体" w:eastAsia="宋体" w:cs="宋体"/>
              </w:rPr>
              <w:t>总计</w:t>
            </w:r>
          </w:p>
        </w:tc>
        <w:tc>
          <w:tcPr>
            <w:tcW w:w="937" w:type="dxa"/>
            <w:vAlign w:val="center"/>
          </w:tcPr>
          <w:p>
            <w:pPr>
              <w:jc w:val="center"/>
              <w:rPr>
                <w:rFonts w:ascii="宋体" w:hAnsi="宋体" w:eastAsia="宋体" w:cs="宋体"/>
              </w:rPr>
            </w:pPr>
          </w:p>
        </w:tc>
      </w:tr>
    </w:tbl>
    <w:p>
      <w:pPr>
        <w:spacing w:line="560" w:lineRule="exact"/>
        <w:rPr>
          <w:rFonts w:ascii="宋体" w:hAnsi="宋体" w:eastAsia="宋体" w:cs="宋体"/>
        </w:rPr>
      </w:pPr>
      <w:r>
        <w:rPr>
          <w:rFonts w:hint="eastAsia" w:ascii="宋体" w:hAnsi="宋体" w:eastAsia="宋体" w:cs="宋体"/>
        </w:rPr>
        <w:t>说明：1.此表由供应商按项目情况自行列支，仅作参考。</w:t>
      </w:r>
    </w:p>
    <w:p>
      <w:pPr>
        <w:adjustRightInd w:val="0"/>
        <w:snapToGrid w:val="0"/>
        <w:spacing w:line="480" w:lineRule="auto"/>
        <w:rPr>
          <w:rFonts w:ascii="宋体" w:hAnsi="宋体" w:eastAsia="宋体" w:cs="宋体"/>
        </w:rPr>
      </w:pPr>
      <w:r>
        <w:rPr>
          <w:rFonts w:hint="eastAsia" w:ascii="宋体" w:hAnsi="宋体" w:eastAsia="宋体" w:cs="宋体"/>
        </w:rPr>
        <w:t>2.表格空间不足时，可自行扩展。</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供应商（供应商名称及公章）：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color w:val="000000" w:themeColor="text1"/>
          <w14:textFill>
            <w14:solidFill>
              <w14:schemeClr w14:val="tx1"/>
            </w14:solidFill>
          </w14:textFill>
        </w:rPr>
      </w:pPr>
      <w:r>
        <w:rPr>
          <w:rFonts w:hint="eastAsia" w:ascii="宋体" w:hAnsi="宋体" w:eastAsia="宋体" w:cs="宋体"/>
          <w:sz w:val="28"/>
          <w:szCs w:val="28"/>
        </w:rPr>
        <w:t>日      期：</w:t>
      </w:r>
    </w:p>
    <w:p>
      <w:pPr>
        <w:adjustRightInd w:val="0"/>
        <w:snapToGrid w:val="0"/>
        <w:spacing w:line="480" w:lineRule="auto"/>
        <w:rPr>
          <w:color w:val="000000" w:themeColor="text1"/>
          <w:sz w:val="36"/>
          <w:szCs w:val="36"/>
          <w14:textFill>
            <w14:solidFill>
              <w14:schemeClr w14:val="tx1"/>
            </w14:solidFill>
          </w14:textFill>
        </w:rPr>
        <w:sectPr>
          <w:headerReference r:id="rId4" w:type="first"/>
          <w:footerReference r:id="rId6" w:type="first"/>
          <w:footerReference r:id="rId5" w:type="default"/>
          <w:pgSz w:w="11906" w:h="16838"/>
          <w:pgMar w:top="1440" w:right="1083" w:bottom="1440" w:left="1083" w:header="850" w:footer="992" w:gutter="0"/>
          <w:cols w:space="0" w:num="1"/>
          <w:titlePg/>
          <w:docGrid w:type="linesAndChars" w:linePitch="395" w:charSpace="1724"/>
        </w:sectPr>
      </w:pPr>
    </w:p>
    <w:p>
      <w:pPr>
        <w:pStyle w:val="4"/>
        <w:ind w:firstLine="657"/>
        <w:jc w:val="center"/>
        <w:rPr>
          <w:rFonts w:ascii="宋体" w:hAnsi="宋体" w:eastAsia="宋体" w:cs="宋体"/>
        </w:rPr>
      </w:pPr>
      <w:bookmarkStart w:id="265" w:name="_Toc32367"/>
      <w:r>
        <w:rPr>
          <w:rFonts w:hint="eastAsia" w:ascii="宋体" w:hAnsi="宋体" w:eastAsia="宋体" w:cs="宋体"/>
        </w:rPr>
        <w:t>第三部分  资格证明文件</w:t>
      </w:r>
      <w:bookmarkEnd w:id="26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pStyle w:val="101"/>
        <w:spacing w:before="197" w:after="197"/>
        <w:ind w:firstLine="579"/>
        <w:outlineLvl w:val="9"/>
        <w:rPr>
          <w:rFonts w:ascii="宋体" w:hAnsi="宋体" w:eastAsia="宋体" w:cs="宋体"/>
          <w:sz w:val="28"/>
          <w:szCs w:val="28"/>
        </w:rPr>
      </w:pPr>
      <w:bookmarkStart w:id="266" w:name="_Toc22297"/>
      <w:bookmarkStart w:id="267" w:name="_Toc4250"/>
      <w:bookmarkStart w:id="268" w:name="_Toc7442"/>
      <w:r>
        <w:rPr>
          <w:rFonts w:hint="eastAsia" w:ascii="宋体" w:hAnsi="宋体" w:eastAsia="宋体" w:cs="宋体"/>
          <w:sz w:val="28"/>
          <w:szCs w:val="28"/>
        </w:rPr>
        <w:t>（一）有效的登记注册证</w:t>
      </w:r>
      <w:bookmarkEnd w:id="266"/>
      <w:bookmarkEnd w:id="267"/>
      <w:bookmarkEnd w:id="268"/>
    </w:p>
    <w:p>
      <w:pPr>
        <w:pStyle w:val="101"/>
        <w:spacing w:before="197" w:after="197"/>
        <w:ind w:firstLine="579"/>
        <w:outlineLvl w:val="9"/>
        <w:rPr>
          <w:rFonts w:ascii="宋体" w:hAnsi="宋体" w:eastAsia="宋体" w:cs="宋体"/>
          <w:sz w:val="28"/>
          <w:szCs w:val="28"/>
        </w:rPr>
      </w:pPr>
      <w:bookmarkStart w:id="269" w:name="_Toc1260"/>
      <w:bookmarkStart w:id="270" w:name="_Toc24977"/>
      <w:bookmarkStart w:id="271" w:name="_Toc23603"/>
      <w:r>
        <w:rPr>
          <w:rFonts w:hint="eastAsia" w:ascii="宋体" w:hAnsi="宋体" w:eastAsia="宋体" w:cs="宋体"/>
          <w:sz w:val="28"/>
          <w:szCs w:val="28"/>
        </w:rPr>
        <w:t>（二）社会保障资金缴纳证明</w:t>
      </w:r>
      <w:bookmarkEnd w:id="269"/>
      <w:bookmarkEnd w:id="270"/>
      <w:bookmarkEnd w:id="271"/>
    </w:p>
    <w:p>
      <w:pPr>
        <w:pStyle w:val="101"/>
        <w:spacing w:before="197" w:after="197"/>
        <w:ind w:firstLine="579"/>
        <w:outlineLvl w:val="9"/>
        <w:rPr>
          <w:rFonts w:ascii="宋体" w:hAnsi="宋体" w:eastAsia="宋体" w:cs="宋体"/>
          <w:sz w:val="28"/>
          <w:szCs w:val="28"/>
        </w:rPr>
      </w:pPr>
      <w:bookmarkStart w:id="272" w:name="_Toc4494"/>
      <w:bookmarkStart w:id="273" w:name="_Toc11398"/>
      <w:bookmarkStart w:id="274" w:name="_Toc3206"/>
      <w:r>
        <w:rPr>
          <w:rFonts w:hint="eastAsia" w:ascii="宋体" w:hAnsi="宋体" w:eastAsia="宋体" w:cs="宋体"/>
          <w:sz w:val="28"/>
          <w:szCs w:val="28"/>
        </w:rPr>
        <w:t>（三）税收缴纳证明</w:t>
      </w:r>
      <w:bookmarkEnd w:id="272"/>
      <w:bookmarkEnd w:id="273"/>
      <w:bookmarkEnd w:id="274"/>
    </w:p>
    <w:p>
      <w:pPr>
        <w:pStyle w:val="101"/>
        <w:spacing w:before="197" w:after="197"/>
        <w:ind w:firstLine="579"/>
        <w:outlineLvl w:val="9"/>
        <w:rPr>
          <w:rFonts w:ascii="宋体" w:hAnsi="宋体" w:eastAsia="宋体" w:cs="宋体"/>
          <w:sz w:val="28"/>
          <w:szCs w:val="28"/>
        </w:rPr>
      </w:pPr>
      <w:bookmarkStart w:id="275" w:name="_Toc11548"/>
      <w:bookmarkStart w:id="276" w:name="_Toc20602"/>
      <w:bookmarkStart w:id="277" w:name="_Toc19603"/>
      <w:r>
        <w:rPr>
          <w:rFonts w:hint="eastAsia" w:ascii="宋体" w:hAnsi="宋体" w:eastAsia="宋体" w:cs="宋体"/>
          <w:sz w:val="28"/>
          <w:szCs w:val="28"/>
        </w:rPr>
        <w:t>（四）财务状况证明</w:t>
      </w:r>
      <w:bookmarkEnd w:id="275"/>
      <w:bookmarkEnd w:id="276"/>
      <w:bookmarkEnd w:id="277"/>
    </w:p>
    <w:p>
      <w:pPr>
        <w:rPr>
          <w:rFonts w:ascii="宋体" w:hAnsi="宋体" w:eastAsia="宋体" w:cs="宋体"/>
          <w:sz w:val="28"/>
          <w:szCs w:val="28"/>
        </w:rPr>
      </w:pPr>
      <w:r>
        <w:rPr>
          <w:rFonts w:hint="eastAsia" w:ascii="宋体" w:hAnsi="宋体" w:eastAsia="宋体" w:cs="宋体"/>
          <w:sz w:val="28"/>
          <w:szCs w:val="28"/>
        </w:rPr>
        <w:br w:type="page"/>
      </w:r>
    </w:p>
    <w:p>
      <w:pPr>
        <w:pStyle w:val="101"/>
        <w:spacing w:before="197" w:after="197"/>
        <w:ind w:firstLine="579"/>
        <w:outlineLvl w:val="9"/>
        <w:rPr>
          <w:rFonts w:ascii="宋体" w:hAnsi="宋体" w:eastAsia="宋体" w:cs="宋体"/>
          <w:sz w:val="28"/>
          <w:szCs w:val="28"/>
        </w:rPr>
      </w:pPr>
      <w:bookmarkStart w:id="278" w:name="_Toc11276"/>
      <w:bookmarkStart w:id="279" w:name="_Toc23305"/>
      <w:bookmarkStart w:id="280" w:name="_Toc10633"/>
      <w:r>
        <w:rPr>
          <w:rFonts w:hint="eastAsia" w:ascii="宋体" w:hAnsi="宋体" w:eastAsia="宋体" w:cs="宋体"/>
          <w:sz w:val="28"/>
          <w:szCs w:val="28"/>
        </w:rPr>
        <w:t>（五）无重大违法记录声明（按下方给定格式进行填写）</w:t>
      </w:r>
      <w:bookmarkEnd w:id="278"/>
      <w:bookmarkEnd w:id="279"/>
      <w:bookmarkEnd w:id="280"/>
    </w:p>
    <w:p>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无重大违法记录声明</w:t>
      </w:r>
    </w:p>
    <w:p>
      <w:pPr>
        <w:snapToGrid w:val="0"/>
        <w:spacing w:line="480" w:lineRule="auto"/>
        <w:ind w:firstLine="576" w:firstLineChars="200"/>
        <w:rPr>
          <w:rFonts w:ascii="宋体" w:hAnsi="宋体" w:cs="宋体"/>
          <w:color w:val="000000" w:themeColor="text1"/>
          <w:sz w:val="28"/>
          <w:szCs w:val="28"/>
          <w14:textFill>
            <w14:solidFill>
              <w14:schemeClr w14:val="tx1"/>
            </w14:solidFill>
          </w14:textFill>
        </w:rPr>
      </w:pPr>
    </w:p>
    <w:p>
      <w:pPr>
        <w:snapToGrid w:val="0"/>
        <w:spacing w:line="480" w:lineRule="auto"/>
        <w:ind w:firstLine="57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我单位参与</w:t>
      </w:r>
      <w:r>
        <w:rPr>
          <w:rFonts w:hint="eastAsia" w:ascii="宋体" w:hAnsi="宋体" w:cs="宋体"/>
          <w:color w:val="000000" w:themeColor="text1"/>
          <w:sz w:val="28"/>
          <w:szCs w:val="28"/>
          <w:u w:val="single"/>
          <w14:textFill>
            <w14:solidFill>
              <w14:schemeClr w14:val="tx1"/>
            </w14:solidFill>
          </w14:textFill>
        </w:rPr>
        <w:t xml:space="preserve">陕西万泽招标有限公司 </w:t>
      </w:r>
      <w:r>
        <w:rPr>
          <w:rFonts w:hint="eastAsia" w:ascii="宋体" w:hAnsi="宋体" w:cs="宋体"/>
          <w:color w:val="000000" w:themeColor="text1"/>
          <w:sz w:val="28"/>
          <w:szCs w:val="28"/>
          <w14:textFill>
            <w14:solidFill>
              <w14:schemeClr w14:val="tx1"/>
            </w14:solidFill>
          </w14:textFill>
        </w:rPr>
        <w:t>组织的</w:t>
      </w:r>
      <w:r>
        <w:rPr>
          <w:rFonts w:hint="eastAsia" w:ascii="宋体" w:hAnsi="宋体" w:cs="宋体"/>
          <w:color w:val="000000" w:themeColor="text1"/>
          <w:sz w:val="28"/>
          <w:szCs w:val="28"/>
          <w:u w:val="single"/>
          <w14:textFill>
            <w14:solidFill>
              <w14:schemeClr w14:val="tx1"/>
            </w14:solidFill>
          </w14:textFill>
        </w:rPr>
        <w:t xml:space="preserve">             （项目名称）              </w:t>
      </w:r>
      <w:r>
        <w:rPr>
          <w:rFonts w:hint="eastAsia" w:ascii="宋体" w:hAnsi="宋体" w:cs="宋体"/>
          <w:color w:val="000000" w:themeColor="text1"/>
          <w:sz w:val="28"/>
          <w:szCs w:val="28"/>
          <w14:textFill>
            <w14:solidFill>
              <w14:schemeClr w14:val="tx1"/>
            </w14:solidFill>
          </w14:textFill>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snapToGrid w:val="0"/>
        <w:spacing w:line="480" w:lineRule="auto"/>
        <w:ind w:firstLine="576"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特此声明。</w:t>
      </w:r>
    </w:p>
    <w:p>
      <w:pPr>
        <w:snapToGrid w:val="0"/>
        <w:spacing w:line="360" w:lineRule="auto"/>
        <w:rPr>
          <w:rFonts w:hAnsi="宋体" w:cs="宋体"/>
          <w:color w:val="000000" w:themeColor="text1"/>
          <w:sz w:val="28"/>
          <w:szCs w:val="28"/>
          <w14:textFill>
            <w14:solidFill>
              <w14:schemeClr w14:val="tx1"/>
            </w14:solidFill>
          </w14:textFill>
        </w:rPr>
      </w:pPr>
    </w:p>
    <w:p>
      <w:pPr>
        <w:snapToGrid w:val="0"/>
        <w:spacing w:line="360" w:lineRule="auto"/>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供应商（单位名称及公章）：</w:t>
      </w:r>
    </w:p>
    <w:p>
      <w:pPr>
        <w:pStyle w:val="20"/>
        <w:spacing w:line="360" w:lineRule="auto"/>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法定代表人或被授权人（签字或盖章）：</w:t>
      </w:r>
    </w:p>
    <w:p>
      <w:pPr>
        <w:spacing w:line="360" w:lineRule="auto"/>
        <w:jc w:val="both"/>
        <w:rPr>
          <w:rFonts w:ascii="宋体" w:hAnsi="宋体" w:eastAsia="宋体" w:cs="宋体"/>
          <w:sz w:val="32"/>
          <w:szCs w:val="32"/>
        </w:rPr>
      </w:pPr>
      <w:r>
        <w:rPr>
          <w:rFonts w:hint="eastAsia" w:ascii="宋体" w:hAnsi="宋体" w:cs="宋体"/>
          <w:color w:val="000000" w:themeColor="text1"/>
          <w:sz w:val="28"/>
          <w:szCs w:val="28"/>
          <w14:textFill>
            <w14:solidFill>
              <w14:schemeClr w14:val="tx1"/>
            </w14:solidFill>
          </w14:textFill>
        </w:rPr>
        <w:t>日    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eastAsia="宋体" w:cs="宋体"/>
          <w:sz w:val="32"/>
          <w:szCs w:val="32"/>
        </w:rPr>
        <w:br w:type="page"/>
      </w:r>
    </w:p>
    <w:p>
      <w:pPr>
        <w:pStyle w:val="101"/>
        <w:spacing w:before="197" w:after="197"/>
        <w:ind w:firstLine="579"/>
        <w:outlineLvl w:val="9"/>
        <w:rPr>
          <w:rFonts w:ascii="宋体" w:hAnsi="宋体" w:eastAsia="宋体" w:cs="宋体"/>
          <w:sz w:val="28"/>
          <w:szCs w:val="28"/>
        </w:rPr>
      </w:pPr>
      <w:bookmarkStart w:id="281" w:name="_Toc19136"/>
      <w:bookmarkStart w:id="282" w:name="_Toc17421"/>
      <w:bookmarkStart w:id="283" w:name="_Toc32222"/>
      <w:r>
        <w:rPr>
          <w:rFonts w:hint="eastAsia" w:ascii="宋体" w:hAnsi="宋体" w:eastAsia="宋体" w:cs="宋体"/>
          <w:sz w:val="28"/>
          <w:szCs w:val="28"/>
        </w:rPr>
        <w:t>（六）法定代表人委托授权书或身份证明（按下方给定格式进行填写）</w:t>
      </w:r>
      <w:bookmarkEnd w:id="281"/>
      <w:bookmarkEnd w:id="282"/>
      <w:bookmarkEnd w:id="283"/>
    </w:p>
    <w:p>
      <w:pPr>
        <w:jc w:val="center"/>
        <w:rPr>
          <w:b/>
          <w:bCs/>
        </w:rPr>
      </w:pPr>
      <w:r>
        <w:rPr>
          <w:rFonts w:hint="eastAsia"/>
          <w:b/>
          <w:bCs/>
        </w:rPr>
        <w:t>法定代表人证明书（格式）</w:t>
      </w:r>
    </w:p>
    <w:tbl>
      <w:tblPr>
        <w:tblStyle w:val="3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283"/>
        <w:gridCol w:w="1899"/>
        <w:gridCol w:w="178"/>
        <w:gridCol w:w="208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20" w:type="dxa"/>
            <w:gridSpan w:val="6"/>
            <w:vAlign w:val="center"/>
          </w:tcPr>
          <w:p>
            <w:r>
              <w:rPr>
                <w:rFonts w:hint="eastAsia"/>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r>
              <w:rPr>
                <w:rFonts w:hint="eastAsia"/>
              </w:rPr>
              <w:t>企</w:t>
            </w:r>
          </w:p>
          <w:p>
            <w:r>
              <w:rPr>
                <w:rFonts w:hint="eastAsia"/>
              </w:rPr>
              <w:t>业</w:t>
            </w:r>
          </w:p>
          <w:p>
            <w:r>
              <w:rPr>
                <w:rFonts w:hint="eastAsia"/>
              </w:rPr>
              <w:t>法</w:t>
            </w:r>
          </w:p>
          <w:p>
            <w:r>
              <w:rPr>
                <w:rFonts w:hint="eastAsia"/>
              </w:rPr>
              <w:t>人</w:t>
            </w:r>
          </w:p>
        </w:tc>
        <w:tc>
          <w:tcPr>
            <w:tcW w:w="2283" w:type="dxa"/>
            <w:vAlign w:val="center"/>
          </w:tcPr>
          <w:p>
            <w:r>
              <w:rPr>
                <w:rFonts w:hint="eastAsia"/>
              </w:rPr>
              <w:t>企业名称</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法定地址</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邮政编码</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tc>
        <w:tc>
          <w:tcPr>
            <w:tcW w:w="2283" w:type="dxa"/>
            <w:vAlign w:val="center"/>
          </w:tcPr>
          <w:p>
            <w:r>
              <w:rPr>
                <w:rFonts w:hint="eastAsia"/>
              </w:rPr>
              <w:t>工商登记机关</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tc>
        <w:tc>
          <w:tcPr>
            <w:tcW w:w="2283" w:type="dxa"/>
            <w:vAlign w:val="center"/>
          </w:tcPr>
          <w:p>
            <w:r>
              <w:rPr>
                <w:rFonts w:hint="eastAsia"/>
              </w:rPr>
              <w:t>统一社会信用代码</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r>
              <w:rPr>
                <w:rFonts w:hint="eastAsia"/>
              </w:rPr>
              <w:t>法</w:t>
            </w:r>
          </w:p>
          <w:p>
            <w:r>
              <w:rPr>
                <w:rFonts w:hint="eastAsia"/>
              </w:rPr>
              <w:t>定</w:t>
            </w:r>
          </w:p>
          <w:p>
            <w:r>
              <w:rPr>
                <w:rFonts w:hint="eastAsia"/>
              </w:rPr>
              <w:t>代</w:t>
            </w:r>
          </w:p>
          <w:p>
            <w:r>
              <w:rPr>
                <w:rFonts w:hint="eastAsia"/>
              </w:rPr>
              <w:t>表</w:t>
            </w:r>
          </w:p>
          <w:p>
            <w:r>
              <w:rPr>
                <w:rFonts w:hint="eastAsia"/>
              </w:rPr>
              <w:t>人</w:t>
            </w:r>
          </w:p>
        </w:tc>
        <w:tc>
          <w:tcPr>
            <w:tcW w:w="2283" w:type="dxa"/>
            <w:vAlign w:val="center"/>
          </w:tcPr>
          <w:p>
            <w:r>
              <w:rPr>
                <w:rFonts w:hint="eastAsia"/>
              </w:rPr>
              <w:t>姓名</w:t>
            </w:r>
          </w:p>
        </w:tc>
        <w:tc>
          <w:tcPr>
            <w:tcW w:w="2077" w:type="dxa"/>
            <w:gridSpan w:val="2"/>
            <w:vAlign w:val="center"/>
          </w:tcPr>
          <w:p/>
        </w:tc>
        <w:tc>
          <w:tcPr>
            <w:tcW w:w="2089" w:type="dxa"/>
            <w:vAlign w:val="center"/>
          </w:tcPr>
          <w:p>
            <w:r>
              <w:rPr>
                <w:rFonts w:hint="eastAsia"/>
              </w:rPr>
              <w:t>性别</w:t>
            </w:r>
          </w:p>
        </w:tc>
        <w:tc>
          <w:tcPr>
            <w:tcW w:w="20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职务</w:t>
            </w:r>
          </w:p>
        </w:tc>
        <w:tc>
          <w:tcPr>
            <w:tcW w:w="2077" w:type="dxa"/>
            <w:gridSpan w:val="2"/>
            <w:vAlign w:val="center"/>
          </w:tcPr>
          <w:p/>
        </w:tc>
        <w:tc>
          <w:tcPr>
            <w:tcW w:w="2089" w:type="dxa"/>
            <w:vAlign w:val="center"/>
          </w:tcPr>
          <w:p>
            <w:r>
              <w:rPr>
                <w:rFonts w:hint="eastAsia"/>
              </w:rPr>
              <w:t>联系电话</w:t>
            </w:r>
          </w:p>
        </w:tc>
        <w:tc>
          <w:tcPr>
            <w:tcW w:w="20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75" w:type="dxa"/>
            <w:vMerge w:val="continue"/>
            <w:vAlign w:val="center"/>
          </w:tcPr>
          <w:p/>
        </w:tc>
        <w:tc>
          <w:tcPr>
            <w:tcW w:w="2283" w:type="dxa"/>
            <w:vAlign w:val="center"/>
          </w:tcPr>
          <w:p>
            <w:r>
              <w:rPr>
                <w:rFonts w:hint="eastAsia"/>
              </w:rPr>
              <w:t>传真</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75" w:type="dxa"/>
            <w:vMerge w:val="restart"/>
            <w:vAlign w:val="center"/>
          </w:tcPr>
          <w:p>
            <w:r>
              <w:rPr>
                <w:rFonts w:hint="eastAsia"/>
              </w:rPr>
              <w:t>法</w:t>
            </w:r>
          </w:p>
          <w:p>
            <w:r>
              <w:rPr>
                <w:rFonts w:hint="eastAsia"/>
              </w:rPr>
              <w:t>定</w:t>
            </w:r>
          </w:p>
          <w:p>
            <w:r>
              <w:rPr>
                <w:rFonts w:hint="eastAsia"/>
              </w:rPr>
              <w:t>代</w:t>
            </w:r>
          </w:p>
          <w:p>
            <w:r>
              <w:rPr>
                <w:rFonts w:hint="eastAsia"/>
              </w:rPr>
              <w:t>表</w:t>
            </w:r>
          </w:p>
          <w:p>
            <w:r>
              <w:rPr>
                <w:rFonts w:hint="eastAsia"/>
              </w:rPr>
              <w:t>人</w:t>
            </w:r>
          </w:p>
          <w:p>
            <w:r>
              <w:rPr>
                <w:rFonts w:hint="eastAsia"/>
              </w:rPr>
              <w:t>身</w:t>
            </w:r>
          </w:p>
          <w:p>
            <w:r>
              <w:rPr>
                <w:rFonts w:hint="eastAsia"/>
              </w:rPr>
              <w:t>份</w:t>
            </w:r>
          </w:p>
          <w:p>
            <w:r>
              <w:rPr>
                <w:rFonts w:hint="eastAsia"/>
              </w:rPr>
              <w:t>证</w:t>
            </w:r>
          </w:p>
          <w:p>
            <w:r>
              <w:rPr>
                <w:rFonts w:hint="eastAsia"/>
              </w:rPr>
              <w:t>复</w:t>
            </w:r>
          </w:p>
          <w:p>
            <w:r>
              <w:rPr>
                <w:rFonts w:hint="eastAsia"/>
              </w:rPr>
              <w:t>印</w:t>
            </w:r>
          </w:p>
          <w:p>
            <w:r>
              <w:rPr>
                <w:rFonts w:hint="eastAsia"/>
              </w:rPr>
              <w:t>件</w:t>
            </w:r>
          </w:p>
        </w:tc>
        <w:tc>
          <w:tcPr>
            <w:tcW w:w="4182" w:type="dxa"/>
            <w:gridSpan w:val="2"/>
            <w:vMerge w:val="restart"/>
            <w:vAlign w:val="center"/>
          </w:tcPr>
          <w:p>
            <w:r>
              <w:rPr>
                <w:rFonts w:hint="eastAsia"/>
              </w:rPr>
              <w:t>（正反面）</w:t>
            </w:r>
          </w:p>
        </w:tc>
        <w:tc>
          <w:tcPr>
            <w:tcW w:w="4363" w:type="dxa"/>
            <w:gridSpan w:val="3"/>
            <w:vAlign w:val="center"/>
          </w:tcPr>
          <w:p>
            <w:r>
              <w:rPr>
                <w:rFonts w:hint="eastAsia"/>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575" w:type="dxa"/>
            <w:vMerge w:val="continue"/>
            <w:vAlign w:val="center"/>
          </w:tcPr>
          <w:p/>
        </w:tc>
        <w:tc>
          <w:tcPr>
            <w:tcW w:w="4182" w:type="dxa"/>
            <w:gridSpan w:val="2"/>
            <w:vMerge w:val="continue"/>
            <w:vAlign w:val="center"/>
          </w:tcPr>
          <w:p/>
        </w:tc>
        <w:tc>
          <w:tcPr>
            <w:tcW w:w="4363" w:type="dxa"/>
            <w:gridSpan w:val="3"/>
            <w:vAlign w:val="bottom"/>
          </w:tcPr>
          <w:p>
            <w:r>
              <w:rPr>
                <w:rFonts w:hint="eastAsia"/>
              </w:rPr>
              <w:t>（公章）</w:t>
            </w:r>
          </w:p>
          <w:p/>
          <w:p/>
          <w:p/>
          <w:p/>
        </w:tc>
      </w:tr>
    </w:tbl>
    <w:p>
      <w:pPr>
        <w:pStyle w:val="12"/>
        <w:rPr>
          <w:color w:val="000000" w:themeColor="text1"/>
          <w14:textFill>
            <w14:solidFill>
              <w14:schemeClr w14:val="tx1"/>
            </w14:solidFill>
          </w14:textFill>
        </w:rPr>
      </w:pPr>
    </w:p>
    <w:p>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pPr>
        <w:pageBreakBefore/>
        <w:tabs>
          <w:tab w:val="left" w:pos="210"/>
        </w:tabs>
        <w:spacing w:line="320" w:lineRule="exact"/>
        <w:ind w:firstLine="496" w:firstLineChars="200"/>
        <w:jc w:val="center"/>
        <w:rPr>
          <w:rFonts w:asciiTheme="minorEastAsia" w:hAnsiTheme="minorEastAsia" w:cstheme="minorEastAsia"/>
          <w:b/>
          <w:bCs/>
        </w:rPr>
      </w:pPr>
      <w:r>
        <w:rPr>
          <w:rFonts w:hint="eastAsia" w:asciiTheme="minorEastAsia" w:hAnsiTheme="minorEastAsia" w:cstheme="minorEastAsia"/>
          <w:b/>
          <w:bCs/>
        </w:rPr>
        <w:t>法定代表人授权委托书（格式）</w:t>
      </w:r>
    </w:p>
    <w:p>
      <w:pPr>
        <w:pStyle w:val="20"/>
        <w:spacing w:line="500" w:lineRule="exact"/>
        <w:rPr>
          <w:rFonts w:asciiTheme="minorEastAsia" w:hAnsiTheme="minorEastAsia" w:cstheme="minorEastAsia"/>
          <w:b/>
          <w:bCs/>
          <w:sz w:val="24"/>
        </w:rPr>
      </w:pPr>
      <w:r>
        <w:rPr>
          <w:rFonts w:hint="eastAsia" w:asciiTheme="minorEastAsia" w:hAnsiTheme="minorEastAsia" w:cstheme="minorEastAsia"/>
          <w:sz w:val="24"/>
        </w:rPr>
        <w:t>陕西万泽招标有限公司：</w:t>
      </w:r>
    </w:p>
    <w:p>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本授权书声明：注册于（</w:t>
      </w:r>
      <w:r>
        <w:rPr>
          <w:rFonts w:hint="eastAsia" w:asciiTheme="minorEastAsia" w:hAnsiTheme="minorEastAsia" w:cstheme="minorEastAsia"/>
          <w:sz w:val="24"/>
          <w:u w:val="single"/>
        </w:rPr>
        <w:t>工商行政管理局名称）之（委托单位全称）</w:t>
      </w:r>
      <w:r>
        <w:rPr>
          <w:rFonts w:hint="eastAsia" w:asciiTheme="minorEastAsia" w:hAnsiTheme="minorEastAsia" w:cstheme="minorEastAsia"/>
          <w:sz w:val="24"/>
        </w:rPr>
        <w:t>的法定代表人</w:t>
      </w:r>
      <w:r>
        <w:rPr>
          <w:rFonts w:hint="eastAsia" w:asciiTheme="minorEastAsia" w:hAnsiTheme="minorEastAsia" w:cstheme="minorEastAsia"/>
          <w:sz w:val="24"/>
          <w:u w:val="single"/>
        </w:rPr>
        <w:t>（姓名、性别）</w:t>
      </w:r>
      <w:r>
        <w:rPr>
          <w:rFonts w:hint="eastAsia" w:asciiTheme="minorEastAsia" w:hAnsiTheme="minorEastAsia" w:cstheme="minorEastAsia"/>
          <w:sz w:val="24"/>
        </w:rPr>
        <w:t>授权</w:t>
      </w:r>
      <w:r>
        <w:rPr>
          <w:rFonts w:hint="eastAsia" w:asciiTheme="minorEastAsia" w:hAnsiTheme="minorEastAsia" w:cstheme="minorEastAsia"/>
          <w:sz w:val="24"/>
          <w:u w:val="single"/>
        </w:rPr>
        <w:t>（被授权人姓名、性别、职务）</w:t>
      </w:r>
      <w:r>
        <w:rPr>
          <w:rFonts w:hint="eastAsia" w:asciiTheme="minorEastAsia" w:hAnsiTheme="minorEastAsia" w:cstheme="minorEastAsia"/>
          <w:sz w:val="24"/>
        </w:rPr>
        <w:t>为本公司合法代理人，就贵方组织的有关</w:t>
      </w:r>
      <w:r>
        <w:rPr>
          <w:rFonts w:hint="eastAsia" w:asciiTheme="minorEastAsia" w:hAnsiTheme="minorEastAsia" w:cstheme="minorEastAsia"/>
          <w:sz w:val="24"/>
          <w:u w:val="single"/>
        </w:rPr>
        <w:t>（项目名称）</w:t>
      </w:r>
      <w:r>
        <w:rPr>
          <w:rFonts w:hint="eastAsia" w:asciiTheme="minorEastAsia" w:hAnsiTheme="minorEastAsia" w:cstheme="minorEastAsia"/>
          <w:sz w:val="24"/>
        </w:rPr>
        <w:t>（文件编号：____________________）的投标、洽谈、执行等具体事务，签署全部有关文件、文书、协议、合同，本公司对被授权人在本项目中的签名承担全部法律责任。</w:t>
      </w:r>
    </w:p>
    <w:p>
      <w:pPr>
        <w:pStyle w:val="20"/>
        <w:spacing w:line="500" w:lineRule="exact"/>
        <w:ind w:firstLine="496" w:firstLineChars="200"/>
        <w:rPr>
          <w:rFonts w:asciiTheme="minorEastAsia" w:hAnsiTheme="minorEastAsia" w:cstheme="minorEastAsia"/>
          <w:sz w:val="10"/>
          <w:szCs w:val="10"/>
        </w:rPr>
      </w:pPr>
      <w:r>
        <w:rPr>
          <w:rFonts w:hint="eastAsia" w:asciiTheme="minorEastAsia" w:hAnsiTheme="minorEastAsia" w:cstheme="minorEastAsia"/>
          <w:sz w:val="24"/>
        </w:rPr>
        <w:t>本授权书自投标文件递交截止之日起计算有效期为_____日历日。</w:t>
      </w:r>
    </w:p>
    <w:p>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单位名称：__________（公章）</w:t>
      </w:r>
    </w:p>
    <w:p>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法定代表人（签字或盖章）：________</w:t>
      </w:r>
    </w:p>
    <w:p>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被授权人(签字)：___________性别：_______职务：____________</w:t>
      </w:r>
    </w:p>
    <w:p>
      <w:pPr>
        <w:pStyle w:val="20"/>
        <w:spacing w:line="500" w:lineRule="exact"/>
        <w:ind w:firstLine="496" w:firstLineChars="200"/>
        <w:rPr>
          <w:rFonts w:asciiTheme="minorEastAsia" w:hAnsiTheme="minorEastAsia" w:cstheme="minorEastAsia"/>
          <w:sz w:val="24"/>
          <w:u w:val="single"/>
        </w:rPr>
      </w:pPr>
      <w:r>
        <w:rPr>
          <w:rFonts w:hint="eastAsia" w:asciiTheme="minorEastAsia" w:hAnsiTheme="minorEastAsia" w:cstheme="minorEastAsia"/>
          <w:sz w:val="24"/>
        </w:rPr>
        <w:t>联系地址：____________________</w:t>
      </w:r>
    </w:p>
    <w:p>
      <w:pPr>
        <w:pStyle w:val="20"/>
        <w:spacing w:line="500" w:lineRule="exact"/>
        <w:ind w:firstLine="496" w:firstLineChars="200"/>
        <w:rPr>
          <w:rFonts w:asciiTheme="minorEastAsia" w:hAnsiTheme="minorEastAsia" w:cstheme="minorEastAsia"/>
          <w:sz w:val="24"/>
          <w:u w:val="single"/>
        </w:rPr>
      </w:pPr>
      <w:r>
        <w:rPr>
          <w:rFonts w:hint="eastAsia" w:asciiTheme="minorEastAsia" w:hAnsiTheme="minorEastAsia" w:cstheme="minorEastAsia"/>
          <w:sz w:val="24"/>
        </w:rPr>
        <w:t>联系电话：____________________传真：____________________</w:t>
      </w:r>
    </w:p>
    <w:p>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法定代表人及被授权人身份证复印件</w:t>
      </w:r>
    </w:p>
    <w:tbl>
      <w:tblPr>
        <w:tblStyle w:val="3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pPr>
              <w:pStyle w:val="20"/>
              <w:spacing w:line="500" w:lineRule="exact"/>
              <w:rPr>
                <w:rFonts w:asciiTheme="minorEastAsia" w:hAnsiTheme="minorEastAsia" w:cstheme="minorEastAsia"/>
                <w:sz w:val="24"/>
                <w:shd w:val="pct10" w:color="auto" w:fill="FFFFFF"/>
              </w:rPr>
            </w:pPr>
            <w:r>
              <w:rPr>
                <w:rFonts w:hint="eastAsia" w:asciiTheme="minorEastAsia" w:hAnsiTheme="minorEastAsia" w:cstheme="minorEastAsia"/>
                <w:sz w:val="24"/>
                <w:shd w:val="pct10" w:color="auto" w:fill="FFFFFF"/>
              </w:rPr>
              <w:t>法定代表人身份证正反面复印件</w:t>
            </w:r>
          </w:p>
          <w:p>
            <w:pPr>
              <w:pStyle w:val="20"/>
              <w:spacing w:line="500" w:lineRule="exact"/>
              <w:rPr>
                <w:rFonts w:asciiTheme="minorEastAsia" w:hAnsiTheme="minorEastAsia" w:cstheme="minorEastAsia"/>
                <w:sz w:val="24"/>
                <w:shd w:val="pct10" w:color="auto" w:fill="FFFFFF"/>
              </w:rPr>
            </w:pPr>
          </w:p>
        </w:tc>
        <w:tc>
          <w:tcPr>
            <w:tcW w:w="4597" w:type="dxa"/>
            <w:shd w:val="clear" w:color="auto" w:fill="D9D9D9"/>
            <w:vAlign w:val="center"/>
          </w:tcPr>
          <w:p>
            <w:pPr>
              <w:pStyle w:val="20"/>
              <w:spacing w:line="500" w:lineRule="exact"/>
              <w:ind w:firstLine="496" w:firstLineChars="200"/>
              <w:rPr>
                <w:rFonts w:asciiTheme="minorEastAsia" w:hAnsiTheme="minorEastAsia" w:cstheme="minorEastAsia"/>
                <w:sz w:val="24"/>
                <w:shd w:val="pct10" w:color="auto" w:fill="FFFFFF"/>
              </w:rPr>
            </w:pPr>
            <w:r>
              <w:rPr>
                <w:rFonts w:hint="eastAsia" w:asciiTheme="minorEastAsia" w:hAnsiTheme="minorEastAsia" w:cstheme="minorEastAsia"/>
                <w:sz w:val="24"/>
                <w:shd w:val="pct10" w:color="auto" w:fill="FFFFFF"/>
              </w:rPr>
              <w:t>被授权人身份证正反面复印件</w:t>
            </w:r>
          </w:p>
          <w:p>
            <w:pPr>
              <w:pStyle w:val="20"/>
              <w:spacing w:line="500" w:lineRule="exact"/>
              <w:ind w:firstLine="496" w:firstLineChars="200"/>
              <w:rPr>
                <w:rFonts w:asciiTheme="minorEastAsia" w:hAnsiTheme="minorEastAsia" w:cstheme="minorEastAsia"/>
                <w:sz w:val="24"/>
                <w:shd w:val="pct10" w:color="auto" w:fill="FFFFFF"/>
              </w:rPr>
            </w:pPr>
          </w:p>
        </w:tc>
      </w:tr>
    </w:tbl>
    <w:p>
      <w:pPr>
        <w:spacing w:line="560" w:lineRule="exact"/>
        <w:ind w:firstLine="3341" w:firstLineChars="1019"/>
        <w:jc w:val="both"/>
        <w:rPr>
          <w:rFonts w:ascii="宋体" w:hAnsi="宋体" w:eastAsia="宋体" w:cs="宋体"/>
          <w:sz w:val="32"/>
          <w:szCs w:val="32"/>
        </w:rPr>
      </w:pPr>
      <w:r>
        <w:rPr>
          <w:rFonts w:hint="eastAsia" w:ascii="宋体" w:hAnsi="宋体" w:eastAsia="宋体" w:cs="宋体"/>
          <w:sz w:val="32"/>
          <w:szCs w:val="32"/>
        </w:rPr>
        <w:br w:type="page"/>
      </w:r>
    </w:p>
    <w:p>
      <w:pPr>
        <w:pStyle w:val="101"/>
        <w:spacing w:before="197" w:after="197"/>
        <w:ind w:firstLine="579"/>
        <w:jc w:val="left"/>
        <w:outlineLvl w:val="9"/>
        <w:rPr>
          <w:rFonts w:ascii="宋体" w:hAnsi="宋体" w:eastAsia="宋体" w:cs="宋体"/>
          <w:sz w:val="28"/>
          <w:szCs w:val="28"/>
        </w:rPr>
      </w:pPr>
      <w:bookmarkStart w:id="284" w:name="_Toc20610"/>
      <w:bookmarkStart w:id="285" w:name="_Toc27420"/>
      <w:bookmarkStart w:id="286" w:name="_Toc4660"/>
      <w:r>
        <w:rPr>
          <w:rFonts w:hint="eastAsia" w:ascii="宋体" w:hAnsi="宋体" w:eastAsia="宋体" w:cs="宋体"/>
          <w:sz w:val="28"/>
          <w:szCs w:val="28"/>
        </w:rPr>
        <w:t>（七）</w:t>
      </w:r>
      <w:bookmarkEnd w:id="284"/>
      <w:r>
        <w:rPr>
          <w:rFonts w:hint="eastAsia" w:ascii="宋体" w:hAnsi="宋体" w:eastAsia="宋体" w:cs="宋体"/>
          <w:sz w:val="28"/>
          <w:szCs w:val="28"/>
        </w:rPr>
        <w:t>具备国家市场监督管理总局（原国家质量监督检验检疫总局）颁发的《中华人民共和国特种设备检验检测机构核准证（综合检验机构甲类）》；</w:t>
      </w:r>
      <w:bookmarkEnd w:id="285"/>
      <w:bookmarkEnd w:id="286"/>
    </w:p>
    <w:p>
      <w:pPr>
        <w:spacing w:line="560" w:lineRule="exact"/>
        <w:ind w:firstLine="576" w:firstLineChars="200"/>
        <w:jc w:val="both"/>
        <w:rPr>
          <w:rFonts w:ascii="宋体" w:hAnsi="宋体" w:eastAsia="宋体" w:cs="宋体"/>
          <w:b/>
          <w:bCs/>
          <w:kern w:val="32"/>
          <w:sz w:val="28"/>
          <w:szCs w:val="28"/>
        </w:rPr>
      </w:pPr>
      <w:r>
        <w:rPr>
          <w:rFonts w:hint="eastAsia" w:ascii="宋体" w:hAnsi="宋体" w:eastAsia="宋体" w:cs="宋体"/>
          <w:b/>
          <w:bCs/>
          <w:kern w:val="32"/>
          <w:sz w:val="28"/>
          <w:szCs w:val="28"/>
        </w:rPr>
        <w:t>（八）取得电梯监督检验、定期检验、型式试验许可之一的检验检测机构；</w:t>
      </w:r>
    </w:p>
    <w:p>
      <w:pPr>
        <w:spacing w:line="560" w:lineRule="exact"/>
        <w:ind w:firstLine="576" w:firstLineChars="200"/>
        <w:jc w:val="both"/>
        <w:rPr>
          <w:rFonts w:ascii="宋体" w:hAnsi="宋体" w:eastAsia="宋体" w:cs="宋体"/>
          <w:b/>
          <w:bCs/>
          <w:kern w:val="32"/>
          <w:sz w:val="28"/>
          <w:szCs w:val="28"/>
        </w:rPr>
      </w:pPr>
      <w:r>
        <w:rPr>
          <w:rFonts w:hint="eastAsia" w:ascii="宋体" w:hAnsi="宋体" w:eastAsia="宋体" w:cs="宋体"/>
          <w:b/>
          <w:bCs/>
          <w:kern w:val="32"/>
          <w:sz w:val="28"/>
          <w:szCs w:val="28"/>
        </w:rPr>
        <w:t>（九）本项目不接受联合体投标（格式自拟）</w:t>
      </w:r>
    </w:p>
    <w:p>
      <w:pPr>
        <w:rPr>
          <w:rFonts w:ascii="宋体" w:hAnsi="宋体" w:eastAsia="宋体" w:cs="宋体"/>
          <w:b/>
          <w:bCs/>
          <w:kern w:val="32"/>
          <w:sz w:val="28"/>
          <w:szCs w:val="28"/>
        </w:rPr>
      </w:pPr>
      <w:r>
        <w:rPr>
          <w:rFonts w:hint="eastAsia" w:ascii="宋体" w:hAnsi="宋体" w:eastAsia="宋体" w:cs="宋体"/>
          <w:b/>
          <w:bCs/>
          <w:kern w:val="32"/>
          <w:sz w:val="28"/>
          <w:szCs w:val="28"/>
        </w:rPr>
        <w:br w:type="page"/>
      </w:r>
    </w:p>
    <w:p>
      <w:pPr>
        <w:pStyle w:val="101"/>
        <w:spacing w:before="197" w:after="197"/>
        <w:ind w:firstLine="659"/>
        <w:jc w:val="center"/>
        <w:rPr>
          <w:rFonts w:eastAsia="宋体"/>
        </w:rPr>
      </w:pPr>
      <w:bookmarkStart w:id="287" w:name="_Toc5825"/>
      <w:bookmarkStart w:id="288" w:name="_Toc32575"/>
      <w:bookmarkStart w:id="289" w:name="_Toc9106"/>
      <w:bookmarkStart w:id="290" w:name="_Toc28294"/>
      <w:bookmarkStart w:id="291" w:name="_Toc30568"/>
      <w:bookmarkStart w:id="292" w:name="_Toc14575"/>
      <w:bookmarkStart w:id="293" w:name="_Toc26570"/>
      <w:bookmarkStart w:id="294" w:name="_Toc29109"/>
      <w:bookmarkStart w:id="295" w:name="_Toc18738"/>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287"/>
    </w:p>
    <w:tbl>
      <w:tblPr>
        <w:tblStyle w:val="9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法定代表人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基本存款账户</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上年度</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管理人员</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专业技术</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ascii="宋体" w:hAnsi="宋体" w:eastAsia="宋体" w:cs="宋体"/>
                <w:kern w:val="2"/>
                <w:sz w:val="28"/>
                <w:szCs w:val="28"/>
              </w:rPr>
            </w:pPr>
          </w:p>
        </w:tc>
        <w:tc>
          <w:tcPr>
            <w:tcW w:w="992" w:type="dxa"/>
            <w:vMerge w:val="continue"/>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残疾人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少数民族</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jc w:val="center"/>
        <w:rPr>
          <w:rFonts w:ascii="宋体" w:hAnsi="宋体" w:eastAsia="宋体" w:cs="宋体"/>
          <w:color w:val="000000" w:themeColor="text1"/>
          <w14:textFill>
            <w14:solidFill>
              <w14:schemeClr w14:val="tx1"/>
            </w14:solidFill>
          </w14:textFill>
        </w:rPr>
      </w:pPr>
      <w:bookmarkStart w:id="296" w:name="_Toc26526"/>
      <w:r>
        <w:rPr>
          <w:rFonts w:hint="eastAsia" w:ascii="宋体" w:hAnsi="宋体" w:eastAsia="宋体" w:cs="宋体"/>
          <w:color w:val="000000" w:themeColor="text1"/>
          <w14:textFill>
            <w14:solidFill>
              <w14:schemeClr w14:val="tx1"/>
            </w14:solidFill>
          </w14:textFill>
        </w:rPr>
        <w:t xml:space="preserve">第五部分  </w:t>
      </w:r>
      <w:bookmarkEnd w:id="288"/>
      <w:bookmarkEnd w:id="289"/>
      <w:bookmarkEnd w:id="290"/>
      <w:bookmarkEnd w:id="291"/>
      <w:r>
        <w:rPr>
          <w:rFonts w:hint="eastAsia" w:ascii="宋体" w:hAnsi="宋体" w:eastAsia="宋体" w:cs="宋体"/>
          <w:color w:val="000000" w:themeColor="text1"/>
          <w14:textFill>
            <w14:solidFill>
              <w14:schemeClr w14:val="tx1"/>
            </w14:solidFill>
          </w14:textFill>
        </w:rPr>
        <w:t>商务和技术响应偏离表</w:t>
      </w:r>
      <w:bookmarkEnd w:id="296"/>
    </w:p>
    <w:p>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8" w:type="dxa"/>
            <w:vAlign w:val="center"/>
          </w:tcPr>
          <w:p>
            <w:pPr>
              <w:pStyle w:val="20"/>
              <w:spacing w:line="480" w:lineRule="auto"/>
              <w:jc w:val="center"/>
              <w:rPr>
                <w:rFonts w:hAnsi="宋体" w:eastAsia="宋体" w:cs="宋体"/>
                <w:sz w:val="24"/>
              </w:rPr>
            </w:pPr>
            <w:r>
              <w:rPr>
                <w:rFonts w:hint="eastAsia" w:hAnsi="宋体" w:eastAsia="宋体" w:cs="宋体"/>
                <w:sz w:val="24"/>
              </w:rPr>
              <w:t>序号</w:t>
            </w:r>
          </w:p>
        </w:tc>
        <w:tc>
          <w:tcPr>
            <w:tcW w:w="1425" w:type="dxa"/>
            <w:vAlign w:val="center"/>
          </w:tcPr>
          <w:p>
            <w:pPr>
              <w:pStyle w:val="20"/>
              <w:spacing w:line="480" w:lineRule="auto"/>
              <w:rPr>
                <w:rFonts w:hAnsi="宋体" w:eastAsia="宋体" w:cs="宋体"/>
                <w:sz w:val="24"/>
              </w:rPr>
            </w:pPr>
            <w:r>
              <w:rPr>
                <w:rFonts w:hint="eastAsia" w:hAnsi="宋体" w:eastAsia="宋体" w:cs="宋体"/>
                <w:sz w:val="24"/>
              </w:rPr>
              <w:t xml:space="preserve"> 商务条款</w:t>
            </w:r>
          </w:p>
        </w:tc>
        <w:tc>
          <w:tcPr>
            <w:tcW w:w="1740" w:type="dxa"/>
            <w:vAlign w:val="center"/>
          </w:tcPr>
          <w:p>
            <w:pPr>
              <w:pStyle w:val="20"/>
              <w:spacing w:line="480" w:lineRule="auto"/>
              <w:rPr>
                <w:rFonts w:hAnsi="宋体" w:eastAsia="宋体" w:cs="宋体"/>
                <w:sz w:val="24"/>
              </w:rPr>
            </w:pPr>
            <w:r>
              <w:rPr>
                <w:rFonts w:hint="eastAsia" w:hAnsi="宋体" w:eastAsia="宋体" w:cs="宋体"/>
                <w:sz w:val="24"/>
              </w:rPr>
              <w:t>商务要求内容</w:t>
            </w:r>
          </w:p>
        </w:tc>
        <w:tc>
          <w:tcPr>
            <w:tcW w:w="2755" w:type="dxa"/>
            <w:vAlign w:val="center"/>
          </w:tcPr>
          <w:p>
            <w:pPr>
              <w:pStyle w:val="20"/>
              <w:spacing w:line="480" w:lineRule="auto"/>
              <w:rPr>
                <w:rFonts w:hAnsi="宋体" w:eastAsia="宋体" w:cs="宋体"/>
                <w:sz w:val="24"/>
              </w:rPr>
            </w:pPr>
            <w:r>
              <w:rPr>
                <w:rFonts w:hint="eastAsia" w:hAnsi="宋体" w:eastAsia="宋体" w:cs="宋体"/>
                <w:sz w:val="24"/>
              </w:rPr>
              <w:t>响应文件响应商务内容</w:t>
            </w:r>
          </w:p>
        </w:tc>
        <w:tc>
          <w:tcPr>
            <w:tcW w:w="1550" w:type="dxa"/>
            <w:vAlign w:val="center"/>
          </w:tcPr>
          <w:p>
            <w:pPr>
              <w:pStyle w:val="20"/>
              <w:spacing w:line="480" w:lineRule="auto"/>
              <w:jc w:val="center"/>
              <w:rPr>
                <w:rFonts w:hAnsi="宋体" w:eastAsia="宋体" w:cs="宋体"/>
                <w:sz w:val="24"/>
              </w:rPr>
            </w:pPr>
            <w:r>
              <w:rPr>
                <w:rFonts w:hint="eastAsia"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vAlign w:val="center"/>
          </w:tcPr>
          <w:p>
            <w:pPr>
              <w:pStyle w:val="20"/>
              <w:spacing w:line="480" w:lineRule="auto"/>
              <w:ind w:firstLine="496" w:firstLineChars="200"/>
              <w:rPr>
                <w:rFonts w:hAnsi="宋体" w:eastAsia="宋体" w:cs="宋体"/>
                <w:sz w:val="24"/>
              </w:rPr>
            </w:pPr>
          </w:p>
        </w:tc>
        <w:tc>
          <w:tcPr>
            <w:tcW w:w="2755" w:type="dxa"/>
            <w:vAlign w:val="center"/>
          </w:tcPr>
          <w:p>
            <w:pPr>
              <w:pStyle w:val="20"/>
              <w:spacing w:line="480" w:lineRule="auto"/>
              <w:ind w:firstLine="496" w:firstLineChars="200"/>
              <w:rPr>
                <w:rFonts w:hAnsi="宋体" w:eastAsia="宋体" w:cs="宋体"/>
                <w:sz w:val="24"/>
              </w:rPr>
            </w:pPr>
          </w:p>
        </w:tc>
        <w:tc>
          <w:tcPr>
            <w:tcW w:w="1550" w:type="dxa"/>
            <w:vAlign w:val="center"/>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8" w:type="dxa"/>
          </w:tcPr>
          <w:p>
            <w:pPr>
              <w:pStyle w:val="20"/>
              <w:spacing w:line="480" w:lineRule="auto"/>
              <w:ind w:firstLine="496" w:firstLineChars="200"/>
              <w:rPr>
                <w:rFonts w:hAnsi="宋体" w:eastAsia="宋体" w:cs="宋体"/>
                <w:sz w:val="24"/>
              </w:rPr>
            </w:pPr>
          </w:p>
        </w:tc>
        <w:tc>
          <w:tcPr>
            <w:tcW w:w="1425" w:type="dxa"/>
          </w:tcPr>
          <w:p>
            <w:pPr>
              <w:pStyle w:val="20"/>
              <w:spacing w:line="480" w:lineRule="auto"/>
              <w:ind w:firstLine="496" w:firstLineChars="200"/>
              <w:rPr>
                <w:rFonts w:hAnsi="宋体" w:eastAsia="宋体" w:cs="宋体"/>
                <w:sz w:val="24"/>
              </w:rPr>
            </w:pPr>
          </w:p>
        </w:tc>
        <w:tc>
          <w:tcPr>
            <w:tcW w:w="1740" w:type="dxa"/>
          </w:tcPr>
          <w:p>
            <w:pPr>
              <w:pStyle w:val="20"/>
              <w:spacing w:line="480" w:lineRule="auto"/>
              <w:ind w:firstLine="496" w:firstLineChars="200"/>
              <w:rPr>
                <w:rFonts w:hAnsi="宋体" w:eastAsia="宋体" w:cs="宋体"/>
                <w:sz w:val="24"/>
              </w:rPr>
            </w:pPr>
          </w:p>
        </w:tc>
        <w:tc>
          <w:tcPr>
            <w:tcW w:w="2755" w:type="dxa"/>
          </w:tcPr>
          <w:p>
            <w:pPr>
              <w:pStyle w:val="20"/>
              <w:spacing w:line="480" w:lineRule="auto"/>
              <w:ind w:firstLine="496" w:firstLineChars="200"/>
              <w:rPr>
                <w:rFonts w:hAnsi="宋体" w:eastAsia="宋体" w:cs="宋体"/>
                <w:sz w:val="24"/>
              </w:rPr>
            </w:pPr>
          </w:p>
        </w:tc>
        <w:tc>
          <w:tcPr>
            <w:tcW w:w="1550" w:type="dxa"/>
          </w:tcPr>
          <w:p>
            <w:pPr>
              <w:pStyle w:val="20"/>
              <w:spacing w:line="480" w:lineRule="auto"/>
              <w:ind w:firstLine="496" w:firstLineChars="200"/>
              <w:rPr>
                <w:rFonts w:hAnsi="宋体" w:eastAsia="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1、本表须按“第三章招标内容及要求”中所列商务条款进行比较和响应；</w:t>
      </w:r>
    </w:p>
    <w:p>
      <w:pPr>
        <w:pStyle w:val="12"/>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14:textFill>
            <w14:solidFill>
              <w14:schemeClr w14:val="tx1"/>
            </w14:solidFill>
          </w14:textFill>
        </w:rPr>
        <w:sectPr>
          <w:pgSz w:w="11906" w:h="16838"/>
          <w:pgMar w:top="1440" w:right="1083" w:bottom="1440" w:left="1083" w:header="850" w:footer="992" w:gutter="0"/>
          <w:cols w:space="0" w:num="1"/>
          <w:titlePg/>
          <w:docGrid w:type="linesAndChars" w:linePitch="395" w:charSpace="1724"/>
        </w:sectPr>
      </w:pPr>
      <w:r>
        <w:rPr>
          <w:rFonts w:hint="eastAsia" w:ascii="宋体" w:hAnsi="宋体" w:cs="宋体"/>
          <w:color w:val="000000" w:themeColor="text1"/>
          <w14:textFill>
            <w14:solidFill>
              <w14:schemeClr w14:val="tx1"/>
            </w14:solidFill>
          </w14:textFill>
        </w:rPr>
        <w:t>日    期：年月日</w:t>
      </w:r>
    </w:p>
    <w:p>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表2、服务响应偏差表</w:t>
      </w:r>
    </w:p>
    <w:tbl>
      <w:tblPr>
        <w:tblStyle w:val="33"/>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05"/>
        <w:gridCol w:w="2385"/>
        <w:gridCol w:w="175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13" w:type="dxa"/>
            <w:vAlign w:val="center"/>
          </w:tcPr>
          <w:p>
            <w:pPr>
              <w:pStyle w:val="20"/>
              <w:spacing w:line="480" w:lineRule="auto"/>
              <w:jc w:val="center"/>
              <w:rPr>
                <w:rFonts w:hAnsi="宋体" w:eastAsia="宋体" w:cs="宋体"/>
                <w:sz w:val="24"/>
              </w:rPr>
            </w:pPr>
            <w:r>
              <w:rPr>
                <w:rFonts w:hint="eastAsia" w:hAnsi="宋体" w:eastAsia="宋体" w:cs="宋体"/>
                <w:sz w:val="24"/>
              </w:rPr>
              <w:t>序号</w:t>
            </w:r>
          </w:p>
        </w:tc>
        <w:tc>
          <w:tcPr>
            <w:tcW w:w="2205" w:type="dxa"/>
            <w:vAlign w:val="center"/>
          </w:tcPr>
          <w:p>
            <w:pPr>
              <w:pStyle w:val="20"/>
              <w:spacing w:line="480" w:lineRule="auto"/>
              <w:rPr>
                <w:rFonts w:hAnsi="宋体" w:eastAsia="宋体" w:cs="宋体"/>
                <w:sz w:val="24"/>
              </w:rPr>
            </w:pPr>
            <w:r>
              <w:rPr>
                <w:rFonts w:hint="eastAsia" w:hAnsi="宋体" w:eastAsia="宋体" w:cs="宋体"/>
                <w:sz w:val="24"/>
              </w:rPr>
              <w:t>招标文件服务要求</w:t>
            </w:r>
          </w:p>
        </w:tc>
        <w:tc>
          <w:tcPr>
            <w:tcW w:w="2385" w:type="dxa"/>
            <w:vAlign w:val="center"/>
          </w:tcPr>
          <w:p>
            <w:pPr>
              <w:pStyle w:val="20"/>
              <w:spacing w:line="480" w:lineRule="auto"/>
              <w:ind w:firstLine="496" w:firstLineChars="200"/>
              <w:rPr>
                <w:rFonts w:hAnsi="宋体" w:eastAsia="宋体" w:cs="宋体"/>
                <w:sz w:val="24"/>
              </w:rPr>
            </w:pPr>
            <w:r>
              <w:rPr>
                <w:rFonts w:hint="eastAsia" w:hAnsi="宋体" w:eastAsia="宋体" w:cs="宋体"/>
                <w:sz w:val="24"/>
              </w:rPr>
              <w:t>投标文件</w:t>
            </w:r>
          </w:p>
          <w:p>
            <w:pPr>
              <w:pStyle w:val="20"/>
              <w:spacing w:line="480" w:lineRule="auto"/>
              <w:ind w:firstLine="496" w:firstLineChars="200"/>
              <w:rPr>
                <w:rFonts w:hAnsi="宋体" w:eastAsia="宋体" w:cs="宋体"/>
                <w:sz w:val="24"/>
              </w:rPr>
            </w:pPr>
            <w:r>
              <w:rPr>
                <w:rFonts w:hint="eastAsia" w:hAnsi="宋体" w:eastAsia="宋体" w:cs="宋体"/>
                <w:sz w:val="24"/>
              </w:rPr>
              <w:t>响应内容</w:t>
            </w:r>
          </w:p>
        </w:tc>
        <w:tc>
          <w:tcPr>
            <w:tcW w:w="1755" w:type="dxa"/>
            <w:vAlign w:val="center"/>
          </w:tcPr>
          <w:p>
            <w:pPr>
              <w:pStyle w:val="20"/>
              <w:spacing w:line="480" w:lineRule="auto"/>
              <w:jc w:val="center"/>
              <w:rPr>
                <w:rFonts w:hAnsi="宋体" w:eastAsia="宋体" w:cs="宋体"/>
                <w:sz w:val="24"/>
              </w:rPr>
            </w:pPr>
            <w:r>
              <w:rPr>
                <w:rFonts w:hint="eastAsia" w:hAnsi="宋体" w:eastAsia="宋体" w:cs="宋体"/>
                <w:sz w:val="24"/>
              </w:rPr>
              <w:t xml:space="preserve"> 偏差说明</w:t>
            </w:r>
          </w:p>
        </w:tc>
        <w:tc>
          <w:tcPr>
            <w:tcW w:w="1485" w:type="dxa"/>
            <w:vAlign w:val="center"/>
          </w:tcPr>
          <w:p>
            <w:pPr>
              <w:pStyle w:val="20"/>
              <w:spacing w:line="480" w:lineRule="auto"/>
              <w:jc w:val="center"/>
              <w:rPr>
                <w:rFonts w:hAnsi="宋体" w:eastAsia="宋体" w:cs="宋体"/>
                <w:sz w:val="24"/>
              </w:rPr>
            </w:pPr>
            <w:r>
              <w:rPr>
                <w:rFonts w:hint="eastAsia"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vAlign w:val="center"/>
          </w:tcPr>
          <w:p>
            <w:pPr>
              <w:pStyle w:val="20"/>
              <w:spacing w:line="480" w:lineRule="auto"/>
              <w:ind w:firstLine="496" w:firstLineChars="200"/>
              <w:rPr>
                <w:rFonts w:hAnsi="宋体" w:eastAsia="宋体" w:cs="宋体"/>
                <w:sz w:val="24"/>
              </w:rPr>
            </w:pPr>
          </w:p>
        </w:tc>
        <w:tc>
          <w:tcPr>
            <w:tcW w:w="2385" w:type="dxa"/>
            <w:vAlign w:val="center"/>
          </w:tcPr>
          <w:p>
            <w:pPr>
              <w:pStyle w:val="20"/>
              <w:spacing w:line="480" w:lineRule="auto"/>
              <w:ind w:firstLine="496" w:firstLineChars="200"/>
              <w:rPr>
                <w:rFonts w:hAnsi="宋体" w:eastAsia="宋体" w:cs="宋体"/>
                <w:sz w:val="24"/>
              </w:rPr>
            </w:pPr>
          </w:p>
        </w:tc>
        <w:tc>
          <w:tcPr>
            <w:tcW w:w="1755" w:type="dxa"/>
            <w:vAlign w:val="center"/>
          </w:tcPr>
          <w:p>
            <w:pPr>
              <w:pStyle w:val="20"/>
              <w:spacing w:line="480" w:lineRule="auto"/>
              <w:ind w:firstLine="496" w:firstLineChars="200"/>
              <w:rPr>
                <w:rFonts w:hAnsi="宋体" w:eastAsia="宋体" w:cs="宋体"/>
                <w:sz w:val="24"/>
              </w:rPr>
            </w:pPr>
          </w:p>
        </w:tc>
        <w:tc>
          <w:tcPr>
            <w:tcW w:w="1485" w:type="dxa"/>
            <w:vAlign w:val="center"/>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3" w:type="dxa"/>
          </w:tcPr>
          <w:p>
            <w:pPr>
              <w:pStyle w:val="20"/>
              <w:spacing w:line="480" w:lineRule="auto"/>
              <w:ind w:firstLine="496" w:firstLineChars="200"/>
              <w:rPr>
                <w:rFonts w:hAnsi="宋体" w:eastAsia="宋体" w:cs="宋体"/>
                <w:sz w:val="24"/>
              </w:rPr>
            </w:pPr>
          </w:p>
        </w:tc>
        <w:tc>
          <w:tcPr>
            <w:tcW w:w="2205" w:type="dxa"/>
          </w:tcPr>
          <w:p>
            <w:pPr>
              <w:pStyle w:val="20"/>
              <w:spacing w:line="480" w:lineRule="auto"/>
              <w:ind w:firstLine="496" w:firstLineChars="200"/>
              <w:rPr>
                <w:rFonts w:hAnsi="宋体" w:eastAsia="宋体" w:cs="宋体"/>
                <w:sz w:val="24"/>
              </w:rPr>
            </w:pPr>
          </w:p>
        </w:tc>
        <w:tc>
          <w:tcPr>
            <w:tcW w:w="2385" w:type="dxa"/>
          </w:tcPr>
          <w:p>
            <w:pPr>
              <w:pStyle w:val="20"/>
              <w:spacing w:line="480" w:lineRule="auto"/>
              <w:ind w:firstLine="496" w:firstLineChars="200"/>
              <w:rPr>
                <w:rFonts w:hAnsi="宋体" w:eastAsia="宋体" w:cs="宋体"/>
                <w:sz w:val="24"/>
              </w:rPr>
            </w:pPr>
          </w:p>
        </w:tc>
        <w:tc>
          <w:tcPr>
            <w:tcW w:w="1755" w:type="dxa"/>
          </w:tcPr>
          <w:p>
            <w:pPr>
              <w:pStyle w:val="20"/>
              <w:spacing w:line="480" w:lineRule="auto"/>
              <w:ind w:firstLine="496" w:firstLineChars="200"/>
              <w:rPr>
                <w:rFonts w:hAnsi="宋体" w:eastAsia="宋体" w:cs="宋体"/>
                <w:sz w:val="24"/>
              </w:rPr>
            </w:pPr>
          </w:p>
        </w:tc>
        <w:tc>
          <w:tcPr>
            <w:tcW w:w="1485" w:type="dxa"/>
          </w:tcPr>
          <w:p>
            <w:pPr>
              <w:pStyle w:val="20"/>
              <w:spacing w:line="480" w:lineRule="auto"/>
              <w:ind w:firstLine="496" w:firstLineChars="200"/>
              <w:rPr>
                <w:rFonts w:hAnsi="宋体" w:eastAsia="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1、本表须按“第三章招标内容及要求”中所列内容、数量、要求以及具体内容和方法要求等进行比较和响应；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日    期：年月日</w:t>
      </w:r>
    </w:p>
    <w:bookmarkEnd w:id="292"/>
    <w:bookmarkEnd w:id="293"/>
    <w:bookmarkEnd w:id="294"/>
    <w:bookmarkEnd w:id="295"/>
    <w:p>
      <w:pPr>
        <w:pStyle w:val="4"/>
        <w:spacing w:beforeLines="100" w:afterLines="150" w:line="500" w:lineRule="exact"/>
        <w:ind w:firstLine="657"/>
        <w:jc w:val="center"/>
        <w:rPr>
          <w:rFonts w:asciiTheme="minorEastAsia" w:hAnsiTheme="minorEastAsia" w:eastAsiaTheme="minorEastAsia" w:cstheme="minorEastAsia"/>
          <w:color w:val="000000" w:themeColor="text1"/>
          <w14:textFill>
            <w14:solidFill>
              <w14:schemeClr w14:val="tx1"/>
            </w14:solidFill>
          </w14:textFill>
        </w:rPr>
      </w:pPr>
      <w:bookmarkStart w:id="297" w:name="_Toc24830"/>
      <w:bookmarkStart w:id="298" w:name="_Toc258"/>
      <w:bookmarkStart w:id="299" w:name="_Toc12270"/>
      <w:r>
        <w:rPr>
          <w:rFonts w:hint="eastAsia" w:asciiTheme="minorEastAsia" w:hAnsiTheme="minorEastAsia" w:eastAsiaTheme="minorEastAsia" w:cstheme="minorEastAsia"/>
          <w:color w:val="000000" w:themeColor="text1"/>
          <w14:textFill>
            <w14:solidFill>
              <w14:schemeClr w14:val="tx1"/>
            </w14:solidFill>
          </w14:textFill>
        </w:rPr>
        <w:t xml:space="preserve">第六部分  </w:t>
      </w:r>
      <w:bookmarkEnd w:id="297"/>
      <w:bookmarkEnd w:id="298"/>
      <w:r>
        <w:rPr>
          <w:rFonts w:hint="eastAsia" w:asciiTheme="minorEastAsia" w:hAnsiTheme="minorEastAsia" w:eastAsiaTheme="minorEastAsia" w:cstheme="minorEastAsia"/>
          <w:color w:val="000000" w:themeColor="text1"/>
          <w14:textFill>
            <w14:solidFill>
              <w14:schemeClr w14:val="tx1"/>
            </w14:solidFill>
          </w14:textFill>
        </w:rPr>
        <w:t>服务方案</w:t>
      </w:r>
      <w:bookmarkEnd w:id="299"/>
    </w:p>
    <w:p>
      <w:pPr>
        <w:spacing w:line="480" w:lineRule="auto"/>
        <w:rPr>
          <w:rFonts w:asciiTheme="minorEastAsia" w:hAnsiTheme="minorEastAsia" w:cstheme="minorEastAsia"/>
          <w:highlight w:val="yellow"/>
        </w:rPr>
      </w:pPr>
      <w:r>
        <w:rPr>
          <w:rFonts w:hint="eastAsia"/>
          <w:b/>
          <w:bCs/>
          <w:color w:val="000000" w:themeColor="text1"/>
          <w14:textFill>
            <w14:solidFill>
              <w14:schemeClr w14:val="tx1"/>
            </w14:solidFill>
          </w14:textFill>
        </w:rPr>
        <w:t>供应商可根据评审办法自行编写，格式不限；</w:t>
      </w:r>
    </w:p>
    <w:p>
      <w:pPr>
        <w:jc w:val="both"/>
        <w:rPr>
          <w:rFonts w:asciiTheme="minorEastAsia" w:hAnsiTheme="minorEastAsia" w:cstheme="minorEastAsia"/>
          <w:highlight w:val="yellow"/>
        </w:rPr>
      </w:pPr>
    </w:p>
    <w:p/>
    <w:p>
      <w:pPr>
        <w:rPr>
          <w:rFonts w:asciiTheme="minorEastAsia" w:hAnsiTheme="minorEastAsia" w:cstheme="minorEastAsia"/>
          <w:b/>
          <w:bCs/>
          <w:color w:val="000000" w:themeColor="text1"/>
          <w:sz w:val="36"/>
          <w:szCs w:val="36"/>
          <w14:textFill>
            <w14:solidFill>
              <w14:schemeClr w14:val="tx1"/>
            </w14:solidFill>
          </w14:textFill>
        </w:rPr>
      </w:pPr>
      <w:r>
        <w:rPr>
          <w:rFonts w:hint="eastAsia" w:asciiTheme="minorEastAsia" w:hAnsiTheme="minorEastAsia" w:cstheme="minorEastAsia"/>
          <w:b/>
          <w:bCs/>
          <w:color w:val="000000" w:themeColor="text1"/>
          <w:sz w:val="36"/>
          <w:szCs w:val="36"/>
          <w14:textFill>
            <w14:solidFill>
              <w14:schemeClr w14:val="tx1"/>
            </w14:solidFill>
          </w14:textFill>
        </w:rPr>
        <w:br w:type="page"/>
      </w:r>
    </w:p>
    <w:p>
      <w:pPr>
        <w:pStyle w:val="4"/>
        <w:numPr>
          <w:ilvl w:val="0"/>
          <w:numId w:val="7"/>
        </w:numPr>
        <w:ind w:firstLine="657"/>
        <w:jc w:val="center"/>
        <w:rPr>
          <w:rFonts w:ascii="宋体" w:hAnsi="宋体" w:eastAsia="宋体" w:cs="宋体"/>
          <w:color w:val="000000" w:themeColor="text1"/>
          <w14:textFill>
            <w14:solidFill>
              <w14:schemeClr w14:val="tx1"/>
            </w14:solidFill>
          </w14:textFill>
        </w:rPr>
      </w:pPr>
      <w:bookmarkStart w:id="300" w:name="_Toc25334"/>
      <w:bookmarkStart w:id="301" w:name="_Toc3034"/>
      <w:bookmarkStart w:id="302" w:name="_Toc24882"/>
      <w:bookmarkStart w:id="303" w:name="_Toc11540"/>
      <w:bookmarkStart w:id="304" w:name="_Toc6020"/>
      <w:bookmarkStart w:id="305" w:name="_Toc11410"/>
      <w:bookmarkStart w:id="306" w:name="_Toc12793"/>
      <w:bookmarkStart w:id="307" w:name="_Toc30983"/>
      <w:bookmarkStart w:id="308" w:name="_Toc8494"/>
      <w:r>
        <w:rPr>
          <w:rFonts w:hint="eastAsia" w:ascii="宋体" w:hAnsi="宋体" w:eastAsia="宋体" w:cs="宋体"/>
          <w:color w:val="000000" w:themeColor="text1"/>
          <w14:textFill>
            <w14:solidFill>
              <w14:schemeClr w14:val="tx1"/>
            </w14:solidFill>
          </w14:textFill>
        </w:rPr>
        <w:t>技术支持资料</w:t>
      </w:r>
      <w:bookmarkEnd w:id="300"/>
    </w:p>
    <w:p>
      <w:pPr>
        <w:spacing w:line="480" w:lineRule="auto"/>
        <w:rPr>
          <w:rFonts w:asciiTheme="minorEastAsia" w:hAnsiTheme="minorEastAsia" w:cstheme="minorEastAsia"/>
          <w:highlight w:val="yellow"/>
        </w:rPr>
      </w:pPr>
      <w:r>
        <w:rPr>
          <w:rFonts w:hint="eastAsia"/>
          <w:b/>
          <w:bCs/>
          <w:color w:val="000000" w:themeColor="text1"/>
          <w14:textFill>
            <w14:solidFill>
              <w14:schemeClr w14:val="tx1"/>
            </w14:solidFill>
          </w14:textFill>
        </w:rPr>
        <w:t>供应商可根据评审办法自行编写，格式不限；</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numPr>
          <w:ilvl w:val="0"/>
          <w:numId w:val="7"/>
        </w:numPr>
        <w:ind w:firstLine="657"/>
        <w:jc w:val="center"/>
        <w:rPr>
          <w:rFonts w:ascii="宋体" w:hAnsi="宋体" w:eastAsia="宋体" w:cs="宋体"/>
          <w:color w:val="000000" w:themeColor="text1"/>
          <w14:textFill>
            <w14:solidFill>
              <w14:schemeClr w14:val="tx1"/>
            </w14:solidFill>
          </w14:textFill>
        </w:rPr>
      </w:pPr>
      <w:bookmarkStart w:id="309" w:name="_Toc12259"/>
      <w:r>
        <w:rPr>
          <w:rFonts w:hint="eastAsia" w:ascii="宋体" w:hAnsi="宋体" w:eastAsia="宋体" w:cs="宋体"/>
          <w:color w:val="000000" w:themeColor="text1"/>
          <w14:textFill>
            <w14:solidFill>
              <w14:schemeClr w14:val="tx1"/>
            </w14:solidFill>
          </w14:textFill>
        </w:rPr>
        <w:t>供应商业绩一览表</w:t>
      </w:r>
      <w:bookmarkEnd w:id="301"/>
      <w:bookmarkEnd w:id="302"/>
      <w:bookmarkEnd w:id="303"/>
      <w:bookmarkEnd w:id="304"/>
      <w:bookmarkEnd w:id="309"/>
    </w:p>
    <w:p>
      <w:pPr>
        <w:rPr>
          <w:rFonts w:asciiTheme="minorEastAsia" w:hAnsiTheme="minorEastAsia" w:cstheme="minorEastAsia"/>
          <w:color w:val="000000" w:themeColor="text1"/>
          <w14:textFill>
            <w14:solidFill>
              <w14:schemeClr w14:val="tx1"/>
            </w14:solidFill>
          </w14:textFill>
        </w:rPr>
      </w:pPr>
    </w:p>
    <w:tbl>
      <w:tblPr>
        <w:tblStyle w:val="33"/>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年份</w:t>
            </w:r>
          </w:p>
        </w:tc>
        <w:tc>
          <w:tcPr>
            <w:tcW w:w="1508"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用户名称</w:t>
            </w:r>
          </w:p>
        </w:tc>
        <w:tc>
          <w:tcPr>
            <w:tcW w:w="1382"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项目名称</w:t>
            </w: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完成时间</w:t>
            </w:r>
          </w:p>
        </w:tc>
        <w:tc>
          <w:tcPr>
            <w:tcW w:w="1485" w:type="dxa"/>
            <w:vAlign w:val="center"/>
          </w:tcPr>
          <w:p>
            <w:pPr>
              <w:spacing w:line="400" w:lineRule="exact"/>
              <w:ind w:firstLine="124" w:firstLineChars="50"/>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合同金额</w:t>
            </w:r>
          </w:p>
        </w:tc>
        <w:tc>
          <w:tcPr>
            <w:tcW w:w="1576" w:type="dxa"/>
            <w:tcBorders>
              <w:right w:val="single" w:color="auto" w:sz="4" w:space="0"/>
            </w:tcBorders>
            <w:vAlign w:val="center"/>
          </w:tcPr>
          <w:p>
            <w:pPr>
              <w:spacing w:line="400" w:lineRule="exact"/>
              <w:ind w:left="241" w:hanging="239" w:hangingChars="97"/>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485"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508" w:type="dxa"/>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382" w:type="dxa"/>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485" w:type="dxa"/>
            <w:tcBorders>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rPr>
                <w:rFonts w:asciiTheme="minorEastAsia" w:hAnsiTheme="minorEastAsia" w:cstheme="minorEastAsia"/>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08"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82"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399" w:type="dxa"/>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color w:val="000000" w:themeColor="text1"/>
                <w14:textFill>
                  <w14:solidFill>
                    <w14:schemeClr w14:val="tx1"/>
                  </w14:solidFill>
                </w14:textFill>
              </w:rPr>
            </w:pPr>
          </w:p>
        </w:tc>
      </w:tr>
    </w:tbl>
    <w:p>
      <w:pPr>
        <w:spacing w:line="36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注：供应商（仅限于供应商自己实施的）以上业绩需提供采购合同复印件加盖公章。</w:t>
      </w:r>
    </w:p>
    <w:p>
      <w:pPr>
        <w:spacing w:line="360" w:lineRule="auto"/>
        <w:rPr>
          <w:rFonts w:asciiTheme="minorEastAsia" w:hAnsiTheme="minorEastAsia" w:cstheme="minorEastAsia"/>
          <w:color w:val="000000" w:themeColor="text1"/>
          <w14:textFill>
            <w14:solidFill>
              <w14:schemeClr w14:val="tx1"/>
            </w14:solidFill>
          </w14:textFill>
        </w:rPr>
      </w:pPr>
    </w:p>
    <w:p>
      <w:pPr>
        <w:adjustRightInd w:val="0"/>
        <w:spacing w:line="600" w:lineRule="auto"/>
        <w:rPr>
          <w:rFonts w:asciiTheme="minorEastAsia" w:hAnsiTheme="minorEastAsia" w:cstheme="minorEastAsia"/>
          <w:bCs/>
          <w:color w:val="000000" w:themeColor="text1"/>
          <w:u w:val="single"/>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供应商名称：</w:t>
      </w:r>
      <w:r>
        <w:rPr>
          <w:rFonts w:hint="eastAsia" w:asciiTheme="minorEastAsia" w:hAnsiTheme="minorEastAsia" w:cstheme="minorEastAsia"/>
          <w:bCs/>
          <w:color w:val="000000" w:themeColor="text1"/>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t xml:space="preserve">期:                   </w:t>
      </w:r>
      <w:bookmarkEnd w:id="305"/>
      <w:bookmarkEnd w:id="306"/>
      <w:bookmarkEnd w:id="307"/>
      <w:bookmarkEnd w:id="308"/>
    </w:p>
    <w:p>
      <w:r>
        <w:br w:type="page"/>
      </w:r>
    </w:p>
    <w:p>
      <w:pPr>
        <w:pStyle w:val="4"/>
        <w:ind w:firstLine="657"/>
        <w:rPr>
          <w:rFonts w:ascii="宋体" w:hAnsi="宋体" w:eastAsia="宋体" w:cs="宋体"/>
          <w:color w:val="000000" w:themeColor="text1"/>
          <w14:textFill>
            <w14:solidFill>
              <w14:schemeClr w14:val="tx1"/>
            </w14:solidFill>
          </w14:textFill>
        </w:rPr>
      </w:pPr>
      <w:bookmarkStart w:id="310" w:name="_Toc23432"/>
      <w:bookmarkStart w:id="311" w:name="_Toc18894"/>
      <w:bookmarkStart w:id="312" w:name="_Toc14659"/>
      <w:bookmarkStart w:id="313" w:name="_Toc22400"/>
      <w:bookmarkStart w:id="314" w:name="_Toc9666"/>
      <w:bookmarkStart w:id="315" w:name="_Toc29034"/>
      <w:r>
        <w:rPr>
          <w:rFonts w:hint="eastAsia" w:ascii="宋体" w:hAnsi="宋体" w:eastAsia="宋体" w:cs="宋体"/>
          <w:color w:val="000000" w:themeColor="text1"/>
          <w14:textFill>
            <w14:solidFill>
              <w14:schemeClr w14:val="tx1"/>
            </w14:solidFill>
          </w14:textFill>
        </w:rPr>
        <w:t>第九部分  供应商认为有必要说明的其他问题</w:t>
      </w:r>
      <w:bookmarkEnd w:id="310"/>
      <w:bookmarkEnd w:id="311"/>
      <w:bookmarkEnd w:id="312"/>
      <w:bookmarkEnd w:id="313"/>
      <w:bookmarkEnd w:id="314"/>
      <w:bookmarkEnd w:id="315"/>
    </w:p>
    <w:p>
      <w:pPr>
        <w:rPr>
          <w:rFonts w:asciiTheme="minorEastAsia" w:hAnsiTheme="minorEastAsia" w:cstheme="minorEastAsia"/>
          <w:color w:val="000000" w:themeColor="text1"/>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r>
        <w:br w:type="page"/>
      </w:r>
    </w:p>
    <w:p>
      <w:pPr>
        <w:pStyle w:val="4"/>
        <w:adjustRightInd w:val="0"/>
        <w:spacing w:line="416" w:lineRule="atLeast"/>
        <w:ind w:firstLine="657"/>
        <w:jc w:val="center"/>
        <w:textAlignment w:val="baseline"/>
        <w:rPr>
          <w:rFonts w:asciiTheme="minorEastAsia" w:hAnsiTheme="minorEastAsia" w:eastAsiaTheme="minorEastAsia" w:cstheme="minorEastAsia"/>
        </w:rPr>
      </w:pPr>
      <w:bookmarkStart w:id="316" w:name="_Toc22501"/>
      <w:bookmarkStart w:id="317" w:name="_Toc9757"/>
      <w:bookmarkStart w:id="318" w:name="_Toc20129"/>
      <w:bookmarkStart w:id="319" w:name="_Toc7273"/>
      <w:bookmarkStart w:id="320" w:name="_Toc9607"/>
      <w:bookmarkStart w:id="321" w:name="_Toc8177"/>
      <w:bookmarkStart w:id="322" w:name="_Toc22866"/>
      <w:r>
        <w:rPr>
          <w:rFonts w:hint="eastAsia" w:asciiTheme="minorEastAsia" w:hAnsiTheme="minorEastAsia" w:eastAsiaTheme="minorEastAsia" w:cstheme="minorEastAsia"/>
        </w:rPr>
        <w:t>附件一、中小企业申明</w:t>
      </w:r>
      <w:bookmarkEnd w:id="316"/>
      <w:bookmarkEnd w:id="317"/>
      <w:bookmarkEnd w:id="318"/>
      <w:bookmarkEnd w:id="319"/>
      <w:bookmarkEnd w:id="320"/>
      <w:bookmarkEnd w:id="321"/>
      <w:bookmarkEnd w:id="322"/>
    </w:p>
    <w:p>
      <w:pPr>
        <w:rPr>
          <w:rFonts w:asciiTheme="minorEastAsia" w:hAnsiTheme="minorEastAsia" w:cstheme="minorEastAsia"/>
        </w:rPr>
      </w:pPr>
    </w:p>
    <w:p>
      <w:pPr>
        <w:spacing w:line="588" w:lineRule="exact"/>
        <w:ind w:firstLine="520" w:firstLineChars="200"/>
        <w:rPr>
          <w:rFonts w:ascii="宋体" w:hAnsi="宋体"/>
          <w:color w:val="000000"/>
          <w:spacing w:val="6"/>
        </w:rPr>
      </w:pPr>
      <w:bookmarkStart w:id="323" w:name="_Toc11130"/>
      <w:bookmarkStart w:id="324" w:name="_Toc30503"/>
      <w:bookmarkStart w:id="325" w:name="_Toc3198"/>
      <w:bookmarkStart w:id="326" w:name="_Toc15467"/>
      <w:bookmarkStart w:id="327" w:name="_Toc11556"/>
      <w:r>
        <w:rPr>
          <w:rFonts w:hint="eastAsia" w:ascii="宋体" w:hAnsi="宋体"/>
          <w:color w:val="000000"/>
          <w:spacing w:val="6"/>
        </w:rPr>
        <w:t>根据《政府采购促进中小企业发展管理办法》（财库[2020]46号）的规定，由供应商自行声明并对真实性负责。如有虚假，将依法承担相应责任。</w:t>
      </w:r>
    </w:p>
    <w:p>
      <w:pPr>
        <w:spacing w:line="360" w:lineRule="auto"/>
        <w:jc w:val="center"/>
        <w:rPr>
          <w:rFonts w:ascii="宋体" w:hAnsi="宋体" w:eastAsia="宋体" w:cs="宋体"/>
          <w:b/>
          <w:color w:val="000000"/>
          <w:spacing w:val="6"/>
        </w:rPr>
      </w:pPr>
      <w:r>
        <w:rPr>
          <w:rFonts w:hint="eastAsia" w:ascii="宋体" w:hAnsi="宋体" w:eastAsia="宋体" w:cs="宋体"/>
          <w:b/>
          <w:color w:val="000000"/>
          <w:spacing w:val="6"/>
        </w:rPr>
        <w:t>中小企业声明函</w:t>
      </w:r>
    </w:p>
    <w:p>
      <w:pPr>
        <w:pStyle w:val="18"/>
        <w:spacing w:before="55" w:line="360" w:lineRule="auto"/>
        <w:ind w:right="415" w:firstLine="640"/>
        <w:rPr>
          <w:rFonts w:ascii="宋体" w:hAnsi="宋体" w:eastAsia="宋体" w:cs="宋体"/>
          <w:spacing w:val="6"/>
          <w:kern w:val="2"/>
          <w:sz w:val="24"/>
        </w:rPr>
      </w:pPr>
      <w:r>
        <w:rPr>
          <w:rFonts w:hint="eastAsia" w:ascii="宋体" w:hAnsi="宋体" w:eastAsia="宋体" w:cs="宋体"/>
          <w:spacing w:val="6"/>
          <w:kern w:val="2"/>
          <w:sz w:val="24"/>
        </w:rPr>
        <w:t>本公司（联合体）郑重声明，根据《政府采购促进中小企业发展管理办法》（财库﹝2020﹞46 号）的规定，本公司（联合体）参加</w:t>
      </w:r>
      <w:r>
        <w:rPr>
          <w:rFonts w:hint="eastAsia" w:ascii="宋体" w:hAnsi="宋体" w:eastAsia="宋体" w:cs="宋体"/>
          <w:spacing w:val="6"/>
          <w:kern w:val="2"/>
          <w:sz w:val="24"/>
          <w:u w:val="single"/>
        </w:rPr>
        <w:t>（单位名称）</w:t>
      </w:r>
      <w:r>
        <w:rPr>
          <w:rFonts w:hint="eastAsia" w:ascii="宋体" w:hAnsi="宋体" w:eastAsia="宋体" w:cs="宋体"/>
          <w:spacing w:val="6"/>
          <w:kern w:val="2"/>
          <w:sz w:val="24"/>
        </w:rPr>
        <w:t>的</w:t>
      </w:r>
      <w:r>
        <w:rPr>
          <w:rFonts w:hint="eastAsia" w:ascii="宋体" w:hAnsi="宋体" w:eastAsia="宋体" w:cs="宋体"/>
          <w:spacing w:val="6"/>
          <w:kern w:val="2"/>
          <w:sz w:val="24"/>
          <w:u w:val="single"/>
        </w:rPr>
        <w:t>（项目名称）</w:t>
      </w:r>
      <w:r>
        <w:rPr>
          <w:rFonts w:hint="eastAsia" w:ascii="宋体" w:hAnsi="宋体" w:eastAsia="宋体" w:cs="宋体"/>
          <w:spacing w:val="6"/>
          <w:kern w:val="2"/>
          <w:sz w:val="24"/>
        </w:rPr>
        <w:t>采购活动，服务全部由符合政策要求的中小企业承接）。相关企业（含联合体中的中小企业、签订分包意向协议的中小企业）的具体情况如下：</w:t>
      </w:r>
    </w:p>
    <w:p>
      <w:pPr>
        <w:pStyle w:val="77"/>
        <w:numPr>
          <w:ilvl w:val="0"/>
          <w:numId w:val="8"/>
        </w:numPr>
        <w:tabs>
          <w:tab w:val="left" w:pos="1183"/>
          <w:tab w:val="left" w:pos="1484"/>
          <w:tab w:val="left" w:pos="4662"/>
          <w:tab w:val="left" w:pos="6903"/>
        </w:tabs>
        <w:spacing w:line="360" w:lineRule="auto"/>
        <w:ind w:right="169" w:firstLine="655"/>
        <w:rPr>
          <w:rFonts w:ascii="宋体" w:hAnsi="宋体" w:eastAsia="宋体" w:cs="宋体"/>
          <w:spacing w:val="6"/>
          <w:kern w:val="2"/>
        </w:rPr>
      </w:pPr>
      <w:r>
        <w:rPr>
          <w:rFonts w:hint="eastAsia" w:ascii="宋体" w:hAnsi="宋体" w:eastAsia="宋体" w:cs="宋体"/>
          <w:spacing w:val="6"/>
          <w:kern w:val="2"/>
          <w:u w:val="single"/>
        </w:rPr>
        <w:t xml:space="preserve">（ 标 的 名 称 ） </w:t>
      </w:r>
      <w:r>
        <w:rPr>
          <w:rFonts w:hint="eastAsia" w:ascii="宋体" w:hAnsi="宋体" w:eastAsia="宋体" w:cs="宋体"/>
          <w:spacing w:val="6"/>
          <w:kern w:val="2"/>
        </w:rPr>
        <w:t xml:space="preserve">， 属 于 </w:t>
      </w:r>
      <w:r>
        <w:rPr>
          <w:rFonts w:hint="eastAsia" w:ascii="宋体" w:hAnsi="宋体" w:eastAsia="宋体" w:cs="宋体"/>
          <w:spacing w:val="6"/>
          <w:kern w:val="2"/>
          <w:u w:val="single"/>
        </w:rPr>
        <w:t xml:space="preserve">（采购文件中明确的所属行业） </w:t>
      </w:r>
      <w:r>
        <w:rPr>
          <w:rFonts w:hint="eastAsia" w:ascii="宋体" w:hAnsi="宋体" w:eastAsia="宋体" w:cs="宋体"/>
          <w:spacing w:val="6"/>
          <w:kern w:val="2"/>
        </w:rPr>
        <w:t>行业；承建（承接）企业为</w:t>
      </w:r>
      <w:r>
        <w:rPr>
          <w:rFonts w:hint="eastAsia" w:ascii="宋体" w:hAnsi="宋体" w:eastAsia="宋体" w:cs="宋体"/>
          <w:spacing w:val="6"/>
          <w:kern w:val="2"/>
          <w:u w:val="single"/>
        </w:rPr>
        <w:t>（企业名称）</w:t>
      </w:r>
      <w:r>
        <w:rPr>
          <w:rFonts w:hint="eastAsia" w:ascii="宋体" w:hAnsi="宋体" w:eastAsia="宋体" w:cs="宋体"/>
          <w:spacing w:val="6"/>
          <w:kern w:val="2"/>
        </w:rPr>
        <w:t>，从业人员</w:t>
      </w:r>
      <w:r>
        <w:rPr>
          <w:rFonts w:hint="eastAsia" w:ascii="宋体" w:hAnsi="宋体" w:eastAsia="宋体" w:cs="宋体"/>
          <w:spacing w:val="6"/>
          <w:kern w:val="2"/>
          <w:u w:val="single"/>
        </w:rPr>
        <w:tab/>
      </w:r>
      <w:r>
        <w:rPr>
          <w:rFonts w:hint="eastAsia" w:ascii="宋体" w:hAnsi="宋体" w:eastAsia="宋体" w:cs="宋体"/>
          <w:spacing w:val="6"/>
          <w:kern w:val="2"/>
        </w:rPr>
        <w:t>人，营业收入为</w:t>
      </w:r>
      <w:r>
        <w:rPr>
          <w:rFonts w:hint="eastAsia" w:ascii="宋体" w:hAnsi="宋体" w:eastAsia="宋体" w:cs="宋体"/>
          <w:spacing w:val="6"/>
          <w:kern w:val="2"/>
          <w:u w:val="single"/>
        </w:rPr>
        <w:tab/>
      </w:r>
      <w:r>
        <w:rPr>
          <w:rFonts w:hint="eastAsia" w:ascii="宋体" w:hAnsi="宋体" w:eastAsia="宋体" w:cs="宋体"/>
          <w:spacing w:val="6"/>
          <w:kern w:val="2"/>
        </w:rPr>
        <w:t>万元，资产总额为</w:t>
      </w:r>
      <w:r>
        <w:rPr>
          <w:rFonts w:hint="eastAsia" w:ascii="宋体" w:hAnsi="宋体" w:eastAsia="宋体" w:cs="宋体"/>
          <w:spacing w:val="6"/>
          <w:kern w:val="2"/>
          <w:u w:val="single"/>
        </w:rPr>
        <w:tab/>
      </w:r>
      <w:r>
        <w:rPr>
          <w:rFonts w:hint="eastAsia" w:ascii="宋体" w:hAnsi="宋体" w:eastAsia="宋体" w:cs="宋体"/>
          <w:spacing w:val="6"/>
          <w:kern w:val="2"/>
        </w:rPr>
        <w:t>万元，属于</w:t>
      </w:r>
      <w:r>
        <w:rPr>
          <w:rFonts w:hint="eastAsia" w:ascii="宋体" w:hAnsi="宋体" w:eastAsia="宋体" w:cs="宋体"/>
          <w:spacing w:val="6"/>
          <w:kern w:val="2"/>
          <w:u w:val="single"/>
        </w:rPr>
        <w:t>（中型企业、小型企业、微型企业）</w:t>
      </w:r>
      <w:r>
        <w:rPr>
          <w:rFonts w:hint="eastAsia" w:ascii="宋体" w:hAnsi="宋体" w:eastAsia="宋体" w:cs="宋体"/>
          <w:spacing w:val="6"/>
          <w:kern w:val="2"/>
        </w:rPr>
        <w:t>；</w:t>
      </w:r>
    </w:p>
    <w:p>
      <w:pPr>
        <w:pStyle w:val="77"/>
        <w:numPr>
          <w:ilvl w:val="0"/>
          <w:numId w:val="8"/>
        </w:numPr>
        <w:tabs>
          <w:tab w:val="left" w:pos="1183"/>
          <w:tab w:val="left" w:pos="1484"/>
          <w:tab w:val="left" w:pos="4662"/>
          <w:tab w:val="left" w:pos="6903"/>
        </w:tabs>
        <w:spacing w:line="360" w:lineRule="auto"/>
        <w:ind w:right="169" w:firstLine="655"/>
        <w:rPr>
          <w:rFonts w:ascii="宋体" w:hAnsi="宋体" w:eastAsia="宋体" w:cs="宋体"/>
          <w:spacing w:val="6"/>
          <w:kern w:val="2"/>
        </w:rPr>
      </w:pPr>
      <w:r>
        <w:rPr>
          <w:rFonts w:hint="eastAsia" w:ascii="宋体" w:hAnsi="宋体" w:eastAsia="宋体" w:cs="宋体"/>
          <w:spacing w:val="6"/>
          <w:kern w:val="2"/>
          <w:u w:val="single"/>
        </w:rPr>
        <w:t xml:space="preserve">（ 标 的 名 称 ） </w:t>
      </w:r>
      <w:r>
        <w:rPr>
          <w:rFonts w:hint="eastAsia" w:ascii="宋体" w:hAnsi="宋体" w:eastAsia="宋体" w:cs="宋体"/>
          <w:spacing w:val="6"/>
          <w:kern w:val="2"/>
        </w:rPr>
        <w:t xml:space="preserve">， 属 于 </w:t>
      </w:r>
      <w:r>
        <w:rPr>
          <w:rFonts w:hint="eastAsia" w:ascii="宋体" w:hAnsi="宋体" w:eastAsia="宋体" w:cs="宋体"/>
          <w:spacing w:val="6"/>
          <w:kern w:val="2"/>
          <w:u w:val="single"/>
        </w:rPr>
        <w:t xml:space="preserve">（采购文件中明确的所属行业） </w:t>
      </w:r>
      <w:r>
        <w:rPr>
          <w:rFonts w:hint="eastAsia" w:ascii="宋体" w:hAnsi="宋体" w:eastAsia="宋体" w:cs="宋体"/>
          <w:spacing w:val="6"/>
          <w:kern w:val="2"/>
        </w:rPr>
        <w:t>行业；承建（承接）企业为</w:t>
      </w:r>
      <w:r>
        <w:rPr>
          <w:rFonts w:hint="eastAsia" w:ascii="宋体" w:hAnsi="宋体" w:eastAsia="宋体" w:cs="宋体"/>
          <w:spacing w:val="6"/>
          <w:kern w:val="2"/>
          <w:u w:val="single"/>
        </w:rPr>
        <w:t>（企业名称）</w:t>
      </w:r>
      <w:r>
        <w:rPr>
          <w:rFonts w:hint="eastAsia" w:ascii="宋体" w:hAnsi="宋体" w:eastAsia="宋体" w:cs="宋体"/>
          <w:spacing w:val="6"/>
          <w:kern w:val="2"/>
        </w:rPr>
        <w:t>，从业人员</w:t>
      </w:r>
      <w:r>
        <w:rPr>
          <w:rFonts w:hint="eastAsia" w:ascii="宋体" w:hAnsi="宋体" w:eastAsia="宋体" w:cs="宋体"/>
          <w:spacing w:val="6"/>
          <w:kern w:val="2"/>
          <w:u w:val="single"/>
        </w:rPr>
        <w:tab/>
      </w:r>
      <w:r>
        <w:rPr>
          <w:rFonts w:hint="eastAsia" w:ascii="宋体" w:hAnsi="宋体" w:eastAsia="宋体" w:cs="宋体"/>
          <w:spacing w:val="6"/>
          <w:kern w:val="2"/>
        </w:rPr>
        <w:t>人，营业收入为</w:t>
      </w:r>
      <w:r>
        <w:rPr>
          <w:rFonts w:hint="eastAsia" w:ascii="宋体" w:hAnsi="宋体" w:eastAsia="宋体" w:cs="宋体"/>
          <w:spacing w:val="6"/>
          <w:kern w:val="2"/>
          <w:u w:val="single"/>
        </w:rPr>
        <w:tab/>
      </w:r>
      <w:r>
        <w:rPr>
          <w:rFonts w:hint="eastAsia" w:ascii="宋体" w:hAnsi="宋体" w:eastAsia="宋体" w:cs="宋体"/>
          <w:spacing w:val="6"/>
          <w:kern w:val="2"/>
        </w:rPr>
        <w:t>万元，资产总额为</w:t>
      </w:r>
      <w:r>
        <w:rPr>
          <w:rFonts w:hint="eastAsia" w:ascii="宋体" w:hAnsi="宋体" w:eastAsia="宋体" w:cs="宋体"/>
          <w:spacing w:val="6"/>
          <w:kern w:val="2"/>
          <w:u w:val="single"/>
        </w:rPr>
        <w:tab/>
      </w:r>
      <w:r>
        <w:rPr>
          <w:rFonts w:hint="eastAsia" w:ascii="宋体" w:hAnsi="宋体" w:eastAsia="宋体" w:cs="宋体"/>
          <w:spacing w:val="6"/>
          <w:kern w:val="2"/>
        </w:rPr>
        <w:t>万元，属于</w:t>
      </w:r>
      <w:r>
        <w:rPr>
          <w:rFonts w:hint="eastAsia" w:ascii="宋体" w:hAnsi="宋体" w:eastAsia="宋体" w:cs="宋体"/>
          <w:spacing w:val="6"/>
          <w:kern w:val="2"/>
          <w:u w:val="single"/>
        </w:rPr>
        <w:t>（中型企业、小型企业、微型企业）</w:t>
      </w:r>
      <w:r>
        <w:rPr>
          <w:rFonts w:hint="eastAsia" w:ascii="宋体" w:hAnsi="宋体" w:eastAsia="宋体" w:cs="宋体"/>
          <w:spacing w:val="6"/>
          <w:kern w:val="2"/>
        </w:rPr>
        <w:t>；</w:t>
      </w:r>
    </w:p>
    <w:p>
      <w:pPr>
        <w:pStyle w:val="18"/>
        <w:spacing w:line="360" w:lineRule="auto"/>
        <w:ind w:left="860"/>
        <w:rPr>
          <w:rFonts w:ascii="宋体" w:hAnsi="宋体" w:eastAsia="宋体" w:cs="宋体"/>
          <w:spacing w:val="6"/>
          <w:kern w:val="2"/>
          <w:sz w:val="24"/>
        </w:rPr>
      </w:pPr>
      <w:r>
        <w:rPr>
          <w:rFonts w:hint="eastAsia" w:ascii="宋体" w:hAnsi="宋体" w:eastAsia="宋体" w:cs="宋体"/>
          <w:spacing w:val="6"/>
          <w:kern w:val="2"/>
          <w:sz w:val="24"/>
        </w:rPr>
        <w:t>……</w:t>
      </w:r>
    </w:p>
    <w:p>
      <w:pPr>
        <w:pStyle w:val="18"/>
        <w:spacing w:before="105" w:line="360" w:lineRule="auto"/>
        <w:ind w:right="417" w:firstLine="645"/>
        <w:jc w:val="both"/>
        <w:rPr>
          <w:rFonts w:ascii="宋体" w:hAnsi="宋体" w:eastAsia="宋体" w:cs="宋体"/>
          <w:spacing w:val="6"/>
          <w:kern w:val="2"/>
          <w:sz w:val="24"/>
        </w:rPr>
      </w:pPr>
      <w:r>
        <w:rPr>
          <w:rFonts w:hint="eastAsia" w:ascii="宋体" w:hAnsi="宋体" w:eastAsia="宋体" w:cs="宋体"/>
          <w:spacing w:val="6"/>
          <w:kern w:val="2"/>
          <w:sz w:val="24"/>
        </w:rPr>
        <w:t>以上企业，不属于大企业的分支机构，不存在控股股东为大企业的情形，也不存在与大企业的负责人为同一人的情形。</w:t>
      </w:r>
    </w:p>
    <w:p>
      <w:pPr>
        <w:pStyle w:val="18"/>
        <w:spacing w:line="360" w:lineRule="auto"/>
        <w:ind w:right="372" w:firstLine="645"/>
        <w:rPr>
          <w:rFonts w:ascii="宋体" w:hAnsi="宋体" w:eastAsia="宋体" w:cs="宋体"/>
          <w:spacing w:val="6"/>
          <w:kern w:val="2"/>
          <w:sz w:val="24"/>
        </w:rPr>
      </w:pPr>
      <w:r>
        <w:rPr>
          <w:rFonts w:hint="eastAsia" w:ascii="宋体" w:hAnsi="宋体" w:eastAsia="宋体" w:cs="宋体"/>
          <w:spacing w:val="6"/>
          <w:kern w:val="2"/>
          <w:sz w:val="24"/>
        </w:rPr>
        <w:t>本企业对上述声明内容的真实性负责。如有虚假，将依法承担相应责任。</w:t>
      </w:r>
    </w:p>
    <w:p>
      <w:pPr>
        <w:pStyle w:val="18"/>
        <w:spacing w:line="360" w:lineRule="auto"/>
        <w:ind w:right="375" w:firstLine="640"/>
        <w:rPr>
          <w:rFonts w:ascii="宋体" w:hAnsi="宋体" w:eastAsia="宋体" w:cs="宋体"/>
          <w:sz w:val="24"/>
        </w:rPr>
      </w:pPr>
    </w:p>
    <w:p>
      <w:pPr>
        <w:spacing w:line="360" w:lineRule="auto"/>
        <w:rPr>
          <w:rFonts w:ascii="宋体" w:hAnsi="宋体" w:eastAsia="宋体" w:cs="宋体"/>
          <w:spacing w:val="6"/>
          <w:kern w:val="2"/>
        </w:rPr>
      </w:pPr>
      <w:r>
        <w:rPr>
          <w:rFonts w:hint="eastAsia" w:ascii="宋体" w:hAnsi="宋体" w:eastAsia="宋体" w:cs="宋体"/>
          <w:spacing w:val="6"/>
          <w:kern w:val="2"/>
        </w:rPr>
        <w:t>企业名称（盖章）：</w:t>
      </w:r>
    </w:p>
    <w:p>
      <w:pPr>
        <w:spacing w:line="360" w:lineRule="auto"/>
        <w:rPr>
          <w:rFonts w:ascii="宋体" w:hAnsi="宋体" w:eastAsia="宋体" w:cs="宋体"/>
          <w:spacing w:val="6"/>
        </w:rPr>
        <w:sectPr>
          <w:headerReference r:id="rId7" w:type="default"/>
          <w:footerReference r:id="rId8" w:type="default"/>
          <w:pgSz w:w="11906" w:h="16838"/>
          <w:pgMar w:top="1440" w:right="1803" w:bottom="1440" w:left="1803" w:header="850" w:footer="992" w:gutter="0"/>
          <w:cols w:space="0" w:num="1"/>
          <w:titlePg/>
          <w:docGrid w:type="linesAndChars" w:linePitch="395" w:charSpace="1724"/>
        </w:sectPr>
      </w:pPr>
      <w:r>
        <w:rPr>
          <w:rFonts w:hint="eastAsia" w:ascii="宋体" w:hAnsi="宋体" w:eastAsia="宋体" w:cs="宋体"/>
          <w:spacing w:val="6"/>
          <w:kern w:val="2"/>
        </w:rPr>
        <w:t>日期：</w:t>
      </w:r>
    </w:p>
    <w:bookmarkEnd w:id="323"/>
    <w:bookmarkEnd w:id="324"/>
    <w:bookmarkEnd w:id="325"/>
    <w:bookmarkEnd w:id="326"/>
    <w:bookmarkEnd w:id="327"/>
    <w:p>
      <w:pPr>
        <w:pStyle w:val="4"/>
        <w:adjustRightInd w:val="0"/>
        <w:spacing w:line="416" w:lineRule="atLeast"/>
        <w:jc w:val="center"/>
        <w:textAlignment w:val="baseline"/>
        <w:rPr>
          <w:rFonts w:asciiTheme="minorEastAsia" w:hAnsiTheme="minorEastAsia" w:eastAsiaTheme="minorEastAsia" w:cstheme="minorEastAsia"/>
        </w:rPr>
      </w:pPr>
      <w:bookmarkStart w:id="328" w:name="_Toc21466"/>
      <w:bookmarkStart w:id="329" w:name="_Toc14587"/>
      <w:bookmarkStart w:id="330" w:name="_Toc21174"/>
      <w:bookmarkStart w:id="331" w:name="_Toc30803"/>
      <w:r>
        <w:rPr>
          <w:rFonts w:hint="eastAsia" w:asciiTheme="minorEastAsia" w:hAnsiTheme="minorEastAsia" w:eastAsiaTheme="minorEastAsia" w:cstheme="minorEastAsia"/>
        </w:rPr>
        <w:t>附件二、残疾人福利性单位声明</w:t>
      </w:r>
      <w:bookmarkEnd w:id="328"/>
      <w:bookmarkEnd w:id="329"/>
      <w:bookmarkEnd w:id="330"/>
      <w:bookmarkEnd w:id="331"/>
    </w:p>
    <w:p>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adjustRightInd w:val="0"/>
        <w:spacing w:line="416" w:lineRule="atLeast"/>
        <w:jc w:val="center"/>
        <w:textAlignment w:val="baseline"/>
        <w:rPr>
          <w:rFonts w:asciiTheme="minorEastAsia" w:hAnsiTheme="minorEastAsia" w:eastAsiaTheme="minorEastAsia" w:cstheme="minorEastAsia"/>
        </w:rPr>
      </w:pPr>
      <w:bookmarkStart w:id="332" w:name="_Toc13817"/>
      <w:bookmarkStart w:id="333" w:name="_Toc26193"/>
      <w:bookmarkStart w:id="334" w:name="_Toc13075"/>
      <w:bookmarkStart w:id="335" w:name="_Toc27385"/>
      <w:bookmarkStart w:id="336" w:name="_Toc3053"/>
      <w:bookmarkStart w:id="337" w:name="_Toc2723"/>
      <w:bookmarkStart w:id="338" w:name="_Toc23635"/>
      <w:r>
        <w:rPr>
          <w:rFonts w:hint="eastAsia" w:asciiTheme="minorEastAsia" w:hAnsiTheme="minorEastAsia" w:eastAsiaTheme="minorEastAsia" w:cstheme="minorEastAsia"/>
        </w:rPr>
        <w:t>附件三、监狱企业证明文件</w:t>
      </w:r>
      <w:bookmarkEnd w:id="332"/>
      <w:bookmarkEnd w:id="333"/>
      <w:bookmarkEnd w:id="334"/>
      <w:bookmarkEnd w:id="335"/>
      <w:bookmarkEnd w:id="336"/>
      <w:bookmarkEnd w:id="337"/>
      <w:bookmarkEnd w:id="338"/>
    </w:p>
    <w:p>
      <w:pPr>
        <w:rPr>
          <w:rFonts w:ascii="宋体" w:hAnsi="宋体" w:cs="宋体"/>
        </w:rPr>
      </w:pPr>
    </w:p>
    <w:p>
      <w:pPr>
        <w:snapToGrid w:val="0"/>
        <w:spacing w:line="48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Theme="minorEastAsia" w:hAnsiTheme="minorEastAsia" w:eastAsiaTheme="minorEastAsia" w:cstheme="minorEastAsia"/>
        </w:rPr>
      </w:pPr>
      <w:bookmarkStart w:id="339" w:name="_Toc2126"/>
      <w:bookmarkStart w:id="340" w:name="_Toc563"/>
      <w:bookmarkStart w:id="341" w:name="_Toc13122"/>
      <w:bookmarkStart w:id="342" w:name="_Toc15754"/>
      <w:bookmarkStart w:id="343" w:name="_Toc22654"/>
      <w:bookmarkStart w:id="344" w:name="_Toc11969"/>
      <w:bookmarkStart w:id="345" w:name="_Toc13303"/>
      <w:bookmarkStart w:id="346" w:name="_Toc23930"/>
      <w:bookmarkStart w:id="347" w:name="_Toc18799"/>
      <w:bookmarkStart w:id="348" w:name="_Toc3267"/>
      <w:bookmarkStart w:id="349" w:name="_Toc29084"/>
      <w:r>
        <w:rPr>
          <w:rFonts w:hint="eastAsia" w:asciiTheme="minorEastAsia" w:hAnsiTheme="minorEastAsia" w:eastAsiaTheme="minorEastAsia" w:cstheme="minorEastAsia"/>
        </w:rPr>
        <w:t>附件四、“节能产品”，“环境标志产品”证明材料</w:t>
      </w:r>
      <w:bookmarkEnd w:id="339"/>
      <w:bookmarkEnd w:id="340"/>
      <w:bookmarkEnd w:id="341"/>
      <w:bookmarkEnd w:id="342"/>
      <w:bookmarkEnd w:id="343"/>
      <w:bookmarkEnd w:id="344"/>
      <w:bookmarkEnd w:id="345"/>
      <w:bookmarkEnd w:id="346"/>
      <w:bookmarkEnd w:id="347"/>
      <w:bookmarkEnd w:id="348"/>
      <w:bookmarkEnd w:id="349"/>
    </w:p>
    <w:p>
      <w:pPr>
        <w:spacing w:line="360" w:lineRule="auto"/>
        <w:ind w:firstLine="504" w:firstLineChars="200"/>
        <w:rPr>
          <w:rFonts w:ascii="宋体" w:hAnsi="宋体" w:cs="宋体"/>
          <w:spacing w:val="6"/>
        </w:rPr>
      </w:pPr>
      <w:r>
        <w:rPr>
          <w:rFonts w:hint="eastAsia" w:ascii="宋体" w:hAnsi="宋体" w:cs="宋体"/>
          <w:spacing w:val="6"/>
        </w:rPr>
        <w:t>1、供应商提供的产品属于下列情形，应按照磋商文件第三部分供应商须知总则第六款规定提供产品列入“节能产品品目清单”，“环境标志产品品目清单”相应产品的国家确定的认证机构出具的、处于有效期内的节能产品、环境标志产品认证证书。</w:t>
      </w:r>
    </w:p>
    <w:p>
      <w:pPr>
        <w:spacing w:line="360" w:lineRule="auto"/>
        <w:ind w:left="480" w:leftChars="200"/>
        <w:rPr>
          <w:rFonts w:ascii="宋体" w:hAnsi="宋体" w:cs="宋体"/>
        </w:rPr>
      </w:pPr>
      <w:r>
        <w:rPr>
          <w:rFonts w:hint="eastAsia" w:ascii="宋体" w:hAnsi="宋体" w:cs="宋体"/>
        </w:rPr>
        <w:t>2、未按照上述要求提供的，评审时不予以考虑。</w:t>
      </w:r>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350" w:name="_Toc364"/>
      <w:bookmarkStart w:id="351" w:name="_Toc11924"/>
      <w:bookmarkStart w:id="352" w:name="_Toc4757"/>
      <w:bookmarkStart w:id="353" w:name="_Toc654"/>
      <w:bookmarkStart w:id="354" w:name="_Toc5338"/>
      <w:bookmarkStart w:id="355" w:name="_Toc3159"/>
      <w:r>
        <w:rPr>
          <w:rFonts w:hint="eastAsia" w:asciiTheme="minorEastAsia" w:hAnsiTheme="minorEastAsia" w:cstheme="minorEastAsia"/>
        </w:rPr>
        <w:br w:type="page"/>
      </w:r>
    </w:p>
    <w:bookmarkEnd w:id="350"/>
    <w:p>
      <w:pPr>
        <w:pStyle w:val="4"/>
        <w:adjustRightInd w:val="0"/>
        <w:spacing w:line="416" w:lineRule="atLeast"/>
        <w:ind w:firstLine="0" w:firstLineChars="0"/>
        <w:textAlignment w:val="baseline"/>
        <w:rPr>
          <w:rFonts w:asciiTheme="minorEastAsia" w:hAnsiTheme="minorEastAsia" w:eastAsiaTheme="minorEastAsia" w:cstheme="minorEastAsia"/>
        </w:rPr>
      </w:pPr>
      <w:bookmarkStart w:id="356" w:name="_Toc14935"/>
      <w:r>
        <w:rPr>
          <w:rFonts w:hint="eastAsia" w:asciiTheme="minorEastAsia" w:hAnsiTheme="minorEastAsia" w:eastAsiaTheme="minorEastAsia" w:cstheme="minorEastAsia"/>
        </w:rPr>
        <w:t>附件五、质疑函样本</w:t>
      </w:r>
      <w:bookmarkEnd w:id="356"/>
    </w:p>
    <w:p>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351"/>
    <w:bookmarkEnd w:id="352"/>
    <w:bookmarkEnd w:id="353"/>
    <w:bookmarkEnd w:id="354"/>
    <w:bookmarkEnd w:id="355"/>
    <w:p>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pPr>
        <w:rPr>
          <w:rFonts w:asciiTheme="minorEastAsia" w:hAnsiTheme="minorEastAsia" w:cstheme="minorEastAsia"/>
          <w:sz w:val="72"/>
          <w:szCs w:val="72"/>
        </w:rPr>
      </w:pPr>
      <w:r>
        <w:rPr>
          <w:rFonts w:hint="eastAsia" w:asciiTheme="minorEastAsia" w:hAnsiTheme="minorEastAsia" w:cstheme="minorEastAsia"/>
          <w:b/>
          <w:bCs/>
          <w:spacing w:val="48"/>
          <w:sz w:val="72"/>
          <w:szCs w:val="72"/>
        </w:rPr>
        <w:t>公平</w:t>
      </w:r>
    </w:p>
    <w:p>
      <w:pPr>
        <w:rPr>
          <w:rFonts w:asciiTheme="minorEastAsia" w:hAnsiTheme="minorEastAsia" w:cstheme="minorEastAsia"/>
          <w:sz w:val="72"/>
          <w:szCs w:val="72"/>
        </w:rPr>
      </w:pPr>
    </w:p>
    <w:p>
      <w:pPr>
        <w:jc w:val="center"/>
        <w:rPr>
          <w:rFonts w:asciiTheme="minorEastAsia" w:hAnsiTheme="minorEastAsia" w:cstheme="minorEastAsia"/>
          <w:b/>
          <w:bCs/>
          <w:spacing w:val="48"/>
          <w:sz w:val="72"/>
          <w:szCs w:val="72"/>
        </w:rPr>
      </w:pPr>
    </w:p>
    <w:p>
      <w:pPr>
        <w:jc w:val="cente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t>公正</w:t>
      </w:r>
    </w:p>
    <w:p>
      <w:pPr>
        <w:rPr>
          <w:rFonts w:asciiTheme="minorEastAsia" w:hAnsiTheme="minorEastAsia" w:cstheme="minorEastAsia"/>
          <w:b/>
          <w:bCs/>
          <w:spacing w:val="48"/>
          <w:sz w:val="72"/>
          <w:szCs w:val="72"/>
        </w:rPr>
      </w:pPr>
    </w:p>
    <w:p>
      <w:pPr>
        <w:rPr>
          <w:rFonts w:asciiTheme="minorEastAsia" w:hAnsiTheme="minorEastAsia" w:cstheme="minorEastAsia"/>
          <w:b/>
          <w:bCs/>
          <w:spacing w:val="48"/>
          <w:sz w:val="72"/>
          <w:szCs w:val="72"/>
        </w:rPr>
      </w:pPr>
    </w:p>
    <w:p>
      <w:pPr>
        <w:jc w:val="right"/>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t>公开</w:t>
      </w:r>
    </w:p>
    <w:p>
      <w:pPr>
        <w:jc w:val="right"/>
        <w:rPr>
          <w:rFonts w:asciiTheme="minorEastAsia" w:hAnsiTheme="minorEastAsia" w:cstheme="minorEastAsia"/>
          <w:b/>
          <w:bCs/>
          <w:spacing w:val="48"/>
          <w:sz w:val="32"/>
          <w:szCs w:val="32"/>
        </w:rPr>
      </w:pPr>
    </w:p>
    <w:p>
      <w:pPr>
        <w:ind w:firstLine="1059" w:firstLineChars="353"/>
        <w:rPr>
          <w:rFonts w:asciiTheme="minorEastAsia" w:hAnsiTheme="minorEastAsia" w:cstheme="minorEastAsia"/>
          <w:b/>
          <w:bCs/>
          <w:sz w:val="30"/>
          <w:szCs w:val="30"/>
        </w:rPr>
      </w:pPr>
    </w:p>
    <w:p>
      <w:pPr>
        <w:ind w:firstLine="1059" w:firstLineChars="353"/>
        <w:rPr>
          <w:rFonts w:asciiTheme="minorEastAsia" w:hAnsiTheme="minorEastAsia" w:cstheme="minorEastAsia"/>
          <w:b/>
          <w:bCs/>
          <w:sz w:val="30"/>
          <w:szCs w:val="30"/>
        </w:rPr>
      </w:pPr>
    </w:p>
    <w:p>
      <w:pPr>
        <w:rPr>
          <w:rFonts w:asciiTheme="minorEastAsia" w:hAnsiTheme="minorEastAsia" w:cstheme="minorEastAsia"/>
          <w:b/>
          <w:bCs/>
          <w:sz w:val="30"/>
          <w:szCs w:val="30"/>
        </w:rPr>
      </w:pPr>
    </w:p>
    <w:p>
      <w:pPr>
        <w:rPr>
          <w:rFonts w:asciiTheme="minorEastAsia" w:hAnsiTheme="minorEastAsia" w:cstheme="minorEastAsia"/>
          <w:b/>
          <w:bCs/>
          <w:sz w:val="30"/>
          <w:szCs w:val="30"/>
        </w:rPr>
      </w:pPr>
    </w:p>
    <w:p>
      <w:pPr>
        <w:rPr>
          <w:rFonts w:asciiTheme="minorEastAsia" w:hAnsiTheme="minorEastAsia" w:cstheme="minorEastAsia"/>
          <w:b/>
          <w:bCs/>
          <w:sz w:val="30"/>
          <w:szCs w:val="30"/>
        </w:rPr>
      </w:pPr>
      <w:r>
        <w:rPr>
          <w:rFonts w:hint="eastAsia" w:asciiTheme="minorEastAsia" w:hAnsiTheme="minorEastAsia" w:cstheme="minorEastAsia"/>
          <w:b/>
          <w:bCs/>
          <w:sz w:val="30"/>
          <w:szCs w:val="30"/>
        </w:rPr>
        <w:t>企业名称：陕西万泽招标有限公司</w:t>
      </w:r>
    </w:p>
    <w:p>
      <w:pPr>
        <w:rPr>
          <w:rFonts w:asciiTheme="minorEastAsia" w:hAnsiTheme="minorEastAsia" w:cstheme="minorEastAsia"/>
          <w:b/>
          <w:bCs/>
          <w:sz w:val="30"/>
          <w:szCs w:val="30"/>
        </w:rPr>
      </w:pPr>
      <w:r>
        <w:rPr>
          <w:rFonts w:hint="eastAsia" w:asciiTheme="minorEastAsia" w:hAnsiTheme="minorEastAsia" w:cstheme="minorEastAsia"/>
          <w:b/>
          <w:bCs/>
          <w:sz w:val="30"/>
          <w:szCs w:val="30"/>
        </w:rPr>
        <w:t>地    址：西安市西关正街英达大厦1507室</w:t>
      </w:r>
    </w:p>
    <w:p>
      <w:pPr>
        <w:rPr>
          <w:rFonts w:asciiTheme="minorEastAsia" w:hAnsiTheme="minorEastAsia" w:cstheme="minorEastAsia"/>
          <w:b/>
          <w:bCs/>
          <w:sz w:val="30"/>
          <w:szCs w:val="30"/>
        </w:rPr>
      </w:pPr>
      <w:r>
        <w:rPr>
          <w:rFonts w:hint="eastAsia" w:asciiTheme="minorEastAsia" w:hAnsiTheme="minorEastAsia" w:cstheme="minorEastAsia"/>
          <w:b/>
          <w:bCs/>
          <w:sz w:val="30"/>
          <w:szCs w:val="30"/>
        </w:rPr>
        <w:t>邮政编码：710082</w:t>
      </w:r>
    </w:p>
    <w:p>
      <w:pPr>
        <w:rPr>
          <w:rFonts w:asciiTheme="minorEastAsia" w:hAnsiTheme="minorEastAsia" w:cstheme="minorEastAsia"/>
          <w:b/>
          <w:bCs/>
          <w:sz w:val="30"/>
          <w:szCs w:val="30"/>
        </w:rPr>
      </w:pPr>
      <w:r>
        <w:rPr>
          <w:rFonts w:hint="eastAsia" w:asciiTheme="minorEastAsia" w:hAnsiTheme="minorEastAsia" w:cstheme="minorEastAsia"/>
          <w:b/>
          <w:bCs/>
          <w:sz w:val="30"/>
          <w:szCs w:val="30"/>
        </w:rPr>
        <w:t>电    话：029-88319689</w:t>
      </w:r>
    </w:p>
    <w:p>
      <w:pPr>
        <w:spacing w:line="560" w:lineRule="exact"/>
        <w:rPr>
          <w:rFonts w:ascii="宋体" w:hAnsi="宋体" w:eastAsia="宋体" w:cs="宋体"/>
          <w:sz w:val="32"/>
          <w:szCs w:val="32"/>
        </w:rPr>
      </w:pPr>
      <w:r>
        <w:rPr>
          <w:rFonts w:hint="eastAsia" w:asciiTheme="minorEastAsia" w:hAnsiTheme="minorEastAsia" w:cstheme="minorEastAsia"/>
          <w:b/>
          <w:bCs/>
          <w:sz w:val="30"/>
          <w:szCs w:val="30"/>
        </w:rPr>
        <w:t>传    真：029-88319689</w:t>
      </w:r>
    </w:p>
    <w:sectPr>
      <w:headerReference r:id="rId9" w:type="default"/>
      <w:footerReference r:id="rId11" w:type="default"/>
      <w:headerReference r:id="rId10"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0"/>
        <w:tab w:val="right" w:pos="8420"/>
        <w:tab w:val="clear" w:pos="4153"/>
      </w:tabs>
      <w:rPr>
        <w:rFonts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118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r>
      <w:rPr>
        <w:rFonts w:hint="eastAsia" w:ascii="宋体"/>
        <w:sz w:val="15"/>
        <w:szCs w:val="15"/>
        <w:u w:val="single"/>
      </w:rPr>
      <w:t>西安市市场监督管理局2023年机电类特种设备安全质量监督抽查项目</w:t>
    </w:r>
    <w:r>
      <w:rPr>
        <w:rFonts w:hint="eastAsia" w:ascii="宋体"/>
        <w:sz w:val="15"/>
        <w:szCs w:val="15"/>
        <w:u w:val="single"/>
        <w:lang w:val="en-US" w:eastAsia="zh-CN"/>
      </w:rPr>
      <w:t xml:space="preserve">                                             </w:t>
    </w:r>
    <w:r>
      <w:rPr>
        <w:rFonts w:hint="eastAsia" w:ascii="宋体"/>
        <w:sz w:val="15"/>
        <w:szCs w:val="15"/>
        <w:u w:val="single"/>
      </w:rPr>
      <w:t>SXWZ2023ZB-SGLJ-030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r>
      <w:rPr>
        <w:rFonts w:hint="eastAsia" w:ascii="宋体"/>
        <w:sz w:val="15"/>
        <w:szCs w:val="15"/>
        <w:u w:val="single"/>
      </w:rPr>
      <w:t>西安市市场监督管理局2023年机电类特种设备安全质量监督抽查项目SXWZ2023ZB-SGLJ-030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ascii="宋体"/>
        <w:sz w:val="15"/>
        <w:szCs w:val="15"/>
        <w:highlight w:val="yellow"/>
        <w:u w:val="single"/>
      </w:rPr>
    </w:pPr>
    <w:r>
      <w:rPr>
        <w:rFonts w:hint="eastAsia" w:ascii="宋体"/>
        <w:sz w:val="15"/>
        <w:szCs w:val="15"/>
        <w:u w:val="single"/>
      </w:rPr>
      <w:t>西安市市场监督管理局2023年机电类特种设备安全质量监督抽查项目SXWZ2023ZB-SGLJ-030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8A718"/>
    <w:multiLevelType w:val="singleLevel"/>
    <w:tmpl w:val="9698A718"/>
    <w:lvl w:ilvl="0" w:tentative="0">
      <w:start w:val="1"/>
      <w:numFmt w:val="chineseCounting"/>
      <w:suff w:val="nothing"/>
      <w:lvlText w:val="（%1）"/>
      <w:lvlJc w:val="left"/>
      <w:pPr>
        <w:ind w:left="0" w:firstLine="420"/>
      </w:pPr>
      <w:rPr>
        <w:rFonts w:hint="eastAsia"/>
      </w:rPr>
    </w:lvl>
  </w:abstractNum>
  <w:abstractNum w:abstractNumId="1">
    <w:nsid w:val="C22B1168"/>
    <w:multiLevelType w:val="singleLevel"/>
    <w:tmpl w:val="C22B1168"/>
    <w:lvl w:ilvl="0" w:tentative="0">
      <w:start w:val="1"/>
      <w:numFmt w:val="chineseCounting"/>
      <w:suff w:val="nothing"/>
      <w:lvlText w:val="（%1）"/>
      <w:lvlJc w:val="left"/>
      <w:pPr>
        <w:ind w:left="76" w:firstLine="420"/>
      </w:pPr>
      <w:rPr>
        <w:rFonts w:hint="eastAsia"/>
      </w:rPr>
    </w:lvl>
  </w:abstractNum>
  <w:abstractNum w:abstractNumId="2">
    <w:nsid w:val="C8560D05"/>
    <w:multiLevelType w:val="singleLevel"/>
    <w:tmpl w:val="C8560D05"/>
    <w:lvl w:ilvl="0" w:tentative="0">
      <w:start w:val="2"/>
      <w:numFmt w:val="chineseCounting"/>
      <w:suff w:val="space"/>
      <w:lvlText w:val="第%1部分"/>
      <w:lvlJc w:val="left"/>
      <w:rPr>
        <w:rFonts w:hint="eastAsia"/>
      </w:rPr>
    </w:lvl>
  </w:abstractNum>
  <w:abstractNum w:abstractNumId="3">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221C489B"/>
    <w:multiLevelType w:val="singleLevel"/>
    <w:tmpl w:val="221C489B"/>
    <w:lvl w:ilvl="0" w:tentative="0">
      <w:start w:val="2"/>
      <w:numFmt w:val="chineseCounting"/>
      <w:suff w:val="nothing"/>
      <w:lvlText w:val="%1、"/>
      <w:lvlJc w:val="left"/>
      <w:rPr>
        <w:rFonts w:hint="eastAsia"/>
      </w:rPr>
    </w:lvl>
  </w:abstractNum>
  <w:abstractNum w:abstractNumId="5">
    <w:nsid w:val="6071DD2E"/>
    <w:multiLevelType w:val="singleLevel"/>
    <w:tmpl w:val="6071DD2E"/>
    <w:lvl w:ilvl="0" w:tentative="0">
      <w:start w:val="1"/>
      <w:numFmt w:val="decimal"/>
      <w:suff w:val="nothing"/>
      <w:lvlText w:val="（%1）"/>
      <w:lvlJc w:val="left"/>
    </w:lvl>
  </w:abstractNum>
  <w:abstractNum w:abstractNumId="6">
    <w:nsid w:val="61B69AB7"/>
    <w:multiLevelType w:val="singleLevel"/>
    <w:tmpl w:val="61B69AB7"/>
    <w:lvl w:ilvl="0" w:tentative="0">
      <w:start w:val="7"/>
      <w:numFmt w:val="chineseCounting"/>
      <w:suff w:val="space"/>
      <w:lvlText w:val="第%1部分"/>
      <w:lvlJc w:val="left"/>
      <w:rPr>
        <w:rFonts w:hint="eastAsia"/>
      </w:rPr>
    </w:lvl>
  </w:abstractNum>
  <w:abstractNum w:abstractNumId="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7"/>
  </w:num>
  <w:num w:numId="2">
    <w:abstractNumId w:val="4"/>
  </w:num>
  <w:num w:numId="3">
    <w:abstractNumId w:val="5"/>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2M0MDczZTQ2YjEyNjgxZDlmOGZkOWRkNDAzZTg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0729"/>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4D8B"/>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4F7A"/>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084E"/>
    <w:rsid w:val="00642CB1"/>
    <w:rsid w:val="006431A9"/>
    <w:rsid w:val="006460E3"/>
    <w:rsid w:val="006466DF"/>
    <w:rsid w:val="00646A42"/>
    <w:rsid w:val="006518D0"/>
    <w:rsid w:val="00652393"/>
    <w:rsid w:val="00656003"/>
    <w:rsid w:val="00657150"/>
    <w:rsid w:val="006571DD"/>
    <w:rsid w:val="0065774D"/>
    <w:rsid w:val="0065792C"/>
    <w:rsid w:val="00660149"/>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5A62"/>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4EC7"/>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74F9A"/>
    <w:rsid w:val="013B2B96"/>
    <w:rsid w:val="01B11FA1"/>
    <w:rsid w:val="01CB2F5B"/>
    <w:rsid w:val="020E2058"/>
    <w:rsid w:val="03912F41"/>
    <w:rsid w:val="03A82039"/>
    <w:rsid w:val="03E5503B"/>
    <w:rsid w:val="044955CA"/>
    <w:rsid w:val="04ED41A7"/>
    <w:rsid w:val="062E4A77"/>
    <w:rsid w:val="06DA4BFF"/>
    <w:rsid w:val="076B40FA"/>
    <w:rsid w:val="07A33243"/>
    <w:rsid w:val="0831084F"/>
    <w:rsid w:val="08365E65"/>
    <w:rsid w:val="0854278F"/>
    <w:rsid w:val="090D12BC"/>
    <w:rsid w:val="097C4C0A"/>
    <w:rsid w:val="09945539"/>
    <w:rsid w:val="09E10052"/>
    <w:rsid w:val="0AB539B9"/>
    <w:rsid w:val="0B1C455D"/>
    <w:rsid w:val="0B5847B0"/>
    <w:rsid w:val="0C0D15D3"/>
    <w:rsid w:val="0C9346F5"/>
    <w:rsid w:val="0CDB522D"/>
    <w:rsid w:val="0D166265"/>
    <w:rsid w:val="0D6A2B09"/>
    <w:rsid w:val="0E2055ED"/>
    <w:rsid w:val="0E576B35"/>
    <w:rsid w:val="0F185481"/>
    <w:rsid w:val="0F601A19"/>
    <w:rsid w:val="10702130"/>
    <w:rsid w:val="10D12BCF"/>
    <w:rsid w:val="11D64215"/>
    <w:rsid w:val="131F7E9C"/>
    <w:rsid w:val="13A97E33"/>
    <w:rsid w:val="13C46A1B"/>
    <w:rsid w:val="148D32B1"/>
    <w:rsid w:val="15264D8E"/>
    <w:rsid w:val="155E4C4D"/>
    <w:rsid w:val="15B900D5"/>
    <w:rsid w:val="15DE18EA"/>
    <w:rsid w:val="15FA4CA7"/>
    <w:rsid w:val="166B13D0"/>
    <w:rsid w:val="1706734A"/>
    <w:rsid w:val="17080368"/>
    <w:rsid w:val="18384FC6"/>
    <w:rsid w:val="18BA4890"/>
    <w:rsid w:val="191F1353"/>
    <w:rsid w:val="192817FA"/>
    <w:rsid w:val="1A18361C"/>
    <w:rsid w:val="1A4268EB"/>
    <w:rsid w:val="1A584361"/>
    <w:rsid w:val="1A872120"/>
    <w:rsid w:val="1AD4799A"/>
    <w:rsid w:val="1AF760BA"/>
    <w:rsid w:val="1B1A7868"/>
    <w:rsid w:val="1B321584"/>
    <w:rsid w:val="1BF63E31"/>
    <w:rsid w:val="1C5172BA"/>
    <w:rsid w:val="1C6963B1"/>
    <w:rsid w:val="1C856F63"/>
    <w:rsid w:val="1C9D7E91"/>
    <w:rsid w:val="1DAA6C81"/>
    <w:rsid w:val="1E7159F1"/>
    <w:rsid w:val="1EA52CC6"/>
    <w:rsid w:val="1EBF675C"/>
    <w:rsid w:val="1ECB3353"/>
    <w:rsid w:val="1EE61F3B"/>
    <w:rsid w:val="1F016D75"/>
    <w:rsid w:val="1F321241"/>
    <w:rsid w:val="1F460C2C"/>
    <w:rsid w:val="1F4E7AE0"/>
    <w:rsid w:val="1F8E612F"/>
    <w:rsid w:val="200F54C2"/>
    <w:rsid w:val="20294D97"/>
    <w:rsid w:val="207E61A3"/>
    <w:rsid w:val="2144119B"/>
    <w:rsid w:val="21997739"/>
    <w:rsid w:val="221768AF"/>
    <w:rsid w:val="222B4109"/>
    <w:rsid w:val="23627FFE"/>
    <w:rsid w:val="23BD5235"/>
    <w:rsid w:val="23F073B8"/>
    <w:rsid w:val="244D65B8"/>
    <w:rsid w:val="25180974"/>
    <w:rsid w:val="25493224"/>
    <w:rsid w:val="256A4F48"/>
    <w:rsid w:val="256E4A38"/>
    <w:rsid w:val="257B7155"/>
    <w:rsid w:val="2580476C"/>
    <w:rsid w:val="25836BE3"/>
    <w:rsid w:val="25A0096A"/>
    <w:rsid w:val="26C441AF"/>
    <w:rsid w:val="26FB22FC"/>
    <w:rsid w:val="274F0899"/>
    <w:rsid w:val="278C389C"/>
    <w:rsid w:val="27B74703"/>
    <w:rsid w:val="27E27A70"/>
    <w:rsid w:val="28612632"/>
    <w:rsid w:val="286A1913"/>
    <w:rsid w:val="28792F45"/>
    <w:rsid w:val="29A053DC"/>
    <w:rsid w:val="2A21651D"/>
    <w:rsid w:val="2ABA24CE"/>
    <w:rsid w:val="2AF94DA4"/>
    <w:rsid w:val="2B4E0D8A"/>
    <w:rsid w:val="2BCA4992"/>
    <w:rsid w:val="2BCF3D57"/>
    <w:rsid w:val="2BCF4DA0"/>
    <w:rsid w:val="2C772424"/>
    <w:rsid w:val="2C7768C8"/>
    <w:rsid w:val="2CB35427"/>
    <w:rsid w:val="2CDA6E57"/>
    <w:rsid w:val="2CE13D42"/>
    <w:rsid w:val="2D393B7E"/>
    <w:rsid w:val="2DED016F"/>
    <w:rsid w:val="2DF45CF7"/>
    <w:rsid w:val="2E141EF5"/>
    <w:rsid w:val="2E425517"/>
    <w:rsid w:val="2E6B4140"/>
    <w:rsid w:val="2E861045"/>
    <w:rsid w:val="2EFA558F"/>
    <w:rsid w:val="2F2D14C0"/>
    <w:rsid w:val="2F34284F"/>
    <w:rsid w:val="30240B15"/>
    <w:rsid w:val="30997731"/>
    <w:rsid w:val="30B74016"/>
    <w:rsid w:val="30D2231F"/>
    <w:rsid w:val="30E6401D"/>
    <w:rsid w:val="31BB1005"/>
    <w:rsid w:val="31FE7144"/>
    <w:rsid w:val="32132BEF"/>
    <w:rsid w:val="334B63B9"/>
    <w:rsid w:val="335F00B6"/>
    <w:rsid w:val="336D632F"/>
    <w:rsid w:val="339715FE"/>
    <w:rsid w:val="33A4663C"/>
    <w:rsid w:val="33C21891"/>
    <w:rsid w:val="33EB36F8"/>
    <w:rsid w:val="34386694"/>
    <w:rsid w:val="344572AC"/>
    <w:rsid w:val="34D83C7C"/>
    <w:rsid w:val="34DD74E5"/>
    <w:rsid w:val="350E3B42"/>
    <w:rsid w:val="35101668"/>
    <w:rsid w:val="351D48F1"/>
    <w:rsid w:val="3522139B"/>
    <w:rsid w:val="35B04BF9"/>
    <w:rsid w:val="35D24411"/>
    <w:rsid w:val="36453593"/>
    <w:rsid w:val="365442FF"/>
    <w:rsid w:val="36FB1EA4"/>
    <w:rsid w:val="371F3DE4"/>
    <w:rsid w:val="37E33064"/>
    <w:rsid w:val="386A72E1"/>
    <w:rsid w:val="38A84DDA"/>
    <w:rsid w:val="38BE2EEF"/>
    <w:rsid w:val="395A7356"/>
    <w:rsid w:val="39B73932"/>
    <w:rsid w:val="3A3F654C"/>
    <w:rsid w:val="3A410516"/>
    <w:rsid w:val="3ACF2D06"/>
    <w:rsid w:val="3AE3337B"/>
    <w:rsid w:val="3AEF1D20"/>
    <w:rsid w:val="3B1F05D3"/>
    <w:rsid w:val="3BBF7944"/>
    <w:rsid w:val="3C3C0F95"/>
    <w:rsid w:val="3E0C2BE9"/>
    <w:rsid w:val="3E5325C6"/>
    <w:rsid w:val="3E6B3DB3"/>
    <w:rsid w:val="3ED32EAF"/>
    <w:rsid w:val="3EE15E23"/>
    <w:rsid w:val="3EE576C2"/>
    <w:rsid w:val="3F8A0269"/>
    <w:rsid w:val="3FB15BEC"/>
    <w:rsid w:val="40721429"/>
    <w:rsid w:val="41410DFB"/>
    <w:rsid w:val="4182569C"/>
    <w:rsid w:val="42611755"/>
    <w:rsid w:val="42C121F4"/>
    <w:rsid w:val="42EF6D61"/>
    <w:rsid w:val="43572B58"/>
    <w:rsid w:val="436C6603"/>
    <w:rsid w:val="43B92B1D"/>
    <w:rsid w:val="43E837B0"/>
    <w:rsid w:val="44421112"/>
    <w:rsid w:val="45D65FB6"/>
    <w:rsid w:val="45F043FE"/>
    <w:rsid w:val="460348D1"/>
    <w:rsid w:val="465C2905"/>
    <w:rsid w:val="46CE4EDF"/>
    <w:rsid w:val="474B4782"/>
    <w:rsid w:val="47947ED7"/>
    <w:rsid w:val="48384D06"/>
    <w:rsid w:val="48A71E8C"/>
    <w:rsid w:val="494D658F"/>
    <w:rsid w:val="49667651"/>
    <w:rsid w:val="49C12AD9"/>
    <w:rsid w:val="49C777B9"/>
    <w:rsid w:val="49FE5ADB"/>
    <w:rsid w:val="4A383E16"/>
    <w:rsid w:val="4A7D10F6"/>
    <w:rsid w:val="4AB10DA0"/>
    <w:rsid w:val="4ACA1E61"/>
    <w:rsid w:val="4AE271AB"/>
    <w:rsid w:val="4B217CD3"/>
    <w:rsid w:val="4B221C9D"/>
    <w:rsid w:val="4B46598C"/>
    <w:rsid w:val="4BCA036B"/>
    <w:rsid w:val="4BCB5E91"/>
    <w:rsid w:val="4BDB2578"/>
    <w:rsid w:val="4F0F62E7"/>
    <w:rsid w:val="4F9273F2"/>
    <w:rsid w:val="502838B2"/>
    <w:rsid w:val="506B19F1"/>
    <w:rsid w:val="50CA4969"/>
    <w:rsid w:val="50E023DF"/>
    <w:rsid w:val="5187285A"/>
    <w:rsid w:val="52067C23"/>
    <w:rsid w:val="521F0CE5"/>
    <w:rsid w:val="52976ACD"/>
    <w:rsid w:val="52FB52AE"/>
    <w:rsid w:val="53223693"/>
    <w:rsid w:val="538928BA"/>
    <w:rsid w:val="53D02297"/>
    <w:rsid w:val="54837309"/>
    <w:rsid w:val="54D65388"/>
    <w:rsid w:val="55006BAB"/>
    <w:rsid w:val="569021B1"/>
    <w:rsid w:val="56D54068"/>
    <w:rsid w:val="5748483A"/>
    <w:rsid w:val="57EF1159"/>
    <w:rsid w:val="59282B75"/>
    <w:rsid w:val="596F4300"/>
    <w:rsid w:val="598549C6"/>
    <w:rsid w:val="59CD7278"/>
    <w:rsid w:val="5A8042EB"/>
    <w:rsid w:val="5AA93841"/>
    <w:rsid w:val="5AC62645"/>
    <w:rsid w:val="5AD7215D"/>
    <w:rsid w:val="5B4672E2"/>
    <w:rsid w:val="5B5C4D58"/>
    <w:rsid w:val="5BAD65B3"/>
    <w:rsid w:val="5BE30FD5"/>
    <w:rsid w:val="5CA2679A"/>
    <w:rsid w:val="5D3C2062"/>
    <w:rsid w:val="5D641CA2"/>
    <w:rsid w:val="5F441D8B"/>
    <w:rsid w:val="5F6917F1"/>
    <w:rsid w:val="604007A4"/>
    <w:rsid w:val="604F4E8B"/>
    <w:rsid w:val="606D5311"/>
    <w:rsid w:val="619F774C"/>
    <w:rsid w:val="61B01959"/>
    <w:rsid w:val="6370314E"/>
    <w:rsid w:val="63780255"/>
    <w:rsid w:val="644B7717"/>
    <w:rsid w:val="6497295D"/>
    <w:rsid w:val="649C61C5"/>
    <w:rsid w:val="64AA2690"/>
    <w:rsid w:val="64DB4F3F"/>
    <w:rsid w:val="6546685C"/>
    <w:rsid w:val="65496236"/>
    <w:rsid w:val="65D67B2F"/>
    <w:rsid w:val="66B772E6"/>
    <w:rsid w:val="68466B73"/>
    <w:rsid w:val="68955405"/>
    <w:rsid w:val="689C6793"/>
    <w:rsid w:val="693115D2"/>
    <w:rsid w:val="6942558D"/>
    <w:rsid w:val="69CC12FA"/>
    <w:rsid w:val="6A576E16"/>
    <w:rsid w:val="6A7654C6"/>
    <w:rsid w:val="6AA70556"/>
    <w:rsid w:val="6AE0505D"/>
    <w:rsid w:val="6AE54422"/>
    <w:rsid w:val="6B3C75C9"/>
    <w:rsid w:val="6B453112"/>
    <w:rsid w:val="6BDB5825"/>
    <w:rsid w:val="6BE4292B"/>
    <w:rsid w:val="6C07661A"/>
    <w:rsid w:val="6C4E46B2"/>
    <w:rsid w:val="6C6B7C6F"/>
    <w:rsid w:val="6C6D0B73"/>
    <w:rsid w:val="6C735A5D"/>
    <w:rsid w:val="6D350F65"/>
    <w:rsid w:val="6DC01176"/>
    <w:rsid w:val="6E5518BE"/>
    <w:rsid w:val="6F4162E7"/>
    <w:rsid w:val="6F4436E1"/>
    <w:rsid w:val="6F4B0F13"/>
    <w:rsid w:val="6F75656A"/>
    <w:rsid w:val="6FCD1928"/>
    <w:rsid w:val="70383246"/>
    <w:rsid w:val="703A6FBE"/>
    <w:rsid w:val="70CE5958"/>
    <w:rsid w:val="70DC0075"/>
    <w:rsid w:val="70E909E4"/>
    <w:rsid w:val="71341C5F"/>
    <w:rsid w:val="71BF425E"/>
    <w:rsid w:val="72345C8F"/>
    <w:rsid w:val="725D4F25"/>
    <w:rsid w:val="729F75AC"/>
    <w:rsid w:val="734168B5"/>
    <w:rsid w:val="73796D39"/>
    <w:rsid w:val="737E5413"/>
    <w:rsid w:val="73EB6821"/>
    <w:rsid w:val="74994CCD"/>
    <w:rsid w:val="74B530B7"/>
    <w:rsid w:val="75BE41ED"/>
    <w:rsid w:val="766528BB"/>
    <w:rsid w:val="767B0330"/>
    <w:rsid w:val="76C43A85"/>
    <w:rsid w:val="76C82DA7"/>
    <w:rsid w:val="76CF58C2"/>
    <w:rsid w:val="77613082"/>
    <w:rsid w:val="77A92C7B"/>
    <w:rsid w:val="7803238B"/>
    <w:rsid w:val="78DD0E2E"/>
    <w:rsid w:val="794B18B1"/>
    <w:rsid w:val="79960FDD"/>
    <w:rsid w:val="79CD2C51"/>
    <w:rsid w:val="79D42231"/>
    <w:rsid w:val="7A293BFF"/>
    <w:rsid w:val="7A2A01BC"/>
    <w:rsid w:val="7A456C8B"/>
    <w:rsid w:val="7BB67714"/>
    <w:rsid w:val="7C042B76"/>
    <w:rsid w:val="7C2A325D"/>
    <w:rsid w:val="7C6C2355"/>
    <w:rsid w:val="7CAE58D3"/>
    <w:rsid w:val="7D052701"/>
    <w:rsid w:val="7DC4436B"/>
    <w:rsid w:val="7DEE53A4"/>
    <w:rsid w:val="7E046E5D"/>
    <w:rsid w:val="7F9D7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5"/>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6"/>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7"/>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8"/>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9"/>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0"/>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1"/>
    <w:semiHidden/>
    <w:unhideWhenUsed/>
    <w:qFormat/>
    <w:uiPriority w:val="9"/>
    <w:pPr>
      <w:numPr>
        <w:ilvl w:val="6"/>
        <w:numId w:val="1"/>
      </w:numPr>
      <w:spacing w:before="240" w:after="60"/>
      <w:outlineLvl w:val="6"/>
    </w:pPr>
  </w:style>
  <w:style w:type="paragraph" w:styleId="10">
    <w:name w:val="heading 8"/>
    <w:basedOn w:val="1"/>
    <w:next w:val="1"/>
    <w:link w:val="72"/>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12">
    <w:name w:val="Normal Indent"/>
    <w:basedOn w:val="1"/>
    <w:next w:val="13"/>
    <w:qFormat/>
    <w:uiPriority w:val="99"/>
    <w:pPr>
      <w:ind w:firstLine="420"/>
    </w:pPr>
  </w:style>
  <w:style w:type="paragraph" w:styleId="13">
    <w:name w:val="Body Text First Indent 2"/>
    <w:basedOn w:val="14"/>
    <w:next w:val="12"/>
    <w:qFormat/>
    <w:uiPriority w:val="0"/>
    <w:pPr>
      <w:ind w:firstLine="420"/>
    </w:pPr>
  </w:style>
  <w:style w:type="paragraph" w:styleId="14">
    <w:name w:val="Body Text Indent"/>
    <w:basedOn w:val="1"/>
    <w:next w:val="1"/>
    <w:qFormat/>
    <w:uiPriority w:val="99"/>
    <w:pPr>
      <w:spacing w:after="120"/>
      <w:ind w:left="420" w:leftChars="200"/>
    </w:pPr>
    <w:rPr>
      <w:sz w:val="20"/>
    </w:rPr>
  </w:style>
  <w:style w:type="paragraph" w:styleId="15">
    <w:name w:val="caption"/>
    <w:basedOn w:val="1"/>
    <w:next w:val="1"/>
    <w:semiHidden/>
    <w:unhideWhenUsed/>
    <w:qFormat/>
    <w:uiPriority w:val="35"/>
    <w:rPr>
      <w:rFonts w:eastAsia="黑体" w:asciiTheme="majorHAnsi" w:hAnsiTheme="majorHAnsi" w:cstheme="majorBidi"/>
      <w:sz w:val="20"/>
      <w:szCs w:val="20"/>
    </w:rPr>
  </w:style>
  <w:style w:type="paragraph" w:styleId="16">
    <w:name w:val="Document Map"/>
    <w:basedOn w:val="1"/>
    <w:link w:val="97"/>
    <w:semiHidden/>
    <w:unhideWhenUsed/>
    <w:qFormat/>
    <w:uiPriority w:val="99"/>
    <w:pPr>
      <w:spacing w:line="400" w:lineRule="exact"/>
      <w:jc w:val="both"/>
    </w:pPr>
    <w:rPr>
      <w:rFonts w:ascii="宋体" w:hAnsi="Calibri Light" w:eastAsia="宋体" w:cs="Calibri Light"/>
      <w:kern w:val="2"/>
      <w:sz w:val="18"/>
      <w:szCs w:val="18"/>
    </w:rPr>
  </w:style>
  <w:style w:type="paragraph" w:styleId="17">
    <w:name w:val="annotation text"/>
    <w:basedOn w:val="1"/>
    <w:link w:val="89"/>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w:basedOn w:val="1"/>
    <w:next w:val="1"/>
    <w:qFormat/>
    <w:uiPriority w:val="99"/>
    <w:rPr>
      <w:sz w:val="20"/>
    </w:rPr>
  </w:style>
  <w:style w:type="paragraph" w:styleId="19">
    <w:name w:val="toc 3"/>
    <w:basedOn w:val="1"/>
    <w:next w:val="1"/>
    <w:semiHidden/>
    <w:unhideWhenUsed/>
    <w:qFormat/>
    <w:uiPriority w:val="39"/>
    <w:pPr>
      <w:ind w:left="840" w:leftChars="400"/>
    </w:pPr>
  </w:style>
  <w:style w:type="paragraph" w:styleId="20">
    <w:name w:val="Plain Text"/>
    <w:basedOn w:val="1"/>
    <w:qFormat/>
    <w:uiPriority w:val="99"/>
    <w:pPr>
      <w:spacing w:line="324" w:lineRule="auto"/>
    </w:pPr>
    <w:rPr>
      <w:rFonts w:ascii="宋体" w:hAnsi="Courier New"/>
      <w:sz w:val="20"/>
    </w:rPr>
  </w:style>
  <w:style w:type="paragraph" w:styleId="21">
    <w:name w:val="Date"/>
    <w:basedOn w:val="1"/>
    <w:next w:val="1"/>
    <w:link w:val="62"/>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88"/>
    <w:semiHidden/>
    <w:unhideWhenUsed/>
    <w:qFormat/>
    <w:uiPriority w:val="99"/>
    <w:rPr>
      <w:sz w:val="18"/>
      <w:szCs w:val="18"/>
    </w:rPr>
  </w:style>
  <w:style w:type="paragraph" w:styleId="24">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unhideWhenUsed/>
    <w:qFormat/>
    <w:uiPriority w:val="39"/>
    <w:pPr>
      <w:spacing w:beforeLines="100" w:afterLines="100"/>
    </w:pPr>
    <w:rPr>
      <w:rFonts w:ascii="Calibri" w:hAnsi="Calibri" w:eastAsia="宋体"/>
      <w:kern w:val="32"/>
      <w:sz w:val="32"/>
    </w:rPr>
  </w:style>
  <w:style w:type="paragraph" w:styleId="27">
    <w:name w:val="Subtitle"/>
    <w:basedOn w:val="1"/>
    <w:next w:val="1"/>
    <w:link w:val="75"/>
    <w:qFormat/>
    <w:uiPriority w:val="11"/>
    <w:pPr>
      <w:keepNext/>
      <w:spacing w:beforeLines="50" w:afterLines="50"/>
      <w:jc w:val="center"/>
      <w:outlineLvl w:val="1"/>
    </w:pPr>
    <w:rPr>
      <w:rFonts w:ascii="Calibri" w:hAnsi="Calibri" w:eastAsia="黑体" w:cstheme="majorBidi"/>
      <w:sz w:val="32"/>
    </w:rPr>
  </w:style>
  <w:style w:type="paragraph" w:styleId="28">
    <w:name w:val="toc 2"/>
    <w:basedOn w:val="1"/>
    <w:next w:val="1"/>
    <w:semiHidden/>
    <w:unhideWhenUsed/>
    <w:qFormat/>
    <w:uiPriority w:val="39"/>
    <w:pPr>
      <w:ind w:left="420" w:leftChars="200"/>
    </w:pPr>
  </w:style>
  <w:style w:type="paragraph" w:styleId="29">
    <w:name w:val="Normal (Web)"/>
    <w:basedOn w:val="1"/>
    <w:qFormat/>
    <w:uiPriority w:val="99"/>
    <w:pPr>
      <w:spacing w:before="100" w:beforeAutospacing="1" w:after="100" w:afterAutospacing="1"/>
    </w:pPr>
    <w:rPr>
      <w:rFonts w:ascii="宋体" w:hAnsi="宋体" w:cs="宋体"/>
    </w:rPr>
  </w:style>
  <w:style w:type="paragraph" w:styleId="30">
    <w:name w:val="Title"/>
    <w:basedOn w:val="1"/>
    <w:next w:val="1"/>
    <w:link w:val="7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7"/>
    <w:next w:val="17"/>
    <w:link w:val="96"/>
    <w:semiHidden/>
    <w:unhideWhenUsed/>
    <w:qFormat/>
    <w:uiPriority w:val="99"/>
    <w:rPr>
      <w:b/>
      <w:bCs/>
    </w:rPr>
  </w:style>
  <w:style w:type="paragraph" w:styleId="32">
    <w:name w:val="Body Text First Indent"/>
    <w:basedOn w:val="18"/>
    <w:qFormat/>
    <w:uiPriority w:val="0"/>
    <w:pPr>
      <w:spacing w:line="300" w:lineRule="auto"/>
      <w:ind w:firstLine="602"/>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paragraph" w:customStyle="1" w:styleId="42">
    <w:name w:val="※封面大标题"/>
    <w:basedOn w:val="1"/>
    <w:next w:val="1"/>
    <w:qFormat/>
    <w:uiPriority w:val="0"/>
    <w:pPr>
      <w:jc w:val="center"/>
    </w:pPr>
    <w:rPr>
      <w:rFonts w:ascii="华文中宋" w:hAnsi="华文中宋" w:eastAsia="华文中宋"/>
      <w:sz w:val="96"/>
      <w:szCs w:val="96"/>
    </w:rPr>
  </w:style>
  <w:style w:type="paragraph" w:customStyle="1" w:styleId="43">
    <w:name w:val="※封面题颌"/>
    <w:basedOn w:val="1"/>
    <w:next w:val="1"/>
    <w:qFormat/>
    <w:uiPriority w:val="0"/>
    <w:pPr>
      <w:jc w:val="center"/>
    </w:pPr>
    <w:rPr>
      <w:rFonts w:ascii="Calibri Light" w:hAnsi="Calibri Light" w:eastAsia="华文仿宋"/>
      <w:sz w:val="36"/>
      <w:szCs w:val="36"/>
    </w:rPr>
  </w:style>
  <w:style w:type="paragraph" w:customStyle="1" w:styleId="44">
    <w:name w:val="※封面题眉"/>
    <w:basedOn w:val="1"/>
    <w:next w:val="42"/>
    <w:qFormat/>
    <w:uiPriority w:val="0"/>
    <w:pPr>
      <w:jc w:val="center"/>
    </w:pPr>
    <w:rPr>
      <w:rFonts w:ascii="华文仿宋" w:hAnsi="华文仿宋" w:eastAsia="华文仿宋"/>
      <w:sz w:val="52"/>
      <w:szCs w:val="28"/>
    </w:rPr>
  </w:style>
  <w:style w:type="paragraph" w:customStyle="1" w:styleId="4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7">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0">
    <w:name w:val="※小标题 一"/>
    <w:basedOn w:val="49"/>
    <w:next w:val="49"/>
    <w:qFormat/>
    <w:uiPriority w:val="0"/>
    <w:pPr>
      <w:spacing w:before="120" w:line="240" w:lineRule="auto"/>
      <w:outlineLvl w:val="2"/>
    </w:pPr>
    <w:rPr>
      <w:b/>
      <w:color w:val="203864" w:themeColor="accent5" w:themeShade="80"/>
      <w:sz w:val="32"/>
    </w:rPr>
  </w:style>
  <w:style w:type="paragraph" w:customStyle="1" w:styleId="51">
    <w:name w:val="※小标题（1）"/>
    <w:basedOn w:val="1"/>
    <w:next w:val="4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2">
    <w:name w:val="※小标题（一）"/>
    <w:basedOn w:val="1"/>
    <w:next w:val="4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5">
    <w:name w:val="※页眉"/>
    <w:basedOn w:val="49"/>
    <w:qFormat/>
    <w:uiPriority w:val="0"/>
    <w:pPr>
      <w:pBdr>
        <w:bottom w:val="single" w:color="auto" w:sz="4" w:space="1"/>
      </w:pBdr>
      <w:spacing w:line="240" w:lineRule="atLeast"/>
      <w:jc w:val="right"/>
    </w:pPr>
    <w:rPr>
      <w:rFonts w:ascii="宋体" w:hAnsi="宋体" w:eastAsia="宋体"/>
      <w:sz w:val="18"/>
    </w:rPr>
  </w:style>
  <w:style w:type="paragraph" w:customStyle="1" w:styleId="56">
    <w:name w:val="※章节标题（第X章）"/>
    <w:basedOn w:val="1"/>
    <w:qFormat/>
    <w:uiPriority w:val="0"/>
    <w:pPr>
      <w:jc w:val="center"/>
      <w:outlineLvl w:val="0"/>
    </w:pPr>
    <w:rPr>
      <w:rFonts w:ascii="Calibri Light" w:hAnsi="Calibri Light" w:eastAsia="黑体"/>
      <w:sz w:val="36"/>
      <w:szCs w:val="28"/>
    </w:rPr>
  </w:style>
  <w:style w:type="paragraph" w:customStyle="1" w:styleId="5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8">
    <w:name w:val="※章节标题（第Z部分分项）"/>
    <w:basedOn w:val="57"/>
    <w:qFormat/>
    <w:uiPriority w:val="0"/>
    <w:pPr>
      <w:outlineLvl w:val="2"/>
    </w:pPr>
  </w:style>
  <w:style w:type="paragraph" w:customStyle="1" w:styleId="5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0">
    <w:name w:val="※正文（缩进2）"/>
    <w:basedOn w:val="49"/>
    <w:qFormat/>
    <w:uiPriority w:val="0"/>
    <w:pPr>
      <w:ind w:firstLine="200" w:firstLineChars="200"/>
    </w:pPr>
  </w:style>
  <w:style w:type="paragraph" w:customStyle="1" w:styleId="61">
    <w:name w:val="※正文（缩进4）"/>
    <w:basedOn w:val="49"/>
    <w:qFormat/>
    <w:uiPriority w:val="0"/>
    <w:pPr>
      <w:ind w:firstLine="400" w:firstLineChars="400"/>
    </w:pPr>
  </w:style>
  <w:style w:type="character" w:customStyle="1" w:styleId="62">
    <w:name w:val="日期 Char"/>
    <w:basedOn w:val="35"/>
    <w:link w:val="21"/>
    <w:semiHidden/>
    <w:qFormat/>
    <w:uiPriority w:val="99"/>
    <w:rPr>
      <w:rFonts w:ascii="华文仿宋" w:hAnsi="华文仿宋" w:eastAsia="华文仿宋"/>
      <w:sz w:val="28"/>
      <w:szCs w:val="28"/>
    </w:rPr>
  </w:style>
  <w:style w:type="character" w:customStyle="1" w:styleId="63">
    <w:name w:val="页眉 Char"/>
    <w:basedOn w:val="35"/>
    <w:link w:val="25"/>
    <w:qFormat/>
    <w:uiPriority w:val="0"/>
    <w:rPr>
      <w:rFonts w:ascii="华文仿宋" w:hAnsi="华文仿宋" w:eastAsia="华文仿宋"/>
      <w:sz w:val="18"/>
      <w:szCs w:val="18"/>
    </w:rPr>
  </w:style>
  <w:style w:type="character" w:customStyle="1" w:styleId="64">
    <w:name w:val="页脚 Char"/>
    <w:basedOn w:val="35"/>
    <w:link w:val="24"/>
    <w:qFormat/>
    <w:uiPriority w:val="99"/>
    <w:rPr>
      <w:rFonts w:ascii="华文仿宋" w:hAnsi="华文仿宋" w:eastAsia="华文仿宋"/>
      <w:sz w:val="18"/>
      <w:szCs w:val="18"/>
    </w:rPr>
  </w:style>
  <w:style w:type="character" w:customStyle="1" w:styleId="65">
    <w:name w:val="标题 1 Char"/>
    <w:basedOn w:val="35"/>
    <w:link w:val="3"/>
    <w:qFormat/>
    <w:uiPriority w:val="9"/>
    <w:rPr>
      <w:rFonts w:ascii="方正小标宋_GBK" w:hAnsi="仿宋" w:eastAsia="方正小标宋_GBK"/>
      <w:sz w:val="44"/>
      <w:szCs w:val="44"/>
    </w:rPr>
  </w:style>
  <w:style w:type="character" w:customStyle="1" w:styleId="66">
    <w:name w:val="标题 2 Char"/>
    <w:basedOn w:val="35"/>
    <w:link w:val="4"/>
    <w:qFormat/>
    <w:uiPriority w:val="9"/>
    <w:rPr>
      <w:rFonts w:ascii="楷体" w:hAnsi="楷体" w:eastAsia="黑体"/>
      <w:sz w:val="32"/>
      <w:szCs w:val="32"/>
    </w:rPr>
  </w:style>
  <w:style w:type="character" w:customStyle="1" w:styleId="67">
    <w:name w:val="标题 3 Char"/>
    <w:basedOn w:val="35"/>
    <w:link w:val="5"/>
    <w:qFormat/>
    <w:uiPriority w:val="9"/>
    <w:rPr>
      <w:rFonts w:ascii="方正小标宋_GBK" w:hAnsi="仿宋" w:eastAsia="方正小标宋_GBK"/>
      <w:sz w:val="36"/>
      <w:szCs w:val="36"/>
    </w:rPr>
  </w:style>
  <w:style w:type="character" w:customStyle="1" w:styleId="68">
    <w:name w:val="标题 4 Char"/>
    <w:basedOn w:val="35"/>
    <w:link w:val="6"/>
    <w:semiHidden/>
    <w:qFormat/>
    <w:uiPriority w:val="9"/>
    <w:rPr>
      <w:rFonts w:cstheme="majorBidi"/>
      <w:b/>
      <w:bCs/>
      <w:sz w:val="28"/>
      <w:szCs w:val="28"/>
    </w:rPr>
  </w:style>
  <w:style w:type="character" w:customStyle="1" w:styleId="69">
    <w:name w:val="标题 5 Char"/>
    <w:basedOn w:val="35"/>
    <w:link w:val="7"/>
    <w:semiHidden/>
    <w:qFormat/>
    <w:uiPriority w:val="9"/>
    <w:rPr>
      <w:b/>
      <w:bCs/>
      <w:i/>
      <w:iCs/>
      <w:sz w:val="26"/>
      <w:szCs w:val="26"/>
    </w:rPr>
  </w:style>
  <w:style w:type="character" w:customStyle="1" w:styleId="70">
    <w:name w:val="标题 6 Char"/>
    <w:basedOn w:val="35"/>
    <w:link w:val="8"/>
    <w:semiHidden/>
    <w:qFormat/>
    <w:uiPriority w:val="9"/>
    <w:rPr>
      <w:rFonts w:cstheme="majorBidi"/>
      <w:b/>
      <w:bCs/>
    </w:rPr>
  </w:style>
  <w:style w:type="character" w:customStyle="1" w:styleId="71">
    <w:name w:val="标题 7 Char"/>
    <w:basedOn w:val="35"/>
    <w:link w:val="9"/>
    <w:semiHidden/>
    <w:qFormat/>
    <w:uiPriority w:val="9"/>
    <w:rPr>
      <w:sz w:val="24"/>
      <w:szCs w:val="24"/>
    </w:rPr>
  </w:style>
  <w:style w:type="character" w:customStyle="1" w:styleId="72">
    <w:name w:val="标题 8 Char"/>
    <w:basedOn w:val="35"/>
    <w:link w:val="10"/>
    <w:semiHidden/>
    <w:qFormat/>
    <w:uiPriority w:val="9"/>
    <w:rPr>
      <w:rFonts w:cstheme="majorBidi"/>
      <w:i/>
      <w:iCs/>
      <w:sz w:val="24"/>
      <w:szCs w:val="24"/>
    </w:rPr>
  </w:style>
  <w:style w:type="character" w:customStyle="1" w:styleId="73">
    <w:name w:val="标题 9 Char"/>
    <w:basedOn w:val="35"/>
    <w:link w:val="11"/>
    <w:semiHidden/>
    <w:qFormat/>
    <w:uiPriority w:val="9"/>
    <w:rPr>
      <w:rFonts w:asciiTheme="majorHAnsi" w:hAnsiTheme="majorHAnsi" w:eastAsiaTheme="majorEastAsia" w:cstheme="majorBidi"/>
    </w:rPr>
  </w:style>
  <w:style w:type="character" w:customStyle="1" w:styleId="74">
    <w:name w:val="标题 Char"/>
    <w:basedOn w:val="35"/>
    <w:link w:val="30"/>
    <w:qFormat/>
    <w:uiPriority w:val="10"/>
    <w:rPr>
      <w:rFonts w:asciiTheme="majorHAnsi" w:hAnsiTheme="majorHAnsi" w:eastAsiaTheme="majorEastAsia" w:cstheme="majorBidi"/>
      <w:b/>
      <w:bCs/>
      <w:kern w:val="28"/>
      <w:sz w:val="32"/>
      <w:szCs w:val="32"/>
    </w:rPr>
  </w:style>
  <w:style w:type="character" w:customStyle="1" w:styleId="75">
    <w:name w:val="副标题 Char"/>
    <w:basedOn w:val="35"/>
    <w:link w:val="27"/>
    <w:qFormat/>
    <w:uiPriority w:val="11"/>
    <w:rPr>
      <w:rFonts w:ascii="Calibri" w:hAnsi="Calibri" w:eastAsia="黑体" w:cstheme="majorBidi"/>
      <w:sz w:val="32"/>
      <w:szCs w:val="24"/>
    </w:rPr>
  </w:style>
  <w:style w:type="paragraph" w:styleId="76">
    <w:name w:val="No Spacing"/>
    <w:basedOn w:val="1"/>
    <w:qFormat/>
    <w:uiPriority w:val="1"/>
    <w:rPr>
      <w:szCs w:val="32"/>
    </w:rPr>
  </w:style>
  <w:style w:type="paragraph" w:styleId="77">
    <w:name w:val="List Paragraph"/>
    <w:basedOn w:val="1"/>
    <w:qFormat/>
    <w:uiPriority w:val="0"/>
    <w:pPr>
      <w:ind w:left="720"/>
      <w:contextualSpacing/>
    </w:pPr>
  </w:style>
  <w:style w:type="paragraph" w:styleId="78">
    <w:name w:val="Quote"/>
    <w:basedOn w:val="1"/>
    <w:next w:val="1"/>
    <w:link w:val="79"/>
    <w:qFormat/>
    <w:uiPriority w:val="29"/>
    <w:rPr>
      <w:i/>
    </w:rPr>
  </w:style>
  <w:style w:type="character" w:customStyle="1" w:styleId="79">
    <w:name w:val="引用 Char"/>
    <w:basedOn w:val="35"/>
    <w:link w:val="78"/>
    <w:qFormat/>
    <w:uiPriority w:val="29"/>
    <w:rPr>
      <w:i/>
      <w:sz w:val="24"/>
      <w:szCs w:val="24"/>
    </w:rPr>
  </w:style>
  <w:style w:type="paragraph" w:styleId="80">
    <w:name w:val="Intense Quote"/>
    <w:basedOn w:val="1"/>
    <w:next w:val="1"/>
    <w:link w:val="81"/>
    <w:qFormat/>
    <w:uiPriority w:val="30"/>
    <w:pPr>
      <w:ind w:left="720" w:right="720"/>
    </w:pPr>
    <w:rPr>
      <w:b/>
      <w:i/>
      <w:szCs w:val="22"/>
    </w:rPr>
  </w:style>
  <w:style w:type="character" w:customStyle="1" w:styleId="81">
    <w:name w:val="明显引用 Char"/>
    <w:basedOn w:val="35"/>
    <w:link w:val="80"/>
    <w:qFormat/>
    <w:uiPriority w:val="30"/>
    <w:rPr>
      <w:b/>
      <w:i/>
      <w:sz w:val="24"/>
    </w:rPr>
  </w:style>
  <w:style w:type="character" w:customStyle="1" w:styleId="8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3">
    <w:name w:val="明显强调1"/>
    <w:basedOn w:val="35"/>
    <w:qFormat/>
    <w:uiPriority w:val="21"/>
    <w:rPr>
      <w:b/>
      <w:i/>
      <w:sz w:val="24"/>
      <w:szCs w:val="24"/>
      <w:u w:val="single"/>
    </w:rPr>
  </w:style>
  <w:style w:type="character" w:customStyle="1" w:styleId="84">
    <w:name w:val="不明显参考1"/>
    <w:basedOn w:val="35"/>
    <w:qFormat/>
    <w:uiPriority w:val="31"/>
    <w:rPr>
      <w:sz w:val="24"/>
      <w:szCs w:val="24"/>
      <w:u w:val="single"/>
    </w:rPr>
  </w:style>
  <w:style w:type="character" w:customStyle="1" w:styleId="85">
    <w:name w:val="明显参考1"/>
    <w:basedOn w:val="35"/>
    <w:qFormat/>
    <w:uiPriority w:val="32"/>
    <w:rPr>
      <w:b/>
      <w:sz w:val="24"/>
      <w:u w:val="single"/>
    </w:rPr>
  </w:style>
  <w:style w:type="character" w:customStyle="1" w:styleId="86">
    <w:name w:val="书籍标题1"/>
    <w:basedOn w:val="35"/>
    <w:qFormat/>
    <w:uiPriority w:val="33"/>
    <w:rPr>
      <w:rFonts w:asciiTheme="majorHAnsi" w:hAnsiTheme="majorHAnsi" w:eastAsiaTheme="majorEastAsia"/>
      <w:b/>
      <w:i/>
      <w:sz w:val="24"/>
      <w:szCs w:val="24"/>
    </w:rPr>
  </w:style>
  <w:style w:type="paragraph" w:customStyle="1" w:styleId="87">
    <w:name w:val="TOC 标题1"/>
    <w:basedOn w:val="3"/>
    <w:next w:val="1"/>
    <w:semiHidden/>
    <w:unhideWhenUsed/>
    <w:qFormat/>
    <w:uiPriority w:val="39"/>
    <w:pPr>
      <w:outlineLvl w:val="9"/>
    </w:pPr>
  </w:style>
  <w:style w:type="character" w:customStyle="1" w:styleId="88">
    <w:name w:val="批注框文本 Char"/>
    <w:basedOn w:val="35"/>
    <w:link w:val="23"/>
    <w:semiHidden/>
    <w:qFormat/>
    <w:uiPriority w:val="99"/>
    <w:rPr>
      <w:sz w:val="18"/>
      <w:szCs w:val="18"/>
    </w:rPr>
  </w:style>
  <w:style w:type="character" w:customStyle="1" w:styleId="89">
    <w:name w:val="批注文字 Char"/>
    <w:basedOn w:val="35"/>
    <w:link w:val="17"/>
    <w:qFormat/>
    <w:uiPriority w:val="99"/>
    <w:rPr>
      <w:rFonts w:ascii="Calibri Light" w:hAnsi="Calibri Light" w:eastAsia="华文仿宋" w:cs="Calibri Light"/>
      <w:kern w:val="2"/>
      <w:sz w:val="28"/>
      <w:szCs w:val="28"/>
    </w:rPr>
  </w:style>
  <w:style w:type="paragraph" w:customStyle="1" w:styleId="90">
    <w:name w:val="@正文"/>
    <w:basedOn w:val="4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1">
    <w:name w:val="@一级小标题"/>
    <w:basedOn w:val="1"/>
    <w:next w:val="90"/>
    <w:qFormat/>
    <w:uiPriority w:val="0"/>
    <w:pPr>
      <w:keepNext/>
      <w:spacing w:before="120" w:after="60"/>
      <w:outlineLvl w:val="2"/>
    </w:pPr>
    <w:rPr>
      <w:rFonts w:ascii="Calibri" w:hAnsi="Calibri" w:eastAsia="黑体"/>
      <w:kern w:val="28"/>
      <w:sz w:val="28"/>
    </w:rPr>
  </w:style>
  <w:style w:type="paragraph" w:customStyle="1" w:styleId="92">
    <w:name w:val="@标题"/>
    <w:basedOn w:val="1"/>
    <w:next w:val="90"/>
    <w:qFormat/>
    <w:uiPriority w:val="0"/>
    <w:pPr>
      <w:keepNext/>
      <w:spacing w:beforeLines="50" w:afterLines="50"/>
      <w:jc w:val="center"/>
      <w:outlineLvl w:val="1"/>
    </w:pPr>
    <w:rPr>
      <w:rFonts w:ascii="Calibri" w:hAnsi="Calibri" w:eastAsia="黑体"/>
      <w:kern w:val="32"/>
      <w:sz w:val="32"/>
    </w:rPr>
  </w:style>
  <w:style w:type="table" w:customStyle="1" w:styleId="93">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页眉 Char1"/>
    <w:basedOn w:val="35"/>
    <w:semiHidden/>
    <w:qFormat/>
    <w:uiPriority w:val="99"/>
    <w:rPr>
      <w:rFonts w:cs="Calibri Light"/>
      <w:sz w:val="18"/>
      <w:szCs w:val="18"/>
    </w:rPr>
  </w:style>
  <w:style w:type="character" w:customStyle="1" w:styleId="95">
    <w:name w:val="页脚 Char1"/>
    <w:basedOn w:val="35"/>
    <w:semiHidden/>
    <w:qFormat/>
    <w:uiPriority w:val="99"/>
    <w:rPr>
      <w:rFonts w:cs="Calibri Light"/>
      <w:sz w:val="18"/>
      <w:szCs w:val="18"/>
    </w:rPr>
  </w:style>
  <w:style w:type="character" w:customStyle="1" w:styleId="96">
    <w:name w:val="批注主题 Char"/>
    <w:basedOn w:val="89"/>
    <w:link w:val="31"/>
    <w:semiHidden/>
    <w:qFormat/>
    <w:uiPriority w:val="99"/>
    <w:rPr>
      <w:rFonts w:ascii="Calibri Light" w:hAnsi="Calibri Light" w:eastAsia="华文仿宋" w:cs="Calibri Light"/>
      <w:b/>
      <w:bCs/>
      <w:kern w:val="2"/>
      <w:sz w:val="28"/>
      <w:szCs w:val="28"/>
    </w:rPr>
  </w:style>
  <w:style w:type="character" w:customStyle="1" w:styleId="97">
    <w:name w:val="文档结构图 Char"/>
    <w:basedOn w:val="35"/>
    <w:link w:val="16"/>
    <w:semiHidden/>
    <w:qFormat/>
    <w:uiPriority w:val="99"/>
    <w:rPr>
      <w:rFonts w:ascii="宋体" w:hAnsi="Calibri Light" w:eastAsia="宋体" w:cs="Calibri Light"/>
      <w:kern w:val="2"/>
      <w:sz w:val="18"/>
      <w:szCs w:val="18"/>
    </w:rPr>
  </w:style>
  <w:style w:type="character" w:styleId="98">
    <w:name w:val="Placeholder Text"/>
    <w:basedOn w:val="35"/>
    <w:semiHidden/>
    <w:qFormat/>
    <w:uiPriority w:val="99"/>
    <w:rPr>
      <w:color w:val="808080"/>
    </w:rPr>
  </w:style>
  <w:style w:type="character" w:customStyle="1" w:styleId="99">
    <w:name w:val="Unresolved Mention"/>
    <w:basedOn w:val="35"/>
    <w:semiHidden/>
    <w:unhideWhenUsed/>
    <w:qFormat/>
    <w:uiPriority w:val="99"/>
    <w:rPr>
      <w:color w:val="605E5C"/>
      <w:shd w:val="clear" w:color="auto" w:fill="E1DFDD"/>
    </w:rPr>
  </w:style>
  <w:style w:type="paragraph" w:customStyle="1" w:styleId="100">
    <w:name w:val="样式1"/>
    <w:basedOn w:val="5"/>
    <w:link w:val="102"/>
    <w:qFormat/>
    <w:uiPriority w:val="0"/>
    <w:pPr>
      <w:jc w:val="left"/>
    </w:pPr>
    <w:rPr>
      <w:rFonts w:eastAsia="楷体"/>
      <w:sz w:val="32"/>
    </w:rPr>
  </w:style>
  <w:style w:type="paragraph" w:customStyle="1" w:styleId="101">
    <w:name w:val="样式2"/>
    <w:basedOn w:val="92"/>
    <w:link w:val="104"/>
    <w:qFormat/>
    <w:uiPriority w:val="0"/>
    <w:pPr>
      <w:spacing w:line="560" w:lineRule="exact"/>
      <w:ind w:firstLine="643" w:firstLineChars="200"/>
      <w:jc w:val="both"/>
    </w:pPr>
    <w:rPr>
      <w:rFonts w:ascii="仿宋_GB2312" w:hAnsi="仿宋" w:eastAsia="仿宋_GB2312"/>
      <w:b/>
      <w:bCs/>
      <w:szCs w:val="32"/>
    </w:rPr>
  </w:style>
  <w:style w:type="character" w:customStyle="1" w:styleId="102">
    <w:name w:val="样式1 字符"/>
    <w:basedOn w:val="66"/>
    <w:link w:val="100"/>
    <w:qFormat/>
    <w:uiPriority w:val="0"/>
    <w:rPr>
      <w:rFonts w:ascii="方正小标宋_GBK" w:hAnsi="仿宋" w:eastAsia="楷体"/>
      <w:sz w:val="32"/>
      <w:szCs w:val="36"/>
    </w:rPr>
  </w:style>
  <w:style w:type="paragraph" w:customStyle="1" w:styleId="103">
    <w:name w:val="样式3"/>
    <w:basedOn w:val="1"/>
    <w:link w:val="105"/>
    <w:qFormat/>
    <w:uiPriority w:val="0"/>
    <w:pPr>
      <w:spacing w:line="560" w:lineRule="exact"/>
      <w:jc w:val="center"/>
    </w:pPr>
    <w:rPr>
      <w:rFonts w:ascii="方正小标宋_GBK" w:hAnsi="仿宋" w:eastAsia="方正小标宋_GBK"/>
      <w:sz w:val="36"/>
      <w:szCs w:val="36"/>
    </w:rPr>
  </w:style>
  <w:style w:type="character" w:customStyle="1" w:styleId="104">
    <w:name w:val="样式2 字符"/>
    <w:basedOn w:val="35"/>
    <w:link w:val="101"/>
    <w:qFormat/>
    <w:uiPriority w:val="0"/>
    <w:rPr>
      <w:rFonts w:ascii="仿宋_GB2312" w:hAnsi="仿宋" w:eastAsia="仿宋_GB2312"/>
      <w:b/>
      <w:bCs/>
      <w:kern w:val="32"/>
      <w:sz w:val="32"/>
      <w:szCs w:val="32"/>
    </w:rPr>
  </w:style>
  <w:style w:type="character" w:customStyle="1" w:styleId="105">
    <w:name w:val="样式3 字符"/>
    <w:basedOn w:val="35"/>
    <w:link w:val="103"/>
    <w:qFormat/>
    <w:uiPriority w:val="0"/>
    <w:rPr>
      <w:rFonts w:ascii="方正小标宋_GBK" w:hAnsi="仿宋" w:eastAsia="方正小标宋_GBK"/>
      <w:sz w:val="36"/>
      <w:szCs w:val="36"/>
    </w:rPr>
  </w:style>
  <w:style w:type="paragraph" w:customStyle="1" w:styleId="106">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07">
    <w:name w:val="Table Paragraph"/>
    <w:basedOn w:val="1"/>
    <w:qFormat/>
    <w:uiPriority w:val="1"/>
  </w:style>
  <w:style w:type="paragraph" w:customStyle="1" w:styleId="108">
    <w:name w:val="纯文本1"/>
    <w:basedOn w:val="1"/>
    <w:qFormat/>
    <w:uiPriority w:val="0"/>
    <w:rPr>
      <w:rFonts w:ascii="宋体" w:hAnsi="Courier New" w:eastAsia="宋体"/>
      <w:szCs w:val="22"/>
    </w:rPr>
  </w:style>
  <w:style w:type="paragraph" w:customStyle="1" w:styleId="109">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3">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A2093-0F0B-401D-BAA8-F648C883A1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113</Pages>
  <Words>46821</Words>
  <Characters>49453</Characters>
  <Lines>398</Lines>
  <Paragraphs>112</Paragraphs>
  <TotalTime>2</TotalTime>
  <ScaleCrop>false</ScaleCrop>
  <LinksUpToDate>false</LinksUpToDate>
  <CharactersWithSpaces>50801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Gripex</cp:lastModifiedBy>
  <cp:lastPrinted>2023-03-09T08:16:00Z</cp:lastPrinted>
  <dcterms:modified xsi:type="dcterms:W3CDTF">2023-04-03T04:49:01Z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A882818526124883A0F5344526C36B3C</vt:lpwstr>
  </property>
</Properties>
</file>