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imes New Roman" w:hAnsi="宋体" w:cs="宋体"/>
          <w:b/>
          <w:sz w:val="28"/>
          <w:szCs w:val="28"/>
          <w:highlight w:val="none"/>
          <w:lang w:val="en-US" w:eastAsia="zh-CN"/>
        </w:rPr>
      </w:pPr>
      <w:r>
        <w:rPr>
          <w:rFonts w:hint="eastAsia" w:ascii="Times New Roman" w:hAnsi="宋体" w:cs="宋体"/>
          <w:b/>
          <w:sz w:val="28"/>
          <w:szCs w:val="28"/>
          <w:highlight w:val="none"/>
          <w:lang w:val="en-US" w:eastAsia="zh-CN"/>
        </w:rPr>
        <w:t>入场登记号</w:t>
      </w:r>
      <w:r>
        <w:rPr>
          <w:rFonts w:hint="eastAsia" w:hAnsi="宋体" w:cs="宋体"/>
          <w:b/>
          <w:sz w:val="28"/>
          <w:szCs w:val="28"/>
          <w:highlight w:val="none"/>
          <w:lang w:val="en-US" w:eastAsia="zh-CN"/>
        </w:rPr>
        <w:t>：</w:t>
      </w:r>
      <w:r>
        <w:rPr>
          <w:rFonts w:hint="eastAsia" w:ascii="Times New Roman" w:hAnsi="宋体" w:cs="宋体"/>
          <w:b/>
          <w:sz w:val="28"/>
          <w:szCs w:val="28"/>
          <w:highlight w:val="none"/>
          <w:lang w:val="en-US" w:eastAsia="zh-CN"/>
        </w:rPr>
        <w:t xml:space="preserve">XA-2023-000051-B01 </w:t>
      </w:r>
    </w:p>
    <w:p>
      <w:pPr>
        <w:jc w:val="both"/>
        <w:rPr>
          <w:rFonts w:hint="eastAsia" w:ascii="Times New Roman" w:hAnsi="宋体" w:cs="宋体"/>
          <w:b/>
          <w:sz w:val="28"/>
          <w:szCs w:val="28"/>
          <w:highlight w:val="none"/>
          <w:lang w:val="en-US" w:eastAsia="zh-CN"/>
        </w:rPr>
      </w:pPr>
      <w:r>
        <w:rPr>
          <w:rFonts w:hint="eastAsia" w:ascii="Times New Roman" w:hAnsi="宋体" w:cs="宋体"/>
          <w:b/>
          <w:sz w:val="28"/>
          <w:szCs w:val="28"/>
          <w:highlight w:val="none"/>
          <w:lang w:val="en-US" w:eastAsia="zh-CN"/>
        </w:rPr>
        <w:t>项目编号：</w:t>
      </w:r>
      <w:r>
        <w:rPr>
          <w:rFonts w:hint="eastAsia" w:hAnsi="宋体" w:cs="宋体"/>
          <w:b/>
          <w:sz w:val="28"/>
          <w:szCs w:val="28"/>
          <w:highlight w:val="none"/>
          <w:lang w:val="en-US" w:eastAsia="zh-CN"/>
        </w:rPr>
        <w:t>SXJTZB-ZC-GK20230128</w:t>
      </w:r>
    </w:p>
    <w:p>
      <w:pPr>
        <w:pStyle w:val="40"/>
        <w:rPr>
          <w:rFonts w:hint="eastAsia"/>
          <w:highlight w:val="none"/>
          <w:lang w:val="en-US" w:eastAsia="zh-CN"/>
        </w:rPr>
      </w:pPr>
    </w:p>
    <w:p>
      <w:pPr>
        <w:pStyle w:val="40"/>
        <w:rPr>
          <w:rFonts w:hint="eastAsia"/>
          <w:highlight w:val="none"/>
          <w:lang w:val="en-US" w:eastAsia="zh-CN"/>
        </w:rPr>
      </w:pPr>
    </w:p>
    <w:p>
      <w:pPr>
        <w:jc w:val="center"/>
        <w:rPr>
          <w:rFonts w:hint="eastAsia" w:hAnsi="宋体" w:cs="宋体"/>
          <w:b/>
          <w:sz w:val="44"/>
          <w:szCs w:val="44"/>
          <w:highlight w:val="none"/>
        </w:rPr>
      </w:pPr>
      <w:r>
        <w:rPr>
          <w:rFonts w:hint="eastAsia" w:hAnsi="宋体" w:cs="宋体"/>
          <w:b w:val="0"/>
          <w:bCs/>
          <w:sz w:val="44"/>
          <w:szCs w:val="44"/>
          <w:highlight w:val="none"/>
        </w:rPr>
        <w:t>2023</w:t>
      </w:r>
      <w:r>
        <w:rPr>
          <w:rFonts w:hint="eastAsia" w:hAnsi="宋体" w:cs="宋体"/>
          <w:b/>
          <w:sz w:val="44"/>
          <w:szCs w:val="44"/>
          <w:highlight w:val="none"/>
        </w:rPr>
        <w:t>年度全国卫生专业技术资格考试暨</w:t>
      </w:r>
    </w:p>
    <w:p>
      <w:pPr>
        <w:jc w:val="center"/>
        <w:rPr>
          <w:rFonts w:hint="eastAsia" w:eastAsia="宋体"/>
          <w:color w:val="000000" w:themeColor="text1"/>
          <w:highlight w:val="none"/>
          <w:lang w:eastAsia="zh-CN"/>
          <w14:textFill>
            <w14:solidFill>
              <w14:schemeClr w14:val="tx1"/>
            </w14:solidFill>
          </w14:textFill>
        </w:rPr>
      </w:pPr>
      <w:r>
        <w:rPr>
          <w:rFonts w:hint="eastAsia" w:hAnsi="宋体" w:cs="宋体"/>
          <w:b/>
          <w:sz w:val="44"/>
          <w:szCs w:val="44"/>
          <w:highlight w:val="none"/>
        </w:rPr>
        <w:t>护士执业资格考试西安考点考务服务项目</w:t>
      </w:r>
      <w:r>
        <w:rPr>
          <w:rFonts w:hint="eastAsia" w:hAnsi="宋体" w:cs="宋体"/>
          <w:b/>
          <w:sz w:val="44"/>
          <w:szCs w:val="44"/>
          <w:highlight w:val="none"/>
          <w:lang w:eastAsia="zh-CN"/>
        </w:rPr>
        <w:t>（三次）</w:t>
      </w:r>
    </w:p>
    <w:p>
      <w:pPr>
        <w:spacing w:line="780" w:lineRule="auto"/>
        <w:jc w:val="center"/>
        <w:rPr>
          <w:rFonts w:hint="eastAsia" w:hAnsi="宋体" w:eastAsia="宋体" w:cs="宋体"/>
          <w:b/>
          <w:sz w:val="84"/>
          <w:szCs w:val="84"/>
          <w:highlight w:val="none"/>
          <w:lang w:val="en-US" w:eastAsia="zh-CN"/>
        </w:rPr>
      </w:pPr>
    </w:p>
    <w:p>
      <w:pPr>
        <w:jc w:val="center"/>
        <w:rPr>
          <w:rFonts w:hint="eastAsia" w:hAnsi="宋体" w:cs="宋体"/>
          <w:b/>
          <w:sz w:val="44"/>
          <w:szCs w:val="44"/>
          <w:highlight w:val="none"/>
        </w:rPr>
      </w:pPr>
      <w:r>
        <w:rPr>
          <w:rFonts w:hint="eastAsia" w:hAnsi="宋体" w:cs="宋体"/>
          <w:b/>
          <w:sz w:val="44"/>
          <w:szCs w:val="44"/>
          <w:highlight w:val="none"/>
          <w:lang w:val="en-US" w:eastAsia="zh-CN"/>
        </w:rPr>
        <w:t>招标</w:t>
      </w:r>
      <w:r>
        <w:rPr>
          <w:rFonts w:hint="eastAsia" w:hAnsi="宋体" w:cs="宋体"/>
          <w:b/>
          <w:sz w:val="44"/>
          <w:szCs w:val="44"/>
          <w:highlight w:val="none"/>
        </w:rPr>
        <w:t>文件</w:t>
      </w:r>
    </w:p>
    <w:p>
      <w:pPr>
        <w:pStyle w:val="40"/>
        <w:rPr>
          <w:rFonts w:hint="eastAsia"/>
          <w:highlight w:val="none"/>
        </w:rPr>
      </w:pPr>
    </w:p>
    <w:p>
      <w:pPr>
        <w:pStyle w:val="40"/>
        <w:rPr>
          <w:rFonts w:hint="default" w:eastAsia="宋体"/>
          <w:highlight w:val="none"/>
          <w:lang w:val="en-US" w:eastAsia="zh-CN"/>
        </w:rPr>
      </w:pPr>
    </w:p>
    <w:p>
      <w:pPr>
        <w:snapToGrid w:val="0"/>
        <w:spacing w:line="360" w:lineRule="auto"/>
        <w:jc w:val="left"/>
        <w:rPr>
          <w:rFonts w:hint="eastAsia" w:ascii="宋体" w:hAnsi="宋体" w:cs="宋体"/>
          <w:b/>
          <w:spacing w:val="4"/>
          <w:sz w:val="36"/>
          <w:szCs w:val="36"/>
          <w:highlight w:val="none"/>
        </w:rPr>
      </w:pPr>
    </w:p>
    <w:p>
      <w:pPr>
        <w:pStyle w:val="16"/>
        <w:rPr>
          <w:rFonts w:hint="eastAsia" w:ascii="宋体" w:hAnsi="宋体" w:cs="宋体"/>
          <w:b/>
          <w:spacing w:val="4"/>
          <w:sz w:val="36"/>
          <w:szCs w:val="36"/>
          <w:highlight w:val="none"/>
        </w:rPr>
      </w:pPr>
    </w:p>
    <w:p>
      <w:pPr>
        <w:rPr>
          <w:rFonts w:hint="eastAsia" w:ascii="宋体" w:hAnsi="宋体" w:cs="宋体"/>
          <w:b/>
          <w:spacing w:val="4"/>
          <w:sz w:val="36"/>
          <w:szCs w:val="36"/>
          <w:highlight w:val="none"/>
        </w:rPr>
      </w:pPr>
    </w:p>
    <w:p>
      <w:pPr>
        <w:snapToGrid w:val="0"/>
        <w:spacing w:line="360" w:lineRule="auto"/>
        <w:ind w:firstLine="1440" w:firstLineChars="500"/>
        <w:jc w:val="both"/>
        <w:rPr>
          <w:rFonts w:hint="eastAsia" w:ascii="宋体" w:hAnsi="宋体" w:eastAsia="宋体" w:cs="宋体"/>
          <w:b/>
          <w:spacing w:val="4"/>
          <w:sz w:val="28"/>
          <w:szCs w:val="28"/>
          <w:highlight w:val="none"/>
          <w:lang w:eastAsia="zh-CN"/>
        </w:rPr>
      </w:pPr>
      <w:r>
        <w:rPr>
          <w:rFonts w:hint="eastAsia" w:ascii="宋体" w:hAnsi="宋体" w:cs="宋体"/>
          <w:b/>
          <w:spacing w:val="4"/>
          <w:sz w:val="28"/>
          <w:szCs w:val="28"/>
          <w:highlight w:val="none"/>
        </w:rPr>
        <w:t>采</w:t>
      </w:r>
      <w:r>
        <w:rPr>
          <w:rFonts w:hint="eastAsia" w:ascii="宋体" w:hAnsi="宋体" w:cs="宋体"/>
          <w:b/>
          <w:spacing w:val="4"/>
          <w:sz w:val="28"/>
          <w:szCs w:val="28"/>
          <w:highlight w:val="none"/>
          <w:lang w:val="en-US" w:eastAsia="zh-CN"/>
        </w:rPr>
        <w:t xml:space="preserve">   </w:t>
      </w:r>
      <w:r>
        <w:rPr>
          <w:rFonts w:hint="eastAsia" w:ascii="宋体" w:hAnsi="宋体" w:cs="宋体"/>
          <w:b/>
          <w:spacing w:val="4"/>
          <w:sz w:val="28"/>
          <w:szCs w:val="28"/>
          <w:highlight w:val="none"/>
        </w:rPr>
        <w:t>购</w:t>
      </w:r>
      <w:r>
        <w:rPr>
          <w:rFonts w:hint="eastAsia" w:ascii="宋体" w:hAnsi="宋体" w:cs="宋体"/>
          <w:b/>
          <w:spacing w:val="4"/>
          <w:sz w:val="28"/>
          <w:szCs w:val="28"/>
          <w:highlight w:val="none"/>
          <w:lang w:val="en-US" w:eastAsia="zh-CN"/>
        </w:rPr>
        <w:t xml:space="preserve">   </w:t>
      </w:r>
      <w:r>
        <w:rPr>
          <w:rFonts w:hint="eastAsia" w:ascii="宋体" w:hAnsi="宋体" w:cs="宋体"/>
          <w:b/>
          <w:spacing w:val="4"/>
          <w:sz w:val="28"/>
          <w:szCs w:val="28"/>
          <w:highlight w:val="none"/>
        </w:rPr>
        <w:t>人：</w:t>
      </w:r>
      <w:r>
        <w:rPr>
          <w:rFonts w:hint="eastAsia" w:ascii="宋体" w:hAnsi="宋体" w:cs="宋体"/>
          <w:b/>
          <w:spacing w:val="4"/>
          <w:sz w:val="28"/>
          <w:szCs w:val="28"/>
          <w:highlight w:val="none"/>
          <w:lang w:eastAsia="zh-CN"/>
        </w:rPr>
        <w:t>西安市卫生健康委员会</w:t>
      </w:r>
    </w:p>
    <w:p>
      <w:pPr>
        <w:snapToGrid w:val="0"/>
        <w:spacing w:line="360" w:lineRule="auto"/>
        <w:ind w:firstLine="1440" w:firstLineChars="500"/>
        <w:jc w:val="both"/>
        <w:rPr>
          <w:rFonts w:ascii="宋体" w:hAnsi="宋体" w:cs="宋体"/>
          <w:b/>
          <w:spacing w:val="4"/>
          <w:sz w:val="28"/>
          <w:szCs w:val="28"/>
          <w:highlight w:val="none"/>
        </w:rPr>
      </w:pPr>
      <w:r>
        <w:rPr>
          <w:rFonts w:hint="eastAsia" w:ascii="宋体" w:hAnsi="宋体" w:cs="宋体"/>
          <w:b/>
          <w:spacing w:val="4"/>
          <w:sz w:val="28"/>
          <w:szCs w:val="28"/>
          <w:highlight w:val="none"/>
        </w:rPr>
        <w:t>采购代理机构</w:t>
      </w:r>
      <w:r>
        <w:rPr>
          <w:rFonts w:hint="eastAsia" w:ascii="宋体" w:hAnsi="宋体" w:cs="宋体"/>
          <w:b/>
          <w:spacing w:val="4"/>
          <w:sz w:val="28"/>
          <w:szCs w:val="28"/>
          <w:highlight w:val="none"/>
          <w:lang w:eastAsia="zh-CN"/>
        </w:rPr>
        <w:t>：陕西嘉唐建设项目管理有限公司</w:t>
      </w:r>
    </w:p>
    <w:p>
      <w:pPr>
        <w:spacing w:line="480" w:lineRule="auto"/>
        <w:ind w:right="457" w:rightChars="218" w:firstLine="1440" w:firstLineChars="500"/>
        <w:jc w:val="both"/>
        <w:rPr>
          <w:rFonts w:ascii="黑体" w:hAnsi="黑体" w:eastAsia="黑体"/>
          <w:b/>
          <w:bCs/>
          <w:color w:val="000000" w:themeColor="text1"/>
          <w:sz w:val="28"/>
          <w:szCs w:val="22"/>
          <w:highlight w:val="none"/>
          <w14:textFill>
            <w14:solidFill>
              <w14:schemeClr w14:val="tx1"/>
            </w14:solidFill>
          </w14:textFill>
        </w:rPr>
        <w:sectPr>
          <w:headerReference r:id="rId4" w:type="first"/>
          <w:headerReference r:id="rId3" w:type="default"/>
          <w:pgSz w:w="11906" w:h="16838"/>
          <w:pgMar w:top="1418" w:right="1814" w:bottom="1418" w:left="1860" w:header="851" w:footer="992" w:gutter="0"/>
          <w:pgBorders>
            <w:top w:val="none" w:sz="0" w:space="0"/>
            <w:left w:val="none" w:sz="0" w:space="0"/>
            <w:bottom w:val="none" w:sz="0" w:space="0"/>
            <w:right w:val="none" w:sz="0" w:space="0"/>
          </w:pgBorders>
          <w:pgNumType w:fmt="decimal" w:start="0"/>
          <w:cols w:space="720" w:num="1"/>
          <w:titlePg/>
          <w:docGrid w:type="linesAndChars" w:linePitch="312" w:charSpace="0"/>
        </w:sectPr>
      </w:pPr>
      <w:r>
        <w:rPr>
          <w:rFonts w:hint="eastAsia" w:ascii="宋体" w:hAnsi="宋体" w:cs="宋体"/>
          <w:b/>
          <w:spacing w:val="4"/>
          <w:sz w:val="28"/>
          <w:szCs w:val="28"/>
          <w:highlight w:val="none"/>
        </w:rPr>
        <w:t>时</w:t>
      </w:r>
      <w:r>
        <w:rPr>
          <w:rFonts w:hint="eastAsia" w:ascii="宋体" w:hAnsi="宋体" w:cs="宋体"/>
          <w:b/>
          <w:spacing w:val="4"/>
          <w:sz w:val="28"/>
          <w:szCs w:val="28"/>
          <w:highlight w:val="none"/>
          <w:lang w:val="en-US" w:eastAsia="zh-CN"/>
        </w:rPr>
        <w:t xml:space="preserve">        </w:t>
      </w:r>
      <w:r>
        <w:rPr>
          <w:rFonts w:hint="eastAsia" w:ascii="宋体" w:hAnsi="宋体" w:cs="宋体"/>
          <w:b/>
          <w:spacing w:val="4"/>
          <w:sz w:val="28"/>
          <w:szCs w:val="28"/>
          <w:highlight w:val="none"/>
        </w:rPr>
        <w:t>间：二〇二</w:t>
      </w:r>
      <w:r>
        <w:rPr>
          <w:rFonts w:hint="eastAsia" w:ascii="宋体" w:hAnsi="宋体" w:cs="宋体"/>
          <w:b/>
          <w:spacing w:val="4"/>
          <w:sz w:val="28"/>
          <w:szCs w:val="28"/>
          <w:highlight w:val="none"/>
          <w:lang w:eastAsia="zh-CN"/>
        </w:rPr>
        <w:t>三</w:t>
      </w:r>
      <w:r>
        <w:rPr>
          <w:rFonts w:hint="eastAsia" w:ascii="宋体" w:hAnsi="宋体" w:cs="宋体"/>
          <w:b/>
          <w:spacing w:val="4"/>
          <w:sz w:val="28"/>
          <w:szCs w:val="28"/>
          <w:highlight w:val="none"/>
        </w:rPr>
        <w:t>年</w:t>
      </w:r>
      <w:r>
        <w:rPr>
          <w:rFonts w:hint="eastAsia" w:ascii="宋体" w:hAnsi="宋体" w:cs="宋体"/>
          <w:b/>
          <w:spacing w:val="4"/>
          <w:sz w:val="28"/>
          <w:szCs w:val="28"/>
          <w:highlight w:val="none"/>
          <w:lang w:eastAsia="zh-CN"/>
        </w:rPr>
        <w:t>三</w:t>
      </w:r>
      <w:r>
        <w:rPr>
          <w:rFonts w:hint="eastAsia" w:ascii="宋体" w:hAnsi="宋体" w:cs="宋体"/>
          <w:b/>
          <w:spacing w:val="4"/>
          <w:sz w:val="28"/>
          <w:szCs w:val="28"/>
          <w:highlight w:val="none"/>
          <w:lang w:val="en-US" w:eastAsia="zh-CN"/>
        </w:rPr>
        <w:t>月</w:t>
      </w:r>
      <w:bookmarkStart w:id="0" w:name="_Toc152042286"/>
      <w:bookmarkStart w:id="1" w:name="_Toc144974478"/>
    </w:p>
    <w:p>
      <w:pPr>
        <w:rPr>
          <w:rFonts w:ascii="黑体" w:hAnsi="黑体" w:eastAsia="黑体"/>
          <w:b/>
          <w:bCs/>
          <w:color w:val="000000" w:themeColor="text1"/>
          <w:sz w:val="48"/>
          <w:szCs w:val="48"/>
          <w:highlight w:val="none"/>
          <w14:textFill>
            <w14:solidFill>
              <w14:schemeClr w14:val="tx1"/>
            </w14:solidFill>
          </w14:textFill>
        </w:rPr>
      </w:pPr>
      <w:r>
        <w:rPr>
          <w:rFonts w:hint="eastAsia" w:ascii="黑体" w:hAnsi="黑体" w:eastAsia="黑体"/>
          <w:b/>
          <w:bCs/>
          <w:color w:val="000000" w:themeColor="text1"/>
          <w:sz w:val="48"/>
          <w:szCs w:val="48"/>
          <w:highlight w:val="none"/>
          <w14:textFill>
            <w14:solidFill>
              <w14:schemeClr w14:val="tx1"/>
            </w14:solidFill>
          </w14:textFill>
        </w:rPr>
        <w:tab/>
      </w:r>
    </w:p>
    <w:p>
      <w:pPr>
        <w:tabs>
          <w:tab w:val="left" w:pos="1434"/>
          <w:tab w:val="center" w:pos="4707"/>
        </w:tabs>
        <w:spacing w:line="720" w:lineRule="auto"/>
        <w:jc w:val="center"/>
        <w:rPr>
          <w:rFonts w:ascii="宋体"/>
          <w:color w:val="000000" w:themeColor="text1"/>
          <w:highlight w:val="none"/>
          <w14:textFill>
            <w14:solidFill>
              <w14:schemeClr w14:val="tx1"/>
            </w14:solidFill>
          </w14:textFill>
        </w:rPr>
      </w:pPr>
      <w:r>
        <w:rPr>
          <w:rFonts w:hint="eastAsia" w:ascii="黑体" w:hAnsi="黑体" w:eastAsia="黑体"/>
          <w:b/>
          <w:bCs/>
          <w:color w:val="000000" w:themeColor="text1"/>
          <w:sz w:val="48"/>
          <w:szCs w:val="48"/>
          <w:highlight w:val="none"/>
          <w14:textFill>
            <w14:solidFill>
              <w14:schemeClr w14:val="tx1"/>
            </w14:solidFill>
          </w14:textFill>
        </w:rPr>
        <w:t>目</w:t>
      </w:r>
      <w:r>
        <w:rPr>
          <w:rFonts w:ascii="黑体" w:hAnsi="黑体" w:eastAsia="黑体"/>
          <w:b/>
          <w:bCs/>
          <w:color w:val="000000" w:themeColor="text1"/>
          <w:sz w:val="48"/>
          <w:szCs w:val="48"/>
          <w:highlight w:val="none"/>
          <w14:textFill>
            <w14:solidFill>
              <w14:schemeClr w14:val="tx1"/>
            </w14:solidFill>
          </w14:textFill>
        </w:rPr>
        <w:t xml:space="preserve">     </w:t>
      </w:r>
      <w:r>
        <w:rPr>
          <w:rFonts w:hint="eastAsia" w:ascii="黑体" w:hAnsi="黑体" w:eastAsia="黑体"/>
          <w:b/>
          <w:bCs/>
          <w:color w:val="000000" w:themeColor="text1"/>
          <w:sz w:val="48"/>
          <w:szCs w:val="48"/>
          <w:highlight w:val="none"/>
          <w14:textFill>
            <w14:solidFill>
              <w14:schemeClr w14:val="tx1"/>
            </w14:solidFill>
          </w14:textFill>
        </w:rPr>
        <w:t>录</w:t>
      </w:r>
      <w:bookmarkEnd w:id="0"/>
      <w:bookmarkEnd w:id="1"/>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1000" w:lineRule="exact"/>
        <w:ind w:left="630" w:leftChars="300" w:right="2100" w:rightChars="1000" w:firstLine="0" w:firstLineChars="0"/>
        <w:jc w:val="center"/>
        <w:textAlignment w:val="auto"/>
        <w:rPr>
          <w:sz w:val="28"/>
          <w:szCs w:val="36"/>
          <w:highlight w:val="none"/>
        </w:rPr>
      </w:pPr>
      <w:bookmarkStart w:id="2" w:name="_Toc23626"/>
      <w:bookmarkStart w:id="3" w:name="_Toc31055"/>
      <w:bookmarkStart w:id="4" w:name="_Toc144974495"/>
      <w:bookmarkStart w:id="5" w:name="_Toc152045527"/>
      <w:bookmarkStart w:id="6" w:name="_Toc152042303"/>
      <w:r>
        <w:rPr>
          <w:rFonts w:hint="eastAsia"/>
          <w:highlight w:val="none"/>
        </w:rPr>
        <w:fldChar w:fldCharType="begin"/>
      </w:r>
      <w:r>
        <w:rPr>
          <w:rFonts w:hint="eastAsia"/>
          <w:highlight w:val="none"/>
        </w:rPr>
        <w:instrText xml:space="preserve">TOC \o "1-3" \h \u </w:instrText>
      </w:r>
      <w:r>
        <w:rPr>
          <w:rFonts w:hint="eastAsia"/>
          <w:highlight w:val="none"/>
        </w:rPr>
        <w:fldChar w:fldCharType="separate"/>
      </w:r>
      <w:r>
        <w:rPr>
          <w:rFonts w:hint="eastAsia"/>
          <w:sz w:val="28"/>
          <w:szCs w:val="36"/>
          <w:highlight w:val="none"/>
        </w:rPr>
        <w:fldChar w:fldCharType="begin"/>
      </w:r>
      <w:r>
        <w:rPr>
          <w:rFonts w:hint="eastAsia"/>
          <w:sz w:val="28"/>
          <w:szCs w:val="36"/>
          <w:highlight w:val="none"/>
        </w:rPr>
        <w:instrText xml:space="preserve"> HYPERLINK \l _Toc1777 </w:instrText>
      </w:r>
      <w:r>
        <w:rPr>
          <w:rFonts w:hint="eastAsia"/>
          <w:sz w:val="28"/>
          <w:szCs w:val="36"/>
          <w:highlight w:val="none"/>
        </w:rPr>
        <w:fldChar w:fldCharType="separate"/>
      </w:r>
      <w:r>
        <w:rPr>
          <w:rFonts w:hint="eastAsia"/>
          <w:sz w:val="28"/>
          <w:szCs w:val="36"/>
          <w:highlight w:val="none"/>
        </w:rPr>
        <w:t>第一部分  招标公告</w:t>
      </w:r>
      <w:r>
        <w:rPr>
          <w:sz w:val="28"/>
          <w:szCs w:val="36"/>
          <w:highlight w:val="none"/>
        </w:rPr>
        <w:tab/>
      </w:r>
      <w:r>
        <w:rPr>
          <w:sz w:val="28"/>
          <w:szCs w:val="36"/>
          <w:highlight w:val="none"/>
        </w:rPr>
        <w:fldChar w:fldCharType="begin"/>
      </w:r>
      <w:r>
        <w:rPr>
          <w:sz w:val="28"/>
          <w:szCs w:val="36"/>
          <w:highlight w:val="none"/>
        </w:rPr>
        <w:instrText xml:space="preserve"> PAGEREF _Toc1777 \h </w:instrText>
      </w:r>
      <w:r>
        <w:rPr>
          <w:sz w:val="28"/>
          <w:szCs w:val="36"/>
          <w:highlight w:val="none"/>
        </w:rPr>
        <w:fldChar w:fldCharType="separate"/>
      </w:r>
      <w:r>
        <w:rPr>
          <w:sz w:val="28"/>
          <w:szCs w:val="36"/>
          <w:highlight w:val="none"/>
        </w:rPr>
        <w:t>2</w:t>
      </w:r>
      <w:r>
        <w:rPr>
          <w:sz w:val="28"/>
          <w:szCs w:val="36"/>
          <w:highlight w:val="none"/>
        </w:rPr>
        <w:fldChar w:fldCharType="end"/>
      </w:r>
      <w:r>
        <w:rPr>
          <w:rFonts w:hint="eastAsia"/>
          <w:sz w:val="28"/>
          <w:szCs w:val="36"/>
          <w:highlight w:val="none"/>
        </w:rPr>
        <w:fldChar w:fldCharType="end"/>
      </w:r>
    </w:p>
    <w:p>
      <w:pPr>
        <w:pStyle w:val="29"/>
        <w:keepNext w:val="0"/>
        <w:keepLines w:val="0"/>
        <w:pageBreakBefore w:val="0"/>
        <w:widowControl w:val="0"/>
        <w:tabs>
          <w:tab w:val="right" w:leader="dot" w:pos="8958"/>
          <w:tab w:val="clear" w:pos="8820"/>
        </w:tabs>
        <w:kinsoku/>
        <w:wordWrap/>
        <w:overflowPunct/>
        <w:topLinePunct w:val="0"/>
        <w:autoSpaceDE/>
        <w:autoSpaceDN/>
        <w:bidi w:val="0"/>
        <w:adjustRightInd/>
        <w:snapToGrid/>
        <w:spacing w:line="1000" w:lineRule="exact"/>
        <w:ind w:left="630" w:leftChars="300" w:right="2100" w:rightChars="1000"/>
        <w:jc w:val="center"/>
        <w:textAlignment w:val="auto"/>
        <w:rPr>
          <w:sz w:val="28"/>
          <w:szCs w:val="36"/>
          <w:highlight w:val="none"/>
        </w:rPr>
      </w:pPr>
      <w:r>
        <w:rPr>
          <w:rFonts w:hint="eastAsia"/>
          <w:sz w:val="28"/>
          <w:szCs w:val="36"/>
          <w:highlight w:val="none"/>
        </w:rPr>
        <w:fldChar w:fldCharType="begin"/>
      </w:r>
      <w:r>
        <w:rPr>
          <w:rFonts w:hint="eastAsia"/>
          <w:sz w:val="28"/>
          <w:szCs w:val="36"/>
          <w:highlight w:val="none"/>
        </w:rPr>
        <w:instrText xml:space="preserve"> HYPERLINK \l _Toc27434 </w:instrText>
      </w:r>
      <w:r>
        <w:rPr>
          <w:rFonts w:hint="eastAsia"/>
          <w:sz w:val="28"/>
          <w:szCs w:val="36"/>
          <w:highlight w:val="none"/>
        </w:rPr>
        <w:fldChar w:fldCharType="separate"/>
      </w:r>
      <w:r>
        <w:rPr>
          <w:rFonts w:hint="eastAsia" w:ascii="宋体" w:hAnsi="宋体" w:eastAsia="宋体" w:cs="宋体"/>
          <w:kern w:val="2"/>
          <w:sz w:val="28"/>
          <w:szCs w:val="44"/>
          <w:highlight w:val="none"/>
          <w:lang w:val="en-US" w:eastAsia="zh-CN" w:bidi="ar-SA"/>
        </w:rPr>
        <w:t xml:space="preserve">第二部分 </w:t>
      </w:r>
      <w:r>
        <w:rPr>
          <w:rFonts w:hint="eastAsia" w:ascii="宋体" w:hAnsi="宋体" w:cs="宋体"/>
          <w:kern w:val="2"/>
          <w:sz w:val="28"/>
          <w:szCs w:val="44"/>
          <w:highlight w:val="none"/>
          <w:lang w:val="en-US" w:eastAsia="zh-CN" w:bidi="ar-SA"/>
        </w:rPr>
        <w:t>供应商</w:t>
      </w:r>
      <w:r>
        <w:rPr>
          <w:rFonts w:hint="eastAsia" w:ascii="宋体" w:hAnsi="宋体" w:eastAsia="宋体" w:cs="宋体"/>
          <w:kern w:val="2"/>
          <w:sz w:val="28"/>
          <w:szCs w:val="44"/>
          <w:highlight w:val="none"/>
          <w:lang w:val="en-US" w:eastAsia="zh-CN" w:bidi="ar-SA"/>
        </w:rPr>
        <w:t>须知</w:t>
      </w:r>
      <w:r>
        <w:rPr>
          <w:sz w:val="28"/>
          <w:szCs w:val="36"/>
          <w:highlight w:val="none"/>
        </w:rPr>
        <w:tab/>
      </w:r>
      <w:r>
        <w:rPr>
          <w:sz w:val="28"/>
          <w:szCs w:val="36"/>
          <w:highlight w:val="none"/>
        </w:rPr>
        <w:fldChar w:fldCharType="begin"/>
      </w:r>
      <w:r>
        <w:rPr>
          <w:sz w:val="28"/>
          <w:szCs w:val="36"/>
          <w:highlight w:val="none"/>
        </w:rPr>
        <w:instrText xml:space="preserve"> PAGEREF _Toc27434 \h </w:instrText>
      </w:r>
      <w:r>
        <w:rPr>
          <w:sz w:val="28"/>
          <w:szCs w:val="36"/>
          <w:highlight w:val="none"/>
        </w:rPr>
        <w:fldChar w:fldCharType="separate"/>
      </w:r>
      <w:r>
        <w:rPr>
          <w:sz w:val="28"/>
          <w:szCs w:val="36"/>
          <w:highlight w:val="none"/>
        </w:rPr>
        <w:t>6</w:t>
      </w:r>
      <w:r>
        <w:rPr>
          <w:sz w:val="28"/>
          <w:szCs w:val="36"/>
          <w:highlight w:val="none"/>
        </w:rPr>
        <w:fldChar w:fldCharType="end"/>
      </w:r>
      <w:r>
        <w:rPr>
          <w:rFonts w:hint="eastAsia"/>
          <w:sz w:val="28"/>
          <w:szCs w:val="36"/>
          <w:highlight w:val="none"/>
        </w:rPr>
        <w:fldChar w:fldCharType="end"/>
      </w:r>
    </w:p>
    <w:p>
      <w:pPr>
        <w:pStyle w:val="29"/>
        <w:keepNext w:val="0"/>
        <w:keepLines w:val="0"/>
        <w:pageBreakBefore w:val="0"/>
        <w:widowControl w:val="0"/>
        <w:tabs>
          <w:tab w:val="right" w:leader="dot" w:pos="8958"/>
          <w:tab w:val="clear" w:pos="8820"/>
        </w:tabs>
        <w:kinsoku/>
        <w:wordWrap/>
        <w:overflowPunct/>
        <w:topLinePunct w:val="0"/>
        <w:autoSpaceDE/>
        <w:autoSpaceDN/>
        <w:bidi w:val="0"/>
        <w:adjustRightInd/>
        <w:snapToGrid/>
        <w:spacing w:line="1000" w:lineRule="exact"/>
        <w:ind w:left="630" w:leftChars="300" w:right="2100" w:rightChars="1000"/>
        <w:jc w:val="center"/>
        <w:textAlignment w:val="auto"/>
        <w:rPr>
          <w:sz w:val="28"/>
          <w:szCs w:val="36"/>
          <w:highlight w:val="none"/>
        </w:rPr>
      </w:pPr>
      <w:r>
        <w:rPr>
          <w:rFonts w:hint="eastAsia"/>
          <w:sz w:val="28"/>
          <w:szCs w:val="36"/>
          <w:highlight w:val="none"/>
        </w:rPr>
        <w:fldChar w:fldCharType="begin"/>
      </w:r>
      <w:r>
        <w:rPr>
          <w:rFonts w:hint="eastAsia"/>
          <w:sz w:val="28"/>
          <w:szCs w:val="36"/>
          <w:highlight w:val="none"/>
        </w:rPr>
        <w:instrText xml:space="preserve"> HYPERLINK \l _Toc19397 </w:instrText>
      </w:r>
      <w:r>
        <w:rPr>
          <w:rFonts w:hint="eastAsia"/>
          <w:sz w:val="28"/>
          <w:szCs w:val="36"/>
          <w:highlight w:val="none"/>
        </w:rPr>
        <w:fldChar w:fldCharType="separate"/>
      </w:r>
      <w:r>
        <w:rPr>
          <w:rFonts w:hint="eastAsia"/>
          <w:sz w:val="28"/>
          <w:szCs w:val="48"/>
          <w:highlight w:val="none"/>
        </w:rPr>
        <w:t>第三部分 评标办法</w:t>
      </w:r>
      <w:r>
        <w:rPr>
          <w:sz w:val="28"/>
          <w:szCs w:val="36"/>
          <w:highlight w:val="none"/>
        </w:rPr>
        <w:tab/>
      </w:r>
      <w:r>
        <w:rPr>
          <w:sz w:val="28"/>
          <w:szCs w:val="36"/>
          <w:highlight w:val="none"/>
        </w:rPr>
        <w:fldChar w:fldCharType="begin"/>
      </w:r>
      <w:r>
        <w:rPr>
          <w:sz w:val="28"/>
          <w:szCs w:val="36"/>
          <w:highlight w:val="none"/>
        </w:rPr>
        <w:instrText xml:space="preserve"> PAGEREF _Toc19397 \h </w:instrText>
      </w:r>
      <w:r>
        <w:rPr>
          <w:sz w:val="28"/>
          <w:szCs w:val="36"/>
          <w:highlight w:val="none"/>
        </w:rPr>
        <w:fldChar w:fldCharType="separate"/>
      </w:r>
      <w:r>
        <w:rPr>
          <w:sz w:val="28"/>
          <w:szCs w:val="36"/>
          <w:highlight w:val="none"/>
        </w:rPr>
        <w:t>30</w:t>
      </w:r>
      <w:r>
        <w:rPr>
          <w:sz w:val="28"/>
          <w:szCs w:val="36"/>
          <w:highlight w:val="none"/>
        </w:rPr>
        <w:fldChar w:fldCharType="end"/>
      </w:r>
      <w:r>
        <w:rPr>
          <w:rFonts w:hint="eastAsia"/>
          <w:sz w:val="28"/>
          <w:szCs w:val="36"/>
          <w:highlight w:val="none"/>
        </w:rPr>
        <w:fldChar w:fldCharType="end"/>
      </w:r>
    </w:p>
    <w:p>
      <w:pPr>
        <w:pStyle w:val="29"/>
        <w:keepNext w:val="0"/>
        <w:keepLines w:val="0"/>
        <w:pageBreakBefore w:val="0"/>
        <w:widowControl w:val="0"/>
        <w:tabs>
          <w:tab w:val="right" w:leader="dot" w:pos="8958"/>
          <w:tab w:val="clear" w:pos="8820"/>
        </w:tabs>
        <w:kinsoku/>
        <w:wordWrap/>
        <w:overflowPunct/>
        <w:topLinePunct w:val="0"/>
        <w:autoSpaceDE/>
        <w:autoSpaceDN/>
        <w:bidi w:val="0"/>
        <w:adjustRightInd/>
        <w:snapToGrid/>
        <w:spacing w:line="1000" w:lineRule="exact"/>
        <w:ind w:left="630" w:leftChars="300" w:right="2100" w:rightChars="1000"/>
        <w:jc w:val="center"/>
        <w:textAlignment w:val="auto"/>
        <w:rPr>
          <w:sz w:val="28"/>
          <w:szCs w:val="36"/>
          <w:highlight w:val="none"/>
        </w:rPr>
      </w:pPr>
      <w:r>
        <w:rPr>
          <w:rFonts w:hint="eastAsia"/>
          <w:sz w:val="28"/>
          <w:szCs w:val="36"/>
          <w:highlight w:val="none"/>
        </w:rPr>
        <w:fldChar w:fldCharType="begin"/>
      </w:r>
      <w:r>
        <w:rPr>
          <w:rFonts w:hint="eastAsia"/>
          <w:sz w:val="28"/>
          <w:szCs w:val="36"/>
          <w:highlight w:val="none"/>
        </w:rPr>
        <w:instrText xml:space="preserve"> HYPERLINK \l _Toc31219 </w:instrText>
      </w:r>
      <w:r>
        <w:rPr>
          <w:rFonts w:hint="eastAsia"/>
          <w:sz w:val="28"/>
          <w:szCs w:val="36"/>
          <w:highlight w:val="none"/>
        </w:rPr>
        <w:fldChar w:fldCharType="separate"/>
      </w:r>
      <w:r>
        <w:rPr>
          <w:rFonts w:hint="eastAsia" w:ascii="宋体" w:hAnsi="宋体" w:cs="宋体"/>
          <w:bCs/>
          <w:sz w:val="28"/>
          <w:szCs w:val="36"/>
          <w:highlight w:val="none"/>
        </w:rPr>
        <w:t>第四部分 合同条款及格式</w:t>
      </w:r>
      <w:r>
        <w:rPr>
          <w:sz w:val="28"/>
          <w:szCs w:val="36"/>
          <w:highlight w:val="none"/>
        </w:rPr>
        <w:tab/>
      </w:r>
      <w:r>
        <w:rPr>
          <w:sz w:val="28"/>
          <w:szCs w:val="36"/>
          <w:highlight w:val="none"/>
        </w:rPr>
        <w:fldChar w:fldCharType="begin"/>
      </w:r>
      <w:r>
        <w:rPr>
          <w:sz w:val="28"/>
          <w:szCs w:val="36"/>
          <w:highlight w:val="none"/>
        </w:rPr>
        <w:instrText xml:space="preserve"> PAGEREF _Toc31219 \h </w:instrText>
      </w:r>
      <w:r>
        <w:rPr>
          <w:sz w:val="28"/>
          <w:szCs w:val="36"/>
          <w:highlight w:val="none"/>
        </w:rPr>
        <w:fldChar w:fldCharType="separate"/>
      </w:r>
      <w:r>
        <w:rPr>
          <w:sz w:val="28"/>
          <w:szCs w:val="36"/>
          <w:highlight w:val="none"/>
        </w:rPr>
        <w:t>39</w:t>
      </w:r>
      <w:r>
        <w:rPr>
          <w:sz w:val="28"/>
          <w:szCs w:val="36"/>
          <w:highlight w:val="none"/>
        </w:rPr>
        <w:fldChar w:fldCharType="end"/>
      </w:r>
      <w:r>
        <w:rPr>
          <w:rFonts w:hint="eastAsia"/>
          <w:sz w:val="28"/>
          <w:szCs w:val="36"/>
          <w:highlight w:val="none"/>
        </w:rPr>
        <w:fldChar w:fldCharType="end"/>
      </w:r>
    </w:p>
    <w:p>
      <w:pPr>
        <w:pStyle w:val="29"/>
        <w:keepNext w:val="0"/>
        <w:keepLines w:val="0"/>
        <w:pageBreakBefore w:val="0"/>
        <w:widowControl w:val="0"/>
        <w:tabs>
          <w:tab w:val="right" w:leader="dot" w:pos="8958"/>
          <w:tab w:val="clear" w:pos="8820"/>
        </w:tabs>
        <w:kinsoku/>
        <w:wordWrap/>
        <w:overflowPunct/>
        <w:topLinePunct w:val="0"/>
        <w:autoSpaceDE/>
        <w:autoSpaceDN/>
        <w:bidi w:val="0"/>
        <w:adjustRightInd/>
        <w:snapToGrid/>
        <w:spacing w:line="1000" w:lineRule="exact"/>
        <w:ind w:left="630" w:leftChars="300" w:right="2100" w:rightChars="1000"/>
        <w:jc w:val="center"/>
        <w:textAlignment w:val="auto"/>
        <w:rPr>
          <w:sz w:val="28"/>
          <w:szCs w:val="36"/>
          <w:highlight w:val="none"/>
        </w:rPr>
      </w:pPr>
      <w:r>
        <w:rPr>
          <w:rFonts w:hint="eastAsia"/>
          <w:sz w:val="28"/>
          <w:szCs w:val="36"/>
          <w:highlight w:val="none"/>
        </w:rPr>
        <w:fldChar w:fldCharType="begin"/>
      </w:r>
      <w:r>
        <w:rPr>
          <w:rFonts w:hint="eastAsia"/>
          <w:sz w:val="28"/>
          <w:szCs w:val="36"/>
          <w:highlight w:val="none"/>
        </w:rPr>
        <w:instrText xml:space="preserve"> HYPERLINK \l _Toc27150 </w:instrText>
      </w:r>
      <w:r>
        <w:rPr>
          <w:rFonts w:hint="eastAsia"/>
          <w:sz w:val="28"/>
          <w:szCs w:val="36"/>
          <w:highlight w:val="none"/>
        </w:rPr>
        <w:fldChar w:fldCharType="separate"/>
      </w:r>
      <w:r>
        <w:rPr>
          <w:rFonts w:hint="eastAsia" w:asciiTheme="majorEastAsia" w:hAnsiTheme="majorEastAsia" w:eastAsiaTheme="majorEastAsia" w:cstheme="majorEastAsia"/>
          <w:bCs w:val="0"/>
          <w:sz w:val="28"/>
          <w:szCs w:val="44"/>
          <w:highlight w:val="none"/>
        </w:rPr>
        <w:t xml:space="preserve">第五部分  </w:t>
      </w:r>
      <w:r>
        <w:rPr>
          <w:rFonts w:hint="eastAsia" w:asciiTheme="majorEastAsia" w:hAnsiTheme="majorEastAsia" w:eastAsiaTheme="majorEastAsia" w:cstheme="majorEastAsia"/>
          <w:bCs w:val="0"/>
          <w:sz w:val="28"/>
          <w:szCs w:val="44"/>
          <w:highlight w:val="none"/>
          <w:lang w:val="en-US" w:eastAsia="zh-CN"/>
        </w:rPr>
        <w:t>采购</w:t>
      </w:r>
      <w:r>
        <w:rPr>
          <w:rFonts w:hint="eastAsia" w:asciiTheme="majorEastAsia" w:hAnsiTheme="majorEastAsia" w:eastAsiaTheme="majorEastAsia" w:cstheme="majorEastAsia"/>
          <w:bCs w:val="0"/>
          <w:sz w:val="28"/>
          <w:szCs w:val="44"/>
          <w:highlight w:val="none"/>
        </w:rPr>
        <w:t>内容及要求</w:t>
      </w:r>
      <w:r>
        <w:rPr>
          <w:sz w:val="28"/>
          <w:szCs w:val="36"/>
          <w:highlight w:val="none"/>
        </w:rPr>
        <w:tab/>
      </w:r>
      <w:r>
        <w:rPr>
          <w:sz w:val="28"/>
          <w:szCs w:val="36"/>
          <w:highlight w:val="none"/>
        </w:rPr>
        <w:fldChar w:fldCharType="begin"/>
      </w:r>
      <w:r>
        <w:rPr>
          <w:sz w:val="28"/>
          <w:szCs w:val="36"/>
          <w:highlight w:val="none"/>
        </w:rPr>
        <w:instrText xml:space="preserve"> PAGEREF _Toc27150 \h </w:instrText>
      </w:r>
      <w:r>
        <w:rPr>
          <w:sz w:val="28"/>
          <w:szCs w:val="36"/>
          <w:highlight w:val="none"/>
        </w:rPr>
        <w:fldChar w:fldCharType="separate"/>
      </w:r>
      <w:r>
        <w:rPr>
          <w:sz w:val="28"/>
          <w:szCs w:val="36"/>
          <w:highlight w:val="none"/>
        </w:rPr>
        <w:t>45</w:t>
      </w:r>
      <w:r>
        <w:rPr>
          <w:sz w:val="28"/>
          <w:szCs w:val="36"/>
          <w:highlight w:val="none"/>
        </w:rPr>
        <w:fldChar w:fldCharType="end"/>
      </w:r>
      <w:r>
        <w:rPr>
          <w:rFonts w:hint="eastAsia"/>
          <w:sz w:val="28"/>
          <w:szCs w:val="36"/>
          <w:highlight w:val="none"/>
        </w:rPr>
        <w:fldChar w:fldCharType="end"/>
      </w:r>
    </w:p>
    <w:p>
      <w:pPr>
        <w:pStyle w:val="29"/>
        <w:keepNext w:val="0"/>
        <w:keepLines w:val="0"/>
        <w:pageBreakBefore w:val="0"/>
        <w:widowControl w:val="0"/>
        <w:tabs>
          <w:tab w:val="right" w:leader="dot" w:pos="8958"/>
          <w:tab w:val="clear" w:pos="8820"/>
        </w:tabs>
        <w:kinsoku/>
        <w:wordWrap/>
        <w:overflowPunct/>
        <w:topLinePunct w:val="0"/>
        <w:autoSpaceDE/>
        <w:autoSpaceDN/>
        <w:bidi w:val="0"/>
        <w:adjustRightInd/>
        <w:snapToGrid/>
        <w:spacing w:line="1000" w:lineRule="exact"/>
        <w:ind w:left="630" w:leftChars="300" w:right="2100" w:rightChars="1000"/>
        <w:jc w:val="center"/>
        <w:textAlignment w:val="auto"/>
        <w:rPr>
          <w:highlight w:val="none"/>
        </w:rPr>
      </w:pPr>
      <w:r>
        <w:rPr>
          <w:rFonts w:hint="eastAsia"/>
          <w:sz w:val="28"/>
          <w:szCs w:val="36"/>
          <w:highlight w:val="none"/>
        </w:rPr>
        <w:fldChar w:fldCharType="begin"/>
      </w:r>
      <w:r>
        <w:rPr>
          <w:rFonts w:hint="eastAsia"/>
          <w:sz w:val="28"/>
          <w:szCs w:val="36"/>
          <w:highlight w:val="none"/>
        </w:rPr>
        <w:instrText xml:space="preserve"> HYPERLINK \l _Toc20857 </w:instrText>
      </w:r>
      <w:r>
        <w:rPr>
          <w:rFonts w:hint="eastAsia"/>
          <w:sz w:val="28"/>
          <w:szCs w:val="36"/>
          <w:highlight w:val="none"/>
        </w:rPr>
        <w:fldChar w:fldCharType="separate"/>
      </w:r>
      <w:r>
        <w:rPr>
          <w:rFonts w:hint="eastAsia" w:ascii="宋体" w:hAnsi="宋体" w:cs="宋体"/>
          <w:bCs/>
          <w:sz w:val="28"/>
          <w:szCs w:val="36"/>
          <w:highlight w:val="none"/>
        </w:rPr>
        <w:t>第六部分  投标文件格式</w:t>
      </w:r>
      <w:r>
        <w:rPr>
          <w:sz w:val="28"/>
          <w:szCs w:val="36"/>
          <w:highlight w:val="none"/>
        </w:rPr>
        <w:tab/>
      </w:r>
      <w:r>
        <w:rPr>
          <w:sz w:val="28"/>
          <w:szCs w:val="36"/>
          <w:highlight w:val="none"/>
        </w:rPr>
        <w:fldChar w:fldCharType="begin"/>
      </w:r>
      <w:r>
        <w:rPr>
          <w:sz w:val="28"/>
          <w:szCs w:val="36"/>
          <w:highlight w:val="none"/>
        </w:rPr>
        <w:instrText xml:space="preserve"> PAGEREF _Toc20857 \h </w:instrText>
      </w:r>
      <w:r>
        <w:rPr>
          <w:sz w:val="28"/>
          <w:szCs w:val="36"/>
          <w:highlight w:val="none"/>
        </w:rPr>
        <w:fldChar w:fldCharType="separate"/>
      </w:r>
      <w:r>
        <w:rPr>
          <w:sz w:val="28"/>
          <w:szCs w:val="36"/>
          <w:highlight w:val="none"/>
        </w:rPr>
        <w:t>47</w:t>
      </w:r>
      <w:r>
        <w:rPr>
          <w:sz w:val="28"/>
          <w:szCs w:val="36"/>
          <w:highlight w:val="none"/>
        </w:rPr>
        <w:fldChar w:fldCharType="end"/>
      </w:r>
      <w:r>
        <w:rPr>
          <w:rFonts w:hint="eastAsia"/>
          <w:sz w:val="28"/>
          <w:szCs w:val="36"/>
          <w:highlight w:val="none"/>
        </w:rPr>
        <w:fldChar w:fldCharType="end"/>
      </w:r>
    </w:p>
    <w:p>
      <w:pPr>
        <w:pStyle w:val="20"/>
        <w:tabs>
          <w:tab w:val="right" w:leader="dot" w:pos="8958"/>
        </w:tabs>
        <w:rPr>
          <w:highlight w:val="none"/>
        </w:rPr>
      </w:pPr>
    </w:p>
    <w:p>
      <w:pPr>
        <w:pStyle w:val="2"/>
        <w:rPr>
          <w:rFonts w:hint="eastAsia"/>
          <w:highlight w:val="none"/>
        </w:rPr>
      </w:pPr>
      <w:r>
        <w:rPr>
          <w:rFonts w:hint="eastAsia"/>
          <w:highlight w:val="none"/>
        </w:rPr>
        <w:fldChar w:fldCharType="end"/>
      </w:r>
    </w:p>
    <w:p>
      <w:pPr>
        <w:rPr>
          <w:rFonts w:hint="eastAsia"/>
          <w:highlight w:val="none"/>
        </w:rPr>
      </w:pPr>
      <w:bookmarkStart w:id="7" w:name="_Toc1777"/>
      <w:r>
        <w:rPr>
          <w:rFonts w:hint="eastAsia"/>
          <w:highlight w:val="none"/>
        </w:rPr>
        <w:br w:type="page"/>
      </w:r>
    </w:p>
    <w:p>
      <w:pPr>
        <w:pStyle w:val="4"/>
        <w:bidi w:val="0"/>
        <w:jc w:val="center"/>
        <w:rPr>
          <w:rFonts w:hint="eastAsia"/>
          <w:highlight w:val="none"/>
        </w:rPr>
      </w:pPr>
      <w:r>
        <w:rPr>
          <w:rFonts w:hint="eastAsia"/>
          <w:highlight w:val="none"/>
        </w:rPr>
        <w:t>第一部分  招标公告</w:t>
      </w:r>
      <w:bookmarkEnd w:id="2"/>
      <w:bookmarkEnd w:id="3"/>
      <w:bookmarkEnd w:id="7"/>
    </w:p>
    <w:tbl>
      <w:tblPr>
        <w:tblStyle w:val="42"/>
        <w:tblpPr w:leftFromText="180" w:rightFromText="180" w:vertAnchor="text" w:tblpX="176" w:tblpY="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9229" w:type="dxa"/>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1289" w:leftChars="100" w:right="0" w:hanging="1079" w:hangingChars="448"/>
              <w:jc w:val="both"/>
              <w:rPr>
                <w:rFonts w:hint="eastAsia" w:asciiTheme="minorEastAsia" w:hAnsiTheme="minorEastAsia" w:eastAsiaTheme="minorEastAsia" w:cstheme="minorEastAsia"/>
                <w:b w:val="0"/>
                <w:bCs w:val="0"/>
                <w:sz w:val="24"/>
                <w:szCs w:val="24"/>
                <w:highlight w:val="none"/>
              </w:rPr>
            </w:pPr>
            <w:r>
              <w:rPr>
                <w:rStyle w:val="44"/>
                <w:rFonts w:hint="eastAsia" w:asciiTheme="minorEastAsia" w:hAnsiTheme="minorEastAsia" w:eastAsiaTheme="minorEastAsia" w:cstheme="minorEastAsia"/>
                <w:b/>
                <w:bCs/>
                <w:i w:val="0"/>
                <w:iCs w:val="0"/>
                <w:caps w:val="0"/>
                <w:color w:val="222222"/>
                <w:spacing w:val="0"/>
                <w:sz w:val="24"/>
                <w:szCs w:val="24"/>
                <w:highlight w:val="none"/>
                <w:shd w:val="clear" w:fill="FFFFFF"/>
              </w:rPr>
              <w:t>项目概况</w:t>
            </w:r>
          </w:p>
          <w:p>
            <w:pPr>
              <w:spacing w:line="360" w:lineRule="auto"/>
              <w:ind w:firstLine="480" w:firstLineChars="200"/>
              <w:rPr>
                <w:rStyle w:val="44"/>
                <w:rFonts w:hint="eastAsia" w:asciiTheme="minorEastAsia" w:hAnsiTheme="minorEastAsia" w:eastAsiaTheme="minorEastAsia" w:cstheme="minorEastAsia"/>
                <w:b/>
                <w:bCs/>
                <w:i w:val="0"/>
                <w:iCs w:val="0"/>
                <w:caps w:val="0"/>
                <w:color w:val="222222"/>
                <w:spacing w:val="0"/>
                <w:sz w:val="24"/>
                <w:szCs w:val="24"/>
                <w:highlight w:val="none"/>
                <w:shd w:val="clear" w:fill="FFFFFF"/>
                <w:vertAlign w:val="baseline"/>
              </w:rPr>
            </w:pPr>
            <w:r>
              <w:rPr>
                <w:rFonts w:hint="eastAsia" w:asciiTheme="minorEastAsia" w:hAnsiTheme="minorEastAsia" w:eastAsiaTheme="minorEastAsia" w:cstheme="minorEastAsia"/>
                <w:b w:val="0"/>
                <w:bCs w:val="0"/>
                <w:i w:val="0"/>
                <w:iCs w:val="0"/>
                <w:caps w:val="0"/>
                <w:color w:val="222222"/>
                <w:spacing w:val="0"/>
                <w:kern w:val="0"/>
                <w:sz w:val="24"/>
                <w:szCs w:val="24"/>
                <w:highlight w:val="none"/>
                <w:shd w:val="clear" w:fill="FFFFFF"/>
                <w:lang w:val="en-US" w:eastAsia="zh-CN" w:bidi="ar-SA"/>
              </w:rPr>
              <w:t>2023年度全国卫生专业技术资格考试暨护士执业资格考试西安考点考务服务项目（三次）招标项目的潜在投标人应在全国公共资源交易平台(陕西省·西安市)网站〖首页&gt;电子交易平台&gt;陕西政府采购交易系统&gt;企业端〗获取招标文件，并于2023年04月04日09时30分前递交投标文件。</w:t>
            </w:r>
          </w:p>
        </w:tc>
      </w:tr>
    </w:tbl>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Theme="minorEastAsia" w:hAnsiTheme="minorEastAsia" w:eastAsiaTheme="minorEastAsia" w:cstheme="minorEastAsia"/>
          <w:b/>
          <w:bCs/>
          <w:i w:val="0"/>
          <w:iCs w:val="0"/>
          <w:caps w:val="0"/>
          <w:color w:val="222222"/>
          <w:spacing w:val="0"/>
          <w:sz w:val="24"/>
          <w:szCs w:val="24"/>
          <w:highlight w:val="none"/>
          <w:shd w:val="clear" w:fill="FFFFFF"/>
        </w:rPr>
      </w:pPr>
      <w:r>
        <w:rPr>
          <w:rFonts w:hint="eastAsia" w:asciiTheme="minorEastAsia" w:hAnsiTheme="minorEastAsia" w:eastAsiaTheme="minorEastAsia" w:cstheme="minorEastAsia"/>
          <w:b/>
          <w:bCs/>
          <w:i w:val="0"/>
          <w:iCs w:val="0"/>
          <w:caps w:val="0"/>
          <w:color w:val="222222"/>
          <w:spacing w:val="0"/>
          <w:sz w:val="24"/>
          <w:szCs w:val="24"/>
          <w:highlight w:val="none"/>
          <w:shd w:val="clear" w:fill="FFFFFF"/>
        </w:rPr>
        <w:t>一、项目基本情况</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222222"/>
          <w:spacing w:val="0"/>
          <w:sz w:val="24"/>
          <w:szCs w:val="24"/>
          <w:highlight w:val="none"/>
          <w:lang w:eastAsia="zh-CN"/>
        </w:rPr>
      </w:pPr>
      <w:r>
        <w:rPr>
          <w:rFonts w:hint="eastAsia" w:asciiTheme="minorEastAsia" w:hAnsiTheme="minorEastAsia" w:eastAsiaTheme="minorEastAsia" w:cstheme="minorEastAsia"/>
          <w:i w:val="0"/>
          <w:iCs w:val="0"/>
          <w:caps w:val="0"/>
          <w:color w:val="222222"/>
          <w:spacing w:val="0"/>
          <w:sz w:val="24"/>
          <w:szCs w:val="24"/>
          <w:highlight w:val="none"/>
          <w:shd w:val="clear" w:fill="FFFFFF"/>
        </w:rPr>
        <w:t>项目编号：</w:t>
      </w:r>
      <w:r>
        <w:rPr>
          <w:rFonts w:hint="eastAsia" w:asciiTheme="minorEastAsia" w:hAnsiTheme="minorEastAsia" w:eastAsiaTheme="minorEastAsia" w:cstheme="minorEastAsia"/>
          <w:i w:val="0"/>
          <w:iCs w:val="0"/>
          <w:caps w:val="0"/>
          <w:color w:val="222222"/>
          <w:spacing w:val="0"/>
          <w:sz w:val="24"/>
          <w:szCs w:val="24"/>
          <w:highlight w:val="none"/>
          <w:shd w:val="clear" w:fill="FFFFFF"/>
          <w:lang w:eastAsia="zh-CN"/>
        </w:rPr>
        <w:t>SXJTZB-ZC-GK20230128</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222222"/>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222222"/>
          <w:spacing w:val="0"/>
          <w:sz w:val="24"/>
          <w:szCs w:val="24"/>
          <w:highlight w:val="none"/>
          <w:shd w:val="clear" w:fill="FFFFFF"/>
        </w:rPr>
        <w:t>项目名称：</w:t>
      </w:r>
      <w:r>
        <w:rPr>
          <w:rFonts w:hint="eastAsia" w:asciiTheme="minorEastAsia" w:hAnsiTheme="minorEastAsia" w:eastAsiaTheme="minorEastAsia" w:cstheme="minorEastAsia"/>
          <w:i w:val="0"/>
          <w:iCs w:val="0"/>
          <w:caps w:val="0"/>
          <w:color w:val="222222"/>
          <w:spacing w:val="0"/>
          <w:sz w:val="24"/>
          <w:szCs w:val="24"/>
          <w:highlight w:val="none"/>
          <w:shd w:val="clear" w:fill="FFFFFF"/>
          <w:lang w:eastAsia="zh-CN"/>
        </w:rPr>
        <w:t>2023年度全国卫生专业技术资格考试暨护士执业资格考试西安考点考务服务项目（三次）</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222222"/>
          <w:spacing w:val="0"/>
          <w:sz w:val="24"/>
          <w:szCs w:val="24"/>
          <w:highlight w:val="none"/>
        </w:rPr>
      </w:pPr>
      <w:r>
        <w:rPr>
          <w:rFonts w:hint="eastAsia" w:asciiTheme="minorEastAsia" w:hAnsiTheme="minorEastAsia" w:eastAsiaTheme="minorEastAsia" w:cstheme="minorEastAsia"/>
          <w:i w:val="0"/>
          <w:iCs w:val="0"/>
          <w:caps w:val="0"/>
          <w:color w:val="222222"/>
          <w:spacing w:val="0"/>
          <w:sz w:val="24"/>
          <w:szCs w:val="24"/>
          <w:highlight w:val="none"/>
          <w:shd w:val="clear" w:fill="FFFFFF"/>
        </w:rPr>
        <w:t>采购方式：公开招标</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222222"/>
          <w:spacing w:val="0"/>
          <w:sz w:val="24"/>
          <w:szCs w:val="24"/>
          <w:highlight w:val="none"/>
        </w:rPr>
      </w:pPr>
      <w:r>
        <w:rPr>
          <w:rFonts w:hint="eastAsia" w:asciiTheme="minorEastAsia" w:hAnsiTheme="minorEastAsia" w:eastAsiaTheme="minorEastAsia" w:cstheme="minorEastAsia"/>
          <w:i w:val="0"/>
          <w:iCs w:val="0"/>
          <w:caps w:val="0"/>
          <w:color w:val="222222"/>
          <w:spacing w:val="0"/>
          <w:sz w:val="24"/>
          <w:szCs w:val="24"/>
          <w:highlight w:val="none"/>
          <w:shd w:val="clear" w:fill="FFFFFF"/>
        </w:rPr>
        <w:t>预算金额：</w:t>
      </w:r>
      <w:r>
        <w:rPr>
          <w:rFonts w:hint="eastAsia" w:asciiTheme="minorEastAsia" w:hAnsiTheme="minorEastAsia" w:eastAsiaTheme="minorEastAsia" w:cstheme="minorEastAsia"/>
          <w:i w:val="0"/>
          <w:iCs w:val="0"/>
          <w:caps w:val="0"/>
          <w:color w:val="222222"/>
          <w:spacing w:val="0"/>
          <w:sz w:val="24"/>
          <w:szCs w:val="24"/>
          <w:highlight w:val="none"/>
          <w:shd w:val="clear" w:fill="FFFFFF"/>
          <w:lang w:val="en-US" w:eastAsia="zh-CN"/>
        </w:rPr>
        <w:t>2,771,500.00元</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222222"/>
          <w:spacing w:val="0"/>
          <w:sz w:val="24"/>
          <w:szCs w:val="24"/>
          <w:highlight w:val="none"/>
        </w:rPr>
      </w:pPr>
      <w:r>
        <w:rPr>
          <w:rFonts w:hint="eastAsia" w:asciiTheme="minorEastAsia" w:hAnsiTheme="minorEastAsia" w:eastAsiaTheme="minorEastAsia" w:cstheme="minorEastAsia"/>
          <w:i w:val="0"/>
          <w:iCs w:val="0"/>
          <w:caps w:val="0"/>
          <w:color w:val="222222"/>
          <w:spacing w:val="0"/>
          <w:sz w:val="24"/>
          <w:szCs w:val="24"/>
          <w:highlight w:val="none"/>
          <w:shd w:val="clear" w:fill="FFFFFF"/>
        </w:rPr>
        <w:t>采购需求：</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222222"/>
          <w:spacing w:val="0"/>
          <w:sz w:val="24"/>
          <w:szCs w:val="24"/>
          <w:highlight w:val="none"/>
          <w:shd w:val="clear" w:fill="FFFFFF"/>
        </w:rPr>
      </w:pPr>
      <w:r>
        <w:rPr>
          <w:rFonts w:hint="eastAsia" w:asciiTheme="minorEastAsia" w:hAnsiTheme="minorEastAsia" w:eastAsiaTheme="minorEastAsia" w:cstheme="minorEastAsia"/>
          <w:i w:val="0"/>
          <w:iCs w:val="0"/>
          <w:caps w:val="0"/>
          <w:color w:val="222222"/>
          <w:spacing w:val="0"/>
          <w:sz w:val="24"/>
          <w:szCs w:val="24"/>
          <w:highlight w:val="none"/>
          <w:shd w:val="clear" w:fill="FFFFFF"/>
        </w:rPr>
        <w:t>合同包1(</w:t>
      </w:r>
      <w:r>
        <w:rPr>
          <w:rFonts w:hint="eastAsia" w:asciiTheme="minorEastAsia" w:hAnsiTheme="minorEastAsia" w:eastAsiaTheme="minorEastAsia" w:cstheme="minorEastAsia"/>
          <w:i w:val="0"/>
          <w:iCs w:val="0"/>
          <w:caps w:val="0"/>
          <w:color w:val="222222"/>
          <w:spacing w:val="0"/>
          <w:sz w:val="24"/>
          <w:szCs w:val="24"/>
          <w:highlight w:val="none"/>
          <w:shd w:val="clear" w:fill="FFFFFF"/>
          <w:lang w:eastAsia="zh-CN"/>
        </w:rPr>
        <w:t>2023年度全国卫生专业技术资格考试暨护士执业资格考试西安考点考务服务项目</w:t>
      </w:r>
      <w:r>
        <w:rPr>
          <w:rFonts w:hint="eastAsia" w:asciiTheme="minorEastAsia" w:hAnsiTheme="minorEastAsia" w:eastAsiaTheme="minorEastAsia" w:cstheme="minorEastAsia"/>
          <w:i w:val="0"/>
          <w:iCs w:val="0"/>
          <w:caps w:val="0"/>
          <w:color w:val="222222"/>
          <w:spacing w:val="0"/>
          <w:sz w:val="24"/>
          <w:szCs w:val="24"/>
          <w:highlight w:val="none"/>
          <w:shd w:val="clear" w:fill="FFFFFF"/>
        </w:rPr>
        <w:t>):</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222222"/>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222222"/>
          <w:spacing w:val="0"/>
          <w:sz w:val="24"/>
          <w:szCs w:val="24"/>
          <w:highlight w:val="none"/>
          <w:shd w:val="clear" w:fill="FFFFFF"/>
        </w:rPr>
        <w:t>合同包预算金额：</w:t>
      </w:r>
      <w:r>
        <w:rPr>
          <w:rFonts w:hint="eastAsia" w:asciiTheme="minorEastAsia" w:hAnsiTheme="minorEastAsia" w:eastAsiaTheme="minorEastAsia" w:cstheme="minorEastAsia"/>
          <w:i w:val="0"/>
          <w:iCs w:val="0"/>
          <w:caps w:val="0"/>
          <w:color w:val="222222"/>
          <w:spacing w:val="0"/>
          <w:sz w:val="24"/>
          <w:szCs w:val="24"/>
          <w:highlight w:val="none"/>
          <w:shd w:val="clear" w:fill="FFFFFF"/>
          <w:lang w:val="en-US" w:eastAsia="zh-CN"/>
        </w:rPr>
        <w:t>2,771,500.00元</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222222"/>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222222"/>
          <w:spacing w:val="0"/>
          <w:sz w:val="24"/>
          <w:szCs w:val="24"/>
          <w:highlight w:val="none"/>
          <w:shd w:val="clear" w:fill="FFFFFF"/>
          <w:lang w:val="en-US" w:eastAsia="zh-CN"/>
        </w:rPr>
        <w:t>合同包最高限价：2,771,500.00元</w:t>
      </w:r>
    </w:p>
    <w:tbl>
      <w:tblPr>
        <w:tblStyle w:val="41"/>
        <w:tblW w:w="102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77"/>
        <w:gridCol w:w="1249"/>
        <w:gridCol w:w="1230"/>
        <w:gridCol w:w="1135"/>
        <w:gridCol w:w="2574"/>
        <w:gridCol w:w="1695"/>
        <w:gridCol w:w="16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82" w:hRule="atLeast"/>
          <w:tblHeader/>
        </w:trPr>
        <w:tc>
          <w:tcPr>
            <w:tcW w:w="6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kern w:val="0"/>
                <w:sz w:val="24"/>
                <w:szCs w:val="24"/>
                <w:highlight w:val="none"/>
                <w:lang w:val="en-US" w:eastAsia="zh-CN" w:bidi="ar"/>
              </w:rPr>
              <w:t>品目号</w:t>
            </w:r>
          </w:p>
        </w:tc>
        <w:tc>
          <w:tcPr>
            <w:tcW w:w="12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kern w:val="0"/>
                <w:sz w:val="24"/>
                <w:szCs w:val="24"/>
                <w:highlight w:val="none"/>
                <w:lang w:val="en-US" w:eastAsia="zh-CN" w:bidi="ar"/>
              </w:rPr>
              <w:t>品目名称</w:t>
            </w:r>
          </w:p>
        </w:tc>
        <w:tc>
          <w:tcPr>
            <w:tcW w:w="12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kern w:val="0"/>
                <w:sz w:val="24"/>
                <w:szCs w:val="24"/>
                <w:highlight w:val="none"/>
                <w:lang w:val="en-US" w:eastAsia="zh-CN" w:bidi="ar"/>
              </w:rPr>
              <w:t>采购标的</w:t>
            </w:r>
          </w:p>
        </w:tc>
        <w:tc>
          <w:tcPr>
            <w:tcW w:w="11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kern w:val="0"/>
                <w:sz w:val="24"/>
                <w:szCs w:val="24"/>
                <w:highlight w:val="none"/>
                <w:lang w:val="en-US" w:eastAsia="zh-CN" w:bidi="ar"/>
              </w:rPr>
            </w:pPr>
            <w:r>
              <w:rPr>
                <w:rFonts w:hint="eastAsia" w:asciiTheme="minorEastAsia" w:hAnsiTheme="minorEastAsia" w:eastAsiaTheme="minorEastAsia" w:cstheme="minorEastAsia"/>
                <w:b/>
                <w:bCs/>
                <w:kern w:val="0"/>
                <w:sz w:val="24"/>
                <w:szCs w:val="24"/>
                <w:highlight w:val="none"/>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kern w:val="0"/>
                <w:sz w:val="24"/>
                <w:szCs w:val="24"/>
                <w:highlight w:val="none"/>
                <w:lang w:val="en-US" w:eastAsia="zh-CN" w:bidi="ar"/>
              </w:rPr>
              <w:t>（单位）</w:t>
            </w:r>
          </w:p>
        </w:tc>
        <w:tc>
          <w:tcPr>
            <w:tcW w:w="25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kern w:val="0"/>
                <w:sz w:val="24"/>
                <w:szCs w:val="24"/>
                <w:highlight w:val="none"/>
                <w:lang w:val="en-US" w:eastAsia="zh-CN" w:bidi="ar"/>
              </w:rPr>
              <w:t>技术规格、参数及要求</w:t>
            </w:r>
          </w:p>
        </w:tc>
        <w:tc>
          <w:tcPr>
            <w:tcW w:w="16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kern w:val="0"/>
                <w:sz w:val="24"/>
                <w:szCs w:val="24"/>
                <w:highlight w:val="none"/>
                <w:lang w:val="en-US" w:eastAsia="zh-CN" w:bidi="ar"/>
              </w:rPr>
              <w:t>品目预算(元)</w:t>
            </w:r>
          </w:p>
        </w:tc>
        <w:tc>
          <w:tcPr>
            <w:tcW w:w="1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61" w:hRule="atLeast"/>
        </w:trPr>
        <w:tc>
          <w:tcPr>
            <w:tcW w:w="6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val="en-US" w:eastAsia="zh-CN" w:bidi="ar"/>
              </w:rPr>
              <w:t>1-1</w:t>
            </w:r>
          </w:p>
        </w:tc>
        <w:tc>
          <w:tcPr>
            <w:tcW w:w="12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考试服务</w:t>
            </w:r>
          </w:p>
        </w:tc>
        <w:tc>
          <w:tcPr>
            <w:tcW w:w="12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1</w:t>
            </w:r>
          </w:p>
        </w:tc>
        <w:tc>
          <w:tcPr>
            <w:tcW w:w="11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val="en-US" w:eastAsia="zh-CN" w:bidi="ar"/>
              </w:rPr>
              <w:t>1(项)</w:t>
            </w:r>
          </w:p>
        </w:tc>
        <w:tc>
          <w:tcPr>
            <w:tcW w:w="25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val="en-US" w:eastAsia="zh-CN" w:bidi="ar"/>
              </w:rPr>
              <w:t>详见采购文件</w:t>
            </w:r>
          </w:p>
        </w:tc>
        <w:tc>
          <w:tcPr>
            <w:tcW w:w="16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aps w:val="0"/>
                <w:color w:val="222222"/>
                <w:spacing w:val="0"/>
                <w:sz w:val="24"/>
                <w:szCs w:val="24"/>
                <w:highlight w:val="none"/>
                <w:shd w:val="clear" w:fill="FFFFFF"/>
                <w:lang w:val="en-US" w:eastAsia="zh-CN"/>
              </w:rPr>
              <w:t>2,771,500.00</w:t>
            </w:r>
          </w:p>
        </w:tc>
        <w:tc>
          <w:tcPr>
            <w:tcW w:w="1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aps w:val="0"/>
                <w:color w:val="222222"/>
                <w:spacing w:val="0"/>
                <w:sz w:val="24"/>
                <w:szCs w:val="24"/>
                <w:highlight w:val="none"/>
                <w:shd w:val="clear" w:fill="FFFFFF"/>
                <w:lang w:val="en-US" w:eastAsia="zh-CN"/>
              </w:rPr>
              <w:t>2,771,500.00</w:t>
            </w:r>
          </w:p>
        </w:tc>
      </w:tr>
    </w:tbl>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222222"/>
          <w:spacing w:val="0"/>
          <w:sz w:val="24"/>
          <w:szCs w:val="24"/>
          <w:highlight w:val="none"/>
          <w:shd w:val="clear" w:fill="FFFFFF"/>
        </w:rPr>
      </w:pPr>
      <w:r>
        <w:rPr>
          <w:rFonts w:hint="eastAsia" w:asciiTheme="minorEastAsia" w:hAnsiTheme="minorEastAsia" w:eastAsiaTheme="minorEastAsia" w:cstheme="minorEastAsia"/>
          <w:i w:val="0"/>
          <w:iCs w:val="0"/>
          <w:caps w:val="0"/>
          <w:color w:val="222222"/>
          <w:spacing w:val="0"/>
          <w:sz w:val="24"/>
          <w:szCs w:val="24"/>
          <w:highlight w:val="none"/>
          <w:shd w:val="clear" w:fill="FFFFFF"/>
        </w:rPr>
        <w:t>本合同包不接受联合体投标</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222222"/>
          <w:spacing w:val="0"/>
          <w:sz w:val="24"/>
          <w:szCs w:val="24"/>
          <w:highlight w:val="none"/>
          <w:shd w:val="clear" w:fill="FFFFFF"/>
        </w:rPr>
      </w:pPr>
      <w:r>
        <w:rPr>
          <w:rFonts w:hint="eastAsia" w:asciiTheme="minorEastAsia" w:hAnsiTheme="minorEastAsia" w:eastAsiaTheme="minorEastAsia" w:cstheme="minorEastAsia"/>
          <w:i w:val="0"/>
          <w:iCs w:val="0"/>
          <w:caps w:val="0"/>
          <w:color w:val="222222"/>
          <w:spacing w:val="0"/>
          <w:sz w:val="24"/>
          <w:szCs w:val="24"/>
          <w:highlight w:val="none"/>
          <w:shd w:val="clear" w:fill="FFFFFF"/>
        </w:rPr>
        <w:t>合同履行期限：具体以项目开展后采购人要求为准。乙方应积极履行其合同义务，完成合同范围内的相关工作。</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Theme="minorEastAsia" w:hAnsiTheme="minorEastAsia" w:eastAsiaTheme="minorEastAsia" w:cstheme="minorEastAsia"/>
          <w:b/>
          <w:bCs/>
          <w:i w:val="0"/>
          <w:iCs w:val="0"/>
          <w:caps w:val="0"/>
          <w:color w:val="222222"/>
          <w:spacing w:val="0"/>
          <w:sz w:val="24"/>
          <w:szCs w:val="24"/>
          <w:highlight w:val="none"/>
          <w:shd w:val="clear" w:fill="FFFFFF"/>
        </w:rPr>
      </w:pPr>
      <w:r>
        <w:rPr>
          <w:rFonts w:hint="eastAsia" w:asciiTheme="minorEastAsia" w:hAnsiTheme="minorEastAsia" w:eastAsiaTheme="minorEastAsia" w:cstheme="minorEastAsia"/>
          <w:b/>
          <w:bCs/>
          <w:i w:val="0"/>
          <w:iCs w:val="0"/>
          <w:caps w:val="0"/>
          <w:color w:val="222222"/>
          <w:spacing w:val="0"/>
          <w:sz w:val="24"/>
          <w:szCs w:val="24"/>
          <w:highlight w:val="none"/>
          <w:shd w:val="clear" w:fill="FFFFFF"/>
        </w:rPr>
        <w:t>二、申请人的资格要求：</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222222"/>
          <w:spacing w:val="0"/>
          <w:sz w:val="24"/>
          <w:szCs w:val="24"/>
          <w:highlight w:val="none"/>
          <w:shd w:val="clear" w:fill="FFFFFF"/>
        </w:rPr>
      </w:pPr>
      <w:r>
        <w:rPr>
          <w:rFonts w:hint="eastAsia" w:asciiTheme="minorEastAsia" w:hAnsiTheme="minorEastAsia" w:eastAsiaTheme="minorEastAsia" w:cstheme="minorEastAsia"/>
          <w:i w:val="0"/>
          <w:iCs w:val="0"/>
          <w:caps w:val="0"/>
          <w:color w:val="222222"/>
          <w:spacing w:val="0"/>
          <w:sz w:val="24"/>
          <w:szCs w:val="24"/>
          <w:highlight w:val="none"/>
          <w:shd w:val="clear" w:fill="FFFFFF"/>
        </w:rPr>
        <w:t>1.满足《中华人民共和国政府釆购法》第二十二条规定;</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222222"/>
          <w:spacing w:val="0"/>
          <w:sz w:val="24"/>
          <w:szCs w:val="24"/>
          <w:highlight w:val="none"/>
          <w:shd w:val="clear" w:fill="FFFFFF"/>
        </w:rPr>
      </w:pPr>
      <w:r>
        <w:rPr>
          <w:rFonts w:hint="eastAsia" w:asciiTheme="minorEastAsia" w:hAnsiTheme="minorEastAsia" w:eastAsiaTheme="minorEastAsia" w:cstheme="minorEastAsia"/>
          <w:i w:val="0"/>
          <w:iCs w:val="0"/>
          <w:caps w:val="0"/>
          <w:color w:val="222222"/>
          <w:spacing w:val="0"/>
          <w:sz w:val="24"/>
          <w:szCs w:val="24"/>
          <w:highlight w:val="none"/>
          <w:shd w:val="clear" w:fill="FFFFFF"/>
        </w:rPr>
        <w:t>2.落实政府采购政策需满足的资格要求：</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222222"/>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222222"/>
          <w:spacing w:val="0"/>
          <w:sz w:val="24"/>
          <w:szCs w:val="24"/>
          <w:highlight w:val="none"/>
          <w:shd w:val="clear" w:fill="FFFFFF"/>
        </w:rPr>
        <w:t>合同包1(</w:t>
      </w:r>
      <w:r>
        <w:rPr>
          <w:rFonts w:hint="eastAsia" w:asciiTheme="minorEastAsia" w:hAnsiTheme="minorEastAsia" w:eastAsiaTheme="minorEastAsia" w:cstheme="minorEastAsia"/>
          <w:i w:val="0"/>
          <w:iCs w:val="0"/>
          <w:caps w:val="0"/>
          <w:color w:val="222222"/>
          <w:spacing w:val="0"/>
          <w:sz w:val="24"/>
          <w:szCs w:val="24"/>
          <w:highlight w:val="none"/>
          <w:shd w:val="clear" w:fill="FFFFFF"/>
          <w:lang w:eastAsia="zh-CN"/>
        </w:rPr>
        <w:t>2023年度全国卫生专业技术资格考试暨护士执业资格考试西安考点考务服务项目</w:t>
      </w:r>
      <w:r>
        <w:rPr>
          <w:rFonts w:hint="eastAsia" w:asciiTheme="minorEastAsia" w:hAnsiTheme="minorEastAsia" w:eastAsiaTheme="minorEastAsia" w:cstheme="minorEastAsia"/>
          <w:i w:val="0"/>
          <w:iCs w:val="0"/>
          <w:caps w:val="0"/>
          <w:color w:val="222222"/>
          <w:spacing w:val="0"/>
          <w:sz w:val="24"/>
          <w:szCs w:val="24"/>
          <w:highlight w:val="none"/>
          <w:shd w:val="clear" w:fill="FFFFFF"/>
        </w:rPr>
        <w:t>)落实政府采购政策需满足的资格要求如下</w:t>
      </w:r>
      <w:r>
        <w:rPr>
          <w:rFonts w:hint="eastAsia" w:asciiTheme="minorEastAsia" w:hAnsiTheme="minorEastAsia" w:eastAsiaTheme="minorEastAsia" w:cstheme="minorEastAsia"/>
          <w:i w:val="0"/>
          <w:iCs w:val="0"/>
          <w:caps w:val="0"/>
          <w:color w:val="222222"/>
          <w:spacing w:val="0"/>
          <w:sz w:val="24"/>
          <w:szCs w:val="24"/>
          <w:highlight w:val="none"/>
          <w:shd w:val="clear" w:fill="FFFFFF"/>
          <w:lang w:eastAsia="zh-CN"/>
        </w:rPr>
        <w:t>：</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Style w:val="135"/>
          <w:rFonts w:hint="eastAsia" w:ascii="宋体" w:hAnsi="宋体" w:eastAsia="宋体" w:cs="宋体"/>
          <w:color w:val="000000"/>
          <w:kern w:val="0"/>
          <w:sz w:val="24"/>
          <w:szCs w:val="24"/>
          <w:highlight w:val="none"/>
        </w:rPr>
      </w:pPr>
      <w:r>
        <w:rPr>
          <w:rStyle w:val="135"/>
          <w:rFonts w:hint="eastAsia" w:ascii="宋体" w:hAnsi="宋体" w:eastAsia="宋体" w:cs="宋体"/>
          <w:color w:val="000000"/>
          <w:kern w:val="0"/>
          <w:sz w:val="24"/>
          <w:szCs w:val="24"/>
          <w:highlight w:val="none"/>
        </w:rPr>
        <w:t>本项目</w:t>
      </w:r>
      <w:r>
        <w:rPr>
          <w:rStyle w:val="135"/>
          <w:rFonts w:hint="eastAsia" w:cs="宋体"/>
          <w:color w:val="000000"/>
          <w:kern w:val="0"/>
          <w:sz w:val="24"/>
          <w:szCs w:val="24"/>
          <w:highlight w:val="none"/>
        </w:rPr>
        <w:t>非</w:t>
      </w:r>
      <w:r>
        <w:rPr>
          <w:rStyle w:val="135"/>
          <w:rFonts w:hint="eastAsia" w:ascii="宋体" w:hAnsi="宋体" w:eastAsia="宋体" w:cs="宋体"/>
          <w:color w:val="000000"/>
          <w:kern w:val="0"/>
          <w:sz w:val="24"/>
          <w:szCs w:val="24"/>
          <w:highlight w:val="none"/>
        </w:rPr>
        <w:t>专门面向中小企业采购</w:t>
      </w:r>
      <w:r>
        <w:rPr>
          <w:rStyle w:val="135"/>
          <w:rFonts w:hint="eastAsia" w:cs="宋体"/>
          <w:color w:val="000000"/>
          <w:kern w:val="0"/>
          <w:sz w:val="24"/>
          <w:szCs w:val="24"/>
          <w:highlight w:val="none"/>
        </w:rPr>
        <w:t>。</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222222"/>
          <w:spacing w:val="0"/>
          <w:sz w:val="24"/>
          <w:szCs w:val="24"/>
          <w:highlight w:val="none"/>
          <w:shd w:val="clear" w:fill="FFFFFF"/>
        </w:rPr>
      </w:pPr>
      <w:r>
        <w:rPr>
          <w:rFonts w:hint="eastAsia" w:asciiTheme="minorEastAsia" w:hAnsiTheme="minorEastAsia" w:eastAsiaTheme="minorEastAsia" w:cstheme="minorEastAsia"/>
          <w:i w:val="0"/>
          <w:iCs w:val="0"/>
          <w:caps w:val="0"/>
          <w:color w:val="222222"/>
          <w:spacing w:val="0"/>
          <w:sz w:val="24"/>
          <w:szCs w:val="24"/>
          <w:highlight w:val="none"/>
          <w:shd w:val="clear" w:fill="FFFFFF"/>
        </w:rPr>
        <w:t>3.本项目的特定资格要求：</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222222"/>
          <w:spacing w:val="0"/>
          <w:sz w:val="24"/>
          <w:szCs w:val="24"/>
          <w:highlight w:val="none"/>
          <w:shd w:val="clear" w:fill="FFFFFF"/>
        </w:rPr>
      </w:pPr>
      <w:r>
        <w:rPr>
          <w:rFonts w:hint="eastAsia" w:asciiTheme="minorEastAsia" w:hAnsiTheme="minorEastAsia" w:eastAsiaTheme="minorEastAsia" w:cstheme="minorEastAsia"/>
          <w:i w:val="0"/>
          <w:iCs w:val="0"/>
          <w:caps w:val="0"/>
          <w:color w:val="222222"/>
          <w:spacing w:val="0"/>
          <w:sz w:val="24"/>
          <w:szCs w:val="24"/>
          <w:highlight w:val="none"/>
          <w:shd w:val="clear" w:fill="FFFFFF"/>
        </w:rPr>
        <w:t>合同包1(</w:t>
      </w:r>
      <w:r>
        <w:rPr>
          <w:rFonts w:hint="eastAsia" w:asciiTheme="minorEastAsia" w:hAnsiTheme="minorEastAsia" w:eastAsiaTheme="minorEastAsia" w:cstheme="minorEastAsia"/>
          <w:i w:val="0"/>
          <w:iCs w:val="0"/>
          <w:caps w:val="0"/>
          <w:color w:val="222222"/>
          <w:spacing w:val="0"/>
          <w:sz w:val="24"/>
          <w:szCs w:val="24"/>
          <w:highlight w:val="none"/>
          <w:shd w:val="clear" w:fill="FFFFFF"/>
          <w:lang w:eastAsia="zh-CN"/>
        </w:rPr>
        <w:t>2023年度全国卫生专业技术资格考试暨护士执业资格考试西安考点考务服务项目</w:t>
      </w:r>
      <w:r>
        <w:rPr>
          <w:rFonts w:hint="eastAsia" w:asciiTheme="minorEastAsia" w:hAnsiTheme="minorEastAsia" w:eastAsiaTheme="minorEastAsia" w:cstheme="minorEastAsia"/>
          <w:i w:val="0"/>
          <w:iCs w:val="0"/>
          <w:caps w:val="0"/>
          <w:color w:val="222222"/>
          <w:spacing w:val="0"/>
          <w:sz w:val="24"/>
          <w:szCs w:val="24"/>
          <w:highlight w:val="none"/>
          <w:shd w:val="clear" w:fill="FFFFFF"/>
        </w:rPr>
        <w:t>)特定资格要求如下:</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222222"/>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222222"/>
          <w:spacing w:val="0"/>
          <w:sz w:val="24"/>
          <w:szCs w:val="24"/>
          <w:highlight w:val="none"/>
          <w:shd w:val="clear" w:fill="FFFFFF"/>
          <w:lang w:eastAsia="zh-CN"/>
        </w:rPr>
        <w:t>①具备省级及以上教育行政部门颁发的办学许可证；</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222222"/>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222222"/>
          <w:spacing w:val="0"/>
          <w:sz w:val="24"/>
          <w:szCs w:val="24"/>
          <w:highlight w:val="none"/>
          <w:shd w:val="clear" w:fill="FFFFFF"/>
          <w:lang w:eastAsia="zh-CN"/>
        </w:rPr>
        <w:t>②法定代表人参加投标的提供法定代表人身份证明及身份证，委托代理人参加投标的提供授权委托书及委托代理人身份证，</w:t>
      </w:r>
      <w:r>
        <w:rPr>
          <w:rFonts w:hint="eastAsia" w:ascii="宋体" w:hAnsi="宋体"/>
          <w:kern w:val="0"/>
          <w:sz w:val="24"/>
          <w:highlight w:val="none"/>
        </w:rPr>
        <w:t>备注：分支机构由分支机构负责人授权即可</w:t>
      </w:r>
      <w:r>
        <w:rPr>
          <w:rFonts w:hint="eastAsia" w:asciiTheme="minorEastAsia" w:hAnsiTheme="minorEastAsia" w:eastAsiaTheme="minorEastAsia" w:cstheme="minorEastAsia"/>
          <w:i w:val="0"/>
          <w:iCs w:val="0"/>
          <w:caps w:val="0"/>
          <w:color w:val="222222"/>
          <w:spacing w:val="0"/>
          <w:sz w:val="24"/>
          <w:szCs w:val="24"/>
          <w:highlight w:val="none"/>
          <w:shd w:val="clear" w:fill="FFFFFF"/>
          <w:lang w:eastAsia="zh-CN"/>
        </w:rPr>
        <w:t>；</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222222"/>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222222"/>
          <w:spacing w:val="0"/>
          <w:sz w:val="24"/>
          <w:szCs w:val="24"/>
          <w:highlight w:val="none"/>
          <w:shd w:val="clear" w:fill="FFFFFF"/>
          <w:lang w:eastAsia="zh-CN"/>
        </w:rPr>
        <w:t>③本项目不接受联合体投标（提供书面声明材料）。</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Theme="minorEastAsia" w:hAnsiTheme="minorEastAsia" w:eastAsiaTheme="minorEastAsia" w:cstheme="minorEastAsia"/>
          <w:i w:val="0"/>
          <w:iCs w:val="0"/>
          <w:caps w:val="0"/>
          <w:color w:val="222222"/>
          <w:spacing w:val="0"/>
          <w:sz w:val="24"/>
          <w:szCs w:val="24"/>
          <w:highlight w:val="none"/>
          <w:shd w:val="clear" w:fill="FFFFFF"/>
        </w:rPr>
      </w:pPr>
      <w:r>
        <w:rPr>
          <w:rFonts w:hint="eastAsia" w:asciiTheme="minorEastAsia" w:hAnsiTheme="minorEastAsia" w:eastAsiaTheme="minorEastAsia" w:cstheme="minorEastAsia"/>
          <w:b/>
          <w:bCs/>
          <w:i w:val="0"/>
          <w:iCs w:val="0"/>
          <w:caps w:val="0"/>
          <w:color w:val="222222"/>
          <w:spacing w:val="0"/>
          <w:sz w:val="24"/>
          <w:szCs w:val="24"/>
          <w:highlight w:val="none"/>
          <w:shd w:val="clear" w:fill="FFFFFF"/>
        </w:rPr>
        <w:t>三、获取招标文件</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222222"/>
          <w:spacing w:val="0"/>
          <w:sz w:val="24"/>
          <w:szCs w:val="24"/>
          <w:highlight w:val="none"/>
          <w:shd w:val="clear" w:fill="FFFFFF"/>
        </w:rPr>
      </w:pPr>
      <w:r>
        <w:rPr>
          <w:rFonts w:hint="eastAsia" w:asciiTheme="minorEastAsia" w:hAnsiTheme="minorEastAsia" w:eastAsiaTheme="minorEastAsia" w:cstheme="minorEastAsia"/>
          <w:i w:val="0"/>
          <w:iCs w:val="0"/>
          <w:caps w:val="0"/>
          <w:color w:val="222222"/>
          <w:spacing w:val="0"/>
          <w:sz w:val="24"/>
          <w:szCs w:val="24"/>
          <w:highlight w:val="none"/>
          <w:shd w:val="clear" w:fill="FFFFFF"/>
        </w:rPr>
        <w:t>时间：202</w:t>
      </w:r>
      <w:r>
        <w:rPr>
          <w:rFonts w:hint="eastAsia" w:asciiTheme="minorEastAsia" w:hAnsiTheme="minorEastAsia" w:eastAsiaTheme="minorEastAsia" w:cstheme="minorEastAsia"/>
          <w:i w:val="0"/>
          <w:iCs w:val="0"/>
          <w:caps w:val="0"/>
          <w:color w:val="222222"/>
          <w:spacing w:val="0"/>
          <w:sz w:val="24"/>
          <w:szCs w:val="24"/>
          <w:highlight w:val="none"/>
          <w:shd w:val="clear" w:fill="FFFFFF"/>
          <w:lang w:val="en-US" w:eastAsia="zh-CN"/>
        </w:rPr>
        <w:t>3</w:t>
      </w:r>
      <w:r>
        <w:rPr>
          <w:rFonts w:hint="eastAsia" w:asciiTheme="minorEastAsia" w:hAnsiTheme="minorEastAsia" w:eastAsiaTheme="minorEastAsia" w:cstheme="minorEastAsia"/>
          <w:i w:val="0"/>
          <w:iCs w:val="0"/>
          <w:caps w:val="0"/>
          <w:color w:val="222222"/>
          <w:spacing w:val="0"/>
          <w:sz w:val="24"/>
          <w:szCs w:val="24"/>
          <w:highlight w:val="none"/>
          <w:shd w:val="clear" w:fill="FFFFFF"/>
        </w:rPr>
        <w:t>年</w:t>
      </w:r>
      <w:r>
        <w:rPr>
          <w:rFonts w:hint="eastAsia" w:asciiTheme="minorEastAsia" w:hAnsiTheme="minorEastAsia" w:eastAsiaTheme="minorEastAsia" w:cstheme="minorEastAsia"/>
          <w:i w:val="0"/>
          <w:iCs w:val="0"/>
          <w:caps w:val="0"/>
          <w:color w:val="222222"/>
          <w:spacing w:val="0"/>
          <w:sz w:val="24"/>
          <w:szCs w:val="24"/>
          <w:highlight w:val="none"/>
          <w:shd w:val="clear" w:fill="FFFFFF"/>
          <w:lang w:val="en-US" w:eastAsia="zh-CN"/>
        </w:rPr>
        <w:t>03</w:t>
      </w:r>
      <w:r>
        <w:rPr>
          <w:rFonts w:hint="eastAsia" w:asciiTheme="minorEastAsia" w:hAnsiTheme="minorEastAsia" w:eastAsiaTheme="minorEastAsia" w:cstheme="minorEastAsia"/>
          <w:i w:val="0"/>
          <w:iCs w:val="0"/>
          <w:caps w:val="0"/>
          <w:color w:val="222222"/>
          <w:spacing w:val="0"/>
          <w:sz w:val="24"/>
          <w:szCs w:val="24"/>
          <w:highlight w:val="none"/>
          <w:shd w:val="clear" w:fill="FFFFFF"/>
        </w:rPr>
        <w:t>月</w:t>
      </w:r>
      <w:r>
        <w:rPr>
          <w:rFonts w:hint="eastAsia" w:asciiTheme="minorEastAsia" w:hAnsiTheme="minorEastAsia" w:eastAsiaTheme="minorEastAsia" w:cstheme="minorEastAsia"/>
          <w:i w:val="0"/>
          <w:iCs w:val="0"/>
          <w:caps w:val="0"/>
          <w:color w:val="222222"/>
          <w:spacing w:val="0"/>
          <w:sz w:val="24"/>
          <w:szCs w:val="24"/>
          <w:highlight w:val="none"/>
          <w:shd w:val="clear" w:fill="FFFFFF"/>
          <w:lang w:val="en-US" w:eastAsia="zh-CN"/>
        </w:rPr>
        <w:t>14</w:t>
      </w:r>
      <w:r>
        <w:rPr>
          <w:rFonts w:hint="eastAsia" w:asciiTheme="minorEastAsia" w:hAnsiTheme="minorEastAsia" w:eastAsiaTheme="minorEastAsia" w:cstheme="minorEastAsia"/>
          <w:i w:val="0"/>
          <w:iCs w:val="0"/>
          <w:caps w:val="0"/>
          <w:color w:val="222222"/>
          <w:spacing w:val="0"/>
          <w:sz w:val="24"/>
          <w:szCs w:val="24"/>
          <w:highlight w:val="none"/>
          <w:shd w:val="clear" w:fill="FFFFFF"/>
        </w:rPr>
        <w:t>日至202</w:t>
      </w:r>
      <w:r>
        <w:rPr>
          <w:rFonts w:hint="eastAsia" w:asciiTheme="minorEastAsia" w:hAnsiTheme="minorEastAsia" w:eastAsiaTheme="minorEastAsia" w:cstheme="minorEastAsia"/>
          <w:i w:val="0"/>
          <w:iCs w:val="0"/>
          <w:caps w:val="0"/>
          <w:color w:val="222222"/>
          <w:spacing w:val="0"/>
          <w:sz w:val="24"/>
          <w:szCs w:val="24"/>
          <w:highlight w:val="none"/>
          <w:shd w:val="clear" w:fill="FFFFFF"/>
          <w:lang w:val="en-US" w:eastAsia="zh-CN"/>
        </w:rPr>
        <w:t>3</w:t>
      </w:r>
      <w:r>
        <w:rPr>
          <w:rFonts w:hint="eastAsia" w:asciiTheme="minorEastAsia" w:hAnsiTheme="minorEastAsia" w:eastAsiaTheme="minorEastAsia" w:cstheme="minorEastAsia"/>
          <w:i w:val="0"/>
          <w:iCs w:val="0"/>
          <w:caps w:val="0"/>
          <w:color w:val="222222"/>
          <w:spacing w:val="0"/>
          <w:sz w:val="24"/>
          <w:szCs w:val="24"/>
          <w:highlight w:val="none"/>
          <w:shd w:val="clear" w:fill="FFFFFF"/>
        </w:rPr>
        <w:t>年</w:t>
      </w:r>
      <w:r>
        <w:rPr>
          <w:rFonts w:hint="eastAsia" w:asciiTheme="minorEastAsia" w:hAnsiTheme="minorEastAsia" w:eastAsiaTheme="minorEastAsia" w:cstheme="minorEastAsia"/>
          <w:i w:val="0"/>
          <w:iCs w:val="0"/>
          <w:caps w:val="0"/>
          <w:color w:val="222222"/>
          <w:spacing w:val="0"/>
          <w:sz w:val="24"/>
          <w:szCs w:val="24"/>
          <w:highlight w:val="none"/>
          <w:shd w:val="clear" w:fill="FFFFFF"/>
          <w:lang w:val="en-US" w:eastAsia="zh-CN"/>
        </w:rPr>
        <w:t>03</w:t>
      </w:r>
      <w:r>
        <w:rPr>
          <w:rFonts w:hint="eastAsia" w:asciiTheme="minorEastAsia" w:hAnsiTheme="minorEastAsia" w:eastAsiaTheme="minorEastAsia" w:cstheme="minorEastAsia"/>
          <w:i w:val="0"/>
          <w:iCs w:val="0"/>
          <w:caps w:val="0"/>
          <w:color w:val="222222"/>
          <w:spacing w:val="0"/>
          <w:sz w:val="24"/>
          <w:szCs w:val="24"/>
          <w:highlight w:val="none"/>
          <w:shd w:val="clear" w:fill="FFFFFF"/>
        </w:rPr>
        <w:t>月</w:t>
      </w:r>
      <w:r>
        <w:rPr>
          <w:rFonts w:hint="eastAsia" w:asciiTheme="minorEastAsia" w:hAnsiTheme="minorEastAsia" w:eastAsiaTheme="minorEastAsia" w:cstheme="minorEastAsia"/>
          <w:i w:val="0"/>
          <w:iCs w:val="0"/>
          <w:caps w:val="0"/>
          <w:color w:val="222222"/>
          <w:spacing w:val="0"/>
          <w:sz w:val="24"/>
          <w:szCs w:val="24"/>
          <w:highlight w:val="none"/>
          <w:shd w:val="clear" w:fill="FFFFFF"/>
          <w:lang w:val="en-US" w:eastAsia="zh-CN"/>
        </w:rPr>
        <w:t>20</w:t>
      </w:r>
      <w:r>
        <w:rPr>
          <w:rFonts w:hint="eastAsia" w:asciiTheme="minorEastAsia" w:hAnsiTheme="minorEastAsia" w:eastAsiaTheme="minorEastAsia" w:cstheme="minorEastAsia"/>
          <w:i w:val="0"/>
          <w:iCs w:val="0"/>
          <w:caps w:val="0"/>
          <w:color w:val="222222"/>
          <w:spacing w:val="0"/>
          <w:sz w:val="24"/>
          <w:szCs w:val="24"/>
          <w:highlight w:val="none"/>
          <w:shd w:val="clear" w:fill="FFFFFF"/>
        </w:rPr>
        <w:t>日，每天上午0</w:t>
      </w:r>
      <w:r>
        <w:rPr>
          <w:rFonts w:hint="eastAsia" w:asciiTheme="minorEastAsia" w:hAnsiTheme="minorEastAsia" w:eastAsiaTheme="minorEastAsia" w:cstheme="minorEastAsia"/>
          <w:i w:val="0"/>
          <w:iCs w:val="0"/>
          <w:caps w:val="0"/>
          <w:color w:val="222222"/>
          <w:spacing w:val="0"/>
          <w:sz w:val="24"/>
          <w:szCs w:val="24"/>
          <w:highlight w:val="none"/>
          <w:shd w:val="clear" w:fill="FFFFFF"/>
          <w:lang w:val="en-US" w:eastAsia="zh-CN"/>
        </w:rPr>
        <w:t>0</w:t>
      </w:r>
      <w:r>
        <w:rPr>
          <w:rFonts w:hint="eastAsia" w:asciiTheme="minorEastAsia" w:hAnsiTheme="minorEastAsia" w:eastAsiaTheme="minorEastAsia" w:cstheme="minorEastAsia"/>
          <w:i w:val="0"/>
          <w:iCs w:val="0"/>
          <w:caps w:val="0"/>
          <w:color w:val="222222"/>
          <w:spacing w:val="0"/>
          <w:sz w:val="24"/>
          <w:szCs w:val="24"/>
          <w:highlight w:val="none"/>
          <w:shd w:val="clear" w:fill="FFFFFF"/>
        </w:rPr>
        <w:t>:00:00至12:00:00，下午</w:t>
      </w:r>
      <w:r>
        <w:rPr>
          <w:rFonts w:hint="eastAsia" w:asciiTheme="minorEastAsia" w:hAnsiTheme="minorEastAsia" w:eastAsiaTheme="minorEastAsia" w:cstheme="minorEastAsia"/>
          <w:i w:val="0"/>
          <w:iCs w:val="0"/>
          <w:caps w:val="0"/>
          <w:color w:val="222222"/>
          <w:spacing w:val="0"/>
          <w:sz w:val="24"/>
          <w:szCs w:val="24"/>
          <w:highlight w:val="none"/>
          <w:shd w:val="clear" w:fill="FFFFFF"/>
          <w:lang w:val="en-US" w:eastAsia="zh-CN"/>
        </w:rPr>
        <w:t>12</w:t>
      </w:r>
      <w:r>
        <w:rPr>
          <w:rFonts w:hint="eastAsia" w:asciiTheme="minorEastAsia" w:hAnsiTheme="minorEastAsia" w:eastAsiaTheme="minorEastAsia" w:cstheme="minorEastAsia"/>
          <w:i w:val="0"/>
          <w:iCs w:val="0"/>
          <w:caps w:val="0"/>
          <w:color w:val="222222"/>
          <w:spacing w:val="0"/>
          <w:sz w:val="24"/>
          <w:szCs w:val="24"/>
          <w:highlight w:val="none"/>
          <w:shd w:val="clear" w:fill="FFFFFF"/>
        </w:rPr>
        <w:t>:00:00至</w:t>
      </w:r>
      <w:r>
        <w:rPr>
          <w:rFonts w:hint="eastAsia" w:asciiTheme="minorEastAsia" w:hAnsiTheme="minorEastAsia" w:eastAsiaTheme="minorEastAsia" w:cstheme="minorEastAsia"/>
          <w:i w:val="0"/>
          <w:iCs w:val="0"/>
          <w:caps w:val="0"/>
          <w:color w:val="222222"/>
          <w:spacing w:val="0"/>
          <w:sz w:val="24"/>
          <w:szCs w:val="24"/>
          <w:highlight w:val="none"/>
          <w:shd w:val="clear" w:fill="FFFFFF"/>
          <w:lang w:val="en-US" w:eastAsia="zh-CN"/>
        </w:rPr>
        <w:t>23</w:t>
      </w:r>
      <w:r>
        <w:rPr>
          <w:rFonts w:hint="eastAsia" w:asciiTheme="minorEastAsia" w:hAnsiTheme="minorEastAsia" w:eastAsiaTheme="minorEastAsia" w:cstheme="minorEastAsia"/>
          <w:i w:val="0"/>
          <w:iCs w:val="0"/>
          <w:caps w:val="0"/>
          <w:color w:val="222222"/>
          <w:spacing w:val="0"/>
          <w:sz w:val="24"/>
          <w:szCs w:val="24"/>
          <w:highlight w:val="none"/>
          <w:shd w:val="clear" w:fill="FFFFFF"/>
        </w:rPr>
        <w:t>:</w:t>
      </w:r>
      <w:r>
        <w:rPr>
          <w:rFonts w:hint="eastAsia" w:asciiTheme="minorEastAsia" w:hAnsiTheme="minorEastAsia" w:eastAsiaTheme="minorEastAsia" w:cstheme="minorEastAsia"/>
          <w:i w:val="0"/>
          <w:iCs w:val="0"/>
          <w:caps w:val="0"/>
          <w:color w:val="222222"/>
          <w:spacing w:val="0"/>
          <w:sz w:val="24"/>
          <w:szCs w:val="24"/>
          <w:highlight w:val="none"/>
          <w:shd w:val="clear" w:fill="FFFFFF"/>
          <w:lang w:val="en-US" w:eastAsia="zh-CN"/>
        </w:rPr>
        <w:t>59</w:t>
      </w:r>
      <w:r>
        <w:rPr>
          <w:rFonts w:hint="eastAsia" w:asciiTheme="minorEastAsia" w:hAnsiTheme="minorEastAsia" w:eastAsiaTheme="minorEastAsia" w:cstheme="minorEastAsia"/>
          <w:i w:val="0"/>
          <w:iCs w:val="0"/>
          <w:caps w:val="0"/>
          <w:color w:val="222222"/>
          <w:spacing w:val="0"/>
          <w:sz w:val="24"/>
          <w:szCs w:val="24"/>
          <w:highlight w:val="none"/>
          <w:shd w:val="clear" w:fill="FFFFFF"/>
        </w:rPr>
        <w:t>:</w:t>
      </w:r>
      <w:r>
        <w:rPr>
          <w:rFonts w:hint="eastAsia" w:asciiTheme="minorEastAsia" w:hAnsiTheme="minorEastAsia" w:eastAsiaTheme="minorEastAsia" w:cstheme="minorEastAsia"/>
          <w:i w:val="0"/>
          <w:iCs w:val="0"/>
          <w:caps w:val="0"/>
          <w:color w:val="222222"/>
          <w:spacing w:val="0"/>
          <w:sz w:val="24"/>
          <w:szCs w:val="24"/>
          <w:highlight w:val="none"/>
          <w:shd w:val="clear" w:fill="FFFFFF"/>
          <w:lang w:val="en-US" w:eastAsia="zh-CN"/>
        </w:rPr>
        <w:t>59</w:t>
      </w:r>
      <w:r>
        <w:rPr>
          <w:rFonts w:hint="eastAsia" w:asciiTheme="minorEastAsia" w:hAnsiTheme="minorEastAsia" w:eastAsiaTheme="minorEastAsia" w:cstheme="minorEastAsia"/>
          <w:i w:val="0"/>
          <w:iCs w:val="0"/>
          <w:caps w:val="0"/>
          <w:color w:val="222222"/>
          <w:spacing w:val="0"/>
          <w:sz w:val="24"/>
          <w:szCs w:val="24"/>
          <w:highlight w:val="none"/>
          <w:shd w:val="clear" w:fill="FFFFFF"/>
        </w:rPr>
        <w:t>（北京时间）</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222222"/>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222222"/>
          <w:spacing w:val="0"/>
          <w:sz w:val="24"/>
          <w:szCs w:val="24"/>
          <w:highlight w:val="none"/>
          <w:shd w:val="clear" w:fill="FFFFFF"/>
        </w:rPr>
        <w:t>途径：全国公共资源交易平台(陕西省·西安市)网站〖首页&gt;电子交易平台&gt;陕西政府采购交易系统&gt;企业端〗</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222222"/>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222222"/>
          <w:spacing w:val="0"/>
          <w:sz w:val="24"/>
          <w:szCs w:val="24"/>
          <w:highlight w:val="none"/>
          <w:shd w:val="clear" w:fill="FFFFFF"/>
        </w:rPr>
        <w:t>方式：</w:t>
      </w:r>
      <w:r>
        <w:rPr>
          <w:rFonts w:hint="eastAsia" w:asciiTheme="minorEastAsia" w:hAnsiTheme="minorEastAsia" w:eastAsiaTheme="minorEastAsia" w:cstheme="minorEastAsia"/>
          <w:i w:val="0"/>
          <w:iCs w:val="0"/>
          <w:caps w:val="0"/>
          <w:color w:val="222222"/>
          <w:spacing w:val="0"/>
          <w:sz w:val="24"/>
          <w:szCs w:val="24"/>
          <w:highlight w:val="none"/>
          <w:shd w:val="clear" w:fill="FFFFFF"/>
          <w:lang w:val="en-US" w:eastAsia="zh-CN"/>
        </w:rPr>
        <w:t>在线获取</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222222"/>
          <w:spacing w:val="0"/>
          <w:sz w:val="24"/>
          <w:szCs w:val="24"/>
          <w:highlight w:val="none"/>
          <w:shd w:val="clear" w:fill="FFFFFF"/>
        </w:rPr>
      </w:pPr>
      <w:r>
        <w:rPr>
          <w:rFonts w:hint="eastAsia" w:asciiTheme="minorEastAsia" w:hAnsiTheme="minorEastAsia" w:eastAsiaTheme="minorEastAsia" w:cstheme="minorEastAsia"/>
          <w:i w:val="0"/>
          <w:iCs w:val="0"/>
          <w:caps w:val="0"/>
          <w:color w:val="222222"/>
          <w:spacing w:val="0"/>
          <w:sz w:val="24"/>
          <w:szCs w:val="24"/>
          <w:highlight w:val="none"/>
          <w:shd w:val="clear" w:fill="FFFFFF"/>
        </w:rPr>
        <w:t>售价：0元</w:t>
      </w:r>
    </w:p>
    <w:p>
      <w:pPr>
        <w:pStyle w:val="36"/>
        <w:shd w:val="clear" w:color="auto" w:fill="FFFFFF"/>
        <w:spacing w:before="120" w:beforeAutospacing="0" w:after="0" w:afterAutospacing="0" w:line="360" w:lineRule="auto"/>
        <w:rPr>
          <w:rFonts w:hint="eastAsia"/>
          <w:b/>
          <w:color w:val="333333"/>
          <w:highlight w:val="none"/>
        </w:rPr>
      </w:pPr>
      <w:r>
        <w:rPr>
          <w:rFonts w:hint="eastAsia"/>
          <w:b/>
          <w:color w:val="333333"/>
          <w:highlight w:val="none"/>
          <w:shd w:val="clear" w:color="auto" w:fill="FFFFFF"/>
        </w:rPr>
        <w:t>四、提交投标文件截止时间、开标时间和地点</w:t>
      </w:r>
    </w:p>
    <w:p>
      <w:pPr>
        <w:pStyle w:val="36"/>
        <w:shd w:val="clear" w:color="auto" w:fill="FFFFFF"/>
        <w:spacing w:before="0" w:beforeAutospacing="0" w:after="0" w:afterAutospacing="0" w:line="360" w:lineRule="auto"/>
        <w:ind w:firstLine="420"/>
        <w:rPr>
          <w:rFonts w:hint="eastAsia"/>
          <w:color w:val="000000"/>
          <w:highlight w:val="none"/>
        </w:rPr>
      </w:pPr>
      <w:r>
        <w:rPr>
          <w:rFonts w:hint="eastAsia"/>
          <w:color w:val="000000"/>
          <w:highlight w:val="none"/>
        </w:rPr>
        <w:t>时间：202</w:t>
      </w:r>
      <w:r>
        <w:rPr>
          <w:rFonts w:hint="eastAsia"/>
          <w:color w:val="000000"/>
          <w:highlight w:val="none"/>
          <w:lang w:val="en-US" w:eastAsia="zh-CN"/>
        </w:rPr>
        <w:t>3</w:t>
      </w:r>
      <w:r>
        <w:rPr>
          <w:rFonts w:hint="eastAsia"/>
          <w:color w:val="000000"/>
          <w:highlight w:val="none"/>
        </w:rPr>
        <w:t>年</w:t>
      </w:r>
      <w:r>
        <w:rPr>
          <w:rFonts w:hint="eastAsia"/>
          <w:color w:val="000000"/>
          <w:highlight w:val="none"/>
          <w:lang w:val="en-US" w:eastAsia="zh-CN"/>
        </w:rPr>
        <w:t>04</w:t>
      </w:r>
      <w:r>
        <w:rPr>
          <w:rFonts w:hint="eastAsia"/>
          <w:color w:val="000000"/>
          <w:highlight w:val="none"/>
        </w:rPr>
        <w:t>月</w:t>
      </w:r>
      <w:r>
        <w:rPr>
          <w:rFonts w:hint="eastAsia"/>
          <w:color w:val="000000"/>
          <w:highlight w:val="none"/>
          <w:lang w:val="en-US" w:eastAsia="zh-CN"/>
        </w:rPr>
        <w:t>04</w:t>
      </w:r>
      <w:r>
        <w:rPr>
          <w:rFonts w:hint="eastAsia"/>
          <w:color w:val="000000"/>
          <w:highlight w:val="none"/>
        </w:rPr>
        <w:t>日</w:t>
      </w:r>
      <w:r>
        <w:rPr>
          <w:rFonts w:hint="eastAsia"/>
          <w:color w:val="000000"/>
          <w:highlight w:val="none"/>
          <w:lang w:val="en-US" w:eastAsia="zh-CN"/>
        </w:rPr>
        <w:t>09</w:t>
      </w:r>
      <w:r>
        <w:rPr>
          <w:rFonts w:hint="eastAsia"/>
          <w:color w:val="000000"/>
          <w:highlight w:val="none"/>
        </w:rPr>
        <w:t>时</w:t>
      </w:r>
      <w:r>
        <w:rPr>
          <w:rFonts w:hint="eastAsia"/>
          <w:color w:val="000000"/>
          <w:highlight w:val="none"/>
          <w:lang w:val="en-US" w:eastAsia="zh-CN"/>
        </w:rPr>
        <w:t>30</w:t>
      </w:r>
      <w:r>
        <w:rPr>
          <w:rFonts w:hint="eastAsia"/>
          <w:color w:val="000000"/>
          <w:highlight w:val="none"/>
        </w:rPr>
        <w:t>分00秒（北京时间）</w:t>
      </w:r>
    </w:p>
    <w:p>
      <w:pPr>
        <w:pStyle w:val="36"/>
        <w:shd w:val="clear" w:color="auto" w:fill="FFFFFF"/>
        <w:spacing w:before="0" w:beforeAutospacing="0" w:after="0" w:afterAutospacing="0" w:line="360" w:lineRule="auto"/>
        <w:ind w:firstLine="420"/>
        <w:rPr>
          <w:rFonts w:hint="eastAsia"/>
          <w:color w:val="000000"/>
          <w:highlight w:val="none"/>
        </w:rPr>
      </w:pPr>
      <w:r>
        <w:rPr>
          <w:rFonts w:hint="eastAsia"/>
          <w:color w:val="000000"/>
          <w:highlight w:val="none"/>
        </w:rPr>
        <w:t>提交投标文件地点：全国公共资源交易平台（陕西省·西安市）</w:t>
      </w:r>
    </w:p>
    <w:p>
      <w:pPr>
        <w:pStyle w:val="36"/>
        <w:shd w:val="clear" w:color="auto" w:fill="FFFFFF"/>
        <w:spacing w:before="0" w:beforeAutospacing="0" w:after="0" w:afterAutospacing="0" w:line="360" w:lineRule="auto"/>
        <w:ind w:firstLine="42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开标地点：全国公共资源交易平台（陕西省·西安市）</w:t>
      </w:r>
      <w:r>
        <w:rPr>
          <w:rFonts w:hint="eastAsia"/>
          <w:sz w:val="24"/>
          <w:highlight w:val="none"/>
          <w:lang w:val="en-US" w:eastAsia="zh-CN"/>
        </w:rPr>
        <w:t>西安市</w:t>
      </w:r>
      <w:r>
        <w:rPr>
          <w:rFonts w:hint="eastAsia" w:ascii="宋体" w:hAnsi="宋体" w:eastAsia="宋体"/>
          <w:sz w:val="24"/>
          <w:highlight w:val="none"/>
          <w:lang w:val="en-US" w:eastAsia="zh-CN"/>
        </w:rPr>
        <w:t>公共资源交易</w:t>
      </w:r>
      <w:r>
        <w:rPr>
          <w:rFonts w:hint="eastAsia"/>
          <w:sz w:val="24"/>
          <w:highlight w:val="none"/>
          <w:lang w:val="en-US" w:eastAsia="zh-CN"/>
        </w:rPr>
        <w:t>不见面开标大厅</w:t>
      </w:r>
      <w:r>
        <w:rPr>
          <w:rFonts w:hint="eastAsia" w:ascii="宋体" w:hAnsi="宋体" w:eastAsia="宋体"/>
          <w:sz w:val="24"/>
          <w:highlight w:val="none"/>
          <w:lang w:val="en-US" w:eastAsia="zh-CN"/>
        </w:rPr>
        <w:t>（西安市公共资源交易中心</w:t>
      </w:r>
      <w:r>
        <w:rPr>
          <w:rFonts w:hint="eastAsia"/>
          <w:sz w:val="24"/>
          <w:highlight w:val="none"/>
          <w:lang w:val="en-US" w:eastAsia="zh-CN"/>
        </w:rPr>
        <w:t>三</w:t>
      </w:r>
      <w:r>
        <w:rPr>
          <w:rFonts w:hint="eastAsia" w:ascii="宋体" w:hAnsi="宋体" w:eastAsia="宋体"/>
          <w:sz w:val="24"/>
          <w:highlight w:val="none"/>
          <w:lang w:val="en-US" w:eastAsia="zh-CN"/>
        </w:rPr>
        <w:t>楼开标室3</w:t>
      </w:r>
      <w:r>
        <w:rPr>
          <w:rFonts w:hint="eastAsia"/>
          <w:sz w:val="24"/>
          <w:highlight w:val="none"/>
          <w:lang w:val="en-US" w:eastAsia="zh-CN"/>
        </w:rPr>
        <w:t>11</w:t>
      </w:r>
      <w:r>
        <w:rPr>
          <w:rFonts w:hint="eastAsia" w:ascii="宋体" w:hAnsi="宋体" w:eastAsia="宋体"/>
          <w:sz w:val="24"/>
          <w:highlight w:val="none"/>
          <w:lang w:val="en-US" w:eastAsia="zh-CN"/>
        </w:rPr>
        <w:t>）</w:t>
      </w:r>
    </w:p>
    <w:p>
      <w:pPr>
        <w:pStyle w:val="36"/>
        <w:shd w:val="clear" w:color="auto" w:fill="FFFFFF"/>
        <w:spacing w:before="0" w:beforeAutospacing="0" w:after="0" w:afterAutospacing="0" w:line="360" w:lineRule="auto"/>
        <w:rPr>
          <w:rFonts w:hint="eastAsia" w:asciiTheme="minorEastAsia" w:hAnsiTheme="minorEastAsia" w:eastAsiaTheme="minorEastAsia" w:cstheme="minorEastAsia"/>
          <w:b w:val="0"/>
          <w:bCs w:val="0"/>
          <w:i w:val="0"/>
          <w:iCs w:val="0"/>
          <w:caps w:val="0"/>
          <w:color w:val="222222"/>
          <w:spacing w:val="0"/>
          <w:sz w:val="24"/>
          <w:szCs w:val="24"/>
          <w:highlight w:val="none"/>
        </w:rPr>
      </w:pPr>
      <w:r>
        <w:rPr>
          <w:rStyle w:val="44"/>
          <w:rFonts w:hint="eastAsia" w:asciiTheme="minorEastAsia" w:hAnsiTheme="minorEastAsia" w:eastAsiaTheme="minorEastAsia" w:cstheme="minorEastAsia"/>
          <w:b/>
          <w:bCs/>
          <w:i w:val="0"/>
          <w:iCs w:val="0"/>
          <w:caps w:val="0"/>
          <w:color w:val="222222"/>
          <w:spacing w:val="0"/>
          <w:sz w:val="24"/>
          <w:szCs w:val="24"/>
          <w:highlight w:val="none"/>
          <w:shd w:val="clear" w:fill="FFFFFF"/>
        </w:rPr>
        <w:t>五、公告期限</w:t>
      </w:r>
    </w:p>
    <w:p>
      <w:pPr>
        <w:pStyle w:val="36"/>
        <w:shd w:val="clear" w:color="auto" w:fill="FFFFFF"/>
        <w:spacing w:before="0" w:beforeAutospacing="0" w:after="0" w:afterAutospacing="0" w:line="360" w:lineRule="auto"/>
        <w:ind w:firstLine="420"/>
        <w:rPr>
          <w:rFonts w:hint="eastAsia" w:asciiTheme="minorEastAsia" w:hAnsiTheme="minorEastAsia" w:eastAsiaTheme="minorEastAsia" w:cstheme="minorEastAsia"/>
          <w:i w:val="0"/>
          <w:iCs w:val="0"/>
          <w:caps w:val="0"/>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14:textFill>
            <w14:solidFill>
              <w14:schemeClr w14:val="tx1"/>
            </w14:solidFill>
          </w14:textFill>
        </w:rPr>
        <w:t>自本公告发布之日起5个工作日。</w:t>
      </w:r>
    </w:p>
    <w:p>
      <w:pPr>
        <w:pStyle w:val="36"/>
        <w:shd w:val="clear" w:color="auto" w:fill="FFFFFF"/>
        <w:spacing w:before="0" w:beforeAutospacing="0" w:after="0" w:afterAutospacing="0" w:line="360" w:lineRule="auto"/>
        <w:rPr>
          <w:rFonts w:hint="eastAsia" w:cs="宋体"/>
          <w:b w:val="0"/>
          <w:bCs/>
          <w:color w:val="000000"/>
          <w:highlight w:val="none"/>
        </w:rPr>
      </w:pPr>
      <w:r>
        <w:rPr>
          <w:rStyle w:val="44"/>
          <w:rFonts w:hint="eastAsia" w:asciiTheme="minorEastAsia" w:hAnsiTheme="minorEastAsia" w:eastAsiaTheme="minorEastAsia" w:cstheme="minorEastAsia"/>
          <w:b/>
          <w:bCs/>
          <w:i w:val="0"/>
          <w:iCs w:val="0"/>
          <w:caps w:val="0"/>
          <w:color w:val="222222"/>
          <w:spacing w:val="0"/>
          <w:sz w:val="24"/>
          <w:szCs w:val="24"/>
          <w:highlight w:val="none"/>
          <w:shd w:val="clear" w:fill="FFFFFF"/>
        </w:rPr>
        <w:t>六、其他补充事宜</w:t>
      </w:r>
    </w:p>
    <w:p>
      <w:pPr>
        <w:pStyle w:val="36"/>
        <w:shd w:val="clear" w:color="auto" w:fill="FFFFFF"/>
        <w:spacing w:before="0" w:beforeAutospacing="0" w:after="0" w:afterAutospacing="0" w:line="360" w:lineRule="auto"/>
        <w:ind w:firstLine="42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操作流程：①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pPr>
        <w:pStyle w:val="36"/>
        <w:shd w:val="clear" w:color="auto" w:fill="FFFFFF"/>
        <w:spacing w:before="0" w:beforeAutospacing="0" w:after="0" w:afterAutospacing="0" w:line="360" w:lineRule="auto"/>
        <w:ind w:firstLine="42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②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pPr>
        <w:pStyle w:val="36"/>
        <w:shd w:val="clear" w:color="auto" w:fill="FFFFFF"/>
        <w:spacing w:before="0" w:beforeAutospacing="0" w:after="0" w:afterAutospacing="0" w:line="360" w:lineRule="auto"/>
        <w:ind w:firstLine="42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③请供应商务必及时下载项目招标文件并做好备份,否则会影响投标文件编制及后续投标活动。</w:t>
      </w:r>
    </w:p>
    <w:p>
      <w:pPr>
        <w:pStyle w:val="36"/>
        <w:shd w:val="clear" w:color="auto" w:fill="FFFFFF"/>
        <w:spacing w:before="0" w:beforeAutospacing="0" w:after="0" w:afterAutospacing="0" w:line="360" w:lineRule="auto"/>
        <w:ind w:firstLine="42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④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pPr>
        <w:pStyle w:val="36"/>
        <w:shd w:val="clear" w:color="auto" w:fill="FFFFFF"/>
        <w:spacing w:before="0" w:beforeAutospacing="0" w:after="0" w:afterAutospacing="0" w:line="360" w:lineRule="auto"/>
        <w:ind w:firstLine="42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⑤因投标人自身设施故障或自身原因导致无法完成解密或投标的，由投标人自行承担后果。</w:t>
      </w:r>
    </w:p>
    <w:p>
      <w:pPr>
        <w:pStyle w:val="36"/>
        <w:numPr>
          <w:ilvl w:val="0"/>
          <w:numId w:val="0"/>
        </w:numPr>
        <w:shd w:val="clear" w:color="auto" w:fill="FFFFFF"/>
        <w:spacing w:before="0" w:beforeAutospacing="0" w:after="0" w:afterAutospacing="0" w:line="360" w:lineRule="auto"/>
        <w:ind w:firstLine="480" w:firstLineChars="200"/>
        <w:rPr>
          <w:rFonts w:hint="eastAsia" w:ascii="宋体" w:hAnsi="宋体" w:eastAsia="宋体"/>
          <w:sz w:val="24"/>
          <w:highlight w:val="none"/>
          <w:lang w:val="en-US" w:eastAsia="zh-CN"/>
        </w:rPr>
      </w:pPr>
      <w:r>
        <w:rPr>
          <w:rFonts w:hint="eastAsia"/>
          <w:sz w:val="24"/>
          <w:highlight w:val="none"/>
          <w:lang w:val="en-US" w:eastAsia="zh-CN"/>
        </w:rPr>
        <w:t>2.</w:t>
      </w:r>
      <w:r>
        <w:rPr>
          <w:rFonts w:hint="eastAsia" w:ascii="宋体" w:hAnsi="宋体" w:eastAsia="宋体"/>
          <w:sz w:val="24"/>
          <w:highlight w:val="none"/>
          <w:lang w:val="en-US" w:eastAsia="zh-CN"/>
        </w:rPr>
        <w:t>需要落实的政府采购政策：①《政府采购促进中小企业发展管理办法》（财库〔2020〕46号）；②《关于进一步加大政府采购支持中小企业力度的通知》（财库〔2022〕19号）；③《财政部司法部关于政府采购支持监狱企业发展有关问题的通知》（财库〔2014〕68号）；④《财政部民政部中国残疾人联合会关于促进残疾人就业政府采购政策的通知》（财库〔2017〕141号）；⑤《财政部国家发展改革委关于印发(节能产品政府采购实施意见)的通知》(财库〔2004〕185号)；⑥《国务院办公厅关于建立政府强制采购节能产品制度的通知》(国办发〔2007〕51号)；⑦《财政部环保总局关于环境标志产品政府采购实施的意见》(财库〔2006〕90号)；⑧《财政部发展改革委生态环境部市场监管总局关于调整优化节能产品、环境标志产品政府采购执行机制的通知》（财库〔2019〕9号）；⑨《关于印发环境标志产品政府采购品目清单的通知》（财库〔2019〕18号）；⑩《关于印发节能产品政府采购品目清单的通知》（财库〔2019〕19号）；⑪《财政部农业农村部国家乡村振兴局关于运用政府采购政策支持乡村产业振兴的通知》（财库〔2021〕19号）；⑫《陕西省财政厅关于印发陕西省中小企业政府采购信用融资办法》（陕财办采〔2018〕23号）；⑬《陕西省财政厅关于加快推进我省中小企业政府采购信用融资工作的通知》（陕财办采〔2020〕15号）。若享受以上政策优惠的企业，提供相应声明函或产品目录。如有最新颁发的政府采购政策，按最新的文件执行。</w:t>
      </w:r>
    </w:p>
    <w:p>
      <w:pPr>
        <w:pStyle w:val="36"/>
        <w:numPr>
          <w:ilvl w:val="0"/>
          <w:numId w:val="0"/>
        </w:numPr>
        <w:shd w:val="clear" w:color="auto" w:fill="FFFFFF"/>
        <w:spacing w:before="0" w:beforeAutospacing="0" w:after="0" w:afterAutospacing="0" w:line="360" w:lineRule="auto"/>
        <w:ind w:firstLine="480" w:firstLineChars="200"/>
        <w:rPr>
          <w:rFonts w:hint="eastAsia"/>
          <w:color w:val="000000"/>
          <w:highlight w:val="none"/>
        </w:rPr>
      </w:pPr>
      <w:r>
        <w:rPr>
          <w:rFonts w:hint="eastAsia" w:ascii="宋体" w:hAnsi="宋体" w:eastAsia="宋体"/>
          <w:sz w:val="24"/>
          <w:highlight w:val="none"/>
          <w:lang w:val="en-US" w:eastAsia="zh-CN"/>
        </w:rPr>
        <w:t>3.供应商须按照陕西省财政厅《关于政府采购供应商注册登记有关事项的通知》中的要求，通过陕西省政府采购网（http://www.ccgp-shaanxi.gov.cn/）注册登记加入陕西省政府采购供应商库。</w:t>
      </w:r>
    </w:p>
    <w:p>
      <w:pPr>
        <w:pStyle w:val="36"/>
        <w:shd w:val="clear" w:color="auto" w:fill="FFFFFF"/>
        <w:spacing w:before="0" w:beforeAutospacing="0" w:after="0" w:afterAutospacing="0" w:line="360" w:lineRule="auto"/>
        <w:rPr>
          <w:rFonts w:hint="eastAsia" w:asciiTheme="minorEastAsia" w:hAnsiTheme="minorEastAsia" w:eastAsiaTheme="minorEastAsia" w:cstheme="minorEastAsia"/>
          <w:b w:val="0"/>
          <w:bCs w:val="0"/>
          <w:i w:val="0"/>
          <w:iCs w:val="0"/>
          <w:caps w:val="0"/>
          <w:color w:val="222222"/>
          <w:spacing w:val="0"/>
          <w:sz w:val="24"/>
          <w:szCs w:val="24"/>
          <w:highlight w:val="none"/>
        </w:rPr>
      </w:pPr>
      <w:r>
        <w:rPr>
          <w:rStyle w:val="44"/>
          <w:rFonts w:hint="eastAsia" w:asciiTheme="minorEastAsia" w:hAnsiTheme="minorEastAsia" w:eastAsiaTheme="minorEastAsia" w:cstheme="minorEastAsia"/>
          <w:b/>
          <w:bCs/>
          <w:i w:val="0"/>
          <w:iCs w:val="0"/>
          <w:caps w:val="0"/>
          <w:color w:val="222222"/>
          <w:spacing w:val="0"/>
          <w:sz w:val="24"/>
          <w:szCs w:val="24"/>
          <w:highlight w:val="none"/>
          <w:shd w:val="clear" w:fill="FFFFFF"/>
        </w:rPr>
        <w:t>七、对本次招标提出询问，请按以下方式联系。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1285" w:leftChars="100" w:right="0" w:hanging="1075" w:hangingChars="448"/>
        <w:jc w:val="left"/>
        <w:rPr>
          <w:rFonts w:hint="eastAsia" w:asciiTheme="minorEastAsia" w:hAnsiTheme="minorEastAsia" w:eastAsiaTheme="minorEastAsia" w:cstheme="minorEastAsia"/>
          <w:b w:val="0"/>
          <w:bCs w:val="0"/>
          <w:i w:val="0"/>
          <w:iCs w:val="0"/>
          <w:caps w:val="0"/>
          <w:color w:val="000000"/>
          <w:spacing w:val="0"/>
          <w:kern w:val="0"/>
          <w:sz w:val="24"/>
          <w:szCs w:val="24"/>
          <w:highlight w:val="none"/>
          <w:shd w:val="clear" w:fill="FFFFFF"/>
          <w:lang w:val="en-US" w:eastAsia="zh-CN" w:bidi="ar-SA"/>
        </w:rPr>
      </w:pPr>
      <w:r>
        <w:rPr>
          <w:rFonts w:hint="eastAsia" w:asciiTheme="minorEastAsia" w:hAnsiTheme="minorEastAsia" w:eastAsiaTheme="minorEastAsia" w:cstheme="minorEastAsia"/>
          <w:b w:val="0"/>
          <w:bCs w:val="0"/>
          <w:i w:val="0"/>
          <w:iCs w:val="0"/>
          <w:caps w:val="0"/>
          <w:color w:val="000000"/>
          <w:spacing w:val="0"/>
          <w:kern w:val="0"/>
          <w:sz w:val="24"/>
          <w:szCs w:val="24"/>
          <w:highlight w:val="none"/>
          <w:shd w:val="clear" w:fill="FFFFFF"/>
          <w:lang w:val="en-US" w:eastAsia="zh-CN" w:bidi="ar-SA"/>
        </w:rPr>
        <w:t>1.釆购人信息</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b w:val="0"/>
          <w:bCs w:val="0"/>
          <w:i w:val="0"/>
          <w:iCs w:val="0"/>
          <w:caps w:val="0"/>
          <w:color w:val="000000"/>
          <w:spacing w:val="0"/>
          <w:kern w:val="0"/>
          <w:sz w:val="24"/>
          <w:szCs w:val="24"/>
          <w:highlight w:val="none"/>
          <w:shd w:val="clear" w:fill="FFFFFF"/>
          <w:lang w:val="en-US" w:eastAsia="zh-CN" w:bidi="ar-SA"/>
        </w:rPr>
      </w:pPr>
      <w:r>
        <w:rPr>
          <w:rFonts w:hint="eastAsia" w:asciiTheme="minorEastAsia" w:hAnsiTheme="minorEastAsia" w:eastAsiaTheme="minorEastAsia" w:cstheme="minorEastAsia"/>
          <w:b w:val="0"/>
          <w:bCs w:val="0"/>
          <w:i w:val="0"/>
          <w:iCs w:val="0"/>
          <w:caps w:val="0"/>
          <w:color w:val="000000"/>
          <w:spacing w:val="0"/>
          <w:kern w:val="0"/>
          <w:sz w:val="24"/>
          <w:szCs w:val="24"/>
          <w:highlight w:val="none"/>
          <w:shd w:val="clear" w:fill="FFFFFF"/>
          <w:lang w:val="en-US" w:eastAsia="zh-CN" w:bidi="ar-SA"/>
        </w:rPr>
        <w:t>名称：西安市卫生健康委员会</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b w:val="0"/>
          <w:bCs w:val="0"/>
          <w:i w:val="0"/>
          <w:iCs w:val="0"/>
          <w:caps w:val="0"/>
          <w:color w:val="000000"/>
          <w:spacing w:val="0"/>
          <w:kern w:val="0"/>
          <w:sz w:val="24"/>
          <w:szCs w:val="24"/>
          <w:highlight w:val="none"/>
          <w:shd w:val="clear" w:fill="FFFFFF"/>
          <w:lang w:val="en-US" w:eastAsia="zh-CN" w:bidi="ar-SA"/>
        </w:rPr>
      </w:pPr>
      <w:r>
        <w:rPr>
          <w:rFonts w:hint="eastAsia" w:asciiTheme="minorEastAsia" w:hAnsiTheme="minorEastAsia" w:eastAsiaTheme="minorEastAsia" w:cstheme="minorEastAsia"/>
          <w:b w:val="0"/>
          <w:bCs w:val="0"/>
          <w:i w:val="0"/>
          <w:iCs w:val="0"/>
          <w:caps w:val="0"/>
          <w:color w:val="000000"/>
          <w:spacing w:val="0"/>
          <w:kern w:val="0"/>
          <w:sz w:val="24"/>
          <w:szCs w:val="24"/>
          <w:highlight w:val="none"/>
          <w:shd w:val="clear" w:fill="FFFFFF"/>
          <w:lang w:val="en-US" w:eastAsia="zh-CN" w:bidi="ar-SA"/>
        </w:rPr>
        <w:t>地址：西安市凤城八路108号</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default" w:asciiTheme="minorEastAsia" w:hAnsiTheme="minorEastAsia" w:eastAsiaTheme="minorEastAsia" w:cstheme="minorEastAsia"/>
          <w:b w:val="0"/>
          <w:bCs w:val="0"/>
          <w:i w:val="0"/>
          <w:iCs w:val="0"/>
          <w:caps w:val="0"/>
          <w:color w:val="000000"/>
          <w:spacing w:val="0"/>
          <w:kern w:val="0"/>
          <w:sz w:val="24"/>
          <w:szCs w:val="24"/>
          <w:highlight w:val="none"/>
          <w:shd w:val="clear" w:fill="FFFFFF"/>
          <w:lang w:val="en-US" w:eastAsia="zh-CN" w:bidi="ar-SA"/>
        </w:rPr>
      </w:pPr>
      <w:r>
        <w:rPr>
          <w:rFonts w:hint="eastAsia" w:asciiTheme="minorEastAsia" w:hAnsiTheme="minorEastAsia" w:eastAsiaTheme="minorEastAsia" w:cstheme="minorEastAsia"/>
          <w:b w:val="0"/>
          <w:bCs w:val="0"/>
          <w:i w:val="0"/>
          <w:iCs w:val="0"/>
          <w:caps w:val="0"/>
          <w:color w:val="000000"/>
          <w:spacing w:val="0"/>
          <w:kern w:val="0"/>
          <w:sz w:val="24"/>
          <w:szCs w:val="24"/>
          <w:highlight w:val="none"/>
          <w:shd w:val="clear" w:fill="FFFFFF"/>
          <w:lang w:val="en-US" w:eastAsia="zh-CN" w:bidi="ar-SA"/>
        </w:rPr>
        <w:t>联系方式：</w:t>
      </w:r>
      <w:r>
        <w:rPr>
          <w:rFonts w:hint="eastAsia" w:ascii="宋体" w:hAnsi="宋体" w:cs="宋体"/>
          <w:color w:val="000000"/>
          <w:sz w:val="24"/>
          <w:highlight w:val="none"/>
        </w:rPr>
        <w:t>029-</w:t>
      </w:r>
      <w:r>
        <w:rPr>
          <w:rFonts w:hint="eastAsia" w:ascii="宋体" w:hAnsi="宋体" w:cs="宋体"/>
          <w:color w:val="000000"/>
          <w:sz w:val="24"/>
          <w:highlight w:val="none"/>
          <w:lang w:val="en-US" w:eastAsia="zh-CN"/>
        </w:rPr>
        <w:t>86787663</w:t>
      </w:r>
    </w:p>
    <w:p>
      <w:pPr>
        <w:pStyle w:val="36"/>
        <w:spacing w:before="0" w:beforeAutospacing="0" w:after="0" w:afterAutospacing="0" w:line="510" w:lineRule="atLeas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2.采购代理机构信息</w:t>
      </w:r>
    </w:p>
    <w:p>
      <w:pPr>
        <w:pStyle w:val="36"/>
        <w:spacing w:before="0" w:beforeAutospacing="0" w:after="0" w:afterAutospacing="0" w:line="510" w:lineRule="atLeas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名称：陕西嘉唐建设项目管理有限公司 </w:t>
      </w:r>
    </w:p>
    <w:p>
      <w:pPr>
        <w:pStyle w:val="36"/>
        <w:spacing w:before="0" w:beforeAutospacing="0" w:after="0" w:afterAutospacing="0" w:line="510" w:lineRule="atLeas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地址：西安市未央区凤城五路与明光路十字天朗经开中心10楼11002室</w:t>
      </w:r>
    </w:p>
    <w:p>
      <w:pPr>
        <w:pStyle w:val="36"/>
        <w:spacing w:before="0" w:beforeAutospacing="0" w:after="0" w:afterAutospacing="0" w:line="510" w:lineRule="atLeas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联系方式：029-89351397</w:t>
      </w:r>
    </w:p>
    <w:p>
      <w:pPr>
        <w:pStyle w:val="36"/>
        <w:spacing w:before="0" w:beforeAutospacing="0" w:after="0" w:afterAutospacing="0" w:line="510" w:lineRule="atLeas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3.项目联系方式</w:t>
      </w:r>
    </w:p>
    <w:p>
      <w:pPr>
        <w:pStyle w:val="36"/>
        <w:spacing w:before="0" w:beforeAutospacing="0" w:after="0" w:afterAutospacing="0" w:line="510" w:lineRule="atLeast"/>
        <w:ind w:firstLine="42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项目联系人：</w:t>
      </w:r>
      <w:r>
        <w:rPr>
          <w:rFonts w:hint="eastAsia" w:cs="宋体"/>
          <w:color w:val="000000" w:themeColor="text1"/>
          <w:highlight w:val="none"/>
          <w:lang w:val="en-US" w:eastAsia="zh-CN"/>
          <w14:textFill>
            <w14:solidFill>
              <w14:schemeClr w14:val="tx1"/>
            </w14:solidFill>
          </w14:textFill>
        </w:rPr>
        <w:t>王梦娜</w:t>
      </w:r>
    </w:p>
    <w:p>
      <w:pPr>
        <w:pStyle w:val="36"/>
        <w:spacing w:before="0" w:beforeAutospacing="0" w:after="0" w:afterAutospacing="0" w:line="510" w:lineRule="atLeas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电话：029-89351397</w:t>
      </w:r>
    </w:p>
    <w:p>
      <w:pPr>
        <w:pStyle w:val="36"/>
        <w:spacing w:before="0" w:beforeAutospacing="0" w:after="0" w:afterAutospacing="0" w:line="510" w:lineRule="atLeast"/>
        <w:ind w:firstLine="420"/>
        <w:rPr>
          <w:rFonts w:hint="eastAsia" w:ascii="宋体" w:hAnsi="宋体" w:eastAsia="宋体" w:cs="宋体"/>
          <w:color w:val="000000" w:themeColor="text1"/>
          <w:highlight w:val="none"/>
          <w14:textFill>
            <w14:solidFill>
              <w14:schemeClr w14:val="tx1"/>
            </w14:solidFill>
          </w14:textFill>
        </w:rPr>
      </w:pPr>
    </w:p>
    <w:p>
      <w:pPr>
        <w:pStyle w:val="3"/>
        <w:numPr>
          <w:ilvl w:val="0"/>
          <w:numId w:val="1"/>
        </w:numPr>
        <w:bidi w:val="0"/>
        <w:jc w:val="cente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bookmarkEnd w:id="4"/>
      <w:bookmarkEnd w:id="5"/>
      <w:bookmarkEnd w:id="6"/>
      <w:bookmarkStart w:id="8" w:name="_Toc27434"/>
      <w:bookmarkStart w:id="9" w:name="_Toc9554"/>
      <w:bookmarkStart w:id="10" w:name="_Toc30637"/>
      <w:bookmarkStart w:id="11" w:name="_Toc144974496"/>
      <w:bookmarkStart w:id="12" w:name="_Toc339114108"/>
      <w:bookmarkStart w:id="13" w:name="_Toc152045528"/>
      <w:bookmarkStart w:id="14" w:name="_Toc152042304"/>
      <w:bookmarkStart w:id="15" w:name="_Toc152045530"/>
      <w:bookmarkStart w:id="16" w:name="_Toc152042306"/>
      <w:bookmarkStart w:id="17" w:name="_Toc144974498"/>
      <w:r>
        <w:rPr>
          <w:rFonts w:hint="eastAsia" w:ascii="宋体" w:hAnsi="宋体" w:cs="宋体"/>
          <w:b/>
          <w:color w:val="000000" w:themeColor="text1"/>
          <w:kern w:val="2"/>
          <w:sz w:val="32"/>
          <w:szCs w:val="32"/>
          <w:highlight w:val="none"/>
          <w:lang w:val="en-US" w:eastAsia="zh-CN" w:bidi="ar-SA"/>
          <w14:textFill>
            <w14:solidFill>
              <w14:schemeClr w14:val="tx1"/>
            </w14:solidFill>
          </w14:textFill>
        </w:rPr>
        <w:t>供应商</w:t>
      </w:r>
      <w: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t>须知</w:t>
      </w:r>
      <w:bookmarkEnd w:id="8"/>
      <w:bookmarkEnd w:id="9"/>
    </w:p>
    <w:p>
      <w:pPr>
        <w:pStyle w:val="12"/>
        <w:numPr>
          <w:ilvl w:val="0"/>
          <w:numId w:val="0"/>
        </w:numPr>
        <w:rPr>
          <w:rFonts w:hint="eastAsia"/>
          <w:highlight w:val="none"/>
        </w:rPr>
      </w:pPr>
    </w:p>
    <w:p>
      <w:pPr>
        <w:numPr>
          <w:ilvl w:val="0"/>
          <w:numId w:val="0"/>
        </w:numPr>
        <w:jc w:val="center"/>
        <w:rPr>
          <w:rFonts w:hint="eastAsia" w:ascii="宋体" w:hAnsi="宋体"/>
          <w:b/>
          <w:bCs/>
          <w:color w:val="000000"/>
          <w:sz w:val="24"/>
          <w:szCs w:val="24"/>
          <w:highlight w:val="none"/>
        </w:rPr>
      </w:pPr>
      <w:r>
        <w:rPr>
          <w:rFonts w:hint="eastAsia" w:ascii="宋体" w:hAnsi="宋体"/>
          <w:b/>
          <w:bCs/>
          <w:color w:val="000000"/>
          <w:sz w:val="24"/>
          <w:szCs w:val="24"/>
          <w:highlight w:val="none"/>
        </w:rPr>
        <w:t>供应商须知前附表</w:t>
      </w:r>
      <w:bookmarkEnd w:id="10"/>
      <w:bookmarkEnd w:id="11"/>
      <w:bookmarkEnd w:id="12"/>
      <w:bookmarkEnd w:id="13"/>
      <w:bookmarkEnd w:id="14"/>
    </w:p>
    <w:p>
      <w:pPr>
        <w:pStyle w:val="12"/>
        <w:rPr>
          <w:rFonts w:hint="eastAsia"/>
          <w:highlight w:val="none"/>
        </w:rPr>
      </w:pPr>
    </w:p>
    <w:tbl>
      <w:tblPr>
        <w:tblStyle w:val="41"/>
        <w:tblW w:w="5329" w:type="pct"/>
        <w:jc w:val="center"/>
        <w:tblLayout w:type="fixed"/>
        <w:tblCellMar>
          <w:top w:w="0" w:type="dxa"/>
          <w:left w:w="108" w:type="dxa"/>
          <w:bottom w:w="0" w:type="dxa"/>
          <w:right w:w="108" w:type="dxa"/>
        </w:tblCellMar>
      </w:tblPr>
      <w:tblGrid>
        <w:gridCol w:w="480"/>
        <w:gridCol w:w="2282"/>
        <w:gridCol w:w="7016"/>
      </w:tblGrid>
      <w:tr>
        <w:tblPrEx>
          <w:tblCellMar>
            <w:top w:w="0" w:type="dxa"/>
            <w:left w:w="108" w:type="dxa"/>
            <w:bottom w:w="0" w:type="dxa"/>
            <w:right w:w="108" w:type="dxa"/>
          </w:tblCellMar>
        </w:tblPrEx>
        <w:trPr>
          <w:trHeight w:val="782"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ascii="宋体" w:hAnsi="宋体" w:cs="宋体"/>
                <w:b/>
                <w:color w:val="000000"/>
                <w:sz w:val="24"/>
                <w:highlight w:val="none"/>
              </w:rPr>
            </w:pPr>
            <w:r>
              <w:rPr>
                <w:rFonts w:hint="eastAsia" w:ascii="宋体" w:hAnsi="宋体" w:cs="宋体"/>
                <w:b/>
                <w:color w:val="000000"/>
                <w:sz w:val="24"/>
                <w:highlight w:val="none"/>
              </w:rPr>
              <w:t>编号</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ascii="宋体" w:hAnsi="宋体" w:cs="宋体"/>
                <w:b/>
                <w:color w:val="000000"/>
                <w:sz w:val="24"/>
                <w:highlight w:val="none"/>
              </w:rPr>
            </w:pPr>
            <w:r>
              <w:rPr>
                <w:rFonts w:hint="eastAsia" w:ascii="宋体" w:hAnsi="宋体" w:cs="宋体"/>
                <w:b/>
                <w:color w:val="000000"/>
                <w:sz w:val="24"/>
                <w:highlight w:val="none"/>
              </w:rPr>
              <w:t>条款名称</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ascii="宋体" w:hAnsi="宋体" w:cs="宋体"/>
                <w:b/>
                <w:color w:val="000000"/>
                <w:sz w:val="24"/>
                <w:highlight w:val="none"/>
              </w:rPr>
            </w:pPr>
            <w:r>
              <w:rPr>
                <w:rFonts w:hint="eastAsia" w:ascii="宋体" w:hAnsi="宋体" w:cs="宋体"/>
                <w:b/>
                <w:color w:val="000000"/>
                <w:sz w:val="24"/>
                <w:highlight w:val="none"/>
              </w:rPr>
              <w:t>编  列  内  容</w:t>
            </w:r>
          </w:p>
        </w:tc>
      </w:tr>
      <w:tr>
        <w:tblPrEx>
          <w:tblCellMar>
            <w:top w:w="0" w:type="dxa"/>
            <w:left w:w="108" w:type="dxa"/>
            <w:bottom w:w="0" w:type="dxa"/>
            <w:right w:w="108" w:type="dxa"/>
          </w:tblCellMar>
        </w:tblPrEx>
        <w:trPr>
          <w:trHeight w:val="432"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ascii="宋体" w:hAnsi="宋体" w:cs="宋体"/>
                <w:color w:val="000000"/>
                <w:sz w:val="24"/>
                <w:highlight w:val="none"/>
              </w:rPr>
            </w:pPr>
            <w:r>
              <w:rPr>
                <w:rFonts w:hint="eastAsia" w:ascii="宋体" w:hAnsi="宋体" w:cs="宋体"/>
                <w:color w:val="000000"/>
                <w:sz w:val="24"/>
                <w:highlight w:val="none"/>
              </w:rPr>
              <w:t>1</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ascii="宋体" w:hAnsi="宋体" w:cs="宋体"/>
                <w:color w:val="000000"/>
                <w:sz w:val="24"/>
                <w:highlight w:val="none"/>
              </w:rPr>
            </w:pPr>
            <w:r>
              <w:rPr>
                <w:rFonts w:hint="eastAsia" w:ascii="宋体" w:hAnsi="宋体" w:cs="宋体"/>
                <w:color w:val="000000"/>
                <w:sz w:val="24"/>
                <w:highlight w:val="none"/>
              </w:rPr>
              <w:t>采购人</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color w:val="000000"/>
                <w:sz w:val="24"/>
                <w:highlight w:val="none"/>
                <w:lang w:eastAsia="zh-CN"/>
              </w:rPr>
            </w:pPr>
            <w:r>
              <w:rPr>
                <w:rFonts w:hint="eastAsia" w:ascii="宋体" w:hAnsi="宋体" w:cs="宋体"/>
                <w:color w:val="000000"/>
                <w:sz w:val="24"/>
                <w:highlight w:val="none"/>
              </w:rPr>
              <w:t>采购人信息：</w:t>
            </w:r>
            <w:r>
              <w:rPr>
                <w:rFonts w:hint="eastAsia" w:ascii="宋体" w:hAnsi="宋体" w:cs="宋体"/>
                <w:color w:val="000000"/>
                <w:sz w:val="24"/>
                <w:highlight w:val="none"/>
                <w:lang w:eastAsia="zh-CN"/>
              </w:rPr>
              <w:t>西安市卫生健康委员会</w:t>
            </w:r>
          </w:p>
          <w:p>
            <w:pPr>
              <w:snapToGrid w:val="0"/>
              <w:spacing w:line="360" w:lineRule="auto"/>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地址：</w:t>
            </w:r>
            <w:r>
              <w:rPr>
                <w:rFonts w:hint="eastAsia" w:ascii="宋体" w:hAnsi="宋体" w:cs="宋体"/>
                <w:color w:val="000000"/>
                <w:sz w:val="24"/>
                <w:highlight w:val="none"/>
                <w:lang w:eastAsia="zh-CN"/>
              </w:rPr>
              <w:t>西安市凤城八路108号</w:t>
            </w:r>
          </w:p>
          <w:p>
            <w:pPr>
              <w:snapToGrid w:val="0"/>
              <w:spacing w:line="360" w:lineRule="auto"/>
              <w:rPr>
                <w:rFonts w:hint="eastAsia" w:ascii="宋体" w:hAnsi="宋体" w:cs="宋体"/>
                <w:color w:val="000000"/>
                <w:sz w:val="24"/>
                <w:highlight w:val="none"/>
              </w:rPr>
            </w:pPr>
            <w:r>
              <w:rPr>
                <w:rFonts w:hint="eastAsia" w:ascii="宋体" w:hAnsi="宋体" w:cs="宋体"/>
                <w:color w:val="000000"/>
                <w:sz w:val="24"/>
                <w:highlight w:val="none"/>
              </w:rPr>
              <w:t>联系人：</w:t>
            </w:r>
            <w:r>
              <w:rPr>
                <w:rFonts w:hint="eastAsia" w:ascii="宋体" w:hAnsi="宋体" w:cs="宋体"/>
                <w:color w:val="000000"/>
                <w:sz w:val="24"/>
                <w:highlight w:val="none"/>
                <w:lang w:val="en-US" w:eastAsia="zh-CN"/>
              </w:rPr>
              <w:t>詹老师</w:t>
            </w:r>
          </w:p>
          <w:p>
            <w:pPr>
              <w:snapToGrid w:val="0"/>
              <w:spacing w:line="360" w:lineRule="auto"/>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rPr>
              <w:t>电话：029-</w:t>
            </w:r>
            <w:r>
              <w:rPr>
                <w:rFonts w:hint="eastAsia" w:ascii="宋体" w:hAnsi="宋体" w:cs="宋体"/>
                <w:color w:val="000000"/>
                <w:sz w:val="24"/>
                <w:highlight w:val="none"/>
                <w:lang w:val="en-US" w:eastAsia="zh-CN"/>
              </w:rPr>
              <w:t>86787663</w:t>
            </w:r>
          </w:p>
        </w:tc>
      </w:tr>
      <w:tr>
        <w:tblPrEx>
          <w:tblCellMar>
            <w:top w:w="0" w:type="dxa"/>
            <w:left w:w="108" w:type="dxa"/>
            <w:bottom w:w="0" w:type="dxa"/>
            <w:right w:w="108" w:type="dxa"/>
          </w:tblCellMar>
        </w:tblPrEx>
        <w:trPr>
          <w:trHeight w:val="992"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ascii="宋体" w:hAnsi="宋体" w:cs="宋体"/>
                <w:color w:val="000000"/>
                <w:sz w:val="24"/>
                <w:highlight w:val="none"/>
              </w:rPr>
            </w:pPr>
            <w:r>
              <w:rPr>
                <w:rFonts w:hint="eastAsia" w:ascii="宋体" w:hAnsi="宋体" w:cs="宋体"/>
                <w:color w:val="000000"/>
                <w:sz w:val="24"/>
                <w:highlight w:val="none"/>
              </w:rPr>
              <w:t>2</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ascii="宋体" w:hAnsi="宋体" w:cs="宋体"/>
                <w:color w:val="000000"/>
                <w:sz w:val="24"/>
                <w:highlight w:val="none"/>
              </w:rPr>
            </w:pPr>
            <w:r>
              <w:rPr>
                <w:rFonts w:hint="eastAsia" w:ascii="宋体" w:hAnsi="宋体" w:cs="宋体"/>
                <w:color w:val="000000"/>
                <w:sz w:val="24"/>
                <w:highlight w:val="none"/>
              </w:rPr>
              <w:t>采购代理机构</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color w:val="000000"/>
                <w:sz w:val="24"/>
                <w:highlight w:val="none"/>
                <w:lang w:eastAsia="zh-CN"/>
              </w:rPr>
            </w:pPr>
            <w:r>
              <w:rPr>
                <w:rFonts w:hint="eastAsia" w:ascii="宋体" w:hAnsi="宋体" w:cs="宋体"/>
                <w:color w:val="000000"/>
                <w:sz w:val="24"/>
                <w:highlight w:val="none"/>
                <w:lang w:val="en-US" w:eastAsia="zh-CN"/>
              </w:rPr>
              <w:t>名  称</w:t>
            </w:r>
            <w:r>
              <w:rPr>
                <w:rFonts w:hint="eastAsia" w:ascii="宋体" w:hAnsi="宋体" w:cs="宋体"/>
                <w:color w:val="000000"/>
                <w:sz w:val="24"/>
                <w:highlight w:val="none"/>
              </w:rPr>
              <w:t>：</w:t>
            </w:r>
            <w:r>
              <w:rPr>
                <w:rFonts w:hint="eastAsia" w:ascii="宋体" w:hAnsi="宋体" w:cs="宋体"/>
                <w:color w:val="000000"/>
                <w:sz w:val="24"/>
                <w:highlight w:val="none"/>
                <w:lang w:eastAsia="zh-CN"/>
              </w:rPr>
              <w:t>陕西嘉唐建设项目管理有限公司</w:t>
            </w:r>
          </w:p>
          <w:p>
            <w:pPr>
              <w:snapToGrid w:val="0"/>
              <w:spacing w:line="360" w:lineRule="auto"/>
              <w:rPr>
                <w:rFonts w:hint="eastAsia" w:ascii="宋体" w:hAnsi="宋体" w:cs="宋体"/>
                <w:color w:val="000000"/>
                <w:sz w:val="24"/>
                <w:highlight w:val="none"/>
                <w:lang w:val="en-US" w:eastAsia="zh-CN"/>
              </w:rPr>
            </w:pPr>
            <w:r>
              <w:rPr>
                <w:rFonts w:hint="eastAsia" w:ascii="宋体" w:hAnsi="宋体" w:cs="宋体"/>
                <w:color w:val="000000"/>
                <w:sz w:val="24"/>
                <w:highlight w:val="none"/>
              </w:rPr>
              <w:t>地</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址：</w:t>
            </w:r>
            <w:r>
              <w:rPr>
                <w:rFonts w:hint="eastAsia" w:ascii="宋体" w:hAnsi="宋体" w:cs="宋体"/>
                <w:color w:val="000000"/>
                <w:sz w:val="24"/>
                <w:highlight w:val="none"/>
                <w:lang w:eastAsia="zh-CN"/>
              </w:rPr>
              <w:t>西安市未央区凤城五路与明光路十字天朗经开中心10楼11002室</w:t>
            </w:r>
          </w:p>
          <w:p>
            <w:pPr>
              <w:snapToGrid w:val="0"/>
              <w:spacing w:line="360" w:lineRule="auto"/>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联系人：王梦娜</w:t>
            </w:r>
          </w:p>
          <w:p>
            <w:pPr>
              <w:snapToGrid w:val="0"/>
              <w:spacing w:line="360" w:lineRule="auto"/>
              <w:rPr>
                <w:rFonts w:ascii="宋体" w:hAnsi="宋体" w:cs="宋体"/>
                <w:color w:val="000000"/>
                <w:sz w:val="24"/>
                <w:highlight w:val="none"/>
              </w:rPr>
            </w:pPr>
            <w:r>
              <w:rPr>
                <w:rFonts w:hint="eastAsia" w:ascii="宋体" w:hAnsi="宋体" w:cs="宋体"/>
                <w:color w:val="000000"/>
                <w:sz w:val="24"/>
                <w:highlight w:val="none"/>
              </w:rPr>
              <w:t>电</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话：</w:t>
            </w:r>
            <w:r>
              <w:rPr>
                <w:rFonts w:hint="eastAsia" w:ascii="宋体" w:hAnsi="宋体" w:cs="宋体"/>
                <w:color w:val="000000"/>
                <w:sz w:val="24"/>
                <w:highlight w:val="none"/>
                <w:lang w:val="en-US" w:eastAsia="zh-CN"/>
              </w:rPr>
              <w:t>029-89351397</w:t>
            </w:r>
          </w:p>
        </w:tc>
      </w:tr>
      <w:tr>
        <w:tblPrEx>
          <w:tblCellMar>
            <w:top w:w="0" w:type="dxa"/>
            <w:left w:w="108" w:type="dxa"/>
            <w:bottom w:w="0" w:type="dxa"/>
            <w:right w:w="108" w:type="dxa"/>
          </w:tblCellMar>
        </w:tblPrEx>
        <w:trPr>
          <w:trHeight w:val="864"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ascii="宋体" w:hAnsi="宋体" w:cs="宋体"/>
                <w:color w:val="000000"/>
                <w:sz w:val="24"/>
                <w:highlight w:val="none"/>
              </w:rPr>
            </w:pPr>
            <w:r>
              <w:rPr>
                <w:rFonts w:hint="eastAsia" w:ascii="宋体" w:hAnsi="宋体" w:cs="宋体"/>
                <w:color w:val="000000"/>
                <w:sz w:val="24"/>
                <w:highlight w:val="none"/>
              </w:rPr>
              <w:t>3</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项目名称</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2023年度全国卫生专业技术资格考试暨护士执业资格考试西安考点考务服务项目（三次）</w:t>
            </w:r>
          </w:p>
        </w:tc>
      </w:tr>
      <w:tr>
        <w:tblPrEx>
          <w:tblCellMar>
            <w:top w:w="0" w:type="dxa"/>
            <w:left w:w="108" w:type="dxa"/>
            <w:bottom w:w="0" w:type="dxa"/>
            <w:right w:w="108" w:type="dxa"/>
          </w:tblCellMar>
        </w:tblPrEx>
        <w:trPr>
          <w:trHeight w:val="741"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ascii="宋体" w:hAnsi="宋体" w:cs="宋体"/>
                <w:color w:val="000000"/>
                <w:sz w:val="24"/>
                <w:highlight w:val="none"/>
              </w:rPr>
            </w:pPr>
            <w:r>
              <w:rPr>
                <w:rFonts w:hint="eastAsia" w:ascii="宋体" w:hAnsi="宋体" w:cs="宋体"/>
                <w:color w:val="000000"/>
                <w:sz w:val="24"/>
                <w:highlight w:val="none"/>
              </w:rPr>
              <w:t>4</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合同期限</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具体以项目开展后采购人要求为准。乙方应积极履行其合同义务，完成合同范围内的相关工作。</w:t>
            </w:r>
          </w:p>
        </w:tc>
      </w:tr>
      <w:tr>
        <w:tblPrEx>
          <w:tblCellMar>
            <w:top w:w="0" w:type="dxa"/>
            <w:left w:w="108" w:type="dxa"/>
            <w:bottom w:w="0" w:type="dxa"/>
            <w:right w:w="108" w:type="dxa"/>
          </w:tblCellMar>
        </w:tblPrEx>
        <w:trPr>
          <w:trHeight w:val="684"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lang w:val="en-US" w:eastAsia="zh-CN"/>
              </w:rPr>
              <w:t>5</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lang w:val="en-US" w:eastAsia="zh-CN"/>
              </w:rPr>
              <w:t>服务</w:t>
            </w:r>
            <w:r>
              <w:rPr>
                <w:rFonts w:hint="eastAsia" w:ascii="宋体" w:hAnsi="宋体" w:cs="宋体"/>
                <w:color w:val="000000"/>
                <w:kern w:val="0"/>
                <w:sz w:val="24"/>
                <w:highlight w:val="none"/>
                <w:lang w:eastAsia="zh-CN"/>
              </w:rPr>
              <w:t>地点</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lang w:eastAsia="zh-CN"/>
              </w:rPr>
              <w:t>采购人指定地点</w:t>
            </w:r>
          </w:p>
        </w:tc>
      </w:tr>
      <w:tr>
        <w:tblPrEx>
          <w:tblCellMar>
            <w:top w:w="0" w:type="dxa"/>
            <w:left w:w="108" w:type="dxa"/>
            <w:bottom w:w="0" w:type="dxa"/>
            <w:right w:w="108" w:type="dxa"/>
          </w:tblCellMar>
        </w:tblPrEx>
        <w:trPr>
          <w:trHeight w:val="741"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default"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6</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sz w:val="24"/>
                <w:szCs w:val="24"/>
                <w:highlight w:val="none"/>
              </w:rPr>
              <w:t>开标形式</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Theme="minorEastAsia" w:hAnsiTheme="minorEastAsia" w:eastAsiaTheme="minorEastAsia" w:cstheme="minorEastAsia"/>
                <w:color w:val="000000"/>
                <w:kern w:val="0"/>
                <w:sz w:val="24"/>
                <w:szCs w:val="24"/>
                <w:highlight w:val="none"/>
                <w:lang w:eastAsia="zh-CN"/>
              </w:rPr>
            </w:pPr>
            <w:sdt>
              <w:sdtPr>
                <w:rPr>
                  <w:rFonts w:hint="eastAsia" w:asciiTheme="minorEastAsia" w:hAnsiTheme="minorEastAsia" w:eastAsiaTheme="minorEastAsia" w:cstheme="minorEastAsia"/>
                  <w:sz w:val="24"/>
                  <w:szCs w:val="24"/>
                  <w:highlight w:val="none"/>
                </w:rPr>
                <w:id w:val="1077786224"/>
                <w14:checkbox>
                  <w14:checked w14:val="1"/>
                  <w14:checkedState w14:val="2611" w14:font="MS Gothic"/>
                  <w14:uncheckedState w14:val="2610" w14:font="MS Gothic"/>
                </w14:checkbox>
              </w:sdtPr>
              <w:sdtEndPr>
                <w:rPr>
                  <w:rFonts w:hint="eastAsia" w:asciiTheme="minorEastAsia" w:hAnsiTheme="minorEastAsia" w:eastAsiaTheme="minorEastAsia" w:cstheme="minorEastAsia"/>
                  <w:sz w:val="24"/>
                  <w:szCs w:val="24"/>
                  <w:highlight w:val="none"/>
                </w:rPr>
              </w:sdtEndPr>
              <w:sdtContent>
                <w:r>
                  <w:rPr>
                    <w:rFonts w:hint="eastAsia" w:asciiTheme="minorEastAsia" w:hAnsiTheme="minorEastAsia" w:eastAsiaTheme="minorEastAsia" w:cstheme="minorEastAsia"/>
                    <w:kern w:val="2"/>
                    <w:sz w:val="24"/>
                    <w:szCs w:val="24"/>
                    <w:highlight w:val="none"/>
                    <w:lang w:val="en-US" w:eastAsia="zh-CN" w:bidi="ar-SA"/>
                  </w:rPr>
                  <w:t>☑</w:t>
                </w:r>
              </w:sdtContent>
            </w:sdt>
            <w:r>
              <w:rPr>
                <w:rFonts w:hint="eastAsia" w:asciiTheme="minorEastAsia" w:hAnsiTheme="minorEastAsia" w:eastAsiaTheme="minorEastAsia" w:cstheme="minorEastAsia"/>
                <w:sz w:val="24"/>
                <w:szCs w:val="24"/>
                <w:highlight w:val="none"/>
              </w:rPr>
              <w:t xml:space="preserve">不见面开标  </w:t>
            </w:r>
            <w:sdt>
              <w:sdtPr>
                <w:rPr>
                  <w:rFonts w:hint="eastAsia" w:asciiTheme="minorEastAsia" w:hAnsiTheme="minorEastAsia" w:eastAsiaTheme="minorEastAsia" w:cstheme="minorEastAsia"/>
                  <w:sz w:val="24"/>
                  <w:szCs w:val="24"/>
                  <w:highlight w:val="none"/>
                </w:rPr>
                <w:id w:val="1553575034"/>
                <w14:checkbox>
                  <w14:checked w14:val="0"/>
                  <w14:checkedState w14:val="2611" w14:font="MS Gothic"/>
                  <w14:uncheckedState w14:val="2610" w14:font="MS Gothic"/>
                </w14:checkbox>
              </w:sdtPr>
              <w:sdtEndPr>
                <w:rPr>
                  <w:rFonts w:hint="eastAsia" w:asciiTheme="minorEastAsia" w:hAnsiTheme="minorEastAsia" w:eastAsiaTheme="minorEastAsia" w:cstheme="minorEastAsia"/>
                  <w:sz w:val="24"/>
                  <w:szCs w:val="24"/>
                  <w:highlight w:val="none"/>
                </w:rPr>
              </w:sdtEndPr>
              <w:sdtContent>
                <w:r>
                  <w:rPr>
                    <w:rFonts w:hint="eastAsia" w:asciiTheme="minorEastAsia" w:hAnsiTheme="minorEastAsia" w:eastAsiaTheme="minorEastAsia" w:cstheme="minorEastAsia"/>
                    <w:sz w:val="24"/>
                    <w:szCs w:val="24"/>
                    <w:highlight w:val="none"/>
                  </w:rPr>
                  <w:t>☐</w:t>
                </w:r>
              </w:sdtContent>
            </w:sdt>
            <w:r>
              <w:rPr>
                <w:rFonts w:hint="eastAsia" w:asciiTheme="minorEastAsia" w:hAnsiTheme="minorEastAsia" w:eastAsiaTheme="minorEastAsia" w:cstheme="minorEastAsia"/>
                <w:sz w:val="24"/>
                <w:szCs w:val="24"/>
                <w:highlight w:val="none"/>
              </w:rPr>
              <w:t>见面开标</w:t>
            </w:r>
          </w:p>
        </w:tc>
      </w:tr>
      <w:tr>
        <w:tblPrEx>
          <w:tblCellMar>
            <w:top w:w="0" w:type="dxa"/>
            <w:left w:w="108" w:type="dxa"/>
            <w:bottom w:w="0" w:type="dxa"/>
            <w:right w:w="108" w:type="dxa"/>
          </w:tblCellMar>
        </w:tblPrEx>
        <w:trPr>
          <w:trHeight w:val="581"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7</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ascii="宋体" w:hAnsi="宋体" w:cs="宋体"/>
                <w:color w:val="000000"/>
                <w:kern w:val="2"/>
                <w:sz w:val="24"/>
                <w:szCs w:val="24"/>
                <w:highlight w:val="none"/>
                <w:lang w:val="en-US" w:eastAsia="zh-CN" w:bidi="ar-SA"/>
              </w:rPr>
            </w:pPr>
            <w:r>
              <w:rPr>
                <w:rFonts w:hint="eastAsia" w:ascii="宋体" w:hAnsi="宋体" w:cs="宋体"/>
                <w:color w:val="000000"/>
                <w:sz w:val="24"/>
                <w:highlight w:val="none"/>
              </w:rPr>
              <w:t>是否接受联合体投标</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textAlignment w:val="center"/>
              <w:rPr>
                <w:rFonts w:ascii="宋体" w:hAnsi="宋体" w:cs="宋体"/>
                <w:color w:val="000000"/>
                <w:kern w:val="2"/>
                <w:sz w:val="24"/>
                <w:szCs w:val="24"/>
                <w:highlight w:val="none"/>
                <w:lang w:val="en-US" w:eastAsia="zh-CN" w:bidi="ar-SA"/>
              </w:rPr>
            </w:pPr>
            <w:r>
              <w:rPr>
                <w:rFonts w:hint="eastAsia" w:ascii="宋体" w:hAnsi="宋体" w:cs="宋体"/>
                <w:color w:val="000000"/>
                <w:sz w:val="24"/>
                <w:highlight w:val="none"/>
              </w:rPr>
              <w:t>不接受。</w:t>
            </w:r>
          </w:p>
        </w:tc>
      </w:tr>
      <w:tr>
        <w:tblPrEx>
          <w:tblCellMar>
            <w:top w:w="0" w:type="dxa"/>
            <w:left w:w="108" w:type="dxa"/>
            <w:bottom w:w="0" w:type="dxa"/>
            <w:right w:w="108" w:type="dxa"/>
          </w:tblCellMar>
        </w:tblPrEx>
        <w:trPr>
          <w:trHeight w:val="503"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8</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cs="宋体"/>
                <w:color w:val="000000"/>
                <w:kern w:val="2"/>
                <w:sz w:val="24"/>
                <w:szCs w:val="24"/>
                <w:highlight w:val="none"/>
                <w:lang w:val="en-US" w:eastAsia="zh-CN" w:bidi="ar-SA"/>
              </w:rPr>
            </w:pPr>
            <w:r>
              <w:rPr>
                <w:rFonts w:hint="eastAsia" w:ascii="宋体" w:hAnsi="宋体" w:cs="宋体"/>
                <w:color w:val="000000"/>
                <w:sz w:val="24"/>
                <w:highlight w:val="none"/>
              </w:rPr>
              <w:t>投标保证金</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textAlignment w:val="center"/>
              <w:rPr>
                <w:rFonts w:hint="eastAsia" w:ascii="宋体" w:hAnsi="宋体" w:cs="宋体"/>
                <w:color w:val="000000"/>
                <w:kern w:val="2"/>
                <w:sz w:val="24"/>
                <w:szCs w:val="24"/>
                <w:highlight w:val="none"/>
                <w:lang w:val="en-US" w:eastAsia="zh-CN" w:bidi="ar-SA"/>
              </w:rPr>
            </w:pPr>
            <w:r>
              <w:rPr>
                <w:rFonts w:hint="eastAsia" w:ascii="宋体" w:hAnsi="宋体" w:cs="宋体"/>
                <w:color w:val="000000"/>
                <w:sz w:val="24"/>
                <w:highlight w:val="none"/>
              </w:rPr>
              <w:t>本项目不收取投标保证金。</w:t>
            </w:r>
          </w:p>
        </w:tc>
      </w:tr>
      <w:tr>
        <w:tblPrEx>
          <w:tblCellMar>
            <w:top w:w="0" w:type="dxa"/>
            <w:left w:w="108" w:type="dxa"/>
            <w:bottom w:w="0" w:type="dxa"/>
            <w:right w:w="108" w:type="dxa"/>
          </w:tblCellMar>
        </w:tblPrEx>
        <w:trPr>
          <w:trHeight w:val="703"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9</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cs="宋体"/>
                <w:color w:val="000000"/>
                <w:kern w:val="2"/>
                <w:sz w:val="24"/>
                <w:szCs w:val="24"/>
                <w:highlight w:val="none"/>
                <w:lang w:val="en-US" w:eastAsia="zh-CN" w:bidi="ar-SA"/>
              </w:rPr>
            </w:pPr>
            <w:r>
              <w:rPr>
                <w:rFonts w:hint="eastAsia" w:ascii="宋体" w:hAnsi="宋体" w:cs="宋体"/>
                <w:color w:val="000000"/>
                <w:sz w:val="24"/>
                <w:highlight w:val="none"/>
              </w:rPr>
              <w:t>偏离</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textAlignment w:val="center"/>
              <w:rPr>
                <w:rFonts w:hint="eastAsia" w:ascii="宋体" w:hAnsi="宋体" w:cs="宋体"/>
                <w:color w:val="000000"/>
                <w:kern w:val="2"/>
                <w:sz w:val="24"/>
                <w:szCs w:val="24"/>
                <w:highlight w:val="none"/>
                <w:lang w:val="en-US" w:eastAsia="zh-CN" w:bidi="ar-SA"/>
              </w:rPr>
            </w:pPr>
            <w:r>
              <w:rPr>
                <w:rFonts w:hint="eastAsia" w:ascii="宋体" w:hAnsi="宋体" w:cs="宋体"/>
                <w:color w:val="000000"/>
                <w:sz w:val="24"/>
                <w:highlight w:val="none"/>
              </w:rPr>
              <w:t>本项目不允许。</w:t>
            </w:r>
          </w:p>
        </w:tc>
      </w:tr>
      <w:tr>
        <w:tblPrEx>
          <w:tblCellMar>
            <w:top w:w="0" w:type="dxa"/>
            <w:left w:w="108" w:type="dxa"/>
            <w:bottom w:w="0" w:type="dxa"/>
            <w:right w:w="108" w:type="dxa"/>
          </w:tblCellMar>
        </w:tblPrEx>
        <w:trPr>
          <w:trHeight w:val="560"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10</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ascii="宋体" w:hAnsi="宋体" w:cs="宋体"/>
                <w:color w:val="000000"/>
                <w:kern w:val="2"/>
                <w:sz w:val="24"/>
                <w:szCs w:val="24"/>
                <w:highlight w:val="none"/>
                <w:lang w:val="en-US" w:eastAsia="zh-CN" w:bidi="ar-SA"/>
              </w:rPr>
            </w:pPr>
            <w:r>
              <w:rPr>
                <w:rFonts w:hint="eastAsia" w:ascii="宋体" w:hAnsi="宋体" w:cs="宋体"/>
                <w:color w:val="000000"/>
                <w:sz w:val="24"/>
                <w:highlight w:val="none"/>
              </w:rPr>
              <w:t>踏勘现场</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textAlignment w:val="center"/>
              <w:rPr>
                <w:rFonts w:ascii="宋体" w:hAnsi="宋体" w:cs="宋体"/>
                <w:color w:val="000000"/>
                <w:kern w:val="2"/>
                <w:sz w:val="24"/>
                <w:szCs w:val="24"/>
                <w:highlight w:val="none"/>
                <w:lang w:val="en-US" w:eastAsia="zh-CN" w:bidi="ar-SA"/>
              </w:rPr>
            </w:pPr>
            <w:r>
              <w:rPr>
                <w:rFonts w:hint="eastAsia" w:ascii="宋体" w:hAnsi="宋体" w:cs="宋体"/>
                <w:color w:val="000000"/>
                <w:sz w:val="24"/>
                <w:highlight w:val="none"/>
              </w:rPr>
              <w:t>/</w:t>
            </w:r>
          </w:p>
        </w:tc>
      </w:tr>
      <w:tr>
        <w:tblPrEx>
          <w:tblCellMar>
            <w:top w:w="0" w:type="dxa"/>
            <w:left w:w="108" w:type="dxa"/>
            <w:bottom w:w="0" w:type="dxa"/>
            <w:right w:w="108" w:type="dxa"/>
          </w:tblCellMar>
        </w:tblPrEx>
        <w:trPr>
          <w:trHeight w:val="477"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11</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ascii="宋体" w:hAnsi="宋体" w:cs="宋体"/>
                <w:color w:val="000000"/>
                <w:sz w:val="24"/>
                <w:highlight w:val="none"/>
              </w:rPr>
            </w:pPr>
            <w:r>
              <w:rPr>
                <w:rFonts w:hint="eastAsia" w:ascii="宋体" w:hAnsi="宋体" w:cs="宋体"/>
                <w:color w:val="000000"/>
                <w:sz w:val="24"/>
                <w:highlight w:val="none"/>
              </w:rPr>
              <w:t>构成招标文件的</w:t>
            </w:r>
          </w:p>
          <w:p>
            <w:pPr>
              <w:snapToGrid w:val="0"/>
              <w:spacing w:line="360" w:lineRule="auto"/>
              <w:jc w:val="center"/>
              <w:textAlignment w:val="center"/>
              <w:rPr>
                <w:rFonts w:ascii="宋体" w:hAnsi="宋体" w:cs="宋体"/>
                <w:color w:val="000000"/>
                <w:kern w:val="2"/>
                <w:sz w:val="24"/>
                <w:szCs w:val="24"/>
                <w:highlight w:val="none"/>
                <w:lang w:val="en-US" w:eastAsia="zh-CN" w:bidi="ar-SA"/>
              </w:rPr>
            </w:pPr>
            <w:r>
              <w:rPr>
                <w:rFonts w:hint="eastAsia" w:ascii="宋体" w:hAnsi="宋体" w:cs="宋体"/>
                <w:color w:val="000000"/>
                <w:sz w:val="24"/>
                <w:highlight w:val="none"/>
              </w:rPr>
              <w:t>其他材料</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textAlignment w:val="center"/>
              <w:rPr>
                <w:rFonts w:ascii="宋体" w:hAnsi="宋体" w:cs="宋体"/>
                <w:color w:val="000000"/>
                <w:kern w:val="2"/>
                <w:sz w:val="24"/>
                <w:szCs w:val="24"/>
                <w:highlight w:val="none"/>
                <w:lang w:val="en-US" w:eastAsia="zh-CN" w:bidi="ar-SA"/>
              </w:rPr>
            </w:pPr>
            <w:r>
              <w:rPr>
                <w:rFonts w:hint="eastAsia" w:ascii="宋体" w:hAnsi="宋体" w:cs="宋体"/>
                <w:color w:val="000000"/>
                <w:sz w:val="24"/>
                <w:highlight w:val="none"/>
              </w:rPr>
              <w:t>对招标文件</w:t>
            </w:r>
            <w:r>
              <w:rPr>
                <w:rFonts w:hint="eastAsia" w:ascii="宋体" w:hAnsi="宋体" w:cs="宋体"/>
                <w:color w:val="000000"/>
                <w:sz w:val="24"/>
                <w:highlight w:val="none"/>
                <w:lang w:eastAsia="zh-CN"/>
              </w:rPr>
              <w:t>所做的</w:t>
            </w:r>
            <w:r>
              <w:rPr>
                <w:rFonts w:hint="eastAsia" w:ascii="宋体" w:hAnsi="宋体" w:cs="宋体"/>
                <w:color w:val="000000"/>
                <w:sz w:val="24"/>
                <w:highlight w:val="none"/>
              </w:rPr>
              <w:t>澄清、修改等。</w:t>
            </w:r>
          </w:p>
        </w:tc>
      </w:tr>
      <w:tr>
        <w:tblPrEx>
          <w:tblCellMar>
            <w:top w:w="0" w:type="dxa"/>
            <w:left w:w="108" w:type="dxa"/>
            <w:bottom w:w="0" w:type="dxa"/>
            <w:right w:w="108" w:type="dxa"/>
          </w:tblCellMar>
        </w:tblPrEx>
        <w:trPr>
          <w:trHeight w:val="425"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12</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ascii="宋体" w:hAnsi="宋体" w:cs="宋体"/>
                <w:color w:val="000000"/>
                <w:sz w:val="24"/>
                <w:highlight w:val="none"/>
              </w:rPr>
            </w:pPr>
            <w:r>
              <w:rPr>
                <w:rFonts w:hint="eastAsia" w:ascii="宋体" w:hAnsi="宋体" w:cs="宋体"/>
                <w:color w:val="000000"/>
                <w:sz w:val="24"/>
                <w:highlight w:val="none"/>
              </w:rPr>
              <w:t>供应商要求澄清</w:t>
            </w:r>
          </w:p>
          <w:p>
            <w:pPr>
              <w:snapToGrid w:val="0"/>
              <w:spacing w:line="360" w:lineRule="auto"/>
              <w:jc w:val="center"/>
              <w:textAlignment w:val="center"/>
              <w:rPr>
                <w:rFonts w:ascii="宋体" w:hAnsi="宋体" w:cs="宋体"/>
                <w:color w:val="000000"/>
                <w:kern w:val="2"/>
                <w:sz w:val="24"/>
                <w:szCs w:val="24"/>
                <w:highlight w:val="none"/>
                <w:lang w:val="en-US" w:eastAsia="zh-CN" w:bidi="ar-SA"/>
              </w:rPr>
            </w:pPr>
            <w:r>
              <w:rPr>
                <w:rFonts w:hint="eastAsia" w:ascii="宋体" w:hAnsi="宋体" w:cs="宋体"/>
                <w:color w:val="000000"/>
                <w:sz w:val="24"/>
                <w:highlight w:val="none"/>
              </w:rPr>
              <w:t>招标文件的截止时间</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textAlignment w:val="center"/>
              <w:rPr>
                <w:rFonts w:ascii="宋体" w:hAnsi="宋体" w:cs="宋体"/>
                <w:color w:val="000000"/>
                <w:kern w:val="2"/>
                <w:sz w:val="24"/>
                <w:szCs w:val="24"/>
                <w:highlight w:val="none"/>
                <w:lang w:val="en-US" w:eastAsia="zh-CN" w:bidi="ar-SA"/>
              </w:rPr>
            </w:pPr>
            <w:r>
              <w:rPr>
                <w:rFonts w:hint="eastAsia" w:ascii="宋体" w:hAnsi="宋体" w:cs="宋体"/>
                <w:color w:val="000000"/>
                <w:sz w:val="24"/>
                <w:highlight w:val="none"/>
              </w:rPr>
              <w:t>投标截止时间 10日前。</w:t>
            </w:r>
          </w:p>
        </w:tc>
      </w:tr>
      <w:tr>
        <w:tblPrEx>
          <w:tblCellMar>
            <w:top w:w="0" w:type="dxa"/>
            <w:left w:w="108" w:type="dxa"/>
            <w:bottom w:w="0" w:type="dxa"/>
            <w:right w:w="108" w:type="dxa"/>
          </w:tblCellMar>
        </w:tblPrEx>
        <w:trPr>
          <w:trHeight w:val="722"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15</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ascii="宋体" w:hAnsi="宋体" w:cs="宋体"/>
                <w:color w:val="000000"/>
                <w:kern w:val="2"/>
                <w:sz w:val="24"/>
                <w:szCs w:val="24"/>
                <w:highlight w:val="none"/>
                <w:lang w:val="en-US" w:eastAsia="zh-CN" w:bidi="ar-SA"/>
              </w:rPr>
            </w:pPr>
            <w:r>
              <w:rPr>
                <w:rFonts w:hint="eastAsia" w:ascii="宋体" w:hAnsi="宋体" w:cs="宋体"/>
                <w:color w:val="000000"/>
                <w:sz w:val="24"/>
                <w:highlight w:val="none"/>
              </w:rPr>
              <w:t>投标截止时间</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textAlignment w:val="center"/>
              <w:rPr>
                <w:rFonts w:ascii="宋体" w:hAnsi="宋体" w:cs="宋体"/>
                <w:color w:val="000000"/>
                <w:kern w:val="2"/>
                <w:sz w:val="24"/>
                <w:szCs w:val="24"/>
                <w:highlight w:val="none"/>
                <w:lang w:val="en-US" w:eastAsia="zh-CN" w:bidi="ar-SA"/>
              </w:rPr>
            </w:pPr>
            <w:r>
              <w:rPr>
                <w:rFonts w:hint="eastAsia" w:ascii="宋体" w:hAnsi="宋体" w:cs="宋体"/>
                <w:color w:val="000000"/>
                <w:sz w:val="24"/>
                <w:highlight w:val="none"/>
                <w:lang w:val="en-US" w:eastAsia="zh-CN"/>
              </w:rPr>
              <w:t>2023年04月04日09</w:t>
            </w:r>
            <w:r>
              <w:rPr>
                <w:rFonts w:hint="eastAsia" w:ascii="宋体" w:hAnsi="宋体" w:cs="宋体"/>
                <w:color w:val="000000"/>
                <w:sz w:val="24"/>
                <w:highlight w:val="none"/>
              </w:rPr>
              <w:t>时</w:t>
            </w:r>
            <w:r>
              <w:rPr>
                <w:rFonts w:hint="eastAsia" w:ascii="宋体" w:hAnsi="宋体" w:cs="宋体"/>
                <w:color w:val="000000"/>
                <w:sz w:val="24"/>
                <w:highlight w:val="none"/>
                <w:lang w:val="en-US" w:eastAsia="zh-CN"/>
              </w:rPr>
              <w:t>30</w:t>
            </w:r>
            <w:r>
              <w:rPr>
                <w:rFonts w:hint="eastAsia" w:ascii="宋体" w:hAnsi="宋体" w:cs="宋体"/>
                <w:color w:val="000000"/>
                <w:sz w:val="24"/>
                <w:highlight w:val="none"/>
              </w:rPr>
              <w:t>分00秒（北京时间）</w:t>
            </w:r>
          </w:p>
        </w:tc>
      </w:tr>
      <w:tr>
        <w:tblPrEx>
          <w:tblCellMar>
            <w:top w:w="0" w:type="dxa"/>
            <w:left w:w="108" w:type="dxa"/>
            <w:bottom w:w="0" w:type="dxa"/>
            <w:right w:w="108" w:type="dxa"/>
          </w:tblCellMar>
        </w:tblPrEx>
        <w:trPr>
          <w:trHeight w:val="1554"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16</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ascii="宋体" w:hAnsi="宋体" w:cs="宋体"/>
                <w:color w:val="000000"/>
                <w:sz w:val="24"/>
                <w:highlight w:val="none"/>
              </w:rPr>
            </w:pPr>
            <w:r>
              <w:rPr>
                <w:rFonts w:hint="eastAsia" w:ascii="宋体" w:hAnsi="宋体" w:cs="宋体"/>
                <w:color w:val="000000"/>
                <w:sz w:val="24"/>
                <w:highlight w:val="none"/>
              </w:rPr>
              <w:t>供应商确认收到</w:t>
            </w:r>
          </w:p>
          <w:p>
            <w:pPr>
              <w:snapToGrid w:val="0"/>
              <w:spacing w:line="360" w:lineRule="auto"/>
              <w:jc w:val="center"/>
              <w:textAlignment w:val="center"/>
              <w:rPr>
                <w:rFonts w:ascii="宋体" w:hAnsi="宋体" w:cs="宋体"/>
                <w:color w:val="000000"/>
                <w:kern w:val="2"/>
                <w:sz w:val="24"/>
                <w:szCs w:val="24"/>
                <w:highlight w:val="none"/>
                <w:lang w:val="en-US" w:eastAsia="zh-CN" w:bidi="ar-SA"/>
              </w:rPr>
            </w:pPr>
            <w:r>
              <w:rPr>
                <w:rFonts w:hint="eastAsia" w:ascii="宋体" w:hAnsi="宋体" w:cs="宋体"/>
                <w:color w:val="000000"/>
                <w:sz w:val="24"/>
                <w:highlight w:val="none"/>
              </w:rPr>
              <w:t>招标文件澄清的时间</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textAlignment w:val="center"/>
              <w:rPr>
                <w:rFonts w:ascii="宋体" w:hAnsi="宋体" w:cs="宋体"/>
                <w:color w:val="000000"/>
                <w:kern w:val="2"/>
                <w:sz w:val="24"/>
                <w:szCs w:val="24"/>
                <w:highlight w:val="none"/>
                <w:lang w:val="en-US" w:eastAsia="zh-CN" w:bidi="ar-SA"/>
              </w:rPr>
            </w:pPr>
            <w:r>
              <w:rPr>
                <w:rFonts w:hint="eastAsia" w:ascii="宋体" w:hAnsi="宋体" w:cs="宋体"/>
                <w:color w:val="000000"/>
                <w:sz w:val="24"/>
                <w:highlight w:val="none"/>
              </w:rPr>
              <w:t>收到澄清后 24 小时内。</w:t>
            </w:r>
          </w:p>
        </w:tc>
      </w:tr>
      <w:tr>
        <w:tblPrEx>
          <w:tblCellMar>
            <w:top w:w="0" w:type="dxa"/>
            <w:left w:w="108" w:type="dxa"/>
            <w:bottom w:w="0" w:type="dxa"/>
            <w:right w:w="108" w:type="dxa"/>
          </w:tblCellMar>
        </w:tblPrEx>
        <w:trPr>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17</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ascii="宋体" w:hAnsi="宋体" w:cs="宋体"/>
                <w:color w:val="000000"/>
                <w:sz w:val="24"/>
                <w:highlight w:val="none"/>
              </w:rPr>
            </w:pPr>
            <w:r>
              <w:rPr>
                <w:rFonts w:hint="eastAsia" w:ascii="宋体" w:hAnsi="宋体" w:cs="宋体"/>
                <w:color w:val="000000"/>
                <w:sz w:val="24"/>
                <w:highlight w:val="none"/>
              </w:rPr>
              <w:t>供应商确认收到</w:t>
            </w:r>
          </w:p>
          <w:p>
            <w:pPr>
              <w:snapToGrid w:val="0"/>
              <w:spacing w:line="360" w:lineRule="auto"/>
              <w:jc w:val="center"/>
              <w:textAlignment w:val="center"/>
              <w:rPr>
                <w:rFonts w:ascii="宋体" w:hAnsi="宋体" w:cs="宋体"/>
                <w:color w:val="000000"/>
                <w:kern w:val="2"/>
                <w:sz w:val="24"/>
                <w:szCs w:val="24"/>
                <w:highlight w:val="none"/>
                <w:lang w:val="en-US" w:eastAsia="zh-CN" w:bidi="ar-SA"/>
              </w:rPr>
            </w:pPr>
            <w:r>
              <w:rPr>
                <w:rFonts w:hint="eastAsia" w:ascii="宋体" w:hAnsi="宋体" w:cs="宋体"/>
                <w:color w:val="000000"/>
                <w:sz w:val="24"/>
                <w:highlight w:val="none"/>
              </w:rPr>
              <w:t>招标文件修改的时间</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textAlignment w:val="center"/>
              <w:rPr>
                <w:rFonts w:ascii="宋体" w:hAnsi="宋体" w:cs="宋体"/>
                <w:color w:val="000000"/>
                <w:kern w:val="2"/>
                <w:sz w:val="24"/>
                <w:szCs w:val="24"/>
                <w:highlight w:val="none"/>
                <w:lang w:val="en-US" w:eastAsia="zh-CN" w:bidi="ar-SA"/>
              </w:rPr>
            </w:pPr>
            <w:r>
              <w:rPr>
                <w:rFonts w:hint="eastAsia" w:ascii="宋体" w:hAnsi="宋体" w:cs="宋体"/>
                <w:color w:val="000000"/>
                <w:sz w:val="24"/>
                <w:highlight w:val="none"/>
              </w:rPr>
              <w:t>收到修改后 24 小时内。</w:t>
            </w:r>
          </w:p>
        </w:tc>
      </w:tr>
      <w:tr>
        <w:tblPrEx>
          <w:tblCellMar>
            <w:top w:w="0" w:type="dxa"/>
            <w:left w:w="108" w:type="dxa"/>
            <w:bottom w:w="0" w:type="dxa"/>
            <w:right w:w="108" w:type="dxa"/>
          </w:tblCellMar>
        </w:tblPrEx>
        <w:trPr>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18</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ascii="宋体" w:hAnsi="宋体" w:cs="宋体"/>
                <w:color w:val="000000"/>
                <w:sz w:val="24"/>
                <w:highlight w:val="none"/>
              </w:rPr>
            </w:pPr>
            <w:r>
              <w:rPr>
                <w:rFonts w:hint="eastAsia" w:ascii="宋体" w:hAnsi="宋体" w:cs="宋体"/>
                <w:color w:val="000000"/>
                <w:sz w:val="24"/>
                <w:highlight w:val="none"/>
              </w:rPr>
              <w:t>构成投标文件的</w:t>
            </w:r>
          </w:p>
          <w:p>
            <w:pPr>
              <w:snapToGrid w:val="0"/>
              <w:spacing w:line="360" w:lineRule="auto"/>
              <w:jc w:val="center"/>
              <w:textAlignment w:val="center"/>
              <w:rPr>
                <w:rFonts w:ascii="宋体" w:hAnsi="宋体" w:cs="宋体"/>
                <w:color w:val="000000"/>
                <w:kern w:val="2"/>
                <w:sz w:val="24"/>
                <w:szCs w:val="24"/>
                <w:highlight w:val="none"/>
                <w:lang w:val="en-US" w:eastAsia="zh-CN" w:bidi="ar-SA"/>
              </w:rPr>
            </w:pPr>
            <w:r>
              <w:rPr>
                <w:rFonts w:hint="eastAsia" w:ascii="宋体" w:hAnsi="宋体" w:cs="宋体"/>
                <w:color w:val="000000"/>
                <w:sz w:val="24"/>
                <w:highlight w:val="none"/>
              </w:rPr>
              <w:t>其他材料</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textAlignment w:val="center"/>
              <w:rPr>
                <w:rFonts w:ascii="宋体" w:hAnsi="宋体" w:cs="宋体"/>
                <w:color w:val="000000"/>
                <w:kern w:val="2"/>
                <w:sz w:val="24"/>
                <w:szCs w:val="24"/>
                <w:highlight w:val="none"/>
                <w:lang w:val="en-US" w:eastAsia="zh-CN" w:bidi="ar-SA"/>
              </w:rPr>
            </w:pPr>
            <w:r>
              <w:rPr>
                <w:rFonts w:hint="eastAsia" w:ascii="宋体" w:hAnsi="宋体" w:cs="宋体"/>
                <w:color w:val="000000"/>
                <w:sz w:val="24"/>
                <w:highlight w:val="none"/>
              </w:rPr>
              <w:t>供应商按照招标文件的要求认为有利于自身投标的材料。</w:t>
            </w:r>
          </w:p>
        </w:tc>
      </w:tr>
      <w:tr>
        <w:tblPrEx>
          <w:tblCellMar>
            <w:top w:w="0" w:type="dxa"/>
            <w:left w:w="108" w:type="dxa"/>
            <w:bottom w:w="0" w:type="dxa"/>
            <w:right w:w="108" w:type="dxa"/>
          </w:tblCellMar>
        </w:tblPrEx>
        <w:trPr>
          <w:trHeight w:val="741"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ascii="宋体" w:hAnsi="宋体" w:cs="宋体"/>
                <w:color w:val="000000"/>
                <w:sz w:val="24"/>
                <w:highlight w:val="none"/>
              </w:rPr>
            </w:pPr>
            <w:r>
              <w:rPr>
                <w:rFonts w:hint="eastAsia" w:ascii="宋体" w:hAnsi="宋体" w:cs="宋体"/>
                <w:color w:val="000000"/>
                <w:sz w:val="24"/>
                <w:highlight w:val="none"/>
              </w:rPr>
              <w:t>19</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kern w:val="2"/>
                <w:sz w:val="24"/>
                <w:szCs w:val="24"/>
                <w:highlight w:val="none"/>
                <w:lang w:val="en-US" w:eastAsia="zh-CN" w:bidi="ar-SA"/>
              </w:rPr>
            </w:pPr>
            <w:r>
              <w:rPr>
                <w:rFonts w:asciiTheme="minorEastAsia" w:hAnsiTheme="minorEastAsia" w:eastAsiaTheme="minorEastAsia" w:cstheme="minorEastAsia"/>
                <w:sz w:val="24"/>
                <w:highlight w:val="none"/>
              </w:rPr>
              <w:t>投标有效期</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color w:val="000000"/>
                <w:kern w:val="2"/>
                <w:sz w:val="24"/>
                <w:szCs w:val="24"/>
                <w:highlight w:val="none"/>
                <w:lang w:val="en-US" w:eastAsia="zh-CN" w:bidi="ar-SA"/>
              </w:rPr>
            </w:pPr>
            <w:r>
              <w:rPr>
                <w:rFonts w:hint="eastAsia" w:asciiTheme="minorEastAsia" w:hAnsiTheme="minorEastAsia" w:eastAsiaTheme="minorEastAsia" w:cstheme="minorEastAsia"/>
                <w:sz w:val="24"/>
                <w:highlight w:val="none"/>
              </w:rPr>
              <w:t>90日历日（自投标截止时间之日算起）</w:t>
            </w:r>
            <w:r>
              <w:rPr>
                <w:rFonts w:asciiTheme="minorEastAsia" w:hAnsiTheme="minorEastAsia" w:eastAsiaTheme="minorEastAsia" w:cstheme="minorEastAsia"/>
                <w:sz w:val="24"/>
                <w:highlight w:val="none"/>
              </w:rPr>
              <w:t>。中标供应商投标文件有效期自动延长至项目质保期结束</w:t>
            </w:r>
            <w:r>
              <w:rPr>
                <w:rFonts w:hint="eastAsia" w:asciiTheme="minorEastAsia" w:hAnsiTheme="minorEastAsia" w:eastAsiaTheme="minorEastAsia" w:cstheme="minorEastAsia"/>
                <w:sz w:val="24"/>
                <w:highlight w:val="none"/>
                <w:lang w:eastAsia="zh-CN"/>
              </w:rPr>
              <w:t>。</w:t>
            </w:r>
          </w:p>
        </w:tc>
      </w:tr>
      <w:tr>
        <w:tblPrEx>
          <w:tblCellMar>
            <w:top w:w="0" w:type="dxa"/>
            <w:left w:w="108" w:type="dxa"/>
            <w:bottom w:w="0" w:type="dxa"/>
            <w:right w:w="108" w:type="dxa"/>
          </w:tblCellMar>
        </w:tblPrEx>
        <w:trPr>
          <w:trHeight w:val="837"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20</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ascii="宋体" w:hAnsi="宋体" w:cs="宋体"/>
                <w:color w:val="000000"/>
                <w:sz w:val="24"/>
                <w:highlight w:val="none"/>
              </w:rPr>
            </w:pPr>
            <w:r>
              <w:rPr>
                <w:rFonts w:hint="eastAsia" w:ascii="宋体" w:hAnsi="宋体" w:cs="宋体"/>
                <w:color w:val="000000"/>
                <w:sz w:val="24"/>
                <w:highlight w:val="none"/>
              </w:rPr>
              <w:t>是否允许递交</w:t>
            </w:r>
          </w:p>
          <w:p>
            <w:pPr>
              <w:snapToGrid w:val="0"/>
              <w:spacing w:line="360" w:lineRule="auto"/>
              <w:jc w:val="center"/>
              <w:textAlignment w:val="center"/>
              <w:rPr>
                <w:rFonts w:ascii="宋体" w:hAnsi="宋体" w:cs="宋体"/>
                <w:color w:val="000000"/>
                <w:kern w:val="2"/>
                <w:sz w:val="24"/>
                <w:szCs w:val="24"/>
                <w:highlight w:val="none"/>
                <w:lang w:val="en-US" w:eastAsia="zh-CN" w:bidi="ar-SA"/>
              </w:rPr>
            </w:pPr>
            <w:r>
              <w:rPr>
                <w:rFonts w:hint="eastAsia" w:ascii="宋体" w:hAnsi="宋体" w:cs="宋体"/>
                <w:color w:val="000000"/>
                <w:sz w:val="24"/>
                <w:highlight w:val="none"/>
              </w:rPr>
              <w:t>备选投标方案</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000000"/>
                <w:kern w:val="2"/>
                <w:sz w:val="24"/>
                <w:szCs w:val="24"/>
                <w:highlight w:val="none"/>
                <w:lang w:val="en-US" w:eastAsia="zh-CN" w:bidi="ar-SA"/>
              </w:rPr>
            </w:pPr>
            <w:r>
              <w:rPr>
                <w:rFonts w:hint="eastAsia" w:ascii="宋体" w:hAnsi="宋体" w:cs="宋体"/>
                <w:color w:val="000000"/>
                <w:sz w:val="24"/>
                <w:highlight w:val="none"/>
              </w:rPr>
              <w:t>不允许。</w:t>
            </w:r>
          </w:p>
        </w:tc>
      </w:tr>
      <w:tr>
        <w:tblPrEx>
          <w:tblCellMar>
            <w:top w:w="0" w:type="dxa"/>
            <w:left w:w="108" w:type="dxa"/>
            <w:bottom w:w="0" w:type="dxa"/>
            <w:right w:w="108" w:type="dxa"/>
          </w:tblCellMar>
        </w:tblPrEx>
        <w:trPr>
          <w:trHeight w:val="837"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21</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cs="宋体"/>
                <w:color w:val="000000"/>
                <w:sz w:val="24"/>
                <w:highlight w:val="none"/>
              </w:rPr>
            </w:pPr>
            <w:r>
              <w:rPr>
                <w:rFonts w:hint="eastAsia" w:ascii="宋体" w:hAnsi="宋体" w:cs="宋体"/>
                <w:color w:val="auto"/>
                <w:sz w:val="24"/>
                <w:highlight w:val="none"/>
              </w:rPr>
              <w:t>签字或盖章要求</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color w:val="000000"/>
                <w:sz w:val="24"/>
                <w:highlight w:val="none"/>
              </w:rPr>
            </w:pPr>
            <w:r>
              <w:rPr>
                <w:rFonts w:hint="eastAsia" w:ascii="宋体" w:hAnsi="宋体" w:cs="宋体"/>
                <w:color w:val="auto"/>
                <w:sz w:val="24"/>
                <w:highlight w:val="none"/>
              </w:rPr>
              <w:t>投标文件加盖供应商公章并经法定代表人或其委托代理人签字或盖章。由委托代理人签字或盖章的在投标文件中须同时提交有效投标文件签署授权委托书。</w:t>
            </w:r>
          </w:p>
        </w:tc>
      </w:tr>
      <w:tr>
        <w:tblPrEx>
          <w:tblCellMar>
            <w:top w:w="0" w:type="dxa"/>
            <w:left w:w="108" w:type="dxa"/>
            <w:bottom w:w="0" w:type="dxa"/>
            <w:right w:w="108" w:type="dxa"/>
          </w:tblCellMar>
        </w:tblPrEx>
        <w:trPr>
          <w:trHeight w:val="1209"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rPr>
              <w:t>2</w:t>
            </w:r>
            <w:r>
              <w:rPr>
                <w:rFonts w:hint="eastAsia" w:ascii="宋体" w:hAnsi="宋体" w:cs="宋体"/>
                <w:color w:val="000000"/>
                <w:sz w:val="24"/>
                <w:highlight w:val="none"/>
                <w:lang w:val="en-US" w:eastAsia="zh-CN"/>
              </w:rPr>
              <w:t>2</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投标文件要求</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投标时供应商无需提供纸质版投标文件。</w:t>
            </w:r>
          </w:p>
          <w:p>
            <w:pPr>
              <w:spacing w:line="360" w:lineRule="auto"/>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中标人在领取中标通知书前将纸质版投标文件正本1份、副本2份打印盖章、电子版U盘2份后提交至招标代理公司处，以便采购人进行留存备案等工作，中标人应保持投标文件纸质版内容与电子版内容完全一致，否则将承担一切法律责任。</w:t>
            </w:r>
          </w:p>
          <w:p>
            <w:pPr>
              <w:spacing w:line="360" w:lineRule="auto"/>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纸质投标文件一律采用书籍（胶装）方式装订且单面或双面打印</w:t>
            </w:r>
          </w:p>
        </w:tc>
      </w:tr>
      <w:tr>
        <w:tblPrEx>
          <w:tblCellMar>
            <w:top w:w="0" w:type="dxa"/>
            <w:left w:w="108" w:type="dxa"/>
            <w:bottom w:w="0" w:type="dxa"/>
            <w:right w:w="108" w:type="dxa"/>
          </w:tblCellMar>
        </w:tblPrEx>
        <w:trPr>
          <w:trHeight w:val="1774"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23</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西安市公共资源交易中心电子化政府采购系统技术支持（软件开发商）</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rPr>
              <w:t>国</w:t>
            </w:r>
            <w:r>
              <w:rPr>
                <w:rFonts w:hint="eastAsia" w:asciiTheme="minorEastAsia" w:hAnsiTheme="minorEastAsia" w:eastAsiaTheme="minorEastAsia" w:cstheme="minorEastAsia"/>
                <w:sz w:val="24"/>
                <w:highlight w:val="none"/>
              </w:rPr>
              <w:t>泰新点软件股份有限公司</w:t>
            </w:r>
          </w:p>
          <w:p>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1．技术支持热线：400-998-0000/400-928-0095</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2．驻场技术人员：029-86510166/86510167转80310</w:t>
            </w:r>
          </w:p>
        </w:tc>
      </w:tr>
      <w:tr>
        <w:tblPrEx>
          <w:tblCellMar>
            <w:top w:w="0" w:type="dxa"/>
            <w:left w:w="108" w:type="dxa"/>
            <w:bottom w:w="0" w:type="dxa"/>
            <w:right w:w="108" w:type="dxa"/>
          </w:tblCellMar>
        </w:tblPrEx>
        <w:trPr>
          <w:trHeight w:val="573"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24</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CA业务网点</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陕西省数字证书认证中心股份有限公司</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网点1：西安市高新三路信息港大厦1楼客服中心</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客服电话：4006-369-888</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网点2：西安市长安北路14号省体育公寓B座一楼</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咨询电话：029-88661241</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网点3：西安市文景北路16号白桦林国际B座2楼11#窗口</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咨询电话：029-86510073转80211</w:t>
            </w:r>
          </w:p>
        </w:tc>
      </w:tr>
      <w:tr>
        <w:tblPrEx>
          <w:tblCellMar>
            <w:top w:w="0" w:type="dxa"/>
            <w:left w:w="108" w:type="dxa"/>
            <w:bottom w:w="0" w:type="dxa"/>
            <w:right w:w="108" w:type="dxa"/>
          </w:tblCellMar>
        </w:tblPrEx>
        <w:trPr>
          <w:trHeight w:val="1056"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25</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递交投标</w:t>
            </w:r>
          </w:p>
          <w:p>
            <w:pPr>
              <w:snapToGrid w:val="0"/>
              <w:spacing w:line="360" w:lineRule="auto"/>
              <w:jc w:val="center"/>
              <w:textAlignment w:val="center"/>
              <w:rPr>
                <w:rFonts w:ascii="宋体" w:hAnsi="宋体" w:cs="宋体"/>
                <w:color w:val="000000"/>
                <w:kern w:val="2"/>
                <w:sz w:val="24"/>
                <w:szCs w:val="24"/>
                <w:highlight w:val="none"/>
                <w:lang w:val="en-US" w:eastAsia="zh-CN" w:bidi="ar-SA"/>
              </w:rPr>
            </w:pPr>
            <w:r>
              <w:rPr>
                <w:rFonts w:hint="eastAsia" w:ascii="宋体" w:hAnsi="宋体" w:cs="宋体"/>
                <w:color w:val="000000"/>
                <w:sz w:val="24"/>
                <w:highlight w:val="none"/>
              </w:rPr>
              <w:t>文件地点</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全国公共资源交易平台（陕西省·西安市）递交电子投标文件</w:t>
            </w:r>
          </w:p>
        </w:tc>
      </w:tr>
      <w:tr>
        <w:tblPrEx>
          <w:tblCellMar>
            <w:top w:w="0" w:type="dxa"/>
            <w:left w:w="108" w:type="dxa"/>
            <w:bottom w:w="0" w:type="dxa"/>
            <w:right w:w="108" w:type="dxa"/>
          </w:tblCellMar>
        </w:tblPrEx>
        <w:trPr>
          <w:trHeight w:val="1437"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26</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开标时间</w:t>
            </w:r>
          </w:p>
          <w:p>
            <w:pPr>
              <w:snapToGrid w:val="0"/>
              <w:spacing w:line="360" w:lineRule="auto"/>
              <w:jc w:val="center"/>
              <w:textAlignment w:val="center"/>
              <w:rPr>
                <w:rFonts w:ascii="宋体" w:hAnsi="宋体" w:cs="宋体"/>
                <w:color w:val="000000"/>
                <w:kern w:val="2"/>
                <w:sz w:val="24"/>
                <w:szCs w:val="24"/>
                <w:highlight w:val="none"/>
                <w:lang w:val="en-US" w:eastAsia="zh-CN" w:bidi="ar-SA"/>
              </w:rPr>
            </w:pPr>
            <w:r>
              <w:rPr>
                <w:rFonts w:hint="eastAsia" w:ascii="宋体" w:hAnsi="宋体" w:cs="宋体"/>
                <w:color w:val="000000"/>
                <w:sz w:val="24"/>
                <w:highlight w:val="none"/>
              </w:rPr>
              <w:t>和地点</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000000"/>
                <w:sz w:val="24"/>
                <w:highlight w:val="none"/>
                <w:u w:val="single"/>
                <w:lang w:eastAsia="zh-CN"/>
              </w:rPr>
            </w:pPr>
            <w:r>
              <w:rPr>
                <w:rFonts w:hint="eastAsia" w:ascii="宋体" w:hAnsi="宋体" w:cs="宋体"/>
                <w:color w:val="000000"/>
                <w:sz w:val="24"/>
                <w:highlight w:val="none"/>
              </w:rPr>
              <w:t>开标时间：2023年04月04日0</w:t>
            </w:r>
            <w:r>
              <w:rPr>
                <w:rFonts w:hint="eastAsia" w:ascii="宋体" w:hAnsi="宋体" w:eastAsia="宋体" w:cs="宋体"/>
                <w:color w:val="000000"/>
                <w:sz w:val="24"/>
                <w:highlight w:val="none"/>
                <w:lang w:val="en-US" w:eastAsia="zh-CN"/>
              </w:rPr>
              <w:t>9</w:t>
            </w:r>
            <w:r>
              <w:rPr>
                <w:rFonts w:hint="eastAsia" w:ascii="宋体" w:hAnsi="宋体" w:eastAsia="宋体" w:cs="宋体"/>
                <w:color w:val="000000"/>
                <w:sz w:val="24"/>
                <w:highlight w:val="none"/>
              </w:rPr>
              <w:t>时</w:t>
            </w:r>
            <w:r>
              <w:rPr>
                <w:rFonts w:hint="eastAsia" w:ascii="宋体" w:hAnsi="宋体" w:eastAsia="宋体" w:cs="宋体"/>
                <w:color w:val="000000"/>
                <w:sz w:val="24"/>
                <w:highlight w:val="none"/>
                <w:lang w:val="en-US" w:eastAsia="zh-CN"/>
              </w:rPr>
              <w:t>30</w:t>
            </w:r>
            <w:r>
              <w:rPr>
                <w:rFonts w:hint="eastAsia" w:ascii="宋体" w:hAnsi="宋体" w:eastAsia="宋体" w:cs="宋体"/>
                <w:color w:val="000000"/>
                <w:sz w:val="24"/>
                <w:highlight w:val="none"/>
              </w:rPr>
              <w:t>分00秒（北京时间）</w:t>
            </w:r>
          </w:p>
          <w:p>
            <w:pPr>
              <w:snapToGrid w:val="0"/>
              <w:spacing w:line="360" w:lineRule="auto"/>
              <w:textAlignment w:val="center"/>
              <w:rPr>
                <w:rFonts w:ascii="宋体" w:hAnsi="宋体" w:cs="宋体"/>
                <w:color w:val="000000"/>
                <w:kern w:val="2"/>
                <w:sz w:val="24"/>
                <w:szCs w:val="24"/>
                <w:highlight w:val="none"/>
                <w:lang w:val="en-US" w:eastAsia="zh-CN" w:bidi="ar-SA"/>
              </w:rPr>
            </w:pPr>
            <w:r>
              <w:rPr>
                <w:rFonts w:hint="eastAsia" w:ascii="宋体" w:hAnsi="宋体" w:cs="宋体"/>
                <w:color w:val="000000"/>
                <w:sz w:val="24"/>
                <w:highlight w:val="none"/>
              </w:rPr>
              <w:t>开标地点：全国公共资源交易平台（陕西省·西安市）西安市公共资源交易不见面开标大厅（西安市公共资源交易中心三楼开标室31</w:t>
            </w:r>
            <w:r>
              <w:rPr>
                <w:rFonts w:hint="eastAsia" w:ascii="宋体" w:hAnsi="宋体" w:cs="宋体"/>
                <w:color w:val="000000"/>
                <w:sz w:val="24"/>
                <w:highlight w:val="none"/>
                <w:lang w:val="en-US" w:eastAsia="zh-CN"/>
              </w:rPr>
              <w:t>1</w:t>
            </w:r>
            <w:r>
              <w:rPr>
                <w:rFonts w:hint="eastAsia" w:ascii="宋体" w:hAnsi="宋体" w:cs="宋体"/>
                <w:color w:val="000000"/>
                <w:sz w:val="24"/>
                <w:highlight w:val="none"/>
              </w:rPr>
              <w:t>）</w:t>
            </w:r>
          </w:p>
        </w:tc>
      </w:tr>
      <w:tr>
        <w:tblPrEx>
          <w:tblCellMar>
            <w:top w:w="0" w:type="dxa"/>
            <w:left w:w="108" w:type="dxa"/>
            <w:bottom w:w="0" w:type="dxa"/>
            <w:right w:w="108" w:type="dxa"/>
          </w:tblCellMar>
        </w:tblPrEx>
        <w:trPr>
          <w:trHeight w:val="997"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27</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ascii="宋体" w:hAnsi="宋体" w:cs="宋体"/>
                <w:color w:val="000000"/>
                <w:kern w:val="2"/>
                <w:sz w:val="24"/>
                <w:szCs w:val="24"/>
                <w:highlight w:val="none"/>
                <w:lang w:val="en-US" w:eastAsia="zh-CN" w:bidi="ar-SA"/>
              </w:rPr>
            </w:pPr>
            <w:r>
              <w:rPr>
                <w:rFonts w:hint="eastAsia" w:ascii="宋体" w:hAnsi="宋体" w:cs="宋体"/>
                <w:bCs/>
                <w:color w:val="000000"/>
                <w:sz w:val="24"/>
                <w:highlight w:val="none"/>
              </w:rPr>
              <w:t>履约保证金</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000000"/>
                <w:kern w:val="2"/>
                <w:sz w:val="24"/>
                <w:szCs w:val="24"/>
                <w:highlight w:val="none"/>
                <w:lang w:val="en-US" w:eastAsia="zh-CN" w:bidi="ar-SA"/>
              </w:rPr>
            </w:pPr>
            <w:r>
              <w:rPr>
                <w:rFonts w:hint="eastAsia" w:cs="宋体"/>
                <w:sz w:val="24"/>
                <w:highlight w:val="none"/>
              </w:rPr>
              <w:t>不要求提供履约保证金</w:t>
            </w:r>
          </w:p>
        </w:tc>
      </w:tr>
      <w:tr>
        <w:tblPrEx>
          <w:tblCellMar>
            <w:top w:w="0" w:type="dxa"/>
            <w:left w:w="108" w:type="dxa"/>
            <w:bottom w:w="0" w:type="dxa"/>
            <w:right w:w="108" w:type="dxa"/>
          </w:tblCellMar>
        </w:tblPrEx>
        <w:trPr>
          <w:trHeight w:val="1292"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28</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政府采购信息发布媒体</w:t>
            </w:r>
          </w:p>
          <w:p>
            <w:pPr>
              <w:jc w:val="center"/>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sz w:val="24"/>
                <w:szCs w:val="24"/>
                <w:highlight w:val="none"/>
              </w:rPr>
              <w:t>（采购公告、采购结果公告、变更公告）</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1．陕西省政府采购网：仅提供项目公告，官网地址：http://ccgp-shaanxi.gov.cn/。</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2．全国公共资源交易平台（陕西省·西安市）：即西安市公共资源交易平台，提供项目公告和采购文件下载。官网地址：http://sxggzyjy.xa.gov.cn/</w:t>
            </w:r>
          </w:p>
        </w:tc>
      </w:tr>
      <w:tr>
        <w:tblPrEx>
          <w:tblCellMar>
            <w:top w:w="0" w:type="dxa"/>
            <w:left w:w="108" w:type="dxa"/>
            <w:bottom w:w="0" w:type="dxa"/>
            <w:right w:w="108" w:type="dxa"/>
          </w:tblCellMar>
        </w:tblPrEx>
        <w:trPr>
          <w:trHeight w:val="1466"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29</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sz w:val="24"/>
                <w:szCs w:val="24"/>
                <w:highlight w:val="none"/>
              </w:rPr>
              <w:t>投诉受理</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1．受理单位：西安市财政局政府采购管理处</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2．联系电话：029-89821846</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3．地址：西安市未央区西北国金中心A座18层</w:t>
            </w:r>
          </w:p>
        </w:tc>
      </w:tr>
      <w:tr>
        <w:tblPrEx>
          <w:tblCellMar>
            <w:top w:w="0" w:type="dxa"/>
            <w:left w:w="108" w:type="dxa"/>
            <w:bottom w:w="0" w:type="dxa"/>
            <w:right w:w="108" w:type="dxa"/>
          </w:tblCellMar>
        </w:tblPrEx>
        <w:trPr>
          <w:trHeight w:val="351"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30</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szCs w:val="24"/>
                <w:highlight w:val="none"/>
              </w:rPr>
            </w:pPr>
            <w:r>
              <w:rPr>
                <w:rFonts w:hint="eastAsia" w:ascii="宋体" w:hAnsi="宋体" w:cs="宋体"/>
                <w:bCs/>
                <w:color w:val="auto"/>
                <w:sz w:val="24"/>
                <w:highlight w:val="none"/>
              </w:rPr>
              <w:t>采购代理服务费</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textAlignment w:val="center"/>
              <w:rPr>
                <w:rFonts w:hint="eastAsia" w:ascii="宋体" w:hAnsi="宋体" w:cs="宋体"/>
                <w:color w:val="auto"/>
                <w:sz w:val="24"/>
                <w:highlight w:val="none"/>
              </w:rPr>
            </w:pPr>
            <w:r>
              <w:rPr>
                <w:rFonts w:hint="eastAsia" w:ascii="宋体" w:hAnsi="宋体" w:cs="宋体"/>
                <w:bCs/>
                <w:color w:val="auto"/>
                <w:sz w:val="24"/>
                <w:highlight w:val="none"/>
                <w:lang w:eastAsia="zh-CN"/>
              </w:rPr>
              <w:t>参照国家计委颁发的《招标代理服务收费管理暂行办法》（计价格[2002]1980号）和国家发展改革委员会办公厅颁发的《关于招标代理服务收费有关问题的通知》（发改办价格[2003]857号）的有关规定收取</w:t>
            </w:r>
            <w:r>
              <w:rPr>
                <w:rFonts w:hint="eastAsia" w:ascii="宋体" w:hAnsi="宋体" w:cs="宋体"/>
                <w:color w:val="auto"/>
                <w:sz w:val="24"/>
                <w:highlight w:val="none"/>
              </w:rPr>
              <w:t>。</w:t>
            </w:r>
          </w:p>
          <w:p>
            <w:pPr>
              <w:snapToGrid w:val="0"/>
              <w:spacing w:line="360" w:lineRule="auto"/>
              <w:textAlignment w:val="center"/>
              <w:rPr>
                <w:rFonts w:hint="eastAsia" w:ascii="宋体" w:hAnsi="宋体" w:cs="宋体"/>
                <w:color w:val="auto"/>
                <w:sz w:val="24"/>
                <w:highlight w:val="none"/>
              </w:rPr>
            </w:pPr>
            <w:r>
              <w:rPr>
                <w:rFonts w:hint="eastAsia" w:ascii="宋体" w:hAnsi="宋体" w:cs="宋体"/>
                <w:color w:val="auto"/>
                <w:sz w:val="24"/>
                <w:highlight w:val="none"/>
              </w:rPr>
              <w:t>中标单位在领取中标通知书前，须向采购代理机构一次性支付招标代理服务费。</w:t>
            </w:r>
          </w:p>
          <w:p>
            <w:pPr>
              <w:snapToGrid w:val="0"/>
              <w:spacing w:line="360" w:lineRule="auto"/>
              <w:textAlignment w:val="center"/>
              <w:rPr>
                <w:rFonts w:hint="eastAsia" w:ascii="宋体" w:hAnsi="宋体" w:cs="宋体"/>
                <w:b/>
                <w:bCs/>
                <w:color w:val="auto"/>
                <w:sz w:val="24"/>
                <w:highlight w:val="none"/>
              </w:rPr>
            </w:pPr>
            <w:r>
              <w:rPr>
                <w:rFonts w:hint="eastAsia" w:ascii="宋体" w:hAnsi="宋体" w:cs="宋体"/>
                <w:b/>
                <w:bCs/>
                <w:color w:val="auto"/>
                <w:sz w:val="24"/>
                <w:highlight w:val="none"/>
              </w:rPr>
              <w:t>银行账户：</w:t>
            </w:r>
          </w:p>
          <w:p>
            <w:pPr>
              <w:snapToGrid w:val="0"/>
              <w:spacing w:line="360" w:lineRule="auto"/>
              <w:textAlignment w:val="center"/>
              <w:rPr>
                <w:rFonts w:hint="eastAsia" w:ascii="宋体" w:hAnsi="宋体" w:cs="宋体"/>
                <w:b/>
                <w:bCs/>
                <w:color w:val="auto"/>
                <w:sz w:val="24"/>
                <w:highlight w:val="none"/>
              </w:rPr>
            </w:pPr>
            <w:r>
              <w:rPr>
                <w:rFonts w:hint="eastAsia" w:ascii="宋体" w:hAnsi="宋体" w:cs="宋体"/>
                <w:b/>
                <w:bCs/>
                <w:color w:val="auto"/>
                <w:sz w:val="24"/>
                <w:highlight w:val="none"/>
              </w:rPr>
              <w:t>公司名称：陕西嘉唐建设项目管理有限公司</w:t>
            </w:r>
          </w:p>
          <w:p>
            <w:pPr>
              <w:snapToGrid w:val="0"/>
              <w:spacing w:line="360" w:lineRule="auto"/>
              <w:textAlignment w:val="center"/>
              <w:rPr>
                <w:rFonts w:hint="eastAsia" w:ascii="宋体" w:hAnsi="宋体" w:cs="宋体"/>
                <w:b/>
                <w:bCs/>
                <w:color w:val="auto"/>
                <w:sz w:val="24"/>
                <w:highlight w:val="none"/>
              </w:rPr>
            </w:pPr>
            <w:r>
              <w:rPr>
                <w:rFonts w:hint="eastAsia" w:ascii="宋体" w:hAnsi="宋体" w:cs="宋体"/>
                <w:b/>
                <w:bCs/>
                <w:color w:val="auto"/>
                <w:sz w:val="24"/>
                <w:highlight w:val="none"/>
              </w:rPr>
              <w:t>账    号：112011580000141313</w:t>
            </w:r>
          </w:p>
          <w:p>
            <w:pPr>
              <w:spacing w:line="360" w:lineRule="auto"/>
              <w:rPr>
                <w:rFonts w:hint="eastAsia" w:asciiTheme="minorEastAsia" w:hAnsiTheme="minorEastAsia" w:eastAsiaTheme="minorEastAsia" w:cstheme="minorEastAsia"/>
                <w:sz w:val="24"/>
                <w:szCs w:val="24"/>
                <w:highlight w:val="none"/>
              </w:rPr>
            </w:pPr>
            <w:r>
              <w:rPr>
                <w:rFonts w:hint="eastAsia" w:ascii="宋体" w:hAnsi="宋体" w:cs="宋体"/>
                <w:b/>
                <w:bCs/>
                <w:color w:val="auto"/>
                <w:sz w:val="24"/>
                <w:highlight w:val="none"/>
              </w:rPr>
              <w:t>开 户 行：西安银行股份有限公司含光门支行</w:t>
            </w:r>
          </w:p>
        </w:tc>
      </w:tr>
      <w:tr>
        <w:tblPrEx>
          <w:tblCellMar>
            <w:top w:w="0" w:type="dxa"/>
            <w:left w:w="108" w:type="dxa"/>
            <w:bottom w:w="0" w:type="dxa"/>
            <w:right w:w="108" w:type="dxa"/>
          </w:tblCellMar>
        </w:tblPrEx>
        <w:trPr>
          <w:trHeight w:val="3934"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31</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ascii="宋体" w:hAnsi="宋体" w:cs="宋体"/>
                <w:color w:val="000000"/>
                <w:kern w:val="2"/>
                <w:sz w:val="24"/>
                <w:szCs w:val="24"/>
                <w:highlight w:val="none"/>
                <w:lang w:val="en-US" w:eastAsia="zh-CN" w:bidi="ar-SA"/>
              </w:rPr>
            </w:pPr>
            <w:r>
              <w:rPr>
                <w:rFonts w:hint="eastAsia" w:ascii="宋体" w:hAnsi="宋体" w:eastAsia="宋体" w:cs="宋体"/>
                <w:bCs/>
                <w:color w:val="000000"/>
                <w:sz w:val="24"/>
                <w:highlight w:val="none"/>
                <w:lang w:val="zh-CN"/>
              </w:rPr>
              <w:t>融资平台</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根据</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zh-CN"/>
              </w:rPr>
              <w:t>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spacing w:line="360" w:lineRule="auto"/>
              <w:rPr>
                <w:rFonts w:ascii="宋体" w:hAnsi="宋体" w:cs="宋体"/>
                <w:color w:val="000000"/>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zh-CN"/>
              </w:rPr>
              <w:t>网址:http://www.ccgp-shaanxi.gov.cn/zcdservice/zcd/shanxi/s</w:t>
            </w:r>
          </w:p>
        </w:tc>
      </w:tr>
      <w:tr>
        <w:tblPrEx>
          <w:tblCellMar>
            <w:top w:w="0" w:type="dxa"/>
            <w:left w:w="108" w:type="dxa"/>
            <w:bottom w:w="0" w:type="dxa"/>
            <w:right w:w="108" w:type="dxa"/>
          </w:tblCellMar>
        </w:tblPrEx>
        <w:trPr>
          <w:trHeight w:val="216"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32</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left="42" w:leftChars="20"/>
              <w:jc w:val="center"/>
              <w:rPr>
                <w:rFonts w:ascii="宋体" w:hAnsi="宋体" w:cs="宋体"/>
                <w:color w:val="000000"/>
                <w:kern w:val="2"/>
                <w:sz w:val="24"/>
                <w:szCs w:val="24"/>
                <w:highlight w:val="none"/>
                <w:lang w:val="en-US" w:eastAsia="zh-CN" w:bidi="ar-SA"/>
              </w:rPr>
            </w:pPr>
            <w:r>
              <w:rPr>
                <w:rFonts w:hint="eastAsia" w:ascii="宋体" w:hAnsi="宋体" w:cs="宋体"/>
                <w:color w:val="000000"/>
                <w:sz w:val="24"/>
                <w:szCs w:val="24"/>
                <w:highlight w:val="none"/>
              </w:rPr>
              <w:t>履约验收</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是否委托采购代理机构组织履约验收：</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□是，验收费用由采购人/成交供应商支付，费用标准按成交金额的5‰计算，不足5000元的，按5000元收取。</w:t>
            </w:r>
          </w:p>
          <w:p>
            <w:pPr>
              <w:spacing w:line="360" w:lineRule="auto"/>
              <w:rPr>
                <w:rFonts w:ascii="宋体" w:hAnsi="宋体" w:cs="宋体"/>
                <w:color w:val="000000"/>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☑否。</w:t>
            </w:r>
          </w:p>
        </w:tc>
      </w:tr>
      <w:tr>
        <w:tblPrEx>
          <w:tblCellMar>
            <w:top w:w="0" w:type="dxa"/>
            <w:left w:w="108" w:type="dxa"/>
            <w:bottom w:w="0" w:type="dxa"/>
            <w:right w:w="108" w:type="dxa"/>
          </w:tblCellMar>
        </w:tblPrEx>
        <w:trPr>
          <w:trHeight w:val="216"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default" w:ascii="宋体" w:hAnsi="宋体" w:cs="宋体"/>
                <w:color w:val="000000"/>
                <w:sz w:val="24"/>
                <w:highlight w:val="none"/>
                <w:lang w:val="en-US" w:eastAsia="zh-CN"/>
              </w:rPr>
            </w:pPr>
            <w:bookmarkStart w:id="18" w:name="_Toc28339"/>
            <w:r>
              <w:rPr>
                <w:rFonts w:hint="eastAsia" w:ascii="宋体" w:hAnsi="宋体" w:cs="宋体"/>
                <w:color w:val="000000"/>
                <w:sz w:val="24"/>
                <w:highlight w:val="none"/>
                <w:lang w:val="en-US" w:eastAsia="zh-CN"/>
              </w:rPr>
              <w:t>33</w:t>
            </w:r>
          </w:p>
        </w:tc>
        <w:tc>
          <w:tcPr>
            <w:tcW w:w="1166"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left="42" w:leftChars="20"/>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其他</w:t>
            </w:r>
          </w:p>
        </w:tc>
        <w:tc>
          <w:tcPr>
            <w:tcW w:w="358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1.本项目属性为</w:t>
            </w:r>
            <w:r>
              <w:rPr>
                <w:rFonts w:hint="eastAsia" w:ascii="宋体" w:hAnsi="宋体" w:cs="宋体"/>
                <w:b/>
                <w:bCs/>
                <w:color w:val="auto"/>
                <w:sz w:val="24"/>
                <w:highlight w:val="none"/>
                <w:lang w:eastAsia="zh-CN"/>
              </w:rPr>
              <w:t>服务</w:t>
            </w:r>
            <w:r>
              <w:rPr>
                <w:rFonts w:hint="eastAsia" w:ascii="宋体" w:hAnsi="宋体" w:cs="宋体"/>
                <w:color w:val="auto"/>
                <w:sz w:val="24"/>
                <w:highlight w:val="none"/>
              </w:rPr>
              <w:t>。</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2.本项目采购标的所属行业为</w:t>
            </w:r>
            <w:r>
              <w:rPr>
                <w:rFonts w:hint="eastAsia" w:ascii="宋体" w:hAnsi="宋体" w:cs="宋体"/>
                <w:b/>
                <w:bCs/>
                <w:color w:val="auto"/>
                <w:sz w:val="24"/>
                <w:highlight w:val="none"/>
                <w:lang w:eastAsia="zh-CN"/>
              </w:rPr>
              <w:t>其他未列明行业</w:t>
            </w:r>
            <w:r>
              <w:rPr>
                <w:rFonts w:hint="eastAsia" w:ascii="宋体" w:hAnsi="宋体" w:cs="宋体"/>
                <w:color w:val="auto"/>
                <w:sz w:val="24"/>
                <w:highlight w:val="none"/>
              </w:rPr>
              <w:t>。</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3.按照《西安市财政局关于促进政府采购公平竞争优化营商环境的通知》（市财函〔2021) 431号）规定：供应商登记免费领取招标文件的，如不参与项目投标，应在递交投标文件截止时间前一日以书面形式（格式如下，签字盖章后发回代理机构邮箱shanxijiatang@163.com即可）告知釆购代理机构。否则，采购代理机构可以向财政部门反映情况并提供相应的佐证。供应商一年内累计出现三次该情形，将被监管部门记录为失信行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不参与投标告知函</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（招标代理机构名称）：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经研究决定，由于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（不参与原因），我单位                  （单位名称）确认不参与关于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（项目名称）的投标活动。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特此说明！</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单位名称（盖章）：</w:t>
            </w:r>
          </w:p>
          <w:p>
            <w:pPr>
              <w:spacing w:line="360" w:lineRule="auto"/>
              <w:rPr>
                <w:rFonts w:hint="eastAsia" w:asciiTheme="minorEastAsia" w:hAnsiTheme="minorEastAsia" w:eastAsiaTheme="minorEastAsia" w:cstheme="minorEastAsia"/>
                <w:sz w:val="24"/>
                <w:szCs w:val="24"/>
                <w:highlight w:val="none"/>
              </w:rPr>
            </w:pPr>
            <w:r>
              <w:rPr>
                <w:rFonts w:hint="eastAsia" w:ascii="宋体" w:hAnsi="宋体" w:cs="宋体"/>
                <w:color w:val="auto"/>
                <w:sz w:val="24"/>
                <w:highlight w:val="none"/>
              </w:rPr>
              <w:t>法定代表人或授权代表（签字或盖章）：</w:t>
            </w:r>
          </w:p>
        </w:tc>
      </w:tr>
      <w:tr>
        <w:tblPrEx>
          <w:tblCellMar>
            <w:top w:w="0" w:type="dxa"/>
            <w:left w:w="108" w:type="dxa"/>
            <w:bottom w:w="0" w:type="dxa"/>
            <w:right w:w="108" w:type="dxa"/>
          </w:tblCellMar>
        </w:tblPrEx>
        <w:trPr>
          <w:trHeight w:val="216"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pPr>
              <w:pStyle w:val="140"/>
              <w:spacing w:line="360" w:lineRule="auto"/>
              <w:ind w:firstLine="0" w:firstLineChars="0"/>
              <w:rPr>
                <w:b/>
                <w:bCs/>
                <w:color w:val="auto"/>
                <w:sz w:val="24"/>
                <w:highlight w:val="none"/>
              </w:rPr>
            </w:pPr>
            <w:r>
              <w:rPr>
                <w:rFonts w:hint="eastAsia"/>
                <w:b/>
                <w:bCs/>
                <w:color w:val="auto"/>
                <w:sz w:val="24"/>
                <w:highlight w:val="none"/>
              </w:rPr>
              <w:t>友情提示：</w:t>
            </w:r>
          </w:p>
          <w:p>
            <w:pPr>
              <w:pStyle w:val="140"/>
              <w:spacing w:line="360" w:lineRule="auto"/>
              <w:ind w:firstLine="482"/>
              <w:rPr>
                <w:b/>
                <w:bCs/>
                <w:color w:val="auto"/>
                <w:sz w:val="24"/>
                <w:highlight w:val="none"/>
              </w:rPr>
            </w:pPr>
            <w:r>
              <w:rPr>
                <w:rFonts w:hint="eastAsia"/>
                <w:b/>
                <w:bCs/>
                <w:color w:val="auto"/>
                <w:sz w:val="24"/>
                <w:highlight w:val="none"/>
              </w:rPr>
              <w:t>（</w:t>
            </w:r>
            <w:r>
              <w:rPr>
                <w:b/>
                <w:bCs/>
                <w:color w:val="auto"/>
                <w:sz w:val="24"/>
                <w:highlight w:val="none"/>
              </w:rPr>
              <w:t>1）本项目为电子化政府采购项目，供应商初次登录西安市公共资源交易平台前应先完成诚信入库登记、CA认证和企业信息绑定。详见西安市公共资源交易平台〖首页·〉服务指南·〉下载专区〗中的《西安市市级单位电子化政府采购项目投标指南》。</w:t>
            </w:r>
          </w:p>
          <w:p>
            <w:pPr>
              <w:pStyle w:val="140"/>
              <w:spacing w:line="360" w:lineRule="auto"/>
              <w:ind w:firstLine="482"/>
              <w:rPr>
                <w:b/>
                <w:bCs/>
                <w:color w:val="auto"/>
                <w:sz w:val="24"/>
                <w:highlight w:val="none"/>
              </w:rPr>
            </w:pPr>
            <w:r>
              <w:rPr>
                <w:rFonts w:hint="eastAsia"/>
                <w:b/>
                <w:bCs/>
                <w:color w:val="auto"/>
                <w:sz w:val="24"/>
                <w:highlight w:val="none"/>
              </w:rPr>
              <w:t>（</w:t>
            </w:r>
            <w:r>
              <w:rPr>
                <w:b/>
                <w:bCs/>
                <w:color w:val="auto"/>
                <w:sz w:val="24"/>
                <w:highlight w:val="none"/>
              </w:rPr>
              <w:t>2）制作电子投标文件（*.SXSTF）需要使用专用制作工具。软件下载及操作说明详见西安市公共资源交易平台〖首页·〉服务指南·〉下载专区〗中的《政府采购项目投标文件制作软件及操作手册》。</w:t>
            </w:r>
          </w:p>
          <w:p>
            <w:pPr>
              <w:pStyle w:val="140"/>
              <w:spacing w:line="360" w:lineRule="auto"/>
              <w:ind w:firstLine="482"/>
              <w:rPr>
                <w:b/>
                <w:bCs/>
                <w:color w:val="auto"/>
                <w:sz w:val="24"/>
                <w:highlight w:val="none"/>
              </w:rPr>
            </w:pPr>
            <w:r>
              <w:rPr>
                <w:rFonts w:hint="eastAsia"/>
                <w:b/>
                <w:bCs/>
                <w:color w:val="auto"/>
                <w:sz w:val="24"/>
                <w:highlight w:val="none"/>
              </w:rPr>
              <w:t>（</w:t>
            </w:r>
            <w:r>
              <w:rPr>
                <w:b/>
                <w:bCs/>
                <w:color w:val="auto"/>
                <w:sz w:val="24"/>
                <w:highlight w:val="none"/>
              </w:rPr>
              <w:t>3）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pStyle w:val="140"/>
              <w:spacing w:line="360" w:lineRule="auto"/>
              <w:ind w:firstLine="482"/>
              <w:rPr>
                <w:b/>
                <w:bCs/>
                <w:color w:val="auto"/>
                <w:sz w:val="24"/>
                <w:highlight w:val="none"/>
              </w:rPr>
            </w:pPr>
            <w:r>
              <w:rPr>
                <w:rFonts w:hint="eastAsia"/>
                <w:b/>
                <w:bCs/>
                <w:color w:val="auto"/>
                <w:sz w:val="24"/>
                <w:highlight w:val="none"/>
              </w:rPr>
              <w:t>（4）</w:t>
            </w:r>
            <w:r>
              <w:rPr>
                <w:b/>
                <w:bCs/>
                <w:color w:val="auto"/>
                <w:sz w:val="24"/>
                <w:highlight w:val="none"/>
              </w:rPr>
              <w:t>提交投标文件的方式：从西安市公共资源交易平台〖首页·〉电子交易平台·〉陕西政府采购交易系统·〉企业端〗登录，登录后切换到〖我的项目〗模块，依次点选〖项目流程·〉项目管理·〉上传响应文件〗上传加密后的电子投标文件（*.SXSTF），逾期提交的，系统将拒绝接收。</w:t>
            </w:r>
          </w:p>
          <w:p>
            <w:pPr>
              <w:spacing w:line="360" w:lineRule="auto"/>
              <w:ind w:firstLine="482" w:firstLineChars="200"/>
              <w:rPr>
                <w:rFonts w:hint="eastAsia" w:ascii="宋体" w:hAnsi="宋体" w:cs="宋体"/>
                <w:color w:val="auto"/>
                <w:sz w:val="24"/>
                <w:highlight w:val="none"/>
              </w:rPr>
            </w:pPr>
            <w:r>
              <w:rPr>
                <w:rFonts w:hint="eastAsia"/>
                <w:b/>
                <w:bCs/>
                <w:color w:val="auto"/>
                <w:sz w:val="24"/>
                <w:highlight w:val="none"/>
              </w:rPr>
              <w:t>（</w:t>
            </w:r>
            <w:r>
              <w:rPr>
                <w:b/>
                <w:bCs/>
                <w:color w:val="auto"/>
                <w:sz w:val="24"/>
                <w:highlight w:val="none"/>
              </w:rPr>
              <w:t>5</w:t>
            </w:r>
            <w:r>
              <w:rPr>
                <w:rFonts w:hint="eastAsia"/>
                <w:b/>
                <w:bCs/>
                <w:color w:val="auto"/>
                <w:sz w:val="24"/>
                <w:highlight w:val="none"/>
              </w:rPr>
              <w:t>）</w:t>
            </w:r>
            <w:r>
              <w:rPr>
                <w:b/>
                <w:bCs/>
                <w:color w:val="auto"/>
                <w:sz w:val="24"/>
                <w:highlight w:val="none"/>
              </w:rPr>
              <w:t>开标形式：本项目将采用“不见面开标”形式。操作说明详见平台〖首页·〉服务指南·〉下载专区〗中的《西安公共资源交易不见面开标大厅供应商操作手册》。</w:t>
            </w:r>
          </w:p>
        </w:tc>
      </w:tr>
      <w:bookmarkEnd w:id="18"/>
    </w:tbl>
    <w:p>
      <w:pPr>
        <w:rPr>
          <w:rFonts w:ascii="宋体" w:hAnsi="宋体" w:cs="宋体"/>
          <w:color w:val="000000" w:themeColor="text1"/>
          <w:sz w:val="24"/>
          <w:highlight w:val="none"/>
          <w14:textFill>
            <w14:solidFill>
              <w14:schemeClr w14:val="tx1"/>
            </w14:solidFill>
          </w14:textFill>
        </w:rPr>
      </w:pPr>
    </w:p>
    <w:bookmarkEnd w:id="15"/>
    <w:bookmarkEnd w:id="16"/>
    <w:bookmarkEnd w:id="17"/>
    <w:p>
      <w:pPr>
        <w:rPr>
          <w:rFonts w:ascii="宋体" w:hAnsi="宋体" w:cs="宋体"/>
          <w:b/>
          <w:color w:val="000000" w:themeColor="text1"/>
          <w:sz w:val="24"/>
          <w:highlight w:val="none"/>
          <w14:textFill>
            <w14:solidFill>
              <w14:schemeClr w14:val="tx1"/>
            </w14:solidFill>
          </w14:textFill>
        </w:rPr>
      </w:pPr>
      <w:bookmarkStart w:id="19" w:name="_Toc339114109"/>
      <w:bookmarkStart w:id="20" w:name="_Toc17643"/>
      <w:bookmarkStart w:id="21" w:name="_Toc339114164"/>
      <w:r>
        <w:rPr>
          <w:rFonts w:ascii="宋体" w:hAnsi="宋体" w:cs="宋体"/>
          <w:b/>
          <w:color w:val="000000" w:themeColor="text1"/>
          <w:sz w:val="24"/>
          <w:highlight w:val="none"/>
          <w14:textFill>
            <w14:solidFill>
              <w14:schemeClr w14:val="tx1"/>
            </w14:solidFill>
          </w14:textFill>
        </w:rPr>
        <w:br w:type="page"/>
      </w:r>
    </w:p>
    <w:p>
      <w:pPr>
        <w:rPr>
          <w:rFonts w:asci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 xml:space="preserve">1. </w:t>
      </w:r>
      <w:bookmarkStart w:id="22" w:name="_Toc152042305"/>
      <w:bookmarkStart w:id="23" w:name="_Toc144974497"/>
      <w:bookmarkStart w:id="24" w:name="_Toc152045529"/>
      <w:r>
        <w:rPr>
          <w:rFonts w:hint="eastAsia" w:ascii="宋体" w:hAnsi="宋体" w:cs="宋体"/>
          <w:b/>
          <w:color w:val="000000" w:themeColor="text1"/>
          <w:sz w:val="24"/>
          <w:highlight w:val="none"/>
          <w14:textFill>
            <w14:solidFill>
              <w14:schemeClr w14:val="tx1"/>
            </w14:solidFill>
          </w14:textFill>
        </w:rPr>
        <w:t>总则</w:t>
      </w:r>
      <w:bookmarkEnd w:id="19"/>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25" w:name="_Toc331665289"/>
      <w:bookmarkStart w:id="26" w:name="_Toc339012127"/>
      <w:bookmarkStart w:id="27" w:name="_Toc339114110"/>
      <w:r>
        <w:rPr>
          <w:rFonts w:ascii="宋体" w:hAnsi="宋体" w:cs="宋体"/>
          <w:color w:val="000000" w:themeColor="text1"/>
          <w:sz w:val="24"/>
          <w:highlight w:val="none"/>
          <w14:textFill>
            <w14:solidFill>
              <w14:schemeClr w14:val="tx1"/>
            </w14:solidFill>
          </w14:textFill>
        </w:rPr>
        <w:t>1.1</w:t>
      </w:r>
      <w:bookmarkEnd w:id="22"/>
      <w:bookmarkEnd w:id="23"/>
      <w:bookmarkEnd w:id="24"/>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项目概况</w:t>
      </w:r>
      <w:bookmarkEnd w:id="25"/>
      <w:bookmarkEnd w:id="26"/>
      <w:bookmarkEnd w:id="27"/>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1.1.1</w:t>
      </w:r>
      <w:r>
        <w:rPr>
          <w:rFonts w:hint="eastAsia" w:ascii="宋体" w:hAnsi="宋体"/>
          <w:color w:val="000000" w:themeColor="text1"/>
          <w:sz w:val="24"/>
          <w:highlight w:val="none"/>
          <w14:textFill>
            <w14:solidFill>
              <w14:schemeClr w14:val="tx1"/>
            </w14:solidFill>
          </w14:textFill>
        </w:rPr>
        <w:t>根据《中华人民共和国政府采购法》等有关法律、法规和规章的规定，本招标项目已具备招标条件，现对本项目进行招标。</w:t>
      </w:r>
    </w:p>
    <w:p>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1.1.2</w:t>
      </w:r>
      <w:r>
        <w:rPr>
          <w:rFonts w:hint="eastAsia" w:ascii="宋体" w:hAnsi="宋体"/>
          <w:color w:val="000000" w:themeColor="text1"/>
          <w:sz w:val="24"/>
          <w:highlight w:val="none"/>
          <w14:textFill>
            <w14:solidFill>
              <w14:schemeClr w14:val="tx1"/>
            </w14:solidFill>
          </w14:textFill>
        </w:rPr>
        <w:t>采购人：</w:t>
      </w:r>
      <w:r>
        <w:rPr>
          <w:rFonts w:hint="eastAsia" w:ascii="宋体" w:hAnsi="宋体"/>
          <w:color w:val="000000" w:themeColor="text1"/>
          <w:sz w:val="24"/>
          <w:highlight w:val="none"/>
          <w:lang w:eastAsia="zh-CN"/>
          <w14:textFill>
            <w14:solidFill>
              <w14:schemeClr w14:val="tx1"/>
            </w14:solidFill>
          </w14:textFill>
        </w:rPr>
        <w:t>西安市卫生健康委员会</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1.1.3</w:t>
      </w:r>
      <w:r>
        <w:rPr>
          <w:rFonts w:hint="eastAsia" w:ascii="宋体" w:hAnsi="宋体"/>
          <w:color w:val="000000" w:themeColor="text1"/>
          <w:sz w:val="24"/>
          <w:highlight w:val="none"/>
          <w14:textFill>
            <w14:solidFill>
              <w14:schemeClr w14:val="tx1"/>
            </w14:solidFill>
          </w14:textFill>
        </w:rPr>
        <w:t>监督机构：西安市财政局</w:t>
      </w:r>
    </w:p>
    <w:p>
      <w:pPr>
        <w:spacing w:line="360" w:lineRule="auto"/>
        <w:ind w:firstLine="480" w:firstLineChars="200"/>
        <w:rPr>
          <w:rFonts w:hint="eastAsia" w:ascii="宋体" w:eastAsia="宋体"/>
          <w:color w:val="000000" w:themeColor="text1"/>
          <w:sz w:val="24"/>
          <w:highlight w:val="none"/>
          <w:lang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1.1.4</w:t>
      </w:r>
      <w:r>
        <w:rPr>
          <w:rFonts w:hint="eastAsia" w:ascii="宋体" w:hAnsi="宋体"/>
          <w:color w:val="000000" w:themeColor="text1"/>
          <w:sz w:val="24"/>
          <w:highlight w:val="none"/>
          <w14:textFill>
            <w14:solidFill>
              <w14:schemeClr w14:val="tx1"/>
            </w14:solidFill>
          </w14:textFill>
        </w:rPr>
        <w:t>采购代理机构：</w:t>
      </w:r>
      <w:r>
        <w:rPr>
          <w:rFonts w:hint="eastAsia" w:ascii="宋体" w:hAnsi="宋体"/>
          <w:color w:val="000000" w:themeColor="text1"/>
          <w:sz w:val="24"/>
          <w:highlight w:val="none"/>
          <w:lang w:eastAsia="zh-CN"/>
          <w14:textFill>
            <w14:solidFill>
              <w14:schemeClr w14:val="tx1"/>
            </w14:solidFill>
          </w14:textFill>
        </w:rPr>
        <w:t>陕西嘉唐建设项目管理有限公司</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1.1.5</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val="en-US" w:eastAsia="zh-CN"/>
          <w14:textFill>
            <w14:solidFill>
              <w14:schemeClr w14:val="tx1"/>
            </w14:solidFill>
          </w14:textFill>
        </w:rPr>
        <w:t>/投标人</w:t>
      </w:r>
      <w:r>
        <w:rPr>
          <w:rFonts w:hint="eastAsia" w:ascii="宋体" w:hAnsi="宋体"/>
          <w:color w:val="000000" w:themeColor="text1"/>
          <w:sz w:val="24"/>
          <w:highlight w:val="none"/>
          <w14:textFill>
            <w14:solidFill>
              <w14:schemeClr w14:val="tx1"/>
            </w14:solidFill>
          </w14:textFill>
        </w:rPr>
        <w:t>：指无条件接受招标文件的各项要求，具备相应履约能力、具有《中华人民共和国政府采购法》第</w:t>
      </w:r>
      <w:r>
        <w:rPr>
          <w:rFonts w:ascii="宋体" w:hAnsi="宋体"/>
          <w:color w:val="000000" w:themeColor="text1"/>
          <w:sz w:val="24"/>
          <w:highlight w:val="none"/>
          <w14:textFill>
            <w14:solidFill>
              <w14:schemeClr w14:val="tx1"/>
            </w14:solidFill>
          </w14:textFill>
        </w:rPr>
        <w:t>22</w:t>
      </w:r>
      <w:r>
        <w:rPr>
          <w:rFonts w:hint="eastAsia" w:ascii="宋体" w:hAnsi="宋体"/>
          <w:color w:val="000000" w:themeColor="text1"/>
          <w:sz w:val="24"/>
          <w:highlight w:val="none"/>
          <w:lang w:eastAsia="zh-CN"/>
          <w14:textFill>
            <w14:solidFill>
              <w14:schemeClr w14:val="tx1"/>
            </w14:solidFill>
          </w14:textFill>
        </w:rPr>
        <w:t>条</w:t>
      </w:r>
      <w:r>
        <w:rPr>
          <w:rFonts w:hint="eastAsia" w:ascii="宋体" w:hAnsi="宋体"/>
          <w:color w:val="000000" w:themeColor="text1"/>
          <w:sz w:val="24"/>
          <w:highlight w:val="none"/>
          <w14:textFill>
            <w14:solidFill>
              <w14:schemeClr w14:val="tx1"/>
            </w14:solidFill>
          </w14:textFill>
        </w:rPr>
        <w:t>规定的相关条件并向评标委员会提交投标文件的供应商。</w:t>
      </w:r>
    </w:p>
    <w:p>
      <w:pPr>
        <w:tabs>
          <w:tab w:val="left" w:pos="240"/>
        </w:tabs>
        <w:spacing w:line="360" w:lineRule="auto"/>
        <w:ind w:left="-120" w:leftChars="-57" w:firstLine="480" w:firstLineChars="200"/>
        <w:rPr>
          <w:rFonts w:hint="eastAsia" w:ascii="宋体" w:hAnsi="宋体"/>
          <w:color w:val="auto"/>
          <w:sz w:val="24"/>
          <w:highlight w:val="none"/>
        </w:rPr>
      </w:pPr>
      <w:r>
        <w:rPr>
          <w:rFonts w:hint="eastAsia" w:ascii="宋体" w:hAnsi="宋体"/>
          <w:color w:val="auto"/>
          <w:sz w:val="24"/>
          <w:highlight w:val="none"/>
        </w:rPr>
        <w:t>1.1.</w:t>
      </w:r>
      <w:r>
        <w:rPr>
          <w:rFonts w:hint="eastAsia" w:ascii="宋体" w:hAnsi="宋体"/>
          <w:color w:val="auto"/>
          <w:sz w:val="24"/>
          <w:highlight w:val="none"/>
          <w:lang w:val="en-US" w:eastAsia="zh-CN"/>
        </w:rPr>
        <w:t>6</w:t>
      </w:r>
      <w:r>
        <w:rPr>
          <w:rFonts w:hint="eastAsia" w:ascii="宋体" w:hAnsi="宋体"/>
          <w:color w:val="auto"/>
          <w:sz w:val="24"/>
          <w:highlight w:val="none"/>
        </w:rPr>
        <w:t>评标委员会：依据《</w:t>
      </w:r>
      <w:r>
        <w:rPr>
          <w:rFonts w:hint="eastAsia" w:ascii="宋体" w:hAnsi="宋体"/>
          <w:color w:val="000000" w:themeColor="text1"/>
          <w:sz w:val="24"/>
          <w:highlight w:val="none"/>
          <w14:textFill>
            <w14:solidFill>
              <w14:schemeClr w14:val="tx1"/>
            </w14:solidFill>
          </w14:textFill>
        </w:rPr>
        <w:t>中华人民共和国</w:t>
      </w:r>
      <w:r>
        <w:rPr>
          <w:rFonts w:hint="eastAsia" w:ascii="宋体" w:hAnsi="宋体"/>
          <w:color w:val="auto"/>
          <w:sz w:val="24"/>
          <w:highlight w:val="none"/>
        </w:rPr>
        <w:t>政府采购法》等有关规定组建，依法履行评审采购活动职责的评审成员</w:t>
      </w:r>
    </w:p>
    <w:p>
      <w:pPr>
        <w:tabs>
          <w:tab w:val="left" w:pos="240"/>
        </w:tabs>
        <w:spacing w:line="360" w:lineRule="auto"/>
        <w:ind w:left="-120" w:leftChars="-57"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1.1.</w:t>
      </w:r>
      <w:r>
        <w:rPr>
          <w:rFonts w:hint="eastAsia" w:ascii="宋体" w:hAnsi="宋体"/>
          <w:color w:val="auto"/>
          <w:sz w:val="24"/>
          <w:highlight w:val="none"/>
          <w:lang w:val="en-US" w:eastAsia="zh-CN"/>
        </w:rPr>
        <w:t>7</w:t>
      </w:r>
      <w:r>
        <w:rPr>
          <w:rFonts w:hint="eastAsia" w:ascii="宋体" w:hAnsi="宋体"/>
          <w:color w:val="auto"/>
          <w:sz w:val="24"/>
          <w:highlight w:val="none"/>
        </w:rPr>
        <w:t>中标人：由评标委员会推荐经采购人确认的</w:t>
      </w:r>
      <w:r>
        <w:rPr>
          <w:rFonts w:hint="eastAsia" w:ascii="宋体" w:hAnsi="宋体"/>
          <w:color w:val="auto"/>
          <w:sz w:val="24"/>
          <w:highlight w:val="none"/>
          <w:lang w:eastAsia="zh-CN"/>
        </w:rPr>
        <w:t>成交供应商</w:t>
      </w:r>
    </w:p>
    <w:p>
      <w:pPr>
        <w:tabs>
          <w:tab w:val="left" w:pos="240"/>
        </w:tabs>
        <w:spacing w:line="360" w:lineRule="auto"/>
        <w:ind w:left="-120" w:leftChars="-57"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1.1.8</w:t>
      </w:r>
      <w:r>
        <w:rPr>
          <w:rFonts w:hint="eastAsia" w:ascii="宋体" w:hAnsi="宋体"/>
          <w:color w:val="auto"/>
          <w:sz w:val="24"/>
          <w:highlight w:val="none"/>
        </w:rPr>
        <w:t>西安市公共资源交易平台：即【全国公共资源交易平台（陕西省·西安市）】的简称，官网地址</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"http://sxggzyjy.xa.gov.cn/" </w:instrText>
      </w:r>
      <w:r>
        <w:rPr>
          <w:rFonts w:hint="eastAsia" w:ascii="宋体" w:hAnsi="宋体"/>
          <w:color w:val="auto"/>
          <w:sz w:val="24"/>
          <w:highlight w:val="none"/>
        </w:rPr>
        <w:fldChar w:fldCharType="separate"/>
      </w:r>
      <w:r>
        <w:rPr>
          <w:rFonts w:hint="eastAsia" w:ascii="宋体" w:hAnsi="宋体"/>
          <w:color w:val="auto"/>
          <w:sz w:val="24"/>
          <w:highlight w:val="none"/>
        </w:rPr>
        <w:t>http://sxggzyjy.xa.gov.cn/</w:t>
      </w:r>
      <w:r>
        <w:rPr>
          <w:rFonts w:hint="eastAsia" w:ascii="宋体" w:hAnsi="宋体"/>
          <w:color w:val="auto"/>
          <w:sz w:val="24"/>
          <w:highlight w:val="none"/>
        </w:rPr>
        <w:fldChar w:fldCharType="end"/>
      </w:r>
      <w:r>
        <w:rPr>
          <w:rFonts w:hint="eastAsia" w:ascii="宋体" w:hAnsi="宋体"/>
          <w:color w:val="auto"/>
          <w:sz w:val="24"/>
          <w:highlight w:val="none"/>
        </w:rPr>
        <w:t>。</w:t>
      </w:r>
    </w:p>
    <w:p>
      <w:pPr>
        <w:pStyle w:val="16"/>
        <w:ind w:firstLine="480" w:firstLineChars="200"/>
        <w:rPr>
          <w:highlight w:val="none"/>
        </w:rPr>
      </w:pPr>
      <w:r>
        <w:rPr>
          <w:rFonts w:hint="eastAsia" w:ascii="宋体" w:hAnsi="宋体"/>
          <w:color w:val="auto"/>
          <w:sz w:val="24"/>
          <w:highlight w:val="none"/>
          <w:lang w:val="en-US" w:eastAsia="zh-CN"/>
        </w:rPr>
        <w:t>1.1.9</w:t>
      </w:r>
      <w:r>
        <w:rPr>
          <w:rFonts w:hint="eastAsia" w:ascii="宋体" w:hAnsi="宋体"/>
          <w:color w:val="auto"/>
          <w:sz w:val="24"/>
          <w:highlight w:val="none"/>
        </w:rPr>
        <w:t>企业端：指西安市公共资源交易平台〖首页·〉电子交易平台·〉陕西政府采购交易系统·〉企业端〗，快捷登录网址</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"http://www.sxggzyjy.cn:9002/TPBidder/memberLogin" </w:instrText>
      </w:r>
      <w:r>
        <w:rPr>
          <w:rFonts w:hint="eastAsia" w:ascii="宋体" w:hAnsi="宋体"/>
          <w:color w:val="auto"/>
          <w:sz w:val="24"/>
          <w:highlight w:val="none"/>
        </w:rPr>
        <w:fldChar w:fldCharType="separate"/>
      </w:r>
      <w:r>
        <w:rPr>
          <w:rFonts w:hint="eastAsia" w:ascii="宋体" w:hAnsi="宋体"/>
          <w:color w:val="auto"/>
          <w:sz w:val="24"/>
          <w:highlight w:val="none"/>
        </w:rPr>
        <w:t>http://www.sxggzyjy.cn:9002/TPBidder/memberLogin</w:t>
      </w:r>
      <w:r>
        <w:rPr>
          <w:rFonts w:hint="eastAsia" w:ascii="宋体" w:hAnsi="宋体"/>
          <w:color w:val="auto"/>
          <w:sz w:val="24"/>
          <w:highlight w:val="none"/>
        </w:rPr>
        <w:fldChar w:fldCharType="end"/>
      </w:r>
      <w:r>
        <w:rPr>
          <w:rFonts w:hint="eastAsia" w:ascii="宋体" w:hAnsi="宋体"/>
          <w:color w:val="auto"/>
          <w:sz w:val="24"/>
          <w:highlight w:val="none"/>
        </w:rPr>
        <w:t>。</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w:t>
      </w:r>
      <w:r>
        <w:rPr>
          <w:rFonts w:hint="eastAsia" w:ascii="宋体" w:hAnsi="宋体"/>
          <w:color w:val="000000" w:themeColor="text1"/>
          <w:sz w:val="24"/>
          <w:highlight w:val="none"/>
          <w:lang w:val="en-US" w:eastAsia="zh-CN"/>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合格供应商的基本要求：</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1.1.</w:t>
      </w:r>
      <w:r>
        <w:rPr>
          <w:rFonts w:hint="eastAsia" w:ascii="宋体" w:hAnsi="宋体"/>
          <w:color w:val="000000" w:themeColor="text1"/>
          <w:sz w:val="24"/>
          <w:highlight w:val="none"/>
          <w:lang w:val="en-US" w:eastAsia="zh-CN"/>
          <w14:textFill>
            <w14:solidFill>
              <w14:schemeClr w14:val="tx1"/>
            </w14:solidFill>
          </w14:textFill>
        </w:rPr>
        <w:t>10</w:t>
      </w: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具有独立承担民事责任的能力；</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1.1.</w:t>
      </w:r>
      <w:r>
        <w:rPr>
          <w:rFonts w:hint="eastAsia" w:ascii="宋体" w:hAnsi="宋体"/>
          <w:color w:val="000000" w:themeColor="text1"/>
          <w:sz w:val="24"/>
          <w:highlight w:val="none"/>
          <w:lang w:val="en-US" w:eastAsia="zh-CN"/>
          <w14:textFill>
            <w14:solidFill>
              <w14:schemeClr w14:val="tx1"/>
            </w14:solidFill>
          </w14:textFill>
        </w:rPr>
        <w:t>10</w:t>
      </w:r>
      <w:r>
        <w:rPr>
          <w:rFonts w:ascii="宋体" w:hAnsi="宋体"/>
          <w:bCs/>
          <w:color w:val="000000" w:themeColor="text1"/>
          <w:sz w:val="24"/>
          <w:highlight w:val="none"/>
          <w14:textFill>
            <w14:solidFill>
              <w14:schemeClr w14:val="tx1"/>
            </w14:solidFill>
          </w14:textFill>
        </w:rPr>
        <w:t>.2</w:t>
      </w:r>
      <w:r>
        <w:rPr>
          <w:rFonts w:hint="eastAsia" w:ascii="宋体" w:hAnsi="宋体"/>
          <w:bCs/>
          <w:color w:val="000000" w:themeColor="text1"/>
          <w:sz w:val="24"/>
          <w:highlight w:val="none"/>
          <w14:textFill>
            <w14:solidFill>
              <w14:schemeClr w14:val="tx1"/>
            </w14:solidFill>
          </w14:textFill>
        </w:rPr>
        <w:t>具有良好的商业信誉和健全的财务会计制度；</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1.1.</w:t>
      </w:r>
      <w:r>
        <w:rPr>
          <w:rFonts w:hint="eastAsia" w:ascii="宋体" w:hAnsi="宋体"/>
          <w:color w:val="000000" w:themeColor="text1"/>
          <w:sz w:val="24"/>
          <w:highlight w:val="none"/>
          <w:lang w:val="en-US" w:eastAsia="zh-CN"/>
          <w14:textFill>
            <w14:solidFill>
              <w14:schemeClr w14:val="tx1"/>
            </w14:solidFill>
          </w14:textFill>
        </w:rPr>
        <w:t>10</w:t>
      </w:r>
      <w:r>
        <w:rPr>
          <w:rFonts w:ascii="宋体" w:hAnsi="宋体"/>
          <w:bCs/>
          <w:color w:val="000000" w:themeColor="text1"/>
          <w:sz w:val="24"/>
          <w:highlight w:val="none"/>
          <w14:textFill>
            <w14:solidFill>
              <w14:schemeClr w14:val="tx1"/>
            </w14:solidFill>
          </w14:textFill>
        </w:rPr>
        <w:t>.3</w:t>
      </w:r>
      <w:r>
        <w:rPr>
          <w:rFonts w:hint="eastAsia" w:ascii="宋体" w:hAnsi="宋体"/>
          <w:bCs/>
          <w:color w:val="000000" w:themeColor="text1"/>
          <w:sz w:val="24"/>
          <w:highlight w:val="none"/>
          <w14:textFill>
            <w14:solidFill>
              <w14:schemeClr w14:val="tx1"/>
            </w14:solidFill>
          </w14:textFill>
        </w:rPr>
        <w:t>具有履行合同所必需的设备和专业技术能力；</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1.1.</w:t>
      </w:r>
      <w:r>
        <w:rPr>
          <w:rFonts w:hint="eastAsia" w:ascii="宋体" w:hAnsi="宋体"/>
          <w:color w:val="000000" w:themeColor="text1"/>
          <w:sz w:val="24"/>
          <w:highlight w:val="none"/>
          <w:lang w:val="en-US" w:eastAsia="zh-CN"/>
          <w14:textFill>
            <w14:solidFill>
              <w14:schemeClr w14:val="tx1"/>
            </w14:solidFill>
          </w14:textFill>
        </w:rPr>
        <w:t>10</w:t>
      </w:r>
      <w:r>
        <w:rPr>
          <w:rFonts w:ascii="宋体" w:hAnsi="宋体"/>
          <w:bCs/>
          <w:color w:val="000000" w:themeColor="text1"/>
          <w:sz w:val="24"/>
          <w:highlight w:val="none"/>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有依法缴纳税收和社会保障资金的良好记录；</w:t>
      </w:r>
    </w:p>
    <w:p>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1.1.</w:t>
      </w:r>
      <w:r>
        <w:rPr>
          <w:rFonts w:hint="eastAsia" w:ascii="宋体" w:hAnsi="宋体"/>
          <w:color w:val="000000" w:themeColor="text1"/>
          <w:sz w:val="24"/>
          <w:highlight w:val="none"/>
          <w:lang w:val="en-US" w:eastAsia="zh-CN"/>
          <w14:textFill>
            <w14:solidFill>
              <w14:schemeClr w14:val="tx1"/>
            </w14:solidFill>
          </w14:textFill>
        </w:rPr>
        <w:t>10</w:t>
      </w:r>
      <w:r>
        <w:rPr>
          <w:rFonts w:ascii="宋体" w:hAnsi="宋体"/>
          <w:bCs/>
          <w:color w:val="000000" w:themeColor="text1"/>
          <w:sz w:val="24"/>
          <w:highlight w:val="none"/>
          <w14:textFill>
            <w14:solidFill>
              <w14:schemeClr w14:val="tx1"/>
            </w14:solidFill>
          </w14:textFill>
        </w:rPr>
        <w:t>.5</w:t>
      </w:r>
      <w:r>
        <w:rPr>
          <w:rFonts w:hint="eastAsia" w:ascii="宋体" w:hAnsi="宋体"/>
          <w:bCs/>
          <w:color w:val="000000" w:themeColor="text1"/>
          <w:sz w:val="24"/>
          <w:highlight w:val="none"/>
          <w14:textFill>
            <w14:solidFill>
              <w14:schemeClr w14:val="tx1"/>
            </w14:solidFill>
          </w14:textFill>
        </w:rPr>
        <w:t>参加政府采购活动前三年内，在经营活动中没有重大违法记录；</w:t>
      </w:r>
    </w:p>
    <w:p>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1.1.</w:t>
      </w:r>
      <w:r>
        <w:rPr>
          <w:rFonts w:hint="eastAsia" w:ascii="宋体" w:hAnsi="宋体"/>
          <w:color w:val="000000" w:themeColor="text1"/>
          <w:sz w:val="24"/>
          <w:highlight w:val="none"/>
          <w:lang w:val="en-US" w:eastAsia="zh-CN"/>
          <w14:textFill>
            <w14:solidFill>
              <w14:schemeClr w14:val="tx1"/>
            </w14:solidFill>
          </w14:textFill>
        </w:rPr>
        <w:t>10</w:t>
      </w:r>
      <w:r>
        <w:rPr>
          <w:rFonts w:ascii="宋体" w:hAnsi="宋体"/>
          <w:bCs/>
          <w:color w:val="000000" w:themeColor="text1"/>
          <w:sz w:val="24"/>
          <w:highlight w:val="none"/>
          <w14:textFill>
            <w14:solidFill>
              <w14:schemeClr w14:val="tx1"/>
            </w14:solidFill>
          </w14:textFill>
        </w:rPr>
        <w:t>.6</w:t>
      </w:r>
      <w:r>
        <w:rPr>
          <w:rFonts w:hint="eastAsia" w:ascii="宋体" w:hAnsi="宋体"/>
          <w:bCs/>
          <w:color w:val="000000" w:themeColor="text1"/>
          <w:sz w:val="24"/>
          <w:highlight w:val="none"/>
          <w14:textFill>
            <w14:solidFill>
              <w14:schemeClr w14:val="tx1"/>
            </w14:solidFill>
          </w14:textFill>
        </w:rPr>
        <w:t>具备法律行政法规规定的其他条件。</w:t>
      </w:r>
    </w:p>
    <w:p>
      <w:pPr>
        <w:pStyle w:val="16"/>
        <w:ind w:firstLine="480" w:firstLineChars="200"/>
        <w:rPr>
          <w:rFonts w:hint="default"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t>1.1.</w:t>
      </w:r>
      <w:r>
        <w:rPr>
          <w:rFonts w:hint="eastAsia" w:ascii="宋体" w:hAnsi="宋体"/>
          <w:color w:val="000000" w:themeColor="text1"/>
          <w:sz w:val="24"/>
          <w:highlight w:val="none"/>
          <w:lang w:val="en-US" w:eastAsia="zh-CN"/>
          <w14:textFill>
            <w14:solidFill>
              <w14:schemeClr w14:val="tx1"/>
            </w14:solidFill>
          </w14:textFill>
        </w:rPr>
        <w:t>10</w:t>
      </w:r>
      <w: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t>.7完全同意并愿意自觉遵守本招标文件中的所有规定和要求。</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28" w:name="_Toc339012128"/>
      <w:bookmarkStart w:id="29" w:name="_Toc331665290"/>
      <w:bookmarkStart w:id="30" w:name="_Toc339114111"/>
      <w:r>
        <w:rPr>
          <w:rFonts w:ascii="宋体" w:hAnsi="宋体" w:cs="宋体"/>
          <w:color w:val="000000" w:themeColor="text1"/>
          <w:sz w:val="24"/>
          <w:highlight w:val="none"/>
          <w14:textFill>
            <w14:solidFill>
              <w14:schemeClr w14:val="tx1"/>
            </w14:solidFill>
          </w14:textFill>
        </w:rPr>
        <w:t xml:space="preserve">1.2 </w:t>
      </w:r>
      <w:bookmarkStart w:id="31" w:name="_Toc144974499"/>
      <w:bookmarkStart w:id="32" w:name="_Toc152042307"/>
      <w:bookmarkStart w:id="33" w:name="_Toc152045531"/>
      <w:r>
        <w:rPr>
          <w:rFonts w:hint="eastAsia" w:ascii="宋体" w:hAnsi="宋体" w:cs="宋体"/>
          <w:color w:val="000000" w:themeColor="text1"/>
          <w:sz w:val="24"/>
          <w:highlight w:val="none"/>
          <w14:textFill>
            <w14:solidFill>
              <w14:schemeClr w14:val="tx1"/>
            </w14:solidFill>
          </w14:textFill>
        </w:rPr>
        <w:t>资金来源和落实情况</w:t>
      </w:r>
      <w:bookmarkEnd w:id="28"/>
      <w:bookmarkEnd w:id="29"/>
      <w:bookmarkEnd w:id="30"/>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w:t>
      </w:r>
      <w:bookmarkEnd w:id="31"/>
      <w:bookmarkEnd w:id="32"/>
      <w:bookmarkEnd w:id="33"/>
      <w:r>
        <w:rPr>
          <w:rFonts w:ascii="宋体" w:hAnsi="宋体"/>
          <w:color w:val="000000" w:themeColor="text1"/>
          <w:sz w:val="24"/>
          <w:highlight w:val="none"/>
          <w14:textFill>
            <w14:solidFill>
              <w14:schemeClr w14:val="tx1"/>
            </w14:solidFill>
          </w14:textFill>
        </w:rPr>
        <w:t xml:space="preserve">.1 </w:t>
      </w:r>
      <w:r>
        <w:rPr>
          <w:rFonts w:hint="eastAsia" w:ascii="宋体" w:hAnsi="宋体"/>
          <w:color w:val="000000" w:themeColor="text1"/>
          <w:sz w:val="24"/>
          <w:highlight w:val="none"/>
          <w14:textFill>
            <w14:solidFill>
              <w14:schemeClr w14:val="tx1"/>
            </w14:solidFill>
          </w14:textFill>
        </w:rPr>
        <w:t>本招标项目的资金来源：</w:t>
      </w:r>
      <w:r>
        <w:rPr>
          <w:rFonts w:hint="eastAsia" w:ascii="宋体" w:hAnsi="宋体"/>
          <w:color w:val="000000" w:themeColor="text1"/>
          <w:sz w:val="24"/>
          <w:highlight w:val="none"/>
          <w:lang w:val="en-US" w:eastAsia="zh-CN"/>
          <w14:textFill>
            <w14:solidFill>
              <w14:schemeClr w14:val="tx1"/>
            </w14:solidFill>
          </w14:textFill>
        </w:rPr>
        <w:t>财政资金</w:t>
      </w:r>
      <w:r>
        <w:rPr>
          <w:rFonts w:hint="eastAsia" w:ascii="宋体" w:hAnsi="宋体"/>
          <w:color w:val="000000" w:themeColor="text1"/>
          <w:sz w:val="24"/>
          <w:highlight w:val="none"/>
          <w14:textFill>
            <w14:solidFill>
              <w14:schemeClr w14:val="tx1"/>
            </w14:solidFill>
          </w14:textFill>
        </w:rPr>
        <w:t>。</w:t>
      </w:r>
    </w:p>
    <w:p>
      <w:pPr>
        <w:spacing w:line="360" w:lineRule="auto"/>
        <w:ind w:firstLine="480" w:firstLineChars="200"/>
        <w:rPr>
          <w:rFonts w:hint="eastAsia" w:ascii="宋体" w:eastAsia="宋体"/>
          <w:color w:val="000000" w:themeColor="text1"/>
          <w:sz w:val="24"/>
          <w:highlight w:val="none"/>
          <w:lang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1.2.2 </w:t>
      </w:r>
      <w:r>
        <w:rPr>
          <w:rFonts w:hint="eastAsia" w:ascii="宋体" w:hAnsi="宋体"/>
          <w:color w:val="000000" w:themeColor="text1"/>
          <w:sz w:val="24"/>
          <w:highlight w:val="none"/>
          <w14:textFill>
            <w14:solidFill>
              <w14:schemeClr w14:val="tx1"/>
            </w14:solidFill>
          </w14:textFill>
        </w:rPr>
        <w:t>本招标项目的资金落实情况：</w:t>
      </w:r>
      <w:r>
        <w:rPr>
          <w:rFonts w:hint="eastAsia" w:ascii="宋体" w:hAnsi="宋体"/>
          <w:color w:val="000000" w:themeColor="text1"/>
          <w:sz w:val="24"/>
          <w:highlight w:val="none"/>
          <w:lang w:val="en-US" w:eastAsia="zh-CN"/>
          <w14:textFill>
            <w14:solidFill>
              <w14:schemeClr w14:val="tx1"/>
            </w14:solidFill>
          </w14:textFill>
        </w:rPr>
        <w:t>已落实</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34" w:name="_Toc339012129"/>
      <w:bookmarkStart w:id="35" w:name="_Toc331665291"/>
      <w:bookmarkStart w:id="36" w:name="_Toc339114112"/>
      <w:r>
        <w:rPr>
          <w:rFonts w:ascii="宋体" w:hAnsi="宋体" w:cs="宋体"/>
          <w:color w:val="000000" w:themeColor="text1"/>
          <w:sz w:val="24"/>
          <w:highlight w:val="none"/>
          <w14:textFill>
            <w14:solidFill>
              <w14:schemeClr w14:val="tx1"/>
            </w14:solidFill>
          </w14:textFill>
        </w:rPr>
        <w:t xml:space="preserve">1.3 </w:t>
      </w:r>
      <w:bookmarkStart w:id="37" w:name="_Toc144974500"/>
      <w:bookmarkStart w:id="38" w:name="_Toc152045532"/>
      <w:bookmarkStart w:id="39" w:name="_Toc152042308"/>
      <w:r>
        <w:rPr>
          <w:rFonts w:hint="eastAsia" w:ascii="宋体" w:hAnsi="宋体" w:cs="宋体"/>
          <w:color w:val="000000" w:themeColor="text1"/>
          <w:sz w:val="24"/>
          <w:highlight w:val="none"/>
          <w14:textFill>
            <w14:solidFill>
              <w14:schemeClr w14:val="tx1"/>
            </w14:solidFill>
          </w14:textFill>
        </w:rPr>
        <w:t>工作内容、合同期限</w:t>
      </w:r>
      <w:bookmarkEnd w:id="34"/>
      <w:bookmarkEnd w:id="35"/>
      <w:bookmarkEnd w:id="36"/>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w:t>
      </w:r>
      <w:bookmarkEnd w:id="37"/>
      <w:bookmarkEnd w:id="38"/>
      <w:bookmarkEnd w:id="39"/>
      <w:r>
        <w:rPr>
          <w:rFonts w:ascii="宋体" w:hAnsi="宋体"/>
          <w:color w:val="000000" w:themeColor="text1"/>
          <w:sz w:val="24"/>
          <w:highlight w:val="none"/>
          <w14:textFill>
            <w14:solidFill>
              <w14:schemeClr w14:val="tx1"/>
            </w14:solidFill>
          </w14:textFill>
        </w:rPr>
        <w:t xml:space="preserve">.1 </w:t>
      </w:r>
      <w:r>
        <w:rPr>
          <w:rFonts w:hint="eastAsia" w:ascii="宋体" w:hAnsi="宋体"/>
          <w:color w:val="000000" w:themeColor="text1"/>
          <w:sz w:val="24"/>
          <w:highlight w:val="none"/>
          <w14:textFill>
            <w14:solidFill>
              <w14:schemeClr w14:val="tx1"/>
            </w14:solidFill>
          </w14:textFill>
        </w:rPr>
        <w:t>本次招标工作内容：</w:t>
      </w:r>
      <w:r>
        <w:rPr>
          <w:rFonts w:hint="eastAsia" w:ascii="宋体" w:hAnsi="宋体"/>
          <w:sz w:val="24"/>
          <w:highlight w:val="none"/>
        </w:rPr>
        <w:t>本次招标内容为</w:t>
      </w:r>
      <w:r>
        <w:rPr>
          <w:rFonts w:hint="eastAsia" w:ascii="宋体" w:hAnsi="宋体"/>
          <w:sz w:val="24"/>
          <w:highlight w:val="none"/>
          <w:lang w:eastAsia="zh-CN"/>
        </w:rPr>
        <w:t>2023年度全国卫生专业技术资格考试暨护士执业资格考试西安考点考务服务项目（三次）</w:t>
      </w:r>
      <w:r>
        <w:rPr>
          <w:rFonts w:hint="eastAsia" w:ascii="宋体" w:hAnsi="宋体"/>
          <w:spacing w:val="-6"/>
          <w:sz w:val="24"/>
          <w:highlight w:val="none"/>
        </w:rPr>
        <w:t>，</w:t>
      </w:r>
      <w:r>
        <w:rPr>
          <w:rFonts w:hint="eastAsia" w:ascii="宋体" w:hAnsi="宋体"/>
          <w:sz w:val="24"/>
          <w:highlight w:val="none"/>
          <w:lang w:eastAsia="zh-CN"/>
        </w:rPr>
        <w:t>供应商</w:t>
      </w:r>
      <w:r>
        <w:rPr>
          <w:rFonts w:hint="eastAsia" w:ascii="宋体" w:hAnsi="宋体"/>
          <w:color w:val="000000"/>
          <w:sz w:val="24"/>
          <w:highlight w:val="none"/>
        </w:rPr>
        <w:t>可根据自身的情况和经营范围</w:t>
      </w:r>
      <w:r>
        <w:rPr>
          <w:rFonts w:hint="eastAsia" w:ascii="宋体" w:hAnsi="宋体"/>
          <w:sz w:val="24"/>
          <w:highlight w:val="none"/>
        </w:rPr>
        <w:t>对项目进行投标</w:t>
      </w:r>
      <w:r>
        <w:rPr>
          <w:rFonts w:hint="eastAsia" w:ascii="宋体" w:hAnsi="宋体"/>
          <w:color w:val="000000"/>
          <w:sz w:val="24"/>
          <w:highlight w:val="none"/>
        </w:rPr>
        <w:t>，不得将其子目再行分解或只投其中的一部</w:t>
      </w:r>
      <w:r>
        <w:rPr>
          <w:rFonts w:hint="eastAsia" w:ascii="宋体" w:hAnsi="宋体"/>
          <w:sz w:val="24"/>
          <w:highlight w:val="none"/>
        </w:rPr>
        <w:t>分内容，否则投标无效；开标、阅标、评标、定标、签订合同均以项目</w:t>
      </w:r>
      <w:r>
        <w:rPr>
          <w:rFonts w:hint="eastAsia" w:ascii="宋体" w:hAnsi="宋体"/>
          <w:color w:val="000000"/>
          <w:sz w:val="24"/>
          <w:highlight w:val="none"/>
        </w:rPr>
        <w:t>为单位进行</w:t>
      </w:r>
      <w:r>
        <w:rPr>
          <w:rFonts w:hint="eastAsia" w:ascii="宋体" w:hAnsi="宋体"/>
          <w:color w:val="000000" w:themeColor="text1"/>
          <w:sz w:val="24"/>
          <w:highlight w:val="none"/>
          <w14:textFill>
            <w14:solidFill>
              <w14:schemeClr w14:val="tx1"/>
            </w14:solidFill>
          </w14:textFill>
        </w:rPr>
        <w:t>。</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1.3.2 </w:t>
      </w:r>
      <w:r>
        <w:rPr>
          <w:rFonts w:hint="eastAsia" w:ascii="宋体" w:hAnsi="宋体"/>
          <w:color w:val="000000" w:themeColor="text1"/>
          <w:sz w:val="24"/>
          <w:highlight w:val="none"/>
          <w14:textFill>
            <w14:solidFill>
              <w14:schemeClr w14:val="tx1"/>
            </w14:solidFill>
          </w14:textFill>
        </w:rPr>
        <w:t>本项目的合同期限：</w:t>
      </w:r>
      <w:r>
        <w:rPr>
          <w:rFonts w:hint="eastAsia" w:ascii="宋体" w:hAnsi="宋体"/>
          <w:sz w:val="24"/>
          <w:highlight w:val="none"/>
        </w:rPr>
        <w:t>见供应商须知前附表</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40" w:name="_Toc339012130"/>
      <w:bookmarkStart w:id="41" w:name="_Toc331665292"/>
      <w:bookmarkStart w:id="42" w:name="_Toc339114113"/>
      <w:r>
        <w:rPr>
          <w:rFonts w:ascii="宋体" w:hAnsi="宋体" w:cs="宋体"/>
          <w:color w:val="000000" w:themeColor="text1"/>
          <w:sz w:val="24"/>
          <w:highlight w:val="none"/>
          <w14:textFill>
            <w14:solidFill>
              <w14:schemeClr w14:val="tx1"/>
            </w14:solidFill>
          </w14:textFill>
        </w:rPr>
        <w:t xml:space="preserve">1.4 </w:t>
      </w:r>
      <w:bookmarkStart w:id="43" w:name="_Toc152042309"/>
      <w:bookmarkStart w:id="44" w:name="_Toc144974501"/>
      <w:bookmarkStart w:id="45" w:name="_Toc152045533"/>
      <w:r>
        <w:rPr>
          <w:rFonts w:hint="eastAsia" w:ascii="宋体" w:hAnsi="宋体" w:cs="宋体"/>
          <w:color w:val="000000" w:themeColor="text1"/>
          <w:sz w:val="24"/>
          <w:highlight w:val="none"/>
          <w14:textFill>
            <w14:solidFill>
              <w14:schemeClr w14:val="tx1"/>
            </w14:solidFill>
          </w14:textFill>
        </w:rPr>
        <w:t>供应商资格要求</w:t>
      </w:r>
      <w:bookmarkEnd w:id="40"/>
      <w:bookmarkEnd w:id="41"/>
      <w:bookmarkEnd w:id="42"/>
    </w:p>
    <w:bookmarkEnd w:id="43"/>
    <w:bookmarkEnd w:id="44"/>
    <w:bookmarkEnd w:id="45"/>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color w:val="000000" w:themeColor="text1"/>
          <w:kern w:val="0"/>
          <w:sz w:val="24"/>
          <w:highlight w:val="none"/>
          <w:lang w:eastAsia="zh-CN"/>
          <w14:textFill>
            <w14:solidFill>
              <w14:schemeClr w14:val="tx1"/>
            </w14:solidFill>
          </w14:textFill>
        </w:rPr>
      </w:pPr>
      <w:bookmarkStart w:id="46" w:name="_Toc331665293"/>
      <w:bookmarkStart w:id="47" w:name="_Toc339012131"/>
      <w:bookmarkStart w:id="48" w:name="_Toc339114114"/>
      <w:r>
        <w:rPr>
          <w:rFonts w:ascii="宋体" w:hAnsi="宋体"/>
          <w:color w:val="000000" w:themeColor="text1"/>
          <w:kern w:val="0"/>
          <w:sz w:val="24"/>
          <w:highlight w:val="none"/>
          <w14:textFill>
            <w14:solidFill>
              <w14:schemeClr w14:val="tx1"/>
            </w14:solidFill>
          </w14:textFill>
        </w:rPr>
        <w:t>1.4.1</w:t>
      </w:r>
      <w:r>
        <w:rPr>
          <w:rFonts w:hint="eastAsia" w:ascii="宋体" w:hAnsi="宋体"/>
          <w:color w:val="000000" w:themeColor="text1"/>
          <w:kern w:val="0"/>
          <w:sz w:val="24"/>
          <w:highlight w:val="none"/>
          <w14:textFill>
            <w14:solidFill>
              <w14:schemeClr w14:val="tx1"/>
            </w14:solidFill>
          </w14:textFill>
        </w:rPr>
        <w:t>基本资格条件：符合《中华人民共和国政府采购法》第二十二条的规定；</w:t>
      </w:r>
      <w:r>
        <w:rPr>
          <w:rFonts w:hint="eastAsia" w:ascii="宋体" w:hAnsi="宋体"/>
          <w:color w:val="000000" w:themeColor="text1"/>
          <w:kern w:val="0"/>
          <w:sz w:val="24"/>
          <w:highlight w:val="none"/>
          <w:lang w:eastAsia="zh-CN"/>
          <w14:textFill>
            <w14:solidFill>
              <w14:schemeClr w14:val="tx1"/>
            </w14:solidFill>
          </w14:textFill>
        </w:rPr>
        <w:t>并提供以下资料：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①</w:t>
      </w:r>
      <w:r>
        <w:rPr>
          <w:rFonts w:hint="eastAsia" w:ascii="宋体" w:hAnsi="宋体" w:eastAsia="宋体" w:cs="宋体"/>
          <w:b w:val="0"/>
          <w:bCs w:val="0"/>
          <w:sz w:val="24"/>
          <w:szCs w:val="24"/>
          <w:highlight w:val="none"/>
          <w:lang w:val="en-US" w:eastAsia="zh-CN"/>
        </w:rPr>
        <w:t>具有独立承担民事责任能力的法人或其他组织，提供有效存续的营业执照或事业单位法人证书或非企业专业服务机构执业许可证或民办非企业单位登记证书或自然人的身份证明；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②</w:t>
      </w:r>
      <w:r>
        <w:rPr>
          <w:rFonts w:hint="eastAsia" w:ascii="宋体" w:hAnsi="宋体" w:eastAsia="宋体" w:cs="宋体"/>
          <w:b w:val="0"/>
          <w:bCs w:val="0"/>
          <w:sz w:val="24"/>
          <w:szCs w:val="24"/>
          <w:highlight w:val="none"/>
          <w:lang w:val="en-US" w:eastAsia="zh-CN"/>
        </w:rPr>
        <w:t>财务状况报告：提供经审计的2021年财务报告，包括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③</w:t>
      </w:r>
      <w:r>
        <w:rPr>
          <w:rFonts w:hint="eastAsia" w:ascii="宋体" w:hAnsi="宋体" w:eastAsia="宋体" w:cs="宋体"/>
          <w:b w:val="0"/>
          <w:bCs w:val="0"/>
          <w:sz w:val="24"/>
          <w:szCs w:val="24"/>
          <w:highlight w:val="none"/>
          <w:lang w:val="en-US" w:eastAsia="zh-CN"/>
        </w:rPr>
        <w:t>税收缴纳证明：提供已缴纳的202</w:t>
      </w: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年</w:t>
      </w:r>
      <w:r>
        <w:rPr>
          <w:rFonts w:hint="eastAsia" w:ascii="宋体" w:hAnsi="宋体" w:cs="宋体"/>
          <w:b w:val="0"/>
          <w:bCs w:val="0"/>
          <w:sz w:val="24"/>
          <w:szCs w:val="24"/>
          <w:highlight w:val="none"/>
          <w:lang w:val="en-US" w:eastAsia="zh-CN"/>
        </w:rPr>
        <w:t>1</w:t>
      </w:r>
      <w:r>
        <w:rPr>
          <w:rFonts w:hint="eastAsia" w:ascii="宋体" w:hAnsi="宋体" w:eastAsia="宋体" w:cs="宋体"/>
          <w:b w:val="0"/>
          <w:bCs w:val="0"/>
          <w:sz w:val="24"/>
          <w:szCs w:val="24"/>
          <w:highlight w:val="none"/>
          <w:lang w:val="en-US" w:eastAsia="zh-CN"/>
        </w:rPr>
        <w:t>月至今任意一个月的纳税证明或完税证明，纳税证明或完税证明上应有代收机构或税务机关的公章</w:t>
      </w:r>
      <w:r>
        <w:rPr>
          <w:rFonts w:hint="eastAsia" w:ascii="宋体" w:hAnsi="宋体" w:cs="宋体"/>
          <w:b w:val="0"/>
          <w:bCs w:val="0"/>
          <w:sz w:val="24"/>
          <w:szCs w:val="24"/>
          <w:highlight w:val="none"/>
          <w:lang w:val="en-US" w:eastAsia="zh-CN"/>
        </w:rPr>
        <w:t>或业务专用章</w:t>
      </w:r>
      <w:r>
        <w:rPr>
          <w:rFonts w:hint="eastAsia" w:ascii="宋体" w:hAnsi="宋体" w:eastAsia="宋体" w:cs="宋体"/>
          <w:b w:val="0"/>
          <w:bCs w:val="0"/>
          <w:sz w:val="24"/>
          <w:szCs w:val="24"/>
          <w:highlight w:val="none"/>
          <w:lang w:val="en-US" w:eastAsia="zh-CN"/>
        </w:rPr>
        <w:t>。依法免税的供应商应提供相关文件证明；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④供应商须提供具有履行合同所必需的设备和专业技术能力的承诺；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⑤社会保障资金缴纳证明：提供已缴存的202</w:t>
      </w: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年</w:t>
      </w:r>
      <w:r>
        <w:rPr>
          <w:rFonts w:hint="eastAsia" w:ascii="宋体" w:hAnsi="宋体" w:cs="宋体"/>
          <w:b w:val="0"/>
          <w:bCs w:val="0"/>
          <w:sz w:val="24"/>
          <w:szCs w:val="24"/>
          <w:highlight w:val="none"/>
          <w:lang w:val="en-US" w:eastAsia="zh-CN"/>
        </w:rPr>
        <w:t>1</w:t>
      </w:r>
      <w:r>
        <w:rPr>
          <w:rFonts w:hint="eastAsia" w:ascii="宋体" w:hAnsi="宋体" w:eastAsia="宋体" w:cs="宋体"/>
          <w:b w:val="0"/>
          <w:bCs w:val="0"/>
          <w:sz w:val="24"/>
          <w:szCs w:val="24"/>
          <w:highlight w:val="none"/>
          <w:lang w:val="en-US" w:eastAsia="zh-CN"/>
        </w:rPr>
        <w:t>月至今任意一个月的社会保障资金缴存单据或社保机构开具的社会保险参保缴费情况证明，单据或证明上应有社保机构或代收机构的公章</w:t>
      </w:r>
      <w:r>
        <w:rPr>
          <w:rFonts w:hint="eastAsia" w:ascii="宋体" w:hAnsi="宋体" w:cs="宋体"/>
          <w:b w:val="0"/>
          <w:bCs w:val="0"/>
          <w:sz w:val="24"/>
          <w:szCs w:val="24"/>
          <w:highlight w:val="none"/>
          <w:lang w:val="en-US" w:eastAsia="zh-CN"/>
        </w:rPr>
        <w:t>或业务专用章</w:t>
      </w:r>
      <w:r>
        <w:rPr>
          <w:rFonts w:hint="eastAsia" w:ascii="宋体" w:hAnsi="宋体" w:eastAsia="宋体" w:cs="宋体"/>
          <w:b w:val="0"/>
          <w:bCs w:val="0"/>
          <w:sz w:val="24"/>
          <w:szCs w:val="24"/>
          <w:highlight w:val="none"/>
          <w:lang w:val="en-US" w:eastAsia="zh-CN"/>
        </w:rPr>
        <w:t>。依法不需要缴纳社会保障资金的供应商应提供相关文件证明；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eastAsia="宋体"/>
          <w:color w:val="000000" w:themeColor="text1"/>
          <w:kern w:val="0"/>
          <w:sz w:val="24"/>
          <w:highlight w:val="none"/>
          <w:lang w:eastAsia="zh-CN"/>
          <w14:textFill>
            <w14:solidFill>
              <w14:schemeClr w14:val="tx1"/>
            </w14:solidFill>
          </w14:textFill>
        </w:rPr>
      </w:pPr>
      <w:r>
        <w:rPr>
          <w:rFonts w:hint="eastAsia" w:ascii="宋体" w:hAnsi="宋体" w:eastAsia="宋体" w:cs="宋体"/>
          <w:b w:val="0"/>
          <w:bCs w:val="0"/>
          <w:sz w:val="24"/>
          <w:szCs w:val="24"/>
          <w:highlight w:val="none"/>
          <w:lang w:val="en-US" w:eastAsia="zh-CN"/>
        </w:rPr>
        <w:t>⑥出具参加本次政府采购活动前三年内在经营活动中没有重大违法记录的书面声明；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cs="Times New Roman"/>
          <w:color w:val="000000" w:themeColor="text1"/>
          <w:kern w:val="0"/>
          <w:sz w:val="24"/>
          <w:highlight w:val="none"/>
          <w14:textFill>
            <w14:solidFill>
              <w14:schemeClr w14:val="tx1"/>
            </w14:solidFill>
          </w14:textFill>
        </w:rPr>
      </w:pPr>
      <w:r>
        <w:rPr>
          <w:rFonts w:hint="eastAsia" w:ascii="宋体" w:hAnsi="宋体" w:cs="Times New Roman"/>
          <w:color w:val="000000" w:themeColor="text1"/>
          <w:kern w:val="0"/>
          <w:sz w:val="24"/>
          <w:highlight w:val="none"/>
          <w:lang w:val="en-US" w:eastAsia="zh-CN"/>
          <w14:textFill>
            <w14:solidFill>
              <w14:schemeClr w14:val="tx1"/>
            </w14:solidFill>
          </w14:textFill>
        </w:rPr>
        <w:t>1.4.2</w:t>
      </w:r>
      <w:r>
        <w:rPr>
          <w:rFonts w:hint="eastAsia" w:ascii="宋体" w:hAnsi="宋体" w:cs="Times New Roman"/>
          <w:color w:val="000000" w:themeColor="text1"/>
          <w:kern w:val="0"/>
          <w:sz w:val="24"/>
          <w:highlight w:val="none"/>
          <w14:textFill>
            <w14:solidFill>
              <w14:schemeClr w14:val="tx1"/>
            </w14:solidFill>
          </w14:textFill>
        </w:rPr>
        <w:t>特定资格条件：</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222222"/>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222222"/>
          <w:spacing w:val="0"/>
          <w:sz w:val="24"/>
          <w:szCs w:val="24"/>
          <w:highlight w:val="none"/>
          <w:shd w:val="clear" w:fill="FFFFFF"/>
          <w:lang w:eastAsia="zh-CN"/>
        </w:rPr>
        <w:t>①具备省级及以上教育行政部门颁发的办学许可证；</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222222"/>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222222"/>
          <w:spacing w:val="0"/>
          <w:sz w:val="24"/>
          <w:szCs w:val="24"/>
          <w:highlight w:val="none"/>
          <w:shd w:val="clear" w:fill="FFFFFF"/>
          <w:lang w:eastAsia="zh-CN"/>
        </w:rPr>
        <w:t>②法定代表人参加投标的提供法定代表人身份证明及身份证，委托代理人参加投标的提供授权委托书及委托代理人身份证，</w:t>
      </w:r>
      <w:r>
        <w:rPr>
          <w:rFonts w:hint="eastAsia" w:ascii="宋体" w:hAnsi="宋体"/>
          <w:kern w:val="0"/>
          <w:sz w:val="24"/>
          <w:highlight w:val="none"/>
        </w:rPr>
        <w:t>备注：分支机构由分支机构负责人授权即可</w:t>
      </w:r>
      <w:r>
        <w:rPr>
          <w:rFonts w:hint="eastAsia" w:asciiTheme="minorEastAsia" w:hAnsiTheme="minorEastAsia" w:eastAsiaTheme="minorEastAsia" w:cstheme="minorEastAsia"/>
          <w:i w:val="0"/>
          <w:iCs w:val="0"/>
          <w:caps w:val="0"/>
          <w:color w:val="222222"/>
          <w:spacing w:val="0"/>
          <w:sz w:val="24"/>
          <w:szCs w:val="24"/>
          <w:highlight w:val="none"/>
          <w:shd w:val="clear" w:fill="FFFFFF"/>
          <w:lang w:eastAsia="zh-CN"/>
        </w:rPr>
        <w:t>；</w:t>
      </w:r>
    </w:p>
    <w:p>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222222"/>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222222"/>
          <w:spacing w:val="0"/>
          <w:sz w:val="24"/>
          <w:szCs w:val="24"/>
          <w:highlight w:val="none"/>
          <w:shd w:val="clear" w:fill="FFFFFF"/>
          <w:lang w:eastAsia="zh-CN"/>
        </w:rPr>
        <w:t>③本项目不接受联合体投标（提供书面声明材料）</w:t>
      </w:r>
    </w:p>
    <w:p>
      <w:pPr>
        <w:pStyle w:val="36"/>
        <w:spacing w:before="0" w:beforeAutospacing="0" w:after="0" w:afterAutospacing="0" w:line="510" w:lineRule="atLeast"/>
        <w:ind w:firstLine="420"/>
        <w:rPr>
          <w:rFonts w:hint="eastAsia"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1.5 投标单位信用记录查询及使用：</w:t>
      </w:r>
    </w:p>
    <w:p>
      <w:pPr>
        <w:pStyle w:val="36"/>
        <w:spacing w:before="0" w:beforeAutospacing="0" w:after="0" w:afterAutospacing="0" w:line="510" w:lineRule="atLeast"/>
        <w:ind w:firstLine="420"/>
        <w:rPr>
          <w:rFonts w:hint="default" w:cs="宋体"/>
          <w:color w:val="000000" w:themeColor="text1"/>
          <w:highlight w:val="none"/>
          <w:lang w:val="en-US" w:eastAsia="zh-CN"/>
          <w14:textFill>
            <w14:solidFill>
              <w14:schemeClr w14:val="tx1"/>
            </w14:solidFill>
          </w14:textFill>
        </w:rPr>
      </w:pPr>
      <w:r>
        <w:rPr>
          <w:rFonts w:hint="default" w:cs="宋体"/>
          <w:color w:val="000000" w:themeColor="text1"/>
          <w:highlight w:val="none"/>
          <w:lang w:val="en-US" w:eastAsia="zh-CN"/>
          <w14:textFill>
            <w14:solidFill>
              <w14:schemeClr w14:val="tx1"/>
            </w14:solidFill>
          </w14:textFill>
        </w:rPr>
        <w:t>①查询渠道：投标单位通过“信用中国”网站(www.creditchina.gov.cn)、中国政府采购网(www.ccgp.gov.cn)等渠道查询相关主体信用记录；</w:t>
      </w:r>
    </w:p>
    <w:p>
      <w:pPr>
        <w:pStyle w:val="36"/>
        <w:spacing w:before="0" w:beforeAutospacing="0" w:after="0" w:afterAutospacing="0" w:line="510" w:lineRule="atLeast"/>
        <w:ind w:firstLine="420"/>
        <w:rPr>
          <w:rFonts w:hint="default" w:cs="宋体"/>
          <w:color w:val="000000" w:themeColor="text1"/>
          <w:highlight w:val="none"/>
          <w:lang w:val="en-US" w:eastAsia="zh-CN"/>
          <w14:textFill>
            <w14:solidFill>
              <w14:schemeClr w14:val="tx1"/>
            </w14:solidFill>
          </w14:textFill>
        </w:rPr>
      </w:pPr>
      <w:r>
        <w:rPr>
          <w:rFonts w:hint="default" w:cs="宋体"/>
          <w:color w:val="000000" w:themeColor="text1"/>
          <w:highlight w:val="none"/>
          <w:lang w:val="en-US" w:eastAsia="zh-CN"/>
          <w14:textFill>
            <w14:solidFill>
              <w14:schemeClr w14:val="tx1"/>
            </w14:solidFill>
          </w14:textFill>
        </w:rPr>
        <w:t>②查询截止时点：投标文件递交截止时间后 2 小时</w:t>
      </w:r>
      <w:r>
        <w:rPr>
          <w:rFonts w:hint="eastAsia" w:cs="宋体"/>
          <w:color w:val="000000" w:themeColor="text1"/>
          <w:highlight w:val="none"/>
          <w:lang w:val="en-US" w:eastAsia="zh-CN"/>
          <w14:textFill>
            <w14:solidFill>
              <w14:schemeClr w14:val="tx1"/>
            </w14:solidFill>
          </w14:textFill>
        </w:rPr>
        <w:t>内</w:t>
      </w:r>
      <w:r>
        <w:rPr>
          <w:rFonts w:hint="default" w:cs="宋体"/>
          <w:color w:val="000000" w:themeColor="text1"/>
          <w:highlight w:val="none"/>
          <w:lang w:val="en-US" w:eastAsia="zh-CN"/>
          <w14:textFill>
            <w14:solidFill>
              <w14:schemeClr w14:val="tx1"/>
            </w14:solidFill>
          </w14:textFill>
        </w:rPr>
        <w:t>；</w:t>
      </w:r>
    </w:p>
    <w:p>
      <w:pPr>
        <w:pStyle w:val="36"/>
        <w:spacing w:before="0" w:beforeAutospacing="0" w:after="0" w:afterAutospacing="0" w:line="510" w:lineRule="atLeast"/>
        <w:ind w:firstLine="420"/>
        <w:rPr>
          <w:rFonts w:hint="default" w:cs="宋体"/>
          <w:color w:val="000000" w:themeColor="text1"/>
          <w:highlight w:val="none"/>
          <w:lang w:val="en-US" w:eastAsia="zh-CN"/>
          <w14:textFill>
            <w14:solidFill>
              <w14:schemeClr w14:val="tx1"/>
            </w14:solidFill>
          </w14:textFill>
        </w:rPr>
      </w:pPr>
      <w:r>
        <w:rPr>
          <w:rFonts w:hint="default" w:cs="宋体"/>
          <w:color w:val="000000" w:themeColor="text1"/>
          <w:highlight w:val="none"/>
          <w:lang w:val="en-US" w:eastAsia="zh-CN"/>
          <w14:textFill>
            <w14:solidFill>
              <w14:schemeClr w14:val="tx1"/>
            </w14:solidFill>
          </w14:textFill>
        </w:rPr>
        <w:t>③查询记录和证据留存方式：（代理机构网站截图留存）；</w:t>
      </w:r>
    </w:p>
    <w:p>
      <w:pPr>
        <w:pStyle w:val="36"/>
        <w:spacing w:before="0" w:beforeAutospacing="0" w:after="0" w:afterAutospacing="0" w:line="510" w:lineRule="atLeast"/>
        <w:ind w:firstLine="420"/>
        <w:rPr>
          <w:rFonts w:hint="default" w:cs="宋体"/>
          <w:color w:val="000000" w:themeColor="text1"/>
          <w:highlight w:val="none"/>
          <w:lang w:val="en-US" w:eastAsia="zh-CN"/>
          <w14:textFill>
            <w14:solidFill>
              <w14:schemeClr w14:val="tx1"/>
            </w14:solidFill>
          </w14:textFill>
        </w:rPr>
      </w:pPr>
      <w:r>
        <w:rPr>
          <w:rFonts w:hint="default" w:cs="宋体"/>
          <w:color w:val="000000" w:themeColor="text1"/>
          <w:highlight w:val="none"/>
          <w:lang w:val="en-US" w:eastAsia="zh-CN"/>
          <w14:textFill>
            <w14:solidFill>
              <w14:schemeClr w14:val="tx1"/>
            </w14:solidFill>
          </w14:textFill>
        </w:rPr>
        <w:t>④使用规则：对列入失信被执行人、重大税收违法案件当事人名单</w:t>
      </w:r>
      <w:r>
        <w:rPr>
          <w:rFonts w:hint="eastAsia" w:cs="宋体"/>
          <w:color w:val="000000" w:themeColor="text1"/>
          <w:highlight w:val="none"/>
          <w:lang w:val="en-US" w:eastAsia="zh-CN"/>
          <w14:textFill>
            <w14:solidFill>
              <w14:schemeClr w14:val="tx1"/>
            </w14:solidFill>
          </w14:textFill>
        </w:rPr>
        <w:t>（重大税收违法失信主体）</w:t>
      </w:r>
      <w:r>
        <w:rPr>
          <w:rFonts w:hint="default" w:cs="宋体"/>
          <w:color w:val="000000" w:themeColor="text1"/>
          <w:highlight w:val="none"/>
          <w:lang w:val="en-US" w:eastAsia="zh-CN"/>
          <w14:textFill>
            <w14:solidFill>
              <w14:schemeClr w14:val="tx1"/>
            </w14:solidFill>
          </w14:textFill>
        </w:rPr>
        <w:t>、政府采购严重违法失信行为记录名单的投标单位，其投标无效；</w:t>
      </w:r>
    </w:p>
    <w:p>
      <w:pPr>
        <w:pStyle w:val="36"/>
        <w:spacing w:before="0" w:beforeAutospacing="0" w:after="0" w:afterAutospacing="0" w:line="510" w:lineRule="atLeast"/>
        <w:ind w:firstLine="420"/>
        <w:rPr>
          <w:rFonts w:hint="default"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1.5.1</w:t>
      </w:r>
      <w:r>
        <w:rPr>
          <w:rFonts w:hint="default" w:cs="宋体"/>
          <w:color w:val="000000" w:themeColor="text1"/>
          <w:highlight w:val="none"/>
          <w:lang w:val="en-US" w:eastAsia="zh-CN"/>
          <w14:textFill>
            <w14:solidFill>
              <w14:schemeClr w14:val="tx1"/>
            </w14:solidFill>
          </w14:textFill>
        </w:rPr>
        <w:t>特别说明：</w:t>
      </w:r>
    </w:p>
    <w:p>
      <w:pPr>
        <w:pStyle w:val="36"/>
        <w:spacing w:before="0" w:beforeAutospacing="0" w:after="0" w:afterAutospacing="0" w:line="510" w:lineRule="atLeast"/>
        <w:ind w:firstLine="420"/>
        <w:rPr>
          <w:rFonts w:hint="default" w:cs="宋体"/>
          <w:color w:val="000000" w:themeColor="text1"/>
          <w:highlight w:val="none"/>
          <w:lang w:val="en-US" w:eastAsia="zh-CN"/>
          <w14:textFill>
            <w14:solidFill>
              <w14:schemeClr w14:val="tx1"/>
            </w14:solidFill>
          </w14:textFill>
        </w:rPr>
      </w:pPr>
      <w:r>
        <w:rPr>
          <w:rFonts w:hint="default" w:cs="宋体"/>
          <w:color w:val="000000" w:themeColor="text1"/>
          <w:highlight w:val="none"/>
          <w:lang w:val="en-US" w:eastAsia="zh-CN"/>
          <w14:textFill>
            <w14:solidFill>
              <w14:schemeClr w14:val="tx1"/>
            </w14:solidFill>
          </w14:textFill>
        </w:rPr>
        <w:t>①投标单位如在中标通知书发出前出现违法失信行为，采购人仍有权利提请评标委员会取消其中标资格；</w:t>
      </w:r>
    </w:p>
    <w:p>
      <w:pPr>
        <w:pStyle w:val="36"/>
        <w:spacing w:before="0" w:beforeAutospacing="0" w:after="0" w:afterAutospacing="0" w:line="510" w:lineRule="atLeast"/>
        <w:ind w:firstLine="420"/>
        <w:rPr>
          <w:rFonts w:hint="default" w:cs="宋体"/>
          <w:color w:val="000000" w:themeColor="text1"/>
          <w:highlight w:val="none"/>
          <w:lang w:val="en-US" w:eastAsia="zh-CN"/>
          <w14:textFill>
            <w14:solidFill>
              <w14:schemeClr w14:val="tx1"/>
            </w14:solidFill>
          </w14:textFill>
        </w:rPr>
      </w:pPr>
      <w:r>
        <w:rPr>
          <w:rFonts w:hint="default" w:cs="宋体"/>
          <w:color w:val="000000" w:themeColor="text1"/>
          <w:highlight w:val="none"/>
          <w:lang w:val="en-US" w:eastAsia="zh-CN"/>
          <w14:textFill>
            <w14:solidFill>
              <w14:schemeClr w14:val="tx1"/>
            </w14:solidFill>
          </w14:textFill>
        </w:rPr>
        <w:t>②投标单位在投标文件中已出具的信用查询结果并不能取代采购人或采购代理机构在开标前进行复查。</w:t>
      </w:r>
    </w:p>
    <w:p>
      <w:pPr>
        <w:spacing w:line="348" w:lineRule="auto"/>
        <w:ind w:firstLine="470" w:firstLineChars="196"/>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bookmarkStart w:id="49" w:name="_Toc152045535"/>
      <w:bookmarkStart w:id="50" w:name="_Toc152042311"/>
      <w:bookmarkStart w:id="51" w:name="_Toc144974503"/>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费用承担</w:t>
      </w:r>
      <w:bookmarkEnd w:id="46"/>
      <w:bookmarkEnd w:id="47"/>
      <w:bookmarkEnd w:id="48"/>
    </w:p>
    <w:bookmarkEnd w:id="49"/>
    <w:bookmarkEnd w:id="50"/>
    <w:bookmarkEnd w:id="51"/>
    <w:p>
      <w:pPr>
        <w:spacing w:line="348" w:lineRule="auto"/>
        <w:ind w:firstLine="470" w:firstLineChars="196"/>
        <w:rPr>
          <w:rFonts w:hint="eastAsia" w:ascii="宋体" w:hAnsi="宋体" w:cs="宋体"/>
          <w:color w:val="000000" w:themeColor="text1"/>
          <w:sz w:val="24"/>
          <w:highlight w:val="none"/>
          <w14:textFill>
            <w14:solidFill>
              <w14:schemeClr w14:val="tx1"/>
            </w14:solidFill>
          </w14:textFill>
        </w:rPr>
      </w:pPr>
      <w:bookmarkStart w:id="52" w:name="_Toc339114115"/>
      <w:bookmarkStart w:id="53" w:name="_Toc339012132"/>
      <w:bookmarkStart w:id="54" w:name="_Toc331665294"/>
      <w:r>
        <w:rPr>
          <w:rFonts w:hint="eastAsia" w:ascii="宋体" w:hAnsi="宋体" w:cs="宋体"/>
          <w:color w:val="000000" w:themeColor="text1"/>
          <w:sz w:val="24"/>
          <w:highlight w:val="none"/>
          <w14:textFill>
            <w14:solidFill>
              <w14:schemeClr w14:val="tx1"/>
            </w14:solidFill>
          </w14:textFill>
        </w:rPr>
        <w:t>无论投标的结果如何，</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自行承担参加投标相关的全部费用。</w:t>
      </w:r>
    </w:p>
    <w:p>
      <w:pPr>
        <w:spacing w:line="348" w:lineRule="auto"/>
        <w:ind w:firstLine="470" w:firstLineChars="196"/>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ascii="宋体" w:hAnsi="宋体" w:cs="宋体"/>
          <w:color w:val="000000" w:themeColor="text1"/>
          <w:sz w:val="24"/>
          <w:highlight w:val="none"/>
          <w14:textFill>
            <w14:solidFill>
              <w14:schemeClr w14:val="tx1"/>
            </w14:solidFill>
          </w14:textFill>
        </w:rPr>
        <w:t xml:space="preserve"> </w:t>
      </w:r>
      <w:bookmarkStart w:id="55" w:name="_Toc152045536"/>
      <w:bookmarkStart w:id="56" w:name="_Toc144974504"/>
      <w:bookmarkStart w:id="57" w:name="_Toc152042312"/>
      <w:r>
        <w:rPr>
          <w:rFonts w:hint="eastAsia" w:ascii="宋体" w:hAnsi="宋体" w:cs="宋体"/>
          <w:color w:val="000000" w:themeColor="text1"/>
          <w:sz w:val="24"/>
          <w:highlight w:val="none"/>
          <w14:textFill>
            <w14:solidFill>
              <w14:schemeClr w14:val="tx1"/>
            </w14:solidFill>
          </w14:textFill>
        </w:rPr>
        <w:t>保密</w:t>
      </w:r>
      <w:bookmarkEnd w:id="52"/>
      <w:bookmarkEnd w:id="53"/>
      <w:bookmarkEnd w:id="54"/>
    </w:p>
    <w:p>
      <w:pPr>
        <w:spacing w:line="348"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参与招</w:t>
      </w:r>
      <w:bookmarkEnd w:id="55"/>
      <w:bookmarkEnd w:id="56"/>
      <w:bookmarkEnd w:id="57"/>
      <w:r>
        <w:rPr>
          <w:rFonts w:hint="eastAsia" w:ascii="宋体" w:hAnsi="宋体"/>
          <w:color w:val="000000" w:themeColor="text1"/>
          <w:sz w:val="24"/>
          <w:highlight w:val="none"/>
          <w14:textFill>
            <w14:solidFill>
              <w14:schemeClr w14:val="tx1"/>
            </w14:solidFill>
          </w14:textFill>
        </w:rPr>
        <w:t>标投标活动的各方应对招标文件和投标文件中的商业和技术等秘密保密，违者应对由此造成的后果承担法律责任。</w:t>
      </w:r>
      <w:r>
        <w:rPr>
          <w:rFonts w:ascii="宋体" w:hAnsi="宋体"/>
          <w:color w:val="000000" w:themeColor="text1"/>
          <w:sz w:val="24"/>
          <w:highlight w:val="none"/>
          <w14:textFill>
            <w14:solidFill>
              <w14:schemeClr w14:val="tx1"/>
            </w14:solidFill>
          </w14:textFill>
        </w:rPr>
        <w:t xml:space="preserve"> </w:t>
      </w:r>
    </w:p>
    <w:p>
      <w:pPr>
        <w:spacing w:line="348" w:lineRule="auto"/>
        <w:ind w:firstLine="470" w:firstLineChars="196"/>
        <w:rPr>
          <w:rFonts w:ascii="宋体" w:cs="宋体"/>
          <w:color w:val="000000" w:themeColor="text1"/>
          <w:sz w:val="24"/>
          <w:highlight w:val="none"/>
          <w14:textFill>
            <w14:solidFill>
              <w14:schemeClr w14:val="tx1"/>
            </w14:solidFill>
          </w14:textFill>
        </w:rPr>
      </w:pPr>
      <w:bookmarkStart w:id="58" w:name="_Toc331665295"/>
      <w:bookmarkStart w:id="59" w:name="_Toc339114116"/>
      <w:bookmarkStart w:id="60" w:name="_Toc339012133"/>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8</w:t>
      </w:r>
      <w:r>
        <w:rPr>
          <w:rFonts w:ascii="宋体" w:hAnsi="宋体" w:cs="宋体"/>
          <w:color w:val="000000" w:themeColor="text1"/>
          <w:sz w:val="24"/>
          <w:highlight w:val="none"/>
          <w14:textFill>
            <w14:solidFill>
              <w14:schemeClr w14:val="tx1"/>
            </w14:solidFill>
          </w14:textFill>
        </w:rPr>
        <w:t xml:space="preserve"> </w:t>
      </w:r>
      <w:bookmarkStart w:id="61" w:name="_Toc144974505"/>
      <w:bookmarkStart w:id="62" w:name="_Toc152042313"/>
      <w:bookmarkStart w:id="63" w:name="_Toc152045537"/>
      <w:r>
        <w:rPr>
          <w:rFonts w:hint="eastAsia" w:ascii="宋体" w:hAnsi="宋体" w:cs="宋体"/>
          <w:color w:val="000000" w:themeColor="text1"/>
          <w:sz w:val="24"/>
          <w:highlight w:val="none"/>
          <w14:textFill>
            <w14:solidFill>
              <w14:schemeClr w14:val="tx1"/>
            </w14:solidFill>
          </w14:textFill>
        </w:rPr>
        <w:t>语言文字</w:t>
      </w:r>
      <w:bookmarkEnd w:id="58"/>
      <w:bookmarkEnd w:id="59"/>
      <w:bookmarkEnd w:id="60"/>
    </w:p>
    <w:p>
      <w:pPr>
        <w:spacing w:line="348"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除</w:t>
      </w:r>
      <w:bookmarkEnd w:id="61"/>
      <w:r>
        <w:rPr>
          <w:rFonts w:hint="eastAsia" w:ascii="宋体" w:hAnsi="宋体"/>
          <w:color w:val="000000" w:themeColor="text1"/>
          <w:sz w:val="24"/>
          <w:highlight w:val="none"/>
          <w14:textFill>
            <w14:solidFill>
              <w14:schemeClr w14:val="tx1"/>
            </w14:solidFill>
          </w14:textFill>
        </w:rPr>
        <w:t>专用</w:t>
      </w:r>
      <w:bookmarkEnd w:id="62"/>
      <w:bookmarkEnd w:id="63"/>
      <w:r>
        <w:rPr>
          <w:rFonts w:hint="eastAsia" w:ascii="宋体" w:hAnsi="宋体"/>
          <w:color w:val="000000" w:themeColor="text1"/>
          <w:sz w:val="24"/>
          <w:highlight w:val="none"/>
          <w14:textFill>
            <w14:solidFill>
              <w14:schemeClr w14:val="tx1"/>
            </w14:solidFill>
          </w14:textFill>
        </w:rPr>
        <w:t>术语外，与招标投标有关的语言均使用中文。必要时专用术语应附有中文注释。</w:t>
      </w:r>
    </w:p>
    <w:p>
      <w:pPr>
        <w:spacing w:line="348" w:lineRule="auto"/>
        <w:ind w:firstLine="470" w:firstLineChars="196"/>
        <w:rPr>
          <w:rFonts w:ascii="宋体" w:cs="宋体"/>
          <w:color w:val="000000" w:themeColor="text1"/>
          <w:sz w:val="24"/>
          <w:highlight w:val="none"/>
          <w14:textFill>
            <w14:solidFill>
              <w14:schemeClr w14:val="tx1"/>
            </w14:solidFill>
          </w14:textFill>
        </w:rPr>
      </w:pPr>
      <w:bookmarkStart w:id="64" w:name="_Toc331665296"/>
      <w:bookmarkStart w:id="65" w:name="_Toc339114117"/>
      <w:bookmarkStart w:id="66" w:name="_Toc339012134"/>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9</w:t>
      </w:r>
      <w:r>
        <w:rPr>
          <w:rFonts w:ascii="宋体" w:hAnsi="宋体" w:cs="宋体"/>
          <w:color w:val="000000" w:themeColor="text1"/>
          <w:sz w:val="24"/>
          <w:highlight w:val="none"/>
          <w14:textFill>
            <w14:solidFill>
              <w14:schemeClr w14:val="tx1"/>
            </w14:solidFill>
          </w14:textFill>
        </w:rPr>
        <w:t xml:space="preserve"> </w:t>
      </w:r>
      <w:bookmarkStart w:id="67" w:name="_Toc152042314"/>
      <w:bookmarkStart w:id="68" w:name="_Toc144974506"/>
      <w:bookmarkStart w:id="69" w:name="_Toc152045538"/>
      <w:r>
        <w:rPr>
          <w:rFonts w:hint="eastAsia" w:ascii="宋体" w:hAnsi="宋体" w:cs="宋体"/>
          <w:color w:val="000000" w:themeColor="text1"/>
          <w:sz w:val="24"/>
          <w:highlight w:val="none"/>
          <w14:textFill>
            <w14:solidFill>
              <w14:schemeClr w14:val="tx1"/>
            </w14:solidFill>
          </w14:textFill>
        </w:rPr>
        <w:t>计量单位</w:t>
      </w:r>
      <w:bookmarkEnd w:id="64"/>
      <w:bookmarkEnd w:id="65"/>
      <w:bookmarkEnd w:id="66"/>
    </w:p>
    <w:p>
      <w:pPr>
        <w:spacing w:line="348"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所有计</w:t>
      </w:r>
      <w:bookmarkEnd w:id="67"/>
      <w:bookmarkEnd w:id="68"/>
      <w:bookmarkEnd w:id="69"/>
      <w:r>
        <w:rPr>
          <w:rFonts w:hint="eastAsia" w:ascii="宋体" w:hAnsi="宋体"/>
          <w:color w:val="000000" w:themeColor="text1"/>
          <w:sz w:val="24"/>
          <w:highlight w:val="none"/>
          <w14:textFill>
            <w14:solidFill>
              <w14:schemeClr w14:val="tx1"/>
            </w14:solidFill>
          </w14:textFill>
        </w:rPr>
        <w:t>量均采用中华人民共和国法定计量单位。</w:t>
      </w:r>
    </w:p>
    <w:p>
      <w:pPr>
        <w:spacing w:line="348" w:lineRule="auto"/>
        <w:ind w:firstLine="470" w:firstLineChars="196"/>
        <w:rPr>
          <w:rFonts w:ascii="宋体" w:cs="宋体"/>
          <w:color w:val="000000" w:themeColor="text1"/>
          <w:sz w:val="24"/>
          <w:highlight w:val="none"/>
          <w14:textFill>
            <w14:solidFill>
              <w14:schemeClr w14:val="tx1"/>
            </w14:solidFill>
          </w14:textFill>
        </w:rPr>
      </w:pPr>
      <w:bookmarkStart w:id="70" w:name="_Toc331665297"/>
      <w:bookmarkStart w:id="71" w:name="_Toc339012135"/>
      <w:bookmarkStart w:id="72" w:name="_Toc339114118"/>
      <w:r>
        <w:rPr>
          <w:rFonts w:hint="eastAsia" w:ascii="宋体" w:hAnsi="宋体" w:cs="宋体"/>
          <w:color w:val="000000" w:themeColor="text1"/>
          <w:sz w:val="24"/>
          <w:highlight w:val="none"/>
          <w:lang w:val="en-US" w:eastAsia="zh-CN"/>
          <w14:textFill>
            <w14:solidFill>
              <w14:schemeClr w14:val="tx1"/>
            </w14:solidFill>
          </w14:textFill>
        </w:rPr>
        <w:t>1.10.</w:t>
      </w:r>
      <w:r>
        <w:rPr>
          <w:rFonts w:ascii="宋体" w:hAnsi="宋体" w:cs="宋体"/>
          <w:color w:val="000000" w:themeColor="text1"/>
          <w:sz w:val="24"/>
          <w:highlight w:val="none"/>
          <w14:textFill>
            <w14:solidFill>
              <w14:schemeClr w14:val="tx1"/>
            </w14:solidFill>
          </w14:textFill>
        </w:rPr>
        <w:t xml:space="preserve"> </w:t>
      </w:r>
      <w:bookmarkStart w:id="73" w:name="_Toc144974507"/>
      <w:bookmarkStart w:id="74" w:name="_Toc152045539"/>
      <w:bookmarkStart w:id="75" w:name="_Toc152042315"/>
      <w:r>
        <w:rPr>
          <w:rFonts w:hint="eastAsia" w:ascii="宋体" w:hAnsi="宋体" w:cs="宋体"/>
          <w:color w:val="000000" w:themeColor="text1"/>
          <w:sz w:val="24"/>
          <w:highlight w:val="none"/>
          <w14:textFill>
            <w14:solidFill>
              <w14:schemeClr w14:val="tx1"/>
            </w14:solidFill>
          </w14:textFill>
        </w:rPr>
        <w:t>踏勘现场</w:t>
      </w:r>
      <w:bookmarkEnd w:id="70"/>
      <w:bookmarkEnd w:id="71"/>
      <w:bookmarkEnd w:id="72"/>
    </w:p>
    <w:bookmarkEnd w:id="73"/>
    <w:bookmarkEnd w:id="74"/>
    <w:bookmarkEnd w:id="75"/>
    <w:p>
      <w:pPr>
        <w:spacing w:line="348" w:lineRule="auto"/>
        <w:ind w:firstLine="470" w:firstLineChars="196"/>
        <w:rPr>
          <w:rFonts w:ascii="宋体" w:hAnsi="宋体"/>
          <w:color w:val="000000" w:themeColor="text1"/>
          <w:sz w:val="24"/>
          <w:highlight w:val="none"/>
          <w14:textFill>
            <w14:solidFill>
              <w14:schemeClr w14:val="tx1"/>
            </w14:solidFill>
          </w14:textFill>
        </w:rPr>
      </w:pPr>
      <w:bookmarkStart w:id="76" w:name="_Toc339114119"/>
      <w:bookmarkStart w:id="77" w:name="_Toc339012136"/>
      <w:bookmarkStart w:id="78" w:name="_Toc331665298"/>
      <w:r>
        <w:rPr>
          <w:rFonts w:hint="eastAsia" w:ascii="宋体" w:hAnsi="宋体"/>
          <w:color w:val="000000" w:themeColor="text1"/>
          <w:sz w:val="24"/>
          <w:highlight w:val="none"/>
          <w14:textFill>
            <w14:solidFill>
              <w14:schemeClr w14:val="tx1"/>
            </w14:solidFill>
          </w14:textFill>
        </w:rPr>
        <w:t>/</w:t>
      </w:r>
    </w:p>
    <w:p>
      <w:pPr>
        <w:spacing w:line="348" w:lineRule="auto"/>
        <w:ind w:firstLine="470" w:firstLineChars="196"/>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1.1</w:t>
      </w:r>
      <w:bookmarkStart w:id="79" w:name="_Toc152045540"/>
      <w:bookmarkStart w:id="80" w:name="_Toc152042316"/>
      <w:bookmarkStart w:id="81" w:name="_Toc144974508"/>
      <w:r>
        <w:rPr>
          <w:rFonts w:hint="eastAsia" w:ascii="宋体" w:hAnsi="宋体" w:cs="宋体"/>
          <w:color w:val="000000" w:themeColor="text1"/>
          <w:sz w:val="24"/>
          <w:highlight w:val="none"/>
          <w:lang w:val="en-US" w:eastAsia="zh-CN"/>
          <w14:textFill>
            <w14:solidFill>
              <w14:schemeClr w14:val="tx1"/>
            </w14:solidFill>
          </w14:textFill>
        </w:rPr>
        <w:t>1</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投标预备会</w:t>
      </w:r>
      <w:bookmarkEnd w:id="76"/>
      <w:bookmarkEnd w:id="77"/>
      <w:bookmarkEnd w:id="78"/>
    </w:p>
    <w:p>
      <w:pPr>
        <w:spacing w:line="348"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本项目不召开</w:t>
      </w:r>
      <w:bookmarkEnd w:id="79"/>
      <w:bookmarkEnd w:id="80"/>
      <w:bookmarkEnd w:id="81"/>
      <w:r>
        <w:rPr>
          <w:rFonts w:hint="eastAsia" w:ascii="宋体" w:hAnsi="宋体"/>
          <w:color w:val="000000" w:themeColor="text1"/>
          <w:sz w:val="24"/>
          <w:highlight w:val="none"/>
          <w14:textFill>
            <w14:solidFill>
              <w14:schemeClr w14:val="tx1"/>
            </w14:solidFill>
          </w14:textFill>
        </w:rPr>
        <w:t>投标预备会。供应商如有疑问，请以书面形式在投标须知前附表规定的时间内提交给采购代理机构。</w:t>
      </w:r>
      <w:r>
        <w:rPr>
          <w:rFonts w:ascii="宋体" w:hAnsi="宋体"/>
          <w:color w:val="000000" w:themeColor="text1"/>
          <w:sz w:val="24"/>
          <w:highlight w:val="none"/>
          <w14:textFill>
            <w14:solidFill>
              <w14:schemeClr w14:val="tx1"/>
            </w14:solidFill>
          </w14:textFill>
        </w:rPr>
        <w:t xml:space="preserve"> </w:t>
      </w:r>
    </w:p>
    <w:p>
      <w:pPr>
        <w:spacing w:line="348" w:lineRule="auto"/>
        <w:ind w:firstLine="470" w:firstLineChars="196"/>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1.1</w:t>
      </w:r>
      <w:r>
        <w:rPr>
          <w:rFonts w:hint="eastAsia" w:ascii="宋体" w:hAnsi="宋体" w:cs="宋体"/>
          <w:color w:val="000000" w:themeColor="text1"/>
          <w:sz w:val="24"/>
          <w:highlight w:val="none"/>
          <w:lang w:val="en-US" w:eastAsia="zh-CN"/>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联合体投标</w:t>
      </w:r>
    </w:p>
    <w:p>
      <w:pPr>
        <w:spacing w:line="348"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本项目不允许分包联合体投标。</w:t>
      </w:r>
    </w:p>
    <w:p>
      <w:pPr>
        <w:spacing w:line="348" w:lineRule="auto"/>
        <w:ind w:firstLine="470" w:firstLineChars="196"/>
        <w:rPr>
          <w:rFonts w:ascii="宋体" w:cs="宋体"/>
          <w:color w:val="000000" w:themeColor="text1"/>
          <w:sz w:val="24"/>
          <w:highlight w:val="none"/>
          <w14:textFill>
            <w14:solidFill>
              <w14:schemeClr w14:val="tx1"/>
            </w14:solidFill>
          </w14:textFill>
        </w:rPr>
      </w:pPr>
      <w:bookmarkStart w:id="82" w:name="_Toc331665299"/>
      <w:bookmarkStart w:id="83" w:name="_Toc339012137"/>
      <w:bookmarkStart w:id="84" w:name="_Toc339114120"/>
      <w:r>
        <w:rPr>
          <w:rFonts w:ascii="宋体" w:hAnsi="宋体" w:cs="宋体"/>
          <w:color w:val="000000" w:themeColor="text1"/>
          <w:sz w:val="24"/>
          <w:highlight w:val="none"/>
          <w14:textFill>
            <w14:solidFill>
              <w14:schemeClr w14:val="tx1"/>
            </w14:solidFill>
          </w14:textFill>
        </w:rPr>
        <w:t>1.1</w:t>
      </w:r>
      <w:bookmarkStart w:id="85" w:name="_Toc144974509"/>
      <w:bookmarkStart w:id="86" w:name="_Toc152045541"/>
      <w:bookmarkStart w:id="87" w:name="_Toc152042317"/>
      <w:r>
        <w:rPr>
          <w:rFonts w:hint="eastAsia" w:ascii="宋体" w:hAnsi="宋体" w:cs="宋体"/>
          <w:color w:val="000000" w:themeColor="text1"/>
          <w:sz w:val="24"/>
          <w:highlight w:val="none"/>
          <w:lang w:val="en-US" w:eastAsia="zh-CN"/>
          <w14:textFill>
            <w14:solidFill>
              <w14:schemeClr w14:val="tx1"/>
            </w14:solidFill>
          </w14:textFill>
        </w:rPr>
        <w:t>3</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分包</w:t>
      </w:r>
      <w:bookmarkEnd w:id="82"/>
      <w:bookmarkEnd w:id="83"/>
      <w:bookmarkEnd w:id="84"/>
    </w:p>
    <w:bookmarkEnd w:id="85"/>
    <w:bookmarkEnd w:id="86"/>
    <w:bookmarkEnd w:id="87"/>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本项目不允许分包。</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88" w:name="_Toc339012138"/>
      <w:bookmarkStart w:id="89" w:name="_Toc331665300"/>
      <w:bookmarkStart w:id="90" w:name="_Toc339114121"/>
      <w:r>
        <w:rPr>
          <w:rFonts w:ascii="宋体" w:hAnsi="宋体" w:cs="宋体"/>
          <w:color w:val="000000" w:themeColor="text1"/>
          <w:sz w:val="24"/>
          <w:highlight w:val="none"/>
          <w14:textFill>
            <w14:solidFill>
              <w14:schemeClr w14:val="tx1"/>
            </w14:solidFill>
          </w14:textFill>
        </w:rPr>
        <w:t>1.1</w:t>
      </w:r>
      <w:r>
        <w:rPr>
          <w:rFonts w:hint="eastAsia" w:ascii="宋体" w:hAnsi="宋体" w:cs="宋体"/>
          <w:color w:val="000000" w:themeColor="text1"/>
          <w:sz w:val="24"/>
          <w:highlight w:val="none"/>
          <w:lang w:val="en-US" w:eastAsia="zh-CN"/>
          <w14:textFill>
            <w14:solidFill>
              <w14:schemeClr w14:val="tx1"/>
            </w14:solidFill>
          </w14:textFill>
        </w:rPr>
        <w:t>4</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偏离</w:t>
      </w:r>
      <w:bookmarkEnd w:id="88"/>
      <w:bookmarkEnd w:id="89"/>
      <w:bookmarkEnd w:id="90"/>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本项目不允许负偏离。</w:t>
      </w:r>
    </w:p>
    <w:p>
      <w:pPr>
        <w:spacing w:line="360" w:lineRule="auto"/>
        <w:rPr>
          <w:rFonts w:ascii="宋体" w:cs="宋体"/>
          <w:b/>
          <w:color w:val="000000" w:themeColor="text1"/>
          <w:sz w:val="24"/>
          <w:highlight w:val="none"/>
          <w14:textFill>
            <w14:solidFill>
              <w14:schemeClr w14:val="tx1"/>
            </w14:solidFill>
          </w14:textFill>
        </w:rPr>
      </w:pPr>
      <w:bookmarkStart w:id="91" w:name="_Toc339114122"/>
      <w:r>
        <w:rPr>
          <w:rFonts w:ascii="宋体" w:hAnsi="宋体" w:cs="宋体"/>
          <w:b/>
          <w:color w:val="000000" w:themeColor="text1"/>
          <w:sz w:val="24"/>
          <w:highlight w:val="none"/>
          <w14:textFill>
            <w14:solidFill>
              <w14:schemeClr w14:val="tx1"/>
            </w14:solidFill>
          </w14:textFill>
        </w:rPr>
        <w:t xml:space="preserve">2. </w:t>
      </w:r>
      <w:r>
        <w:rPr>
          <w:rFonts w:hint="eastAsia" w:ascii="宋体" w:hAnsi="宋体" w:cs="宋体"/>
          <w:b/>
          <w:color w:val="000000" w:themeColor="text1"/>
          <w:sz w:val="24"/>
          <w:highlight w:val="none"/>
          <w14:textFill>
            <w14:solidFill>
              <w14:schemeClr w14:val="tx1"/>
            </w14:solidFill>
          </w14:textFill>
        </w:rPr>
        <w:t>招</w:t>
      </w:r>
      <w:bookmarkStart w:id="92" w:name="_Toc144974510"/>
      <w:bookmarkStart w:id="93" w:name="_Toc152045542"/>
      <w:bookmarkStart w:id="94" w:name="_Toc152042318"/>
      <w:r>
        <w:rPr>
          <w:rFonts w:hint="eastAsia" w:ascii="宋体" w:hAnsi="宋体" w:cs="宋体"/>
          <w:b/>
          <w:color w:val="000000" w:themeColor="text1"/>
          <w:sz w:val="24"/>
          <w:highlight w:val="none"/>
          <w14:textFill>
            <w14:solidFill>
              <w14:schemeClr w14:val="tx1"/>
            </w14:solidFill>
          </w14:textFill>
        </w:rPr>
        <w:t>标文件</w:t>
      </w:r>
      <w:bookmarkEnd w:id="91"/>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95" w:name="_Toc339012140"/>
      <w:bookmarkStart w:id="96" w:name="_Toc339114123"/>
      <w:bookmarkStart w:id="97" w:name="_Toc331665302"/>
      <w:r>
        <w:rPr>
          <w:rFonts w:ascii="宋体" w:hAnsi="宋体" w:cs="宋体"/>
          <w:color w:val="000000" w:themeColor="text1"/>
          <w:sz w:val="24"/>
          <w:highlight w:val="none"/>
          <w14:textFill>
            <w14:solidFill>
              <w14:schemeClr w14:val="tx1"/>
            </w14:solidFill>
          </w14:textFill>
        </w:rPr>
        <w:t>2.1</w:t>
      </w:r>
      <w:bookmarkEnd w:id="92"/>
      <w:bookmarkEnd w:id="93"/>
      <w:bookmarkEnd w:id="94"/>
      <w:r>
        <w:rPr>
          <w:rFonts w:ascii="宋体" w:hAnsi="宋体" w:cs="宋体"/>
          <w:color w:val="000000" w:themeColor="text1"/>
          <w:sz w:val="24"/>
          <w:highlight w:val="none"/>
          <w14:textFill>
            <w14:solidFill>
              <w14:schemeClr w14:val="tx1"/>
            </w14:solidFill>
          </w14:textFill>
        </w:rPr>
        <w:t xml:space="preserve"> </w:t>
      </w:r>
      <w:bookmarkStart w:id="98" w:name="_Toc152045543"/>
      <w:bookmarkStart w:id="99" w:name="_Toc144974511"/>
      <w:bookmarkStart w:id="100" w:name="_Toc152042319"/>
      <w:r>
        <w:rPr>
          <w:rFonts w:hint="eastAsia" w:ascii="宋体" w:hAnsi="宋体" w:cs="宋体"/>
          <w:color w:val="000000" w:themeColor="text1"/>
          <w:sz w:val="24"/>
          <w:highlight w:val="none"/>
          <w14:textFill>
            <w14:solidFill>
              <w14:schemeClr w14:val="tx1"/>
            </w14:solidFill>
          </w14:textFill>
        </w:rPr>
        <w:t>招标文件的组成</w:t>
      </w:r>
      <w:bookmarkEnd w:id="95"/>
      <w:bookmarkEnd w:id="96"/>
      <w:bookmarkEnd w:id="97"/>
      <w:bookmarkEnd w:id="98"/>
      <w:bookmarkEnd w:id="99"/>
      <w:bookmarkEnd w:id="100"/>
    </w:p>
    <w:p>
      <w:pPr>
        <w:spacing w:line="360" w:lineRule="auto"/>
        <w:ind w:firstLine="470" w:firstLineChars="196"/>
        <w:rPr>
          <w:rFonts w:ascii="宋体" w:cs="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2.1.1</w:t>
      </w:r>
      <w:r>
        <w:rPr>
          <w:rFonts w:hint="eastAsia" w:ascii="宋体" w:hAnsi="宋体"/>
          <w:color w:val="000000" w:themeColor="text1"/>
          <w:sz w:val="24"/>
          <w:highlight w:val="none"/>
          <w14:textFill>
            <w14:solidFill>
              <w14:schemeClr w14:val="tx1"/>
            </w14:solidFill>
          </w14:textFill>
        </w:rPr>
        <w:t>招标公告；</w:t>
      </w:r>
    </w:p>
    <w:p>
      <w:pPr>
        <w:spacing w:line="360" w:lineRule="auto"/>
        <w:ind w:firstLine="470" w:firstLineChars="196"/>
        <w:rPr>
          <w:rFonts w:ascii="宋体" w:cs="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2.1.2</w:t>
      </w:r>
      <w:r>
        <w:rPr>
          <w:rFonts w:hint="eastAsia" w:ascii="宋体" w:hAnsi="宋体"/>
          <w:color w:val="000000" w:themeColor="text1"/>
          <w:sz w:val="24"/>
          <w:highlight w:val="none"/>
          <w14:textFill>
            <w14:solidFill>
              <w14:schemeClr w14:val="tx1"/>
            </w14:solidFill>
          </w14:textFill>
        </w:rPr>
        <w:t>供应商须知；</w:t>
      </w:r>
    </w:p>
    <w:p>
      <w:pPr>
        <w:spacing w:line="360" w:lineRule="auto"/>
        <w:ind w:firstLine="470" w:firstLineChars="196"/>
        <w:rPr>
          <w:rFonts w:ascii="宋体" w:cs="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2.1.3</w:t>
      </w:r>
      <w:r>
        <w:rPr>
          <w:rFonts w:hint="eastAsia" w:ascii="宋体" w:hAnsi="宋体"/>
          <w:color w:val="000000" w:themeColor="text1"/>
          <w:sz w:val="24"/>
          <w:highlight w:val="none"/>
          <w14:textFill>
            <w14:solidFill>
              <w14:schemeClr w14:val="tx1"/>
            </w14:solidFill>
          </w14:textFill>
        </w:rPr>
        <w:t>评标办法；</w:t>
      </w:r>
    </w:p>
    <w:p>
      <w:pPr>
        <w:spacing w:line="360" w:lineRule="auto"/>
        <w:ind w:firstLine="470" w:firstLineChars="196"/>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2.1.4</w:t>
      </w:r>
      <w:r>
        <w:rPr>
          <w:rFonts w:hint="eastAsia" w:ascii="宋体" w:hAnsi="宋体"/>
          <w:color w:val="000000" w:themeColor="text1"/>
          <w:sz w:val="24"/>
          <w:highlight w:val="none"/>
          <w14:textFill>
            <w14:solidFill>
              <w14:schemeClr w14:val="tx1"/>
            </w14:solidFill>
          </w14:textFill>
        </w:rPr>
        <w:t>合同条款及格式；</w:t>
      </w:r>
    </w:p>
    <w:p>
      <w:pPr>
        <w:spacing w:line="360" w:lineRule="auto"/>
        <w:ind w:firstLine="470" w:firstLineChars="196"/>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2.1.5</w:t>
      </w:r>
      <w:r>
        <w:rPr>
          <w:rFonts w:hint="eastAsia" w:ascii="宋体" w:hAnsi="宋体"/>
          <w:color w:val="000000" w:themeColor="text1"/>
          <w:sz w:val="24"/>
          <w:highlight w:val="none"/>
          <w:lang w:val="en-US" w:eastAsia="zh-CN"/>
          <w14:textFill>
            <w14:solidFill>
              <w14:schemeClr w14:val="tx1"/>
            </w14:solidFill>
          </w14:textFill>
        </w:rPr>
        <w:t>采购内容及</w:t>
      </w:r>
      <w:r>
        <w:rPr>
          <w:rFonts w:hint="eastAsia" w:ascii="宋体" w:hAnsi="宋体"/>
          <w:color w:val="000000" w:themeColor="text1"/>
          <w:sz w:val="24"/>
          <w:highlight w:val="none"/>
          <w14:textFill>
            <w14:solidFill>
              <w14:schemeClr w14:val="tx1"/>
            </w14:solidFill>
          </w14:textFill>
        </w:rPr>
        <w:t>要求；</w:t>
      </w:r>
    </w:p>
    <w:p>
      <w:pPr>
        <w:spacing w:line="360" w:lineRule="auto"/>
        <w:ind w:firstLine="470" w:firstLineChars="196"/>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2.1.</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投标文件格式。</w:t>
      </w:r>
    </w:p>
    <w:p>
      <w:pPr>
        <w:spacing w:line="360" w:lineRule="auto"/>
        <w:ind w:firstLine="470" w:firstLineChars="196"/>
        <w:rPr>
          <w:rFonts w:hint="eastAsia" w:ascii="宋体" w:hAnsi="宋体" w:eastAsia="宋体" w:cs="宋体"/>
          <w:color w:val="000000" w:themeColor="text1"/>
          <w:sz w:val="24"/>
          <w:highlight w:val="none"/>
          <w:lang w:eastAsia="zh-CN"/>
          <w14:textFill>
            <w14:solidFill>
              <w14:schemeClr w14:val="tx1"/>
            </w14:solidFill>
          </w14:textFill>
        </w:rPr>
      </w:pPr>
      <w:bookmarkStart w:id="101" w:name="_Toc339012141"/>
      <w:bookmarkStart w:id="102" w:name="_Toc331665303"/>
      <w:bookmarkStart w:id="103" w:name="_Toc339114124"/>
      <w:r>
        <w:rPr>
          <w:rFonts w:hint="eastAsia" w:ascii="宋体" w:hAnsi="宋体" w:cs="宋体"/>
          <w:color w:val="000000" w:themeColor="text1"/>
          <w:sz w:val="24"/>
          <w:highlight w:val="none"/>
          <w14:textFill>
            <w14:solidFill>
              <w14:schemeClr w14:val="tx1"/>
            </w14:solidFill>
          </w14:textFill>
        </w:rPr>
        <w:t>招标文件由招标文件总目录所列内容组成；投标人应详细阅读招标文件中所有的事项、格式、条款和规范要求,在投标文件中对招标文件的各方面都应做出实质性的响应，按照招标文件的要求提交全部资料</w:t>
      </w:r>
      <w:r>
        <w:rPr>
          <w:rFonts w:hint="eastAsia" w:ascii="宋体" w:hAnsi="宋体" w:cs="宋体"/>
          <w:color w:val="000000" w:themeColor="text1"/>
          <w:sz w:val="24"/>
          <w:highlight w:val="none"/>
          <w:lang w:eastAsia="zh-CN"/>
          <w14:textFill>
            <w14:solidFill>
              <w14:schemeClr w14:val="tx1"/>
            </w14:solidFill>
          </w14:textFill>
        </w:rPr>
        <w:t>。</w:t>
      </w:r>
    </w:p>
    <w:p>
      <w:pPr>
        <w:spacing w:line="360" w:lineRule="auto"/>
        <w:ind w:firstLine="470" w:firstLineChars="196"/>
        <w:rPr>
          <w:rFonts w:asci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2.2 </w:t>
      </w:r>
      <w:bookmarkStart w:id="104" w:name="_Toc144974512"/>
      <w:bookmarkStart w:id="105" w:name="_Toc152045544"/>
      <w:bookmarkStart w:id="106" w:name="_Toc152042320"/>
      <w:r>
        <w:rPr>
          <w:rFonts w:hint="eastAsia" w:ascii="宋体" w:hAnsi="宋体" w:cs="宋体"/>
          <w:color w:val="000000" w:themeColor="text1"/>
          <w:sz w:val="24"/>
          <w:highlight w:val="none"/>
          <w14:textFill>
            <w14:solidFill>
              <w14:schemeClr w14:val="tx1"/>
            </w14:solidFill>
          </w14:textFill>
        </w:rPr>
        <w:t>招标文件的澄清</w:t>
      </w:r>
      <w:bookmarkEnd w:id="101"/>
      <w:bookmarkEnd w:id="102"/>
      <w:bookmarkEnd w:id="103"/>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2.2</w:t>
      </w:r>
      <w:bookmarkEnd w:id="104"/>
      <w:bookmarkEnd w:id="105"/>
      <w:bookmarkEnd w:id="106"/>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供应商应仔细阅读和检查招标文件的全部内容。如发现缺页或附件不全，应及时向采购人提出，以便补齐。如有疑问，应在供应商须知前附表规定的时间前以书面形式要求采购人对招标文件予以澄清。</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2.2.2 </w:t>
      </w:r>
      <w:r>
        <w:rPr>
          <w:rFonts w:hint="eastAsia" w:ascii="宋体" w:hAnsi="宋体"/>
          <w:color w:val="000000" w:themeColor="text1"/>
          <w:sz w:val="24"/>
          <w:highlight w:val="none"/>
          <w14:textFill>
            <w14:solidFill>
              <w14:schemeClr w14:val="tx1"/>
            </w14:solidFill>
          </w14:textFill>
        </w:rPr>
        <w:t>对供应商提出问题的澄清将在供应商须知前附表规定的投标截止时间</w:t>
      </w: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天前以书面形式发给所有购买招标文件的供应商，但不指明澄清问题的来源。</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2.2.3 </w:t>
      </w:r>
      <w:r>
        <w:rPr>
          <w:rFonts w:hint="eastAsia" w:ascii="宋体" w:hAnsi="宋体"/>
          <w:color w:val="000000" w:themeColor="text1"/>
          <w:sz w:val="24"/>
          <w:highlight w:val="none"/>
          <w14:textFill>
            <w14:solidFill>
              <w14:schemeClr w14:val="tx1"/>
            </w14:solidFill>
          </w14:textFill>
        </w:rPr>
        <w:t>供应商在收到澄清后，应在供应商须知前附表规定的时间内以书面形式通知采购人，确认已收到该澄清。</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107" w:name="_Toc331665304"/>
      <w:bookmarkStart w:id="108" w:name="_Toc339012142"/>
      <w:bookmarkStart w:id="109" w:name="_Toc339114125"/>
      <w:r>
        <w:rPr>
          <w:rFonts w:ascii="宋体" w:hAnsi="宋体" w:cs="宋体"/>
          <w:color w:val="000000" w:themeColor="text1"/>
          <w:sz w:val="24"/>
          <w:highlight w:val="none"/>
          <w14:textFill>
            <w14:solidFill>
              <w14:schemeClr w14:val="tx1"/>
            </w14:solidFill>
          </w14:textFill>
        </w:rPr>
        <w:t xml:space="preserve">2.3 </w:t>
      </w:r>
      <w:bookmarkStart w:id="110" w:name="_Toc152042321"/>
      <w:bookmarkStart w:id="111" w:name="_Toc144974513"/>
      <w:bookmarkStart w:id="112" w:name="_Toc152045545"/>
      <w:r>
        <w:rPr>
          <w:rFonts w:hint="eastAsia" w:ascii="宋体" w:hAnsi="宋体" w:cs="宋体"/>
          <w:color w:val="000000" w:themeColor="text1"/>
          <w:sz w:val="24"/>
          <w:highlight w:val="none"/>
          <w14:textFill>
            <w14:solidFill>
              <w14:schemeClr w14:val="tx1"/>
            </w14:solidFill>
          </w14:textFill>
        </w:rPr>
        <w:t>招标文件的修改</w:t>
      </w:r>
      <w:bookmarkEnd w:id="107"/>
      <w:bookmarkEnd w:id="108"/>
      <w:bookmarkEnd w:id="109"/>
    </w:p>
    <w:bookmarkEnd w:id="110"/>
    <w:bookmarkEnd w:id="111"/>
    <w:bookmarkEnd w:id="112"/>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在投标截止时间</w:t>
      </w:r>
      <w:r>
        <w:rPr>
          <w:rFonts w:ascii="宋体" w:hAnsi="宋体"/>
          <w:color w:val="000000" w:themeColor="text1"/>
          <w:sz w:val="24"/>
          <w:highlight w:val="none"/>
          <w14:textFill>
            <w14:solidFill>
              <w14:schemeClr w14:val="tx1"/>
            </w14:solidFill>
          </w14:textFill>
        </w:rPr>
        <w:t>15</w:t>
      </w:r>
      <w:r>
        <w:rPr>
          <w:rFonts w:hint="eastAsia" w:ascii="宋体" w:hAnsi="宋体"/>
          <w:color w:val="000000" w:themeColor="text1"/>
          <w:sz w:val="24"/>
          <w:highlight w:val="none"/>
          <w14:textFill>
            <w14:solidFill>
              <w14:schemeClr w14:val="tx1"/>
            </w14:solidFill>
          </w14:textFill>
        </w:rPr>
        <w:t>天前，采购人可以书面形式修改招标文件，并通知所有已</w:t>
      </w:r>
      <w:r>
        <w:rPr>
          <w:rFonts w:hint="eastAsia" w:ascii="宋体" w:hAnsi="宋体"/>
          <w:color w:val="000000" w:themeColor="text1"/>
          <w:sz w:val="24"/>
          <w:highlight w:val="none"/>
          <w:lang w:eastAsia="zh-CN"/>
          <w14:textFill>
            <w14:solidFill>
              <w14:schemeClr w14:val="tx1"/>
            </w14:solidFill>
          </w14:textFill>
        </w:rPr>
        <w:t>获取</w:t>
      </w:r>
      <w:r>
        <w:rPr>
          <w:rFonts w:hint="eastAsia" w:ascii="宋体" w:hAnsi="宋体"/>
          <w:color w:val="000000" w:themeColor="text1"/>
          <w:sz w:val="24"/>
          <w:highlight w:val="none"/>
          <w14:textFill>
            <w14:solidFill>
              <w14:schemeClr w14:val="tx1"/>
            </w14:solidFill>
          </w14:textFill>
        </w:rPr>
        <w:t>招标文件的供应商。如果修改招标文件的时间距投标截止时间不足</w:t>
      </w:r>
      <w:r>
        <w:rPr>
          <w:rFonts w:ascii="宋体" w:hAnsi="宋体"/>
          <w:color w:val="000000" w:themeColor="text1"/>
          <w:sz w:val="24"/>
          <w:highlight w:val="none"/>
          <w14:textFill>
            <w14:solidFill>
              <w14:schemeClr w14:val="tx1"/>
            </w14:solidFill>
          </w14:textFill>
        </w:rPr>
        <w:t>15</w:t>
      </w:r>
      <w:r>
        <w:rPr>
          <w:rFonts w:hint="eastAsia" w:ascii="宋体" w:hAnsi="宋体"/>
          <w:color w:val="000000" w:themeColor="text1"/>
          <w:sz w:val="24"/>
          <w:highlight w:val="none"/>
          <w14:textFill>
            <w14:solidFill>
              <w14:schemeClr w14:val="tx1"/>
            </w14:solidFill>
          </w14:textFill>
        </w:rPr>
        <w:t>天，相应延长投标截止时间。</w:t>
      </w:r>
      <w:r>
        <w:rPr>
          <w:rFonts w:ascii="宋体" w:hAnsi="宋体"/>
          <w:color w:val="000000" w:themeColor="text1"/>
          <w:sz w:val="24"/>
          <w:highlight w:val="none"/>
          <w14:textFill>
            <w14:solidFill>
              <w14:schemeClr w14:val="tx1"/>
            </w14:solidFill>
          </w14:textFill>
        </w:rPr>
        <w:t xml:space="preserve"> </w:t>
      </w:r>
    </w:p>
    <w:p>
      <w:pPr>
        <w:spacing w:line="360" w:lineRule="auto"/>
        <w:rPr>
          <w:rFonts w:ascii="宋体" w:cs="宋体"/>
          <w:b/>
          <w:color w:val="000000" w:themeColor="text1"/>
          <w:sz w:val="24"/>
          <w:highlight w:val="none"/>
          <w14:textFill>
            <w14:solidFill>
              <w14:schemeClr w14:val="tx1"/>
            </w14:solidFill>
          </w14:textFill>
        </w:rPr>
      </w:pPr>
      <w:bookmarkStart w:id="113" w:name="_Toc339114126"/>
      <w:r>
        <w:rPr>
          <w:rFonts w:ascii="宋体" w:hAnsi="宋体" w:cs="宋体"/>
          <w:b/>
          <w:color w:val="000000" w:themeColor="text1"/>
          <w:sz w:val="24"/>
          <w:highlight w:val="none"/>
          <w14:textFill>
            <w14:solidFill>
              <w14:schemeClr w14:val="tx1"/>
            </w14:solidFill>
          </w14:textFill>
        </w:rPr>
        <w:t xml:space="preserve">3. </w:t>
      </w:r>
      <w:r>
        <w:rPr>
          <w:rFonts w:hint="eastAsia" w:ascii="宋体" w:hAnsi="宋体" w:cs="宋体"/>
          <w:b/>
          <w:color w:val="000000" w:themeColor="text1"/>
          <w:sz w:val="24"/>
          <w:highlight w:val="none"/>
          <w14:textFill>
            <w14:solidFill>
              <w14:schemeClr w14:val="tx1"/>
            </w14:solidFill>
          </w14:textFill>
        </w:rPr>
        <w:t>投</w:t>
      </w:r>
      <w:bookmarkStart w:id="114" w:name="_Toc152045546"/>
      <w:bookmarkStart w:id="115" w:name="_Toc144974514"/>
      <w:bookmarkStart w:id="116" w:name="_Toc152042322"/>
      <w:r>
        <w:rPr>
          <w:rFonts w:hint="eastAsia" w:ascii="宋体" w:hAnsi="宋体" w:cs="宋体"/>
          <w:b/>
          <w:color w:val="000000" w:themeColor="text1"/>
          <w:sz w:val="24"/>
          <w:highlight w:val="none"/>
          <w14:textFill>
            <w14:solidFill>
              <w14:schemeClr w14:val="tx1"/>
            </w14:solidFill>
          </w14:textFill>
        </w:rPr>
        <w:t>标文件</w:t>
      </w:r>
      <w:bookmarkEnd w:id="113"/>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117" w:name="_Toc339012144"/>
      <w:bookmarkStart w:id="118" w:name="_Toc339114127"/>
      <w:bookmarkStart w:id="119" w:name="_Toc331665306"/>
      <w:r>
        <w:rPr>
          <w:rFonts w:ascii="宋体" w:hAnsi="宋体" w:cs="宋体"/>
          <w:color w:val="000000" w:themeColor="text1"/>
          <w:sz w:val="24"/>
          <w:highlight w:val="none"/>
          <w14:textFill>
            <w14:solidFill>
              <w14:schemeClr w14:val="tx1"/>
            </w14:solidFill>
          </w14:textFill>
        </w:rPr>
        <w:t>3.1</w:t>
      </w:r>
      <w:bookmarkEnd w:id="114"/>
      <w:bookmarkEnd w:id="115"/>
      <w:bookmarkEnd w:id="116"/>
      <w:r>
        <w:rPr>
          <w:rFonts w:ascii="宋体" w:hAnsi="宋体" w:cs="宋体"/>
          <w:color w:val="000000" w:themeColor="text1"/>
          <w:sz w:val="24"/>
          <w:highlight w:val="none"/>
          <w14:textFill>
            <w14:solidFill>
              <w14:schemeClr w14:val="tx1"/>
            </w14:solidFill>
          </w14:textFill>
        </w:rPr>
        <w:t xml:space="preserve"> </w:t>
      </w:r>
      <w:bookmarkStart w:id="120" w:name="_Toc152042323"/>
      <w:bookmarkStart w:id="121" w:name="_Toc152045547"/>
      <w:bookmarkStart w:id="122" w:name="_Toc144974515"/>
      <w:r>
        <w:rPr>
          <w:rFonts w:hint="eastAsia" w:ascii="宋体" w:hAnsi="宋体" w:cs="宋体"/>
          <w:color w:val="000000" w:themeColor="text1"/>
          <w:sz w:val="24"/>
          <w:highlight w:val="none"/>
          <w14:textFill>
            <w14:solidFill>
              <w14:schemeClr w14:val="tx1"/>
            </w14:solidFill>
          </w14:textFill>
        </w:rPr>
        <w:t>投标文件的组成</w:t>
      </w:r>
      <w:bookmarkEnd w:id="117"/>
      <w:bookmarkEnd w:id="118"/>
      <w:bookmarkEnd w:id="119"/>
    </w:p>
    <w:p>
      <w:pPr>
        <w:spacing w:line="360" w:lineRule="auto"/>
        <w:ind w:firstLine="470" w:firstLineChars="196"/>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bookmarkEnd w:id="120"/>
      <w:bookmarkEnd w:id="121"/>
      <w:bookmarkEnd w:id="122"/>
      <w:r>
        <w:rPr>
          <w:rFonts w:ascii="宋体" w:hAnsi="宋体"/>
          <w:color w:val="000000" w:themeColor="text1"/>
          <w:sz w:val="24"/>
          <w:highlight w:val="none"/>
          <w14:textFill>
            <w14:solidFill>
              <w14:schemeClr w14:val="tx1"/>
            </w14:solidFill>
          </w14:textFill>
        </w:rPr>
        <w:t>.1.1</w:t>
      </w:r>
      <w:r>
        <w:rPr>
          <w:rFonts w:hint="eastAsia" w:ascii="宋体" w:hAnsi="宋体"/>
          <w:color w:val="000000" w:themeColor="text1"/>
          <w:sz w:val="24"/>
          <w:highlight w:val="none"/>
          <w14:textFill>
            <w14:solidFill>
              <w14:schemeClr w14:val="tx1"/>
            </w14:solidFill>
          </w14:textFill>
        </w:rPr>
        <w:t>投标文件应包括但不限于下列内容：</w:t>
      </w:r>
    </w:p>
    <w:p>
      <w:pPr>
        <w:spacing w:line="360" w:lineRule="auto"/>
        <w:ind w:firstLine="470" w:firstLineChars="196"/>
        <w:rPr>
          <w:rFonts w:ascii="宋体" w:cs="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3.1.1.1</w:t>
      </w:r>
      <w:r>
        <w:rPr>
          <w:rFonts w:hint="eastAsia" w:ascii="宋体" w:hAnsi="宋体"/>
          <w:color w:val="000000" w:themeColor="text1"/>
          <w:sz w:val="24"/>
          <w:highlight w:val="none"/>
          <w14:textFill>
            <w14:solidFill>
              <w14:schemeClr w14:val="tx1"/>
            </w14:solidFill>
          </w14:textFill>
        </w:rPr>
        <w:t>投标函；</w:t>
      </w:r>
      <w:r>
        <w:rPr>
          <w:rFonts w:ascii="宋体" w:hAnsi="宋体"/>
          <w:color w:val="000000" w:themeColor="text1"/>
          <w:sz w:val="24"/>
          <w:highlight w:val="none"/>
          <w14:textFill>
            <w14:solidFill>
              <w14:schemeClr w14:val="tx1"/>
            </w14:solidFill>
          </w14:textFill>
        </w:rPr>
        <w:t xml:space="preserve">   </w:t>
      </w:r>
    </w:p>
    <w:p>
      <w:pPr>
        <w:spacing w:line="360" w:lineRule="auto"/>
        <w:ind w:firstLine="470" w:firstLineChars="196"/>
        <w:rPr>
          <w:rFonts w:ascii="宋体" w:cs="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3.1.1.2</w:t>
      </w:r>
      <w:r>
        <w:rPr>
          <w:rFonts w:hint="eastAsia" w:ascii="宋体" w:hAnsi="宋体"/>
          <w:color w:val="000000" w:themeColor="text1"/>
          <w:sz w:val="24"/>
          <w:highlight w:val="none"/>
          <w14:textFill>
            <w14:solidFill>
              <w14:schemeClr w14:val="tx1"/>
            </w14:solidFill>
          </w14:textFill>
        </w:rPr>
        <w:t>开标一览表（唱标报告）；</w:t>
      </w:r>
      <w:r>
        <w:rPr>
          <w:rFonts w:ascii="宋体" w:hAnsi="宋体"/>
          <w:color w:val="000000" w:themeColor="text1"/>
          <w:sz w:val="24"/>
          <w:highlight w:val="none"/>
          <w14:textFill>
            <w14:solidFill>
              <w14:schemeClr w14:val="tx1"/>
            </w14:solidFill>
          </w14:textFill>
        </w:rPr>
        <w:t xml:space="preserve">          </w:t>
      </w:r>
    </w:p>
    <w:p>
      <w:pPr>
        <w:spacing w:line="360" w:lineRule="auto"/>
        <w:ind w:firstLine="470" w:firstLineChars="196"/>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3.1.1.3</w:t>
      </w:r>
      <w:r>
        <w:rPr>
          <w:rFonts w:hint="eastAsia" w:ascii="宋体" w:hAnsi="宋体"/>
          <w:color w:val="000000" w:themeColor="text1"/>
          <w:sz w:val="24"/>
          <w:highlight w:val="none"/>
          <w14:textFill>
            <w14:solidFill>
              <w14:schemeClr w14:val="tx1"/>
            </w14:solidFill>
          </w14:textFill>
        </w:rPr>
        <w:t>法定代表人授权书；</w:t>
      </w:r>
    </w:p>
    <w:p>
      <w:pPr>
        <w:spacing w:line="360" w:lineRule="auto"/>
        <w:ind w:firstLine="470" w:firstLineChars="196"/>
        <w:rPr>
          <w:rFonts w:ascii="宋体" w:cs="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3.1.1.</w:t>
      </w:r>
      <w:r>
        <w:rPr>
          <w:rFonts w:hint="eastAsia" w:ascii="宋体" w:hAnsi="宋体"/>
          <w:color w:val="000000" w:themeColor="text1"/>
          <w:sz w:val="24"/>
          <w:highlight w:val="none"/>
          <w:lang w:val="en-US" w:eastAsia="zh-CN"/>
          <w14:textFill>
            <w14:solidFill>
              <w14:schemeClr w14:val="tx1"/>
            </w14:solidFill>
          </w14:textFill>
        </w:rPr>
        <w:t>4投标方案说明书</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 xml:space="preserve">     </w:t>
      </w:r>
    </w:p>
    <w:p>
      <w:pPr>
        <w:spacing w:line="360" w:lineRule="auto"/>
        <w:ind w:firstLine="470" w:firstLineChars="196"/>
        <w:rPr>
          <w:rFonts w:ascii="宋体" w:cs="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3.1.1.</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商务</w:t>
      </w:r>
      <w:r>
        <w:rPr>
          <w:rFonts w:hint="eastAsia" w:ascii="宋体" w:hAnsi="宋体"/>
          <w:color w:val="000000" w:themeColor="text1"/>
          <w:sz w:val="24"/>
          <w:highlight w:val="none"/>
          <w:lang w:val="en-US" w:eastAsia="zh-CN"/>
          <w14:textFill>
            <w14:solidFill>
              <w14:schemeClr w14:val="tx1"/>
            </w14:solidFill>
          </w14:textFill>
        </w:rPr>
        <w:t>条款偏离表</w:t>
      </w:r>
      <w:r>
        <w:rPr>
          <w:rFonts w:hint="eastAsia" w:ascii="宋体" w:hAnsi="宋体"/>
          <w:color w:val="000000" w:themeColor="text1"/>
          <w:sz w:val="24"/>
          <w:highlight w:val="none"/>
          <w14:textFill>
            <w14:solidFill>
              <w14:schemeClr w14:val="tx1"/>
            </w14:solidFill>
          </w14:textFill>
        </w:rPr>
        <w:t>；</w:t>
      </w:r>
    </w:p>
    <w:p>
      <w:pPr>
        <w:spacing w:line="360" w:lineRule="auto"/>
        <w:ind w:firstLine="470" w:firstLineChars="196"/>
        <w:rPr>
          <w:rFonts w:ascii="宋体" w:cs="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3.1.1.</w:t>
      </w:r>
      <w:r>
        <w:rPr>
          <w:rFonts w:hint="eastAsia" w:ascii="宋体" w:hAnsi="宋体"/>
          <w:color w:val="000000" w:themeColor="text1"/>
          <w:sz w:val="24"/>
          <w:highlight w:val="none"/>
          <w:lang w:val="en-US" w:eastAsia="zh-CN"/>
          <w14:textFill>
            <w14:solidFill>
              <w14:schemeClr w14:val="tx1"/>
            </w14:solidFill>
          </w14:textFill>
        </w:rPr>
        <w:t>6供应商承诺书</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 xml:space="preserve">           </w:t>
      </w:r>
    </w:p>
    <w:p>
      <w:pPr>
        <w:spacing w:line="360" w:lineRule="auto"/>
        <w:ind w:firstLine="470" w:firstLineChars="196"/>
        <w:rPr>
          <w:rFonts w:hint="eastAsia" w:ascii="宋体" w:hAnsi="宋体"/>
          <w:color w:val="000000" w:themeColor="text1"/>
          <w:sz w:val="24"/>
          <w:highlight w:val="none"/>
          <w:lang w:val="en-US"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3.1.1.</w:t>
      </w:r>
      <w:r>
        <w:rPr>
          <w:rFonts w:hint="eastAsia" w:ascii="宋体" w:hAnsi="宋体"/>
          <w:color w:val="000000" w:themeColor="text1"/>
          <w:sz w:val="24"/>
          <w:highlight w:val="none"/>
          <w:lang w:val="en-US" w:eastAsia="zh-CN"/>
          <w14:textFill>
            <w14:solidFill>
              <w14:schemeClr w14:val="tx1"/>
            </w14:solidFill>
          </w14:textFill>
        </w:rPr>
        <w:t>7资格证明文件；</w:t>
      </w:r>
    </w:p>
    <w:p>
      <w:pPr>
        <w:spacing w:line="360" w:lineRule="auto"/>
        <w:ind w:firstLine="470" w:firstLineChars="196"/>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3.1.1.8业绩；</w:t>
      </w:r>
    </w:p>
    <w:p>
      <w:pPr>
        <w:spacing w:line="360" w:lineRule="auto"/>
        <w:ind w:firstLine="470" w:firstLineChars="196"/>
        <w:rPr>
          <w:rFonts w:ascii="宋体" w:cs="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3.1.1.9其他资料</w:t>
      </w:r>
      <w:r>
        <w:rPr>
          <w:rFonts w:hint="eastAsia" w:ascii="宋体" w:hAnsi="宋体"/>
          <w:color w:val="000000" w:themeColor="text1"/>
          <w:sz w:val="24"/>
          <w:highlight w:val="none"/>
          <w14:textFill>
            <w14:solidFill>
              <w14:schemeClr w14:val="tx1"/>
            </w14:solidFill>
          </w14:textFill>
        </w:rPr>
        <w:t>。</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123" w:name="_Toc339114128"/>
      <w:bookmarkStart w:id="124" w:name="_Toc331665307"/>
      <w:bookmarkStart w:id="125" w:name="_Toc339012145"/>
      <w:r>
        <w:rPr>
          <w:rFonts w:ascii="宋体" w:hAnsi="宋体" w:cs="宋体"/>
          <w:color w:val="000000" w:themeColor="text1"/>
          <w:sz w:val="24"/>
          <w:highlight w:val="none"/>
          <w14:textFill>
            <w14:solidFill>
              <w14:schemeClr w14:val="tx1"/>
            </w14:solidFill>
          </w14:textFill>
        </w:rPr>
        <w:t xml:space="preserve">3.2 </w:t>
      </w:r>
      <w:bookmarkStart w:id="126" w:name="_Toc144974516"/>
      <w:bookmarkStart w:id="127" w:name="_Toc152045548"/>
      <w:bookmarkStart w:id="128" w:name="_Toc152042324"/>
      <w:r>
        <w:rPr>
          <w:rFonts w:hint="eastAsia" w:ascii="宋体" w:hAnsi="宋体" w:cs="宋体"/>
          <w:color w:val="000000" w:themeColor="text1"/>
          <w:sz w:val="24"/>
          <w:highlight w:val="none"/>
          <w14:textFill>
            <w14:solidFill>
              <w14:schemeClr w14:val="tx1"/>
            </w14:solidFill>
          </w14:textFill>
        </w:rPr>
        <w:t>投标报价</w:t>
      </w:r>
      <w:bookmarkEnd w:id="123"/>
      <w:bookmarkEnd w:id="124"/>
      <w:bookmarkEnd w:id="125"/>
    </w:p>
    <w:bookmarkEnd w:id="126"/>
    <w:bookmarkEnd w:id="127"/>
    <w:bookmarkEnd w:id="128"/>
    <w:p>
      <w:pPr>
        <w:spacing w:line="360" w:lineRule="auto"/>
        <w:ind w:firstLine="470" w:firstLineChars="196"/>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3.2.1投标报价表中标明的价格应为履行合同的固定价格，不得以任何理由予以变更。以可调整的价格提交的投标文件将按无效投标处理。</w:t>
      </w:r>
    </w:p>
    <w:p>
      <w:pPr>
        <w:pStyle w:val="40"/>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3.2.1.1最低报价不是中标的唯一依据</w:t>
      </w:r>
    </w:p>
    <w:p>
      <w:pPr>
        <w:spacing w:line="360" w:lineRule="auto"/>
        <w:ind w:firstLine="470" w:firstLineChars="196"/>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3.2.1.2</w:t>
      </w:r>
      <w:r>
        <w:rPr>
          <w:rFonts w:hint="eastAsia" w:ascii="宋体" w:hAnsi="宋体"/>
          <w:color w:val="000000"/>
          <w:sz w:val="24"/>
          <w:highlight w:val="none"/>
        </w:rPr>
        <w:t>投标人不得以低于成本的报价进行投标，</w:t>
      </w:r>
      <w:r>
        <w:rPr>
          <w:rFonts w:hint="eastAsia" w:ascii="宋体" w:hAnsi="宋体" w:cs="宋体"/>
          <w:color w:val="000000" w:themeColor="text1"/>
          <w:sz w:val="24"/>
          <w:highlight w:val="none"/>
          <w:lang w:val="en-US" w:eastAsia="zh-CN"/>
          <w14:textFill>
            <w14:solidFill>
              <w14:schemeClr w14:val="tx1"/>
            </w14:solidFill>
          </w14:textFill>
        </w:rPr>
        <w:t>当评标委员会认为某个供应商的报价低于成本或明显低于其他通过符合性审查供应商的报价，有可能影响服务质量或者不能诚信履约的，应当要求其在评标现场合理的时间内提供书面说明，必要时提交相关证明材料；供应商不能证明其报价合理性的，评标委员会应当将其作为无效投标处理。</w:t>
      </w:r>
    </w:p>
    <w:p>
      <w:pPr>
        <w:pStyle w:val="16"/>
        <w:ind w:firstLine="723" w:firstLineChars="300"/>
        <w:rPr>
          <w:rFonts w:hint="default"/>
          <w:highlight w:val="none"/>
          <w:lang w:val="en-US" w:eastAsia="zh-CN"/>
        </w:rPr>
      </w:pPr>
      <w:r>
        <w:rPr>
          <w:rFonts w:hint="eastAsia" w:ascii="宋体" w:hAnsi="宋体"/>
          <w:b/>
          <w:bCs/>
          <w:color w:val="000000"/>
          <w:sz w:val="24"/>
          <w:szCs w:val="24"/>
          <w:highlight w:val="none"/>
        </w:rPr>
        <w:t>注：</w:t>
      </w:r>
      <w:r>
        <w:rPr>
          <w:rFonts w:hint="eastAsia" w:ascii="宋体" w:hAnsi="宋体" w:eastAsia="宋体" w:cs="Times New Roman"/>
          <w:color w:val="000000"/>
          <w:kern w:val="2"/>
          <w:sz w:val="24"/>
          <w:szCs w:val="24"/>
          <w:highlight w:val="none"/>
          <w:lang w:val="en-US" w:eastAsia="zh-CN" w:bidi="ar-SA"/>
        </w:rPr>
        <w:t>如发生额外费用与甲方自行协定</w:t>
      </w:r>
    </w:p>
    <w:p>
      <w:pPr>
        <w:spacing w:line="360" w:lineRule="auto"/>
        <w:ind w:firstLine="470" w:firstLineChars="19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3.2.2计算错误将按以下方法更正：</w:t>
      </w:r>
    </w:p>
    <w:p>
      <w:pPr>
        <w:spacing w:line="360" w:lineRule="auto"/>
        <w:ind w:firstLine="470" w:firstLineChars="196"/>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（1）投标文件中开标一览表(报价表)内容与投标文件中相应内容不一致的，以开标一览表(报价表)为准。</w:t>
      </w:r>
    </w:p>
    <w:p>
      <w:pPr>
        <w:spacing w:line="360" w:lineRule="auto"/>
        <w:ind w:firstLine="470" w:firstLineChars="196"/>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（2）投标文件的大写金额和小写金额不一致的，以大写金额为准；</w:t>
      </w:r>
    </w:p>
    <w:p>
      <w:pPr>
        <w:spacing w:line="360" w:lineRule="auto"/>
        <w:ind w:firstLine="470" w:firstLineChars="19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（3）单价金额小数点或者百分比有明显错位的，以开标一览表为准，并修改单价；</w:t>
      </w:r>
    </w:p>
    <w:p>
      <w:pPr>
        <w:spacing w:line="360" w:lineRule="auto"/>
        <w:ind w:firstLine="482" w:firstLineChars="200"/>
        <w:rPr>
          <w:rFonts w:ascii="宋体" w:cs="宋体"/>
          <w:color w:val="000000" w:themeColor="text1"/>
          <w:kern w:val="0"/>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3.2.3凡因供应商对招标文件阅读不深、理解不透、误解、疏漏、或因市场行情了解不清造成的后果和风险均由供应商自负。</w:t>
      </w:r>
      <w:r>
        <w:rPr>
          <w:rFonts w:hint="eastAsia" w:ascii="宋体" w:hAnsi="宋体"/>
          <w:color w:val="000000" w:themeColor="text1"/>
          <w:sz w:val="24"/>
          <w:highlight w:val="none"/>
          <w14:textFill>
            <w14:solidFill>
              <w14:schemeClr w14:val="tx1"/>
            </w14:solidFill>
          </w14:textFill>
        </w:rPr>
        <w:t>　　　　</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129" w:name="_Toc339012146"/>
      <w:bookmarkStart w:id="130" w:name="_Toc331665308"/>
      <w:bookmarkStart w:id="131" w:name="_Toc339114129"/>
      <w:r>
        <w:rPr>
          <w:rFonts w:ascii="宋体" w:hAnsi="宋体" w:cs="宋体"/>
          <w:color w:val="000000" w:themeColor="text1"/>
          <w:sz w:val="24"/>
          <w:highlight w:val="none"/>
          <w14:textFill>
            <w14:solidFill>
              <w14:schemeClr w14:val="tx1"/>
            </w14:solidFill>
          </w14:textFill>
        </w:rPr>
        <w:t xml:space="preserve">3.3 </w:t>
      </w:r>
      <w:bookmarkStart w:id="132" w:name="_Toc144974517"/>
      <w:bookmarkStart w:id="133" w:name="_Toc152042325"/>
      <w:bookmarkStart w:id="134" w:name="_Toc152045549"/>
      <w:r>
        <w:rPr>
          <w:rFonts w:hint="eastAsia" w:ascii="宋体" w:hAnsi="宋体" w:cs="宋体"/>
          <w:color w:val="000000" w:themeColor="text1"/>
          <w:sz w:val="24"/>
          <w:highlight w:val="none"/>
          <w14:textFill>
            <w14:solidFill>
              <w14:schemeClr w14:val="tx1"/>
            </w14:solidFill>
          </w14:textFill>
        </w:rPr>
        <w:t>投标有效期</w:t>
      </w:r>
      <w:bookmarkEnd w:id="129"/>
      <w:bookmarkEnd w:id="130"/>
      <w:bookmarkEnd w:id="131"/>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3.3</w:t>
      </w:r>
      <w:bookmarkEnd w:id="132"/>
      <w:bookmarkEnd w:id="133"/>
      <w:bookmarkEnd w:id="134"/>
      <w:r>
        <w:rPr>
          <w:rFonts w:ascii="宋体" w:hAnsi="宋体"/>
          <w:color w:val="000000" w:themeColor="text1"/>
          <w:sz w:val="24"/>
          <w:highlight w:val="none"/>
          <w14:textFill>
            <w14:solidFill>
              <w14:schemeClr w14:val="tx1"/>
            </w14:solidFill>
          </w14:textFill>
        </w:rPr>
        <w:t xml:space="preserve">.1 </w:t>
      </w:r>
      <w:r>
        <w:rPr>
          <w:rFonts w:hint="eastAsia" w:ascii="宋体" w:hAnsi="宋体"/>
          <w:color w:val="000000" w:themeColor="text1"/>
          <w:sz w:val="24"/>
          <w:highlight w:val="none"/>
          <w14:textFill>
            <w14:solidFill>
              <w14:schemeClr w14:val="tx1"/>
            </w14:solidFill>
          </w14:textFill>
        </w:rPr>
        <w:t>投标有效期及授权书有效期为从提交投标文件的截止时间起</w:t>
      </w:r>
      <w:r>
        <w:rPr>
          <w:rFonts w:hint="eastAsia" w:ascii="宋体" w:hAnsi="宋体"/>
          <w:color w:val="000000" w:themeColor="text1"/>
          <w:sz w:val="24"/>
          <w:highlight w:val="none"/>
          <w:lang w:val="en-US" w:eastAsia="zh-CN"/>
          <w14:textFill>
            <w14:solidFill>
              <w14:schemeClr w14:val="tx1"/>
            </w14:solidFill>
          </w14:textFill>
        </w:rPr>
        <w:t>90日历天</w:t>
      </w:r>
      <w:r>
        <w:rPr>
          <w:rFonts w:hint="eastAsia" w:ascii="宋体" w:hAnsi="宋体"/>
          <w:color w:val="000000" w:themeColor="text1"/>
          <w:sz w:val="24"/>
          <w:highlight w:val="none"/>
          <w14:textFill>
            <w14:solidFill>
              <w14:schemeClr w14:val="tx1"/>
            </w14:solidFill>
          </w14:textFill>
        </w:rPr>
        <w:t>，在供应商须知前附表规定的投标有效期内，供应商不得要求撤销或修改其投标文件。</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3.3.2</w:t>
      </w:r>
      <w:r>
        <w:rPr>
          <w:rFonts w:hint="eastAsia" w:ascii="宋体" w:hAnsi="宋体"/>
          <w:color w:val="000000" w:themeColor="text1"/>
          <w:sz w:val="24"/>
          <w:highlight w:val="none"/>
          <w14:textFill>
            <w14:solidFill>
              <w14:schemeClr w14:val="tx1"/>
            </w14:solidFill>
          </w14:textFill>
        </w:rPr>
        <w:t>出现特殊情况需要延长投标有效期的，采购人以书面形式通知所有供应商延长投标有效期。供应商同意延长的，应相应延长其投标有效期，但不得要求或被允许修改或撤销其投标文件；供应商拒绝延长的，其投标失效。</w:t>
      </w:r>
      <w:r>
        <w:rPr>
          <w:rFonts w:ascii="宋体" w:hAnsi="宋体"/>
          <w:color w:val="000000" w:themeColor="text1"/>
          <w:sz w:val="24"/>
          <w:highlight w:val="none"/>
          <w14:textFill>
            <w14:solidFill>
              <w14:schemeClr w14:val="tx1"/>
            </w14:solidFill>
          </w14:textFill>
        </w:rPr>
        <w:t xml:space="preserve"> </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135" w:name="_Toc339114131"/>
      <w:bookmarkStart w:id="136" w:name="_Toc331665310"/>
      <w:bookmarkStart w:id="137" w:name="_Toc339012148"/>
      <w:r>
        <w:rPr>
          <w:rFonts w:ascii="宋体" w:hAnsi="宋体" w:cs="宋体"/>
          <w:color w:val="000000" w:themeColor="text1"/>
          <w:sz w:val="24"/>
          <w:highlight w:val="none"/>
          <w14:textFill>
            <w14:solidFill>
              <w14:schemeClr w14:val="tx1"/>
            </w14:solidFill>
          </w14:textFill>
        </w:rPr>
        <w:t>3.</w:t>
      </w:r>
      <w:bookmarkStart w:id="138" w:name="_Toc144974519"/>
      <w:bookmarkStart w:id="139" w:name="_Toc152045551"/>
      <w:bookmarkStart w:id="140" w:name="_Toc152042327"/>
      <w:r>
        <w:rPr>
          <w:rFonts w:hint="eastAsia" w:ascii="宋体" w:hAnsi="宋体" w:cs="宋体"/>
          <w:color w:val="000000" w:themeColor="text1"/>
          <w:sz w:val="24"/>
          <w:highlight w:val="none"/>
          <w14:textFill>
            <w14:solidFill>
              <w14:schemeClr w14:val="tx1"/>
            </w14:solidFill>
          </w14:textFill>
        </w:rPr>
        <w:t>4资格审查资料</w:t>
      </w:r>
      <w:bookmarkEnd w:id="135"/>
      <w:bookmarkEnd w:id="136"/>
      <w:bookmarkEnd w:id="137"/>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bookmarkEnd w:id="138"/>
      <w:bookmarkEnd w:id="139"/>
      <w:bookmarkEnd w:id="140"/>
      <w:r>
        <w:rPr>
          <w:rFonts w:hint="eastAsia" w:ascii="宋体" w:hAnsi="宋体"/>
          <w:color w:val="000000" w:themeColor="text1"/>
          <w:sz w:val="24"/>
          <w:highlight w:val="none"/>
          <w14:textFill>
            <w14:solidFill>
              <w14:schemeClr w14:val="tx1"/>
            </w14:solidFill>
          </w14:textFill>
        </w:rPr>
        <w:t>在编制投标文件时，应按新情况更新企业的资料，以证实其各项资格条件能满足招标文件的要求，具备承担本项目管理的资质条件和能力。</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141" w:name="_Toc339114132"/>
      <w:bookmarkStart w:id="142" w:name="_Toc339012149"/>
      <w:bookmarkStart w:id="143" w:name="_Toc331665311"/>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 xml:space="preserve"> </w:t>
      </w:r>
      <w:bookmarkStart w:id="144" w:name="_Toc152042329"/>
      <w:bookmarkStart w:id="145" w:name="_Toc152045553"/>
      <w:bookmarkStart w:id="146" w:name="_Toc144974521"/>
      <w:r>
        <w:rPr>
          <w:rFonts w:hint="eastAsia" w:ascii="宋体" w:hAnsi="宋体" w:cs="宋体"/>
          <w:color w:val="000000" w:themeColor="text1"/>
          <w:sz w:val="24"/>
          <w:highlight w:val="none"/>
          <w14:textFill>
            <w14:solidFill>
              <w14:schemeClr w14:val="tx1"/>
            </w14:solidFill>
          </w14:textFill>
        </w:rPr>
        <w:t>备选投标方案</w:t>
      </w:r>
      <w:bookmarkEnd w:id="141"/>
      <w:bookmarkEnd w:id="142"/>
      <w:bookmarkEnd w:id="143"/>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除</w:t>
      </w:r>
      <w:bookmarkEnd w:id="144"/>
      <w:bookmarkEnd w:id="145"/>
      <w:bookmarkEnd w:id="146"/>
      <w:r>
        <w:rPr>
          <w:rFonts w:hint="eastAsia" w:ascii="宋体" w:hAnsi="宋体"/>
          <w:color w:val="000000" w:themeColor="text1"/>
          <w:sz w:val="24"/>
          <w:highlight w:val="none"/>
          <w:lang w:val="en-US" w:eastAsia="zh-CN"/>
          <w14:textFill>
            <w14:solidFill>
              <w14:schemeClr w14:val="tx1"/>
            </w14:solidFill>
          </w14:textFill>
        </w:rPr>
        <w:t>招标文件</w:t>
      </w:r>
      <w:r>
        <w:rPr>
          <w:rFonts w:hint="eastAsia" w:ascii="宋体" w:hAnsi="宋体"/>
          <w:color w:val="000000" w:themeColor="text1"/>
          <w:sz w:val="24"/>
          <w:highlight w:val="none"/>
          <w14:textFill>
            <w14:solidFill>
              <w14:schemeClr w14:val="tx1"/>
            </w14:solidFill>
          </w14:textFill>
        </w:rPr>
        <w:t>另有规定外，供应商不得递交备选投标方案。</w:t>
      </w:r>
    </w:p>
    <w:p>
      <w:pPr>
        <w:spacing w:line="360" w:lineRule="auto"/>
        <w:ind w:firstLine="470" w:firstLineChars="196"/>
        <w:rPr>
          <w:rFonts w:ascii="宋体" w:cs="宋体"/>
          <w:color w:val="000000" w:themeColor="text1"/>
          <w:sz w:val="24"/>
          <w:highlight w:val="none"/>
          <w14:textFill>
            <w14:solidFill>
              <w14:schemeClr w14:val="tx1"/>
            </w14:solidFill>
          </w14:textFill>
        </w:rPr>
      </w:pPr>
      <w:bookmarkStart w:id="147" w:name="_Toc339012150"/>
      <w:bookmarkStart w:id="148" w:name="_Toc331665312"/>
      <w:bookmarkStart w:id="149" w:name="_Toc339114133"/>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6</w:t>
      </w:r>
      <w:r>
        <w:rPr>
          <w:rFonts w:ascii="宋体" w:hAnsi="宋体" w:cs="宋体"/>
          <w:color w:val="000000" w:themeColor="text1"/>
          <w:sz w:val="24"/>
          <w:highlight w:val="none"/>
          <w14:textFill>
            <w14:solidFill>
              <w14:schemeClr w14:val="tx1"/>
            </w14:solidFill>
          </w14:textFill>
        </w:rPr>
        <w:t xml:space="preserve"> </w:t>
      </w:r>
      <w:bookmarkStart w:id="150" w:name="_Toc152042330"/>
      <w:bookmarkStart w:id="151" w:name="_Toc144974522"/>
      <w:bookmarkStart w:id="152" w:name="_Toc152045554"/>
      <w:r>
        <w:rPr>
          <w:rFonts w:hint="eastAsia" w:ascii="宋体" w:hAnsi="宋体" w:cs="宋体"/>
          <w:color w:val="000000" w:themeColor="text1"/>
          <w:sz w:val="24"/>
          <w:highlight w:val="none"/>
          <w14:textFill>
            <w14:solidFill>
              <w14:schemeClr w14:val="tx1"/>
            </w14:solidFill>
          </w14:textFill>
        </w:rPr>
        <w:t>投标文件的编制</w:t>
      </w:r>
      <w:bookmarkEnd w:id="147"/>
      <w:bookmarkEnd w:id="148"/>
      <w:bookmarkEnd w:id="149"/>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bookmarkEnd w:id="150"/>
      <w:bookmarkEnd w:id="151"/>
      <w:bookmarkEnd w:id="152"/>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投标文件应按第六部分“投标文件格式”进行编写，如有必要，可以增加附页，作为投标文件的组成部分。其中，投标函附录在满足招标文件实质性要求的基础上，可以提出比招标文件要求更有利于采购人的承诺。</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 xml:space="preserve">.2 </w:t>
      </w:r>
      <w:r>
        <w:rPr>
          <w:rFonts w:hint="eastAsia" w:ascii="宋体" w:hAnsi="宋体"/>
          <w:color w:val="000000" w:themeColor="text1"/>
          <w:sz w:val="24"/>
          <w:highlight w:val="none"/>
          <w14:textFill>
            <w14:solidFill>
              <w14:schemeClr w14:val="tx1"/>
            </w14:solidFill>
          </w14:textFill>
        </w:rPr>
        <w:t>投标文件应当对招标文件有关合同期限、投标有效期、工作内容和要求等实质性内容作出响应。</w:t>
      </w:r>
    </w:p>
    <w:p>
      <w:pPr>
        <w:spacing w:line="360" w:lineRule="auto"/>
        <w:ind w:firstLine="482" w:firstLineChars="200"/>
        <w:rPr>
          <w:rFonts w:ascii="宋体" w:hAnsi="宋体"/>
          <w:b/>
          <w:bCs/>
          <w:color w:val="000000"/>
          <w:sz w:val="24"/>
          <w:highlight w:val="none"/>
          <w:lang w:val="zh-CN"/>
        </w:rPr>
      </w:pPr>
      <w:r>
        <w:rPr>
          <w:rFonts w:hint="eastAsia" w:ascii="宋体" w:hAnsi="宋体"/>
          <w:b/>
          <w:bCs/>
          <w:color w:val="000000"/>
          <w:sz w:val="24"/>
          <w:highlight w:val="none"/>
        </w:rPr>
        <w:t>3.</w:t>
      </w:r>
      <w:r>
        <w:rPr>
          <w:rFonts w:hint="eastAsia" w:ascii="宋体" w:hAnsi="宋体"/>
          <w:b/>
          <w:bCs/>
          <w:color w:val="000000"/>
          <w:sz w:val="24"/>
          <w:highlight w:val="none"/>
          <w:lang w:val="en-US" w:eastAsia="zh-CN"/>
        </w:rPr>
        <w:t>7</w:t>
      </w:r>
      <w:r>
        <w:rPr>
          <w:rFonts w:hint="eastAsia" w:ascii="宋体" w:hAnsi="宋体"/>
          <w:b/>
          <w:bCs/>
          <w:color w:val="000000"/>
          <w:sz w:val="24"/>
          <w:highlight w:val="none"/>
          <w:lang w:val="zh-CN"/>
        </w:rPr>
        <w:t>限制投标要求</w:t>
      </w:r>
    </w:p>
    <w:p>
      <w:pPr>
        <w:spacing w:line="360" w:lineRule="auto"/>
        <w:ind w:firstLine="480" w:firstLineChars="200"/>
        <w:rPr>
          <w:rFonts w:hint="eastAsia" w:ascii="宋体" w:hAnsi="宋体" w:eastAsia="宋体" w:cs="Times New Roman"/>
          <w:b w:val="0"/>
          <w:bCs w:val="0"/>
          <w:color w:val="000000" w:themeColor="text1"/>
          <w:kern w:val="2"/>
          <w:sz w:val="24"/>
          <w:szCs w:val="24"/>
          <w:highlight w:val="none"/>
          <w:lang w:val="zh-CN" w:eastAsia="zh-CN" w:bidi="ar-SA"/>
          <w14:textFill>
            <w14:solidFill>
              <w14:schemeClr w14:val="tx1"/>
            </w14:solidFill>
          </w14:textFill>
        </w:rPr>
      </w:pPr>
      <w:r>
        <w:rPr>
          <w:rFonts w:hint="eastAsia" w:ascii="宋体" w:hAnsi="宋体" w:cs="Times New Roman"/>
          <w:b w:val="0"/>
          <w:bCs w:val="0"/>
          <w:color w:val="000000" w:themeColor="text1"/>
          <w:kern w:val="2"/>
          <w:sz w:val="24"/>
          <w:szCs w:val="24"/>
          <w:highlight w:val="none"/>
          <w:lang w:val="en-US" w:eastAsia="zh-CN" w:bidi="ar-SA"/>
          <w14:textFill>
            <w14:solidFill>
              <w14:schemeClr w14:val="tx1"/>
            </w14:solidFill>
          </w14:textFill>
        </w:rPr>
        <w:t>3.7.1</w:t>
      </w:r>
      <w:r>
        <w:rPr>
          <w:rFonts w:hint="eastAsia" w:ascii="宋体" w:hAnsi="宋体" w:eastAsia="宋体" w:cs="Times New Roman"/>
          <w:b w:val="0"/>
          <w:bCs w:val="0"/>
          <w:color w:val="000000" w:themeColor="text1"/>
          <w:kern w:val="2"/>
          <w:sz w:val="24"/>
          <w:szCs w:val="24"/>
          <w:highlight w:val="none"/>
          <w:lang w:val="zh-CN" w:eastAsia="zh-CN" w:bidi="ar-SA"/>
          <w14:textFill>
            <w14:solidFill>
              <w14:schemeClr w14:val="tx1"/>
            </w14:solidFill>
          </w14:textFill>
        </w:rPr>
        <w:t>投标人单位负责人为同一人或者存在直接控股、</w:t>
      </w:r>
      <w:r>
        <w:rPr>
          <w:rFonts w:hint="eastAsia" w:ascii="宋体" w:hAnsi="宋体" w:cs="Times New Roman"/>
          <w:b w:val="0"/>
          <w:bCs w:val="0"/>
          <w:color w:val="000000" w:themeColor="text1"/>
          <w:kern w:val="2"/>
          <w:sz w:val="24"/>
          <w:szCs w:val="24"/>
          <w:highlight w:val="none"/>
          <w:lang w:val="zh-CN" w:eastAsia="zh-CN" w:bidi="ar-SA"/>
          <w14:textFill>
            <w14:solidFill>
              <w14:schemeClr w14:val="tx1"/>
            </w14:solidFill>
          </w14:textFill>
        </w:rPr>
        <w:t>参股、</w:t>
      </w:r>
      <w:r>
        <w:rPr>
          <w:rFonts w:hint="eastAsia" w:ascii="宋体" w:hAnsi="宋体" w:eastAsia="宋体" w:cs="Times New Roman"/>
          <w:b w:val="0"/>
          <w:bCs w:val="0"/>
          <w:color w:val="000000" w:themeColor="text1"/>
          <w:kern w:val="2"/>
          <w:sz w:val="24"/>
          <w:szCs w:val="24"/>
          <w:highlight w:val="none"/>
          <w:lang w:val="zh-CN" w:eastAsia="zh-CN" w:bidi="ar-SA"/>
          <w14:textFill>
            <w14:solidFill>
              <w14:schemeClr w14:val="tx1"/>
            </w14:solidFill>
          </w14:textFill>
        </w:rPr>
        <w:t>管理关系的不同投标人，不得参加同一项目或同一标段的政府采购活动。</w:t>
      </w:r>
    </w:p>
    <w:p>
      <w:pPr>
        <w:spacing w:line="360" w:lineRule="auto"/>
        <w:ind w:firstLine="480" w:firstLineChars="200"/>
        <w:rPr>
          <w:rFonts w:hint="eastAsia" w:ascii="宋体" w:hAnsi="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Times New Roman"/>
          <w:b w:val="0"/>
          <w:bCs w:val="0"/>
          <w:color w:val="000000" w:themeColor="text1"/>
          <w:kern w:val="2"/>
          <w:sz w:val="24"/>
          <w:szCs w:val="24"/>
          <w:highlight w:val="none"/>
          <w:lang w:val="en-US" w:eastAsia="zh-CN" w:bidi="ar-SA"/>
          <w14:textFill>
            <w14:solidFill>
              <w14:schemeClr w14:val="tx1"/>
            </w14:solidFill>
          </w14:textFill>
        </w:rPr>
        <w:t>3.7.2</w:t>
      </w:r>
      <w:r>
        <w:rPr>
          <w:rFonts w:hint="eastAsia" w:ascii="宋体" w:hAnsi="宋体" w:eastAsia="宋体" w:cs="Times New Roman"/>
          <w:b w:val="0"/>
          <w:bCs w:val="0"/>
          <w:color w:val="000000" w:themeColor="text1"/>
          <w:kern w:val="2"/>
          <w:sz w:val="24"/>
          <w:szCs w:val="24"/>
          <w:highlight w:val="none"/>
          <w:lang w:val="zh-CN" w:eastAsia="zh-CN" w:bidi="ar-SA"/>
          <w14:textFill>
            <w14:solidFill>
              <w14:schemeClr w14:val="tx1"/>
            </w14:solidFill>
          </w14:textFill>
        </w:rPr>
        <w:t>除单一来源采购项目外，为采购项目提供过整体设计、规范编制或者项目管理、监理、检测等服务的投标人，不得再参加同一项目的其他采购活动</w:t>
      </w:r>
      <w:r>
        <w:rPr>
          <w:rFonts w:hint="eastAsia" w:ascii="宋体" w:hAnsi="宋体" w:cs="Times New Roman"/>
          <w:b w:val="0"/>
          <w:bCs w:val="0"/>
          <w:color w:val="000000" w:themeColor="text1"/>
          <w:kern w:val="2"/>
          <w:sz w:val="24"/>
          <w:szCs w:val="24"/>
          <w:highlight w:val="none"/>
          <w:lang w:val="en-US" w:eastAsia="zh-CN" w:bidi="ar-SA"/>
          <w14:textFill>
            <w14:solidFill>
              <w14:schemeClr w14:val="tx1"/>
            </w14:solidFill>
          </w14:textFill>
        </w:rPr>
        <w:t>。</w:t>
      </w:r>
    </w:p>
    <w:p>
      <w:pPr>
        <w:spacing w:line="360" w:lineRule="auto"/>
        <w:ind w:firstLine="482" w:firstLineChars="200"/>
        <w:rPr>
          <w:rFonts w:ascii="宋体" w:hAnsi="宋体" w:cs="Times New Roman"/>
          <w:b/>
          <w:bCs/>
          <w:color w:val="000000"/>
          <w:sz w:val="24"/>
          <w:highlight w:val="none"/>
          <w:lang w:val="zh-CN"/>
        </w:rPr>
      </w:pPr>
      <w:r>
        <w:rPr>
          <w:rFonts w:hint="eastAsia" w:ascii="宋体" w:hAnsi="宋体" w:eastAsia="宋体"/>
          <w:b/>
          <w:bCs/>
          <w:color w:val="000000"/>
          <w:sz w:val="24"/>
          <w:szCs w:val="24"/>
          <w:highlight w:val="none"/>
          <w:lang w:val="en-US" w:eastAsia="zh-CN"/>
        </w:rPr>
        <w:t>3.</w:t>
      </w:r>
      <w:r>
        <w:rPr>
          <w:rFonts w:hint="eastAsia" w:ascii="宋体" w:hAnsi="宋体" w:eastAsia="宋体"/>
          <w:b/>
          <w:bCs/>
          <w:color w:val="000000"/>
          <w:sz w:val="24"/>
          <w:szCs w:val="24"/>
          <w:highlight w:val="none"/>
        </w:rPr>
        <w:t>8投标文件的签署及规定</w:t>
      </w:r>
    </w:p>
    <w:p>
      <w:pPr>
        <w:spacing w:line="360" w:lineRule="auto"/>
        <w:ind w:firstLine="360" w:firstLineChars="15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w:t>
      </w:r>
      <w:r>
        <w:rPr>
          <w:rFonts w:hint="eastAsia" w:ascii="宋体" w:hAnsi="宋体"/>
          <w:sz w:val="24"/>
          <w:highlight w:val="none"/>
          <w:lang w:val="en-US" w:eastAsia="zh-CN"/>
        </w:rPr>
        <w:t>8.1</w:t>
      </w:r>
      <w:r>
        <w:rPr>
          <w:rFonts w:hint="eastAsia" w:ascii="宋体" w:hAnsi="宋体"/>
          <w:sz w:val="24"/>
          <w:highlight w:val="none"/>
        </w:rPr>
        <w:t>投标人须依据招标文件内容和投标文件格式的要求编制投标文件；</w:t>
      </w:r>
    </w:p>
    <w:p>
      <w:pPr>
        <w:spacing w:line="360" w:lineRule="auto"/>
        <w:ind w:firstLine="360" w:firstLineChars="150"/>
        <w:rPr>
          <w:rFonts w:hint="eastAsia" w:ascii="宋体" w:hAnsi="宋体"/>
          <w:sz w:val="24"/>
          <w:highlight w:val="none"/>
        </w:rPr>
      </w:pPr>
      <w:r>
        <w:rPr>
          <w:rFonts w:hint="eastAsia" w:ascii="宋体" w:hAnsi="宋体"/>
          <w:sz w:val="24"/>
          <w:highlight w:val="none"/>
          <w:lang w:val="en-US" w:eastAsia="zh-CN"/>
        </w:rPr>
        <w:t>3.8</w:t>
      </w:r>
      <w:r>
        <w:rPr>
          <w:rFonts w:hint="eastAsia" w:ascii="宋体" w:hAnsi="宋体"/>
          <w:sz w:val="24"/>
          <w:highlight w:val="none"/>
        </w:rPr>
        <w:t>.2投标文件</w:t>
      </w:r>
      <w:r>
        <w:rPr>
          <w:rFonts w:hint="eastAsia" w:ascii="宋体" w:hAnsi="宋体"/>
          <w:sz w:val="24"/>
          <w:highlight w:val="none"/>
          <w:lang w:val="en-US" w:eastAsia="zh-CN"/>
        </w:rPr>
        <w:t>需</w:t>
      </w:r>
      <w:r>
        <w:rPr>
          <w:rFonts w:hint="eastAsia" w:ascii="宋体" w:hAnsi="宋体"/>
          <w:sz w:val="24"/>
          <w:highlight w:val="none"/>
        </w:rPr>
        <w:t>统一编码；</w:t>
      </w:r>
    </w:p>
    <w:p>
      <w:pPr>
        <w:spacing w:line="360" w:lineRule="auto"/>
        <w:ind w:firstLine="360" w:firstLineChars="150"/>
        <w:rPr>
          <w:rFonts w:hint="eastAsia" w:ascii="宋体" w:hAnsi="宋体"/>
          <w:sz w:val="24"/>
          <w:highlight w:val="none"/>
        </w:rPr>
      </w:pPr>
      <w:r>
        <w:rPr>
          <w:rFonts w:hint="eastAsia" w:ascii="宋体" w:hAnsi="宋体"/>
          <w:sz w:val="24"/>
          <w:highlight w:val="none"/>
          <w:lang w:val="en-US" w:eastAsia="zh-CN"/>
        </w:rPr>
        <w:t>3.8</w:t>
      </w: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 xml:space="preserve"> 投标人在投标文件中指定的页面的落款处，按招标文件要求加盖公章或签字；</w:t>
      </w:r>
    </w:p>
    <w:p>
      <w:pPr>
        <w:spacing w:line="360" w:lineRule="auto"/>
        <w:ind w:left="476" w:leftChars="172" w:hanging="115" w:hangingChars="48"/>
        <w:rPr>
          <w:rFonts w:hint="eastAsia" w:ascii="宋体" w:hAnsi="宋体"/>
          <w:sz w:val="24"/>
          <w:highlight w:val="none"/>
        </w:rPr>
      </w:pPr>
      <w:r>
        <w:rPr>
          <w:rFonts w:hint="eastAsia" w:ascii="宋体" w:hAnsi="宋体"/>
          <w:sz w:val="24"/>
          <w:highlight w:val="none"/>
          <w:lang w:val="en-US" w:eastAsia="zh-CN"/>
        </w:rPr>
        <w:t>3.8</w:t>
      </w: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投标人名称应填写全称，同时加盖公章；</w:t>
      </w:r>
    </w:p>
    <w:p>
      <w:pPr>
        <w:spacing w:line="360" w:lineRule="auto"/>
        <w:ind w:firstLine="360" w:firstLineChars="150"/>
        <w:rPr>
          <w:rFonts w:hint="eastAsia" w:ascii="宋体" w:hAnsi="宋体"/>
          <w:sz w:val="24"/>
          <w:highlight w:val="none"/>
        </w:rPr>
      </w:pPr>
      <w:r>
        <w:rPr>
          <w:rFonts w:hint="eastAsia" w:ascii="宋体" w:hAnsi="宋体"/>
          <w:sz w:val="24"/>
          <w:highlight w:val="none"/>
          <w:lang w:val="en-US" w:eastAsia="zh-CN"/>
        </w:rPr>
        <w:t>3.8</w:t>
      </w: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投标文件的任何行间插字、涂改和增删，必须由法定代表人或被授权人在改动处旁签字方为有效；</w:t>
      </w:r>
    </w:p>
    <w:p>
      <w:pPr>
        <w:spacing w:line="360" w:lineRule="auto"/>
        <w:ind w:firstLine="360" w:firstLineChars="150"/>
        <w:rPr>
          <w:rFonts w:hint="eastAsia" w:ascii="宋体" w:hAnsi="宋体"/>
          <w:sz w:val="24"/>
          <w:highlight w:val="none"/>
        </w:rPr>
      </w:pPr>
      <w:r>
        <w:rPr>
          <w:rFonts w:hint="eastAsia" w:ascii="宋体" w:hAnsi="宋体"/>
          <w:sz w:val="24"/>
          <w:highlight w:val="none"/>
          <w:lang w:val="en-US" w:eastAsia="zh-CN"/>
        </w:rPr>
        <w:t>3.8</w:t>
      </w:r>
      <w:r>
        <w:rPr>
          <w:rFonts w:hint="eastAsia" w:ascii="宋体" w:hAnsi="宋体"/>
          <w:sz w:val="24"/>
          <w:highlight w:val="none"/>
        </w:rPr>
        <w:t>.</w:t>
      </w:r>
      <w:r>
        <w:rPr>
          <w:rFonts w:hint="eastAsia" w:ascii="宋体" w:hAnsi="宋体"/>
          <w:sz w:val="24"/>
          <w:highlight w:val="none"/>
          <w:lang w:val="en-US" w:eastAsia="zh-CN"/>
        </w:rPr>
        <w:t>6</w:t>
      </w:r>
      <w:r>
        <w:rPr>
          <w:rFonts w:hint="eastAsia" w:ascii="宋体" w:hAnsi="宋体"/>
          <w:sz w:val="24"/>
          <w:highlight w:val="none"/>
        </w:rPr>
        <w:t>投标文件因字迹潦草或表达不清所引起的后果由投标人负责。</w:t>
      </w:r>
    </w:p>
    <w:p>
      <w:pPr>
        <w:spacing w:line="360" w:lineRule="auto"/>
        <w:ind w:firstLine="360" w:firstLineChars="150"/>
        <w:rPr>
          <w:rFonts w:hint="eastAsia" w:ascii="宋体" w:hAnsi="宋体"/>
          <w:color w:val="000000"/>
          <w:sz w:val="24"/>
          <w:highlight w:val="none"/>
          <w:lang w:val="en-US" w:eastAsia="zh-CN"/>
        </w:rPr>
      </w:pPr>
      <w:r>
        <w:rPr>
          <w:rFonts w:hint="eastAsia" w:ascii="宋体" w:hAnsi="宋体" w:cs="宋体"/>
          <w:color w:val="000000"/>
          <w:sz w:val="24"/>
          <w:highlight w:val="none"/>
          <w:lang w:val="en-US" w:eastAsia="zh-CN"/>
        </w:rPr>
        <w:t>3.8.7</w:t>
      </w:r>
      <w:r>
        <w:rPr>
          <w:rFonts w:ascii="宋体" w:hAnsi="宋体" w:cs="宋体"/>
          <w:color w:val="000000"/>
          <w:sz w:val="24"/>
          <w:highlight w:val="none"/>
        </w:rPr>
        <w:t xml:space="preserve"> </w:t>
      </w:r>
      <w:r>
        <w:rPr>
          <w:rFonts w:hint="eastAsia" w:ascii="宋体" w:hAnsi="宋体"/>
          <w:color w:val="000000"/>
          <w:sz w:val="24"/>
          <w:highlight w:val="none"/>
          <w:lang w:val="en-US" w:eastAsia="zh-CN"/>
        </w:rPr>
        <w:t>投标文件的制作和签章</w:t>
      </w:r>
    </w:p>
    <w:p>
      <w:pPr>
        <w:spacing w:line="360" w:lineRule="auto"/>
        <w:ind w:firstLine="360" w:firstLineChars="15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3.8.7.</w:t>
      </w:r>
      <w:r>
        <w:rPr>
          <w:rFonts w:hint="eastAsia" w:ascii="宋体" w:hAnsi="宋体" w:eastAsia="宋体" w:cs="宋体"/>
          <w:color w:val="000000"/>
          <w:sz w:val="24"/>
          <w:highlight w:val="none"/>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360" w:lineRule="auto"/>
        <w:ind w:firstLine="470" w:firstLineChars="196"/>
        <w:rPr>
          <w:rFonts w:hint="eastAsia" w:ascii="宋体" w:hAnsi="宋体" w:eastAsia="宋体" w:cs="宋体"/>
          <w:color w:val="000000"/>
          <w:sz w:val="24"/>
          <w:highlight w:val="none"/>
        </w:rPr>
      </w:pPr>
      <w:r>
        <w:rPr>
          <w:rFonts w:hint="eastAsia" w:ascii="宋体" w:hAnsi="宋体" w:eastAsia="宋体" w:cs="宋体"/>
          <w:color w:val="000000"/>
          <w:sz w:val="24"/>
          <w:highlight w:val="none"/>
        </w:rPr>
        <w:t>链接地址：</w:t>
      </w:r>
    </w:p>
    <w:p>
      <w:pPr>
        <w:spacing w:line="360" w:lineRule="auto"/>
        <w:ind w:firstLine="470" w:firstLineChars="196"/>
        <w:rPr>
          <w:rFonts w:hint="eastAsia" w:ascii="宋体" w:hAnsi="宋体" w:eastAsia="宋体" w:cs="宋体"/>
          <w:color w:val="000000"/>
          <w:sz w:val="24"/>
          <w:highlight w:val="none"/>
        </w:rPr>
      </w:pPr>
      <w:r>
        <w:rPr>
          <w:rFonts w:hint="eastAsia" w:ascii="宋体" w:hAnsi="宋体" w:eastAsia="宋体" w:cs="宋体"/>
          <w:color w:val="000000"/>
          <w:sz w:val="24"/>
          <w:highlight w:val="none"/>
        </w:rPr>
        <w:t>http://sxggzyjy.xa.gov.cn/fwzn/004003/20181115/4d59c184-e8f6-4d5a-a416-c2f6b0601e66.html</w:t>
      </w:r>
    </w:p>
    <w:p>
      <w:pPr>
        <w:spacing w:line="360" w:lineRule="auto"/>
        <w:ind w:firstLine="470" w:firstLineChars="196"/>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3.8.7.</w:t>
      </w:r>
      <w:r>
        <w:rPr>
          <w:rFonts w:hint="eastAsia" w:ascii="宋体" w:hAnsi="宋体" w:eastAsia="宋体" w:cs="宋体"/>
          <w:color w:val="000000"/>
          <w:sz w:val="24"/>
          <w:highlight w:val="none"/>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360" w:lineRule="auto"/>
        <w:ind w:firstLine="472" w:firstLineChars="196"/>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再次提醒：</w:t>
      </w:r>
      <w:r>
        <w:rPr>
          <w:rFonts w:hint="eastAsia" w:ascii="宋体" w:hAnsi="宋体" w:eastAsia="宋体" w:cs="宋体"/>
          <w:color w:val="000000"/>
          <w:sz w:val="24"/>
          <w:highlight w:val="none"/>
        </w:rPr>
        <w:t>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360" w:lineRule="auto"/>
        <w:ind w:firstLine="470" w:firstLineChars="196"/>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3.8.7.</w:t>
      </w:r>
      <w:r>
        <w:rPr>
          <w:rFonts w:hint="eastAsia" w:ascii="宋体" w:hAnsi="宋体" w:eastAsia="宋体" w:cs="宋体"/>
          <w:color w:val="000000"/>
          <w:sz w:val="24"/>
          <w:highlight w:val="none"/>
        </w:rPr>
        <w:t>3．电子投标文件制作过程中，需要法定代表人签字或盖章的地方，请使用“法人CA锁”进行签章；需要加盖供应商公章的地方，请使用“企业CA锁”进行签章。若导出的PDF文件里看不到签章，请尝试使用专用制作软件中的“查看投标文件工具”打开未加密的电子投标文件重新导出。在制作过程中，如有其他技术性问题，请先翻阅操作手册，或致电软件开发商。</w:t>
      </w:r>
    </w:p>
    <w:p>
      <w:pPr>
        <w:spacing w:line="360" w:lineRule="auto"/>
        <w:ind w:firstLine="480" w:firstLineChars="200"/>
        <w:rPr>
          <w:rFonts w:ascii="宋体"/>
          <w:color w:val="000000"/>
          <w:sz w:val="24"/>
          <w:highlight w:val="none"/>
        </w:rPr>
      </w:pPr>
      <w:r>
        <w:rPr>
          <w:rFonts w:hint="eastAsia" w:ascii="宋体" w:hAnsi="宋体"/>
          <w:color w:val="000000"/>
          <w:sz w:val="24"/>
          <w:highlight w:val="none"/>
          <w:lang w:val="en-US" w:eastAsia="zh-CN"/>
        </w:rPr>
        <w:t xml:space="preserve">3.8.7.4 </w:t>
      </w:r>
      <w:r>
        <w:rPr>
          <w:rFonts w:hint="eastAsia" w:ascii="宋体" w:hAnsi="宋体"/>
          <w:color w:val="000000"/>
          <w:sz w:val="24"/>
          <w:highlight w:val="none"/>
        </w:rPr>
        <w:t>投标文件应按</w:t>
      </w:r>
      <w:r>
        <w:rPr>
          <w:rFonts w:hint="eastAsia" w:ascii="宋体" w:hAnsi="宋体"/>
          <w:color w:val="000000"/>
          <w:sz w:val="24"/>
          <w:highlight w:val="none"/>
          <w:lang w:val="en-US" w:eastAsia="zh-CN"/>
        </w:rPr>
        <w:t>第六章</w:t>
      </w:r>
      <w:r>
        <w:rPr>
          <w:rFonts w:hint="eastAsia" w:ascii="宋体" w:hAnsi="宋体"/>
          <w:color w:val="000000"/>
          <w:sz w:val="24"/>
          <w:highlight w:val="none"/>
        </w:rPr>
        <w:t>“投标文件格式”进行编写，如有必要，可以增加附页，作为投标文件的组成部分。其中，投标函附录在满足招标文件实质性要求的基础上，可以提出比招标文件要求更有利于采购人的承诺。</w:t>
      </w:r>
    </w:p>
    <w:p>
      <w:pPr>
        <w:spacing w:line="360" w:lineRule="auto"/>
        <w:ind w:firstLine="480" w:firstLineChars="200"/>
        <w:rPr>
          <w:rFonts w:ascii="宋体"/>
          <w:color w:val="000000"/>
          <w:sz w:val="24"/>
          <w:highlight w:val="none"/>
        </w:rPr>
      </w:pPr>
      <w:r>
        <w:rPr>
          <w:rFonts w:hint="eastAsia" w:ascii="宋体" w:hAnsi="宋体"/>
          <w:color w:val="000000"/>
          <w:sz w:val="24"/>
          <w:highlight w:val="none"/>
          <w:lang w:val="en-US" w:eastAsia="zh-CN"/>
        </w:rPr>
        <w:t>3.8.7.5</w:t>
      </w:r>
      <w:r>
        <w:rPr>
          <w:rFonts w:ascii="宋体" w:hAnsi="宋体"/>
          <w:color w:val="000000"/>
          <w:sz w:val="24"/>
          <w:highlight w:val="none"/>
        </w:rPr>
        <w:t xml:space="preserve"> </w:t>
      </w:r>
      <w:r>
        <w:rPr>
          <w:rFonts w:hint="eastAsia" w:ascii="宋体" w:hAnsi="宋体"/>
          <w:color w:val="000000"/>
          <w:sz w:val="24"/>
          <w:highlight w:val="none"/>
        </w:rPr>
        <w:t>投标文件应当对招标文件有关合同期限、投标有效期、工作内容和要求等实质性内容作出响应。</w:t>
      </w:r>
    </w:p>
    <w:p>
      <w:pPr>
        <w:spacing w:line="360" w:lineRule="auto"/>
        <w:ind w:firstLine="361" w:firstLineChars="150"/>
        <w:rPr>
          <w:rFonts w:hint="eastAsia" w:ascii="宋体" w:hAnsi="宋体" w:cs="Times New Roman"/>
          <w:color w:val="000000"/>
          <w:sz w:val="24"/>
          <w:highlight w:val="none"/>
          <w:lang w:val="en-US" w:eastAsia="zh-CN"/>
        </w:rPr>
      </w:pPr>
      <w:r>
        <w:rPr>
          <w:rFonts w:hint="eastAsia" w:ascii="宋体" w:hAnsi="宋体" w:eastAsia="宋体" w:cs="Times New Roman"/>
          <w:b/>
          <w:bCs/>
          <w:color w:val="000000"/>
          <w:kern w:val="2"/>
          <w:sz w:val="24"/>
          <w:szCs w:val="24"/>
          <w:highlight w:val="none"/>
          <w:lang w:val="en-US" w:eastAsia="zh-CN" w:bidi="ar-SA"/>
        </w:rPr>
        <w:t>3.9、文字要求</w:t>
      </w:r>
    </w:p>
    <w:p>
      <w:pPr>
        <w:spacing w:line="360" w:lineRule="auto"/>
        <w:ind w:firstLine="480" w:firstLineChars="200"/>
        <w:rPr>
          <w:rFonts w:hint="default"/>
          <w:highlight w:val="none"/>
          <w:lang w:val="en-US" w:eastAsia="zh-CN"/>
        </w:rPr>
      </w:pPr>
      <w:r>
        <w:rPr>
          <w:rFonts w:hint="eastAsia" w:ascii="宋体" w:hAnsi="宋体"/>
          <w:color w:val="000000"/>
          <w:sz w:val="24"/>
          <w:highlight w:val="none"/>
        </w:rPr>
        <w:t>本次招标只接受简体中文文字的投标文件。</w:t>
      </w:r>
    </w:p>
    <w:p>
      <w:pPr>
        <w:spacing w:line="360" w:lineRule="auto"/>
        <w:rPr>
          <w:rFonts w:ascii="宋体" w:cs="宋体"/>
          <w:b/>
          <w:color w:val="000000" w:themeColor="text1"/>
          <w:sz w:val="24"/>
          <w:highlight w:val="none"/>
          <w14:textFill>
            <w14:solidFill>
              <w14:schemeClr w14:val="tx1"/>
            </w14:solidFill>
          </w14:textFill>
        </w:rPr>
      </w:pPr>
      <w:bookmarkStart w:id="153" w:name="_Toc339114134"/>
      <w:r>
        <w:rPr>
          <w:rFonts w:ascii="宋体" w:hAnsi="宋体" w:cs="宋体"/>
          <w:b/>
          <w:color w:val="000000" w:themeColor="text1"/>
          <w:sz w:val="24"/>
          <w:highlight w:val="none"/>
          <w14:textFill>
            <w14:solidFill>
              <w14:schemeClr w14:val="tx1"/>
            </w14:solidFill>
          </w14:textFill>
        </w:rPr>
        <w:t xml:space="preserve">4. </w:t>
      </w:r>
      <w:r>
        <w:rPr>
          <w:rFonts w:hint="eastAsia" w:ascii="宋体" w:hAnsi="宋体" w:cs="宋体"/>
          <w:b/>
          <w:color w:val="000000" w:themeColor="text1"/>
          <w:sz w:val="24"/>
          <w:highlight w:val="none"/>
          <w14:textFill>
            <w14:solidFill>
              <w14:schemeClr w14:val="tx1"/>
            </w14:solidFill>
          </w14:textFill>
        </w:rPr>
        <w:t>投</w:t>
      </w:r>
      <w:bookmarkStart w:id="154" w:name="_Toc144974523"/>
      <w:bookmarkStart w:id="155" w:name="_Toc152042331"/>
      <w:bookmarkStart w:id="156" w:name="_Toc152045555"/>
      <w:r>
        <w:rPr>
          <w:rFonts w:hint="eastAsia" w:ascii="宋体" w:hAnsi="宋体" w:cs="宋体"/>
          <w:b/>
          <w:color w:val="000000" w:themeColor="text1"/>
          <w:sz w:val="24"/>
          <w:highlight w:val="none"/>
          <w14:textFill>
            <w14:solidFill>
              <w14:schemeClr w14:val="tx1"/>
            </w14:solidFill>
          </w14:textFill>
        </w:rPr>
        <w:t>标</w:t>
      </w:r>
      <w:bookmarkEnd w:id="153"/>
    </w:p>
    <w:bookmarkEnd w:id="154"/>
    <w:bookmarkEnd w:id="155"/>
    <w:bookmarkEnd w:id="156"/>
    <w:p>
      <w:pPr>
        <w:spacing w:line="520" w:lineRule="exact"/>
        <w:ind w:firstLine="241" w:firstLineChars="100"/>
        <w:rPr>
          <w:rFonts w:hint="eastAsia" w:ascii="宋体" w:hAnsi="宋体"/>
          <w:b/>
          <w:sz w:val="24"/>
          <w:highlight w:val="none"/>
        </w:rPr>
      </w:pPr>
      <w:bookmarkStart w:id="157" w:name="_Toc339114141"/>
      <w:r>
        <w:rPr>
          <w:rFonts w:hint="eastAsia" w:ascii="宋体" w:hAnsi="宋体"/>
          <w:b/>
          <w:sz w:val="24"/>
          <w:highlight w:val="none"/>
        </w:rPr>
        <w:t xml:space="preserve"> </w:t>
      </w:r>
      <w:r>
        <w:rPr>
          <w:rFonts w:hint="eastAsia" w:ascii="宋体" w:hAnsi="宋体"/>
          <w:b/>
          <w:sz w:val="24"/>
          <w:highlight w:val="none"/>
          <w:lang w:val="en-US" w:eastAsia="zh-CN"/>
        </w:rPr>
        <w:t>4.1</w:t>
      </w:r>
      <w:r>
        <w:rPr>
          <w:rFonts w:hint="eastAsia" w:ascii="宋体" w:hAnsi="宋体"/>
          <w:b/>
          <w:sz w:val="24"/>
          <w:highlight w:val="none"/>
        </w:rPr>
        <w:t>提交投标文件的方式</w:t>
      </w:r>
    </w:p>
    <w:p>
      <w:pPr>
        <w:spacing w:line="360" w:lineRule="auto"/>
        <w:ind w:firstLine="480" w:firstLineChars="200"/>
        <w:rPr>
          <w:rFonts w:hint="eastAsia" w:ascii="宋体"/>
          <w:sz w:val="24"/>
          <w:highlight w:val="none"/>
        </w:rPr>
      </w:pPr>
      <w:r>
        <w:rPr>
          <w:rFonts w:hint="eastAsia" w:ascii="宋体"/>
          <w:sz w:val="24"/>
          <w:highlight w:val="none"/>
        </w:rPr>
        <w:t>提交投标文件的方式：从西安市公共资源交易平台〖首页〉电子交易平台〉陕西政府采购交易系统〉企业端〗登录，登录后切换到〖我的项目〗模块，依次点选〖项目流程〉项目管理〉上传响应文件〗上传加密后的电子投标文件（*.SXSTF）。上传成功后，电子化平台将予以记录。</w:t>
      </w:r>
    </w:p>
    <w:p>
      <w:pPr>
        <w:spacing w:line="360" w:lineRule="auto"/>
        <w:ind w:firstLine="241" w:firstLineChars="100"/>
        <w:rPr>
          <w:rFonts w:hint="eastAsia" w:ascii="宋体" w:hAnsi="宋体"/>
          <w:b/>
          <w:sz w:val="24"/>
          <w:highlight w:val="none"/>
        </w:rPr>
      </w:pPr>
      <w:r>
        <w:rPr>
          <w:rFonts w:hint="eastAsia" w:ascii="宋体" w:hAnsi="宋体"/>
          <w:b/>
          <w:sz w:val="24"/>
          <w:highlight w:val="none"/>
          <w:lang w:val="en-US" w:eastAsia="zh-CN"/>
        </w:rPr>
        <w:t>4.2</w:t>
      </w:r>
      <w:r>
        <w:rPr>
          <w:rFonts w:hint="eastAsia" w:ascii="宋体" w:hAnsi="宋体"/>
          <w:b/>
          <w:sz w:val="24"/>
          <w:highlight w:val="none"/>
        </w:rPr>
        <w:t>投标文件递交</w:t>
      </w:r>
    </w:p>
    <w:p>
      <w:pPr>
        <w:spacing w:line="360" w:lineRule="auto"/>
        <w:ind w:firstLine="480" w:firstLineChars="200"/>
        <w:rPr>
          <w:rFonts w:hint="eastAsia" w:ascii="宋体" w:hAnsi="宋体"/>
          <w:sz w:val="24"/>
          <w:highlight w:val="none"/>
        </w:rPr>
      </w:pPr>
      <w:r>
        <w:rPr>
          <w:rFonts w:hint="eastAsia" w:ascii="宋体" w:hAnsi="宋体"/>
          <w:sz w:val="24"/>
          <w:highlight w:val="none"/>
        </w:rPr>
        <w:t>投标文件以</w:t>
      </w:r>
      <w:r>
        <w:rPr>
          <w:rFonts w:hint="eastAsia" w:ascii="宋体"/>
          <w:sz w:val="24"/>
          <w:highlight w:val="none"/>
        </w:rPr>
        <w:t>西安市公共资源交易平台</w:t>
      </w:r>
      <w:r>
        <w:rPr>
          <w:rFonts w:hint="eastAsia" w:ascii="宋体" w:hAnsi="宋体"/>
          <w:sz w:val="24"/>
          <w:highlight w:val="none"/>
        </w:rPr>
        <w:t>系统公示的</w:t>
      </w:r>
      <w:r>
        <w:rPr>
          <w:rFonts w:hint="eastAsia" w:ascii="宋体" w:hAnsi="宋体"/>
          <w:sz w:val="24"/>
          <w:highlight w:val="none"/>
          <w:lang w:eastAsia="zh-CN"/>
        </w:rPr>
        <w:t>开标</w:t>
      </w:r>
      <w:r>
        <w:rPr>
          <w:rFonts w:hint="eastAsia" w:ascii="宋体" w:hAnsi="宋体"/>
          <w:sz w:val="24"/>
          <w:highlight w:val="none"/>
        </w:rPr>
        <w:t>时间为准，在</w:t>
      </w:r>
      <w:r>
        <w:rPr>
          <w:rFonts w:hint="eastAsia" w:ascii="宋体" w:hAnsi="宋体"/>
          <w:sz w:val="24"/>
          <w:highlight w:val="none"/>
          <w:lang w:eastAsia="zh-CN"/>
        </w:rPr>
        <w:t>开标</w:t>
      </w:r>
      <w:r>
        <w:rPr>
          <w:rFonts w:hint="eastAsia" w:ascii="宋体" w:hAnsi="宋体"/>
          <w:sz w:val="24"/>
          <w:highlight w:val="none"/>
        </w:rPr>
        <w:t>前上传至</w:t>
      </w:r>
      <w:r>
        <w:rPr>
          <w:rFonts w:hint="eastAsia" w:ascii="宋体"/>
          <w:sz w:val="24"/>
          <w:highlight w:val="none"/>
        </w:rPr>
        <w:t>西安市公共资源交易平台</w:t>
      </w:r>
      <w:r>
        <w:rPr>
          <w:rFonts w:hint="eastAsia" w:ascii="宋体" w:hAnsi="宋体"/>
          <w:sz w:val="24"/>
          <w:highlight w:val="none"/>
        </w:rPr>
        <w:t>。因供应商自身原因造成无法解密投标文件，按无效投标对待。</w:t>
      </w:r>
    </w:p>
    <w:p>
      <w:pPr>
        <w:spacing w:line="360" w:lineRule="auto"/>
        <w:ind w:firstLine="241" w:firstLineChars="100"/>
        <w:rPr>
          <w:rFonts w:hint="eastAsia" w:ascii="宋体" w:hAnsi="宋体"/>
          <w:b/>
          <w:sz w:val="24"/>
          <w:highlight w:val="none"/>
        </w:rPr>
      </w:pPr>
      <w:r>
        <w:rPr>
          <w:rFonts w:hint="eastAsia" w:ascii="宋体" w:hAnsi="宋体"/>
          <w:b/>
          <w:sz w:val="24"/>
          <w:highlight w:val="none"/>
          <w:lang w:val="en-US" w:eastAsia="zh-CN"/>
        </w:rPr>
        <w:t>4.3</w:t>
      </w:r>
      <w:r>
        <w:rPr>
          <w:rFonts w:hint="eastAsia" w:ascii="宋体" w:hAnsi="宋体"/>
          <w:b/>
          <w:sz w:val="24"/>
          <w:highlight w:val="none"/>
        </w:rPr>
        <w:t>投标截止时间</w:t>
      </w:r>
    </w:p>
    <w:p>
      <w:pPr>
        <w:pStyle w:val="36"/>
        <w:shd w:val="clear" w:color="auto" w:fill="FFFFFF"/>
        <w:spacing w:before="0" w:beforeAutospacing="0" w:after="0" w:afterAutospacing="0" w:line="360" w:lineRule="auto"/>
        <w:ind w:firstLine="420"/>
        <w:rPr>
          <w:rFonts w:hint="eastAsia"/>
          <w:color w:val="000000"/>
          <w:highlight w:val="none"/>
        </w:rPr>
      </w:pPr>
      <w:r>
        <w:rPr>
          <w:rFonts w:hint="eastAsia"/>
          <w:color w:val="000000"/>
          <w:highlight w:val="none"/>
        </w:rPr>
        <w:t>202</w:t>
      </w:r>
      <w:r>
        <w:rPr>
          <w:rFonts w:hint="eastAsia"/>
          <w:color w:val="000000"/>
          <w:highlight w:val="none"/>
          <w:lang w:val="en-US" w:eastAsia="zh-CN"/>
        </w:rPr>
        <w:t>3</w:t>
      </w:r>
      <w:r>
        <w:rPr>
          <w:rFonts w:hint="eastAsia"/>
          <w:color w:val="000000"/>
          <w:highlight w:val="none"/>
        </w:rPr>
        <w:t>年</w:t>
      </w:r>
      <w:r>
        <w:rPr>
          <w:rFonts w:hint="eastAsia"/>
          <w:color w:val="000000"/>
          <w:highlight w:val="none"/>
          <w:lang w:val="en-US" w:eastAsia="zh-CN"/>
        </w:rPr>
        <w:t>04</w:t>
      </w:r>
      <w:r>
        <w:rPr>
          <w:rFonts w:hint="eastAsia"/>
          <w:color w:val="000000"/>
          <w:highlight w:val="none"/>
        </w:rPr>
        <w:t>月</w:t>
      </w:r>
      <w:r>
        <w:rPr>
          <w:rFonts w:hint="eastAsia"/>
          <w:color w:val="000000"/>
          <w:highlight w:val="none"/>
          <w:lang w:val="en-US" w:eastAsia="zh-CN"/>
        </w:rPr>
        <w:t>04</w:t>
      </w:r>
      <w:r>
        <w:rPr>
          <w:rFonts w:hint="eastAsia"/>
          <w:color w:val="000000"/>
          <w:highlight w:val="none"/>
        </w:rPr>
        <w:t>日</w:t>
      </w:r>
      <w:r>
        <w:rPr>
          <w:rFonts w:hint="eastAsia"/>
          <w:color w:val="000000"/>
          <w:highlight w:val="none"/>
          <w:lang w:val="en-US" w:eastAsia="zh-CN"/>
        </w:rPr>
        <w:t>09</w:t>
      </w:r>
      <w:r>
        <w:rPr>
          <w:rFonts w:hint="eastAsia"/>
          <w:color w:val="000000"/>
          <w:highlight w:val="none"/>
        </w:rPr>
        <w:t>时</w:t>
      </w:r>
      <w:r>
        <w:rPr>
          <w:rFonts w:hint="eastAsia"/>
          <w:color w:val="000000"/>
          <w:highlight w:val="none"/>
          <w:lang w:val="en-US" w:eastAsia="zh-CN"/>
        </w:rPr>
        <w:t>30</w:t>
      </w:r>
      <w:r>
        <w:rPr>
          <w:rFonts w:hint="eastAsia"/>
          <w:color w:val="000000"/>
          <w:highlight w:val="none"/>
        </w:rPr>
        <w:t>分00秒（北京时间）</w:t>
      </w:r>
    </w:p>
    <w:p>
      <w:pPr>
        <w:pStyle w:val="36"/>
        <w:shd w:val="clear" w:color="auto" w:fill="FFFFFF"/>
        <w:spacing w:before="0" w:beforeAutospacing="0" w:after="0" w:afterAutospacing="0" w:line="360" w:lineRule="auto"/>
        <w:ind w:firstLine="420"/>
        <w:rPr>
          <w:rFonts w:hint="eastAsia"/>
          <w:color w:val="000000"/>
          <w:highlight w:val="none"/>
        </w:rPr>
      </w:pPr>
      <w:r>
        <w:rPr>
          <w:rFonts w:hint="eastAsia"/>
          <w:color w:val="000000"/>
          <w:highlight w:val="none"/>
        </w:rPr>
        <w:t>地点：</w:t>
      </w:r>
      <w:r>
        <w:rPr>
          <w:rFonts w:hint="eastAsia" w:cs="宋体"/>
          <w:color w:val="000000"/>
          <w:highlight w:val="none"/>
        </w:rPr>
        <w:t>全国公共资源交易平台（陕西省·西安市）</w:t>
      </w:r>
      <w:r>
        <w:rPr>
          <w:rFonts w:hint="eastAsia" w:ascii="宋体" w:hAnsi="宋体" w:eastAsia="宋体"/>
          <w:sz w:val="24"/>
          <w:highlight w:val="none"/>
          <w:lang w:val="en-US" w:eastAsia="zh-CN"/>
        </w:rPr>
        <w:t>递交电子投标文件</w:t>
      </w:r>
    </w:p>
    <w:p>
      <w:pPr>
        <w:spacing w:line="360" w:lineRule="auto"/>
        <w:ind w:firstLine="241" w:firstLineChars="100"/>
        <w:rPr>
          <w:rFonts w:hint="default" w:ascii="宋体" w:hAnsi="宋体" w:cs="Times New Roman"/>
          <w:b/>
          <w:sz w:val="24"/>
          <w:highlight w:val="none"/>
          <w:lang w:val="en-US" w:eastAsia="zh-CN"/>
        </w:rPr>
      </w:pPr>
      <w:r>
        <w:rPr>
          <w:rFonts w:hint="eastAsia" w:ascii="宋体" w:hAnsi="宋体" w:cs="Times New Roman"/>
          <w:b/>
          <w:sz w:val="24"/>
          <w:highlight w:val="none"/>
          <w:lang w:val="en-US" w:eastAsia="zh-CN"/>
        </w:rPr>
        <w:t>4.4</w:t>
      </w:r>
      <w:r>
        <w:rPr>
          <w:rFonts w:hint="eastAsia" w:ascii="宋体" w:hAnsi="宋体" w:cs="Times New Roman"/>
          <w:b/>
          <w:sz w:val="24"/>
          <w:highlight w:val="none"/>
        </w:rPr>
        <w:t>投标文件的修改</w:t>
      </w:r>
      <w:r>
        <w:rPr>
          <w:rFonts w:hint="eastAsia" w:ascii="宋体" w:hAnsi="宋体" w:cs="Times New Roman"/>
          <w:b/>
          <w:sz w:val="24"/>
          <w:highlight w:val="none"/>
          <w:lang w:val="en-US" w:eastAsia="zh-CN"/>
        </w:rPr>
        <w:t>和澄清</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4.4.</w:t>
      </w:r>
      <w:r>
        <w:rPr>
          <w:rFonts w:hint="eastAsia" w:asciiTheme="minorEastAsia" w:hAnsiTheme="minorEastAsia" w:eastAsiaTheme="minorEastAsia" w:cstheme="minorEastAsia"/>
          <w:sz w:val="24"/>
          <w:szCs w:val="24"/>
          <w:highlight w:val="none"/>
        </w:rPr>
        <w:t>1提交投标文件截止之日前，采购人或采购代理机构可能对已发出的招标文件进行澄清或者修改，澄清或者修改的内容为招标文件的组成部分。当需要澄清或修改时，采购代理机构将在提交投标文件截止之日15日前，在财政部门指定的“政府采购信息发布媒体”上发布变更公告；不足15日的，将顺延提交投标文件截止时间。</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4.4.2</w:t>
      </w:r>
      <w:r>
        <w:rPr>
          <w:rFonts w:hint="eastAsia" w:asciiTheme="minorEastAsia" w:hAnsiTheme="minorEastAsia" w:eastAsiaTheme="minorEastAsia" w:cstheme="minorEastAsia"/>
          <w:sz w:val="24"/>
          <w:szCs w:val="24"/>
          <w:highlight w:val="none"/>
        </w:rPr>
        <w:t>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lang w:val="en-US" w:eastAsia="zh-CN"/>
        </w:rPr>
        <w:t>.4.3</w:t>
      </w:r>
      <w:r>
        <w:rPr>
          <w:rFonts w:hint="eastAsia" w:asciiTheme="minorEastAsia" w:hAnsiTheme="minorEastAsia" w:eastAsiaTheme="minorEastAsia" w:cstheme="minorEastAsia"/>
          <w:sz w:val="24"/>
          <w:szCs w:val="24"/>
          <w:highlight w:val="none"/>
        </w:rPr>
        <w:t>请各供应商在提交投标文件截止时间之前，务必随时关注“政府采购信息发布媒体”上发布的变更公告，采购代理机构不再另行通知，因供应商未及时关注所造成的一切后果由供应商自行承担：</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"http://www.ccgp-shaanxi.gov.cn"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陕西省政府采购网</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"http://www.ccgp-shaanxi.gov.cn/"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http://www.ccgp-shaanxi.gov.cn/</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t>）中的〖首页〉信息公告〉市级〉西安市〗；</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"http://xa.sxggzyjy.cn/"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全国公共资源交易网（陕西省·西安市）</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"http://sxggzyjy.xa.gov.cn/"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http://sxggzyjy.xa.gov.cn/</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t>）中的〖首页〉交易大厅〉政府采购〗。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开标程序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5.1开标工作由采购代理机构组织实施，整个过程受同级政府采购监管机构的监督、管理。开标大会由采购代理机构主持、采购人参会人员及有关工作人员参加。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5.2本项目采取“不见面开标”流程</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5.2.</w:t>
      </w:r>
      <w:r>
        <w:rPr>
          <w:rFonts w:hint="eastAsia" w:asciiTheme="minorEastAsia" w:hAnsiTheme="minorEastAsia" w:eastAsiaTheme="minorEastAsia" w:cstheme="minorEastAsia"/>
          <w:sz w:val="24"/>
          <w:szCs w:val="24"/>
          <w:highlight w:val="none"/>
        </w:rPr>
        <w:t>1供应商登录：开标前，请各供应商至少提前半小时登录西安市公共资源交易平台〖首页〉不见面开标〗系统。</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5.2.</w:t>
      </w:r>
      <w:r>
        <w:rPr>
          <w:rFonts w:hint="eastAsia" w:asciiTheme="minorEastAsia" w:hAnsiTheme="minorEastAsia" w:eastAsiaTheme="minorEastAsia" w:cstheme="minorEastAsia"/>
          <w:sz w:val="24"/>
          <w:szCs w:val="24"/>
          <w:highlight w:val="none"/>
        </w:rPr>
        <w:t>2主持人宣布开标：提交投标文件截止时间过后，系统将不再接收任何投标文件。</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5.2.</w:t>
      </w:r>
      <w:r>
        <w:rPr>
          <w:rFonts w:hint="eastAsia" w:asciiTheme="minorEastAsia" w:hAnsiTheme="minorEastAsia" w:eastAsiaTheme="minorEastAsia" w:cstheme="minorEastAsia"/>
          <w:sz w:val="24"/>
          <w:szCs w:val="24"/>
          <w:highlight w:val="none"/>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5.2.</w:t>
      </w:r>
      <w:r>
        <w:rPr>
          <w:rFonts w:hint="eastAsia" w:asciiTheme="minorEastAsia" w:hAnsiTheme="minorEastAsia" w:eastAsiaTheme="minorEastAsia" w:cstheme="minorEastAsia"/>
          <w:sz w:val="24"/>
          <w:szCs w:val="24"/>
          <w:highlight w:val="none"/>
        </w:rPr>
        <w:t>4唱标：公开招标项目，“不见面开标”系统将自动展示供应商名单及其投标报价。</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5.2.</w:t>
      </w:r>
      <w:r>
        <w:rPr>
          <w:rFonts w:hint="eastAsia" w:asciiTheme="minorEastAsia" w:hAnsiTheme="minorEastAsia" w:eastAsiaTheme="minorEastAsia" w:cstheme="minorEastAsia"/>
          <w:sz w:val="24"/>
          <w:szCs w:val="24"/>
          <w:highlight w:val="none"/>
        </w:rPr>
        <w:t>5开标结束：进入评审环节。供应商请保持在线，评审期间评标委员会可能会要求供应商做相应的澄清。因供应商擅自离席造成的不利后果，由供应商自行承担。</w:t>
      </w:r>
    </w:p>
    <w:p>
      <w:pPr>
        <w:pStyle w:val="136"/>
        <w:spacing w:before="210" w:after="210"/>
        <w:ind w:firstLine="640"/>
        <w:rPr>
          <w:rFonts w:hint="eastAsia" w:asciiTheme="minorEastAsia" w:hAnsiTheme="minorEastAsia" w:eastAsiaTheme="minorEastAsia" w:cstheme="minorEastAsia"/>
          <w:sz w:val="24"/>
          <w:szCs w:val="24"/>
          <w:highlight w:val="none"/>
        </w:rPr>
      </w:pPr>
      <w:bookmarkStart w:id="158" w:name="_Toc27805"/>
      <w:bookmarkStart w:id="159" w:name="_Toc24529"/>
      <w:bookmarkStart w:id="160" w:name="_Toc27809"/>
      <w:r>
        <w:rPr>
          <w:rFonts w:hint="eastAsia" w:asciiTheme="minorEastAsia" w:hAnsiTheme="minorEastAsia" w:eastAsiaTheme="minorEastAsia" w:cstheme="minorEastAsia"/>
          <w:sz w:val="24"/>
          <w:szCs w:val="24"/>
          <w:highlight w:val="none"/>
          <w:lang w:val="en-US" w:eastAsia="zh-CN"/>
        </w:rPr>
        <w:t>5.3</w:t>
      </w:r>
      <w:r>
        <w:rPr>
          <w:rFonts w:hint="eastAsia" w:asciiTheme="minorEastAsia" w:hAnsiTheme="minorEastAsia" w:eastAsiaTheme="minorEastAsia" w:cstheme="minorEastAsia"/>
          <w:sz w:val="24"/>
          <w:szCs w:val="24"/>
          <w:highlight w:val="none"/>
        </w:rPr>
        <w:t>开标环节投标文件视为无效的情形</w:t>
      </w:r>
      <w:bookmarkEnd w:id="158"/>
      <w:bookmarkEnd w:id="159"/>
      <w:bookmarkEnd w:id="160"/>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5.3.</w:t>
      </w:r>
      <w:r>
        <w:rPr>
          <w:rFonts w:hint="eastAsia" w:asciiTheme="minorEastAsia" w:hAnsiTheme="minorEastAsia" w:eastAsiaTheme="minorEastAsia" w:cstheme="minorEastAsia"/>
          <w:sz w:val="24"/>
          <w:szCs w:val="24"/>
          <w:highlight w:val="none"/>
        </w:rPr>
        <w:t>1供应商放弃或拒绝对电子投标文件进行解密的；</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5.3.</w:t>
      </w:r>
      <w:r>
        <w:rPr>
          <w:rFonts w:hint="eastAsia" w:asciiTheme="minorEastAsia" w:hAnsiTheme="minorEastAsia" w:eastAsiaTheme="minorEastAsia" w:cstheme="minorEastAsia"/>
          <w:sz w:val="24"/>
          <w:szCs w:val="24"/>
          <w:highlight w:val="none"/>
        </w:rPr>
        <w:t>2因供应商自身原因，导致未在规定的解密时限内完整解密的，如忘带CA锁、或携带的CA锁与加密文件的CA锁不同、或使用旧版招标文件编制投标文件等情形；</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5.3.</w:t>
      </w:r>
      <w:r>
        <w:rPr>
          <w:rFonts w:hint="eastAsia" w:asciiTheme="minorEastAsia" w:hAnsiTheme="minorEastAsia" w:eastAsiaTheme="minorEastAsia" w:cstheme="minorEastAsia"/>
          <w:sz w:val="24"/>
          <w:szCs w:val="24"/>
          <w:highlight w:val="none"/>
        </w:rPr>
        <w:t>3上传的电子投标文件无法正常打开的；</w:t>
      </w:r>
    </w:p>
    <w:p>
      <w:pPr>
        <w:spacing w:line="560" w:lineRule="exact"/>
        <w:ind w:firstLine="480" w:firstLineChars="200"/>
        <w:jc w:val="both"/>
        <w:rPr>
          <w:rFonts w:hint="eastAsia"/>
          <w:highlight w:val="none"/>
        </w:rPr>
      </w:pPr>
      <w:r>
        <w:rPr>
          <w:rFonts w:hint="eastAsia" w:asciiTheme="minorEastAsia" w:hAnsiTheme="minorEastAsia" w:eastAsiaTheme="minorEastAsia" w:cstheme="minorEastAsia"/>
          <w:sz w:val="24"/>
          <w:szCs w:val="24"/>
          <w:highlight w:val="none"/>
          <w:lang w:val="en-US" w:eastAsia="zh-CN"/>
        </w:rPr>
        <w:t>5.3.</w:t>
      </w:r>
      <w:r>
        <w:rPr>
          <w:rFonts w:hint="eastAsia" w:asciiTheme="minorEastAsia" w:hAnsiTheme="minorEastAsia" w:eastAsiaTheme="minorEastAsia" w:cstheme="minorEastAsia"/>
          <w:sz w:val="24"/>
          <w:szCs w:val="24"/>
          <w:highlight w:val="none"/>
        </w:rPr>
        <w:t>4政府采购法律法规规定的其他无效情形。</w:t>
      </w:r>
    </w:p>
    <w:p>
      <w:pPr>
        <w:spacing w:line="560" w:lineRule="exact"/>
        <w:jc w:val="both"/>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6.</w:t>
      </w:r>
      <w:r>
        <w:rPr>
          <w:rFonts w:hint="eastAsia" w:asciiTheme="minorEastAsia" w:hAnsiTheme="minorEastAsia" w:eastAsiaTheme="minorEastAsia" w:cstheme="minorEastAsia"/>
          <w:b/>
          <w:bCs/>
          <w:sz w:val="24"/>
          <w:szCs w:val="24"/>
          <w:highlight w:val="none"/>
        </w:rPr>
        <w:t>投标文件的补充、修改和撤回</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2供应商在提交投标文件截止时间后，撤回投标文件的，投标保证金不予退还。</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spacing w:line="560" w:lineRule="exact"/>
        <w:jc w:val="both"/>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7</w:t>
      </w:r>
      <w:r>
        <w:rPr>
          <w:rFonts w:hint="eastAsia" w:asciiTheme="minorEastAsia" w:hAnsiTheme="minorEastAsia" w:eastAsiaTheme="minorEastAsia" w:cstheme="minorEastAsia"/>
          <w:b/>
          <w:bCs/>
          <w:sz w:val="24"/>
          <w:szCs w:val="24"/>
          <w:highlight w:val="none"/>
        </w:rPr>
        <w:t>. 评</w:t>
      </w:r>
      <w:bookmarkStart w:id="161" w:name="_Toc152045562"/>
      <w:bookmarkStart w:id="162" w:name="_Toc144974530"/>
      <w:bookmarkStart w:id="163" w:name="_Toc152042338"/>
      <w:r>
        <w:rPr>
          <w:rFonts w:hint="eastAsia" w:asciiTheme="minorEastAsia" w:hAnsiTheme="minorEastAsia" w:eastAsiaTheme="minorEastAsia" w:cstheme="minorEastAsia"/>
          <w:b/>
          <w:bCs/>
          <w:sz w:val="24"/>
          <w:szCs w:val="24"/>
          <w:highlight w:val="none"/>
        </w:rPr>
        <w:t>标</w:t>
      </w:r>
      <w:bookmarkEnd w:id="157"/>
    </w:p>
    <w:p>
      <w:pPr>
        <w:spacing w:line="560" w:lineRule="exact"/>
        <w:ind w:firstLine="480" w:firstLineChars="200"/>
        <w:jc w:val="both"/>
        <w:rPr>
          <w:rFonts w:hint="eastAsia" w:asciiTheme="minorEastAsia" w:hAnsiTheme="minorEastAsia" w:eastAsiaTheme="minorEastAsia" w:cstheme="minorEastAsia"/>
          <w:sz w:val="24"/>
          <w:szCs w:val="24"/>
          <w:highlight w:val="none"/>
          <w:lang w:val="zh-CN"/>
        </w:rPr>
      </w:pPr>
      <w:bookmarkStart w:id="164" w:name="_Toc339012159"/>
      <w:bookmarkStart w:id="165" w:name="_Toc339114142"/>
      <w:bookmarkStart w:id="166" w:name="_Toc331665321"/>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.1</w:t>
      </w:r>
      <w:bookmarkEnd w:id="161"/>
      <w:bookmarkEnd w:id="162"/>
      <w:bookmarkEnd w:id="163"/>
      <w:r>
        <w:rPr>
          <w:rFonts w:hint="eastAsia" w:asciiTheme="minorEastAsia" w:hAnsiTheme="minorEastAsia" w:eastAsiaTheme="minorEastAsia" w:cstheme="minorEastAsia"/>
          <w:sz w:val="24"/>
          <w:szCs w:val="24"/>
          <w:highlight w:val="none"/>
        </w:rPr>
        <w:t xml:space="preserve"> </w:t>
      </w:r>
      <w:bookmarkEnd w:id="164"/>
      <w:bookmarkEnd w:id="165"/>
      <w:bookmarkEnd w:id="166"/>
      <w:r>
        <w:rPr>
          <w:rFonts w:hint="eastAsia" w:asciiTheme="minorEastAsia" w:hAnsiTheme="minorEastAsia" w:eastAsiaTheme="minorEastAsia" w:cstheme="minorEastAsia"/>
          <w:sz w:val="24"/>
          <w:szCs w:val="24"/>
          <w:highlight w:val="none"/>
          <w:lang w:val="zh-CN"/>
        </w:rPr>
        <w:t>评标委员会的组建</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7.1.1</w:t>
      </w:r>
      <w:r>
        <w:rPr>
          <w:rFonts w:hint="eastAsia" w:asciiTheme="minorEastAsia" w:hAnsiTheme="minorEastAsia" w:eastAsiaTheme="minorEastAsia" w:cstheme="minorEastAsia"/>
          <w:sz w:val="24"/>
          <w:szCs w:val="24"/>
          <w:highlight w:val="none"/>
        </w:rPr>
        <w:t>采购人或采购代理机构依法组建评标委员会，评标委员会由采购人代表、评审专家组成，成员人数为5人以上单数，采购人代表须持有评审授权书。评审专家在省级以上财政部门设立的政府采购评审专家库中随机抽取，其中评审专家不得少于成员总数的三分之二，评标委员会成员与投标人有利害关系的应当回避。</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评标委员会成员到位后，推荐一名评审专家担任评审组长，并由评审组长牵头组织该项目评审工作，采购人授权的评审专家，不得担任评审组长。</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评标委员会有权对整个招标过程中出现的一切问题，根据《中华人民共和国政府采购法》、《中华人民共和国政府采购实施条例》和《政府采购货物和服务招标投标管理办法》的精神，本着公开、公平、公正的原则，进行处理。</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开标后到向中标的投标人授予合同为止，凡与审查、澄清、评价和比较投标的有关资料及授标意见等内容，评标委员会成员均不得向投标人及与评标无关的其他人透露。</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评标委员会负责具体评标事务，并独立履行下列职责：</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A、审查、评价投标文件是否符合招标文件的商务、技术、服务等实质性要求；</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B、要求投标人对投标文件有关事项作出澄清或者说明；</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C、对投标文件进行比较和评价；</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D、确定中标候选人名单，以及根据采购人委托直接确定中标人；</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E、向采购人、采购代理机构或者有关部门报告评标中发现的违法行为。</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评标委员会成员有下列情形之一的，应当回避：</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.1采购人或供应商的主要负责人的近亲属；</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.2项目主管部门或者行政监督部门的人员；</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.3与供应商有经济利益关系，可能影响对投标公正评审的；</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.4曾因在招标、评标以及其他与招标投标有关活动中从事违法行为而受过行政处罚或刑事处罚的。</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bookmarkStart w:id="167" w:name="_Toc331665322"/>
      <w:bookmarkStart w:id="168" w:name="_Toc339012160"/>
      <w:bookmarkStart w:id="169" w:name="_Toc339114143"/>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 xml:space="preserve">.2 </w:t>
      </w:r>
      <w:bookmarkStart w:id="170" w:name="_Toc144974532"/>
      <w:bookmarkStart w:id="171" w:name="_Toc152042340"/>
      <w:bookmarkStart w:id="172" w:name="_Toc152045564"/>
      <w:r>
        <w:rPr>
          <w:rFonts w:hint="eastAsia" w:asciiTheme="minorEastAsia" w:hAnsiTheme="minorEastAsia" w:eastAsiaTheme="minorEastAsia" w:cstheme="minorEastAsia"/>
          <w:sz w:val="24"/>
          <w:szCs w:val="24"/>
          <w:highlight w:val="none"/>
        </w:rPr>
        <w:t>评标原则</w:t>
      </w:r>
      <w:bookmarkEnd w:id="167"/>
      <w:bookmarkEnd w:id="168"/>
      <w:bookmarkEnd w:id="169"/>
      <w:r>
        <w:rPr>
          <w:rFonts w:hint="eastAsia" w:asciiTheme="minorEastAsia" w:hAnsiTheme="minorEastAsia" w:eastAsiaTheme="minorEastAsia" w:cstheme="minorEastAsia"/>
          <w:sz w:val="24"/>
          <w:szCs w:val="24"/>
          <w:highlight w:val="none"/>
        </w:rPr>
        <w:tab/>
      </w:r>
    </w:p>
    <w:bookmarkEnd w:id="170"/>
    <w:bookmarkEnd w:id="171"/>
    <w:bookmarkEnd w:id="172"/>
    <w:p>
      <w:pPr>
        <w:spacing w:line="560" w:lineRule="exact"/>
        <w:ind w:firstLine="480" w:firstLineChars="200"/>
        <w:jc w:val="both"/>
        <w:rPr>
          <w:rFonts w:hint="eastAsia" w:asciiTheme="minorEastAsia" w:hAnsiTheme="minorEastAsia" w:eastAsiaTheme="minorEastAsia" w:cstheme="minorEastAsia"/>
          <w:sz w:val="24"/>
          <w:szCs w:val="24"/>
          <w:highlight w:val="none"/>
        </w:rPr>
      </w:pPr>
      <w:bookmarkStart w:id="173" w:name="_Toc331665323"/>
      <w:bookmarkStart w:id="174" w:name="_Toc339114144"/>
      <w:bookmarkStart w:id="175" w:name="_Toc339012161"/>
      <w:r>
        <w:rPr>
          <w:rFonts w:hint="eastAsia" w:asciiTheme="minorEastAsia" w:hAnsiTheme="minorEastAsia" w:eastAsiaTheme="minorEastAsia" w:cstheme="minorEastAsia"/>
          <w:sz w:val="24"/>
          <w:szCs w:val="24"/>
          <w:highlight w:val="none"/>
        </w:rPr>
        <w:t>评标活动遵循公平、公正、科学和择优的原则。严格按照招标文件的要求和内容进行评标，同时考虑以下因素：</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.2.1价格；</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.2.2工作计划、实施方案及服务承诺等；</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.2.3企业的资信及资质情况；</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.2.4拟投入本项目主要人员；</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.2.5合同期限；</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.2.6</w:t>
      </w:r>
      <w:r>
        <w:rPr>
          <w:rFonts w:hint="eastAsia" w:asciiTheme="minorEastAsia" w:hAnsiTheme="minorEastAsia" w:eastAsiaTheme="minorEastAsia" w:cstheme="minorEastAsia"/>
          <w:sz w:val="24"/>
          <w:szCs w:val="24"/>
          <w:highlight w:val="none"/>
          <w:lang w:eastAsia="zh-CN"/>
        </w:rPr>
        <w:t>类似</w:t>
      </w:r>
      <w:r>
        <w:rPr>
          <w:rFonts w:hint="eastAsia" w:asciiTheme="minorEastAsia" w:hAnsiTheme="minorEastAsia" w:eastAsiaTheme="minorEastAsia" w:cstheme="minorEastAsia"/>
          <w:sz w:val="24"/>
          <w:szCs w:val="24"/>
          <w:highlight w:val="none"/>
        </w:rPr>
        <w:t>业绩；</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 xml:space="preserve">.3 </w:t>
      </w:r>
      <w:bookmarkStart w:id="176" w:name="_Toc152042341"/>
      <w:bookmarkStart w:id="177" w:name="_Toc152045565"/>
      <w:bookmarkStart w:id="178" w:name="_Toc144974533"/>
      <w:r>
        <w:rPr>
          <w:rFonts w:hint="eastAsia" w:asciiTheme="minorEastAsia" w:hAnsiTheme="minorEastAsia" w:eastAsiaTheme="minorEastAsia" w:cstheme="minorEastAsia"/>
          <w:sz w:val="24"/>
          <w:szCs w:val="24"/>
          <w:highlight w:val="none"/>
        </w:rPr>
        <w:t>评标</w:t>
      </w:r>
      <w:bookmarkEnd w:id="173"/>
      <w:bookmarkEnd w:id="174"/>
      <w:bookmarkEnd w:id="175"/>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w:t>
      </w:r>
      <w:bookmarkEnd w:id="176"/>
      <w:bookmarkEnd w:id="177"/>
      <w:bookmarkEnd w:id="178"/>
      <w:r>
        <w:rPr>
          <w:rFonts w:hint="eastAsia" w:asciiTheme="minorEastAsia" w:hAnsiTheme="minorEastAsia" w:eastAsiaTheme="minorEastAsia" w:cstheme="minorEastAsia"/>
          <w:sz w:val="24"/>
          <w:szCs w:val="24"/>
          <w:highlight w:val="none"/>
        </w:rPr>
        <w:t>员会按照第三部分“评标办法”规定的方法、评审因素、标准和程序对投标文件进行评审。第三部分“评标办法”没有规定的方法、评审因素和标准，不作为评标依据。</w:t>
      </w:r>
    </w:p>
    <w:p>
      <w:pPr>
        <w:spacing w:line="560" w:lineRule="exact"/>
        <w:jc w:val="both"/>
        <w:rPr>
          <w:rFonts w:hint="eastAsia" w:asciiTheme="minorEastAsia" w:hAnsiTheme="minorEastAsia" w:eastAsiaTheme="minorEastAsia" w:cstheme="minorEastAsia"/>
          <w:b/>
          <w:bCs/>
          <w:sz w:val="24"/>
          <w:szCs w:val="24"/>
          <w:highlight w:val="none"/>
        </w:rPr>
      </w:pPr>
      <w:bookmarkStart w:id="179" w:name="_Toc339114145"/>
      <w:r>
        <w:rPr>
          <w:rFonts w:hint="eastAsia" w:asciiTheme="minorEastAsia" w:hAnsiTheme="minorEastAsia" w:eastAsiaTheme="minorEastAsia" w:cstheme="minorEastAsia"/>
          <w:b/>
          <w:bCs/>
          <w:sz w:val="24"/>
          <w:szCs w:val="24"/>
          <w:highlight w:val="none"/>
          <w:lang w:val="en-US" w:eastAsia="zh-CN"/>
        </w:rPr>
        <w:t>8</w:t>
      </w:r>
      <w:r>
        <w:rPr>
          <w:rFonts w:hint="eastAsia" w:asciiTheme="minorEastAsia" w:hAnsiTheme="minorEastAsia" w:eastAsiaTheme="minorEastAsia" w:cstheme="minorEastAsia"/>
          <w:b/>
          <w:bCs/>
          <w:sz w:val="24"/>
          <w:szCs w:val="24"/>
          <w:highlight w:val="none"/>
        </w:rPr>
        <w:t>. 合</w:t>
      </w:r>
      <w:bookmarkStart w:id="180" w:name="_Toc144974534"/>
      <w:bookmarkStart w:id="181" w:name="_Toc152042342"/>
      <w:bookmarkStart w:id="182" w:name="_Toc152045566"/>
      <w:r>
        <w:rPr>
          <w:rFonts w:hint="eastAsia" w:asciiTheme="minorEastAsia" w:hAnsiTheme="minorEastAsia" w:eastAsiaTheme="minorEastAsia" w:cstheme="minorEastAsia"/>
          <w:b/>
          <w:bCs/>
          <w:sz w:val="24"/>
          <w:szCs w:val="24"/>
          <w:highlight w:val="none"/>
        </w:rPr>
        <w:t>同授予</w:t>
      </w:r>
      <w:bookmarkEnd w:id="179"/>
    </w:p>
    <w:p>
      <w:pPr>
        <w:spacing w:line="560" w:lineRule="exact"/>
        <w:ind w:firstLine="480" w:firstLineChars="200"/>
        <w:jc w:val="both"/>
        <w:rPr>
          <w:rFonts w:hint="eastAsia" w:asciiTheme="minorEastAsia" w:hAnsiTheme="minorEastAsia" w:eastAsiaTheme="minorEastAsia" w:cstheme="minorEastAsia"/>
          <w:sz w:val="24"/>
          <w:szCs w:val="24"/>
          <w:highlight w:val="none"/>
        </w:rPr>
      </w:pPr>
      <w:bookmarkStart w:id="183" w:name="_Toc331665325"/>
      <w:bookmarkStart w:id="184" w:name="_Toc339012163"/>
      <w:bookmarkStart w:id="185" w:name="_Toc339114146"/>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.1</w:t>
      </w:r>
      <w:bookmarkEnd w:id="180"/>
      <w:bookmarkEnd w:id="181"/>
      <w:bookmarkEnd w:id="182"/>
      <w:r>
        <w:rPr>
          <w:rFonts w:hint="eastAsia" w:asciiTheme="minorEastAsia" w:hAnsiTheme="minorEastAsia" w:eastAsiaTheme="minorEastAsia" w:cstheme="minorEastAsia"/>
          <w:sz w:val="24"/>
          <w:szCs w:val="24"/>
          <w:highlight w:val="none"/>
        </w:rPr>
        <w:t xml:space="preserve"> </w:t>
      </w:r>
      <w:bookmarkStart w:id="186" w:name="_Toc152042343"/>
      <w:bookmarkStart w:id="187" w:name="_Toc144974535"/>
      <w:bookmarkStart w:id="188" w:name="_Toc152045567"/>
      <w:r>
        <w:rPr>
          <w:rFonts w:hint="eastAsia" w:asciiTheme="minorEastAsia" w:hAnsiTheme="minorEastAsia" w:eastAsiaTheme="minorEastAsia" w:cstheme="minorEastAsia"/>
          <w:sz w:val="24"/>
          <w:szCs w:val="24"/>
          <w:highlight w:val="none"/>
        </w:rPr>
        <w:t>定标方式</w:t>
      </w:r>
      <w:bookmarkEnd w:id="183"/>
      <w:bookmarkEnd w:id="184"/>
      <w:bookmarkEnd w:id="185"/>
    </w:p>
    <w:bookmarkEnd w:id="186"/>
    <w:bookmarkEnd w:id="187"/>
    <w:bookmarkEnd w:id="188"/>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.1.1在采购代理机构将评标报告提交采购人5个工作日内，采购人在评标报告确定的中标候选人名单中按顺序确定中标人，复函采购代理机构。</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采购代理机构在接到采购人的“中标”复函后，在财政部门指定的政府采购信息发布媒体上公告，公示期满无异议并同时向中标供应商发放“中标通知书”。</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bookmarkStart w:id="189" w:name="_Toc331665328"/>
      <w:bookmarkStart w:id="190" w:name="_Toc339012166"/>
      <w:bookmarkStart w:id="191" w:name="_Toc339114149"/>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 xml:space="preserve">.3 </w:t>
      </w:r>
      <w:bookmarkStart w:id="192" w:name="_Toc144974538"/>
      <w:bookmarkStart w:id="193" w:name="_Toc152045570"/>
      <w:bookmarkStart w:id="194" w:name="_Toc152042346"/>
      <w:r>
        <w:rPr>
          <w:rFonts w:hint="eastAsia" w:asciiTheme="minorEastAsia" w:hAnsiTheme="minorEastAsia" w:eastAsiaTheme="minorEastAsia" w:cstheme="minorEastAsia"/>
          <w:sz w:val="24"/>
          <w:szCs w:val="24"/>
          <w:highlight w:val="none"/>
        </w:rPr>
        <w:t>签订合同</w:t>
      </w:r>
      <w:bookmarkEnd w:id="189"/>
      <w:bookmarkEnd w:id="190"/>
      <w:bookmarkEnd w:id="191"/>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w:t>
      </w:r>
      <w:bookmarkEnd w:id="192"/>
      <w:bookmarkEnd w:id="193"/>
      <w:bookmarkEnd w:id="194"/>
      <w:r>
        <w:rPr>
          <w:rFonts w:hint="eastAsia" w:asciiTheme="minorEastAsia" w:hAnsiTheme="minorEastAsia" w:eastAsiaTheme="minorEastAsia" w:cstheme="minorEastAsia"/>
          <w:sz w:val="24"/>
          <w:szCs w:val="24"/>
          <w:highlight w:val="none"/>
        </w:rPr>
        <w:t xml:space="preserve">3.1采购人和中标供应商应当自中标通知书发出之日起30天内，根据招标文件和中标供应商的投标文件订立书面合同。中标供应商无正当理由拒签合同的，采购人取消其中标资格；给采购人造成的损失的，中标供应商还应当对超过部分予以赔偿。 </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.3.2发出中标通知书后，采购人无正当理由拒签合同的；给中标供应商造成损失的，还应当赔偿损失。</w:t>
      </w:r>
    </w:p>
    <w:p>
      <w:pPr>
        <w:spacing w:line="560" w:lineRule="exact"/>
        <w:jc w:val="both"/>
        <w:rPr>
          <w:rFonts w:hint="eastAsia" w:asciiTheme="minorEastAsia" w:hAnsiTheme="minorEastAsia" w:eastAsiaTheme="minorEastAsia" w:cstheme="minorEastAsia"/>
          <w:b/>
          <w:bCs/>
          <w:sz w:val="24"/>
          <w:szCs w:val="24"/>
          <w:highlight w:val="none"/>
        </w:rPr>
      </w:pPr>
      <w:bookmarkStart w:id="195" w:name="_Toc339114150"/>
      <w:r>
        <w:rPr>
          <w:rFonts w:hint="eastAsia" w:asciiTheme="minorEastAsia" w:hAnsiTheme="minorEastAsia" w:eastAsiaTheme="minorEastAsia" w:cstheme="minorEastAsia"/>
          <w:b/>
          <w:bCs/>
          <w:sz w:val="24"/>
          <w:szCs w:val="24"/>
          <w:highlight w:val="none"/>
          <w:lang w:val="en-US" w:eastAsia="zh-CN"/>
        </w:rPr>
        <w:t>9</w:t>
      </w:r>
      <w:r>
        <w:rPr>
          <w:rFonts w:hint="eastAsia" w:asciiTheme="minorEastAsia" w:hAnsiTheme="minorEastAsia" w:eastAsiaTheme="minorEastAsia" w:cstheme="minorEastAsia"/>
          <w:b/>
          <w:bCs/>
          <w:sz w:val="24"/>
          <w:szCs w:val="24"/>
          <w:highlight w:val="none"/>
        </w:rPr>
        <w:t>. 重</w:t>
      </w:r>
      <w:bookmarkStart w:id="196" w:name="_Toc152042347"/>
      <w:bookmarkStart w:id="197" w:name="_Toc152045571"/>
      <w:bookmarkStart w:id="198" w:name="_Toc144974539"/>
      <w:r>
        <w:rPr>
          <w:rFonts w:hint="eastAsia" w:asciiTheme="minorEastAsia" w:hAnsiTheme="minorEastAsia" w:eastAsiaTheme="minorEastAsia" w:cstheme="minorEastAsia"/>
          <w:b/>
          <w:bCs/>
          <w:sz w:val="24"/>
          <w:szCs w:val="24"/>
          <w:highlight w:val="none"/>
        </w:rPr>
        <w:t>新招标、变更采购方式和不再招标</w:t>
      </w:r>
      <w:bookmarkEnd w:id="195"/>
      <w:r>
        <w:rPr>
          <w:rFonts w:hint="eastAsia" w:asciiTheme="minorEastAsia" w:hAnsiTheme="minorEastAsia" w:eastAsiaTheme="minorEastAsia" w:cstheme="minorEastAsia"/>
          <w:b/>
          <w:bCs/>
          <w:sz w:val="24"/>
          <w:szCs w:val="24"/>
          <w:highlight w:val="none"/>
        </w:rPr>
        <w:t>重新招标</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宋体" w:hAnsi="宋体"/>
          <w:color w:val="000000" w:themeColor="text1"/>
          <w:sz w:val="24"/>
          <w:highlight w:val="none"/>
          <w:lang w:val="en-US" w:eastAsia="zh-CN"/>
          <w14:textFill>
            <w14:solidFill>
              <w14:schemeClr w14:val="tx1"/>
            </w14:solidFill>
          </w14:textFill>
        </w:rPr>
        <w:t>9</w:t>
      </w:r>
      <w:r>
        <w:rPr>
          <w:rFonts w:hint="eastAsia" w:asciiTheme="minorEastAsia" w:hAnsiTheme="minorEastAsia" w:eastAsiaTheme="minorEastAsia" w:cstheme="minorEastAsia"/>
          <w:sz w:val="24"/>
          <w:szCs w:val="24"/>
          <w:highlight w:val="none"/>
          <w:lang w:val="en-US" w:eastAsia="zh-CN"/>
        </w:rPr>
        <w:t>.1 在采购中，出现下列情形之一的，应予废标：</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9.1.1 投标截止时间后有效投标人不足3个；</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9.1.2 资格审查或初步审查后有效投标人不足3个；</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 出现影响采购公正的违法、违规行为的；</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9.1.4 因重大变故，采购任务取消的。</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9.2 废标后，除采购任务取消情形外，报告政府采购监督管理部门批准，重新组织招标或采用其他方式进行采购：</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9.2.1 在招标过程中，提交投标文件或者通过资格审查或初步审查的投标人只有2家时，根据中华人民共和国财政部2017年第87号部长令--《政府采购货物和服务招标投标管理办法》第四十三条、2013年第74号部长令--《政府采购非招标采购方式管理办法》第二十七条规定，经采购人书面请示政府采购管理机构同意后，可以现场转为竞争性谈判或者竞争性磋商的方式继续采购。</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①如果转为竞争性谈判方式，则原招标文件转为竞争性谈判文件，原投标人即为供应商，原投标文件报价作为竞争性谈判的第一次报价，评审方法按照竞争性谈判的评审原则，在质量和服务均能满足采购文件实质性要求的基础上，按照最后报价由低到高的顺序，确定成交候选供应商。</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②如果转为竞争性磋商方式，则原招标文件转为竞争性磋商文件，原投标文件报价作为竞争性磋商的第一次报价，评审方法采用原评标方法。</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8.2.2 在招标过程中，提交投标文件或者通过资格审查或符合性审查的投标人只有1家时，按废标处理，重新开展采购活动。</w:t>
      </w:r>
    </w:p>
    <w:bookmarkEnd w:id="196"/>
    <w:bookmarkEnd w:id="197"/>
    <w:bookmarkEnd w:id="198"/>
    <w:p>
      <w:pPr>
        <w:spacing w:line="560" w:lineRule="exact"/>
        <w:jc w:val="both"/>
        <w:rPr>
          <w:rFonts w:hint="eastAsia" w:asciiTheme="minorEastAsia" w:hAnsiTheme="minorEastAsia" w:eastAsiaTheme="minorEastAsia" w:cstheme="minorEastAsia"/>
          <w:b/>
          <w:bCs/>
          <w:sz w:val="24"/>
          <w:szCs w:val="24"/>
          <w:highlight w:val="none"/>
        </w:rPr>
      </w:pPr>
      <w:bookmarkStart w:id="199" w:name="_Toc339114153"/>
      <w:r>
        <w:rPr>
          <w:rFonts w:hint="eastAsia" w:asciiTheme="minorEastAsia" w:hAnsiTheme="minorEastAsia" w:eastAsiaTheme="minorEastAsia" w:cstheme="minorEastAsia"/>
          <w:b/>
          <w:bCs/>
          <w:sz w:val="24"/>
          <w:szCs w:val="24"/>
          <w:highlight w:val="none"/>
          <w:lang w:val="en-US" w:eastAsia="zh-CN"/>
        </w:rPr>
        <w:t>10</w:t>
      </w:r>
      <w:r>
        <w:rPr>
          <w:rFonts w:hint="eastAsia" w:asciiTheme="minorEastAsia" w:hAnsiTheme="minorEastAsia" w:eastAsiaTheme="minorEastAsia" w:cstheme="minorEastAsia"/>
          <w:b/>
          <w:bCs/>
          <w:sz w:val="24"/>
          <w:szCs w:val="24"/>
          <w:highlight w:val="none"/>
        </w:rPr>
        <w:t>. 纪</w:t>
      </w:r>
      <w:bookmarkStart w:id="200" w:name="_Toc144974542"/>
      <w:bookmarkStart w:id="201" w:name="_Toc152042350"/>
      <w:bookmarkStart w:id="202" w:name="_Toc152045574"/>
      <w:r>
        <w:rPr>
          <w:rFonts w:hint="eastAsia" w:asciiTheme="minorEastAsia" w:hAnsiTheme="minorEastAsia" w:eastAsiaTheme="minorEastAsia" w:cstheme="minorEastAsia"/>
          <w:b/>
          <w:bCs/>
          <w:sz w:val="24"/>
          <w:szCs w:val="24"/>
          <w:highlight w:val="none"/>
        </w:rPr>
        <w:t>律和监督</w:t>
      </w:r>
      <w:bookmarkEnd w:id="199"/>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bookmarkStart w:id="203" w:name="_Toc339114154"/>
      <w:bookmarkStart w:id="204" w:name="_Toc331665333"/>
      <w:bookmarkStart w:id="205" w:name="_Toc339012171"/>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sz w:val="24"/>
          <w:szCs w:val="24"/>
          <w:highlight w:val="none"/>
          <w:lang w:val="en-US" w:eastAsia="zh-CN"/>
        </w:rPr>
        <w:t>0.1</w:t>
      </w:r>
      <w:bookmarkEnd w:id="200"/>
      <w:bookmarkEnd w:id="201"/>
      <w:bookmarkEnd w:id="202"/>
      <w:r>
        <w:rPr>
          <w:rFonts w:hint="eastAsia" w:asciiTheme="minorEastAsia" w:hAnsiTheme="minorEastAsia" w:eastAsiaTheme="minorEastAsia" w:cstheme="minorEastAsia"/>
          <w:sz w:val="24"/>
          <w:szCs w:val="24"/>
          <w:highlight w:val="none"/>
          <w:lang w:val="en-US" w:eastAsia="zh-CN"/>
        </w:rPr>
        <w:t xml:space="preserve"> </w:t>
      </w:r>
      <w:bookmarkStart w:id="206" w:name="_Toc152042351"/>
      <w:bookmarkStart w:id="207" w:name="_Toc152045575"/>
      <w:bookmarkStart w:id="208" w:name="_Toc144974543"/>
      <w:r>
        <w:rPr>
          <w:rFonts w:hint="eastAsia" w:asciiTheme="minorEastAsia" w:hAnsiTheme="minorEastAsia" w:eastAsiaTheme="minorEastAsia" w:cstheme="minorEastAsia"/>
          <w:sz w:val="24"/>
          <w:szCs w:val="24"/>
          <w:highlight w:val="none"/>
          <w:lang w:val="en-US" w:eastAsia="zh-CN"/>
        </w:rPr>
        <w:t>对采购人的纪律要求</w:t>
      </w:r>
      <w:bookmarkEnd w:id="203"/>
      <w:bookmarkEnd w:id="204"/>
      <w:bookmarkEnd w:id="205"/>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bookmarkEnd w:id="206"/>
      <w:bookmarkEnd w:id="207"/>
      <w:bookmarkEnd w:id="208"/>
      <w:r>
        <w:rPr>
          <w:rFonts w:hint="eastAsia" w:asciiTheme="minorEastAsia" w:hAnsiTheme="minorEastAsia" w:eastAsiaTheme="minorEastAsia" w:cstheme="minorEastAsia"/>
          <w:sz w:val="24"/>
          <w:szCs w:val="24"/>
          <w:highlight w:val="none"/>
          <w:lang w:val="en-US" w:eastAsia="zh-CN"/>
        </w:rPr>
        <w:t>不得泄漏招标投标活动中应当保密的情况和资料，不得与供应商串通损害国家利益、社会公共利益或者他人合法权益。</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bookmarkStart w:id="209" w:name="_Toc339114155"/>
      <w:bookmarkStart w:id="210" w:name="_Toc331665334"/>
      <w:bookmarkStart w:id="211" w:name="_Toc339012172"/>
      <w:r>
        <w:rPr>
          <w:rFonts w:hint="eastAsia" w:asciiTheme="minorEastAsia" w:hAnsiTheme="minorEastAsia" w:eastAsiaTheme="minorEastAsia" w:cstheme="minorEastAsia"/>
          <w:sz w:val="24"/>
          <w:szCs w:val="24"/>
          <w:highlight w:val="none"/>
          <w:lang w:val="en-US" w:eastAsia="zh-CN"/>
        </w:rPr>
        <w:t xml:space="preserve">10.2 </w:t>
      </w:r>
      <w:bookmarkStart w:id="212" w:name="_Toc152042352"/>
      <w:bookmarkStart w:id="213" w:name="_Toc144974544"/>
      <w:bookmarkStart w:id="214" w:name="_Toc152045576"/>
      <w:r>
        <w:rPr>
          <w:rFonts w:hint="eastAsia" w:asciiTheme="minorEastAsia" w:hAnsiTheme="minorEastAsia" w:eastAsiaTheme="minorEastAsia" w:cstheme="minorEastAsia"/>
          <w:sz w:val="24"/>
          <w:szCs w:val="24"/>
          <w:highlight w:val="none"/>
          <w:lang w:val="en-US" w:eastAsia="zh-CN"/>
        </w:rPr>
        <w:t>对供应商的纪律要求</w:t>
      </w:r>
      <w:bookmarkEnd w:id="209"/>
      <w:bookmarkEnd w:id="210"/>
      <w:bookmarkEnd w:id="211"/>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w:t>
      </w:r>
      <w:bookmarkEnd w:id="212"/>
      <w:bookmarkEnd w:id="213"/>
      <w:bookmarkEnd w:id="214"/>
      <w:r>
        <w:rPr>
          <w:rFonts w:hint="eastAsia" w:asciiTheme="minorEastAsia" w:hAnsiTheme="minorEastAsia" w:eastAsiaTheme="minorEastAsia" w:cstheme="minorEastAsia"/>
          <w:sz w:val="24"/>
          <w:szCs w:val="24"/>
          <w:highlight w:val="none"/>
          <w:lang w:val="en-US" w:eastAsia="zh-CN"/>
        </w:rPr>
        <w:t>不得相互串通投标或者与采购人串通投标，不得向采购人或者评标委员会成员行贿谋取中标，不得以他人名义投标或者以其他方式弄虚作假骗取中标；供应商不得以任何方式干扰、影响评标工作。</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bookmarkStart w:id="215" w:name="_Toc339114156"/>
      <w:bookmarkStart w:id="216" w:name="_Toc339012173"/>
      <w:bookmarkStart w:id="217" w:name="_Toc331665335"/>
      <w:r>
        <w:rPr>
          <w:rFonts w:hint="eastAsia" w:asciiTheme="minorEastAsia" w:hAnsiTheme="minorEastAsia" w:eastAsiaTheme="minorEastAsia" w:cstheme="minorEastAsia"/>
          <w:sz w:val="24"/>
          <w:szCs w:val="24"/>
          <w:highlight w:val="none"/>
          <w:lang w:val="en-US" w:eastAsia="zh-CN"/>
        </w:rPr>
        <w:t xml:space="preserve">10.3 </w:t>
      </w:r>
      <w:bookmarkStart w:id="218" w:name="_Toc144974545"/>
      <w:bookmarkStart w:id="219" w:name="_Toc152045577"/>
      <w:bookmarkStart w:id="220" w:name="_Toc152042353"/>
      <w:r>
        <w:rPr>
          <w:rFonts w:hint="eastAsia" w:asciiTheme="minorEastAsia" w:hAnsiTheme="minorEastAsia" w:eastAsiaTheme="minorEastAsia" w:cstheme="minorEastAsia"/>
          <w:sz w:val="24"/>
          <w:szCs w:val="24"/>
          <w:highlight w:val="none"/>
          <w:lang w:val="en-US" w:eastAsia="zh-CN"/>
        </w:rPr>
        <w:t>对评标委员会成员的纪律要求</w:t>
      </w:r>
      <w:bookmarkEnd w:id="215"/>
      <w:bookmarkEnd w:id="216"/>
      <w:bookmarkEnd w:id="217"/>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评标委</w:t>
      </w:r>
      <w:bookmarkEnd w:id="218"/>
      <w:bookmarkEnd w:id="219"/>
      <w:bookmarkEnd w:id="220"/>
      <w:r>
        <w:rPr>
          <w:rFonts w:hint="eastAsia" w:asciiTheme="minorEastAsia" w:hAnsiTheme="minorEastAsia" w:eastAsiaTheme="minorEastAsia" w:cstheme="minorEastAsia"/>
          <w:sz w:val="24"/>
          <w:szCs w:val="24"/>
          <w:highlight w:val="none"/>
          <w:lang w:val="en-US" w:eastAsia="zh-CN"/>
        </w:rPr>
        <w:t>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bookmarkStart w:id="221" w:name="_Toc339012174"/>
      <w:bookmarkStart w:id="222" w:name="_Toc339114157"/>
      <w:bookmarkStart w:id="223" w:name="_Toc331665336"/>
      <w:r>
        <w:rPr>
          <w:rFonts w:hint="eastAsia" w:asciiTheme="minorEastAsia" w:hAnsiTheme="minorEastAsia" w:eastAsiaTheme="minorEastAsia" w:cstheme="minorEastAsia"/>
          <w:sz w:val="24"/>
          <w:szCs w:val="24"/>
          <w:highlight w:val="none"/>
          <w:lang w:val="en-US" w:eastAsia="zh-CN"/>
        </w:rPr>
        <w:t xml:space="preserve">10.4 </w:t>
      </w:r>
      <w:bookmarkStart w:id="224" w:name="_Toc152045578"/>
      <w:bookmarkStart w:id="225" w:name="_Toc152042354"/>
      <w:bookmarkStart w:id="226" w:name="_Toc144974546"/>
      <w:r>
        <w:rPr>
          <w:rFonts w:hint="eastAsia" w:asciiTheme="minorEastAsia" w:hAnsiTheme="minorEastAsia" w:eastAsiaTheme="minorEastAsia" w:cstheme="minorEastAsia"/>
          <w:sz w:val="24"/>
          <w:szCs w:val="24"/>
          <w:highlight w:val="none"/>
          <w:lang w:val="en-US" w:eastAsia="zh-CN"/>
        </w:rPr>
        <w:t>对与评标活动有关的工作人员的纪律要求</w:t>
      </w:r>
      <w:bookmarkEnd w:id="221"/>
      <w:bookmarkEnd w:id="222"/>
      <w:bookmarkEnd w:id="223"/>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与评标</w:t>
      </w:r>
      <w:bookmarkEnd w:id="224"/>
      <w:bookmarkEnd w:id="225"/>
      <w:r>
        <w:rPr>
          <w:rFonts w:hint="eastAsia" w:asciiTheme="minorEastAsia" w:hAnsiTheme="minorEastAsia" w:eastAsiaTheme="minorEastAsia" w:cstheme="minorEastAsia"/>
          <w:sz w:val="24"/>
          <w:szCs w:val="24"/>
          <w:highlight w:val="none"/>
          <w:lang w:val="en-US" w:eastAsia="zh-CN"/>
        </w:rPr>
        <w:t>活</w:t>
      </w:r>
      <w:bookmarkStart w:id="227" w:name="_Toc152042355"/>
      <w:r>
        <w:rPr>
          <w:rFonts w:hint="eastAsia" w:asciiTheme="minorEastAsia" w:hAnsiTheme="minorEastAsia" w:eastAsiaTheme="minorEastAsia" w:cstheme="minorEastAsia"/>
          <w:sz w:val="24"/>
          <w:szCs w:val="24"/>
          <w:highlight w:val="none"/>
          <w:lang w:val="en-US" w:eastAsia="zh-CN"/>
        </w:rPr>
        <w:t>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bookmarkEnd w:id="226"/>
    <w:bookmarkEnd w:id="227"/>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10.5特别说明：</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10.5.1供应商投标所使用的资格、信誉、荣誉、业绩与企业认证必须为本法人所拥有。供应商投标所使用的采购项目实施人员必须为本法人员工（或必须为本法人或控股公司正式员工）。</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10.5.2供应商应仔细阅读招标文件的所有内容，按照招标文件的要求提交投标文件，并对所提供的全部资料的真实性承担法律责任。</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10.5.3供应商在投标活动中提供任何虚假材料,其投标无效，并报监管部门查处；中标后发现的,中标人须依照《中华人民共和国消费者权益保护法》第49条之规定双倍赔偿采购人，且民事赔偿并不免除违法供应商的行政与刑事责任。</w:t>
      </w:r>
    </w:p>
    <w:p>
      <w:pPr>
        <w:spacing w:line="560" w:lineRule="exact"/>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 采购项目需要落实的政府采购政策：</w:t>
      </w:r>
    </w:p>
    <w:p>
      <w:pPr>
        <w:spacing w:line="560" w:lineRule="exact"/>
        <w:ind w:firstLine="482"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11.1《政府采购促进中小企业发展管理办法》的通知--财库〔2020〕46号</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根据《政府采购促进中小企业发展管理办法》（财库（2020）46号）规定，参加政府采购活动的中小企业应当提供《中小企业声明函》。供应商提供的《中小企业声明函》资料必须真实，否则，按照有关规定予以处理。</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对于未预留份额专门面向中小企业采购的采购项目，以及预留份额项目的非预留部分采购包中符合条件的小微企业报价给予 10%的扣除，用扣除后的价格参加评审。</w:t>
      </w:r>
    </w:p>
    <w:p>
      <w:pPr>
        <w:spacing w:line="560" w:lineRule="exact"/>
        <w:ind w:firstLine="482" w:firstLineChars="200"/>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 xml:space="preserve">11.2财政部司法部关于政府采购支持监狱企业发展有关问题的通知--财库〔2014〕68号 </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根据《关于政府采购支持监狱企业发展有关问题的通知》（财库（2014）68号）规定，在政府采购活动中，监狱企业视同小型、微型企业，享受政府采购促进中小企业发展的政府采购政策。</w:t>
      </w:r>
    </w:p>
    <w:p>
      <w:pPr>
        <w:spacing w:line="560" w:lineRule="exact"/>
        <w:ind w:firstLine="482" w:firstLineChars="200"/>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11.3《关于政府采购优先购买福利性企业产品和服务的意见》（陕民发〔2015〕1号）</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根据《关于政府采购优先购买福利性企业产品和服务的意见》（陕民发〔2015〕1号）规定，在政府采购活动中，本省福利性企业享受我省规定的采购扶持政策。</w:t>
      </w:r>
    </w:p>
    <w:p>
      <w:pPr>
        <w:spacing w:line="560" w:lineRule="exact"/>
        <w:ind w:firstLine="482" w:firstLineChars="200"/>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11.4《国务院办公厅关于建立政府强制采购节能产品制度的通知》--国办发〔2007〕51号</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各级政府机构使用财政性资金进行政府采购活动时，在技术、服务等指标满足采购需求的前提下，要优先采购节能产品，对部分节能效果、性能等达到要求的产品，实行强制采购。</w:t>
      </w:r>
    </w:p>
    <w:p>
      <w:pPr>
        <w:spacing w:line="560" w:lineRule="exact"/>
        <w:ind w:firstLine="482" w:firstLineChars="200"/>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11.5《环境标志产品政府采购实施的意见》--财库〔2006〕90号</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政府采购属于环境标志品目清单中产品时，在技术、服务等指标同等条件下，应当优先采购环境标志清单品目所列的节能产品。</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在投标时供应商应提供有效证明材料。（注：属于环境标志品目清单范围中实施政府优先采购的，依据提供的品目清单和国家确认的认证机构出具的认证证书实施政府优先采购）。</w:t>
      </w:r>
    </w:p>
    <w:p>
      <w:pPr>
        <w:spacing w:line="560" w:lineRule="exact"/>
        <w:ind w:firstLine="482" w:firstLineChars="200"/>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11.6《关于促进残疾人就业政府采购政策的通知》--财库〔2017〕141号</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符合条件的残疾人福利性单位在参加政府采购活动时，应当提供本通知规定的《残疾人福利性单位声明函》，并对声明的真实性负责。 供应商提供的《残疾人福利性单位声明函》与事实不符的，依照《</w:t>
      </w:r>
      <w:r>
        <w:rPr>
          <w:rFonts w:hint="eastAsia" w:ascii="宋体" w:hAnsi="宋体"/>
          <w:color w:val="000000" w:themeColor="text1"/>
          <w:sz w:val="24"/>
          <w:highlight w:val="none"/>
          <w14:textFill>
            <w14:solidFill>
              <w14:schemeClr w14:val="tx1"/>
            </w14:solidFill>
          </w14:textFill>
        </w:rPr>
        <w:t>中华人民共和国</w:t>
      </w:r>
      <w:r>
        <w:rPr>
          <w:rFonts w:hint="eastAsia" w:asciiTheme="minorEastAsia" w:hAnsiTheme="minorEastAsia" w:eastAsiaTheme="minorEastAsia" w:cstheme="minorEastAsia"/>
          <w:sz w:val="24"/>
          <w:szCs w:val="24"/>
          <w:highlight w:val="none"/>
          <w:lang w:val="en-US" w:eastAsia="zh-CN"/>
        </w:rPr>
        <w:t>政府采购法》第七十七条第一款的规定追究法律责任。</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560" w:lineRule="exact"/>
        <w:ind w:firstLine="482" w:firstLineChars="200"/>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11.7财政部国家发展改革委关于印发《节能产品政府采购实施意见》的通知--（财库〔2004〕185号）</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政府采购属于节能品目清单中产品时，在技术、服务等指标同等条件下，应当优先采购节能清单品目所列的节能产品。</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在投标时供应商应提供有效证明材料。（注：属于节能品目清单范围中实施政府优先采购的，依据提供的品目清单和国家确认的认证机构出具的认证证书实施政府优先采购）。</w:t>
      </w:r>
    </w:p>
    <w:p>
      <w:pPr>
        <w:spacing w:line="560" w:lineRule="exact"/>
        <w:ind w:firstLine="482" w:firstLineChars="200"/>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11.8 陕西省财政厅关于印发《陕西省中小企业政府采购信用融资办法》--陕财办采〔2018〕23号</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spacing w:line="560" w:lineRule="exact"/>
        <w:ind w:firstLine="482"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11.9《关于运用政府采购政策支持乡村产业振兴的通知》--财库〔2021〕19 号</w:t>
      </w:r>
    </w:p>
    <w:p>
      <w:pPr>
        <w:spacing w:line="560" w:lineRule="exact"/>
        <w:ind w:firstLine="480" w:firstLineChars="200"/>
        <w:jc w:val="both"/>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财政部、农业农村部、国家乡村振兴局发布《关于运用政府采购政策支持乡村产业振兴的通知》，《通知》指出，自2021年起各级预算单位应当按照不低于10%的比例预留年度食堂食材采购份额，通过脱贫地区农副产品网络销售平台（原贫困地区农副产品网络销售平台）采购脱贫地区农副产品。</w:t>
      </w:r>
    </w:p>
    <w:p>
      <w:pPr>
        <w:spacing w:line="560" w:lineRule="exact"/>
        <w:ind w:firstLine="480" w:firstLineChars="200"/>
        <w:jc w:val="both"/>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通知》明确，财政部会同农业农村部、国家乡村振兴局等部门制定政府采购脱贫地区农副产品工作的实施意见，加强脱贫地区农副产品货源组织、供应链管理和网络销售平台运营管理，积极组织预算单位采购脱贫地区农副产品。</w:t>
      </w:r>
    </w:p>
    <w:p>
      <w:pPr>
        <w:spacing w:line="560" w:lineRule="exact"/>
        <w:ind w:firstLine="482" w:firstLineChars="200"/>
        <w:jc w:val="both"/>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b/>
          <w:bCs/>
          <w:sz w:val="24"/>
          <w:szCs w:val="24"/>
          <w:highlight w:val="none"/>
          <w:lang w:val="en-US" w:eastAsia="zh-CN"/>
        </w:rPr>
        <w:t>11.10</w:t>
      </w:r>
      <w:r>
        <w:rPr>
          <w:rFonts w:hint="eastAsia" w:asciiTheme="minorEastAsia" w:hAnsiTheme="minorEastAsia" w:eastAsiaTheme="minorEastAsia" w:cstheme="minorEastAsia"/>
          <w:b/>
          <w:bCs/>
          <w:sz w:val="24"/>
          <w:szCs w:val="24"/>
          <w:highlight w:val="none"/>
          <w:lang w:val="zh-CN" w:eastAsia="zh-CN"/>
        </w:rPr>
        <w:t>《关于进一步加大政府采购支持中小企业力度的通知》（财库﹝2022﹞19号）</w:t>
      </w:r>
    </w:p>
    <w:p>
      <w:pPr>
        <w:spacing w:line="560" w:lineRule="exact"/>
        <w:ind w:firstLine="480" w:firstLineChars="200"/>
        <w:jc w:val="both"/>
        <w:rPr>
          <w:rFonts w:hint="default"/>
          <w:highlight w:val="none"/>
          <w:lang w:val="en-US" w:eastAsia="zh-CN"/>
        </w:rPr>
      </w:pPr>
      <w:r>
        <w:rPr>
          <w:rFonts w:hint="eastAsia" w:ascii="宋体" w:hAnsi="宋体" w:eastAsia="宋体" w:cs="宋体"/>
          <w:b w:val="0"/>
          <w:bCs w:val="0"/>
          <w:sz w:val="24"/>
          <w:highlight w:val="none"/>
          <w:lang w:val="zh-CN"/>
        </w:rPr>
        <w:t>对于未预留份额专门面向中小企业采购的采购项目，以及预留份额项目的非预留部分采购包中符合条件的小微企业报价给予10%的扣除。用扣除后的价格参加评审。</w:t>
      </w:r>
    </w:p>
    <w:p>
      <w:pPr>
        <w:adjustRightInd w:val="0"/>
        <w:snapToGrid w:val="0"/>
        <w:spacing w:line="360" w:lineRule="auto"/>
        <w:rPr>
          <w:rFonts w:asci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12.</w:t>
      </w:r>
      <w:r>
        <w:rPr>
          <w:rFonts w:hint="eastAsia" w:ascii="宋体" w:hAnsi="宋体" w:cs="宋体"/>
          <w:b/>
          <w:color w:val="000000" w:themeColor="text1"/>
          <w:sz w:val="24"/>
          <w:highlight w:val="none"/>
          <w14:textFill>
            <w14:solidFill>
              <w14:schemeClr w14:val="tx1"/>
            </w14:solidFill>
          </w14:textFill>
        </w:rPr>
        <w:t>评标过程的监控</w:t>
      </w:r>
    </w:p>
    <w:p>
      <w:pPr>
        <w:adjustRightInd w:val="0"/>
        <w:snapToGrid w:val="0"/>
        <w:spacing w:line="360" w:lineRule="auto"/>
        <w:ind w:firstLine="540" w:firstLineChars="22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本项目评标过程实行全程录音、录像监控，供应商在评标过程中所进行的试图影响评标结果的不公正活动，可能导致其投标被拒绝。</w:t>
      </w:r>
    </w:p>
    <w:p>
      <w:pPr>
        <w:pStyle w:val="9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13</w:t>
      </w:r>
      <w:r>
        <w:rPr>
          <w:rFonts w:hint="eastAsia" w:asciiTheme="minorEastAsia" w:hAnsiTheme="minorEastAsia" w:eastAsiaTheme="minorEastAsia" w:cstheme="minorEastAsia"/>
          <w:sz w:val="24"/>
          <w:szCs w:val="24"/>
          <w:highlight w:val="none"/>
        </w:rPr>
        <w:t>．询问</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供应商对政府采购活动事项有疑问的，可以向采购人或采购代理机构提出询问。采购人或采购代理机构将在3个工作日内对供应商依法提出的询问作出答复。</w:t>
      </w:r>
    </w:p>
    <w:p>
      <w:pPr>
        <w:spacing w:line="560" w:lineRule="exact"/>
        <w:ind w:firstLine="480" w:firstLineChars="200"/>
        <w:jc w:val="both"/>
        <w:rPr>
          <w:rFonts w:ascii="仿宋_GB2312" w:hAnsi="仿宋" w:eastAsia="仿宋_GB2312"/>
          <w:sz w:val="32"/>
          <w:szCs w:val="32"/>
          <w:highlight w:val="none"/>
        </w:rPr>
      </w:pPr>
      <w:r>
        <w:rPr>
          <w:rFonts w:hint="eastAsia" w:asciiTheme="minorEastAsia" w:hAnsiTheme="minorEastAsia" w:eastAsiaTheme="minorEastAsia" w:cstheme="minorEastAsia"/>
          <w:sz w:val="24"/>
          <w:szCs w:val="24"/>
          <w:highlight w:val="none"/>
        </w:rPr>
        <w:t>根据采购人和采购代理机构签订的《政府采购委托代理协议》，针对采购需求（包括采购内容、技术或服务要求、商务要求、合同条款、供应商资格条件、评审要素及分值一览表）的询问请向采购人提出。</w:t>
      </w:r>
    </w:p>
    <w:p>
      <w:pPr>
        <w:pStyle w:val="94"/>
        <w:rPr>
          <w:rFonts w:hint="eastAsia" w:asciiTheme="minorEastAsia" w:hAnsiTheme="minorEastAsia" w:eastAsiaTheme="minorEastAsia" w:cstheme="minorEastAsia"/>
          <w:sz w:val="24"/>
          <w:szCs w:val="24"/>
          <w:highlight w:val="none"/>
        </w:rPr>
      </w:pPr>
      <w:r>
        <w:rPr>
          <w:rFonts w:hint="eastAsia"/>
          <w:highlight w:val="none"/>
          <w:lang w:val="en-US" w:eastAsia="zh-CN"/>
        </w:rPr>
        <w:t>14</w:t>
      </w:r>
      <w:r>
        <w:rPr>
          <w:rFonts w:hint="eastAsia"/>
          <w:highlight w:val="none"/>
        </w:rPr>
        <w:t>．</w:t>
      </w:r>
      <w:r>
        <w:rPr>
          <w:rFonts w:hint="eastAsia" w:asciiTheme="minorEastAsia" w:hAnsiTheme="minorEastAsia" w:eastAsiaTheme="minorEastAsia" w:cstheme="minorEastAsia"/>
          <w:sz w:val="24"/>
          <w:szCs w:val="24"/>
          <w:highlight w:val="none"/>
        </w:rPr>
        <w:t>质疑</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14.1</w:t>
      </w:r>
      <w:r>
        <w:rPr>
          <w:rFonts w:hint="eastAsia" w:asciiTheme="minorEastAsia" w:hAnsiTheme="minorEastAsia" w:eastAsiaTheme="minorEastAsia" w:cstheme="minorEastAsia"/>
          <w:sz w:val="24"/>
          <w:szCs w:val="24"/>
          <w:highlight w:val="none"/>
        </w:rPr>
        <w:t>供应商认为采购文件、采购过程、成交结果使自己的权益受到损害的，可以在知道或应知其权益受到损害之日起7个工作日内以书面形式向采购人、采购代理机构提出。</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14.2</w:t>
      </w:r>
      <w:r>
        <w:rPr>
          <w:rFonts w:hint="eastAsia" w:asciiTheme="minorEastAsia" w:hAnsiTheme="minorEastAsia" w:eastAsiaTheme="minorEastAsia" w:cstheme="minorEastAsia"/>
          <w:sz w:val="24"/>
          <w:szCs w:val="24"/>
          <w:highlight w:val="none"/>
        </w:rPr>
        <w:t>质疑方式：</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14.2.1</w:t>
      </w:r>
      <w:r>
        <w:rPr>
          <w:rFonts w:hint="eastAsia" w:asciiTheme="minorEastAsia" w:hAnsiTheme="minorEastAsia" w:eastAsiaTheme="minorEastAsia" w:cstheme="minorEastAsia"/>
          <w:sz w:val="24"/>
          <w:szCs w:val="24"/>
          <w:highlight w:val="none"/>
        </w:rPr>
        <w:t>在线质疑：</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登录西安市公共资源交易平台〖首页·〉电子交易平台·〉企业端〗，在〖我的项目〗中点击“项目流程·〉提出质疑”，填写表单并提交质疑。</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14.2.2</w:t>
      </w:r>
      <w:r>
        <w:rPr>
          <w:rFonts w:hint="eastAsia" w:asciiTheme="minorEastAsia" w:hAnsiTheme="minorEastAsia" w:eastAsiaTheme="minorEastAsia" w:cstheme="minorEastAsia"/>
          <w:sz w:val="24"/>
          <w:szCs w:val="24"/>
          <w:highlight w:val="none"/>
        </w:rPr>
        <w:t>书面质疑：</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书面质疑函应按照财政部国库司制定的《政府采购供应商质疑函范本》（见下方链接）进行填写，签字、盖章后提交至采购人、采购代理机构。</w:t>
      </w:r>
    </w:p>
    <w:p>
      <w:pPr>
        <w:spacing w:line="5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质疑函范本地址：</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"http://download.ccgp.gov.cn/2018/zhiyihanfanben.zip" </w:instrText>
      </w:r>
      <w:r>
        <w:rPr>
          <w:rFonts w:hint="eastAsia" w:asciiTheme="minorEastAsia" w:hAnsiTheme="minorEastAsia" w:eastAsiaTheme="minorEastAsia" w:cstheme="minorEastAsia"/>
          <w:sz w:val="24"/>
          <w:szCs w:val="24"/>
          <w:highlight w:val="none"/>
        </w:rPr>
        <w:fldChar w:fldCharType="separate"/>
      </w:r>
      <w:r>
        <w:rPr>
          <w:rStyle w:val="52"/>
          <w:rFonts w:hint="eastAsia" w:asciiTheme="minorEastAsia" w:hAnsiTheme="minorEastAsia" w:eastAsiaTheme="minorEastAsia" w:cstheme="minorEastAsia"/>
          <w:color w:val="auto"/>
          <w:sz w:val="24"/>
          <w:szCs w:val="24"/>
          <w:highlight w:val="none"/>
          <w:u w:val="none"/>
        </w:rPr>
        <w:t>http://download.ccgp.gov.cn/2018/zhiyihanfanben.zip</w:t>
      </w:r>
      <w:r>
        <w:rPr>
          <w:rStyle w:val="52"/>
          <w:rFonts w:hint="eastAsia" w:asciiTheme="minorEastAsia" w:hAnsiTheme="minorEastAsia" w:eastAsiaTheme="minorEastAsia" w:cstheme="minorEastAsia"/>
          <w:color w:val="auto"/>
          <w:sz w:val="24"/>
          <w:szCs w:val="24"/>
          <w:highlight w:val="none"/>
          <w:u w:val="none"/>
        </w:rPr>
        <w:fldChar w:fldCharType="end"/>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14.3</w:t>
      </w:r>
      <w:r>
        <w:rPr>
          <w:rFonts w:hint="eastAsia" w:asciiTheme="minorEastAsia" w:hAnsiTheme="minorEastAsia" w:eastAsiaTheme="minorEastAsia" w:cstheme="minorEastAsia"/>
          <w:sz w:val="24"/>
          <w:szCs w:val="24"/>
          <w:highlight w:val="none"/>
        </w:rPr>
        <w:t>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14.4</w:t>
      </w:r>
      <w:r>
        <w:rPr>
          <w:rFonts w:hint="eastAsia" w:asciiTheme="minorEastAsia" w:hAnsiTheme="minorEastAsia" w:eastAsiaTheme="minorEastAsia" w:cstheme="minorEastAsia"/>
          <w:sz w:val="24"/>
          <w:szCs w:val="24"/>
          <w:highlight w:val="none"/>
        </w:rPr>
        <w:t>在法定质疑期内，针对同一采购程序环节的质疑应当一次性提出。采购人、采购代理机构将在收到书面质疑后7个工作日内做出答复，并以书面形式通知质疑人和其他有关供应商。</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14.5</w:t>
      </w:r>
      <w:r>
        <w:rPr>
          <w:rFonts w:hint="eastAsia" w:asciiTheme="minorEastAsia" w:hAnsiTheme="minorEastAsia" w:eastAsiaTheme="minorEastAsia" w:cstheme="minorEastAsia"/>
          <w:sz w:val="24"/>
          <w:szCs w:val="24"/>
          <w:highlight w:val="none"/>
        </w:rPr>
        <w:t>有下列情形之一的，属于无效质疑：</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14.5.1</w:t>
      </w:r>
      <w:r>
        <w:rPr>
          <w:rFonts w:hint="eastAsia" w:asciiTheme="minorEastAsia" w:hAnsiTheme="minorEastAsia" w:eastAsiaTheme="minorEastAsia" w:cstheme="minorEastAsia"/>
          <w:sz w:val="24"/>
          <w:szCs w:val="24"/>
          <w:highlight w:val="none"/>
        </w:rPr>
        <w:t>对采购文件提出质疑的质疑人不是依法获取采购文件的潜在供应商；对采购过程、中标结果提出质疑的质疑人不是参与本次政府采购项目的供应商；</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14.5.2</w:t>
      </w:r>
      <w:r>
        <w:rPr>
          <w:rFonts w:hint="eastAsia" w:asciiTheme="minorEastAsia" w:hAnsiTheme="minorEastAsia" w:eastAsiaTheme="minorEastAsia" w:cstheme="minorEastAsia"/>
          <w:sz w:val="24"/>
          <w:szCs w:val="24"/>
          <w:highlight w:val="none"/>
        </w:rPr>
        <w:t>超过法定期限或未以书面形式提出的；</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14.5.3</w:t>
      </w:r>
      <w:r>
        <w:rPr>
          <w:rFonts w:hint="eastAsia" w:asciiTheme="minorEastAsia" w:hAnsiTheme="minorEastAsia" w:eastAsiaTheme="minorEastAsia" w:cstheme="minorEastAsia"/>
          <w:sz w:val="24"/>
          <w:szCs w:val="24"/>
          <w:highlight w:val="none"/>
        </w:rPr>
        <w:t>缺乏必要的证明材料，或捏造事实、提供虚假材料，或以非法手段取得证明材料的；</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14.5.4</w:t>
      </w:r>
      <w:r>
        <w:rPr>
          <w:rFonts w:hint="eastAsia" w:asciiTheme="minorEastAsia" w:hAnsiTheme="minorEastAsia" w:eastAsiaTheme="minorEastAsia" w:cstheme="minorEastAsia"/>
          <w:sz w:val="24"/>
          <w:szCs w:val="24"/>
          <w:highlight w:val="none"/>
        </w:rPr>
        <w:t xml:space="preserve"> 质疑函没有合法有效的签字、盖章或委托授权书的（代理人提出质疑和投诉，应当提交供应商签署的授权委托书）；</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14.5.5</w:t>
      </w:r>
      <w:r>
        <w:rPr>
          <w:rFonts w:hint="eastAsia" w:asciiTheme="minorEastAsia" w:hAnsiTheme="minorEastAsia" w:eastAsiaTheme="minorEastAsia" w:cstheme="minorEastAsia"/>
          <w:sz w:val="24"/>
          <w:szCs w:val="24"/>
          <w:highlight w:val="none"/>
        </w:rPr>
        <w:t xml:space="preserve"> 针对同一采购程序环节又提出其他质疑事项的，或质疑答复后就同一事项再次提出质疑的；</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14.5.6</w:t>
      </w:r>
      <w:r>
        <w:rPr>
          <w:rFonts w:hint="eastAsia" w:asciiTheme="minorEastAsia" w:hAnsiTheme="minorEastAsia" w:eastAsiaTheme="minorEastAsia" w:cstheme="minorEastAsia"/>
          <w:sz w:val="24"/>
          <w:szCs w:val="24"/>
          <w:highlight w:val="none"/>
        </w:rPr>
        <w:t>不符合法律、法规、规章和政府采购监管机构规定的其他条件的。</w:t>
      </w:r>
    </w:p>
    <w:p>
      <w:pPr>
        <w:pStyle w:val="94"/>
        <w:rPr>
          <w:rFonts w:hint="eastAsia" w:cs="Times New Roman"/>
          <w:highlight w:val="none"/>
        </w:rPr>
      </w:pPr>
      <w:r>
        <w:rPr>
          <w:rFonts w:hint="eastAsia" w:cs="Times New Roman"/>
          <w:highlight w:val="none"/>
          <w:lang w:val="en-US" w:eastAsia="zh-CN"/>
        </w:rPr>
        <w:t>15</w:t>
      </w:r>
      <w:r>
        <w:rPr>
          <w:rFonts w:hint="eastAsia" w:cs="Times New Roman"/>
          <w:highlight w:val="none"/>
        </w:rPr>
        <w:t>．投诉</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15.1</w:t>
      </w:r>
      <w:r>
        <w:rPr>
          <w:rFonts w:hint="eastAsia" w:asciiTheme="minorEastAsia" w:hAnsiTheme="minorEastAsia" w:eastAsiaTheme="minorEastAsia" w:cstheme="minorEastAsia"/>
          <w:sz w:val="24"/>
          <w:szCs w:val="24"/>
          <w:highlight w:val="none"/>
        </w:rPr>
        <w:t>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15.2</w:t>
      </w:r>
      <w:r>
        <w:rPr>
          <w:rFonts w:hint="eastAsia" w:asciiTheme="minorEastAsia" w:hAnsiTheme="minorEastAsia" w:eastAsiaTheme="minorEastAsia" w:cstheme="minorEastAsia"/>
          <w:sz w:val="24"/>
          <w:szCs w:val="24"/>
          <w:highlight w:val="none"/>
        </w:rPr>
        <w:t>供应商投诉的事项不得超出已质疑事项的范围。供应商提出投诉时，应当提交投诉书和必要的证明材料，并按财政部《投诉书范本》给定的格式进行填写。</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投诉书范本地址：</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"http://download.ccgp.gov.cn/2018/tousushufanben.zip" </w:instrText>
      </w:r>
      <w:r>
        <w:rPr>
          <w:rFonts w:hint="eastAsia" w:asciiTheme="minorEastAsia" w:hAnsiTheme="minorEastAsia" w:eastAsiaTheme="minorEastAsia" w:cstheme="minorEastAsia"/>
          <w:sz w:val="24"/>
          <w:szCs w:val="24"/>
          <w:highlight w:val="none"/>
        </w:rPr>
        <w:fldChar w:fldCharType="separate"/>
      </w:r>
      <w:r>
        <w:rPr>
          <w:rStyle w:val="52"/>
          <w:rFonts w:hint="eastAsia" w:asciiTheme="minorEastAsia" w:hAnsiTheme="minorEastAsia" w:eastAsiaTheme="minorEastAsia" w:cstheme="minorEastAsia"/>
          <w:sz w:val="24"/>
          <w:szCs w:val="24"/>
          <w:highlight w:val="none"/>
        </w:rPr>
        <w:t>http://download.ccgp.gov.cn/2018/tousushufanben.zip</w:t>
      </w:r>
      <w:r>
        <w:rPr>
          <w:rStyle w:val="52"/>
          <w:rFonts w:hint="eastAsia" w:asciiTheme="minorEastAsia" w:hAnsiTheme="minorEastAsia" w:eastAsiaTheme="minorEastAsia" w:cstheme="minorEastAsia"/>
          <w:sz w:val="24"/>
          <w:szCs w:val="24"/>
          <w:highlight w:val="none"/>
        </w:rPr>
        <w:fldChar w:fldCharType="end"/>
      </w:r>
    </w:p>
    <w:p>
      <w:pPr>
        <w:pStyle w:val="94"/>
        <w:rPr>
          <w:rFonts w:hint="eastAsia" w:cs="Times New Roman"/>
          <w:highlight w:val="none"/>
        </w:rPr>
      </w:pPr>
      <w:r>
        <w:rPr>
          <w:rFonts w:hint="eastAsia" w:cs="Times New Roman"/>
          <w:highlight w:val="none"/>
          <w:lang w:val="en-US" w:eastAsia="zh-CN"/>
        </w:rPr>
        <w:t>16</w:t>
      </w:r>
      <w:r>
        <w:rPr>
          <w:rFonts w:hint="eastAsia" w:cs="Times New Roman"/>
          <w:highlight w:val="none"/>
        </w:rPr>
        <w:t>．恶意质疑、投诉的法律后果</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（1）对捏造事实、提供虚假材料进行质疑、投诉的行为予以严肃处理：</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（2）对捏造事实诬告陷害他人、诽谤他人的法律适用：</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《中华人民共和国刑法》第246条【侮辱罪、诽谤罪】以暴力或者其他方法公然侮辱他人或者捏造事实诽谤他人，情节严重的，处三年以下有期徒刑、拘役、管制或者剥夺政治权利。</w:t>
      </w:r>
    </w:p>
    <w:p>
      <w:pPr>
        <w:pStyle w:val="40"/>
        <w:ind w:firstLine="482" w:firstLineChars="200"/>
        <w:rPr>
          <w:rFonts w:hint="eastAsia" w:ascii="宋体" w:hAnsi="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17.履约保证金：本项目不要求提供</w:t>
      </w:r>
    </w:p>
    <w:p>
      <w:pPr>
        <w:pStyle w:val="40"/>
        <w:ind w:firstLine="482" w:firstLineChars="200"/>
        <w:rPr>
          <w:rFonts w:hint="default" w:ascii="宋体" w:hAnsi="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18.投标保证金：本项目不要求提供</w:t>
      </w:r>
    </w:p>
    <w:p>
      <w:pPr>
        <w:pStyle w:val="40"/>
        <w:ind w:firstLine="482" w:firstLineChars="200"/>
        <w:rPr>
          <w:rFonts w:ascii="宋体" w:hAnsi="宋体" w:cs="宋体"/>
          <w:b/>
          <w:sz w:val="24"/>
          <w:highlight w:val="none"/>
          <w:lang w:val="zh-CN"/>
        </w:rPr>
      </w:pPr>
      <w:r>
        <w:rPr>
          <w:rFonts w:hint="eastAsia" w:ascii="宋体" w:hAnsi="宋体" w:cs="宋体"/>
          <w:b/>
          <w:sz w:val="24"/>
          <w:highlight w:val="none"/>
          <w:lang w:val="en-US" w:eastAsia="zh-CN"/>
        </w:rPr>
        <w:t>19.</w:t>
      </w:r>
      <w:r>
        <w:rPr>
          <w:rFonts w:hint="eastAsia" w:ascii="宋体" w:hAnsi="宋体" w:cs="宋体"/>
          <w:b/>
          <w:sz w:val="24"/>
          <w:highlight w:val="none"/>
          <w:lang w:val="zh-CN"/>
        </w:rPr>
        <w:t>融资平台</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spacing w:line="560" w:lineRule="exact"/>
        <w:ind w:firstLine="482" w:firstLineChars="200"/>
        <w:jc w:val="both"/>
        <w:rPr>
          <w:rFonts w:hint="eastAsia" w:asciiTheme="minorEastAsia" w:hAnsiTheme="minorEastAsia" w:eastAsiaTheme="minorEastAsia" w:cstheme="minorEastAsia"/>
          <w:sz w:val="24"/>
          <w:szCs w:val="24"/>
          <w:highlight w:val="none"/>
          <w:lang w:val="zh-CN"/>
        </w:rPr>
      </w:pPr>
      <w:r>
        <w:rPr>
          <w:rFonts w:hint="eastAsia" w:ascii="宋体" w:hAnsi="宋体" w:cs="宋体"/>
          <w:b/>
          <w:sz w:val="24"/>
          <w:highlight w:val="none"/>
          <w:lang w:val="zh-CN"/>
        </w:rPr>
        <w:t>网址:http://www.ccgp-</w:t>
      </w:r>
      <w:r>
        <w:rPr>
          <w:rFonts w:hint="eastAsia" w:asciiTheme="minorEastAsia" w:hAnsiTheme="minorEastAsia" w:eastAsiaTheme="minorEastAsia" w:cstheme="minorEastAsia"/>
          <w:sz w:val="24"/>
          <w:szCs w:val="24"/>
          <w:highlight w:val="none"/>
          <w:lang w:val="zh-CN"/>
        </w:rPr>
        <w:t>shaanxi.gov.cn/zcdservice/zcd/shanxi/s</w:t>
      </w:r>
    </w:p>
    <w:p>
      <w:pPr>
        <w:spacing w:line="560" w:lineRule="exact"/>
        <w:ind w:firstLine="482"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20.采购代理服务费</w:t>
      </w:r>
      <w:r>
        <w:rPr>
          <w:rFonts w:hint="eastAsia" w:asciiTheme="minorEastAsia" w:hAnsiTheme="minorEastAsia" w:eastAsiaTheme="minorEastAsia" w:cstheme="minorEastAsia"/>
          <w:sz w:val="24"/>
          <w:szCs w:val="24"/>
          <w:highlight w:val="none"/>
          <w:lang w:val="en-US" w:eastAsia="zh-CN"/>
        </w:rPr>
        <w:t>：</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招标代理服务费的计算方法：参照国家计委颁发的《招标代理服务收费管理暂行办法》（计价格[2002]1980号）和国家发展改革委员会办公厅颁发的《关于招标代理服务收费有关问题的通知》（发改办价格[2003]857号）的有关规定收取。</w:t>
      </w:r>
    </w:p>
    <w:p>
      <w:pPr>
        <w:spacing w:line="560" w:lineRule="exact"/>
        <w:ind w:firstLine="480" w:firstLineChars="200"/>
        <w:jc w:val="both"/>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中标单位在领取中标通知书前，须向采购代理机构一次性支付招标代理服务费。</w:t>
      </w:r>
    </w:p>
    <w:p>
      <w:pPr>
        <w:spacing w:line="560" w:lineRule="exact"/>
        <w:ind w:firstLine="480" w:firstLineChars="200"/>
        <w:jc w:val="both"/>
        <w:rPr>
          <w:rFonts w:ascii="宋体" w:hAnsi="宋体"/>
          <w:b/>
          <w:color w:val="000000" w:themeColor="text1"/>
          <w:sz w:val="24"/>
          <w:highlight w:val="none"/>
          <w14:textFill>
            <w14:solidFill>
              <w14:schemeClr w14:val="tx1"/>
            </w14:solidFill>
          </w14:textFill>
        </w:rPr>
        <w:sectPr>
          <w:headerReference r:id="rId5" w:type="first"/>
          <w:footerReference r:id="rId7" w:type="first"/>
          <w:footerReference r:id="rId6" w:type="default"/>
          <w:pgSz w:w="11906" w:h="16838"/>
          <w:pgMar w:top="1417" w:right="1417" w:bottom="1417" w:left="1531" w:header="850" w:footer="850" w:gutter="0"/>
          <w:pgBorders>
            <w:top w:val="none" w:sz="0" w:space="0"/>
            <w:left w:val="none" w:sz="0" w:space="0"/>
            <w:bottom w:val="none" w:sz="0" w:space="0"/>
            <w:right w:val="none" w:sz="0" w:space="0"/>
          </w:pgBorders>
          <w:pgNumType w:fmt="decimal" w:start="1"/>
          <w:cols w:space="0" w:num="1"/>
          <w:titlePg/>
          <w:docGrid w:linePitch="312" w:charSpace="0"/>
        </w:sectPr>
      </w:pPr>
      <w:r>
        <w:rPr>
          <w:rFonts w:hint="eastAsia" w:asciiTheme="minorEastAsia" w:hAnsiTheme="minorEastAsia" w:eastAsiaTheme="minorEastAsia" w:cstheme="minorEastAsia"/>
          <w:sz w:val="24"/>
          <w:szCs w:val="24"/>
          <w:highlight w:val="none"/>
          <w:lang w:val="en-US" w:eastAsia="zh-CN"/>
        </w:rPr>
        <w:tab/>
      </w:r>
    </w:p>
    <w:p>
      <w:pPr>
        <w:rPr>
          <w:rFonts w:hint="eastAsia" w:ascii="宋体" w:hAnsi="宋体" w:cs="宋体"/>
          <w:b/>
          <w:bCs/>
          <w:color w:val="000000" w:themeColor="text1"/>
          <w:sz w:val="32"/>
          <w:highlight w:val="none"/>
          <w14:textFill>
            <w14:solidFill>
              <w14:schemeClr w14:val="tx1"/>
            </w14:solidFill>
          </w14:textFill>
        </w:rPr>
      </w:pPr>
      <w:r>
        <w:rPr>
          <w:rFonts w:hint="eastAsia" w:ascii="宋体" w:hAnsi="宋体" w:cs="宋体"/>
          <w:b/>
          <w:bCs/>
          <w:color w:val="000000" w:themeColor="text1"/>
          <w:sz w:val="32"/>
          <w:highlight w:val="none"/>
          <w14:textFill>
            <w14:solidFill>
              <w14:schemeClr w14:val="tx1"/>
            </w14:solidFill>
          </w14:textFill>
        </w:rPr>
        <w:br w:type="page"/>
      </w:r>
    </w:p>
    <w:p>
      <w:pPr>
        <w:pStyle w:val="3"/>
        <w:bidi w:val="0"/>
        <w:jc w:val="center"/>
        <w:rPr>
          <w:sz w:val="36"/>
          <w:szCs w:val="36"/>
          <w:highlight w:val="none"/>
        </w:rPr>
      </w:pPr>
      <w:bookmarkStart w:id="228" w:name="_Toc19397"/>
      <w:bookmarkStart w:id="229" w:name="_Toc26949"/>
      <w:r>
        <w:rPr>
          <w:rFonts w:hint="eastAsia"/>
          <w:sz w:val="36"/>
          <w:szCs w:val="36"/>
          <w:highlight w:val="none"/>
        </w:rPr>
        <w:t xml:space="preserve">第三部分 </w:t>
      </w:r>
      <w:bookmarkStart w:id="230" w:name="_Toc144974565"/>
      <w:bookmarkStart w:id="231" w:name="_Toc152042375"/>
      <w:bookmarkStart w:id="232" w:name="_Toc152045598"/>
      <w:r>
        <w:rPr>
          <w:rFonts w:hint="eastAsia"/>
          <w:sz w:val="36"/>
          <w:szCs w:val="36"/>
          <w:highlight w:val="none"/>
        </w:rPr>
        <w:t>评标办法</w:t>
      </w:r>
      <w:bookmarkEnd w:id="20"/>
      <w:bookmarkEnd w:id="21"/>
      <w:bookmarkEnd w:id="228"/>
      <w:bookmarkEnd w:id="229"/>
    </w:p>
    <w:p>
      <w:pPr>
        <w:pStyle w:val="6"/>
        <w:keepNext w:val="0"/>
        <w:keepLines w:val="0"/>
        <w:spacing w:before="0" w:after="0"/>
        <w:rPr>
          <w:rFonts w:eastAsia="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r>
        <w:rPr>
          <w:rFonts w:hint="eastAsia"/>
          <w:color w:val="000000" w:themeColor="text1"/>
          <w:sz w:val="24"/>
          <w:szCs w:val="24"/>
          <w:highlight w:val="none"/>
          <w14:textFill>
            <w14:solidFill>
              <w14:schemeClr w14:val="tx1"/>
            </w14:solidFill>
          </w14:textFill>
        </w:rPr>
        <w:t>．评标委员会与评标</w:t>
      </w:r>
    </w:p>
    <w:p>
      <w:pPr>
        <w:spacing w:line="360" w:lineRule="auto"/>
        <w:ind w:firstLine="500"/>
        <w:rPr>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w:t>
      </w:r>
      <w:r>
        <w:rPr>
          <w:rFonts w:hint="eastAsia" w:ascii="宋体" w:hAnsi="宋体"/>
          <w:color w:val="000000" w:themeColor="text1"/>
          <w:sz w:val="24"/>
          <w:highlight w:val="none"/>
          <w14:textFill>
            <w14:solidFill>
              <w14:schemeClr w14:val="tx1"/>
            </w14:solidFill>
          </w14:textFill>
        </w:rPr>
        <w:t>评标委员会依法组建，负责本项目的评标活动。</w:t>
      </w:r>
    </w:p>
    <w:p>
      <w:pPr>
        <w:spacing w:line="360" w:lineRule="auto"/>
        <w:ind w:firstLine="500"/>
        <w:rPr>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w:t>
      </w:r>
      <w:r>
        <w:rPr>
          <w:rFonts w:hint="eastAsia" w:ascii="宋体" w:hAnsi="宋体"/>
          <w:color w:val="000000" w:themeColor="text1"/>
          <w:sz w:val="24"/>
          <w:highlight w:val="none"/>
          <w14:textFill>
            <w14:solidFill>
              <w14:schemeClr w14:val="tx1"/>
            </w14:solidFill>
          </w14:textFill>
        </w:rPr>
        <w:t>开标结束后，开始评标，评标采用保密方式进行。</w:t>
      </w:r>
    </w:p>
    <w:p>
      <w:pPr>
        <w:pStyle w:val="6"/>
        <w:keepNext w:val="0"/>
        <w:keepLines w:val="0"/>
        <w:spacing w:before="0" w:after="0"/>
        <w:rPr>
          <w:rFonts w:eastAsia="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w:t>
      </w:r>
      <w:r>
        <w:rPr>
          <w:rFonts w:hint="eastAsia"/>
          <w:color w:val="000000" w:themeColor="text1"/>
          <w:sz w:val="24"/>
          <w:szCs w:val="24"/>
          <w:highlight w:val="none"/>
          <w14:textFill>
            <w14:solidFill>
              <w14:schemeClr w14:val="tx1"/>
            </w14:solidFill>
          </w14:textFill>
        </w:rPr>
        <w:t>．评标过程的保密</w:t>
      </w:r>
    </w:p>
    <w:p>
      <w:pPr>
        <w:spacing w:line="360" w:lineRule="auto"/>
        <w:ind w:firstLine="500"/>
        <w:rPr>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w:t>
      </w:r>
      <w:r>
        <w:rPr>
          <w:rFonts w:hint="eastAsia" w:ascii="宋体" w:hAnsi="宋体"/>
          <w:color w:val="000000" w:themeColor="text1"/>
          <w:sz w:val="24"/>
          <w:highlight w:val="none"/>
          <w14:textFill>
            <w14:solidFill>
              <w14:schemeClr w14:val="tx1"/>
            </w14:solidFill>
          </w14:textFill>
        </w:rPr>
        <w:t>开标后，直至授予中标人合同为止，凡属于对投标文件的审查、澄清、评价和比较有关的资料以及中标候选人的推荐情况，与评标有关的其他任何情况均属严格保密范围。</w:t>
      </w:r>
    </w:p>
    <w:p>
      <w:pPr>
        <w:spacing w:line="360" w:lineRule="auto"/>
        <w:ind w:firstLine="500"/>
        <w:rPr>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2.2</w:t>
      </w:r>
      <w:r>
        <w:rPr>
          <w:rFonts w:hint="eastAsia" w:ascii="宋体" w:hAnsi="宋体"/>
          <w:color w:val="000000" w:themeColor="text1"/>
          <w:sz w:val="24"/>
          <w:highlight w:val="none"/>
          <w14:textFill>
            <w14:solidFill>
              <w14:schemeClr w14:val="tx1"/>
            </w14:solidFill>
          </w14:textFill>
        </w:rPr>
        <w:t>在投标文件的评审和比较、中标候选人推荐以及授予合同的过程中，供应商向采购人和评标委员会施加影响的任何行为，都将会导致其投标被拒绝。</w:t>
      </w:r>
    </w:p>
    <w:p>
      <w:pPr>
        <w:spacing w:line="360" w:lineRule="auto"/>
        <w:ind w:firstLine="500"/>
        <w:rPr>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2.3</w:t>
      </w:r>
      <w:r>
        <w:rPr>
          <w:rFonts w:hint="eastAsia" w:ascii="宋体" w:hAnsi="宋体"/>
          <w:color w:val="000000" w:themeColor="text1"/>
          <w:sz w:val="24"/>
          <w:highlight w:val="none"/>
          <w14:textFill>
            <w14:solidFill>
              <w14:schemeClr w14:val="tx1"/>
            </w14:solidFill>
          </w14:textFill>
        </w:rPr>
        <w:t>中标人确定后，采购人不对未中标人就评标过程以及未能中标原因做出任何解释，亦不退回投标文件。未中标人不得向评标委员会组成人员或其他有关人员索问评标过程的情况和材料。</w:t>
      </w:r>
    </w:p>
    <w:p>
      <w:pPr>
        <w:pStyle w:val="6"/>
        <w:keepNext w:val="0"/>
        <w:keepLines w:val="0"/>
        <w:spacing w:before="0" w:after="0"/>
        <w:rPr>
          <w:rFonts w:eastAsia="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w:t>
      </w:r>
      <w:r>
        <w:rPr>
          <w:rFonts w:hint="eastAsia"/>
          <w:color w:val="000000" w:themeColor="text1"/>
          <w:sz w:val="24"/>
          <w:szCs w:val="24"/>
          <w:highlight w:val="none"/>
          <w14:textFill>
            <w14:solidFill>
              <w14:schemeClr w14:val="tx1"/>
            </w14:solidFill>
          </w14:textFill>
        </w:rPr>
        <w:t>．投标文件的澄清</w:t>
      </w:r>
    </w:p>
    <w:p>
      <w:pPr>
        <w:spacing w:line="360" w:lineRule="auto"/>
        <w:ind w:firstLine="5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为有助于投标文件的审查、评价和比较，评标委员会可以书面形式要求供应商对投标文件含义不明确的内容作必要的澄清或说明，供应商应采用书面形式进行澄清或说明，并经法定代表人或委托代理人签字盖章，但不得超出投标文件的范围或改变投标文件的实质性内容。根据本章第</w:t>
      </w: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条规定，凡属于评标委员会在评标中发现的计算错误并进行核实的修改不在此列。</w:t>
      </w:r>
    </w:p>
    <w:p>
      <w:pPr>
        <w:pStyle w:val="6"/>
        <w:keepNext w:val="0"/>
        <w:keepLines w:val="0"/>
        <w:numPr>
          <w:ilvl w:val="0"/>
          <w:numId w:val="2"/>
        </w:numPr>
        <w:spacing w:before="0" w:after="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投标文件的资格评审、初步评审</w:t>
      </w:r>
    </w:p>
    <w:p>
      <w:pPr>
        <w:spacing w:line="360" w:lineRule="auto"/>
        <w:ind w:firstLine="500"/>
        <w:rPr>
          <w:rFonts w:ascii="宋体" w:hAnsi="Times New Roman" w:cs="Times New Roman"/>
          <w:b/>
          <w:bCs/>
          <w:color w:val="000000" w:themeColor="text1"/>
          <w:sz w:val="24"/>
          <w:highlight w:val="none"/>
          <w14:textFill>
            <w14:solidFill>
              <w14:schemeClr w14:val="tx1"/>
            </w14:solidFill>
          </w14:textFill>
        </w:rPr>
      </w:pPr>
      <w:r>
        <w:rPr>
          <w:rFonts w:hint="eastAsia" w:ascii="宋体" w:hAnsi="Times New Roman" w:cs="Times New Roman"/>
          <w:b/>
          <w:bCs/>
          <w:color w:val="000000" w:themeColor="text1"/>
          <w:sz w:val="24"/>
          <w:highlight w:val="none"/>
          <w14:textFill>
            <w14:solidFill>
              <w14:schemeClr w14:val="tx1"/>
            </w14:solidFill>
          </w14:textFill>
        </w:rPr>
        <w:t>评审过程中对投标文件的判定，只依据投标文件的内容本身，不依据任何外来证明。</w:t>
      </w:r>
    </w:p>
    <w:p>
      <w:pPr>
        <w:spacing w:line="360" w:lineRule="auto"/>
        <w:ind w:firstLine="5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资格性评审：</w:t>
      </w:r>
      <w:r>
        <w:rPr>
          <w:rFonts w:hint="eastAsia" w:ascii="宋体" w:hAnsi="宋体"/>
          <w:color w:val="000000" w:themeColor="text1"/>
          <w:sz w:val="24"/>
          <w:highlight w:val="none"/>
          <w14:textFill>
            <w14:solidFill>
              <w14:schemeClr w14:val="tx1"/>
            </w14:solidFill>
          </w14:textFill>
        </w:rPr>
        <w:t>开标后，采购人或采购代理机构对投标文件的资格</w:t>
      </w:r>
      <w:r>
        <w:rPr>
          <w:rFonts w:hint="eastAsia" w:ascii="宋体" w:hAnsi="宋体"/>
          <w:color w:val="000000" w:themeColor="text1"/>
          <w:sz w:val="24"/>
          <w:highlight w:val="none"/>
          <w:lang w:eastAsia="zh-CN"/>
          <w14:textFill>
            <w14:solidFill>
              <w14:schemeClr w14:val="tx1"/>
            </w14:solidFill>
          </w14:textFill>
        </w:rPr>
        <w:t>进行审查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color w:val="000000" w:themeColor="text1"/>
          <w:kern w:val="0"/>
          <w:sz w:val="24"/>
          <w:highlight w:val="non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基本资格条件：符合《中华人民共和国政府采购法》第二十二条的规定；</w:t>
      </w:r>
      <w:r>
        <w:rPr>
          <w:rFonts w:hint="eastAsia" w:ascii="宋体" w:hAnsi="宋体"/>
          <w:color w:val="000000" w:themeColor="text1"/>
          <w:kern w:val="0"/>
          <w:sz w:val="24"/>
          <w:highlight w:val="none"/>
          <w:lang w:eastAsia="zh-CN"/>
          <w14:textFill>
            <w14:solidFill>
              <w14:schemeClr w14:val="tx1"/>
            </w14:solidFill>
          </w14:textFill>
        </w:rPr>
        <w:t>并提供以下资料：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w:t>
      </w:r>
      <w:r>
        <w:rPr>
          <w:rFonts w:hint="eastAsia" w:ascii="宋体" w:hAnsi="宋体" w:eastAsia="宋体" w:cs="宋体"/>
          <w:b w:val="0"/>
          <w:bCs w:val="0"/>
          <w:sz w:val="24"/>
          <w:szCs w:val="24"/>
          <w:highlight w:val="none"/>
          <w:lang w:val="en-US" w:eastAsia="zh-CN"/>
        </w:rPr>
        <w:t>具有独立承担民事责任能力的法人或其他组织，提供有效存续的营业执照或事业单位法人证书或非企业专业服务机构执业许可证或民办非企业单位登记证书或自然人的身份证明；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财务状况报告：提供经审计的2021年财务报告，包括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税收缴纳证明：提供已缴纳的202</w:t>
      </w: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年</w:t>
      </w:r>
      <w:r>
        <w:rPr>
          <w:rFonts w:hint="eastAsia" w:ascii="宋体" w:hAnsi="宋体" w:cs="宋体"/>
          <w:b w:val="0"/>
          <w:bCs w:val="0"/>
          <w:sz w:val="24"/>
          <w:szCs w:val="24"/>
          <w:highlight w:val="none"/>
          <w:lang w:val="en-US" w:eastAsia="zh-CN"/>
        </w:rPr>
        <w:t>1</w:t>
      </w:r>
      <w:r>
        <w:rPr>
          <w:rFonts w:hint="eastAsia" w:ascii="宋体" w:hAnsi="宋体" w:eastAsia="宋体" w:cs="宋体"/>
          <w:b w:val="0"/>
          <w:bCs w:val="0"/>
          <w:sz w:val="24"/>
          <w:szCs w:val="24"/>
          <w:highlight w:val="none"/>
          <w:lang w:val="en-US" w:eastAsia="zh-CN"/>
        </w:rPr>
        <w:t>月至今任意一个月的纳税证明或完税证明，纳税证明或完税证明上应有代收机构或税务机关的公章</w:t>
      </w:r>
      <w:r>
        <w:rPr>
          <w:rFonts w:hint="eastAsia" w:ascii="宋体" w:hAnsi="宋体" w:cs="宋体"/>
          <w:b w:val="0"/>
          <w:bCs w:val="0"/>
          <w:sz w:val="24"/>
          <w:szCs w:val="24"/>
          <w:highlight w:val="none"/>
          <w:lang w:val="en-US" w:eastAsia="zh-CN"/>
        </w:rPr>
        <w:t>或业务专用章</w:t>
      </w:r>
      <w:r>
        <w:rPr>
          <w:rFonts w:hint="eastAsia" w:ascii="宋体" w:hAnsi="宋体" w:eastAsia="宋体" w:cs="宋体"/>
          <w:b w:val="0"/>
          <w:bCs w:val="0"/>
          <w:sz w:val="24"/>
          <w:szCs w:val="24"/>
          <w:highlight w:val="none"/>
          <w:lang w:val="en-US" w:eastAsia="zh-CN"/>
        </w:rPr>
        <w:t>。依法免税的供应商应提供相关文件证明；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（4）供应商须提供具有履行合同所必需的设备和专业技术能力的承诺；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（5）社会保障资金缴纳证明：提供已缴存的202</w:t>
      </w: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年</w:t>
      </w:r>
      <w:r>
        <w:rPr>
          <w:rFonts w:hint="eastAsia" w:ascii="宋体" w:hAnsi="宋体" w:cs="宋体"/>
          <w:b w:val="0"/>
          <w:bCs w:val="0"/>
          <w:sz w:val="24"/>
          <w:szCs w:val="24"/>
          <w:highlight w:val="none"/>
          <w:lang w:val="en-US" w:eastAsia="zh-CN"/>
        </w:rPr>
        <w:t>1</w:t>
      </w:r>
      <w:r>
        <w:rPr>
          <w:rFonts w:hint="eastAsia" w:ascii="宋体" w:hAnsi="宋体" w:eastAsia="宋体" w:cs="宋体"/>
          <w:b w:val="0"/>
          <w:bCs w:val="0"/>
          <w:sz w:val="24"/>
          <w:szCs w:val="24"/>
          <w:highlight w:val="none"/>
          <w:lang w:val="en-US" w:eastAsia="zh-CN"/>
        </w:rPr>
        <w:t>月至今任意一个月的社会保障资金缴存单据或社保机构开具的社会保险参保缴费情况证明，单据或证明上应有社保机构或代收机构的公章</w:t>
      </w:r>
      <w:r>
        <w:rPr>
          <w:rFonts w:hint="eastAsia" w:ascii="宋体" w:hAnsi="宋体" w:cs="宋体"/>
          <w:b w:val="0"/>
          <w:bCs w:val="0"/>
          <w:sz w:val="24"/>
          <w:szCs w:val="24"/>
          <w:highlight w:val="none"/>
          <w:lang w:val="en-US" w:eastAsia="zh-CN"/>
        </w:rPr>
        <w:t>或业务专用章</w:t>
      </w:r>
      <w:r>
        <w:rPr>
          <w:rFonts w:hint="eastAsia" w:ascii="宋体" w:hAnsi="宋体" w:eastAsia="宋体" w:cs="宋体"/>
          <w:b w:val="0"/>
          <w:bCs w:val="0"/>
          <w:sz w:val="24"/>
          <w:szCs w:val="24"/>
          <w:highlight w:val="none"/>
          <w:lang w:val="en-US" w:eastAsia="zh-CN"/>
        </w:rPr>
        <w:t>。依法不需要缴纳社会保障资金的供应商应提供相关文件证明；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（6）出具参加本次政府采购活动前三年内在经营活动中没有重大违法记录的书面声明；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特定资格条件：</w:t>
      </w:r>
    </w:p>
    <w:p>
      <w:pPr>
        <w:spacing w:line="360" w:lineRule="auto"/>
        <w:ind w:firstLine="50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eastAsia="zh-CN"/>
          <w14:textFill>
            <w14:solidFill>
              <w14:schemeClr w14:val="tx1"/>
            </w14:solidFill>
          </w14:textFill>
        </w:rPr>
        <w:t>（</w:t>
      </w:r>
      <w:r>
        <w:rPr>
          <w:rFonts w:hint="eastAsia" w:ascii="宋体" w:hAnsi="宋体"/>
          <w:b w:val="0"/>
          <w:bCs w:val="0"/>
          <w:color w:val="000000" w:themeColor="text1"/>
          <w:sz w:val="24"/>
          <w:highlight w:val="none"/>
          <w:lang w:val="en-US" w:eastAsia="zh-CN"/>
          <w14:textFill>
            <w14:solidFill>
              <w14:schemeClr w14:val="tx1"/>
            </w14:solidFill>
          </w14:textFill>
        </w:rPr>
        <w:t>1</w:t>
      </w:r>
      <w:r>
        <w:rPr>
          <w:rFonts w:hint="eastAsia" w:ascii="宋体" w:hAnsi="宋体"/>
          <w:b w:val="0"/>
          <w:bCs w:val="0"/>
          <w:color w:val="000000" w:themeColor="text1"/>
          <w:sz w:val="24"/>
          <w:highlight w:val="none"/>
          <w:lang w:eastAsia="zh-CN"/>
          <w14:textFill>
            <w14:solidFill>
              <w14:schemeClr w14:val="tx1"/>
            </w14:solidFill>
          </w14:textFill>
        </w:rPr>
        <w:t>）</w:t>
      </w:r>
      <w:r>
        <w:rPr>
          <w:rFonts w:hint="eastAsia" w:ascii="宋体" w:hAnsi="宋体"/>
          <w:b w:val="0"/>
          <w:bCs w:val="0"/>
          <w:color w:val="000000" w:themeColor="text1"/>
          <w:sz w:val="24"/>
          <w:highlight w:val="none"/>
          <w14:textFill>
            <w14:solidFill>
              <w14:schemeClr w14:val="tx1"/>
            </w14:solidFill>
          </w14:textFill>
        </w:rPr>
        <w:t>具备省级及以上教育行政部门颁发的办学许可证；</w:t>
      </w:r>
    </w:p>
    <w:p>
      <w:pPr>
        <w:spacing w:line="360" w:lineRule="auto"/>
        <w:ind w:firstLine="50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eastAsia="zh-CN"/>
          <w14:textFill>
            <w14:solidFill>
              <w14:schemeClr w14:val="tx1"/>
            </w14:solidFill>
          </w14:textFill>
        </w:rPr>
        <w:t>（</w:t>
      </w:r>
      <w:r>
        <w:rPr>
          <w:rFonts w:hint="eastAsia" w:ascii="宋体" w:hAnsi="宋体"/>
          <w:b w:val="0"/>
          <w:bCs w:val="0"/>
          <w:color w:val="000000" w:themeColor="text1"/>
          <w:sz w:val="24"/>
          <w:highlight w:val="none"/>
          <w:lang w:val="en-US" w:eastAsia="zh-CN"/>
          <w14:textFill>
            <w14:solidFill>
              <w14:schemeClr w14:val="tx1"/>
            </w14:solidFill>
          </w14:textFill>
        </w:rPr>
        <w:t>2</w:t>
      </w:r>
      <w:r>
        <w:rPr>
          <w:rFonts w:hint="eastAsia" w:ascii="宋体" w:hAnsi="宋体"/>
          <w:b w:val="0"/>
          <w:bCs w:val="0"/>
          <w:color w:val="000000" w:themeColor="text1"/>
          <w:sz w:val="24"/>
          <w:highlight w:val="none"/>
          <w:lang w:eastAsia="zh-CN"/>
          <w14:textFill>
            <w14:solidFill>
              <w14:schemeClr w14:val="tx1"/>
            </w14:solidFill>
          </w14:textFill>
        </w:rPr>
        <w:t>）</w:t>
      </w:r>
      <w:r>
        <w:rPr>
          <w:rFonts w:hint="eastAsia" w:ascii="宋体" w:hAnsi="宋体"/>
          <w:b w:val="0"/>
          <w:bCs w:val="0"/>
          <w:color w:val="000000" w:themeColor="text1"/>
          <w:sz w:val="24"/>
          <w:highlight w:val="none"/>
          <w14:textFill>
            <w14:solidFill>
              <w14:schemeClr w14:val="tx1"/>
            </w14:solidFill>
          </w14:textFill>
        </w:rPr>
        <w:t>法定代表人参加投标的提供法定代表人身份证明及身份证，委托代理人参加投标的提供授权委托书及委托代理人身份证</w:t>
      </w:r>
      <w:r>
        <w:rPr>
          <w:rFonts w:hint="eastAsia" w:ascii="宋体" w:hAnsi="宋体"/>
          <w:b w:val="0"/>
          <w:bCs w:val="0"/>
          <w:color w:val="000000" w:themeColor="text1"/>
          <w:sz w:val="24"/>
          <w:highlight w:val="none"/>
          <w:lang w:eastAsia="zh-CN"/>
          <w14:textFill>
            <w14:solidFill>
              <w14:schemeClr w14:val="tx1"/>
            </w14:solidFill>
          </w14:textFill>
        </w:rPr>
        <w:t>，</w:t>
      </w:r>
      <w:r>
        <w:rPr>
          <w:rFonts w:hint="eastAsia" w:ascii="宋体" w:hAnsi="宋体"/>
          <w:kern w:val="0"/>
          <w:sz w:val="24"/>
          <w:highlight w:val="none"/>
        </w:rPr>
        <w:t>备注：分支机构由分支机构负责人授权即可</w:t>
      </w:r>
      <w:r>
        <w:rPr>
          <w:rFonts w:hint="eastAsia" w:ascii="宋体" w:hAnsi="宋体"/>
          <w:b w:val="0"/>
          <w:bCs w:val="0"/>
          <w:color w:val="000000" w:themeColor="text1"/>
          <w:sz w:val="24"/>
          <w:highlight w:val="none"/>
          <w14:textFill>
            <w14:solidFill>
              <w14:schemeClr w14:val="tx1"/>
            </w14:solidFill>
          </w14:textFill>
        </w:rPr>
        <w:t>；</w:t>
      </w:r>
    </w:p>
    <w:p>
      <w:pPr>
        <w:spacing w:line="360" w:lineRule="auto"/>
        <w:ind w:firstLine="50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eastAsia="zh-CN"/>
          <w14:textFill>
            <w14:solidFill>
              <w14:schemeClr w14:val="tx1"/>
            </w14:solidFill>
          </w14:textFill>
        </w:rPr>
        <w:t>（</w:t>
      </w:r>
      <w:r>
        <w:rPr>
          <w:rFonts w:hint="eastAsia" w:ascii="宋体" w:hAnsi="宋体"/>
          <w:b w:val="0"/>
          <w:bCs w:val="0"/>
          <w:color w:val="000000" w:themeColor="text1"/>
          <w:sz w:val="24"/>
          <w:highlight w:val="none"/>
          <w:lang w:val="en-US" w:eastAsia="zh-CN"/>
          <w14:textFill>
            <w14:solidFill>
              <w14:schemeClr w14:val="tx1"/>
            </w14:solidFill>
          </w14:textFill>
        </w:rPr>
        <w:t>3</w:t>
      </w:r>
      <w:r>
        <w:rPr>
          <w:rFonts w:hint="eastAsia" w:ascii="宋体" w:hAnsi="宋体"/>
          <w:b w:val="0"/>
          <w:bCs w:val="0"/>
          <w:color w:val="000000" w:themeColor="text1"/>
          <w:sz w:val="24"/>
          <w:highlight w:val="none"/>
          <w:lang w:eastAsia="zh-CN"/>
          <w14:textFill>
            <w14:solidFill>
              <w14:schemeClr w14:val="tx1"/>
            </w14:solidFill>
          </w14:textFill>
        </w:rPr>
        <w:t>）</w:t>
      </w:r>
      <w:r>
        <w:rPr>
          <w:rFonts w:hint="eastAsia" w:ascii="宋体" w:hAnsi="宋体"/>
          <w:b w:val="0"/>
          <w:bCs w:val="0"/>
          <w:color w:val="000000" w:themeColor="text1"/>
          <w:sz w:val="24"/>
          <w:highlight w:val="none"/>
          <w14:textFill>
            <w14:solidFill>
              <w14:schemeClr w14:val="tx1"/>
            </w14:solidFill>
          </w14:textFill>
        </w:rPr>
        <w:t>本项目不接受联合体投标（提供书面声明材料）</w:t>
      </w:r>
    </w:p>
    <w:p>
      <w:pPr>
        <w:spacing w:line="360" w:lineRule="auto"/>
        <w:ind w:firstLine="500"/>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符合性评审：</w:t>
      </w:r>
      <w:r>
        <w:rPr>
          <w:rFonts w:hint="eastAsia" w:ascii="宋体" w:hAnsi="宋体"/>
          <w:color w:val="000000" w:themeColor="text1"/>
          <w:sz w:val="24"/>
          <w:highlight w:val="none"/>
          <w14:textFill>
            <w14:solidFill>
              <w14:schemeClr w14:val="tx1"/>
            </w14:solidFill>
          </w14:textFill>
        </w:rPr>
        <w:t>评标委员会从投标文件的对招标文件的响应程度进行审查，以确定其是否对招标文件实质性内容作出响应：</w:t>
      </w:r>
    </w:p>
    <w:tbl>
      <w:tblPr>
        <w:tblStyle w:val="41"/>
        <w:tblW w:w="8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
        <w:gridCol w:w="712"/>
        <w:gridCol w:w="3249"/>
        <w:gridCol w:w="4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20" w:lineRule="exac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96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实质性条款</w:t>
            </w:r>
          </w:p>
        </w:tc>
        <w:tc>
          <w:tcPr>
            <w:tcW w:w="43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319"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1</w:t>
            </w:r>
          </w:p>
        </w:tc>
        <w:tc>
          <w:tcPr>
            <w:tcW w:w="712"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有效性审查</w:t>
            </w:r>
          </w:p>
        </w:tc>
        <w:tc>
          <w:tcPr>
            <w:tcW w:w="324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投标文件封面、投标函两处的项目名称</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两处均无遗漏，且与项目名称完全一致。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19" w:type="dxa"/>
            <w:vMerge w:val="continue"/>
            <w:tcBorders>
              <w:left w:val="single" w:color="auto" w:sz="4" w:space="0"/>
              <w:right w:val="single" w:color="auto" w:sz="4" w:space="0"/>
            </w:tcBorders>
            <w:noWrap w:val="0"/>
            <w:vAlign w:val="center"/>
          </w:tcPr>
          <w:p>
            <w:pPr>
              <w:spacing w:line="320" w:lineRule="exact"/>
              <w:jc w:val="center"/>
              <w:rPr>
                <w:rFonts w:hint="eastAsia" w:ascii="宋体" w:hAnsi="宋体" w:cs="宋体"/>
                <w:bCs/>
                <w:color w:val="auto"/>
                <w:kern w:val="0"/>
                <w:sz w:val="24"/>
                <w:highlight w:val="none"/>
              </w:rPr>
            </w:pPr>
          </w:p>
        </w:tc>
        <w:tc>
          <w:tcPr>
            <w:tcW w:w="712" w:type="dxa"/>
            <w:vMerge w:val="continue"/>
            <w:tcBorders>
              <w:left w:val="single" w:color="auto" w:sz="4" w:space="0"/>
              <w:right w:val="single" w:color="auto" w:sz="4" w:space="0"/>
            </w:tcBorders>
            <w:noWrap w:val="0"/>
            <w:vAlign w:val="top"/>
          </w:tcPr>
          <w:p>
            <w:pPr>
              <w:spacing w:line="360" w:lineRule="auto"/>
              <w:jc w:val="center"/>
              <w:rPr>
                <w:rFonts w:hint="eastAsia" w:ascii="宋体" w:hAnsi="宋体" w:cs="宋体"/>
                <w:color w:val="auto"/>
                <w:sz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投标文件签署、盖章</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均按招标文件要求签字、盖章。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319" w:type="dxa"/>
            <w:vMerge w:val="continue"/>
            <w:tcBorders>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bCs/>
                <w:color w:val="auto"/>
                <w:kern w:val="0"/>
                <w:sz w:val="24"/>
                <w:highlight w:val="none"/>
              </w:rPr>
            </w:pPr>
          </w:p>
        </w:tc>
        <w:tc>
          <w:tcPr>
            <w:tcW w:w="712" w:type="dxa"/>
            <w:vMerge w:val="continue"/>
            <w:tcBorders>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auto"/>
                <w:sz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投标文件的计量单位、语言、报价货币、投标有效期</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计量单位、语言、报价货币、投标有效期均符合招标文件的要求。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319"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2</w:t>
            </w:r>
          </w:p>
        </w:tc>
        <w:tc>
          <w:tcPr>
            <w:tcW w:w="712" w:type="dxa"/>
            <w:vMerge w:val="restart"/>
            <w:tcBorders>
              <w:top w:val="single" w:color="auto" w:sz="4" w:space="0"/>
              <w:left w:val="single" w:color="auto" w:sz="4" w:space="0"/>
              <w:right w:val="single" w:color="auto" w:sz="4" w:space="0"/>
            </w:tcBorders>
            <w:noWrap w:val="0"/>
            <w:vAlign w:val="top"/>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完整性审查</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投标文件组成</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zh-CN"/>
              </w:rPr>
              <w:t>按照招标文件</w:t>
            </w:r>
            <w:r>
              <w:rPr>
                <w:rFonts w:hint="eastAsia" w:ascii="宋体" w:hAnsi="宋体" w:cs="宋体"/>
                <w:color w:val="auto"/>
                <w:sz w:val="24"/>
                <w:highlight w:val="none"/>
              </w:rPr>
              <w:t>第六</w:t>
            </w:r>
            <w:r>
              <w:rPr>
                <w:rFonts w:hint="eastAsia" w:ascii="宋体" w:hAnsi="宋体" w:cs="宋体"/>
                <w:color w:val="auto"/>
                <w:sz w:val="24"/>
                <w:highlight w:val="none"/>
                <w:lang w:val="en-US" w:eastAsia="zh-CN"/>
              </w:rPr>
              <w:t>部分</w:t>
            </w:r>
            <w:r>
              <w:rPr>
                <w:rFonts w:hint="eastAsia" w:ascii="宋体" w:hAnsi="宋体" w:cs="宋体"/>
                <w:color w:val="auto"/>
                <w:sz w:val="24"/>
                <w:highlight w:val="none"/>
                <w:lang w:val="zh-CN"/>
              </w:rPr>
              <w:t>格式编写，无缺漏项。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319" w:type="dxa"/>
            <w:vMerge w:val="continue"/>
            <w:tcBorders>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bCs/>
                <w:color w:val="auto"/>
                <w:kern w:val="0"/>
                <w:sz w:val="24"/>
                <w:highlight w:val="none"/>
              </w:rPr>
            </w:pPr>
          </w:p>
        </w:tc>
        <w:tc>
          <w:tcPr>
            <w:tcW w:w="712" w:type="dxa"/>
            <w:vMerge w:val="continue"/>
            <w:tcBorders>
              <w:left w:val="single" w:color="auto" w:sz="4" w:space="0"/>
              <w:right w:val="single" w:color="auto" w:sz="4" w:space="0"/>
            </w:tcBorders>
            <w:noWrap w:val="0"/>
            <w:vAlign w:val="top"/>
          </w:tcPr>
          <w:p>
            <w:pPr>
              <w:spacing w:line="360" w:lineRule="auto"/>
              <w:jc w:val="center"/>
              <w:rPr>
                <w:rFonts w:hint="eastAsia" w:ascii="宋体" w:hAnsi="宋体" w:cs="宋体"/>
                <w:color w:val="auto"/>
                <w:sz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投标内容的完整性</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投标文件内容未出现漏项或数量与要求不符。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319"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3</w:t>
            </w:r>
          </w:p>
        </w:tc>
        <w:tc>
          <w:tcPr>
            <w:tcW w:w="712"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lang w:val="zh-CN"/>
              </w:rPr>
            </w:pP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响应程度审查</w:t>
            </w:r>
          </w:p>
        </w:tc>
        <w:tc>
          <w:tcPr>
            <w:tcW w:w="324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投标报价</w:t>
            </w:r>
          </w:p>
        </w:tc>
        <w:tc>
          <w:tcPr>
            <w:tcW w:w="4318" w:type="dxa"/>
            <w:tcBorders>
              <w:top w:val="single" w:color="auto" w:sz="4" w:space="0"/>
              <w:left w:val="single" w:color="auto" w:sz="4" w:space="0"/>
              <w:right w:val="single" w:color="auto" w:sz="4" w:space="0"/>
            </w:tcBorders>
            <w:noWrap w:val="0"/>
            <w:vAlign w:val="center"/>
          </w:tcPr>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符合招标文件要求</w:t>
            </w:r>
          </w:p>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1.投标报价符合唯一性要求；</w:t>
            </w:r>
          </w:p>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2.未超出采购预算或招标文件规定的最高限价；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319" w:type="dxa"/>
            <w:vMerge w:val="continue"/>
            <w:tcBorders>
              <w:left w:val="single" w:color="auto" w:sz="4" w:space="0"/>
              <w:right w:val="single" w:color="auto" w:sz="4" w:space="0"/>
            </w:tcBorders>
            <w:noWrap w:val="0"/>
            <w:vAlign w:val="center"/>
          </w:tcPr>
          <w:p>
            <w:pPr>
              <w:spacing w:line="320" w:lineRule="exact"/>
              <w:jc w:val="center"/>
              <w:rPr>
                <w:rFonts w:hint="eastAsia" w:ascii="宋体" w:hAnsi="宋体" w:cs="宋体"/>
                <w:color w:val="auto"/>
                <w:sz w:val="24"/>
                <w:highlight w:val="none"/>
              </w:rPr>
            </w:pPr>
          </w:p>
        </w:tc>
        <w:tc>
          <w:tcPr>
            <w:tcW w:w="712" w:type="dxa"/>
            <w:vMerge w:val="continue"/>
            <w:tcBorders>
              <w:left w:val="single" w:color="auto" w:sz="4" w:space="0"/>
              <w:right w:val="single" w:color="auto" w:sz="4" w:space="0"/>
            </w:tcBorders>
            <w:noWrap w:val="0"/>
            <w:vAlign w:val="top"/>
          </w:tcPr>
          <w:p>
            <w:pPr>
              <w:spacing w:line="360" w:lineRule="auto"/>
              <w:jc w:val="center"/>
              <w:rPr>
                <w:rFonts w:hint="eastAsia" w:ascii="宋体" w:hAnsi="宋体" w:cs="宋体"/>
                <w:color w:val="auto"/>
                <w:sz w:val="24"/>
                <w:highlight w:val="none"/>
              </w:rPr>
            </w:pPr>
          </w:p>
        </w:tc>
        <w:tc>
          <w:tcPr>
            <w:tcW w:w="324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合同条款响应</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完整响应招标文件合同条款。</w:t>
            </w:r>
          </w:p>
        </w:tc>
      </w:tr>
    </w:tbl>
    <w:p>
      <w:pPr>
        <w:spacing w:line="600" w:lineRule="exac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说明：以上各项有1项不合格，评审不予通过，作为未实质性响应招标文件。</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4.1</w:t>
      </w:r>
      <w:r>
        <w:rPr>
          <w:rFonts w:hint="eastAsia" w:ascii="宋体" w:hAnsi="宋体"/>
          <w:color w:val="000000" w:themeColor="text1"/>
          <w:sz w:val="24"/>
          <w:highlight w:val="none"/>
          <w14:textFill>
            <w14:solidFill>
              <w14:schemeClr w14:val="tx1"/>
            </w14:solidFill>
          </w14:textFill>
        </w:rPr>
        <w:t>经审查符合以下条款有关规定的投标文件，才能提交评标委员会进行评审。</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4.1.1</w:t>
      </w:r>
      <w:r>
        <w:rPr>
          <w:rFonts w:hint="eastAsia" w:ascii="宋体" w:hAnsi="宋体"/>
          <w:color w:val="000000" w:themeColor="text1"/>
          <w:sz w:val="24"/>
          <w:highlight w:val="none"/>
          <w14:textFill>
            <w14:solidFill>
              <w14:schemeClr w14:val="tx1"/>
            </w14:solidFill>
          </w14:textFill>
        </w:rPr>
        <w:t>开标时，投标文件出现下列情形之一的，应当作为</w:t>
      </w:r>
      <w:r>
        <w:rPr>
          <w:rFonts w:hint="eastAsia" w:ascii="宋体" w:hAnsi="宋体"/>
          <w:b/>
          <w:color w:val="000000" w:themeColor="text1"/>
          <w:sz w:val="24"/>
          <w:highlight w:val="none"/>
          <w14:textFill>
            <w14:solidFill>
              <w14:schemeClr w14:val="tx1"/>
            </w14:solidFill>
          </w14:textFill>
        </w:rPr>
        <w:t>无效投标</w:t>
      </w:r>
      <w:r>
        <w:rPr>
          <w:rFonts w:hint="eastAsia" w:ascii="宋体" w:hAnsi="宋体"/>
          <w:color w:val="000000" w:themeColor="text1"/>
          <w:sz w:val="24"/>
          <w:highlight w:val="none"/>
          <w14:textFill>
            <w14:solidFill>
              <w14:schemeClr w14:val="tx1"/>
            </w14:solidFill>
          </w14:textFill>
        </w:rPr>
        <w:t>文件：</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）投标截止时间以后</w:t>
      </w:r>
      <w:r>
        <w:rPr>
          <w:rFonts w:hint="eastAsia" w:ascii="宋体" w:hAnsi="宋体"/>
          <w:color w:val="000000" w:themeColor="text1"/>
          <w:sz w:val="24"/>
          <w:highlight w:val="none"/>
          <w:lang w:val="en-US" w:eastAsia="zh-CN"/>
          <w14:textFill>
            <w14:solidFill>
              <w14:schemeClr w14:val="tx1"/>
            </w14:solidFill>
          </w14:textFill>
        </w:rPr>
        <w:t>上传</w:t>
      </w:r>
      <w:r>
        <w:rPr>
          <w:rFonts w:hint="eastAsia" w:ascii="宋体" w:hAnsi="宋体"/>
          <w:color w:val="000000" w:themeColor="text1"/>
          <w:sz w:val="24"/>
          <w:highlight w:val="none"/>
          <w14:textFill>
            <w14:solidFill>
              <w14:schemeClr w14:val="tx1"/>
            </w14:solidFill>
          </w14:textFill>
        </w:rPr>
        <w:t>的投标文件；</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）供应商没有经过正常渠道</w:t>
      </w:r>
      <w:r>
        <w:rPr>
          <w:rFonts w:hint="eastAsia" w:ascii="宋体" w:hAnsi="宋体"/>
          <w:color w:val="000000" w:themeColor="text1"/>
          <w:sz w:val="24"/>
          <w:highlight w:val="none"/>
          <w:lang w:val="en-US" w:eastAsia="zh-CN"/>
          <w14:textFill>
            <w14:solidFill>
              <w14:schemeClr w14:val="tx1"/>
            </w14:solidFill>
          </w14:textFill>
        </w:rPr>
        <w:t>下载</w:t>
      </w:r>
      <w:r>
        <w:rPr>
          <w:rFonts w:hint="eastAsia" w:ascii="宋体" w:hAnsi="宋体"/>
          <w:color w:val="000000" w:themeColor="text1"/>
          <w:sz w:val="24"/>
          <w:highlight w:val="none"/>
          <w14:textFill>
            <w14:solidFill>
              <w14:schemeClr w14:val="tx1"/>
            </w14:solidFill>
          </w14:textFill>
        </w:rPr>
        <w:t>招标文件或供应商的名称与登记领取招标文件单位的名称不符的（有工商行政管理部门提供相关变更手续的除外）；</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）投标文件未按照本招标文件的要求</w:t>
      </w:r>
      <w:r>
        <w:rPr>
          <w:rFonts w:hint="eastAsia" w:ascii="宋体" w:hAnsi="宋体"/>
          <w:color w:val="000000" w:themeColor="text1"/>
          <w:sz w:val="24"/>
          <w:highlight w:val="none"/>
          <w:lang w:val="en-US" w:eastAsia="zh-CN"/>
          <w14:textFill>
            <w14:solidFill>
              <w14:schemeClr w14:val="tx1"/>
            </w14:solidFill>
          </w14:textFill>
        </w:rPr>
        <w:t>加密</w:t>
      </w:r>
      <w:r>
        <w:rPr>
          <w:rFonts w:hint="eastAsia" w:ascii="宋体" w:hAnsi="宋体"/>
          <w:color w:val="000000" w:themeColor="text1"/>
          <w:sz w:val="24"/>
          <w:highlight w:val="none"/>
          <w14:textFill>
            <w14:solidFill>
              <w14:schemeClr w14:val="tx1"/>
            </w14:solidFill>
          </w14:textFill>
        </w:rPr>
        <w:t>的；</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4.1.2</w:t>
      </w:r>
      <w:r>
        <w:rPr>
          <w:rFonts w:hint="eastAsia" w:ascii="宋体" w:hAnsi="宋体"/>
          <w:color w:val="000000" w:themeColor="text1"/>
          <w:sz w:val="24"/>
          <w:highlight w:val="none"/>
          <w14:textFill>
            <w14:solidFill>
              <w14:schemeClr w14:val="tx1"/>
            </w14:solidFill>
          </w14:textFill>
        </w:rPr>
        <w:t>采购人将有效投标文件，送评标委员会进行评审。</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4.2</w:t>
      </w:r>
      <w:r>
        <w:rPr>
          <w:rFonts w:hint="eastAsia" w:ascii="宋体" w:hAnsi="宋体"/>
          <w:color w:val="000000" w:themeColor="text1"/>
          <w:sz w:val="24"/>
          <w:highlight w:val="none"/>
          <w14:textFill>
            <w14:solidFill>
              <w14:schemeClr w14:val="tx1"/>
            </w14:solidFill>
          </w14:textFill>
        </w:rPr>
        <w:t>评标时，评标委员会将首先评定每份投标文件是否在实质上响应了招标文件的要求。所谓实质上响应，是指投标文件应与招标文件的所有实质性条款、条件和要求相符，无显著差异或保留，或者对合同中约定的采购人的权利和供应商的义务方面造成重大的限制，纠正这些显著差异或保留其重大的限制将会对其他实质上响应招标文件要求的投标文件的供应商的竞争地位产生不公正的影响。</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4.3</w:t>
      </w:r>
      <w:r>
        <w:rPr>
          <w:rFonts w:hint="eastAsia" w:ascii="宋体" w:hAnsi="宋体"/>
          <w:color w:val="000000" w:themeColor="text1"/>
          <w:sz w:val="24"/>
          <w:highlight w:val="none"/>
          <w14:textFill>
            <w14:solidFill>
              <w14:schemeClr w14:val="tx1"/>
            </w14:solidFill>
          </w14:textFill>
        </w:rPr>
        <w:t>如果投标文件实质上不响应招标文件的各项要求，或投标文件的编制、内容及责任与招标文件的要求有重大偏差，经评标委员会</w:t>
      </w:r>
      <w:r>
        <w:rPr>
          <w:rFonts w:ascii="宋体" w:hAnsi="宋体"/>
          <w:color w:val="000000" w:themeColor="text1"/>
          <w:sz w:val="24"/>
          <w:highlight w:val="none"/>
          <w14:textFill>
            <w14:solidFill>
              <w14:schemeClr w14:val="tx1"/>
            </w14:solidFill>
          </w14:textFill>
        </w:rPr>
        <w:t>2/3</w:t>
      </w:r>
      <w:r>
        <w:rPr>
          <w:rFonts w:hint="eastAsia" w:ascii="宋体" w:hAnsi="宋体"/>
          <w:color w:val="000000" w:themeColor="text1"/>
          <w:sz w:val="24"/>
          <w:highlight w:val="none"/>
          <w14:textFill>
            <w14:solidFill>
              <w14:schemeClr w14:val="tx1"/>
            </w14:solidFill>
          </w14:textFill>
        </w:rPr>
        <w:t>以上成员确认后，评标委员会将予以拒绝投标，并且不允许供应商通过修改或撤销其不符合要求的差异或保留，使之成为具有响应性的投标。</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4.3.1</w:t>
      </w:r>
      <w:r>
        <w:rPr>
          <w:rFonts w:hint="eastAsia" w:ascii="宋体" w:hAnsi="宋体"/>
          <w:color w:val="000000" w:themeColor="text1"/>
          <w:kern w:val="0"/>
          <w:sz w:val="24"/>
          <w:highlight w:val="none"/>
          <w14:textFill>
            <w14:solidFill>
              <w14:schemeClr w14:val="tx1"/>
            </w14:solidFill>
          </w14:textFill>
        </w:rPr>
        <w:t>投标文件有下列情形之一的，评标委员会应当认定投标文件初步评审（符合性评审）不合格，否决其投标：</w:t>
      </w:r>
    </w:p>
    <w:p>
      <w:pPr>
        <w:spacing w:line="360" w:lineRule="auto"/>
        <w:ind w:firstLine="50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4.3.1.1</w:t>
      </w:r>
      <w:r>
        <w:rPr>
          <w:rFonts w:hint="eastAsia" w:ascii="宋体" w:hAnsi="宋体"/>
          <w:color w:val="000000" w:themeColor="text1"/>
          <w:kern w:val="0"/>
          <w:sz w:val="24"/>
          <w:highlight w:val="none"/>
          <w14:textFill>
            <w14:solidFill>
              <w14:schemeClr w14:val="tx1"/>
            </w14:solidFill>
          </w14:textFill>
        </w:rPr>
        <w:t>投标文件未按招标文件要求签署、盖章的；</w:t>
      </w:r>
    </w:p>
    <w:p>
      <w:pPr>
        <w:spacing w:line="360" w:lineRule="auto"/>
        <w:ind w:firstLine="500"/>
        <w:rPr>
          <w:rFonts w:asci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4.3.1.2</w:t>
      </w:r>
      <w:r>
        <w:rPr>
          <w:rFonts w:hint="eastAsia" w:ascii="宋体" w:hAnsi="宋体"/>
          <w:color w:val="000000" w:themeColor="text1"/>
          <w:kern w:val="0"/>
          <w:sz w:val="24"/>
          <w:highlight w:val="none"/>
          <w14:textFill>
            <w14:solidFill>
              <w14:schemeClr w14:val="tx1"/>
            </w14:solidFill>
          </w14:textFill>
        </w:rPr>
        <w:t>不具备招标文件中规定的资格要求的；</w:t>
      </w:r>
    </w:p>
    <w:p>
      <w:pPr>
        <w:spacing w:line="360" w:lineRule="auto"/>
        <w:ind w:firstLine="500"/>
        <w:rPr>
          <w:rFonts w:asci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4.3.1.3</w:t>
      </w:r>
      <w:r>
        <w:rPr>
          <w:rFonts w:hint="eastAsia" w:ascii="宋体" w:hAnsi="宋体"/>
          <w:color w:val="000000" w:themeColor="text1"/>
          <w:kern w:val="0"/>
          <w:sz w:val="24"/>
          <w:highlight w:val="none"/>
          <w14:textFill>
            <w14:solidFill>
              <w14:schemeClr w14:val="tx1"/>
            </w14:solidFill>
          </w14:textFill>
        </w:rPr>
        <w:t>报价超过招标文件中规定的预算金额或者最高限价的；</w:t>
      </w:r>
    </w:p>
    <w:p>
      <w:pPr>
        <w:spacing w:line="360" w:lineRule="auto"/>
        <w:ind w:firstLine="500"/>
        <w:rPr>
          <w:rFonts w:asci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4.3.1.4</w:t>
      </w:r>
      <w:r>
        <w:rPr>
          <w:rFonts w:hint="eastAsia" w:ascii="宋体" w:hAnsi="宋体"/>
          <w:color w:val="000000" w:themeColor="text1"/>
          <w:kern w:val="0"/>
          <w:sz w:val="24"/>
          <w:highlight w:val="none"/>
          <w14:textFill>
            <w14:solidFill>
              <w14:schemeClr w14:val="tx1"/>
            </w14:solidFill>
          </w14:textFill>
        </w:rPr>
        <w:t>投标文件的技术、商务要求</w:t>
      </w:r>
      <w:r>
        <w:rPr>
          <w:rFonts w:hint="eastAsia" w:ascii="宋体" w:hAnsi="宋体"/>
          <w:color w:val="000000" w:themeColor="text1"/>
          <w:sz w:val="24"/>
          <w:highlight w:val="none"/>
          <w14:textFill>
            <w14:solidFill>
              <w14:schemeClr w14:val="tx1"/>
            </w14:solidFill>
          </w14:textFill>
        </w:rPr>
        <w:t>明显不满足招标文件要求的，或在投标文件中提出与招标文件相抵触要求或对招标文件有重大保留，包括重新划定风险范围，改变各方的权利和义务，不能满足采购人合同期限要求，提出不同的质量标准、验收方法、计量方法和纠纷处理办法，</w:t>
      </w:r>
      <w:r>
        <w:rPr>
          <w:rFonts w:hint="eastAsia" w:ascii="宋体"/>
          <w:color w:val="000000" w:themeColor="text1"/>
          <w:sz w:val="24"/>
          <w:highlight w:val="none"/>
          <w14:textFill>
            <w14:solidFill>
              <w14:schemeClr w14:val="tx1"/>
            </w14:solidFill>
          </w14:textFill>
        </w:rPr>
        <w:t>含有采购人不能接受的附加条件的</w:t>
      </w:r>
      <w:r>
        <w:rPr>
          <w:rFonts w:hint="eastAsia" w:ascii="宋体" w:hAnsi="宋体"/>
          <w:color w:val="000000" w:themeColor="text1"/>
          <w:sz w:val="24"/>
          <w:highlight w:val="none"/>
          <w14:textFill>
            <w14:solidFill>
              <w14:schemeClr w14:val="tx1"/>
            </w14:solidFill>
          </w14:textFill>
        </w:rPr>
        <w:t>。</w:t>
      </w:r>
    </w:p>
    <w:p>
      <w:pPr>
        <w:spacing w:line="360" w:lineRule="auto"/>
        <w:ind w:firstLine="500"/>
        <w:rPr>
          <w:rFonts w:asci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4.3.1.5</w:t>
      </w:r>
      <w:r>
        <w:rPr>
          <w:rFonts w:hint="eastAsia" w:ascii="宋体" w:hAnsi="宋体"/>
          <w:color w:val="000000" w:themeColor="text1"/>
          <w:sz w:val="24"/>
          <w:highlight w:val="none"/>
          <w14:textFill>
            <w14:solidFill>
              <w14:schemeClr w14:val="tx1"/>
            </w14:solidFill>
          </w14:textFill>
        </w:rPr>
        <w:t>无投标有效期或有效期达不到招标文件的要求；</w:t>
      </w:r>
    </w:p>
    <w:p>
      <w:pPr>
        <w:spacing w:line="360" w:lineRule="auto"/>
        <w:ind w:firstLine="5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4.3.1.6</w:t>
      </w:r>
      <w:r>
        <w:rPr>
          <w:rFonts w:hint="eastAsia" w:ascii="宋体" w:hAnsi="宋体"/>
          <w:color w:val="000000" w:themeColor="text1"/>
          <w:kern w:val="0"/>
          <w:sz w:val="24"/>
          <w:highlight w:val="none"/>
          <w14:textFill>
            <w14:solidFill>
              <w14:schemeClr w14:val="tx1"/>
            </w14:solidFill>
          </w14:textFill>
        </w:rPr>
        <w:t>法律、法规及行业有关规定的其他情形。</w:t>
      </w:r>
    </w:p>
    <w:p>
      <w:pPr>
        <w:spacing w:line="360" w:lineRule="auto"/>
        <w:ind w:firstLine="500"/>
        <w:rPr>
          <w:rFonts w:asci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4.3.2</w:t>
      </w:r>
      <w:r>
        <w:rPr>
          <w:rFonts w:hint="eastAsia" w:ascii="宋体" w:hAnsi="宋体"/>
          <w:color w:val="000000" w:themeColor="text1"/>
          <w:kern w:val="0"/>
          <w:sz w:val="24"/>
          <w:highlight w:val="none"/>
          <w14:textFill>
            <w14:solidFill>
              <w14:schemeClr w14:val="tx1"/>
            </w14:solidFill>
          </w14:textFill>
        </w:rPr>
        <w:t>投标文件有下列情形之一的，评标委员会应当认定投标文件按废标处理：</w:t>
      </w:r>
    </w:p>
    <w:p>
      <w:pPr>
        <w:spacing w:line="360" w:lineRule="auto"/>
        <w:ind w:firstLine="500"/>
        <w:rPr>
          <w:rFonts w:asci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4.3.2.1</w:t>
      </w:r>
      <w:r>
        <w:rPr>
          <w:rFonts w:hint="eastAsia" w:ascii="宋体" w:hAnsi="宋体"/>
          <w:color w:val="000000" w:themeColor="text1"/>
          <w:kern w:val="0"/>
          <w:sz w:val="24"/>
          <w:highlight w:val="none"/>
          <w14:textFill>
            <w14:solidFill>
              <w14:schemeClr w14:val="tx1"/>
            </w14:solidFill>
          </w14:textFill>
        </w:rPr>
        <w:t>同一投标人提交两个以上不同的投标文件或者投标报价，但招标文件要求提交备选投标的除外；</w:t>
      </w:r>
    </w:p>
    <w:p>
      <w:pPr>
        <w:spacing w:line="360" w:lineRule="auto"/>
        <w:ind w:firstLine="500"/>
        <w:rPr>
          <w:rFonts w:asci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4.3.2.2</w:t>
      </w:r>
      <w:r>
        <w:rPr>
          <w:rFonts w:hint="eastAsia" w:ascii="宋体" w:hAnsi="宋体"/>
          <w:color w:val="000000" w:themeColor="text1"/>
          <w:kern w:val="0"/>
          <w:sz w:val="24"/>
          <w:highlight w:val="none"/>
          <w14:textFill>
            <w14:solidFill>
              <w14:schemeClr w14:val="tx1"/>
            </w14:solidFill>
          </w14:textFill>
        </w:rPr>
        <w:t>投标人有串通投标、弄虚作假、行贿等违法行为。</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4.3.2.3</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kern w:val="0"/>
          <w:sz w:val="24"/>
          <w:highlight w:val="none"/>
          <w14:textFill>
            <w14:solidFill>
              <w14:schemeClr w14:val="tx1"/>
            </w14:solidFill>
          </w14:textFill>
        </w:rPr>
        <w:t>恶意竞标，供应商代表恶意扰乱开标会场秩序且不听劝阻的；</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4.3.2.4</w:t>
      </w:r>
      <w:r>
        <w:rPr>
          <w:rFonts w:hint="eastAsia" w:ascii="宋体" w:hAnsi="宋体"/>
          <w:color w:val="000000" w:themeColor="text1"/>
          <w:sz w:val="24"/>
          <w:highlight w:val="none"/>
          <w14:textFill>
            <w14:solidFill>
              <w14:schemeClr w14:val="tx1"/>
            </w14:solidFill>
          </w14:textFill>
        </w:rPr>
        <w:t>拒绝或不按评标委员会要求澄清、说明或补正的</w:t>
      </w:r>
      <w:r>
        <w:rPr>
          <w:rFonts w:hint="eastAsia" w:ascii="宋体" w:hAnsi="宋体"/>
          <w:color w:val="000000" w:themeColor="text1"/>
          <w:kern w:val="0"/>
          <w:sz w:val="24"/>
          <w:highlight w:val="none"/>
          <w14:textFill>
            <w14:solidFill>
              <w14:schemeClr w14:val="tx1"/>
            </w14:solidFill>
          </w14:textFill>
        </w:rPr>
        <w:t>；</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4.3.2.5</w:t>
      </w:r>
      <w:r>
        <w:rPr>
          <w:rFonts w:hint="eastAsia" w:ascii="宋体" w:hAnsi="宋体"/>
          <w:color w:val="000000" w:themeColor="text1"/>
          <w:sz w:val="24"/>
          <w:highlight w:val="none"/>
          <w14:textFill>
            <w14:solidFill>
              <w14:schemeClr w14:val="tx1"/>
            </w14:solidFill>
          </w14:textFill>
        </w:rPr>
        <w:t>未按招标文件指定格式填写“开标一览表”或“分项报价表”，或出现漏项或投标产品品目、数量、服务内容与招标文件要求不符</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数量不足</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pPr>
        <w:spacing w:line="360" w:lineRule="auto"/>
        <w:ind w:firstLine="5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提供虚假证明，开具虚假资质，除按无效投标文件处理外，还应由国家管理机关依据相关法律法规进行相应的处罚；</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4.4</w:t>
      </w:r>
      <w:r>
        <w:rPr>
          <w:rFonts w:hint="eastAsia" w:ascii="宋体" w:hAnsi="宋体"/>
          <w:color w:val="000000" w:themeColor="text1"/>
          <w:sz w:val="24"/>
          <w:highlight w:val="none"/>
          <w14:textFill>
            <w14:solidFill>
              <w14:schemeClr w14:val="tx1"/>
            </w14:solidFill>
          </w14:textFill>
        </w:rPr>
        <w:t>供应商有下列情形之一的，应认定为串通投标行为：</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4.4.1</w:t>
      </w:r>
      <w:r>
        <w:rPr>
          <w:rFonts w:hint="eastAsia" w:ascii="宋体" w:hAnsi="宋体"/>
          <w:color w:val="000000" w:themeColor="text1"/>
          <w:sz w:val="24"/>
          <w:highlight w:val="none"/>
          <w14:textFill>
            <w14:solidFill>
              <w14:schemeClr w14:val="tx1"/>
            </w14:solidFill>
          </w14:textFill>
        </w:rPr>
        <w:t>不同投标人的投标文件由同一单位或者个人编制；</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4.4.2</w:t>
      </w:r>
      <w:r>
        <w:rPr>
          <w:rFonts w:hint="eastAsia" w:ascii="宋体" w:hAnsi="宋体"/>
          <w:color w:val="000000" w:themeColor="text1"/>
          <w:sz w:val="24"/>
          <w:highlight w:val="none"/>
          <w14:textFill>
            <w14:solidFill>
              <w14:schemeClr w14:val="tx1"/>
            </w14:solidFill>
          </w14:textFill>
        </w:rPr>
        <w:t>不同投标人委托同一单位或者个人办理投标事宜；</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4.4.3</w:t>
      </w:r>
      <w:r>
        <w:rPr>
          <w:rFonts w:hint="eastAsia" w:ascii="宋体" w:hAnsi="宋体"/>
          <w:color w:val="000000" w:themeColor="text1"/>
          <w:sz w:val="24"/>
          <w:highlight w:val="none"/>
          <w14:textFill>
            <w14:solidFill>
              <w14:schemeClr w14:val="tx1"/>
            </w14:solidFill>
          </w14:textFill>
        </w:rPr>
        <w:t>不同投标人的投标文件载明的项目管理成员为同一人；</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4.4.4</w:t>
      </w:r>
      <w:r>
        <w:rPr>
          <w:rFonts w:hint="eastAsia" w:ascii="宋体" w:hAnsi="宋体"/>
          <w:color w:val="000000" w:themeColor="text1"/>
          <w:sz w:val="24"/>
          <w:highlight w:val="none"/>
          <w14:textFill>
            <w14:solidFill>
              <w14:schemeClr w14:val="tx1"/>
            </w14:solidFill>
          </w14:textFill>
        </w:rPr>
        <w:t>不同投标人的投标文件异常一致或者投标报价呈规律性差异；</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4.5</w:t>
      </w:r>
      <w:r>
        <w:rPr>
          <w:rFonts w:hint="eastAsia" w:ascii="宋体" w:hAnsi="宋体"/>
          <w:color w:val="000000" w:themeColor="text1"/>
          <w:sz w:val="24"/>
          <w:highlight w:val="none"/>
          <w14:textFill>
            <w14:solidFill>
              <w14:schemeClr w14:val="tx1"/>
            </w14:solidFill>
          </w14:textFill>
        </w:rPr>
        <w:t>使用通过受让或者租借等方式获取的资格、资质证书投标的，属于以他人名义投标。投标人有下列情形之一的，属于以其他方式弄虚作假的行为：</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4.5.1</w:t>
      </w:r>
      <w:r>
        <w:rPr>
          <w:rFonts w:hint="eastAsia" w:ascii="宋体" w:hAnsi="宋体"/>
          <w:color w:val="000000" w:themeColor="text1"/>
          <w:sz w:val="24"/>
          <w:highlight w:val="none"/>
          <w14:textFill>
            <w14:solidFill>
              <w14:schemeClr w14:val="tx1"/>
            </w14:solidFill>
          </w14:textFill>
        </w:rPr>
        <w:t>使用伪造、变造的许可证件；</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4.5.2</w:t>
      </w:r>
      <w:r>
        <w:rPr>
          <w:rFonts w:hint="eastAsia" w:ascii="宋体" w:hAnsi="宋体"/>
          <w:color w:val="000000" w:themeColor="text1"/>
          <w:sz w:val="24"/>
          <w:highlight w:val="none"/>
          <w14:textFill>
            <w14:solidFill>
              <w14:schemeClr w14:val="tx1"/>
            </w14:solidFill>
          </w14:textFill>
        </w:rPr>
        <w:t>提供虚假的财务状况或者业绩；</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4.5.3</w:t>
      </w:r>
      <w:r>
        <w:rPr>
          <w:rFonts w:hint="eastAsia" w:ascii="宋体" w:hAnsi="宋体"/>
          <w:color w:val="000000" w:themeColor="text1"/>
          <w:sz w:val="24"/>
          <w:highlight w:val="none"/>
          <w14:textFill>
            <w14:solidFill>
              <w14:schemeClr w14:val="tx1"/>
            </w14:solidFill>
          </w14:textFill>
        </w:rPr>
        <w:t>提供虚假的项目负责人或者主要技术人员简历、劳动关系证明；</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4.5.4</w:t>
      </w:r>
      <w:r>
        <w:rPr>
          <w:rFonts w:hint="eastAsia" w:ascii="宋体" w:hAnsi="宋体"/>
          <w:color w:val="000000" w:themeColor="text1"/>
          <w:sz w:val="24"/>
          <w:highlight w:val="none"/>
          <w14:textFill>
            <w14:solidFill>
              <w14:schemeClr w14:val="tx1"/>
            </w14:solidFill>
          </w14:textFill>
        </w:rPr>
        <w:t>提供虚假的信用状况；</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4.5.5</w:t>
      </w:r>
      <w:r>
        <w:rPr>
          <w:rFonts w:hint="eastAsia" w:ascii="宋体" w:hAnsi="宋体"/>
          <w:color w:val="000000" w:themeColor="text1"/>
          <w:sz w:val="24"/>
          <w:highlight w:val="none"/>
          <w14:textFill>
            <w14:solidFill>
              <w14:schemeClr w14:val="tx1"/>
            </w14:solidFill>
          </w14:textFill>
        </w:rPr>
        <w:t>其他弄虚作假的行为。</w:t>
      </w:r>
    </w:p>
    <w:p>
      <w:pPr>
        <w:pStyle w:val="6"/>
        <w:keepNext w:val="0"/>
        <w:keepLines w:val="0"/>
        <w:spacing w:before="0" w:after="0"/>
        <w:rPr>
          <w:rFonts w:eastAsia="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5</w:t>
      </w:r>
      <w:r>
        <w:rPr>
          <w:rFonts w:hint="eastAsia"/>
          <w:color w:val="000000" w:themeColor="text1"/>
          <w:sz w:val="24"/>
          <w:szCs w:val="24"/>
          <w:highlight w:val="none"/>
          <w14:textFill>
            <w14:solidFill>
              <w14:schemeClr w14:val="tx1"/>
            </w14:solidFill>
          </w14:textFill>
        </w:rPr>
        <w:t>．投标文件计算错误的修正</w:t>
      </w:r>
    </w:p>
    <w:p>
      <w:pPr>
        <w:spacing w:line="360" w:lineRule="auto"/>
        <w:ind w:firstLine="500"/>
        <w:rPr>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5.1</w:t>
      </w:r>
      <w:r>
        <w:rPr>
          <w:rFonts w:hint="eastAsia" w:ascii="宋体" w:hAnsi="宋体"/>
          <w:color w:val="000000" w:themeColor="text1"/>
          <w:sz w:val="24"/>
          <w:highlight w:val="none"/>
          <w14:textFill>
            <w14:solidFill>
              <w14:schemeClr w14:val="tx1"/>
            </w14:solidFill>
          </w14:textFill>
        </w:rPr>
        <w:t>评标委员会将对确定为实质上响应招标文件要求的投标文件进行校核，看其是否有计算或表达上的错误，修正错误的原则如下：</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5.1.1</w:t>
      </w:r>
      <w:r>
        <w:rPr>
          <w:rFonts w:hint="eastAsia" w:ascii="宋体" w:hAnsi="宋体"/>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5.1.2</w:t>
      </w:r>
      <w:r>
        <w:rPr>
          <w:rFonts w:hint="eastAsia" w:ascii="宋体" w:hAnsi="宋体"/>
          <w:color w:val="000000" w:themeColor="text1"/>
          <w:sz w:val="24"/>
          <w:highlight w:val="none"/>
          <w14:textFill>
            <w14:solidFill>
              <w14:schemeClr w14:val="tx1"/>
            </w14:solidFill>
          </w14:textFill>
        </w:rPr>
        <w:t>大写金额和小写金额不一致的，以大写金额为准；</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5.1.3</w:t>
      </w:r>
      <w:r>
        <w:rPr>
          <w:rFonts w:hint="eastAsia" w:ascii="宋体" w:hAnsi="宋体"/>
          <w:color w:val="000000" w:themeColor="text1"/>
          <w:sz w:val="24"/>
          <w:highlight w:val="none"/>
          <w14:textFill>
            <w14:solidFill>
              <w14:schemeClr w14:val="tx1"/>
            </w14:solidFill>
          </w14:textFill>
        </w:rPr>
        <w:t>单价金额小数点或者百分比有明显错位的，以开标一览表为准，并修改单价；</w:t>
      </w:r>
    </w:p>
    <w:p>
      <w:pPr>
        <w:spacing w:line="360" w:lineRule="auto"/>
        <w:ind w:firstLine="5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5.2</w:t>
      </w:r>
      <w:r>
        <w:rPr>
          <w:rFonts w:hint="eastAsia" w:ascii="宋体" w:hAnsi="宋体"/>
          <w:color w:val="000000" w:themeColor="text1"/>
          <w:sz w:val="24"/>
          <w:highlight w:val="none"/>
          <w14:textFill>
            <w14:solidFill>
              <w14:schemeClr w14:val="tx1"/>
            </w14:solidFill>
          </w14:textFill>
        </w:rPr>
        <w:t>同时出现两种以上不一致的，按照前款规定的顺序修正。修正后的报价经投标人确认后产生约束力，投标人不确认的，其投标无效。</w:t>
      </w:r>
    </w:p>
    <w:p>
      <w:pPr>
        <w:pStyle w:val="6"/>
        <w:keepNext w:val="0"/>
        <w:keepLines w:val="0"/>
        <w:spacing w:before="0" w:after="0"/>
        <w:rPr>
          <w:rFonts w:eastAsia="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6</w:t>
      </w:r>
      <w:r>
        <w:rPr>
          <w:rFonts w:hint="eastAsia"/>
          <w:color w:val="000000" w:themeColor="text1"/>
          <w:sz w:val="24"/>
          <w:szCs w:val="24"/>
          <w:highlight w:val="none"/>
          <w14:textFill>
            <w14:solidFill>
              <w14:schemeClr w14:val="tx1"/>
            </w14:solidFill>
          </w14:textFill>
        </w:rPr>
        <w:t>．投标文件的评审、比较和否决</w:t>
      </w:r>
    </w:p>
    <w:p>
      <w:pPr>
        <w:spacing w:line="360" w:lineRule="auto"/>
        <w:ind w:firstLine="500"/>
        <w:rPr>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6.1</w:t>
      </w:r>
      <w:r>
        <w:rPr>
          <w:rFonts w:hint="eastAsia" w:ascii="宋体" w:hAnsi="宋体"/>
          <w:color w:val="000000" w:themeColor="text1"/>
          <w:sz w:val="24"/>
          <w:highlight w:val="none"/>
          <w14:textFill>
            <w14:solidFill>
              <w14:schemeClr w14:val="tx1"/>
            </w14:solidFill>
          </w14:textFill>
        </w:rPr>
        <w:t>评标委员会将按照本章“评标办法”第</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条规定，仅对在实质上响应招标文件要求的投标文件进行评估和比较。</w:t>
      </w:r>
    </w:p>
    <w:p>
      <w:pPr>
        <w:spacing w:line="360" w:lineRule="auto"/>
        <w:ind w:firstLine="480"/>
        <w:rPr>
          <w:i/>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6.2</w:t>
      </w:r>
      <w:r>
        <w:rPr>
          <w:rFonts w:hint="eastAsia" w:ascii="宋体" w:hAnsi="宋体"/>
          <w:color w:val="000000" w:themeColor="text1"/>
          <w:sz w:val="24"/>
          <w:highlight w:val="none"/>
          <w14:textFill>
            <w14:solidFill>
              <w14:schemeClr w14:val="tx1"/>
            </w14:solidFill>
          </w14:textFill>
        </w:rPr>
        <w:t>在评审过程中</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评标委员会可以以书面形式要求供应商就投标文件中含义不明确的内容进行书面说明并提供相关材料。</w:t>
      </w:r>
    </w:p>
    <w:p>
      <w:pPr>
        <w:spacing w:line="360" w:lineRule="auto"/>
        <w:ind w:firstLine="500"/>
        <w:rPr>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6.3</w:t>
      </w:r>
      <w:r>
        <w:rPr>
          <w:rFonts w:hint="eastAsia" w:ascii="宋体" w:hAnsi="宋体"/>
          <w:color w:val="000000" w:themeColor="text1"/>
          <w:sz w:val="24"/>
          <w:highlight w:val="none"/>
          <w14:textFill>
            <w14:solidFill>
              <w14:schemeClr w14:val="tx1"/>
            </w14:solidFill>
          </w14:textFill>
        </w:rPr>
        <w:t>评标委员会依据规定的评标标准和方法，对投标文件进行评审和比较，向采购人提出书面评标报告，并推荐合格的中标候选人。采购人根据评标委员会提出的书面评标报告和推荐的中标候选人确定中标人。</w:t>
      </w:r>
    </w:p>
    <w:p>
      <w:pPr>
        <w:spacing w:line="360" w:lineRule="auto"/>
        <w:ind w:firstLine="480"/>
        <w:rPr>
          <w:rFonts w:eastAsia="Times New Roman"/>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6.4</w:t>
      </w:r>
      <w:r>
        <w:rPr>
          <w:rFonts w:hint="eastAsia"/>
          <w:color w:val="000000" w:themeColor="text1"/>
          <w:sz w:val="24"/>
          <w:highlight w:val="none"/>
          <w14:textFill>
            <w14:solidFill>
              <w14:schemeClr w14:val="tx1"/>
            </w14:solidFill>
          </w14:textFill>
        </w:rPr>
        <w:t>评标方法和标准</w:t>
      </w:r>
    </w:p>
    <w:p>
      <w:pPr>
        <w:spacing w:line="360" w:lineRule="auto"/>
        <w:ind w:firstLine="500"/>
        <w:rPr>
          <w:color w:val="000000" w:themeColor="text1"/>
          <w:sz w:val="24"/>
          <w:highlight w:val="none"/>
          <w:shd w:val="pct10" w:color="auto" w:fill="FFFFFF"/>
          <w14:textFill>
            <w14:solidFill>
              <w14:schemeClr w14:val="tx1"/>
            </w14:solidFill>
          </w14:textFill>
        </w:rPr>
      </w:pPr>
      <w:r>
        <w:rPr>
          <w:rFonts w:ascii="宋体" w:hAnsi="宋体"/>
          <w:color w:val="000000" w:themeColor="text1"/>
          <w:sz w:val="24"/>
          <w:highlight w:val="none"/>
          <w14:textFill>
            <w14:solidFill>
              <w14:schemeClr w14:val="tx1"/>
            </w14:solidFill>
          </w14:textFill>
        </w:rPr>
        <w:t>6.4.1</w:t>
      </w:r>
      <w:r>
        <w:rPr>
          <w:rFonts w:hint="eastAsia" w:ascii="宋体" w:hAnsi="宋体"/>
          <w:color w:val="000000" w:themeColor="text1"/>
          <w:sz w:val="24"/>
          <w:highlight w:val="none"/>
          <w14:textFill>
            <w14:solidFill>
              <w14:schemeClr w14:val="tx1"/>
            </w14:solidFill>
          </w14:textFill>
        </w:rPr>
        <w:t>本次招标采用</w:t>
      </w:r>
      <w:r>
        <w:rPr>
          <w:rFonts w:hint="eastAsia"/>
          <w:color w:val="000000" w:themeColor="text1"/>
          <w:sz w:val="24"/>
          <w:highlight w:val="none"/>
          <w14:textFill>
            <w14:solidFill>
              <w14:schemeClr w14:val="tx1"/>
            </w14:solidFill>
          </w14:textFill>
        </w:rPr>
        <w:t>百分制评标方法</w:t>
      </w:r>
      <w:r>
        <w:rPr>
          <w:rFonts w:hint="eastAsia" w:ascii="宋体" w:hAnsi="宋体"/>
          <w:color w:val="000000" w:themeColor="text1"/>
          <w:sz w:val="24"/>
          <w:highlight w:val="none"/>
          <w14:textFill>
            <w14:solidFill>
              <w14:schemeClr w14:val="tx1"/>
            </w14:solidFill>
          </w14:textFill>
        </w:rPr>
        <w:t>。在满足招标文件的实质性要求（合同期限、投标有效期、工作内容和要求、安全和合理低价）条件下，评标委员会选择综合得分由最高到低排序前三名的供应商作为中标候选人并向采购人推荐。</w:t>
      </w:r>
    </w:p>
    <w:p>
      <w:pPr>
        <w:spacing w:line="360" w:lineRule="auto"/>
        <w:ind w:firstLine="499"/>
        <w:rPr>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6.4.2</w:t>
      </w:r>
      <w:r>
        <w:rPr>
          <w:rFonts w:hint="eastAsia" w:ascii="宋体" w:hAnsi="宋体"/>
          <w:color w:val="000000" w:themeColor="text1"/>
          <w:sz w:val="24"/>
          <w:highlight w:val="none"/>
          <w14:textFill>
            <w14:solidFill>
              <w14:schemeClr w14:val="tx1"/>
            </w14:solidFill>
          </w14:textFill>
        </w:rPr>
        <w:t>评分内容及步骤</w:t>
      </w:r>
    </w:p>
    <w:p>
      <w:pPr>
        <w:spacing w:line="360" w:lineRule="auto"/>
        <w:ind w:firstLine="499"/>
        <w:rPr>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6.4.2.1</w:t>
      </w:r>
      <w:r>
        <w:rPr>
          <w:rFonts w:hint="eastAsia" w:ascii="宋体" w:hAnsi="宋体"/>
          <w:color w:val="000000" w:themeColor="text1"/>
          <w:sz w:val="24"/>
          <w:highlight w:val="none"/>
          <w14:textFill>
            <w14:solidFill>
              <w14:schemeClr w14:val="tx1"/>
            </w14:solidFill>
          </w14:textFill>
        </w:rPr>
        <w:t>评审内容：</w:t>
      </w:r>
    </w:p>
    <w:p>
      <w:pPr>
        <w:numPr>
          <w:ilvl w:val="0"/>
          <w:numId w:val="3"/>
        </w:numPr>
        <w:autoSpaceDE w:val="0"/>
        <w:autoSpaceDN w:val="0"/>
        <w:adjustRightInd w:val="0"/>
        <w:spacing w:after="60" w:line="360" w:lineRule="auto"/>
        <w:ind w:firstLine="480" w:firstLineChars="200"/>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投标文件评审内容和分值：评审总分</w:t>
      </w:r>
      <w:r>
        <w:rPr>
          <w:rFonts w:ascii="宋体" w:hAnsi="宋体"/>
          <w:color w:val="000000" w:themeColor="text1"/>
          <w:sz w:val="24"/>
          <w:highlight w:val="none"/>
          <w14:textFill>
            <w14:solidFill>
              <w14:schemeClr w14:val="tx1"/>
            </w14:solidFill>
          </w14:textFill>
        </w:rPr>
        <w:t>100</w:t>
      </w:r>
      <w:r>
        <w:rPr>
          <w:rFonts w:hint="eastAsia" w:ascii="宋体" w:hAnsi="宋体"/>
          <w:color w:val="000000" w:themeColor="text1"/>
          <w:sz w:val="24"/>
          <w:highlight w:val="none"/>
          <w14:textFill>
            <w14:solidFill>
              <w14:schemeClr w14:val="tx1"/>
            </w14:solidFill>
          </w14:textFill>
        </w:rPr>
        <w:t>分，各分值分配如下：</w:t>
      </w:r>
    </w:p>
    <w:p>
      <w:pPr>
        <w:rPr>
          <w:rFonts w:hint="eastAsia" w:hAnsi="宋体"/>
          <w:b/>
          <w:color w:val="000000" w:themeColor="text1"/>
          <w:spacing w:val="4"/>
          <w:sz w:val="24"/>
          <w:szCs w:val="32"/>
          <w:highlight w:val="none"/>
          <w14:textFill>
            <w14:solidFill>
              <w14:schemeClr w14:val="tx1"/>
            </w14:solidFill>
          </w14:textFill>
        </w:rPr>
      </w:pPr>
      <w:r>
        <w:rPr>
          <w:rFonts w:hint="eastAsia" w:hAnsi="宋体"/>
          <w:b/>
          <w:color w:val="000000" w:themeColor="text1"/>
          <w:spacing w:val="4"/>
          <w:sz w:val="24"/>
          <w:szCs w:val="32"/>
          <w:highlight w:val="none"/>
          <w14:textFill>
            <w14:solidFill>
              <w14:schemeClr w14:val="tx1"/>
            </w14:solidFill>
          </w14:textFill>
        </w:rPr>
        <w:br w:type="page"/>
      </w:r>
    </w:p>
    <w:p>
      <w:pPr>
        <w:pStyle w:val="27"/>
        <w:rPr>
          <w:rFonts w:ascii="宋体" w:hAnsi="宋体"/>
          <w:color w:val="000000" w:themeColor="text1"/>
          <w:sz w:val="24"/>
          <w:highlight w:val="none"/>
          <w14:textFill>
            <w14:solidFill>
              <w14:schemeClr w14:val="tx1"/>
            </w14:solidFill>
          </w14:textFill>
        </w:rPr>
      </w:pPr>
      <w:r>
        <w:rPr>
          <w:rFonts w:hint="eastAsia" w:hAnsi="宋体"/>
          <w:b/>
          <w:color w:val="000000" w:themeColor="text1"/>
          <w:spacing w:val="4"/>
          <w:sz w:val="24"/>
          <w:szCs w:val="32"/>
          <w:highlight w:val="none"/>
          <w14:textFill>
            <w14:solidFill>
              <w14:schemeClr w14:val="tx1"/>
            </w14:solidFill>
          </w14:textFill>
        </w:rPr>
        <w:t>评标因素及权重分值表</w:t>
      </w:r>
    </w:p>
    <w:tbl>
      <w:tblPr>
        <w:tblStyle w:val="41"/>
        <w:tblW w:w="9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776"/>
        <w:gridCol w:w="6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blHeader/>
        </w:trPr>
        <w:tc>
          <w:tcPr>
            <w:tcW w:w="1852" w:type="dxa"/>
            <w:vAlign w:val="center"/>
          </w:tcPr>
          <w:p>
            <w:pPr>
              <w:tabs>
                <w:tab w:val="left" w:pos="320"/>
              </w:tabs>
              <w:snapToGrid w:val="0"/>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评标内容</w:t>
            </w:r>
          </w:p>
        </w:tc>
        <w:tc>
          <w:tcPr>
            <w:tcW w:w="776" w:type="dxa"/>
            <w:vAlign w:val="center"/>
          </w:tcPr>
          <w:p>
            <w:pPr>
              <w:tabs>
                <w:tab w:val="left" w:pos="320"/>
              </w:tabs>
              <w:snapToGrid w:val="0"/>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分值</w:t>
            </w:r>
          </w:p>
        </w:tc>
        <w:tc>
          <w:tcPr>
            <w:tcW w:w="6753" w:type="dxa"/>
            <w:vAlign w:val="center"/>
          </w:tcPr>
          <w:p>
            <w:pPr>
              <w:tabs>
                <w:tab w:val="left" w:pos="320"/>
              </w:tabs>
              <w:snapToGrid w:val="0"/>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blHeader/>
        </w:trPr>
        <w:tc>
          <w:tcPr>
            <w:tcW w:w="1852" w:type="dxa"/>
            <w:vAlign w:val="center"/>
          </w:tcPr>
          <w:p>
            <w:pPr>
              <w:tabs>
                <w:tab w:val="left" w:pos="6439"/>
              </w:tabs>
              <w:snapToGrid w:val="0"/>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投标报价</w:t>
            </w:r>
          </w:p>
        </w:tc>
        <w:tc>
          <w:tcPr>
            <w:tcW w:w="776" w:type="dxa"/>
            <w:vAlign w:val="center"/>
          </w:tcPr>
          <w:p>
            <w:pPr>
              <w:tabs>
                <w:tab w:val="left" w:pos="6439"/>
              </w:tabs>
              <w:snapToGrid w:val="0"/>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10分</w:t>
            </w:r>
          </w:p>
        </w:tc>
        <w:tc>
          <w:tcPr>
            <w:tcW w:w="6753" w:type="dxa"/>
            <w:vAlign w:val="center"/>
          </w:tcPr>
          <w:p>
            <w:pPr>
              <w:spacing w:line="360" w:lineRule="auto"/>
              <w:rPr>
                <w:sz w:val="24"/>
                <w:szCs w:val="24"/>
                <w:highlight w:val="none"/>
              </w:rPr>
            </w:pPr>
            <w:r>
              <w:rPr>
                <w:rFonts w:hint="eastAsia"/>
                <w:sz w:val="24"/>
                <w:szCs w:val="24"/>
                <w:highlight w:val="none"/>
              </w:rPr>
              <w:t>1</w:t>
            </w:r>
            <w:r>
              <w:rPr>
                <w:rFonts w:hint="eastAsia"/>
                <w:sz w:val="24"/>
                <w:szCs w:val="24"/>
                <w:highlight w:val="none"/>
                <w:lang w:eastAsia="zh-CN"/>
              </w:rPr>
              <w:t>、</w:t>
            </w:r>
            <w:r>
              <w:rPr>
                <w:rFonts w:hint="eastAsia"/>
                <w:sz w:val="24"/>
                <w:szCs w:val="24"/>
                <w:highlight w:val="none"/>
              </w:rPr>
              <w:t>经初审合格的投标文件，其投标报价为有效投标报价，对符合政策性扣减的供应商的有效投标价格进行政策性扣减，并依据扣减后的价格（评审价格）进行价格评审。</w:t>
            </w:r>
          </w:p>
          <w:p>
            <w:pPr>
              <w:pageBreakBefore w:val="0"/>
              <w:widowControl/>
              <w:kinsoku/>
              <w:wordWrap/>
              <w:overflowPunct/>
              <w:topLinePunct w:val="0"/>
              <w:bidi w:val="0"/>
              <w:adjustRightInd w:val="0"/>
              <w:snapToGrid w:val="0"/>
              <w:spacing w:line="360" w:lineRule="auto"/>
              <w:jc w:val="left"/>
              <w:rPr>
                <w:rFonts w:hint="eastAsia" w:ascii="宋体" w:hAnsi="宋体" w:eastAsia="宋体" w:cs="宋体"/>
                <w:sz w:val="24"/>
                <w:szCs w:val="24"/>
                <w:highlight w:val="none"/>
                <w:lang w:val="en-US" w:eastAsia="zh-CN"/>
              </w:rPr>
            </w:pPr>
            <w:r>
              <w:rPr>
                <w:rFonts w:hint="eastAsia"/>
                <w:sz w:val="24"/>
                <w:szCs w:val="24"/>
                <w:highlight w:val="none"/>
              </w:rPr>
              <w:t>2</w:t>
            </w:r>
            <w:r>
              <w:rPr>
                <w:rFonts w:hint="eastAsia"/>
                <w:sz w:val="24"/>
                <w:szCs w:val="24"/>
                <w:highlight w:val="none"/>
                <w:lang w:eastAsia="zh-CN"/>
              </w:rPr>
              <w:t>、</w:t>
            </w:r>
            <w:r>
              <w:rPr>
                <w:rFonts w:hint="eastAsia" w:ascii="宋体" w:hAnsi="宋体" w:eastAsia="宋体" w:cs="宋体"/>
                <w:sz w:val="24"/>
                <w:szCs w:val="24"/>
                <w:highlight w:val="none"/>
                <w:lang w:val="en-US" w:eastAsia="zh-CN"/>
              </w:rPr>
              <w:t>价格分统一采用低价优先法计算，即满足招标文件要求最终报价最低的供应商的价格为投标基准价，其价格分为满分。其他投标人的价格分统一按照下列公式计算：</w:t>
            </w:r>
          </w:p>
          <w:p>
            <w:pPr>
              <w:pageBreakBefore w:val="0"/>
              <w:widowControl/>
              <w:kinsoku/>
              <w:wordWrap/>
              <w:overflowPunct/>
              <w:topLinePunct w:val="0"/>
              <w:bidi w:val="0"/>
              <w:adjustRightInd w:val="0"/>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投标报价得分=(投标基准价</w:t>
            </w:r>
            <w:r>
              <w:rPr>
                <w:rFonts w:hint="eastAsia" w:ascii="宋体" w:hAnsi="宋体" w:cs="宋体"/>
                <w:sz w:val="24"/>
                <w:szCs w:val="24"/>
                <w:highlight w:val="none"/>
                <w:lang w:val="en-US" w:eastAsia="zh-CN"/>
              </w:rPr>
              <w:t>/投标报价</w:t>
            </w:r>
            <w:r>
              <w:rPr>
                <w:rFonts w:hint="eastAsia" w:ascii="宋体" w:hAnsi="宋体" w:eastAsia="宋体" w:cs="宋体"/>
                <w:sz w:val="24"/>
                <w:szCs w:val="24"/>
                <w:highlight w:val="none"/>
                <w:lang w:val="en-US" w:eastAsia="zh-CN"/>
              </w:rPr>
              <w:t xml:space="preserve">)×价格权值×100               </w:t>
            </w:r>
          </w:p>
          <w:p>
            <w:pPr>
              <w:spacing w:line="360" w:lineRule="auto"/>
              <w:rPr>
                <w:rFonts w:hint="default" w:eastAsia="宋体"/>
                <w:sz w:val="24"/>
                <w:szCs w:val="24"/>
                <w:highlight w:val="none"/>
                <w:lang w:val="en-US" w:eastAsia="zh-CN"/>
              </w:rPr>
            </w:pPr>
            <w:r>
              <w:rPr>
                <w:rFonts w:hint="eastAsia" w:ascii="宋体" w:hAnsi="宋体" w:eastAsia="宋体" w:cs="宋体"/>
                <w:sz w:val="24"/>
                <w:szCs w:val="24"/>
                <w:highlight w:val="none"/>
                <w:lang w:val="en-US" w:eastAsia="zh-CN"/>
              </w:rPr>
              <w:t>注：投标报价得分取小数点后两位；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blHeader/>
        </w:trPr>
        <w:tc>
          <w:tcPr>
            <w:tcW w:w="1852" w:type="dxa"/>
            <w:vAlign w:val="center"/>
          </w:tcPr>
          <w:p>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商务响应</w:t>
            </w:r>
          </w:p>
        </w:tc>
        <w:tc>
          <w:tcPr>
            <w:tcW w:w="776" w:type="dxa"/>
            <w:vAlign w:val="center"/>
          </w:tcPr>
          <w:p>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bCs/>
                <w:color w:val="000000" w:themeColor="text1"/>
                <w:sz w:val="24"/>
                <w:szCs w:val="24"/>
                <w:highlight w:val="none"/>
                <w14:textFill>
                  <w14:solidFill>
                    <w14:schemeClr w14:val="tx1"/>
                  </w14:solidFill>
                </w14:textFill>
              </w:rPr>
              <w:t>分</w:t>
            </w:r>
          </w:p>
        </w:tc>
        <w:tc>
          <w:tcPr>
            <w:tcW w:w="6753" w:type="dxa"/>
            <w:vAlign w:val="center"/>
          </w:tcPr>
          <w:p>
            <w:pPr>
              <w:adjustRightInd w:val="0"/>
              <w:snapToGrid w:val="0"/>
              <w:spacing w:line="336"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经过有效性和符合性审核合格的供应商，响应文件中对服务地点、服务人员、服务电子设备等方面进行响应说明，经评标委员会综合评比按响应程度赋0</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val="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blHeader/>
        </w:trPr>
        <w:tc>
          <w:tcPr>
            <w:tcW w:w="1852" w:type="dxa"/>
            <w:vAlign w:val="center"/>
          </w:tcPr>
          <w:p>
            <w:pPr>
              <w:autoSpaceDE w:val="0"/>
              <w:autoSpaceDN w:val="0"/>
              <w:adjustRightInd w:val="0"/>
              <w:snapToGrid w:val="0"/>
              <w:spacing w:line="500" w:lineRule="exact"/>
              <w:jc w:val="center"/>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针对本项目的实施方案</w:t>
            </w:r>
          </w:p>
        </w:tc>
        <w:tc>
          <w:tcPr>
            <w:tcW w:w="776" w:type="dxa"/>
            <w:vAlign w:val="center"/>
          </w:tcPr>
          <w:p>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r>
              <w:rPr>
                <w:rFonts w:hint="eastAsia" w:ascii="宋体" w:hAnsi="宋体" w:cs="宋体"/>
                <w:bCs/>
                <w:color w:val="000000" w:themeColor="text1"/>
                <w:sz w:val="24"/>
                <w:szCs w:val="24"/>
                <w:highlight w:val="none"/>
                <w:lang w:val="en-US" w:eastAsia="zh-CN"/>
                <w14:textFill>
                  <w14:solidFill>
                    <w14:schemeClr w14:val="tx1"/>
                  </w14:solidFill>
                </w14:textFill>
              </w:rPr>
              <w:t>5</w:t>
            </w:r>
            <w:r>
              <w:rPr>
                <w:rFonts w:hint="eastAsia" w:ascii="宋体" w:hAnsi="宋体" w:cs="宋体"/>
                <w:bCs/>
                <w:color w:val="000000" w:themeColor="text1"/>
                <w:sz w:val="24"/>
                <w:szCs w:val="24"/>
                <w:highlight w:val="none"/>
                <w14:textFill>
                  <w14:solidFill>
                    <w14:schemeClr w14:val="tx1"/>
                  </w14:solidFill>
                </w14:textFill>
              </w:rPr>
              <w:t>分</w:t>
            </w:r>
          </w:p>
        </w:tc>
        <w:tc>
          <w:tcPr>
            <w:tcW w:w="6753" w:type="dxa"/>
          </w:tcPr>
          <w:p>
            <w:pPr>
              <w:autoSpaceDE w:val="0"/>
              <w:autoSpaceDN w:val="0"/>
              <w:adjustRightInd w:val="0"/>
              <w:snapToGrid w:val="0"/>
              <w:spacing w:line="500" w:lineRule="exact"/>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1、供应商提供详尽、完整的组织服务方案，</w:t>
            </w:r>
            <w:r>
              <w:rPr>
                <w:rFonts w:hint="eastAsia" w:ascii="宋体" w:hAnsi="宋体" w:cs="宋体"/>
                <w:color w:val="000000" w:themeColor="text1"/>
                <w:sz w:val="24"/>
                <w:szCs w:val="24"/>
                <w:highlight w:val="none"/>
                <w:lang w:val="en-US" w:eastAsia="zh-CN"/>
                <w14:textFill>
                  <w14:solidFill>
                    <w14:schemeClr w14:val="tx1"/>
                  </w14:solidFill>
                </w14:textFill>
              </w:rPr>
              <w:t>方案内容科学合理、完整、可实施性强，</w:t>
            </w:r>
            <w:r>
              <w:rPr>
                <w:rFonts w:hint="eastAsia" w:ascii="宋体" w:hAnsi="宋体" w:cs="宋体"/>
                <w:color w:val="000000" w:themeColor="text1"/>
                <w:sz w:val="24"/>
                <w:szCs w:val="24"/>
                <w:highlight w:val="none"/>
                <w:lang w:val="zh-CN"/>
                <w14:textFill>
                  <w14:solidFill>
                    <w14:schemeClr w14:val="tx1"/>
                  </w14:solidFill>
                </w14:textFill>
              </w:rPr>
              <w:t>完全满足、优于考试、服务要求，按其响应程度计</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val="zh-CN"/>
                <w14:textFill>
                  <w14:solidFill>
                    <w14:schemeClr w14:val="tx1"/>
                  </w14:solidFill>
                </w14:textFill>
              </w:rPr>
              <w:t>分；方案比较科学合理、较完整、可实施性一般，基本满足考试、服务要求，按其响应程度计</w:t>
            </w:r>
            <w:r>
              <w:rPr>
                <w:rFonts w:hint="eastAsia" w:ascii="宋体" w:hAnsi="宋体" w:cs="宋体"/>
                <w:color w:val="000000" w:themeColor="text1"/>
                <w:sz w:val="24"/>
                <w:szCs w:val="24"/>
                <w:highlight w:val="none"/>
                <w:lang w:val="en-US" w:eastAsia="zh-CN"/>
                <w14:textFill>
                  <w14:solidFill>
                    <w14:schemeClr w14:val="tx1"/>
                  </w14:solidFill>
                </w14:textFill>
              </w:rPr>
              <w:t>5-10</w:t>
            </w:r>
            <w:r>
              <w:rPr>
                <w:rFonts w:hint="eastAsia" w:ascii="宋体" w:hAnsi="宋体" w:cs="宋体"/>
                <w:color w:val="000000" w:themeColor="text1"/>
                <w:sz w:val="24"/>
                <w:szCs w:val="24"/>
                <w:highlight w:val="none"/>
                <w14:textFill>
                  <w14:solidFill>
                    <w14:schemeClr w14:val="tx1"/>
                  </w14:solidFill>
                </w14:textFill>
              </w:rPr>
              <w:t>（含）</w:t>
            </w:r>
            <w:r>
              <w:rPr>
                <w:rFonts w:hint="eastAsia" w:ascii="宋体" w:hAnsi="宋体" w:cs="宋体"/>
                <w:color w:val="000000" w:themeColor="text1"/>
                <w:sz w:val="24"/>
                <w:szCs w:val="24"/>
                <w:highlight w:val="none"/>
                <w:lang w:val="zh-CN"/>
                <w14:textFill>
                  <w14:solidFill>
                    <w14:schemeClr w14:val="tx1"/>
                  </w14:solidFill>
                </w14:textFill>
              </w:rPr>
              <w:t>分；方案内容不完整、</w:t>
            </w:r>
            <w:r>
              <w:rPr>
                <w:rFonts w:ascii="宋体" w:hAnsi="宋体"/>
                <w:sz w:val="24"/>
                <w:highlight w:val="none"/>
              </w:rPr>
              <w:t>方案可行度不高，</w:t>
            </w:r>
            <w:r>
              <w:rPr>
                <w:rFonts w:hint="eastAsia" w:ascii="宋体" w:hAnsi="宋体" w:cs="宋体"/>
                <w:color w:val="000000" w:themeColor="text1"/>
                <w:sz w:val="24"/>
                <w:szCs w:val="24"/>
                <w:highlight w:val="none"/>
                <w:lang w:val="zh-CN"/>
                <w14:textFill>
                  <w14:solidFill>
                    <w14:schemeClr w14:val="tx1"/>
                  </w14:solidFill>
                </w14:textFill>
              </w:rPr>
              <w:t>按其响应程度计</w:t>
            </w:r>
            <w:r>
              <w:rPr>
                <w:rFonts w:hint="eastAsia" w:ascii="宋体" w:hAnsi="宋体"/>
                <w:sz w:val="24"/>
                <w:highlight w:val="none"/>
              </w:rPr>
              <w:t>0</w:t>
            </w:r>
            <w:r>
              <w:rPr>
                <w:rFonts w:ascii="宋体" w:hAnsi="宋体"/>
                <w:sz w:val="24"/>
                <w:highlight w:val="none"/>
              </w:rPr>
              <w:t>-5</w:t>
            </w:r>
            <w:r>
              <w:rPr>
                <w:rFonts w:hint="eastAsia" w:ascii="宋体" w:hAnsi="宋体"/>
                <w:sz w:val="24"/>
                <w:highlight w:val="none"/>
                <w:lang w:eastAsia="zh-CN"/>
              </w:rPr>
              <w:t>（含）</w:t>
            </w:r>
            <w:r>
              <w:rPr>
                <w:rFonts w:hint="eastAsia" w:ascii="宋体" w:hAnsi="宋体"/>
                <w:sz w:val="24"/>
                <w:highlight w:val="none"/>
              </w:rPr>
              <w:t>分</w:t>
            </w:r>
            <w:r>
              <w:rPr>
                <w:rFonts w:ascii="宋体" w:hAnsi="宋体"/>
                <w:sz w:val="24"/>
                <w:highlight w:val="none"/>
              </w:rPr>
              <w:t>。</w:t>
            </w:r>
          </w:p>
          <w:p>
            <w:pPr>
              <w:autoSpaceDE w:val="0"/>
              <w:autoSpaceDN w:val="0"/>
              <w:adjustRightInd w:val="0"/>
              <w:snapToGrid w:val="0"/>
              <w:spacing w:line="500" w:lineRule="exact"/>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2、供应商根据采购人实际需求，合理安排考场布置，满足采购方实际需求，按其响应程度计0</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lang w:val="zh-CN"/>
                <w14:textFill>
                  <w14:solidFill>
                    <w14:schemeClr w14:val="tx1"/>
                  </w14:solidFill>
                </w14:textFill>
              </w:rPr>
              <w:t>分；</w:t>
            </w:r>
          </w:p>
          <w:p>
            <w:pPr>
              <w:autoSpaceDE w:val="0"/>
              <w:autoSpaceDN w:val="0"/>
              <w:adjustRightInd w:val="0"/>
              <w:snapToGrid w:val="0"/>
              <w:spacing w:line="500" w:lineRule="exact"/>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3、场地条件整体状况良好，场地条件及配套设备能满足考试使用要求，按其响应程度计0</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lang w:val="zh-CN"/>
                <w14:textFill>
                  <w14:solidFill>
                    <w14:schemeClr w14:val="tx1"/>
                  </w14:solidFill>
                </w14:textFill>
              </w:rPr>
              <w:t>分；</w:t>
            </w:r>
          </w:p>
          <w:p>
            <w:pPr>
              <w:autoSpaceDE w:val="0"/>
              <w:autoSpaceDN w:val="0"/>
              <w:adjustRightInd w:val="0"/>
              <w:snapToGrid w:val="0"/>
              <w:spacing w:line="500" w:lineRule="exact"/>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lang w:val="zh-CN"/>
                <w14:textFill>
                  <w14:solidFill>
                    <w14:schemeClr w14:val="tx1"/>
                  </w14:solidFill>
                </w14:textFill>
              </w:rPr>
              <w:t>、服务人员与采购人工作配合的保障措施，有详细的工作计划，按其响应程度计0</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lang w:val="zh-CN"/>
                <w14:textFill>
                  <w14:solidFill>
                    <w14:schemeClr w14:val="tx1"/>
                  </w14:solidFill>
                </w14:textFill>
              </w:rPr>
              <w:t>分；</w:t>
            </w:r>
          </w:p>
          <w:p>
            <w:pPr>
              <w:autoSpaceDE w:val="0"/>
              <w:autoSpaceDN w:val="0"/>
              <w:adjustRightInd w:val="0"/>
              <w:snapToGrid w:val="0"/>
              <w:spacing w:line="500" w:lineRule="exact"/>
              <w:jc w:val="left"/>
              <w:rPr>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zh-CN"/>
                <w14:textFill>
                  <w14:solidFill>
                    <w14:schemeClr w14:val="tx1"/>
                  </w14:solidFill>
                </w14:textFill>
              </w:rPr>
              <w:t>、服务管理自查制度，按其响应程度计0</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lang w:val="zh-CN"/>
                <w14:textFill>
                  <w14:solidFill>
                    <w14:schemeClr w14:val="tx1"/>
                  </w14:solidFill>
                </w14:textFill>
              </w:rPr>
              <w:t>分；</w:t>
            </w:r>
          </w:p>
          <w:p>
            <w:pPr>
              <w:autoSpaceDE w:val="0"/>
              <w:autoSpaceDN w:val="0"/>
              <w:adjustRightInd w:val="0"/>
              <w:snapToGrid w:val="0"/>
              <w:spacing w:line="500" w:lineRule="exact"/>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6、供应商提供考试场地平面图或其它说明类资料，</w:t>
            </w:r>
            <w:r>
              <w:rPr>
                <w:rFonts w:hint="eastAsia" w:ascii="宋体" w:hAnsi="宋体" w:cs="宋体"/>
                <w:color w:val="000000" w:themeColor="text1"/>
                <w:sz w:val="24"/>
                <w:szCs w:val="24"/>
                <w:highlight w:val="none"/>
                <w:lang w:val="zh-CN"/>
                <w14:textFill>
                  <w14:solidFill>
                    <w14:schemeClr w14:val="tx1"/>
                  </w14:solidFill>
                </w14:textFill>
              </w:rPr>
              <w:t>按其响应程度计0</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lang w:val="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blHeader/>
        </w:trPr>
        <w:tc>
          <w:tcPr>
            <w:tcW w:w="1852" w:type="dxa"/>
            <w:vAlign w:val="center"/>
          </w:tcPr>
          <w:p>
            <w:pPr>
              <w:autoSpaceDE w:val="0"/>
              <w:autoSpaceDN w:val="0"/>
              <w:adjustRightInd w:val="0"/>
              <w:snapToGrid w:val="0"/>
              <w:spacing w:line="500" w:lineRule="exact"/>
              <w:jc w:val="center"/>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供应商实力</w:t>
            </w:r>
          </w:p>
        </w:tc>
        <w:tc>
          <w:tcPr>
            <w:tcW w:w="776" w:type="dxa"/>
            <w:vAlign w:val="center"/>
          </w:tcPr>
          <w:p>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20分</w:t>
            </w:r>
          </w:p>
        </w:tc>
        <w:tc>
          <w:tcPr>
            <w:tcW w:w="6753" w:type="dxa"/>
          </w:tcPr>
          <w:p>
            <w:pPr>
              <w:autoSpaceDE w:val="0"/>
              <w:autoSpaceDN w:val="0"/>
              <w:adjustRightInd w:val="0"/>
              <w:snapToGrid w:val="0"/>
              <w:spacing w:line="400" w:lineRule="exact"/>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1、有近十年内连续承办国家级大型职称统一考试的工作经验，得5分，没有得0分；（提供相关证明材料）</w:t>
            </w:r>
          </w:p>
          <w:p>
            <w:pPr>
              <w:pStyle w:val="16"/>
              <w:spacing w:line="400" w:lineRule="exac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2、近十年来在国家级大型职称统一考试承办工作中未发生过违法、违规等任何不良行为反映或记录的得5分，发生过违法、违规等任何不良行为反映或记录的得0分。（提供相关证明材料）</w:t>
            </w:r>
          </w:p>
          <w:p>
            <w:pPr>
              <w:pStyle w:val="16"/>
              <w:spacing w:line="400" w:lineRule="exac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3、持有国家卫生健康委人才交流中心组织的卫生专业技术人机对话考试专项培训的系统管理员证书人员满20人得5分，低于20人得0分；超过20人</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每增加1人</w:t>
            </w:r>
            <w:r>
              <w:rPr>
                <w:rFonts w:hint="eastAsia"/>
                <w:color w:val="000000" w:themeColor="text1"/>
                <w:sz w:val="24"/>
                <w:szCs w:val="24"/>
                <w:highlight w:val="none"/>
                <w14:textFill>
                  <w14:solidFill>
                    <w14:schemeClr w14:val="tx1"/>
                  </w14:solidFill>
                </w14:textFill>
              </w:rPr>
              <w:t>加</w:t>
            </w: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14:textFill>
                  <w14:solidFill>
                    <w14:schemeClr w14:val="tx1"/>
                  </w14:solidFill>
                </w14:textFill>
              </w:rPr>
              <w:t>分，</w:t>
            </w:r>
            <w:r>
              <w:rPr>
                <w:rFonts w:hint="eastAsia"/>
                <w:color w:val="000000" w:themeColor="text1"/>
                <w:sz w:val="24"/>
                <w:szCs w:val="24"/>
                <w:highlight w:val="none"/>
                <w:lang w:val="en-US" w:eastAsia="zh-CN"/>
                <w14:textFill>
                  <w14:solidFill>
                    <w14:schemeClr w14:val="tx1"/>
                  </w14:solidFill>
                </w14:textFill>
              </w:rPr>
              <w:t>满分10分</w:t>
            </w:r>
            <w:r>
              <w:rPr>
                <w:rFonts w:hint="eastAsia"/>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blHeader/>
        </w:trPr>
        <w:tc>
          <w:tcPr>
            <w:tcW w:w="1852" w:type="dxa"/>
            <w:vAlign w:val="center"/>
          </w:tcPr>
          <w:p>
            <w:pPr>
              <w:autoSpaceDE w:val="0"/>
              <w:autoSpaceDN w:val="0"/>
              <w:adjustRightInd w:val="0"/>
              <w:snapToGrid w:val="0"/>
              <w:spacing w:line="500" w:lineRule="exact"/>
              <w:jc w:val="center"/>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后勤保障与</w:t>
            </w:r>
          </w:p>
          <w:p>
            <w:pPr>
              <w:autoSpaceDE w:val="0"/>
              <w:autoSpaceDN w:val="0"/>
              <w:adjustRightInd w:val="0"/>
              <w:snapToGrid w:val="0"/>
              <w:spacing w:line="500" w:lineRule="exact"/>
              <w:jc w:val="center"/>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应急预案</w:t>
            </w:r>
          </w:p>
        </w:tc>
        <w:tc>
          <w:tcPr>
            <w:tcW w:w="776" w:type="dxa"/>
            <w:vAlign w:val="center"/>
          </w:tcPr>
          <w:p>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w:t>
            </w:r>
            <w:r>
              <w:rPr>
                <w:rFonts w:hint="eastAsia" w:ascii="宋体" w:hAnsi="宋体" w:cs="宋体"/>
                <w:bCs/>
                <w:color w:val="000000" w:themeColor="text1"/>
                <w:sz w:val="24"/>
                <w:szCs w:val="24"/>
                <w:highlight w:val="none"/>
                <w14:textFill>
                  <w14:solidFill>
                    <w14:schemeClr w14:val="tx1"/>
                  </w14:solidFill>
                </w14:textFill>
              </w:rPr>
              <w:t>分</w:t>
            </w:r>
          </w:p>
        </w:tc>
        <w:tc>
          <w:tcPr>
            <w:tcW w:w="6753" w:type="dxa"/>
          </w:tcPr>
          <w:p>
            <w:pPr>
              <w:numPr>
                <w:ilvl w:val="0"/>
                <w:numId w:val="0"/>
              </w:numPr>
              <w:autoSpaceDE w:val="0"/>
              <w:autoSpaceDN w:val="0"/>
              <w:adjustRightInd w:val="0"/>
              <w:snapToGrid w:val="0"/>
              <w:spacing w:line="500" w:lineRule="exact"/>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考场设立考务、安保、医疗、后勤等工作组保障需求，</w:t>
            </w:r>
            <w:r>
              <w:rPr>
                <w:rFonts w:hint="eastAsia" w:ascii="宋体" w:hAnsi="宋体" w:cs="宋体"/>
                <w:color w:val="000000" w:themeColor="text1"/>
                <w:sz w:val="24"/>
                <w:szCs w:val="24"/>
                <w:highlight w:val="none"/>
                <w:lang w:val="zh-CN"/>
                <w14:textFill>
                  <w14:solidFill>
                    <w14:schemeClr w14:val="tx1"/>
                  </w14:solidFill>
                </w14:textFill>
              </w:rPr>
              <w:t>按其响应程度计0</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zh-CN"/>
                <w14:textFill>
                  <w14:solidFill>
                    <w14:schemeClr w14:val="tx1"/>
                  </w14:solidFill>
                </w14:textFill>
              </w:rPr>
              <w:t>分；</w:t>
            </w:r>
          </w:p>
          <w:p>
            <w:pPr>
              <w:autoSpaceDE w:val="0"/>
              <w:autoSpaceDN w:val="0"/>
              <w:adjustRightInd w:val="0"/>
              <w:snapToGrid w:val="0"/>
              <w:spacing w:line="50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2、按照考务要求，制定切实可行的应急预案，</w:t>
            </w:r>
            <w:r>
              <w:rPr>
                <w:rFonts w:hint="eastAsia" w:ascii="宋体" w:hAnsi="宋体" w:cs="宋体"/>
                <w:color w:val="000000" w:themeColor="text1"/>
                <w:sz w:val="24"/>
                <w:szCs w:val="24"/>
                <w:highlight w:val="none"/>
                <w:lang w:val="zh-CN"/>
                <w14:textFill>
                  <w14:solidFill>
                    <w14:schemeClr w14:val="tx1"/>
                  </w14:solidFill>
                </w14:textFill>
              </w:rPr>
              <w:t>按其响应程度计0</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blHeader/>
        </w:trPr>
        <w:tc>
          <w:tcPr>
            <w:tcW w:w="1852" w:type="dxa"/>
            <w:vAlign w:val="center"/>
          </w:tcPr>
          <w:p>
            <w:pPr>
              <w:tabs>
                <w:tab w:val="left" w:pos="6439"/>
              </w:tabs>
              <w:snapToGrid w:val="0"/>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服务承诺</w:t>
            </w:r>
          </w:p>
        </w:tc>
        <w:tc>
          <w:tcPr>
            <w:tcW w:w="776" w:type="dxa"/>
            <w:vAlign w:val="center"/>
          </w:tcPr>
          <w:p>
            <w:pPr>
              <w:tabs>
                <w:tab w:val="left" w:pos="6439"/>
              </w:tabs>
              <w:snapToGrid w:val="0"/>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分</w:t>
            </w:r>
          </w:p>
        </w:tc>
        <w:tc>
          <w:tcPr>
            <w:tcW w:w="6753" w:type="dxa"/>
            <w:vAlign w:val="center"/>
          </w:tcPr>
          <w:p>
            <w:pPr>
              <w:pStyle w:val="119"/>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对本项目的承诺（包括但不限于服务质量承诺、服务期限、人员到位、安全保障等），承诺内容应包含不能完全履行承诺时愿意接受相关处罚。</w:t>
            </w:r>
          </w:p>
          <w:p>
            <w:pPr>
              <w:pStyle w:val="119"/>
              <w:spacing w:line="360" w:lineRule="auto"/>
              <w:rPr>
                <w:rFonts w:hint="eastAsia"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承诺内容完善，满足且不限于上述所要求内容计</w:t>
            </w:r>
            <w:r>
              <w:rPr>
                <w:rFonts w:hint="eastAsia" w:ascii="宋体" w:hAnsi="宋体" w:cs="宋体"/>
                <w:color w:val="000000" w:themeColor="text1"/>
                <w:sz w:val="24"/>
                <w:szCs w:val="24"/>
                <w:highlight w:val="none"/>
                <w:lang w:val="en-US" w:eastAsia="zh-CN"/>
                <w14:textFill>
                  <w14:solidFill>
                    <w14:schemeClr w14:val="tx1"/>
                  </w14:solidFill>
                </w14:textFill>
              </w:rPr>
              <w:t>5-10</w:t>
            </w:r>
            <w:r>
              <w:rPr>
                <w:rFonts w:hint="eastAsia" w:ascii="宋体" w:hAnsi="宋体" w:cs="宋体"/>
                <w:color w:val="000000" w:themeColor="text1"/>
                <w:sz w:val="24"/>
                <w:szCs w:val="24"/>
                <w:highlight w:val="none"/>
                <w:lang w:val="zh-CN"/>
                <w14:textFill>
                  <w14:solidFill>
                    <w14:schemeClr w14:val="tx1"/>
                  </w14:solidFill>
                </w14:textFill>
              </w:rPr>
              <w:t>分；</w:t>
            </w:r>
          </w:p>
          <w:p>
            <w:pPr>
              <w:pStyle w:val="119"/>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承诺内容</w:t>
            </w:r>
            <w:r>
              <w:rPr>
                <w:rFonts w:hint="eastAsia" w:ascii="宋体" w:hAnsi="宋体" w:cs="宋体"/>
                <w:color w:val="000000" w:themeColor="text1"/>
                <w:sz w:val="24"/>
                <w:szCs w:val="24"/>
                <w:highlight w:val="none"/>
                <w:lang w:eastAsia="zh-CN"/>
                <w14:textFill>
                  <w14:solidFill>
                    <w14:schemeClr w14:val="tx1"/>
                  </w14:solidFill>
                </w14:textFill>
              </w:rPr>
              <w:t>简单粗略</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不完全满足</w:t>
            </w:r>
            <w:r>
              <w:rPr>
                <w:rFonts w:hint="eastAsia" w:ascii="宋体" w:hAnsi="宋体" w:cs="宋体"/>
                <w:color w:val="000000" w:themeColor="text1"/>
                <w:sz w:val="24"/>
                <w:szCs w:val="24"/>
                <w:highlight w:val="none"/>
                <w14:textFill>
                  <w14:solidFill>
                    <w14:schemeClr w14:val="tx1"/>
                  </w14:solidFill>
                </w14:textFill>
              </w:rPr>
              <w:t>上述所要求内容计</w:t>
            </w:r>
            <w:r>
              <w:rPr>
                <w:rFonts w:hint="eastAsia" w:ascii="宋体" w:hAnsi="宋体" w:cs="宋体"/>
                <w:color w:val="000000" w:themeColor="text1"/>
                <w:sz w:val="24"/>
                <w:szCs w:val="24"/>
                <w:highlight w:val="none"/>
                <w:lang w:val="zh-CN"/>
                <w14:textFill>
                  <w14:solidFill>
                    <w14:schemeClr w14:val="tx1"/>
                  </w14:solidFill>
                </w14:textFill>
              </w:rPr>
              <w:t>0</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（含）</w:t>
            </w:r>
            <w:r>
              <w:rPr>
                <w:rFonts w:hint="eastAsia" w:ascii="宋体" w:hAnsi="宋体" w:cs="宋体"/>
                <w:color w:val="000000" w:themeColor="text1"/>
                <w:sz w:val="24"/>
                <w:szCs w:val="24"/>
                <w:highlight w:val="none"/>
                <w:lang w:val="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blHeader/>
        </w:trPr>
        <w:tc>
          <w:tcPr>
            <w:tcW w:w="1852" w:type="dxa"/>
            <w:vAlign w:val="center"/>
          </w:tcPr>
          <w:p>
            <w:pPr>
              <w:ind w:left="-118" w:leftChars="-56" w:right="-94" w:rightChars="-45"/>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业绩</w:t>
            </w:r>
          </w:p>
        </w:tc>
        <w:tc>
          <w:tcPr>
            <w:tcW w:w="776" w:type="dxa"/>
            <w:vAlign w:val="center"/>
          </w:tcPr>
          <w:p>
            <w:pPr>
              <w:ind w:left="-118" w:leftChars="-56" w:right="-94" w:rightChars="-45"/>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分</w:t>
            </w:r>
          </w:p>
        </w:tc>
        <w:tc>
          <w:tcPr>
            <w:tcW w:w="6753" w:type="dxa"/>
            <w:vAlign w:val="center"/>
          </w:tcPr>
          <w:p>
            <w:pPr>
              <w:pStyle w:val="119"/>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类似项目业绩（以签订日期自20</w:t>
            </w:r>
            <w:r>
              <w:rPr>
                <w:rFonts w:hint="eastAsia" w:ascii="宋体" w:hAnsi="宋体" w:cs="宋体"/>
                <w:color w:val="000000" w:themeColor="text1"/>
                <w:sz w:val="24"/>
                <w:szCs w:val="24"/>
                <w:highlight w:val="none"/>
                <w:lang w:val="en-US" w:eastAsia="zh-CN"/>
                <w14:textFill>
                  <w14:solidFill>
                    <w14:schemeClr w14:val="tx1"/>
                  </w14:solidFill>
                </w14:textFill>
              </w:rPr>
              <w:t>20</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月1日至今的合同为准，复印件加盖公章），每提供一份计</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分，最高1</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分。</w:t>
            </w:r>
          </w:p>
        </w:tc>
      </w:tr>
    </w:tbl>
    <w:p>
      <w:pPr>
        <w:rPr>
          <w:highlight w:val="none"/>
        </w:rPr>
      </w:pPr>
    </w:p>
    <w:p>
      <w:pPr>
        <w:autoSpaceDE w:val="0"/>
        <w:autoSpaceDN w:val="0"/>
        <w:adjustRightInd w:val="0"/>
        <w:spacing w:after="6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注：1.评委打分超过得分界限或未按本方法赋分时，该评委的打分无效。</w:t>
      </w:r>
    </w:p>
    <w:p>
      <w:pPr>
        <w:autoSpaceDE w:val="0"/>
        <w:autoSpaceDN w:val="0"/>
        <w:adjustRightInd w:val="0"/>
        <w:spacing w:after="6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2.各种计算数字均保留两位小数，第三位“四舍五入”。 </w:t>
      </w:r>
    </w:p>
    <w:p>
      <w:pPr>
        <w:autoSpaceDE w:val="0"/>
        <w:autoSpaceDN w:val="0"/>
        <w:adjustRightInd w:val="0"/>
        <w:spacing w:after="60" w:line="360" w:lineRule="auto"/>
        <w:ind w:firstLine="480" w:firstLineChars="20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3.漏项缺项、或只有标题而无内容的，该项按0分计算。</w:t>
      </w:r>
    </w:p>
    <w:p>
      <w:pPr>
        <w:autoSpaceDE w:val="0"/>
        <w:autoSpaceDN w:val="0"/>
        <w:adjustRightInd w:val="0"/>
        <w:spacing w:after="60" w:line="360" w:lineRule="auto"/>
        <w:ind w:firstLine="480" w:firstLineChars="200"/>
        <w:rPr>
          <w:rFonts w:hint="eastAsia" w:ascii="宋体" w:hAnsi="宋体" w:eastAsia="宋体" w:cs="Times New Roman"/>
          <w:color w:val="000000" w:themeColor="text1"/>
          <w:sz w:val="24"/>
          <w:highlight w:val="none"/>
          <w:lang w:eastAsia="zh-CN"/>
          <w14:textFill>
            <w14:solidFill>
              <w14:schemeClr w14:val="tx1"/>
            </w14:solidFill>
          </w14:textFill>
        </w:rPr>
      </w:pPr>
      <w:r>
        <w:rPr>
          <w:rFonts w:hint="eastAsia" w:ascii="宋体" w:hAnsi="宋体" w:cs="Times New Roman"/>
          <w:color w:val="000000" w:themeColor="text1"/>
          <w:sz w:val="24"/>
          <w:highlight w:val="none"/>
          <w:lang w:val="en-US" w:eastAsia="zh-CN"/>
          <w14:textFill>
            <w14:solidFill>
              <w14:schemeClr w14:val="tx1"/>
            </w14:solidFill>
          </w14:textFill>
        </w:rPr>
        <w:t>4.</w:t>
      </w:r>
      <w:r>
        <w:rPr>
          <w:rFonts w:hint="eastAsia" w:ascii="宋体" w:hAnsi="宋体" w:cs="Times New Roman"/>
          <w:color w:val="000000" w:themeColor="text1"/>
          <w:sz w:val="24"/>
          <w:highlight w:val="none"/>
          <w14:textFill>
            <w14:solidFill>
              <w14:schemeClr w14:val="tx1"/>
            </w14:solidFill>
          </w14:textFill>
        </w:rPr>
        <w:t>政策性扣减</w:t>
      </w:r>
      <w:r>
        <w:rPr>
          <w:rFonts w:hint="eastAsia" w:ascii="宋体" w:hAnsi="宋体" w:cs="Times New Roman"/>
          <w:color w:val="000000" w:themeColor="text1"/>
          <w:sz w:val="24"/>
          <w:highlight w:val="none"/>
          <w:lang w:eastAsia="zh-CN"/>
          <w14:textFill>
            <w14:solidFill>
              <w14:schemeClr w14:val="tx1"/>
            </w14:solidFill>
          </w14:textFill>
        </w:rPr>
        <w:t>：</w:t>
      </w:r>
    </w:p>
    <w:p>
      <w:pPr>
        <w:spacing w:line="360" w:lineRule="auto"/>
        <w:ind w:firstLine="500"/>
        <w:rPr>
          <w:rFonts w:ascii="宋体" w:hAnsi="宋体"/>
          <w:sz w:val="24"/>
          <w:highlight w:val="none"/>
        </w:rPr>
      </w:pPr>
      <w:r>
        <w:rPr>
          <w:rFonts w:hint="eastAsia" w:ascii="宋体" w:hAnsi="宋体"/>
          <w:sz w:val="24"/>
          <w:highlight w:val="none"/>
        </w:rPr>
        <w:t>a政策性扣减范围</w:t>
      </w:r>
    </w:p>
    <w:p>
      <w:pPr>
        <w:autoSpaceDE w:val="0"/>
        <w:autoSpaceDN w:val="0"/>
        <w:adjustRightInd w:val="0"/>
        <w:spacing w:after="60" w:line="360" w:lineRule="auto"/>
        <w:ind w:firstLine="480" w:firstLineChars="200"/>
        <w:rPr>
          <w:rFonts w:ascii="宋体" w:hAnsi="宋体"/>
          <w:sz w:val="24"/>
          <w:highlight w:val="none"/>
        </w:rPr>
      </w:pPr>
      <w:r>
        <w:rPr>
          <w:rFonts w:hint="eastAsia" w:ascii="宋体" w:hAnsi="宋体"/>
          <w:sz w:val="24"/>
          <w:highlight w:val="none"/>
        </w:rPr>
        <w:t>供应商符合小型、微型企业或监狱企业、残疾人福利性单位条件的，其投标报价价格评审时将按相应比例进行扣减。</w:t>
      </w:r>
    </w:p>
    <w:p>
      <w:pPr>
        <w:autoSpaceDE w:val="0"/>
        <w:autoSpaceDN w:val="0"/>
        <w:adjustRightInd w:val="0"/>
        <w:spacing w:after="60" w:line="360" w:lineRule="auto"/>
        <w:ind w:firstLine="480" w:firstLineChars="200"/>
        <w:rPr>
          <w:rFonts w:ascii="宋体" w:hAnsi="宋体"/>
          <w:sz w:val="24"/>
          <w:highlight w:val="none"/>
        </w:rPr>
      </w:pPr>
      <w:r>
        <w:rPr>
          <w:rFonts w:hint="eastAsia" w:ascii="宋体" w:hAnsi="宋体"/>
          <w:sz w:val="24"/>
          <w:highlight w:val="none"/>
        </w:rPr>
        <w:t>b依据关于印发《政府采购促进中小企业发展管理办法》的通知（财库〔2020〕46号）的规定，在政府采购活动中，供应商提供的货物、工程或者服务符合下列情形的，享受中小企业扶持政策：</w:t>
      </w:r>
    </w:p>
    <w:p>
      <w:pPr>
        <w:autoSpaceDE w:val="0"/>
        <w:autoSpaceDN w:val="0"/>
        <w:adjustRightInd w:val="0"/>
        <w:spacing w:after="60" w:line="360" w:lineRule="auto"/>
        <w:ind w:firstLine="480" w:firstLineChars="200"/>
        <w:rPr>
          <w:rFonts w:ascii="宋体" w:hAnsi="宋体"/>
          <w:sz w:val="24"/>
          <w:highlight w:val="none"/>
        </w:rPr>
      </w:pPr>
      <w:r>
        <w:rPr>
          <w:rFonts w:hint="eastAsia" w:ascii="宋体" w:hAnsi="宋体"/>
          <w:sz w:val="24"/>
          <w:highlight w:val="none"/>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以联合体形式参加政府采购活动，联合体各方均为中小企业的，联合体视同中小企业。其中，联合体各方均为小微企业的，联合体视同小微企业。中小企业参加政府采购活动，应当出具符合财库〔2020〕46号规定的《中小企业声明函》,否则不得享受相关中小企业扶持政策。</w:t>
      </w:r>
    </w:p>
    <w:p>
      <w:pPr>
        <w:autoSpaceDE w:val="0"/>
        <w:autoSpaceDN w:val="0"/>
        <w:adjustRightInd w:val="0"/>
        <w:spacing w:after="60" w:line="360" w:lineRule="auto"/>
        <w:ind w:firstLine="480" w:firstLineChars="200"/>
        <w:rPr>
          <w:rFonts w:ascii="宋体" w:hAnsi="宋体"/>
          <w:sz w:val="24"/>
          <w:highlight w:val="none"/>
        </w:rPr>
      </w:pPr>
      <w:r>
        <w:rPr>
          <w:rFonts w:hint="eastAsia" w:ascii="宋体" w:hAnsi="宋体"/>
          <w:sz w:val="24"/>
          <w:highlight w:val="none"/>
        </w:rPr>
        <w:t>c采购人拟采购产品属于优先采购节能、环境标志产品范围的，应当优先采购节能、环境标志产品；拟采购产品符合政府采购强制采购政策的，实行强制采购。采购人依据节能产品、环境标志产品品目清单和节能、环境标志产品认证证书实施政府优先采购和强制采购。采购人拟采购的产品属于品目清单范围的，采购人及其委托的采购代理机构将依据国家确定的认证机构出具的、处于有效期之内的节能、环境标志产品认证书的产品实施政府优先采购或强制采购。</w:t>
      </w:r>
    </w:p>
    <w:p>
      <w:pPr>
        <w:autoSpaceDE w:val="0"/>
        <w:autoSpaceDN w:val="0"/>
        <w:adjustRightInd w:val="0"/>
        <w:spacing w:after="60" w:line="360" w:lineRule="auto"/>
        <w:ind w:firstLine="480" w:firstLineChars="200"/>
        <w:rPr>
          <w:rFonts w:ascii="宋体" w:hAnsi="宋体"/>
          <w:sz w:val="24"/>
          <w:highlight w:val="none"/>
        </w:rPr>
      </w:pPr>
      <w:r>
        <w:rPr>
          <w:rFonts w:hint="eastAsia" w:ascii="宋体" w:hAnsi="宋体"/>
          <w:sz w:val="24"/>
          <w:highlight w:val="none"/>
        </w:rPr>
        <w:t>d监狱企业参加政府采购活动时，应当提供由省级以上监狱管理局、戒毒管理局(含新疆生产建设兵团)出具的属于监狱企业的证明文件。监狱企业参加政府采购活动时，视同小型、微型企业。</w:t>
      </w:r>
    </w:p>
    <w:p>
      <w:pPr>
        <w:autoSpaceDE w:val="0"/>
        <w:autoSpaceDN w:val="0"/>
        <w:adjustRightInd w:val="0"/>
        <w:spacing w:after="60" w:line="360" w:lineRule="auto"/>
        <w:ind w:firstLine="480" w:firstLineChars="200"/>
        <w:rPr>
          <w:rFonts w:ascii="宋体" w:hAnsi="宋体"/>
          <w:sz w:val="24"/>
          <w:highlight w:val="none"/>
        </w:rPr>
      </w:pPr>
      <w:r>
        <w:rPr>
          <w:rFonts w:hint="eastAsia" w:ascii="宋体" w:hAnsi="宋体"/>
          <w:sz w:val="24"/>
          <w:highlight w:val="none"/>
        </w:rPr>
        <w:t>e符合条件的残疾人福利性单位在参加政府采购活动时，应当提供《残疾人福利性单位声明函》，并对声明的真实性负责。残疾人福利性单位参加政府采购活动时，视同小型、微型企业；残疾人福利性单位属于小型、微型企业的，不重复享受政策。</w:t>
      </w:r>
    </w:p>
    <w:p>
      <w:pPr>
        <w:pStyle w:val="6"/>
        <w:keepNext w:val="0"/>
        <w:keepLines w:val="0"/>
        <w:spacing w:before="0" w:after="0"/>
        <w:ind w:firstLine="482"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sz w:val="24"/>
          <w:szCs w:val="24"/>
          <w:highlight w:val="none"/>
          <w14:textFill>
            <w14:solidFill>
              <w14:schemeClr w14:val="tx1"/>
            </w14:solidFill>
          </w14:textFill>
        </w:rPr>
        <w:t>政策性扣减方式</w:t>
      </w:r>
    </w:p>
    <w:p>
      <w:pPr>
        <w:spacing w:line="360" w:lineRule="auto"/>
        <w:ind w:firstLine="500"/>
        <w:rPr>
          <w:rFonts w:ascii="宋体" w:hAnsi="宋体"/>
          <w:sz w:val="24"/>
          <w:highlight w:val="none"/>
        </w:rPr>
      </w:pPr>
      <w:r>
        <w:rPr>
          <w:rFonts w:hint="eastAsia" w:ascii="宋体" w:hAnsi="宋体"/>
          <w:sz w:val="24"/>
          <w:highlight w:val="none"/>
        </w:rPr>
        <w:t>a对于未预留份额专门面向中小企业采购的采购项目，以及预留份额项目的非预留部分采购包中符合条件的小微企业报价给予</w:t>
      </w:r>
      <w:r>
        <w:rPr>
          <w:rFonts w:hint="eastAsia" w:ascii="宋体" w:hAnsi="宋体"/>
          <w:sz w:val="24"/>
          <w:highlight w:val="none"/>
          <w:lang w:val="en-US" w:eastAsia="zh-CN"/>
        </w:rPr>
        <w:t>10</w:t>
      </w:r>
      <w:r>
        <w:rPr>
          <w:rFonts w:hint="eastAsia" w:ascii="宋体" w:hAnsi="宋体"/>
          <w:sz w:val="24"/>
          <w:highlight w:val="none"/>
        </w:rPr>
        <w:t>%的扣除。</w:t>
      </w:r>
    </w:p>
    <w:p>
      <w:pPr>
        <w:spacing w:line="360" w:lineRule="auto"/>
        <w:ind w:firstLine="500"/>
        <w:rPr>
          <w:rFonts w:ascii="宋体" w:hAnsi="宋体"/>
          <w:sz w:val="24"/>
          <w:highlight w:val="none"/>
        </w:rPr>
      </w:pPr>
      <w:r>
        <w:rPr>
          <w:rFonts w:hint="eastAsia" w:ascii="宋体" w:hAnsi="宋体"/>
          <w:sz w:val="24"/>
          <w:highlight w:val="none"/>
          <w:lang w:val="en-US" w:eastAsia="zh-CN"/>
        </w:rPr>
        <w:t>b</w:t>
      </w:r>
      <w:r>
        <w:rPr>
          <w:rFonts w:hint="eastAsia" w:ascii="宋体" w:hAnsi="宋体"/>
          <w:sz w:val="24"/>
          <w:highlight w:val="none"/>
        </w:rPr>
        <w:t>监狱企业、残疾人福利性单位视同小微企业，享受预留份额、评审中价格扣除等促进中小企业发展的政府采购政策。监狱企业、残疾人福利性单位属于小微企业的，不重复享受政策。</w:t>
      </w:r>
    </w:p>
    <w:p>
      <w:pPr>
        <w:autoSpaceDE w:val="0"/>
        <w:autoSpaceDN w:val="0"/>
        <w:adjustRightInd w:val="0"/>
        <w:spacing w:after="6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6.5</w:t>
      </w:r>
      <w:r>
        <w:rPr>
          <w:rFonts w:hint="eastAsia" w:ascii="宋体" w:hAnsi="宋体"/>
          <w:color w:val="000000" w:themeColor="text1"/>
          <w:sz w:val="24"/>
          <w:highlight w:val="none"/>
          <w14:textFill>
            <w14:solidFill>
              <w14:schemeClr w14:val="tx1"/>
            </w14:solidFill>
          </w14:textFill>
        </w:rPr>
        <w:t>评标委员会完成评标后，向采购人提出书面评标报告，并推荐综合得分由高到低排名前三名为中标候选人。</w:t>
      </w:r>
    </w:p>
    <w:p>
      <w:pPr>
        <w:autoSpaceDE w:val="0"/>
        <w:autoSpaceDN w:val="0"/>
        <w:adjustRightInd w:val="0"/>
        <w:spacing w:after="6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6.6</w:t>
      </w:r>
      <w:r>
        <w:rPr>
          <w:rFonts w:hint="eastAsia" w:ascii="宋体" w:hAnsi="宋体"/>
          <w:color w:val="000000" w:themeColor="text1"/>
          <w:sz w:val="24"/>
          <w:highlight w:val="none"/>
          <w14:textFill>
            <w14:solidFill>
              <w14:schemeClr w14:val="tx1"/>
            </w14:solidFill>
          </w14:textFill>
        </w:rPr>
        <w:t>若出现综合得分相同时，则比较投标报价得分。</w:t>
      </w:r>
    </w:p>
    <w:p>
      <w:pPr>
        <w:autoSpaceDE w:val="0"/>
        <w:autoSpaceDN w:val="0"/>
        <w:adjustRightInd w:val="0"/>
        <w:spacing w:after="6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6.7</w:t>
      </w:r>
      <w:r>
        <w:rPr>
          <w:rFonts w:hint="eastAsia" w:ascii="宋体" w:hAnsi="宋体"/>
          <w:color w:val="000000" w:themeColor="text1"/>
          <w:sz w:val="24"/>
          <w:highlight w:val="none"/>
          <w14:textFill>
            <w14:solidFill>
              <w14:schemeClr w14:val="tx1"/>
            </w14:solidFill>
          </w14:textFill>
        </w:rPr>
        <w:t>评标过程中，若出现本评标办法以外的特殊情况时，将暂停评标，有关情况待评标委员会确定后，再进行评定。</w:t>
      </w:r>
    </w:p>
    <w:p>
      <w:pPr>
        <w:autoSpaceDE w:val="0"/>
        <w:autoSpaceDN w:val="0"/>
        <w:adjustRightInd w:val="0"/>
        <w:spacing w:after="6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6.8</w:t>
      </w:r>
      <w:r>
        <w:rPr>
          <w:rFonts w:hint="eastAsia" w:ascii="宋体" w:hAnsi="宋体"/>
          <w:color w:val="000000" w:themeColor="text1"/>
          <w:sz w:val="24"/>
          <w:highlight w:val="none"/>
          <w14:textFill>
            <w14:solidFill>
              <w14:schemeClr w14:val="tx1"/>
            </w14:solidFill>
          </w14:textFill>
        </w:rPr>
        <w:t>未尽事宜以现行招标有关规定为准。</w:t>
      </w:r>
    </w:p>
    <w:p>
      <w:pPr>
        <w:autoSpaceDE w:val="0"/>
        <w:autoSpaceDN w:val="0"/>
        <w:adjustRightInd w:val="0"/>
        <w:spacing w:after="6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6.9</w:t>
      </w:r>
      <w:r>
        <w:rPr>
          <w:rFonts w:hint="eastAsia" w:ascii="宋体" w:hAnsi="宋体"/>
          <w:color w:val="000000" w:themeColor="text1"/>
          <w:sz w:val="24"/>
          <w:highlight w:val="none"/>
          <w14:textFill>
            <w14:solidFill>
              <w14:schemeClr w14:val="tx1"/>
            </w14:solidFill>
          </w14:textFill>
        </w:rPr>
        <w:t>本招标文件的解释权归采购代理公司所有。</w:t>
      </w:r>
      <w:bookmarkEnd w:id="230"/>
      <w:bookmarkEnd w:id="231"/>
      <w:bookmarkEnd w:id="232"/>
      <w:bookmarkStart w:id="233" w:name="_Toc339114165"/>
      <w:bookmarkStart w:id="234" w:name="_Toc31190"/>
    </w:p>
    <w:p>
      <w:pPr>
        <w:rPr>
          <w:highlight w:val="none"/>
        </w:rPr>
      </w:pPr>
      <w:r>
        <w:rPr>
          <w:rFonts w:hint="eastAsia" w:ascii="宋体" w:hAnsi="宋体"/>
          <w:color w:val="000000" w:themeColor="text1"/>
          <w:sz w:val="24"/>
          <w:highlight w:val="none"/>
          <w14:textFill>
            <w14:solidFill>
              <w14:schemeClr w14:val="tx1"/>
            </w14:solidFill>
          </w14:textFill>
        </w:rPr>
        <w:br w:type="page"/>
      </w:r>
    </w:p>
    <w:p>
      <w:pPr>
        <w:numPr>
          <w:ilvl w:val="0"/>
          <w:numId w:val="4"/>
        </w:numPr>
        <w:jc w:val="center"/>
        <w:outlineLvl w:val="0"/>
        <w:rPr>
          <w:rFonts w:ascii="宋体" w:hAnsi="宋体" w:cs="宋体"/>
          <w:b/>
          <w:bCs/>
          <w:color w:val="000000" w:themeColor="text1"/>
          <w:sz w:val="32"/>
          <w:highlight w:val="none"/>
          <w14:textFill>
            <w14:solidFill>
              <w14:schemeClr w14:val="tx1"/>
            </w14:solidFill>
          </w14:textFill>
        </w:rPr>
      </w:pPr>
      <w:bookmarkStart w:id="235" w:name="_Toc31219"/>
      <w:bookmarkStart w:id="236" w:name="_Toc3749"/>
      <w:r>
        <w:rPr>
          <w:rFonts w:hint="eastAsia" w:ascii="宋体" w:hAnsi="宋体" w:cs="宋体"/>
          <w:b/>
          <w:bCs/>
          <w:color w:val="000000" w:themeColor="text1"/>
          <w:sz w:val="32"/>
          <w:highlight w:val="none"/>
          <w14:textFill>
            <w14:solidFill>
              <w14:schemeClr w14:val="tx1"/>
            </w14:solidFill>
          </w14:textFill>
        </w:rPr>
        <w:t>合同条款及格式</w:t>
      </w:r>
      <w:bookmarkEnd w:id="233"/>
      <w:bookmarkEnd w:id="234"/>
      <w:bookmarkEnd w:id="235"/>
      <w:bookmarkEnd w:id="236"/>
      <w:bookmarkStart w:id="237" w:name="_Toc144974577"/>
      <w:bookmarkStart w:id="238" w:name="_Toc152045609"/>
      <w:bookmarkStart w:id="239" w:name="_Toc152042387"/>
    </w:p>
    <w:p>
      <w:pPr>
        <w:jc w:val="center"/>
        <w:rPr>
          <w:rFonts w:hint="eastAsia" w:asciiTheme="minorEastAsia" w:hAnsiTheme="minorEastAsia" w:eastAsiaTheme="minorEastAsia" w:cstheme="minorEastAsia"/>
          <w:b/>
          <w:bCs/>
          <w:color w:val="000000"/>
          <w:sz w:val="24"/>
          <w:highlight w:val="none"/>
        </w:rPr>
      </w:pPr>
      <w:r>
        <w:rPr>
          <w:rFonts w:hint="eastAsia" w:asciiTheme="minorEastAsia" w:hAnsiTheme="minorEastAsia" w:eastAsiaTheme="minorEastAsia" w:cstheme="minorEastAsia"/>
          <w:b/>
          <w:bCs/>
          <w:color w:val="000000"/>
          <w:sz w:val="24"/>
          <w:highlight w:val="none"/>
        </w:rPr>
        <w:t>（参考格式）</w:t>
      </w:r>
      <w:bookmarkEnd w:id="237"/>
      <w:bookmarkEnd w:id="238"/>
      <w:bookmarkEnd w:id="239"/>
      <w:bookmarkStart w:id="240" w:name="_Toc30224_WPSOffice_Level1"/>
    </w:p>
    <w:p>
      <w:pPr>
        <w:jc w:val="center"/>
        <w:rPr>
          <w:rFonts w:hint="eastAsia" w:ascii="宋体" w:hAnsi="宋体" w:cs="宋体"/>
          <w:b/>
          <w:color w:val="000000" w:themeColor="text1"/>
          <w:sz w:val="36"/>
          <w:szCs w:val="36"/>
          <w:highlight w:val="none"/>
          <w:lang w:eastAsia="zh-CN"/>
          <w14:textFill>
            <w14:solidFill>
              <w14:schemeClr w14:val="tx1"/>
            </w14:solidFill>
          </w14:textFill>
        </w:rPr>
      </w:pPr>
    </w:p>
    <w:p>
      <w:pPr>
        <w:jc w:val="center"/>
        <w:rPr>
          <w:rFonts w:hint="eastAsia" w:ascii="宋体" w:hAnsi="宋体" w:cs="宋体"/>
          <w:b/>
          <w:color w:val="000000" w:themeColor="text1"/>
          <w:sz w:val="36"/>
          <w:szCs w:val="36"/>
          <w:highlight w:val="none"/>
          <w:lang w:eastAsia="zh-CN"/>
          <w14:textFill>
            <w14:solidFill>
              <w14:schemeClr w14:val="tx1"/>
            </w14:solidFill>
          </w14:textFill>
        </w:rPr>
      </w:pPr>
    </w:p>
    <w:p>
      <w:pPr>
        <w:jc w:val="center"/>
        <w:rPr>
          <w:rFonts w:hint="eastAsia" w:ascii="宋体" w:hAnsi="宋体" w:cs="宋体"/>
          <w:b/>
          <w:color w:val="000000" w:themeColor="text1"/>
          <w:sz w:val="36"/>
          <w:szCs w:val="36"/>
          <w:highlight w:val="none"/>
          <w:lang w:eastAsia="zh-CN"/>
          <w14:textFill>
            <w14:solidFill>
              <w14:schemeClr w14:val="tx1"/>
            </w14:solidFill>
          </w14:textFill>
        </w:rPr>
      </w:pPr>
    </w:p>
    <w:p>
      <w:pPr>
        <w:jc w:val="center"/>
        <w:rPr>
          <w:rFonts w:hint="eastAsia" w:ascii="宋体" w:hAnsi="宋体" w:cs="宋体"/>
          <w:b/>
          <w:color w:val="000000" w:themeColor="text1"/>
          <w:sz w:val="36"/>
          <w:szCs w:val="36"/>
          <w:highlight w:val="none"/>
          <w:lang w:eastAsia="zh-CN"/>
          <w14:textFill>
            <w14:solidFill>
              <w14:schemeClr w14:val="tx1"/>
            </w14:solidFill>
          </w14:textFill>
        </w:rPr>
      </w:pPr>
    </w:p>
    <w:p>
      <w:pPr>
        <w:jc w:val="center"/>
        <w:rPr>
          <w:rFonts w:hint="eastAsia" w:ascii="宋体" w:hAnsi="宋体" w:cs="宋体"/>
          <w:b/>
          <w:color w:val="000000" w:themeColor="text1"/>
          <w:sz w:val="36"/>
          <w:szCs w:val="36"/>
          <w:highlight w:val="none"/>
          <w:lang w:eastAsia="zh-CN"/>
          <w14:textFill>
            <w14:solidFill>
              <w14:schemeClr w14:val="tx1"/>
            </w14:solidFill>
          </w14:textFill>
        </w:rPr>
      </w:pPr>
      <w:r>
        <w:rPr>
          <w:rFonts w:hint="eastAsia" w:ascii="宋体" w:hAnsi="宋体" w:cs="宋体"/>
          <w:b/>
          <w:color w:val="000000" w:themeColor="text1"/>
          <w:sz w:val="36"/>
          <w:szCs w:val="36"/>
          <w:highlight w:val="none"/>
          <w:lang w:eastAsia="zh-CN"/>
          <w14:textFill>
            <w14:solidFill>
              <w14:schemeClr w14:val="tx1"/>
            </w14:solidFill>
          </w14:textFill>
        </w:rPr>
        <w:t>2023年度全国卫生专业技术资格考试暨</w:t>
      </w:r>
    </w:p>
    <w:p>
      <w:pPr>
        <w:jc w:val="center"/>
        <w:rPr>
          <w:rFonts w:hint="eastAsia" w:ascii="宋体" w:hAnsi="宋体" w:eastAsia="宋体" w:cs="宋体"/>
          <w:b/>
          <w:color w:val="000000" w:themeColor="text1"/>
          <w:sz w:val="36"/>
          <w:szCs w:val="36"/>
          <w:highlight w:val="none"/>
          <w:lang w:eastAsia="zh-CN"/>
          <w14:textFill>
            <w14:solidFill>
              <w14:schemeClr w14:val="tx1"/>
            </w14:solidFill>
          </w14:textFill>
        </w:rPr>
      </w:pPr>
      <w:r>
        <w:rPr>
          <w:rFonts w:hint="eastAsia" w:ascii="宋体" w:hAnsi="宋体" w:cs="宋体"/>
          <w:b/>
          <w:color w:val="000000" w:themeColor="text1"/>
          <w:sz w:val="36"/>
          <w:szCs w:val="36"/>
          <w:highlight w:val="none"/>
          <w:lang w:eastAsia="zh-CN"/>
          <w14:textFill>
            <w14:solidFill>
              <w14:schemeClr w14:val="tx1"/>
            </w14:solidFill>
          </w14:textFill>
        </w:rPr>
        <w:t>护士执业资格考试西安考点考务服务项目（三次）</w:t>
      </w:r>
    </w:p>
    <w:p>
      <w:pPr>
        <w:jc w:val="center"/>
        <w:rPr>
          <w:rFonts w:ascii="宋体" w:hAnsi="宋体" w:cs="宋体"/>
          <w:b/>
          <w:color w:val="000000" w:themeColor="text1"/>
          <w:sz w:val="36"/>
          <w:szCs w:val="36"/>
          <w:highlight w:val="none"/>
          <w14:textFill>
            <w14:solidFill>
              <w14:schemeClr w14:val="tx1"/>
            </w14:solidFill>
          </w14:textFill>
        </w:rPr>
      </w:pPr>
    </w:p>
    <w:p>
      <w:pPr>
        <w:jc w:val="center"/>
        <w:rPr>
          <w:rFonts w:ascii="宋体" w:hAnsi="宋体" w:cs="宋体"/>
          <w:b/>
          <w:color w:val="000000" w:themeColor="text1"/>
          <w:sz w:val="56"/>
          <w:szCs w:val="56"/>
          <w:highlight w:val="none"/>
          <w14:textFill>
            <w14:solidFill>
              <w14:schemeClr w14:val="tx1"/>
            </w14:solidFill>
          </w14:textFill>
        </w:rPr>
      </w:pPr>
    </w:p>
    <w:p>
      <w:pPr>
        <w:pStyle w:val="16"/>
        <w:rPr>
          <w:rFonts w:ascii="宋体" w:hAnsi="宋体" w:cs="宋体"/>
          <w:b/>
          <w:color w:val="000000" w:themeColor="text1"/>
          <w:sz w:val="56"/>
          <w:szCs w:val="56"/>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jc w:val="center"/>
        <w:rPr>
          <w:rFonts w:ascii="宋体" w:hAnsi="宋体" w:cs="宋体"/>
          <w:b/>
          <w:color w:val="000000" w:themeColor="text1"/>
          <w:sz w:val="56"/>
          <w:szCs w:val="56"/>
          <w:highlight w:val="none"/>
          <w14:textFill>
            <w14:solidFill>
              <w14:schemeClr w14:val="tx1"/>
            </w14:solidFill>
          </w14:textFill>
        </w:rPr>
      </w:pPr>
      <w:r>
        <w:rPr>
          <w:rFonts w:hint="eastAsia" w:ascii="宋体" w:hAnsi="宋体" w:cs="宋体"/>
          <w:b/>
          <w:color w:val="000000" w:themeColor="text1"/>
          <w:sz w:val="56"/>
          <w:szCs w:val="56"/>
          <w:highlight w:val="none"/>
          <w14:textFill>
            <w14:solidFill>
              <w14:schemeClr w14:val="tx1"/>
            </w14:solidFill>
          </w14:textFill>
        </w:rPr>
        <w:t>合 同 书</w:t>
      </w:r>
    </w:p>
    <w:p>
      <w:pPr>
        <w:jc w:val="center"/>
        <w:rPr>
          <w:rFonts w:ascii="宋体" w:hAnsi="宋体" w:cs="宋体"/>
          <w:b/>
          <w:color w:val="000000" w:themeColor="text1"/>
          <w:sz w:val="48"/>
          <w:szCs w:val="48"/>
          <w:highlight w:val="none"/>
          <w14:textFill>
            <w14:solidFill>
              <w14:schemeClr w14:val="tx1"/>
            </w14:solidFill>
          </w14:textFill>
        </w:rPr>
      </w:pPr>
    </w:p>
    <w:p>
      <w:pPr>
        <w:jc w:val="center"/>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XXXX</w:t>
      </w:r>
    </w:p>
    <w:p>
      <w:pPr>
        <w:rPr>
          <w:rFonts w:ascii="宋体" w:hAnsi="宋体" w:cs="宋体"/>
          <w:b/>
          <w:color w:val="000000" w:themeColor="text1"/>
          <w:highlight w:val="none"/>
          <w14:textFill>
            <w14:solidFill>
              <w14:schemeClr w14:val="tx1"/>
            </w14:solidFill>
          </w14:textFill>
        </w:rPr>
      </w:pPr>
    </w:p>
    <w:p>
      <w:pPr>
        <w:rPr>
          <w:rFonts w:ascii="宋体" w:hAnsi="宋体" w:cs="宋体"/>
          <w:b/>
          <w:color w:val="000000" w:themeColor="text1"/>
          <w:highlight w:val="none"/>
          <w14:textFill>
            <w14:solidFill>
              <w14:schemeClr w14:val="tx1"/>
            </w14:solidFill>
          </w14:textFill>
        </w:rPr>
      </w:pPr>
    </w:p>
    <w:p>
      <w:pPr>
        <w:rPr>
          <w:rFonts w:ascii="宋体" w:hAnsi="宋体" w:cs="宋体"/>
          <w:b/>
          <w:color w:val="000000" w:themeColor="text1"/>
          <w:highlight w:val="none"/>
          <w14:textFill>
            <w14:solidFill>
              <w14:schemeClr w14:val="tx1"/>
            </w14:solidFill>
          </w14:textFill>
        </w:rPr>
      </w:pPr>
    </w:p>
    <w:p>
      <w:pPr>
        <w:rPr>
          <w:rFonts w:ascii="宋体" w:hAnsi="宋体" w:cs="宋体"/>
          <w:b/>
          <w:color w:val="000000" w:themeColor="text1"/>
          <w:highlight w:val="none"/>
          <w14:textFill>
            <w14:solidFill>
              <w14:schemeClr w14:val="tx1"/>
            </w14:solidFill>
          </w14:textFill>
        </w:rPr>
      </w:pPr>
    </w:p>
    <w:p>
      <w:pPr>
        <w:pStyle w:val="16"/>
        <w:rPr>
          <w:rFonts w:ascii="宋体" w:hAnsi="宋体" w:cs="宋体"/>
          <w:color w:val="000000" w:themeColor="text1"/>
          <w:highlight w:val="none"/>
          <w14:textFill>
            <w14:solidFill>
              <w14:schemeClr w14:val="tx1"/>
            </w14:solidFill>
          </w14:textFill>
        </w:rPr>
      </w:pPr>
    </w:p>
    <w:p>
      <w:pPr>
        <w:pStyle w:val="16"/>
        <w:rPr>
          <w:rFonts w:ascii="宋体" w:hAnsi="宋体" w:cs="宋体"/>
          <w:color w:val="000000" w:themeColor="text1"/>
          <w:highlight w:val="none"/>
          <w14:textFill>
            <w14:solidFill>
              <w14:schemeClr w14:val="tx1"/>
            </w14:solidFill>
          </w14:textFill>
        </w:rPr>
      </w:pPr>
    </w:p>
    <w:p>
      <w:pPr>
        <w:spacing w:line="360" w:lineRule="auto"/>
        <w:ind w:left="1469" w:hanging="1469" w:hangingChars="400"/>
        <w:jc w:val="center"/>
        <w:rPr>
          <w:rFonts w:ascii="宋体" w:hAnsi="宋体" w:cs="宋体"/>
          <w:b/>
          <w:color w:val="000000" w:themeColor="text1"/>
          <w:spacing w:val="23"/>
          <w:sz w:val="32"/>
          <w:szCs w:val="32"/>
          <w:highlight w:val="none"/>
          <w14:textFill>
            <w14:solidFill>
              <w14:schemeClr w14:val="tx1"/>
            </w14:solidFill>
          </w14:textFill>
        </w:rPr>
      </w:pPr>
      <w:r>
        <w:rPr>
          <w:rFonts w:hint="eastAsia" w:ascii="宋体" w:hAnsi="宋体" w:cs="宋体"/>
          <w:b/>
          <w:color w:val="000000" w:themeColor="text1"/>
          <w:spacing w:val="23"/>
          <w:sz w:val="32"/>
          <w:szCs w:val="32"/>
          <w:highlight w:val="none"/>
          <w14:textFill>
            <w14:solidFill>
              <w14:schemeClr w14:val="tx1"/>
            </w14:solidFill>
          </w14:textFill>
        </w:rPr>
        <w:t>甲方(采购人)：</w:t>
      </w:r>
      <w:r>
        <w:rPr>
          <w:rFonts w:hint="eastAsia" w:ascii="宋体" w:hAnsi="宋体" w:cs="宋体"/>
          <w:color w:val="000000" w:themeColor="text1"/>
          <w:spacing w:val="23"/>
          <w:sz w:val="32"/>
          <w:szCs w:val="32"/>
          <w:highlight w:val="none"/>
          <w:u w:val="single"/>
          <w14:textFill>
            <w14:solidFill>
              <w14:schemeClr w14:val="tx1"/>
            </w14:solidFill>
          </w14:textFill>
        </w:rPr>
        <w:t></w:t>
      </w:r>
    </w:p>
    <w:p>
      <w:pPr>
        <w:spacing w:line="360" w:lineRule="auto"/>
        <w:ind w:left="840" w:hanging="840" w:hangingChars="400"/>
        <w:jc w:val="center"/>
        <w:rPr>
          <w:rFonts w:ascii="宋体" w:hAnsi="宋体" w:cs="宋体"/>
          <w:color w:val="000000" w:themeColor="text1"/>
          <w:spacing w:val="23"/>
          <w:sz w:val="32"/>
          <w:szCs w:val="32"/>
          <w:highlight w:val="none"/>
          <w:u w:val="single"/>
          <w14:textFill>
            <w14:solidFill>
              <w14:schemeClr w14:val="tx1"/>
            </w14:solidFill>
          </w14:textFill>
        </w:rPr>
      </w:pPr>
      <w:r>
        <w:rPr>
          <w:highlight w:val="none"/>
        </w:rPr>
        <w:fldChar w:fldCharType="begin"/>
      </w:r>
      <w:r>
        <w:rPr>
          <w:highlight w:val="none"/>
        </w:rPr>
        <w:instrText xml:space="preserve"> HYPERLINK "http://set2.mail.qq.com/cgi-bin/mail_spam?action=check_link&amp;spam=0&amp;url=http%3A%2F%2Fwww%2Ebaidu%2Ecom%2Fs%3Fwd%3D%25E4%25B9%2599%25E6%2596%25B9%26hl_tag%3Dtextlink%26tn%3DSE_hldp01350_v6v6zkg6" </w:instrText>
      </w:r>
      <w:r>
        <w:rPr>
          <w:highlight w:val="none"/>
        </w:rPr>
        <w:fldChar w:fldCharType="separate"/>
      </w:r>
      <w:r>
        <w:rPr>
          <w:rFonts w:hint="eastAsia" w:ascii="宋体" w:hAnsi="宋体" w:cs="宋体"/>
          <w:b/>
          <w:color w:val="000000" w:themeColor="text1"/>
          <w:spacing w:val="23"/>
          <w:sz w:val="32"/>
          <w:szCs w:val="32"/>
          <w:highlight w:val="none"/>
          <w14:textFill>
            <w14:solidFill>
              <w14:schemeClr w14:val="tx1"/>
            </w14:solidFill>
          </w14:textFill>
        </w:rPr>
        <w:t>乙方</w:t>
      </w:r>
      <w:r>
        <w:rPr>
          <w:rFonts w:hint="eastAsia" w:ascii="宋体" w:hAnsi="宋体" w:cs="宋体"/>
          <w:b/>
          <w:color w:val="000000" w:themeColor="text1"/>
          <w:spacing w:val="23"/>
          <w:sz w:val="32"/>
          <w:szCs w:val="32"/>
          <w:highlight w:val="none"/>
          <w14:textFill>
            <w14:solidFill>
              <w14:schemeClr w14:val="tx1"/>
            </w14:solidFill>
          </w14:textFill>
        </w:rPr>
        <w:fldChar w:fldCharType="end"/>
      </w:r>
      <w:r>
        <w:rPr>
          <w:rFonts w:hint="eastAsia" w:ascii="宋体" w:hAnsi="宋体" w:cs="宋体"/>
          <w:b/>
          <w:color w:val="000000" w:themeColor="text1"/>
          <w:spacing w:val="23"/>
          <w:sz w:val="32"/>
          <w:szCs w:val="32"/>
          <w:highlight w:val="none"/>
          <w14:textFill>
            <w14:solidFill>
              <w14:schemeClr w14:val="tx1"/>
            </w14:solidFill>
          </w14:textFill>
        </w:rPr>
        <w:t>(供应商)：</w:t>
      </w:r>
      <w:r>
        <w:rPr>
          <w:rFonts w:hint="eastAsia" w:ascii="宋体" w:hAnsi="宋体" w:cs="宋体"/>
          <w:color w:val="000000" w:themeColor="text1"/>
          <w:spacing w:val="23"/>
          <w:sz w:val="32"/>
          <w:szCs w:val="32"/>
          <w:highlight w:val="none"/>
          <w:u w:val="single"/>
          <w14:textFill>
            <w14:solidFill>
              <w14:schemeClr w14:val="tx1"/>
            </w14:solidFill>
          </w14:textFill>
        </w:rPr>
        <w:t></w:t>
      </w:r>
    </w:p>
    <w:p>
      <w:pPr>
        <w:spacing w:line="500" w:lineRule="atLeast"/>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
          <w:color w:val="000000" w:themeColor="text1"/>
          <w:spacing w:val="23"/>
          <w:sz w:val="32"/>
          <w:szCs w:val="32"/>
          <w:highlight w:val="none"/>
          <w14:textFill>
            <w14:solidFill>
              <w14:schemeClr w14:val="tx1"/>
            </w14:solidFill>
          </w14:textFill>
        </w:rPr>
        <w:t>签订时间：</w:t>
      </w:r>
      <w:r>
        <w:rPr>
          <w:rFonts w:hint="eastAsia" w:ascii="宋体" w:hAnsi="宋体" w:cs="宋体"/>
          <w:color w:val="000000" w:themeColor="text1"/>
          <w:spacing w:val="23"/>
          <w:sz w:val="32"/>
          <w:szCs w:val="32"/>
          <w:highlight w:val="none"/>
          <w:u w:val="single"/>
          <w14:textFill>
            <w14:solidFill>
              <w14:schemeClr w14:val="tx1"/>
            </w14:solidFill>
          </w14:textFill>
        </w:rPr>
        <w:t></w:t>
      </w:r>
      <w:r>
        <w:rPr>
          <w:rFonts w:hint="eastAsia" w:ascii="宋体" w:hAnsi="宋体" w:cs="宋体"/>
          <w:b/>
          <w:color w:val="000000" w:themeColor="text1"/>
          <w:spacing w:val="23"/>
          <w:sz w:val="32"/>
          <w:szCs w:val="32"/>
          <w:highlight w:val="none"/>
          <w14:textFill>
            <w14:solidFill>
              <w14:schemeClr w14:val="tx1"/>
            </w14:solidFill>
          </w14:textFill>
        </w:rPr>
        <w:t>年</w:t>
      </w:r>
      <w:r>
        <w:rPr>
          <w:rFonts w:hint="eastAsia" w:ascii="宋体" w:hAnsi="宋体" w:cs="宋体"/>
          <w:color w:val="000000" w:themeColor="text1"/>
          <w:spacing w:val="23"/>
          <w:sz w:val="32"/>
          <w:szCs w:val="32"/>
          <w:highlight w:val="none"/>
          <w:u w:val="single"/>
          <w14:textFill>
            <w14:solidFill>
              <w14:schemeClr w14:val="tx1"/>
            </w14:solidFill>
          </w14:textFill>
        </w:rPr>
        <w:t></w:t>
      </w:r>
      <w:r>
        <w:rPr>
          <w:rFonts w:hint="eastAsia" w:ascii="宋体" w:hAnsi="宋体" w:cs="宋体"/>
          <w:b/>
          <w:color w:val="000000" w:themeColor="text1"/>
          <w:spacing w:val="23"/>
          <w:sz w:val="32"/>
          <w:szCs w:val="32"/>
          <w:highlight w:val="none"/>
          <w14:textFill>
            <w14:solidFill>
              <w14:schemeClr w14:val="tx1"/>
            </w14:solidFill>
          </w14:textFill>
        </w:rPr>
        <w:t>月</w:t>
      </w:r>
      <w:r>
        <w:rPr>
          <w:rFonts w:hint="eastAsia" w:ascii="宋体" w:hAnsi="宋体" w:cs="宋体"/>
          <w:color w:val="000000" w:themeColor="text1"/>
          <w:spacing w:val="23"/>
          <w:sz w:val="32"/>
          <w:szCs w:val="32"/>
          <w:highlight w:val="none"/>
          <w:u w:val="single"/>
          <w14:textFill>
            <w14:solidFill>
              <w14:schemeClr w14:val="tx1"/>
            </w14:solidFill>
          </w14:textFill>
        </w:rPr>
        <w:t></w:t>
      </w:r>
      <w:r>
        <w:rPr>
          <w:rFonts w:hint="eastAsia" w:ascii="宋体" w:hAnsi="宋体" w:cs="宋体"/>
          <w:b/>
          <w:color w:val="000000" w:themeColor="text1"/>
          <w:spacing w:val="23"/>
          <w:sz w:val="32"/>
          <w:szCs w:val="32"/>
          <w:highlight w:val="none"/>
          <w14:textFill>
            <w14:solidFill>
              <w14:schemeClr w14:val="tx1"/>
            </w14:solidFill>
          </w14:textFill>
        </w:rPr>
        <w:t>日</w:t>
      </w:r>
    </w:p>
    <w:p>
      <w:pPr>
        <w:spacing w:line="560" w:lineRule="exact"/>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甲方(</w:t>
      </w:r>
      <w:r>
        <w:rPr>
          <w:highlight w:val="none"/>
        </w:rPr>
        <w:fldChar w:fldCharType="begin"/>
      </w:r>
      <w:r>
        <w:rPr>
          <w:highlight w:val="none"/>
        </w:rPr>
        <w:instrText xml:space="preserve"> HYPERLINK "http://set2.mail.qq.com/cgi-bin/mail_spam?action=check_link&amp;spam=0&amp;url=http%3A%2F%2Fwww%2Ebaidu%2Ecom%2Fs%3Fwd%3D%25E9%2587%2587%25E8%25B4%25AD%25E5%258D%2595%26hl_tag%3Dtextlink%26tn%3DSE_hldp01350_v6v6zkg6" </w:instrText>
      </w:r>
      <w:r>
        <w:rPr>
          <w:highlight w:val="none"/>
        </w:rPr>
        <w:fldChar w:fldCharType="separate"/>
      </w:r>
      <w:r>
        <w:rPr>
          <w:rFonts w:hint="eastAsia" w:ascii="宋体" w:hAnsi="宋体" w:cs="宋体"/>
          <w:color w:val="000000" w:themeColor="text1"/>
          <w:sz w:val="28"/>
          <w:szCs w:val="28"/>
          <w:highlight w:val="none"/>
          <w14:textFill>
            <w14:solidFill>
              <w14:schemeClr w14:val="tx1"/>
            </w14:solidFill>
          </w14:textFill>
        </w:rPr>
        <w:t>采购人</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u w:val="single"/>
          <w14:textFill>
            <w14:solidFill>
              <w14:schemeClr w14:val="tx1"/>
            </w14:solidFill>
          </w14:textFill>
        </w:rPr>
        <w:t xml:space="preserve">                  </w:t>
      </w:r>
    </w:p>
    <w:p>
      <w:pPr>
        <w:spacing w:line="560" w:lineRule="exact"/>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"http://set2.mail.qq.com/cgi-bin/mail_spam?action=check_link&amp;spam=0&amp;url=http%3A%2F%2Fwww%2Ebaidu%2Ecom%2Fs%3Fwd%3D%25E4%25B9%2599%25E6%2596%25B9%26hl_tag%3Dtextlink%26tn%3DSE_hldp01350_v6v6zkg6"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乙方</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t>(供应商)：</w:t>
      </w:r>
      <w:r>
        <w:rPr>
          <w:rFonts w:hint="eastAsia" w:ascii="宋体" w:hAnsi="宋体" w:cs="宋体"/>
          <w:color w:val="000000" w:themeColor="text1"/>
          <w:sz w:val="28"/>
          <w:szCs w:val="28"/>
          <w:highlight w:val="none"/>
          <w:u w:val="single"/>
          <w14:textFill>
            <w14:solidFill>
              <w14:schemeClr w14:val="tx1"/>
            </w14:solidFill>
          </w14:textFill>
        </w:rPr>
        <w:t xml:space="preserve">                  </w:t>
      </w:r>
    </w:p>
    <w:p>
      <w:pPr>
        <w:widowControl/>
        <w:spacing w:line="560" w:lineRule="exact"/>
        <w:ind w:right="-197" w:rightChars="-94" w:firstLine="560" w:firstLineChars="200"/>
        <w:jc w:val="left"/>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甲乙双方根据    年   月  日政府采购招标项目采购招标结果及相关招标文件及响应文件，本合同经双方友好协商平等、诚信、协作的原则，按照《</w:t>
      </w:r>
      <w:r>
        <w:rPr>
          <w:rFonts w:hint="eastAsia" w:ascii="宋体" w:hAnsi="宋体" w:cs="宋体"/>
          <w:color w:val="000000" w:themeColor="text1"/>
          <w:kern w:val="0"/>
          <w:sz w:val="28"/>
          <w:szCs w:val="28"/>
          <w:highlight w:val="none"/>
          <w:lang w:eastAsia="zh-CN"/>
          <w14:textFill>
            <w14:solidFill>
              <w14:schemeClr w14:val="tx1"/>
            </w14:solidFill>
          </w14:textFill>
        </w:rPr>
        <w:t>中华人民共和国</w:t>
      </w:r>
      <w:r>
        <w:rPr>
          <w:rFonts w:hint="eastAsia" w:ascii="宋体" w:hAnsi="宋体" w:cs="宋体"/>
          <w:color w:val="000000" w:themeColor="text1"/>
          <w:kern w:val="0"/>
          <w:sz w:val="28"/>
          <w:szCs w:val="28"/>
          <w:highlight w:val="none"/>
          <w14:textFill>
            <w14:solidFill>
              <w14:schemeClr w14:val="tx1"/>
            </w14:solidFill>
          </w14:textFill>
        </w:rPr>
        <w:t>政府采购法》和《中华人民共和国民法典》经协商一致，订立本合同，供双方共同遵守：</w:t>
      </w:r>
    </w:p>
    <w:p>
      <w:pPr>
        <w:widowControl/>
        <w:spacing w:line="560" w:lineRule="exact"/>
        <w:ind w:right="-197" w:rightChars="-94"/>
        <w:jc w:val="left"/>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第一条  合同约定的内容</w:t>
      </w:r>
    </w:p>
    <w:p>
      <w:pPr>
        <w:widowControl/>
        <w:spacing w:line="560" w:lineRule="exact"/>
        <w:ind w:right="-197" w:rightChars="-94" w:firstLine="560" w:firstLineChars="200"/>
        <w:jc w:val="left"/>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服务内容：</w:t>
      </w:r>
      <w:r>
        <w:rPr>
          <w:rFonts w:hint="eastAsia" w:ascii="宋体" w:hAnsi="宋体" w:cs="宋体"/>
          <w:color w:val="000000" w:themeColor="text1"/>
          <w:kern w:val="0"/>
          <w:sz w:val="28"/>
          <w:szCs w:val="28"/>
          <w:highlight w:val="none"/>
          <w:lang w:eastAsia="zh-CN"/>
          <w14:textFill>
            <w14:solidFill>
              <w14:schemeClr w14:val="tx1"/>
            </w14:solidFill>
          </w14:textFill>
        </w:rPr>
        <w:t>2023年度全国卫生专业技术资格考试暨护士执业资格考试西安考点考务服务项目（三次）</w:t>
      </w:r>
      <w:r>
        <w:rPr>
          <w:rFonts w:hint="eastAsia" w:ascii="宋体" w:hAnsi="宋体" w:cs="宋体"/>
          <w:color w:val="000000" w:themeColor="text1"/>
          <w:kern w:val="0"/>
          <w:sz w:val="28"/>
          <w:szCs w:val="28"/>
          <w:highlight w:val="none"/>
          <w14:textFill>
            <w14:solidFill>
              <w14:schemeClr w14:val="tx1"/>
            </w14:solidFill>
          </w14:textFill>
        </w:rPr>
        <w:t>。</w:t>
      </w:r>
    </w:p>
    <w:p>
      <w:pPr>
        <w:widowControl/>
        <w:spacing w:line="560" w:lineRule="exact"/>
        <w:ind w:right="-197" w:rightChars="-94"/>
        <w:jc w:val="left"/>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第二条  合同金额</w:t>
      </w:r>
    </w:p>
    <w:p>
      <w:pPr>
        <w:widowControl/>
        <w:spacing w:line="500" w:lineRule="exact"/>
        <w:ind w:right="-197" w:rightChars="-94"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1、人机对话考试单价（含税）：</w:t>
      </w:r>
      <w:r>
        <w:rPr>
          <w:rFonts w:hint="eastAsia" w:ascii="宋体" w:hAnsi="宋体" w:cs="宋体"/>
          <w:color w:val="000000" w:themeColor="text1"/>
          <w:sz w:val="28"/>
          <w:szCs w:val="28"/>
          <w:highlight w:val="none"/>
          <w14:textFill>
            <w14:solidFill>
              <w14:schemeClr w14:val="tx1"/>
            </w14:solidFill>
          </w14:textFill>
        </w:rPr>
        <w:t>大写：</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（人民币）元/每人每科；小写：（¥</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元）/元/每人每科。</w:t>
      </w:r>
    </w:p>
    <w:p>
      <w:pPr>
        <w:pStyle w:val="16"/>
        <w:spacing w:line="500" w:lineRule="exact"/>
        <w:ind w:firstLine="560" w:firstLineChars="200"/>
        <w:rPr>
          <w:rFonts w:hint="eastAsia"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2、纸笔考试单价（含税）：</w:t>
      </w:r>
      <w:r>
        <w:rPr>
          <w:rFonts w:hint="eastAsia" w:ascii="宋体" w:hAnsi="宋体" w:cs="宋体"/>
          <w:color w:val="000000" w:themeColor="text1"/>
          <w:sz w:val="28"/>
          <w:szCs w:val="28"/>
          <w:highlight w:val="none"/>
          <w14:textFill>
            <w14:solidFill>
              <w14:schemeClr w14:val="tx1"/>
            </w14:solidFill>
          </w14:textFill>
        </w:rPr>
        <w:t>大写：</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（人民币）元/每人每科；小写：（¥</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元）/元/每人每科。</w:t>
      </w:r>
    </w:p>
    <w:p>
      <w:pPr>
        <w:widowControl/>
        <w:spacing w:line="500" w:lineRule="exact"/>
        <w:ind w:right="-197" w:rightChars="-94" w:firstLine="560" w:firstLineChars="200"/>
        <w:jc w:val="left"/>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3、合同金额为包括但不限于场地费、考务、安保、医疗、后勤保障、人员配备、必要的考试设备、考试家具、其他考试设备购置等完成本项目所产生的的所有费用等所需的全部费用，最终结算费用以单价据实核算。</w:t>
      </w:r>
    </w:p>
    <w:p>
      <w:pPr>
        <w:widowControl/>
        <w:spacing w:line="560" w:lineRule="exact"/>
        <w:ind w:right="-197" w:rightChars="-94"/>
        <w:jc w:val="left"/>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第三条  服务期限</w:t>
      </w:r>
    </w:p>
    <w:p>
      <w:pPr>
        <w:widowControl/>
        <w:spacing w:line="560" w:lineRule="exact"/>
        <w:ind w:right="-197" w:rightChars="-94" w:firstLine="560" w:firstLineChars="200"/>
        <w:jc w:val="left"/>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具体以项目开展后采购人要求为准。乙方应积极履行其合同义务，完成合同范围内的相关工作。</w:t>
      </w:r>
    </w:p>
    <w:p>
      <w:pPr>
        <w:widowControl/>
        <w:spacing w:line="560" w:lineRule="exact"/>
        <w:ind w:right="-197" w:rightChars="-94"/>
        <w:jc w:val="left"/>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第四条  服务内容</w:t>
      </w:r>
    </w:p>
    <w:p>
      <w:pPr>
        <w:widowControl/>
        <w:spacing w:line="560" w:lineRule="exact"/>
        <w:ind w:right="-197" w:rightChars="-94" w:firstLine="560" w:firstLineChars="200"/>
        <w:jc w:val="left"/>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在西安考点的指导下，乙方提供考试服务的场地，承担考试的实施、考务、安保、医疗、后勤保障、人员配备等工作，直接向考点负责。</w:t>
      </w:r>
    </w:p>
    <w:p>
      <w:pPr>
        <w:pStyle w:val="16"/>
        <w:spacing w:after="0" w:line="560" w:lineRule="exact"/>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第四条  交付和验收</w:t>
      </w:r>
    </w:p>
    <w:p>
      <w:pPr>
        <w:widowControl/>
        <w:spacing w:line="560" w:lineRule="exact"/>
        <w:ind w:right="-197" w:rightChars="-94" w:firstLine="560" w:firstLineChars="200"/>
        <w:jc w:val="left"/>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 xml:space="preserve">1、服务地点：供应商提供地点。 </w:t>
      </w:r>
    </w:p>
    <w:p>
      <w:pPr>
        <w:widowControl/>
        <w:spacing w:line="560" w:lineRule="exact"/>
        <w:ind w:right="-197" w:rightChars="-94" w:firstLine="560" w:firstLineChars="200"/>
        <w:jc w:val="left"/>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2、验收标准：</w:t>
      </w:r>
    </w:p>
    <w:p>
      <w:pPr>
        <w:widowControl/>
        <w:spacing w:line="560" w:lineRule="exact"/>
        <w:ind w:right="-197" w:rightChars="-94" w:firstLine="56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（1）符合国家法律法规规定的标准、招标文件和</w:t>
      </w:r>
      <w:r>
        <w:rPr>
          <w:highlight w:val="none"/>
        </w:rPr>
        <w:fldChar w:fldCharType="begin"/>
      </w:r>
      <w:r>
        <w:rPr>
          <w:highlight w:val="none"/>
        </w:rPr>
        <w:instrText xml:space="preserve"> HYPERLINK "http://set2.mail.qq.com/cgi-bin/mail_spam?action=check_link&amp;spam=0&amp;url=http%3A%2F%2Fwww%2Ebaidu%2Ecom%2Fs%3Fwd%3D%25E4%25B9%2599%25E6%2596%25B9%26hl_tag%3Dtextlink%26tn%3DSE_hldp01350_v6v6zkg6" </w:instrText>
      </w:r>
      <w:r>
        <w:rPr>
          <w:highlight w:val="none"/>
        </w:rPr>
        <w:fldChar w:fldCharType="separate"/>
      </w:r>
      <w:r>
        <w:rPr>
          <w:rFonts w:hint="eastAsia" w:ascii="宋体" w:hAnsi="宋体" w:cs="宋体"/>
          <w:color w:val="000000" w:themeColor="text1"/>
          <w:kern w:val="0"/>
          <w:sz w:val="28"/>
          <w:szCs w:val="28"/>
          <w:highlight w:val="none"/>
          <w14:textFill>
            <w14:solidFill>
              <w14:schemeClr w14:val="tx1"/>
            </w14:solidFill>
          </w14:textFill>
        </w:rPr>
        <w:t>乙方</w:t>
      </w:r>
      <w:r>
        <w:rPr>
          <w:rFonts w:hint="eastAsia" w:ascii="宋体" w:hAnsi="宋体" w:cs="宋体"/>
          <w:color w:val="000000" w:themeColor="text1"/>
          <w:kern w:val="0"/>
          <w:sz w:val="28"/>
          <w:szCs w:val="28"/>
          <w:highlight w:val="none"/>
          <w14:textFill>
            <w14:solidFill>
              <w14:schemeClr w14:val="tx1"/>
            </w14:solidFill>
          </w14:textFill>
        </w:rPr>
        <w:fldChar w:fldCharType="end"/>
      </w:r>
      <w:r>
        <w:rPr>
          <w:rFonts w:hint="eastAsia" w:ascii="宋体" w:hAnsi="宋体" w:cs="宋体"/>
          <w:color w:val="000000" w:themeColor="text1"/>
          <w:kern w:val="0"/>
          <w:sz w:val="28"/>
          <w:szCs w:val="28"/>
          <w:highlight w:val="none"/>
          <w14:textFill>
            <w14:solidFill>
              <w14:schemeClr w14:val="tx1"/>
            </w14:solidFill>
          </w14:textFill>
        </w:rPr>
        <w:t>响应文件所要求的</w:t>
      </w:r>
      <w:r>
        <w:rPr>
          <w:highlight w:val="none"/>
        </w:rPr>
        <w:fldChar w:fldCharType="begin"/>
      </w:r>
      <w:r>
        <w:rPr>
          <w:highlight w:val="none"/>
        </w:rPr>
        <w:instrText xml:space="preserve"> HYPERLINK "http://set2.mail.qq.com/cgi-bin/mail_spam?action=check_link&amp;spam=0&amp;url=http%3A%2F%2Fwww%2Ebaidu%2Ecom%2Fs%3Fwd%3D%25E6%258A%2580%25E6%259C%25AF%25E6%25A0%2587%25E5%2587%2586%26hl_tag%3Dtextlink%26tn%3DSE_hldp01350_v6v6zkg6" </w:instrText>
      </w:r>
      <w:r>
        <w:rPr>
          <w:highlight w:val="none"/>
        </w:rPr>
        <w:fldChar w:fldCharType="separate"/>
      </w:r>
      <w:r>
        <w:rPr>
          <w:rFonts w:hint="eastAsia" w:ascii="宋体" w:hAnsi="宋体" w:cs="宋体"/>
          <w:color w:val="000000" w:themeColor="text1"/>
          <w:kern w:val="0"/>
          <w:sz w:val="28"/>
          <w:szCs w:val="28"/>
          <w:highlight w:val="none"/>
          <w14:textFill>
            <w14:solidFill>
              <w14:schemeClr w14:val="tx1"/>
            </w14:solidFill>
          </w14:textFill>
        </w:rPr>
        <w:t>服务标准</w:t>
      </w:r>
      <w:r>
        <w:rPr>
          <w:rFonts w:hint="eastAsia" w:ascii="宋体" w:hAnsi="宋体" w:cs="宋体"/>
          <w:color w:val="000000" w:themeColor="text1"/>
          <w:kern w:val="0"/>
          <w:sz w:val="28"/>
          <w:szCs w:val="28"/>
          <w:highlight w:val="none"/>
          <w14:textFill>
            <w14:solidFill>
              <w14:schemeClr w14:val="tx1"/>
            </w14:solidFill>
          </w14:textFill>
        </w:rPr>
        <w:fldChar w:fldCharType="end"/>
      </w:r>
      <w:r>
        <w:rPr>
          <w:rFonts w:hint="eastAsia" w:ascii="宋体" w:hAnsi="宋体" w:cs="宋体"/>
          <w:color w:val="000000" w:themeColor="text1"/>
          <w:kern w:val="0"/>
          <w:sz w:val="28"/>
          <w:szCs w:val="28"/>
          <w:highlight w:val="none"/>
          <w14:textFill>
            <w14:solidFill>
              <w14:schemeClr w14:val="tx1"/>
            </w14:solidFill>
          </w14:textFill>
        </w:rPr>
        <w:t>。</w:t>
      </w:r>
    </w:p>
    <w:p>
      <w:pPr>
        <w:widowControl/>
        <w:spacing w:line="560" w:lineRule="exact"/>
        <w:ind w:right="-197" w:rightChars="-94"/>
        <w:jc w:val="left"/>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第五条  付款方式</w:t>
      </w:r>
    </w:p>
    <w:p>
      <w:pPr>
        <w:adjustRightInd w:val="0"/>
        <w:snapToGrid w:val="0"/>
        <w:spacing w:line="540" w:lineRule="exact"/>
        <w:ind w:firstLine="560" w:firstLineChars="200"/>
        <w:rPr>
          <w:rFonts w:ascii="宋体" w:hAnsi="宋体" w:cs="宋体"/>
          <w:bCs/>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1、付款方式：甲乙双方自行协商</w:t>
      </w:r>
      <w:r>
        <w:rPr>
          <w:rFonts w:hint="eastAsia" w:ascii="宋体" w:hAnsi="宋体" w:cs="宋体"/>
          <w:color w:val="000000" w:themeColor="text1"/>
          <w:sz w:val="28"/>
          <w:szCs w:val="28"/>
          <w:highlight w:val="none"/>
          <w14:textFill>
            <w14:solidFill>
              <w14:schemeClr w14:val="tx1"/>
            </w14:solidFill>
          </w14:textFill>
        </w:rPr>
        <w:t>。</w:t>
      </w:r>
    </w:p>
    <w:p>
      <w:pPr>
        <w:widowControl/>
        <w:spacing w:line="560" w:lineRule="exact"/>
        <w:ind w:right="-197" w:rightChars="-94" w:firstLine="56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2、付款依据：供应商</w:t>
      </w:r>
      <w:r>
        <w:rPr>
          <w:highlight w:val="none"/>
        </w:rPr>
        <w:fldChar w:fldCharType="begin"/>
      </w:r>
      <w:r>
        <w:rPr>
          <w:highlight w:val="none"/>
        </w:rPr>
        <w:instrText xml:space="preserve"> HYPERLINK "http://set2.mail.qq.com/cgi-bin/mail_spam?action=check_link&amp;spam=0&amp;url=http%3A%2F%2Fwww%2Ebaidu%2Ecom%2Fs%3Fwd%3D%25E9%2594%2580%25E5%2594%25AE%25E5%258F%2591%25E7%25A5%25A8%26hl_tag%3Dtextlink%26tn%3DSE_hldp01350_v6v6zkg6" </w:instrText>
      </w:r>
      <w:r>
        <w:rPr>
          <w:highlight w:val="none"/>
        </w:rPr>
        <w:fldChar w:fldCharType="separate"/>
      </w:r>
      <w:r>
        <w:rPr>
          <w:rFonts w:hint="eastAsia" w:ascii="宋体" w:hAnsi="宋体" w:cs="宋体"/>
          <w:color w:val="000000" w:themeColor="text1"/>
          <w:kern w:val="0"/>
          <w:sz w:val="28"/>
          <w:szCs w:val="28"/>
          <w:highlight w:val="none"/>
          <w14:textFill>
            <w14:solidFill>
              <w14:schemeClr w14:val="tx1"/>
            </w14:solidFill>
          </w14:textFill>
        </w:rPr>
        <w:t>提供等额发票</w:t>
      </w:r>
      <w:r>
        <w:rPr>
          <w:rFonts w:hint="eastAsia" w:ascii="宋体" w:hAnsi="宋体" w:cs="宋体"/>
          <w:color w:val="000000" w:themeColor="text1"/>
          <w:kern w:val="0"/>
          <w:sz w:val="28"/>
          <w:szCs w:val="28"/>
          <w:highlight w:val="none"/>
          <w14:textFill>
            <w14:solidFill>
              <w14:schemeClr w14:val="tx1"/>
            </w14:solidFill>
          </w14:textFill>
        </w:rPr>
        <w:fldChar w:fldCharType="end"/>
      </w:r>
      <w:r>
        <w:rPr>
          <w:rFonts w:hint="eastAsia" w:ascii="宋体" w:hAnsi="宋体" w:cs="宋体"/>
          <w:color w:val="000000" w:themeColor="text1"/>
          <w:kern w:val="0"/>
          <w:sz w:val="28"/>
          <w:szCs w:val="28"/>
          <w:highlight w:val="none"/>
          <w14:textFill>
            <w14:solidFill>
              <w14:schemeClr w14:val="tx1"/>
            </w14:solidFill>
          </w14:textFill>
        </w:rPr>
        <w:t>。</w:t>
      </w:r>
      <w:r>
        <w:rPr>
          <w:rFonts w:hint="eastAsia" w:ascii="宋体" w:hAnsi="宋体" w:cs="宋体"/>
          <w:b/>
          <w:bCs/>
          <w:color w:val="000000" w:themeColor="text1"/>
          <w:sz w:val="28"/>
          <w:szCs w:val="28"/>
          <w:highlight w:val="none"/>
          <w14:textFill>
            <w14:solidFill>
              <w14:schemeClr w14:val="tx1"/>
            </w14:solidFill>
          </w14:textFill>
        </w:rPr>
        <w:t xml:space="preserve"> </w:t>
      </w:r>
    </w:p>
    <w:p>
      <w:pPr>
        <w:widowControl/>
        <w:spacing w:line="560" w:lineRule="exact"/>
        <w:ind w:right="-197" w:rightChars="-94"/>
        <w:jc w:val="left"/>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 xml:space="preserve">第六条 </w:t>
      </w:r>
      <w:r>
        <w:rPr>
          <w:rFonts w:hint="eastAsia" w:ascii="宋体" w:hAnsi="宋体" w:cs="宋体"/>
          <w:b/>
          <w:bCs/>
          <w:color w:val="000000" w:themeColor="text1"/>
          <w:kern w:val="0"/>
          <w:sz w:val="28"/>
          <w:szCs w:val="28"/>
          <w:highlight w:val="none"/>
          <w14:textFill>
            <w14:solidFill>
              <w14:schemeClr w14:val="tx1"/>
            </w14:solidFill>
          </w14:textFill>
        </w:rPr>
        <w:t xml:space="preserve"> 甲乙双方的权利、义务</w:t>
      </w:r>
    </w:p>
    <w:p>
      <w:pPr>
        <w:pStyle w:val="40"/>
        <w:spacing w:after="0" w:line="500" w:lineRule="exact"/>
        <w:ind w:firstLine="0" w:firstLineChars="0"/>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 xml:space="preserve">  </w:t>
      </w:r>
      <w:r>
        <w:rPr>
          <w:rFonts w:hint="eastAsia" w:ascii="宋体" w:hAnsi="宋体" w:cs="宋体"/>
          <w:b/>
          <w:bCs/>
          <w:color w:val="000000" w:themeColor="text1"/>
          <w:kern w:val="0"/>
          <w:szCs w:val="28"/>
          <w:highlight w:val="none"/>
          <w14:textFill>
            <w14:solidFill>
              <w14:schemeClr w14:val="tx1"/>
            </w14:solidFill>
          </w14:textFill>
        </w:rPr>
        <w:t xml:space="preserve">  甲方：</w:t>
      </w:r>
    </w:p>
    <w:p>
      <w:pPr>
        <w:spacing w:line="500" w:lineRule="exact"/>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1、按合同约定时间及时向乙方付款，不得违约。</w:t>
      </w:r>
    </w:p>
    <w:p>
      <w:pPr>
        <w:spacing w:line="500" w:lineRule="exact"/>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2、甲方指导、配合乙方组织实施考场布置、考务人员与系统管理员的培训和考核等工作。</w:t>
      </w:r>
    </w:p>
    <w:p>
      <w:pPr>
        <w:pStyle w:val="40"/>
        <w:spacing w:after="0" w:line="500" w:lineRule="exact"/>
        <w:ind w:firstLine="560" w:firstLineChars="0"/>
        <w:rPr>
          <w:rFonts w:ascii="宋体" w:hAnsi="宋体" w:cs="宋体"/>
          <w:b/>
          <w:color w:val="000000" w:themeColor="text1"/>
          <w:szCs w:val="28"/>
          <w:highlight w:val="none"/>
          <w14:textFill>
            <w14:solidFill>
              <w14:schemeClr w14:val="tx1"/>
            </w14:solidFill>
          </w14:textFill>
        </w:rPr>
      </w:pPr>
      <w:r>
        <w:rPr>
          <w:rFonts w:hint="eastAsia" w:ascii="宋体" w:hAnsi="宋体" w:cs="宋体"/>
          <w:b/>
          <w:color w:val="000000" w:themeColor="text1"/>
          <w:szCs w:val="28"/>
          <w:highlight w:val="none"/>
          <w14:textFill>
            <w14:solidFill>
              <w14:schemeClr w14:val="tx1"/>
            </w14:solidFill>
          </w14:textFill>
        </w:rPr>
        <w:t>乙方：</w:t>
      </w:r>
    </w:p>
    <w:p>
      <w:pPr>
        <w:spacing w:line="500" w:lineRule="exact"/>
        <w:ind w:firstLine="560" w:firstLineChars="200"/>
        <w:textAlignment w:val="baseline"/>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1、</w:t>
      </w:r>
      <w:r>
        <w:rPr>
          <w:rFonts w:hint="eastAsia" w:ascii="宋体" w:hAnsi="宋体" w:cs="宋体"/>
          <w:color w:val="000000" w:themeColor="text1"/>
          <w:sz w:val="28"/>
          <w:szCs w:val="28"/>
          <w:highlight w:val="none"/>
          <w14:textFill>
            <w14:solidFill>
              <w14:schemeClr w14:val="tx1"/>
            </w14:solidFill>
          </w14:textFill>
        </w:rPr>
        <w:t>在一个考场内集中同时提供的纸笔考试和人机对话考试标准试室：</w:t>
      </w:r>
    </w:p>
    <w:p>
      <w:pPr>
        <w:spacing w:line="500" w:lineRule="exact"/>
        <w:ind w:firstLine="560" w:firstLineChars="200"/>
        <w:textAlignment w:val="baseline"/>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（1）纸笔考试试室不少于160个，每场考试可容纳考生总数不少于4800人。考生不超过30人/每试室，座位必须单人、单桌、单行排列，每列桌椅须垂直对齐，所有考生面朝统一方向，前后左右间距80厘米以上。</w:t>
      </w:r>
    </w:p>
    <w:p>
      <w:pPr>
        <w:spacing w:line="500" w:lineRule="exact"/>
        <w:ind w:firstLine="560" w:firstLineChars="200"/>
        <w:textAlignment w:val="baseline"/>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（2）人机对话考试机位数应同时满足2000人-2500人进行考试，考试用机数量不少于2500台。考试用机包含考生用机、考生备用机、试室管理机、网关服务器等，其中网关服务器需与考试用机分开布置。</w:t>
      </w:r>
    </w:p>
    <w:p>
      <w:pPr>
        <w:spacing w:line="500" w:lineRule="exact"/>
        <w:ind w:firstLine="560" w:firstLineChars="200"/>
        <w:textAlignment w:val="baseline"/>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2</w:t>
      </w:r>
      <w:r>
        <w:rPr>
          <w:rFonts w:hint="eastAsia" w:ascii="宋体" w:hAnsi="宋体" w:cs="宋体"/>
          <w:color w:val="000000" w:themeColor="text1"/>
          <w:sz w:val="28"/>
          <w:szCs w:val="28"/>
          <w:highlight w:val="none"/>
          <w14:textFill>
            <w14:solidFill>
              <w14:schemeClr w14:val="tx1"/>
            </w14:solidFill>
          </w14:textFill>
        </w:rPr>
        <w:t>、人机对话考试用机配置应满足且不低于以下配置：</w:t>
      </w:r>
    </w:p>
    <w:tbl>
      <w:tblPr>
        <w:tblStyle w:val="42"/>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1696" w:type="dxa"/>
          </w:tcPr>
          <w:p>
            <w:pPr>
              <w:spacing w:line="400" w:lineRule="exact"/>
              <w:jc w:val="center"/>
              <w:textAlignment w:val="baseline"/>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配置</w:t>
            </w:r>
          </w:p>
        </w:tc>
        <w:tc>
          <w:tcPr>
            <w:tcW w:w="6429" w:type="dxa"/>
          </w:tcPr>
          <w:p>
            <w:pPr>
              <w:spacing w:line="400" w:lineRule="exact"/>
              <w:jc w:val="center"/>
              <w:textAlignment w:val="baseline"/>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spacing w:line="400" w:lineRule="exact"/>
              <w:jc w:val="center"/>
              <w:textAlignment w:val="baseline"/>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品牌</w:t>
            </w:r>
          </w:p>
        </w:tc>
        <w:tc>
          <w:tcPr>
            <w:tcW w:w="6429" w:type="dxa"/>
            <w:vAlign w:val="center"/>
          </w:tcPr>
          <w:p>
            <w:pPr>
              <w:spacing w:line="400" w:lineRule="exact"/>
              <w:jc w:val="center"/>
              <w:textAlignment w:val="baseline"/>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所有考试用电脑均为主流品牌电脑（兼容机除外）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spacing w:line="400" w:lineRule="exact"/>
              <w:jc w:val="center"/>
              <w:textAlignment w:val="baseline"/>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CPU</w:t>
            </w:r>
          </w:p>
        </w:tc>
        <w:tc>
          <w:tcPr>
            <w:tcW w:w="6429" w:type="dxa"/>
            <w:vAlign w:val="center"/>
          </w:tcPr>
          <w:p>
            <w:pPr>
              <w:spacing w:line="400" w:lineRule="exact"/>
              <w:textAlignment w:val="baseline"/>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市场主流CPU类型（Intel I5\I7,AMD A10），核心数量不少于四核，线程数不少于四线程，主频应高于3.0G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96" w:type="dxa"/>
            <w:vAlign w:val="center"/>
          </w:tcPr>
          <w:p>
            <w:pPr>
              <w:spacing w:line="400" w:lineRule="exact"/>
              <w:jc w:val="center"/>
              <w:textAlignment w:val="baseline"/>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内存</w:t>
            </w:r>
          </w:p>
        </w:tc>
        <w:tc>
          <w:tcPr>
            <w:tcW w:w="6429" w:type="dxa"/>
            <w:vAlign w:val="center"/>
          </w:tcPr>
          <w:p>
            <w:pPr>
              <w:spacing w:line="400" w:lineRule="exact"/>
              <w:jc w:val="center"/>
              <w:textAlignment w:val="baseline"/>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不少于4G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spacing w:line="400" w:lineRule="exact"/>
              <w:jc w:val="center"/>
              <w:textAlignment w:val="baseline"/>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显卡</w:t>
            </w:r>
          </w:p>
        </w:tc>
        <w:tc>
          <w:tcPr>
            <w:tcW w:w="6429" w:type="dxa"/>
            <w:vAlign w:val="center"/>
          </w:tcPr>
          <w:p>
            <w:pPr>
              <w:spacing w:line="400" w:lineRule="exact"/>
              <w:jc w:val="center"/>
              <w:textAlignment w:val="baseline"/>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独立显卡，显存不少于1G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spacing w:line="400" w:lineRule="exact"/>
              <w:jc w:val="center"/>
              <w:textAlignment w:val="baseline"/>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硬盘</w:t>
            </w:r>
          </w:p>
        </w:tc>
        <w:tc>
          <w:tcPr>
            <w:tcW w:w="6429" w:type="dxa"/>
            <w:vAlign w:val="center"/>
          </w:tcPr>
          <w:p>
            <w:pPr>
              <w:spacing w:line="400" w:lineRule="exact"/>
              <w:jc w:val="center"/>
              <w:textAlignment w:val="baseline"/>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硬盘容量大小不少于500G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spacing w:line="400" w:lineRule="exact"/>
              <w:jc w:val="center"/>
              <w:textAlignment w:val="baseline"/>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网络设备</w:t>
            </w:r>
          </w:p>
        </w:tc>
        <w:tc>
          <w:tcPr>
            <w:tcW w:w="6429" w:type="dxa"/>
            <w:vAlign w:val="center"/>
          </w:tcPr>
          <w:p>
            <w:pPr>
              <w:spacing w:line="400" w:lineRule="exact"/>
              <w:jc w:val="center"/>
              <w:textAlignment w:val="baseline"/>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考试用机均配备百兆\千兆网卡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spacing w:line="400" w:lineRule="exact"/>
              <w:jc w:val="center"/>
              <w:textAlignment w:val="baseline"/>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操作系统</w:t>
            </w:r>
          </w:p>
        </w:tc>
        <w:tc>
          <w:tcPr>
            <w:tcW w:w="6429" w:type="dxa"/>
            <w:vAlign w:val="center"/>
          </w:tcPr>
          <w:p>
            <w:pPr>
              <w:spacing w:line="400" w:lineRule="exact"/>
              <w:textAlignment w:val="baseline"/>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已安装Windows 7（32\64位）系统；IE版本9.0以上等较新版本的浏览器，以及必备常用软件</w:t>
            </w:r>
          </w:p>
        </w:tc>
      </w:tr>
    </w:tbl>
    <w:p>
      <w:pPr>
        <w:spacing w:line="500" w:lineRule="exact"/>
        <w:ind w:firstLine="560" w:firstLineChars="200"/>
        <w:textAlignment w:val="baseline"/>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3</w:t>
      </w:r>
      <w:r>
        <w:rPr>
          <w:rFonts w:hint="eastAsia" w:ascii="宋体" w:hAnsi="宋体" w:cs="宋体"/>
          <w:color w:val="000000" w:themeColor="text1"/>
          <w:sz w:val="28"/>
          <w:szCs w:val="28"/>
          <w:highlight w:val="none"/>
          <w14:textFill>
            <w14:solidFill>
              <w14:schemeClr w14:val="tx1"/>
            </w14:solidFill>
          </w14:textFill>
        </w:rPr>
        <w:t>、所有考试用机应在同一局域网内，且考试用机应有固定的IP地址；考试期间除所需网关服务器可以连接互联网外，其余考试用机不得连接外网；每个试室内均应配备主流品牌千兆接入交换机，使用主流品牌三层核心交换机组网，保证考试网络的稳定性；试室之间均应使用VLAN技术划分，保证考试用网络的安全性；整体网络环境需保证在考试期间网关服务器、试室管理机、考试用机数据交互通畅，实现可靠的低延迟数据交换。网关服务器、核心层交换机应配备UPS不间断电源；整个考场所有试室应采用双路电源供电。</w:t>
      </w:r>
    </w:p>
    <w:p>
      <w:pPr>
        <w:spacing w:line="500" w:lineRule="exact"/>
        <w:ind w:firstLine="560" w:firstLineChars="200"/>
        <w:textAlignment w:val="baseline"/>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4</w:t>
      </w:r>
      <w:r>
        <w:rPr>
          <w:rFonts w:hint="eastAsia" w:ascii="宋体" w:hAnsi="宋体" w:cs="宋体"/>
          <w:color w:val="000000" w:themeColor="text1"/>
          <w:sz w:val="28"/>
          <w:szCs w:val="28"/>
          <w:highlight w:val="none"/>
          <w14:textFill>
            <w14:solidFill>
              <w14:schemeClr w14:val="tx1"/>
            </w14:solidFill>
          </w14:textFill>
        </w:rPr>
        <w:t>、考场所有试室均应配备监控设备，每个试室安装不少于两部高清监控摄像头，基本实现全考场覆盖;考场所有的网络视频录像机应具备远程访问以及接入能力；考点可提供考前三天、考试全过程的考试影像资料，且影像资料可以保存三个自然月以上，以备后查。</w:t>
      </w:r>
    </w:p>
    <w:p>
      <w:pPr>
        <w:spacing w:line="500" w:lineRule="exact"/>
        <w:ind w:firstLine="560" w:firstLineChars="200"/>
        <w:textAlignment w:val="baseline"/>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cs="宋体"/>
          <w:color w:val="000000" w:themeColor="text1"/>
          <w:sz w:val="28"/>
          <w:szCs w:val="28"/>
          <w:highlight w:val="none"/>
          <w14:textFill>
            <w14:solidFill>
              <w14:schemeClr w14:val="tx1"/>
            </w14:solidFill>
          </w14:textFill>
        </w:rPr>
        <w:t>、在考试期间，配备不少于10人的考试设备维护人员，熟悉考试用机、网络维护和管理，保障考试时设备的良好运转；每50台考试机须配备2名监考人员和1名通过国家卫生健康委人才交流中心组织的卫生专业技术人机对话考试专项培训的系统管理员，持有证书的系统管理员最低不少于20人。每750台考试机配备不少于4名流动监考人员。</w:t>
      </w:r>
    </w:p>
    <w:p>
      <w:pPr>
        <w:pStyle w:val="40"/>
        <w:spacing w:after="0" w:line="560" w:lineRule="exact"/>
        <w:ind w:firstLine="560" w:firstLineChars="0"/>
        <w:rPr>
          <w:rFonts w:ascii="宋体" w:hAnsi="宋体" w:cs="宋体"/>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lang w:val="en-US" w:eastAsia="zh-CN"/>
          <w14:textFill>
            <w14:solidFill>
              <w14:schemeClr w14:val="tx1"/>
            </w14:solidFill>
          </w14:textFill>
        </w:rPr>
        <w:t>6</w:t>
      </w:r>
      <w:r>
        <w:rPr>
          <w:rFonts w:hint="eastAsia" w:ascii="宋体" w:hAnsi="宋体" w:cs="宋体"/>
          <w:color w:val="000000" w:themeColor="text1"/>
          <w:szCs w:val="28"/>
          <w:highlight w:val="none"/>
          <w14:textFill>
            <w14:solidFill>
              <w14:schemeClr w14:val="tx1"/>
            </w14:solidFill>
          </w14:textFill>
        </w:rPr>
        <w:t>、考场须设立考务、安保、医疗、后勤等工作组保障需求。须按照国家保密条例，设置符合条例规定的保密室。能够按照考点和考务要求，做好考试实施过程中周内和周末教学任务的配合调整。</w:t>
      </w:r>
    </w:p>
    <w:p>
      <w:pPr>
        <w:pStyle w:val="40"/>
        <w:spacing w:after="0" w:line="560" w:lineRule="exact"/>
        <w:ind w:firstLine="560" w:firstLineChars="0"/>
        <w:rPr>
          <w:rFonts w:ascii="宋体" w:hAnsi="宋体" w:cs="宋体"/>
          <w:b/>
          <w:color w:val="000000" w:themeColor="text1"/>
          <w:szCs w:val="28"/>
          <w:highlight w:val="none"/>
          <w14:textFill>
            <w14:solidFill>
              <w14:schemeClr w14:val="tx1"/>
            </w14:solidFill>
          </w14:textFill>
        </w:rPr>
      </w:pPr>
      <w:r>
        <w:rPr>
          <w:rFonts w:hint="eastAsia" w:ascii="宋体" w:hAnsi="宋体" w:cs="宋体"/>
          <w:color w:val="000000" w:themeColor="text1"/>
          <w:szCs w:val="28"/>
          <w:highlight w:val="none"/>
          <w:lang w:val="en-US" w:eastAsia="zh-CN"/>
          <w14:textFill>
            <w14:solidFill>
              <w14:schemeClr w14:val="tx1"/>
            </w14:solidFill>
          </w14:textFill>
        </w:rPr>
        <w:t>7</w:t>
      </w:r>
      <w:r>
        <w:rPr>
          <w:rFonts w:hint="eastAsia" w:ascii="宋体" w:hAnsi="宋体" w:cs="宋体"/>
          <w:color w:val="000000" w:themeColor="text1"/>
          <w:szCs w:val="28"/>
          <w:highlight w:val="none"/>
          <w14:textFill>
            <w14:solidFill>
              <w14:schemeClr w14:val="tx1"/>
            </w14:solidFill>
          </w14:textFill>
        </w:rPr>
        <w:t>、按照考务要求，制定切实可行的应急预案。</w:t>
      </w:r>
    </w:p>
    <w:p>
      <w:pPr>
        <w:widowControl/>
        <w:spacing w:line="560" w:lineRule="exact"/>
        <w:ind w:right="-197" w:rightChars="-94"/>
        <w:jc w:val="left"/>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 xml:space="preserve">第七条  </w:t>
      </w:r>
      <w:r>
        <w:rPr>
          <w:highlight w:val="none"/>
        </w:rPr>
        <w:fldChar w:fldCharType="begin"/>
      </w:r>
      <w:r>
        <w:rPr>
          <w:highlight w:val="none"/>
        </w:rPr>
        <w:instrText xml:space="preserve"> HYPERLINK "http://set2.mail.qq.com/cgi-bin/mail_spam?action=check_link&amp;spam=0&amp;url=http%3A%2F%2Fwww%2Ebaidu%2Ecom%2Fs%3Fwd%3D%25E4%25B8%258D%25E5%258F%25AF%25E6%258A%2597%25E5%258A%259B%26hl_tag%3Dtextlink%26tn%3DSE_hldp01350_v6v6zkg6" </w:instrText>
      </w:r>
      <w:r>
        <w:rPr>
          <w:highlight w:val="none"/>
        </w:rPr>
        <w:fldChar w:fldCharType="separate"/>
      </w:r>
      <w:r>
        <w:rPr>
          <w:rFonts w:hint="eastAsia" w:ascii="宋体" w:hAnsi="宋体" w:cs="宋体"/>
          <w:b/>
          <w:bCs/>
          <w:color w:val="000000" w:themeColor="text1"/>
          <w:kern w:val="0"/>
          <w:sz w:val="28"/>
          <w:szCs w:val="28"/>
          <w:highlight w:val="none"/>
          <w14:textFill>
            <w14:solidFill>
              <w14:schemeClr w14:val="tx1"/>
            </w14:solidFill>
          </w14:textFill>
        </w:rPr>
        <w:t>不可抗力</w:t>
      </w:r>
      <w:r>
        <w:rPr>
          <w:rFonts w:hint="eastAsia" w:ascii="宋体" w:hAnsi="宋体" w:cs="宋体"/>
          <w:b/>
          <w:bCs/>
          <w:color w:val="000000" w:themeColor="text1"/>
          <w:kern w:val="0"/>
          <w:sz w:val="28"/>
          <w:szCs w:val="28"/>
          <w:highlight w:val="none"/>
          <w14:textFill>
            <w14:solidFill>
              <w14:schemeClr w14:val="tx1"/>
            </w14:solidFill>
          </w14:textFill>
        </w:rPr>
        <w:fldChar w:fldCharType="end"/>
      </w:r>
    </w:p>
    <w:p>
      <w:pPr>
        <w:widowControl/>
        <w:spacing w:line="560" w:lineRule="exact"/>
        <w:ind w:right="-197" w:rightChars="-94" w:firstLine="560" w:firstLineChars="200"/>
        <w:jc w:val="left"/>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甲乙双方任何一方由于</w:t>
      </w:r>
      <w:r>
        <w:rPr>
          <w:highlight w:val="none"/>
        </w:rPr>
        <w:fldChar w:fldCharType="begin"/>
      </w:r>
      <w:r>
        <w:rPr>
          <w:highlight w:val="none"/>
        </w:rPr>
        <w:instrText xml:space="preserve"> HYPERLINK "http://set2.mail.qq.com/cgi-bin/mail_spam?action=check_link&amp;spam=0&amp;url=http%3A%2F%2Fwww%2Ebaidu%2Ecom%2Fs%3Fwd%3D%25E4%25B8%258D%25E5%258F%25AF%25E6%258A%2597%25E5%258A%259B%26hl_tag%3Dtextlink%26tn%3DSE_hldp01350_v6v6zkg6" </w:instrText>
      </w:r>
      <w:r>
        <w:rPr>
          <w:highlight w:val="none"/>
        </w:rPr>
        <w:fldChar w:fldCharType="separate"/>
      </w:r>
      <w:r>
        <w:rPr>
          <w:rFonts w:hint="eastAsia" w:ascii="宋体" w:hAnsi="宋体" w:cs="宋体"/>
          <w:color w:val="000000" w:themeColor="text1"/>
          <w:kern w:val="0"/>
          <w:sz w:val="28"/>
          <w:szCs w:val="28"/>
          <w:highlight w:val="none"/>
          <w14:textFill>
            <w14:solidFill>
              <w14:schemeClr w14:val="tx1"/>
            </w14:solidFill>
          </w14:textFill>
        </w:rPr>
        <w:t>不可抗力</w:t>
      </w:r>
      <w:r>
        <w:rPr>
          <w:rFonts w:hint="eastAsia" w:ascii="宋体" w:hAnsi="宋体" w:cs="宋体"/>
          <w:color w:val="000000" w:themeColor="text1"/>
          <w:kern w:val="0"/>
          <w:sz w:val="28"/>
          <w:szCs w:val="28"/>
          <w:highlight w:val="none"/>
          <w14:textFill>
            <w14:solidFill>
              <w14:schemeClr w14:val="tx1"/>
            </w14:solidFill>
          </w14:textFill>
        </w:rPr>
        <w:fldChar w:fldCharType="end"/>
      </w:r>
      <w:r>
        <w:rPr>
          <w:rFonts w:hint="eastAsia" w:ascii="宋体" w:hAnsi="宋体" w:cs="宋体"/>
          <w:color w:val="000000" w:themeColor="text1"/>
          <w:kern w:val="0"/>
          <w:sz w:val="28"/>
          <w:szCs w:val="28"/>
          <w:highlight w:val="none"/>
          <w14:textFill>
            <w14:solidFill>
              <w14:schemeClr w14:val="tx1"/>
            </w14:solidFill>
          </w14:textFill>
        </w:rPr>
        <w:t>原因不能履行合同时，应及时向对</w:t>
      </w:r>
      <w:r>
        <w:rPr>
          <w:highlight w:val="none"/>
        </w:rPr>
        <w:fldChar w:fldCharType="begin"/>
      </w:r>
      <w:r>
        <w:rPr>
          <w:highlight w:val="none"/>
        </w:rPr>
        <w:instrText xml:space="preserve"> HYPERLINK "http://set2.mail.qq.com/cgi-bin/mail_spam?action=check_link&amp;spam=0&amp;url=http%3A%2F%2Fwww%2Ebaidu%2Ecom%2Fs%3Fwd%3D%25E6%2596%25B9%25E9%2580%259A%26hl_tag%3Dtextlink%26tn%3DSE_hldp01350_v6v6zkg6" </w:instrText>
      </w:r>
      <w:r>
        <w:rPr>
          <w:highlight w:val="none"/>
        </w:rPr>
        <w:fldChar w:fldCharType="separate"/>
      </w:r>
      <w:r>
        <w:rPr>
          <w:rFonts w:hint="eastAsia" w:ascii="宋体" w:hAnsi="宋体" w:cs="宋体"/>
          <w:color w:val="000000" w:themeColor="text1"/>
          <w:kern w:val="0"/>
          <w:sz w:val="28"/>
          <w:szCs w:val="28"/>
          <w:highlight w:val="none"/>
          <w14:textFill>
            <w14:solidFill>
              <w14:schemeClr w14:val="tx1"/>
            </w14:solidFill>
          </w14:textFill>
        </w:rPr>
        <w:t>方通</w:t>
      </w:r>
      <w:r>
        <w:rPr>
          <w:rFonts w:hint="eastAsia" w:ascii="宋体" w:hAnsi="宋体" w:cs="宋体"/>
          <w:color w:val="000000" w:themeColor="text1"/>
          <w:kern w:val="0"/>
          <w:sz w:val="28"/>
          <w:szCs w:val="28"/>
          <w:highlight w:val="none"/>
          <w14:textFill>
            <w14:solidFill>
              <w14:schemeClr w14:val="tx1"/>
            </w14:solidFill>
          </w14:textFill>
        </w:rPr>
        <w:fldChar w:fldCharType="end"/>
      </w:r>
      <w:r>
        <w:rPr>
          <w:rFonts w:hint="eastAsia" w:ascii="宋体" w:hAnsi="宋体" w:cs="宋体"/>
          <w:color w:val="000000" w:themeColor="text1"/>
          <w:kern w:val="0"/>
          <w:sz w:val="28"/>
          <w:szCs w:val="28"/>
          <w:highlight w:val="none"/>
          <w14:textFill>
            <w14:solidFill>
              <w14:schemeClr w14:val="tx1"/>
            </w14:solidFill>
          </w14:textFill>
        </w:rPr>
        <w:t>报不能履行或不能完全履行的理由，以减轻可能给对方造成的损失，在取得有关机构证明后，允许延期履行、部分履行或不履行合同，并根据情况可部分或全部免予承担</w:t>
      </w:r>
      <w:r>
        <w:rPr>
          <w:highlight w:val="none"/>
        </w:rPr>
        <w:fldChar w:fldCharType="begin"/>
      </w:r>
      <w:r>
        <w:rPr>
          <w:highlight w:val="none"/>
        </w:rPr>
        <w:instrText xml:space="preserve"> HYPERLINK "http://set2.mail.qq.com/cgi-bin/mail_spam?action=check_link&amp;spam=0&amp;url=http%3A%2F%2Fwww%2Ebaidu%2Ecom%2Fs%3Fwd%3D%25E8%25BF%259D%25E7%25BA%25A6%25E8%25B4%25A3%25E4%25BB%25BB%26hl_tag%3Dtextlink%26tn%3DSE_hldp01350_v6v6zkg6" </w:instrText>
      </w:r>
      <w:r>
        <w:rPr>
          <w:highlight w:val="none"/>
        </w:rPr>
        <w:fldChar w:fldCharType="separate"/>
      </w:r>
      <w:r>
        <w:rPr>
          <w:rFonts w:hint="eastAsia" w:ascii="宋体" w:hAnsi="宋体" w:cs="宋体"/>
          <w:color w:val="000000" w:themeColor="text1"/>
          <w:kern w:val="0"/>
          <w:sz w:val="28"/>
          <w:szCs w:val="28"/>
          <w:highlight w:val="none"/>
          <w14:textFill>
            <w14:solidFill>
              <w14:schemeClr w14:val="tx1"/>
            </w14:solidFill>
          </w14:textFill>
        </w:rPr>
        <w:t>违约责任</w:t>
      </w:r>
      <w:r>
        <w:rPr>
          <w:rFonts w:hint="eastAsia" w:ascii="宋体" w:hAnsi="宋体" w:cs="宋体"/>
          <w:color w:val="000000" w:themeColor="text1"/>
          <w:kern w:val="0"/>
          <w:sz w:val="28"/>
          <w:szCs w:val="28"/>
          <w:highlight w:val="none"/>
          <w14:textFill>
            <w14:solidFill>
              <w14:schemeClr w14:val="tx1"/>
            </w14:solidFill>
          </w14:textFill>
        </w:rPr>
        <w:fldChar w:fldCharType="end"/>
      </w:r>
      <w:r>
        <w:rPr>
          <w:rFonts w:hint="eastAsia" w:ascii="宋体" w:hAnsi="宋体" w:cs="宋体"/>
          <w:color w:val="000000" w:themeColor="text1"/>
          <w:kern w:val="0"/>
          <w:sz w:val="28"/>
          <w:szCs w:val="28"/>
          <w:highlight w:val="none"/>
          <w14:textFill>
            <w14:solidFill>
              <w14:schemeClr w14:val="tx1"/>
            </w14:solidFill>
          </w14:textFill>
        </w:rPr>
        <w:t>。</w:t>
      </w:r>
    </w:p>
    <w:p>
      <w:pPr>
        <w:widowControl/>
        <w:spacing w:line="560" w:lineRule="exact"/>
        <w:ind w:right="-197" w:rightChars="-94"/>
        <w:jc w:val="left"/>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第八条  争议解决</w:t>
      </w:r>
    </w:p>
    <w:p>
      <w:pPr>
        <w:widowControl/>
        <w:spacing w:line="560" w:lineRule="exact"/>
        <w:ind w:right="-197" w:rightChars="-94" w:firstLine="560" w:firstLineChars="200"/>
        <w:jc w:val="left"/>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双方本着友好合作的态度,对合同履行过程中发生的</w:t>
      </w:r>
      <w:r>
        <w:rPr>
          <w:highlight w:val="none"/>
        </w:rPr>
        <w:fldChar w:fldCharType="begin"/>
      </w:r>
      <w:r>
        <w:rPr>
          <w:highlight w:val="none"/>
        </w:rPr>
        <w:instrText xml:space="preserve"> HYPERLINK "http://set2.mail.qq.com/cgi-bin/mail_spam?action=check_link&amp;spam=0&amp;url=http%3A%2F%2Fbaike%2Ebaidu%2Ecom%2Fview%2F322875%2Ehtm" </w:instrText>
      </w:r>
      <w:r>
        <w:rPr>
          <w:highlight w:val="none"/>
        </w:rPr>
        <w:fldChar w:fldCharType="separate"/>
      </w:r>
      <w:r>
        <w:rPr>
          <w:rFonts w:hint="eastAsia" w:ascii="宋体" w:hAnsi="宋体" w:cs="宋体"/>
          <w:color w:val="000000" w:themeColor="text1"/>
          <w:kern w:val="0"/>
          <w:sz w:val="28"/>
          <w:szCs w:val="28"/>
          <w:highlight w:val="none"/>
          <w14:textFill>
            <w14:solidFill>
              <w14:schemeClr w14:val="tx1"/>
            </w14:solidFill>
          </w14:textFill>
        </w:rPr>
        <w:t>纠纷</w:t>
      </w:r>
      <w:r>
        <w:rPr>
          <w:rFonts w:hint="eastAsia" w:ascii="宋体" w:hAnsi="宋体" w:cs="宋体"/>
          <w:color w:val="000000" w:themeColor="text1"/>
          <w:kern w:val="0"/>
          <w:sz w:val="28"/>
          <w:szCs w:val="28"/>
          <w:highlight w:val="none"/>
          <w14:textFill>
            <w14:solidFill>
              <w14:schemeClr w14:val="tx1"/>
            </w14:solidFill>
          </w14:textFill>
        </w:rPr>
        <w:fldChar w:fldCharType="end"/>
      </w:r>
      <w:r>
        <w:rPr>
          <w:rFonts w:hint="eastAsia" w:ascii="宋体" w:hAnsi="宋体" w:cs="宋体"/>
          <w:color w:val="000000" w:themeColor="text1"/>
          <w:kern w:val="0"/>
          <w:sz w:val="28"/>
          <w:szCs w:val="28"/>
          <w:highlight w:val="none"/>
          <w14:textFill>
            <w14:solidFill>
              <w14:schemeClr w14:val="tx1"/>
            </w14:solidFill>
          </w14:textFill>
        </w:rPr>
        <w:t>应及时协商解决,协商不成，向甲方所在地人民法院诉讼解决。</w:t>
      </w:r>
    </w:p>
    <w:p>
      <w:pPr>
        <w:widowControl/>
        <w:spacing w:line="560" w:lineRule="exact"/>
        <w:ind w:right="-197" w:rightChars="-94"/>
        <w:jc w:val="left"/>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第九条  监督和管理</w:t>
      </w:r>
    </w:p>
    <w:p>
      <w:pPr>
        <w:widowControl/>
        <w:spacing w:line="560" w:lineRule="exact"/>
        <w:ind w:right="-197" w:rightChars="-94" w:firstLine="560" w:firstLineChars="200"/>
        <w:jc w:val="left"/>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甲乙双方均应自觉配合有关监督管理部门对合同履行情况的监督检查，如实反映情况，提供有关资料；否则，将对有关单位、当事人按照有关规定予以处罚。</w:t>
      </w:r>
    </w:p>
    <w:p>
      <w:pPr>
        <w:widowControl/>
        <w:spacing w:line="560" w:lineRule="exact"/>
        <w:ind w:right="-197" w:rightChars="-94"/>
        <w:jc w:val="left"/>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 xml:space="preserve">第十条  </w:t>
      </w:r>
      <w:r>
        <w:rPr>
          <w:highlight w:val="none"/>
        </w:rPr>
        <w:fldChar w:fldCharType="begin"/>
      </w:r>
      <w:r>
        <w:rPr>
          <w:highlight w:val="none"/>
        </w:rPr>
        <w:instrText xml:space="preserve"> HYPERLINK "http://set2.mail.qq.com/cgi-bin/mail_spam?action=check_link&amp;spam=0&amp;url=http%3A%2F%2Fwww%2Ebaidu%2Ecom%2Fs%3Fwd%3D%25E6%2597%25A0%25E6%2595%2588%25E5%2590%2588%25E5%2590%258C%26hl_tag%3Dtextlink%26tn%3DSE_hldp01350_v6v6zkg6" </w:instrText>
      </w:r>
      <w:r>
        <w:rPr>
          <w:highlight w:val="none"/>
        </w:rPr>
        <w:fldChar w:fldCharType="separate"/>
      </w:r>
      <w:r>
        <w:rPr>
          <w:rFonts w:hint="eastAsia" w:ascii="宋体" w:hAnsi="宋体" w:cs="宋体"/>
          <w:b/>
          <w:bCs/>
          <w:color w:val="000000" w:themeColor="text1"/>
          <w:kern w:val="0"/>
          <w:sz w:val="28"/>
          <w:szCs w:val="28"/>
          <w:highlight w:val="none"/>
          <w14:textFill>
            <w14:solidFill>
              <w14:schemeClr w14:val="tx1"/>
            </w14:solidFill>
          </w14:textFill>
        </w:rPr>
        <w:t>无效合同</w:t>
      </w:r>
      <w:r>
        <w:rPr>
          <w:rFonts w:hint="eastAsia" w:ascii="宋体" w:hAnsi="宋体" w:cs="宋体"/>
          <w:b/>
          <w:bCs/>
          <w:color w:val="000000" w:themeColor="text1"/>
          <w:kern w:val="0"/>
          <w:sz w:val="28"/>
          <w:szCs w:val="28"/>
          <w:highlight w:val="none"/>
          <w14:textFill>
            <w14:solidFill>
              <w14:schemeClr w14:val="tx1"/>
            </w14:solidFill>
          </w14:textFill>
        </w:rPr>
        <w:fldChar w:fldCharType="end"/>
      </w:r>
    </w:p>
    <w:p>
      <w:pPr>
        <w:widowControl/>
        <w:spacing w:line="560" w:lineRule="exact"/>
        <w:ind w:right="-197" w:rightChars="-94" w:firstLine="560" w:firstLineChars="200"/>
        <w:jc w:val="left"/>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甲乙双方如因违反政府采购法及相关法律法规的规定，被宣告</w:t>
      </w:r>
      <w:r>
        <w:rPr>
          <w:highlight w:val="none"/>
        </w:rPr>
        <w:fldChar w:fldCharType="begin"/>
      </w:r>
      <w:r>
        <w:rPr>
          <w:highlight w:val="none"/>
        </w:rPr>
        <w:instrText xml:space="preserve"> HYPERLINK "http://set2.mail.qq.com/cgi-bin/mail_spam?action=check_link&amp;spam=0&amp;url=http%3A%2F%2Fwww%2Ebaidu%2Ecom%2Fs%3Fwd%3D%25E5%2590%2588%25E5%2590%258C%25E6%2597%25A0%25E6%2595%2588%26hl_tag%3Dtextlink%26tn%3DSE_hldp01350_v6v6zkg6" </w:instrText>
      </w:r>
      <w:r>
        <w:rPr>
          <w:highlight w:val="none"/>
        </w:rPr>
        <w:fldChar w:fldCharType="separate"/>
      </w:r>
      <w:r>
        <w:rPr>
          <w:rFonts w:hint="eastAsia" w:ascii="宋体" w:hAnsi="宋体" w:cs="宋体"/>
          <w:color w:val="000000" w:themeColor="text1"/>
          <w:kern w:val="0"/>
          <w:sz w:val="28"/>
          <w:szCs w:val="28"/>
          <w:highlight w:val="none"/>
          <w14:textFill>
            <w14:solidFill>
              <w14:schemeClr w14:val="tx1"/>
            </w14:solidFill>
          </w14:textFill>
        </w:rPr>
        <w:t>合同无效</w:t>
      </w:r>
      <w:r>
        <w:rPr>
          <w:rFonts w:hint="eastAsia" w:ascii="宋体" w:hAnsi="宋体" w:cs="宋体"/>
          <w:color w:val="000000" w:themeColor="text1"/>
          <w:kern w:val="0"/>
          <w:sz w:val="28"/>
          <w:szCs w:val="28"/>
          <w:highlight w:val="none"/>
          <w14:textFill>
            <w14:solidFill>
              <w14:schemeClr w14:val="tx1"/>
            </w14:solidFill>
          </w14:textFill>
        </w:rPr>
        <w:fldChar w:fldCharType="end"/>
      </w:r>
      <w:r>
        <w:rPr>
          <w:rFonts w:hint="eastAsia" w:ascii="宋体" w:hAnsi="宋体" w:cs="宋体"/>
          <w:color w:val="000000" w:themeColor="text1"/>
          <w:kern w:val="0"/>
          <w:sz w:val="28"/>
          <w:szCs w:val="28"/>
          <w:highlight w:val="none"/>
          <w14:textFill>
            <w14:solidFill>
              <w14:schemeClr w14:val="tx1"/>
            </w14:solidFill>
          </w14:textFill>
        </w:rPr>
        <w:t>的，一切责任概由过错方自行承担。</w:t>
      </w:r>
    </w:p>
    <w:p>
      <w:pPr>
        <w:widowControl/>
        <w:spacing w:line="560" w:lineRule="exact"/>
        <w:ind w:right="-197" w:rightChars="-94"/>
        <w:jc w:val="left"/>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第十一条  附则</w:t>
      </w:r>
    </w:p>
    <w:p>
      <w:pPr>
        <w:pStyle w:val="36"/>
        <w:spacing w:before="0" w:beforeAutospacing="0" w:after="0" w:afterAutospacing="0" w:line="560" w:lineRule="exact"/>
        <w:ind w:firstLine="560" w:firstLineChars="200"/>
        <w:rPr>
          <w:rFonts w:cs="宋体"/>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14:textFill>
            <w14:solidFill>
              <w14:schemeClr w14:val="tx1"/>
            </w14:solidFill>
          </w14:textFill>
        </w:rPr>
        <w:t>1、</w:t>
      </w:r>
      <w:r>
        <w:rPr>
          <w:rFonts w:hint="eastAsia" w:cs="宋体"/>
          <w:color w:val="000000" w:themeColor="text1"/>
          <w:sz w:val="28"/>
          <w:szCs w:val="28"/>
          <w:highlight w:val="none"/>
          <w:u w:val="single"/>
          <w14:textFill>
            <w14:solidFill>
              <w14:schemeClr w14:val="tx1"/>
            </w14:solidFill>
          </w14:textFill>
        </w:rPr>
        <w:t></w:t>
      </w:r>
      <w:r>
        <w:rPr>
          <w:rFonts w:hint="eastAsia" w:cs="宋体"/>
          <w:color w:val="000000" w:themeColor="text1"/>
          <w:sz w:val="28"/>
          <w:szCs w:val="28"/>
          <w:highlight w:val="none"/>
          <w14:textFill>
            <w14:solidFill>
              <w14:schemeClr w14:val="tx1"/>
            </w14:solidFill>
          </w14:textFill>
        </w:rPr>
        <w:t>项目（项目编号：</w:t>
      </w:r>
      <w:r>
        <w:rPr>
          <w:rFonts w:hint="eastAsia" w:cs="宋体"/>
          <w:color w:val="000000" w:themeColor="text1"/>
          <w:sz w:val="28"/>
          <w:szCs w:val="28"/>
          <w:highlight w:val="none"/>
          <w:u w:val="single"/>
          <w14:textFill>
            <w14:solidFill>
              <w14:schemeClr w14:val="tx1"/>
            </w14:solidFill>
          </w14:textFill>
        </w:rPr>
        <w:t></w:t>
      </w:r>
      <w:r>
        <w:rPr>
          <w:rFonts w:hint="eastAsia" w:cs="宋体"/>
          <w:color w:val="000000" w:themeColor="text1"/>
          <w:sz w:val="28"/>
          <w:szCs w:val="28"/>
          <w:highlight w:val="none"/>
          <w14:textFill>
            <w14:solidFill>
              <w14:schemeClr w14:val="tx1"/>
            </w14:solidFill>
          </w14:textFill>
        </w:rPr>
        <w:t>）的</w:t>
      </w:r>
      <w:r>
        <w:rPr>
          <w:highlight w:val="none"/>
        </w:rPr>
        <w:fldChar w:fldCharType="begin"/>
      </w:r>
      <w:r>
        <w:rPr>
          <w:highlight w:val="none"/>
        </w:rPr>
        <w:instrText xml:space="preserve"> HYPERLINK "http://set2.mail.qq.com/cgi-bin/mail_spam?action=check_link&amp;spam=0&amp;url=http%3A%2F%2Fwww%2Ebaidu%2Ecom%2Fs%3Fwd%3D%25E6%258B%259B%25E6%25A0%2587%25E6%2596%2587%25E4%25BB%25B6%26hl_tag%3Dtextlink%26tn%3DSE_hldp01350_v6v6zkg6" </w:instrText>
      </w:r>
      <w:r>
        <w:rPr>
          <w:highlight w:val="none"/>
        </w:rPr>
        <w:fldChar w:fldCharType="separate"/>
      </w:r>
      <w:r>
        <w:rPr>
          <w:rFonts w:hint="eastAsia" w:cs="宋体"/>
          <w:color w:val="000000" w:themeColor="text1"/>
          <w:sz w:val="28"/>
          <w:szCs w:val="28"/>
          <w:highlight w:val="none"/>
          <w14:textFill>
            <w14:solidFill>
              <w14:schemeClr w14:val="tx1"/>
            </w14:solidFill>
          </w14:textFill>
        </w:rPr>
        <w:t>招标文件</w:t>
      </w:r>
      <w:r>
        <w:rPr>
          <w:rFonts w:hint="eastAsia" w:cs="宋体"/>
          <w:color w:val="000000" w:themeColor="text1"/>
          <w:sz w:val="28"/>
          <w:szCs w:val="28"/>
          <w:highlight w:val="none"/>
          <w14:textFill>
            <w14:solidFill>
              <w14:schemeClr w14:val="tx1"/>
            </w14:solidFill>
          </w14:textFill>
        </w:rPr>
        <w:fldChar w:fldCharType="end"/>
      </w:r>
      <w:r>
        <w:rPr>
          <w:rFonts w:hint="eastAsia" w:cs="宋体"/>
          <w:color w:val="000000" w:themeColor="text1"/>
          <w:sz w:val="28"/>
          <w:szCs w:val="28"/>
          <w:highlight w:val="none"/>
          <w14:textFill>
            <w14:solidFill>
              <w14:schemeClr w14:val="tx1"/>
            </w14:solidFill>
          </w14:textFill>
        </w:rPr>
        <w:t>、</w:t>
      </w:r>
      <w:r>
        <w:rPr>
          <w:rFonts w:hint="eastAsia" w:cs="宋体"/>
          <w:color w:val="000000" w:themeColor="text1"/>
          <w:sz w:val="28"/>
          <w:szCs w:val="28"/>
          <w:highlight w:val="none"/>
          <w:lang w:val="en-US" w:eastAsia="zh-CN"/>
          <w14:textFill>
            <w14:solidFill>
              <w14:schemeClr w14:val="tx1"/>
            </w14:solidFill>
          </w14:textFill>
        </w:rPr>
        <w:t>中标</w:t>
      </w:r>
      <w:r>
        <w:rPr>
          <w:rFonts w:hint="eastAsia" w:cs="宋体"/>
          <w:color w:val="000000" w:themeColor="text1"/>
          <w:sz w:val="28"/>
          <w:szCs w:val="28"/>
          <w:highlight w:val="none"/>
          <w14:textFill>
            <w14:solidFill>
              <w14:schemeClr w14:val="tx1"/>
            </w14:solidFill>
          </w14:textFill>
        </w:rPr>
        <w:t>通知书、乙方</w:t>
      </w:r>
      <w:r>
        <w:rPr>
          <w:rFonts w:hint="eastAsia" w:cs="宋体"/>
          <w:color w:val="000000" w:themeColor="text1"/>
          <w:sz w:val="28"/>
          <w:szCs w:val="28"/>
          <w:highlight w:val="none"/>
          <w:lang w:val="en-US" w:eastAsia="zh-CN"/>
          <w14:textFill>
            <w14:solidFill>
              <w14:schemeClr w14:val="tx1"/>
            </w14:solidFill>
          </w14:textFill>
        </w:rPr>
        <w:t>投标</w:t>
      </w:r>
      <w:r>
        <w:rPr>
          <w:rFonts w:hint="eastAsia" w:cs="宋体"/>
          <w:color w:val="000000" w:themeColor="text1"/>
          <w:sz w:val="28"/>
          <w:szCs w:val="28"/>
          <w:highlight w:val="none"/>
          <w14:textFill>
            <w14:solidFill>
              <w14:schemeClr w14:val="tx1"/>
            </w14:solidFill>
          </w14:textFill>
        </w:rPr>
        <w:t>文件及澄清说明文件都是本合同的组成部分，甲、乙双方必须全面遵守，如有违反，应承担违约责任。</w:t>
      </w:r>
    </w:p>
    <w:p>
      <w:pPr>
        <w:pStyle w:val="120"/>
        <w:widowControl/>
        <w:spacing w:line="560" w:lineRule="exact"/>
        <w:ind w:firstLine="560"/>
        <w:rPr>
          <w:rFonts w:hint="default" w:hAnsi="宋体" w:eastAsia="宋体"/>
          <w:color w:val="000000" w:themeColor="text1"/>
          <w:szCs w:val="28"/>
          <w:highlight w:val="none"/>
          <w14:textFill>
            <w14:solidFill>
              <w14:schemeClr w14:val="tx1"/>
            </w14:solidFill>
          </w14:textFill>
        </w:rPr>
      </w:pPr>
      <w:r>
        <w:rPr>
          <w:rFonts w:hAnsi="宋体" w:eastAsia="宋体"/>
          <w:color w:val="000000" w:themeColor="text1"/>
          <w:szCs w:val="28"/>
          <w:highlight w:val="none"/>
          <w14:textFill>
            <w14:solidFill>
              <w14:schemeClr w14:val="tx1"/>
            </w14:solidFill>
          </w14:textFill>
        </w:rPr>
        <w:t>2、本合同未尽事宜，双方共同协商达成补充协议，补充协议和附件与本合同具有同等法律效力。</w:t>
      </w:r>
    </w:p>
    <w:p>
      <w:pPr>
        <w:pStyle w:val="120"/>
        <w:widowControl/>
        <w:spacing w:line="560" w:lineRule="exact"/>
        <w:ind w:firstLine="560"/>
        <w:rPr>
          <w:rFonts w:hint="default" w:hAnsi="宋体" w:eastAsia="宋体"/>
          <w:color w:val="000000" w:themeColor="text1"/>
          <w:szCs w:val="28"/>
          <w:highlight w:val="none"/>
          <w14:textFill>
            <w14:solidFill>
              <w14:schemeClr w14:val="tx1"/>
            </w14:solidFill>
          </w14:textFill>
        </w:rPr>
      </w:pPr>
      <w:r>
        <w:rPr>
          <w:rFonts w:hAnsi="宋体" w:eastAsia="宋体"/>
          <w:color w:val="000000" w:themeColor="text1"/>
          <w:szCs w:val="28"/>
          <w:highlight w:val="none"/>
          <w14:textFill>
            <w14:solidFill>
              <w14:schemeClr w14:val="tx1"/>
            </w14:solidFill>
          </w14:textFill>
        </w:rPr>
        <w:t>3、本合同一式五份,甲乙双方各执二份</w:t>
      </w:r>
      <w:r>
        <w:rPr>
          <w:rFonts w:hAnsi="宋体" w:eastAsia="宋体"/>
          <w:color w:val="000000" w:themeColor="text1"/>
          <w:kern w:val="2"/>
          <w:szCs w:val="28"/>
          <w:highlight w:val="none"/>
          <w14:textFill>
            <w14:solidFill>
              <w14:schemeClr w14:val="tx1"/>
            </w14:solidFill>
          </w14:textFill>
        </w:rPr>
        <w:t>,政府采购代理机构一份。</w:t>
      </w:r>
    </w:p>
    <w:p>
      <w:pPr>
        <w:pStyle w:val="120"/>
        <w:widowControl/>
        <w:spacing w:line="560" w:lineRule="exact"/>
        <w:ind w:firstLine="560"/>
        <w:rPr>
          <w:rFonts w:hint="default" w:hAnsi="宋体" w:eastAsia="宋体"/>
          <w:color w:val="000000" w:themeColor="text1"/>
          <w:szCs w:val="28"/>
          <w:highlight w:val="none"/>
          <w14:textFill>
            <w14:solidFill>
              <w14:schemeClr w14:val="tx1"/>
            </w14:solidFill>
          </w14:textFill>
        </w:rPr>
      </w:pPr>
      <w:r>
        <w:rPr>
          <w:rFonts w:hAnsi="宋体" w:eastAsia="宋体"/>
          <w:color w:val="000000" w:themeColor="text1"/>
          <w:szCs w:val="28"/>
          <w:highlight w:val="none"/>
          <w14:textFill>
            <w14:solidFill>
              <w14:schemeClr w14:val="tx1"/>
            </w14:solidFill>
          </w14:textFill>
        </w:rPr>
        <w:t>4、本合同自签订之日起生效。</w:t>
      </w:r>
    </w:p>
    <w:p>
      <w:pPr>
        <w:pStyle w:val="120"/>
        <w:widowControl/>
        <w:spacing w:line="560" w:lineRule="exact"/>
        <w:ind w:firstLine="560"/>
        <w:rPr>
          <w:rFonts w:hint="default" w:hAnsi="宋体" w:eastAsia="宋体"/>
          <w:color w:val="000000" w:themeColor="text1"/>
          <w:kern w:val="2"/>
          <w:szCs w:val="28"/>
          <w:highlight w:val="none"/>
          <w14:textFill>
            <w14:solidFill>
              <w14:schemeClr w14:val="tx1"/>
            </w14:solidFill>
          </w14:textFill>
        </w:rPr>
      </w:pPr>
      <w:r>
        <w:rPr>
          <w:rFonts w:hAnsi="宋体" w:eastAsia="宋体"/>
          <w:color w:val="000000" w:themeColor="text1"/>
          <w:kern w:val="2"/>
          <w:szCs w:val="28"/>
          <w:highlight w:val="none"/>
          <w14:textFill>
            <w14:solidFill>
              <w14:schemeClr w14:val="tx1"/>
            </w14:solidFill>
          </w14:textFill>
        </w:rPr>
        <w:t>5、附件：</w:t>
      </w:r>
    </w:p>
    <w:p>
      <w:pPr>
        <w:rPr>
          <w:rFonts w:hint="eastAsia"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br w:type="page"/>
      </w:r>
    </w:p>
    <w:p>
      <w:pPr>
        <w:widowControl/>
        <w:spacing w:line="560" w:lineRule="exact"/>
        <w:ind w:left="0" w:leftChars="0" w:firstLine="420" w:firstLineChars="150"/>
        <w:jc w:val="left"/>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采购人(甲方)：</w:t>
      </w:r>
      <w:r>
        <w:rPr>
          <w:rFonts w:hint="eastAsia" w:ascii="宋体" w:hAnsi="宋体" w:cs="宋体"/>
          <w:color w:val="000000" w:themeColor="text1"/>
          <w:kern w:val="0"/>
          <w:sz w:val="28"/>
          <w:szCs w:val="28"/>
          <w:highlight w:val="none"/>
          <w:u w:val="single"/>
          <w14:textFill>
            <w14:solidFill>
              <w14:schemeClr w14:val="tx1"/>
            </w14:solidFill>
          </w14:textFill>
        </w:rPr>
        <w:t></w:t>
      </w:r>
      <w:r>
        <w:rPr>
          <w:rFonts w:hint="eastAsia" w:ascii="宋体" w:hAnsi="宋体" w:cs="宋体"/>
          <w:color w:val="000000" w:themeColor="text1"/>
          <w:kern w:val="0"/>
          <w:sz w:val="28"/>
          <w:szCs w:val="28"/>
          <w:highlight w:val="none"/>
          <w14:textFill>
            <w14:solidFill>
              <w14:schemeClr w14:val="tx1"/>
            </w14:solidFill>
          </w14:textFill>
        </w:rPr>
        <w:t>供应商(乙方)：</w:t>
      </w:r>
      <w:r>
        <w:rPr>
          <w:rFonts w:hint="eastAsia" w:ascii="宋体" w:hAnsi="宋体" w:cs="宋体"/>
          <w:color w:val="000000" w:themeColor="text1"/>
          <w:kern w:val="0"/>
          <w:sz w:val="28"/>
          <w:szCs w:val="28"/>
          <w:highlight w:val="none"/>
          <w:u w:val="single" w:color="000000"/>
          <w14:textFill>
            <w14:solidFill>
              <w14:schemeClr w14:val="tx1"/>
            </w14:solidFill>
          </w14:textFill>
        </w:rPr>
        <w:t></w:t>
      </w:r>
    </w:p>
    <w:p>
      <w:pPr>
        <w:widowControl/>
        <w:spacing w:line="560" w:lineRule="exact"/>
        <w:ind w:firstLine="420" w:firstLineChars="200"/>
        <w:jc w:val="left"/>
        <w:rPr>
          <w:rFonts w:ascii="宋体" w:hAnsi="宋体" w:cs="宋体"/>
          <w:color w:val="000000" w:themeColor="text1"/>
          <w:kern w:val="0"/>
          <w:sz w:val="28"/>
          <w:szCs w:val="28"/>
          <w:highlight w:val="none"/>
          <w14:textFill>
            <w14:solidFill>
              <w14:schemeClr w14:val="tx1"/>
            </w14:solidFill>
          </w14:textFill>
        </w:rPr>
      </w:pPr>
      <w:r>
        <w:rPr>
          <w:highlight w:val="none"/>
        </w:rPr>
        <w:fldChar w:fldCharType="begin"/>
      </w:r>
      <w:r>
        <w:rPr>
          <w:highlight w:val="none"/>
        </w:rPr>
        <w:instrText xml:space="preserve"> HYPERLINK "http://set2.mail.qq.com/cgi-bin/mail_spam?action=check_link&amp;spam=0&amp;url=http%3A%2F%2Fwww%2Ebaidu%2Ecom%2Fs%3Fwd%3D%25E6%25B3%2595%25E5%25AE%259A%25E4%25BB%25A3%25E8%25A1%25A8%25E4%25BA%25BA%26hl_tag%3Dtextlink%26tn%3DSE_hldp01350_v6v6zkg6" </w:instrText>
      </w:r>
      <w:r>
        <w:rPr>
          <w:highlight w:val="none"/>
        </w:rPr>
        <w:fldChar w:fldCharType="separate"/>
      </w:r>
      <w:r>
        <w:rPr>
          <w:rFonts w:hint="eastAsia" w:ascii="宋体" w:hAnsi="宋体" w:cs="宋体"/>
          <w:color w:val="000000" w:themeColor="text1"/>
          <w:kern w:val="0"/>
          <w:sz w:val="28"/>
          <w:szCs w:val="28"/>
          <w:highlight w:val="none"/>
          <w14:textFill>
            <w14:solidFill>
              <w14:schemeClr w14:val="tx1"/>
            </w14:solidFill>
          </w14:textFill>
        </w:rPr>
        <w:t>法定代表人</w:t>
      </w:r>
      <w:r>
        <w:rPr>
          <w:rFonts w:hint="eastAsia" w:ascii="宋体" w:hAnsi="宋体" w:cs="宋体"/>
          <w:color w:val="000000" w:themeColor="text1"/>
          <w:kern w:val="0"/>
          <w:sz w:val="28"/>
          <w:szCs w:val="28"/>
          <w:highlight w:val="none"/>
          <w14:textFill>
            <w14:solidFill>
              <w14:schemeClr w14:val="tx1"/>
            </w14:solidFill>
          </w14:textFill>
        </w:rPr>
        <w:fldChar w:fldCharType="end"/>
      </w:r>
      <w:r>
        <w:rPr>
          <w:rFonts w:hint="eastAsia" w:ascii="宋体" w:hAnsi="宋体" w:cs="宋体"/>
          <w:color w:val="000000" w:themeColor="text1"/>
          <w:kern w:val="0"/>
          <w:sz w:val="28"/>
          <w:szCs w:val="28"/>
          <w:highlight w:val="none"/>
          <w14:textFill>
            <w14:solidFill>
              <w14:schemeClr w14:val="tx1"/>
            </w14:solidFill>
          </w14:textFill>
        </w:rPr>
        <w:t>：</w:t>
      </w:r>
      <w:r>
        <w:rPr>
          <w:rFonts w:hint="eastAsia" w:ascii="宋体" w:hAnsi="宋体" w:cs="宋体"/>
          <w:color w:val="000000" w:themeColor="text1"/>
          <w:kern w:val="0"/>
          <w:sz w:val="28"/>
          <w:szCs w:val="28"/>
          <w:highlight w:val="none"/>
          <w:u w:val="single"/>
          <w14:textFill>
            <w14:solidFill>
              <w14:schemeClr w14:val="tx1"/>
            </w14:solidFill>
          </w14:textFill>
        </w:rPr>
        <w:t></w:t>
      </w:r>
      <w:r>
        <w:rPr>
          <w:highlight w:val="none"/>
        </w:rPr>
        <w:fldChar w:fldCharType="begin"/>
      </w:r>
      <w:r>
        <w:rPr>
          <w:highlight w:val="none"/>
        </w:rPr>
        <w:instrText xml:space="preserve"> HYPERLINK "http://set2.mail.qq.com/cgi-bin/mail_spam?action=check_link&amp;spam=0&amp;url=http%3A%2F%2Fwww%2Ebaidu%2Ecom%2Fs%3Fwd%3D%25E6%25B3%2595%25E5%25AE%259A%25E4%25BB%25A3%25E8%25A1%25A8%25E4%25BA%25BA%26hl_tag%3Dtextlink%26tn%3DSE_hldp01350_v6v6zkg6" </w:instrText>
      </w:r>
      <w:r>
        <w:rPr>
          <w:highlight w:val="none"/>
        </w:rPr>
        <w:fldChar w:fldCharType="separate"/>
      </w:r>
      <w:r>
        <w:rPr>
          <w:rFonts w:hint="eastAsia" w:ascii="宋体" w:hAnsi="宋体" w:cs="宋体"/>
          <w:color w:val="000000" w:themeColor="text1"/>
          <w:kern w:val="0"/>
          <w:sz w:val="28"/>
          <w:szCs w:val="28"/>
          <w:highlight w:val="none"/>
          <w14:textFill>
            <w14:solidFill>
              <w14:schemeClr w14:val="tx1"/>
            </w14:solidFill>
          </w14:textFill>
        </w:rPr>
        <w:t>法定代表人</w:t>
      </w:r>
      <w:r>
        <w:rPr>
          <w:rFonts w:hint="eastAsia" w:ascii="宋体" w:hAnsi="宋体" w:cs="宋体"/>
          <w:color w:val="000000" w:themeColor="text1"/>
          <w:kern w:val="0"/>
          <w:sz w:val="28"/>
          <w:szCs w:val="28"/>
          <w:highlight w:val="none"/>
          <w14:textFill>
            <w14:solidFill>
              <w14:schemeClr w14:val="tx1"/>
            </w14:solidFill>
          </w14:textFill>
        </w:rPr>
        <w:fldChar w:fldCharType="end"/>
      </w:r>
      <w:r>
        <w:rPr>
          <w:rFonts w:hint="eastAsia" w:ascii="宋体" w:hAnsi="宋体" w:cs="宋体"/>
          <w:color w:val="000000" w:themeColor="text1"/>
          <w:kern w:val="0"/>
          <w:sz w:val="28"/>
          <w:szCs w:val="28"/>
          <w:highlight w:val="none"/>
          <w14:textFill>
            <w14:solidFill>
              <w14:schemeClr w14:val="tx1"/>
            </w14:solidFill>
          </w14:textFill>
        </w:rPr>
        <w:t>：</w:t>
      </w:r>
      <w:r>
        <w:rPr>
          <w:rFonts w:hint="eastAsia" w:ascii="宋体" w:hAnsi="宋体" w:cs="宋体"/>
          <w:color w:val="000000" w:themeColor="text1"/>
          <w:kern w:val="0"/>
          <w:sz w:val="28"/>
          <w:szCs w:val="28"/>
          <w:highlight w:val="none"/>
          <w:u w:val="single"/>
          <w14:textFill>
            <w14:solidFill>
              <w14:schemeClr w14:val="tx1"/>
            </w14:solidFill>
          </w14:textFill>
        </w:rPr>
        <w:t></w:t>
      </w:r>
    </w:p>
    <w:p>
      <w:pPr>
        <w:widowControl/>
        <w:spacing w:line="560" w:lineRule="exact"/>
        <w:ind w:firstLine="420" w:firstLineChars="200"/>
        <w:jc w:val="left"/>
        <w:rPr>
          <w:rFonts w:ascii="宋体" w:hAnsi="宋体" w:cs="宋体"/>
          <w:color w:val="000000" w:themeColor="text1"/>
          <w:kern w:val="0"/>
          <w:sz w:val="28"/>
          <w:szCs w:val="28"/>
          <w:highlight w:val="none"/>
          <w14:textFill>
            <w14:solidFill>
              <w14:schemeClr w14:val="tx1"/>
            </w14:solidFill>
          </w14:textFill>
        </w:rPr>
      </w:pPr>
      <w:r>
        <w:rPr>
          <w:highlight w:val="none"/>
        </w:rPr>
        <w:fldChar w:fldCharType="begin"/>
      </w:r>
      <w:r>
        <w:rPr>
          <w:highlight w:val="none"/>
        </w:rPr>
        <w:instrText xml:space="preserve"> HYPERLINK "http://set2.mail.qq.com/cgi-bin/mail_spam?action=check_link&amp;spam=0&amp;url=http%3A%2F%2Fwww%2Ebaidu%2Ecom%2Fs%3Fwd%3D%25E5%25A7%2594%25E6%2589%2598%25E4%25BB%25A3%25E7%2590%2586%25E4%25BA%25BA%26hl_tag%3Dtextlink%26tn%3DSE_hldp01350_v6v6zkg6" </w:instrText>
      </w:r>
      <w:r>
        <w:rPr>
          <w:highlight w:val="none"/>
        </w:rPr>
        <w:fldChar w:fldCharType="separate"/>
      </w:r>
      <w:r>
        <w:rPr>
          <w:rFonts w:hint="eastAsia" w:ascii="宋体" w:hAnsi="宋体" w:cs="宋体"/>
          <w:color w:val="000000" w:themeColor="text1"/>
          <w:kern w:val="0"/>
          <w:sz w:val="28"/>
          <w:szCs w:val="28"/>
          <w:highlight w:val="none"/>
          <w14:textFill>
            <w14:solidFill>
              <w14:schemeClr w14:val="tx1"/>
            </w14:solidFill>
          </w14:textFill>
        </w:rPr>
        <w:t>委托代理人</w:t>
      </w:r>
      <w:r>
        <w:rPr>
          <w:rFonts w:hint="eastAsia" w:ascii="宋体" w:hAnsi="宋体" w:cs="宋体"/>
          <w:color w:val="000000" w:themeColor="text1"/>
          <w:kern w:val="0"/>
          <w:sz w:val="28"/>
          <w:szCs w:val="28"/>
          <w:highlight w:val="none"/>
          <w14:textFill>
            <w14:solidFill>
              <w14:schemeClr w14:val="tx1"/>
            </w14:solidFill>
          </w14:textFill>
        </w:rPr>
        <w:fldChar w:fldCharType="end"/>
      </w:r>
      <w:r>
        <w:rPr>
          <w:rFonts w:hint="eastAsia" w:ascii="宋体" w:hAnsi="宋体" w:cs="宋体"/>
          <w:color w:val="000000" w:themeColor="text1"/>
          <w:kern w:val="0"/>
          <w:sz w:val="28"/>
          <w:szCs w:val="28"/>
          <w:highlight w:val="none"/>
          <w14:textFill>
            <w14:solidFill>
              <w14:schemeClr w14:val="tx1"/>
            </w14:solidFill>
          </w14:textFill>
        </w:rPr>
        <w:t>：</w:t>
      </w:r>
      <w:r>
        <w:rPr>
          <w:rFonts w:hint="eastAsia" w:ascii="宋体" w:hAnsi="宋体" w:cs="宋体"/>
          <w:color w:val="000000" w:themeColor="text1"/>
          <w:kern w:val="0"/>
          <w:sz w:val="28"/>
          <w:szCs w:val="28"/>
          <w:highlight w:val="none"/>
          <w:u w:val="single"/>
          <w14:textFill>
            <w14:solidFill>
              <w14:schemeClr w14:val="tx1"/>
            </w14:solidFill>
          </w14:textFill>
        </w:rPr>
        <w:t></w:t>
      </w:r>
      <w:r>
        <w:rPr>
          <w:highlight w:val="none"/>
        </w:rPr>
        <w:fldChar w:fldCharType="begin"/>
      </w:r>
      <w:r>
        <w:rPr>
          <w:highlight w:val="none"/>
        </w:rPr>
        <w:instrText xml:space="preserve"> HYPERLINK "http://set2.mail.qq.com/cgi-bin/mail_spam?action=check_link&amp;spam=0&amp;url=http%3A%2F%2Fwww%2Ebaidu%2Ecom%2Fs%3Fwd%3D%25E5%25A7%2594%25E6%2589%2598%25E4%25BB%25A3%25E7%2590%2586%25E4%25BA%25BA%26hl_tag%3Dtextlink%26tn%3DSE_hldp01350_v6v6zkg6" </w:instrText>
      </w:r>
      <w:r>
        <w:rPr>
          <w:highlight w:val="none"/>
        </w:rPr>
        <w:fldChar w:fldCharType="separate"/>
      </w:r>
      <w:r>
        <w:rPr>
          <w:rFonts w:hint="eastAsia" w:ascii="宋体" w:hAnsi="宋体" w:cs="宋体"/>
          <w:color w:val="000000" w:themeColor="text1"/>
          <w:kern w:val="0"/>
          <w:sz w:val="28"/>
          <w:szCs w:val="28"/>
          <w:highlight w:val="none"/>
          <w14:textFill>
            <w14:solidFill>
              <w14:schemeClr w14:val="tx1"/>
            </w14:solidFill>
          </w14:textFill>
        </w:rPr>
        <w:t>委托代理人</w:t>
      </w:r>
      <w:r>
        <w:rPr>
          <w:rFonts w:hint="eastAsia" w:ascii="宋体" w:hAnsi="宋体" w:cs="宋体"/>
          <w:color w:val="000000" w:themeColor="text1"/>
          <w:kern w:val="0"/>
          <w:sz w:val="28"/>
          <w:szCs w:val="28"/>
          <w:highlight w:val="none"/>
          <w14:textFill>
            <w14:solidFill>
              <w14:schemeClr w14:val="tx1"/>
            </w14:solidFill>
          </w14:textFill>
        </w:rPr>
        <w:fldChar w:fldCharType="end"/>
      </w:r>
      <w:r>
        <w:rPr>
          <w:rFonts w:hint="eastAsia" w:ascii="宋体" w:hAnsi="宋体" w:cs="宋体"/>
          <w:color w:val="000000" w:themeColor="text1"/>
          <w:kern w:val="0"/>
          <w:sz w:val="28"/>
          <w:szCs w:val="28"/>
          <w:highlight w:val="none"/>
          <w14:textFill>
            <w14:solidFill>
              <w14:schemeClr w14:val="tx1"/>
            </w14:solidFill>
          </w14:textFill>
        </w:rPr>
        <w:t>：</w:t>
      </w:r>
      <w:r>
        <w:rPr>
          <w:rFonts w:hint="eastAsia" w:ascii="宋体" w:hAnsi="宋体" w:cs="宋体"/>
          <w:color w:val="000000" w:themeColor="text1"/>
          <w:kern w:val="0"/>
          <w:sz w:val="28"/>
          <w:szCs w:val="28"/>
          <w:highlight w:val="none"/>
          <w:u w:val="single"/>
          <w14:textFill>
            <w14:solidFill>
              <w14:schemeClr w14:val="tx1"/>
            </w14:solidFill>
          </w14:textFill>
        </w:rPr>
        <w:t></w:t>
      </w:r>
    </w:p>
    <w:p>
      <w:pPr>
        <w:widowControl/>
        <w:spacing w:line="560" w:lineRule="exact"/>
        <w:ind w:firstLine="420" w:firstLineChars="200"/>
        <w:jc w:val="left"/>
        <w:rPr>
          <w:rFonts w:ascii="宋体" w:hAnsi="宋体" w:cs="宋体"/>
          <w:color w:val="000000" w:themeColor="text1"/>
          <w:kern w:val="0"/>
          <w:sz w:val="28"/>
          <w:szCs w:val="28"/>
          <w:highlight w:val="none"/>
          <w14:textFill>
            <w14:solidFill>
              <w14:schemeClr w14:val="tx1"/>
            </w14:solidFill>
          </w14:textFill>
        </w:rPr>
      </w:pPr>
      <w:r>
        <w:rPr>
          <w:highlight w:val="none"/>
        </w:rPr>
        <w:fldChar w:fldCharType="begin"/>
      </w:r>
      <w:r>
        <w:rPr>
          <w:highlight w:val="none"/>
        </w:rPr>
        <w:instrText xml:space="preserve"> HYPERLINK "http://set2.mail.qq.com/cgi-bin/mail_spam?action=check_link&amp;spam=0&amp;url=http%3A%2F%2Fwww%2Ebaidu%2Ecom%2Fs%3Fwd%3D%25E5%25BC%2580%25E6%2588%25B7%25E9%2593%25B6%25E8%25A1%258C%26hl_tag%3Dtextlink%26tn%3DSE_hldp01350_v6v6zkg6" </w:instrText>
      </w:r>
      <w:r>
        <w:rPr>
          <w:highlight w:val="none"/>
        </w:rPr>
        <w:fldChar w:fldCharType="separate"/>
      </w:r>
      <w:r>
        <w:rPr>
          <w:rFonts w:hint="eastAsia" w:ascii="宋体" w:hAnsi="宋体" w:cs="宋体"/>
          <w:color w:val="000000" w:themeColor="text1"/>
          <w:kern w:val="0"/>
          <w:sz w:val="28"/>
          <w:szCs w:val="28"/>
          <w:highlight w:val="none"/>
          <w14:textFill>
            <w14:solidFill>
              <w14:schemeClr w14:val="tx1"/>
            </w14:solidFill>
          </w14:textFill>
        </w:rPr>
        <w:t>开户银行</w:t>
      </w:r>
      <w:r>
        <w:rPr>
          <w:rFonts w:hint="eastAsia" w:ascii="宋体" w:hAnsi="宋体" w:cs="宋体"/>
          <w:color w:val="000000" w:themeColor="text1"/>
          <w:kern w:val="0"/>
          <w:sz w:val="28"/>
          <w:szCs w:val="28"/>
          <w:highlight w:val="none"/>
          <w14:textFill>
            <w14:solidFill>
              <w14:schemeClr w14:val="tx1"/>
            </w14:solidFill>
          </w14:textFill>
        </w:rPr>
        <w:fldChar w:fldCharType="end"/>
      </w:r>
      <w:r>
        <w:rPr>
          <w:rFonts w:hint="eastAsia" w:ascii="宋体" w:hAnsi="宋体" w:cs="宋体"/>
          <w:color w:val="000000" w:themeColor="text1"/>
          <w:kern w:val="0"/>
          <w:sz w:val="28"/>
          <w:szCs w:val="28"/>
          <w:highlight w:val="none"/>
          <w14:textFill>
            <w14:solidFill>
              <w14:schemeClr w14:val="tx1"/>
            </w14:solidFill>
          </w14:textFill>
        </w:rPr>
        <w:t>：</w:t>
      </w:r>
      <w:r>
        <w:rPr>
          <w:rFonts w:hint="eastAsia" w:ascii="宋体" w:hAnsi="宋体" w:cs="宋体"/>
          <w:color w:val="000000" w:themeColor="text1"/>
          <w:kern w:val="0"/>
          <w:sz w:val="28"/>
          <w:szCs w:val="28"/>
          <w:highlight w:val="none"/>
          <w:u w:val="single"/>
          <w14:textFill>
            <w14:solidFill>
              <w14:schemeClr w14:val="tx1"/>
            </w14:solidFill>
          </w14:textFill>
        </w:rPr>
        <w:t></w:t>
      </w:r>
      <w:r>
        <w:rPr>
          <w:highlight w:val="none"/>
        </w:rPr>
        <w:fldChar w:fldCharType="begin"/>
      </w:r>
      <w:r>
        <w:rPr>
          <w:highlight w:val="none"/>
        </w:rPr>
        <w:instrText xml:space="preserve"> HYPERLINK "http://set2.mail.qq.com/cgi-bin/mail_spam?action=check_link&amp;spam=0&amp;url=http%3A%2F%2Fwww%2Ebaidu%2Ecom%2Fs%3Fwd%3D%25E5%25BC%2580%25E6%2588%25B7%25E9%2593%25B6%25E8%25A1%258C%26hl_tag%3Dtextlink%26tn%3DSE_hldp01350_v6v6zkg6" </w:instrText>
      </w:r>
      <w:r>
        <w:rPr>
          <w:highlight w:val="none"/>
        </w:rPr>
        <w:fldChar w:fldCharType="separate"/>
      </w:r>
      <w:r>
        <w:rPr>
          <w:rFonts w:hint="eastAsia" w:ascii="宋体" w:hAnsi="宋体" w:cs="宋体"/>
          <w:color w:val="000000" w:themeColor="text1"/>
          <w:kern w:val="0"/>
          <w:sz w:val="28"/>
          <w:szCs w:val="28"/>
          <w:highlight w:val="none"/>
          <w14:textFill>
            <w14:solidFill>
              <w14:schemeClr w14:val="tx1"/>
            </w14:solidFill>
          </w14:textFill>
        </w:rPr>
        <w:t>开户银行</w:t>
      </w:r>
      <w:r>
        <w:rPr>
          <w:rFonts w:hint="eastAsia" w:ascii="宋体" w:hAnsi="宋体" w:cs="宋体"/>
          <w:color w:val="000000" w:themeColor="text1"/>
          <w:kern w:val="0"/>
          <w:sz w:val="28"/>
          <w:szCs w:val="28"/>
          <w:highlight w:val="none"/>
          <w14:textFill>
            <w14:solidFill>
              <w14:schemeClr w14:val="tx1"/>
            </w14:solidFill>
          </w14:textFill>
        </w:rPr>
        <w:fldChar w:fldCharType="end"/>
      </w:r>
      <w:r>
        <w:rPr>
          <w:rFonts w:hint="eastAsia" w:ascii="宋体" w:hAnsi="宋体" w:cs="宋体"/>
          <w:color w:val="000000" w:themeColor="text1"/>
          <w:kern w:val="0"/>
          <w:sz w:val="28"/>
          <w:szCs w:val="28"/>
          <w:highlight w:val="none"/>
          <w14:textFill>
            <w14:solidFill>
              <w14:schemeClr w14:val="tx1"/>
            </w14:solidFill>
          </w14:textFill>
        </w:rPr>
        <w:t>：</w:t>
      </w:r>
      <w:r>
        <w:rPr>
          <w:rFonts w:hint="eastAsia" w:ascii="宋体" w:hAnsi="宋体" w:cs="宋体"/>
          <w:color w:val="000000" w:themeColor="text1"/>
          <w:kern w:val="0"/>
          <w:sz w:val="28"/>
          <w:szCs w:val="28"/>
          <w:highlight w:val="none"/>
          <w:u w:val="single"/>
          <w14:textFill>
            <w14:solidFill>
              <w14:schemeClr w14:val="tx1"/>
            </w14:solidFill>
          </w14:textFill>
        </w:rPr>
        <w:t></w:t>
      </w:r>
    </w:p>
    <w:p>
      <w:pPr>
        <w:widowControl/>
        <w:spacing w:line="560" w:lineRule="exact"/>
        <w:ind w:left="0" w:leftChars="0" w:firstLine="420" w:firstLineChars="150"/>
        <w:jc w:val="left"/>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帐    号：</w:t>
      </w:r>
      <w:r>
        <w:rPr>
          <w:rFonts w:hint="eastAsia" w:ascii="宋体" w:hAnsi="宋体" w:cs="宋体"/>
          <w:color w:val="000000" w:themeColor="text1"/>
          <w:kern w:val="0"/>
          <w:sz w:val="28"/>
          <w:szCs w:val="28"/>
          <w:highlight w:val="none"/>
          <w:u w:val="single"/>
          <w14:textFill>
            <w14:solidFill>
              <w14:schemeClr w14:val="tx1"/>
            </w14:solidFill>
          </w14:textFill>
        </w:rPr>
        <w:t></w:t>
      </w:r>
      <w:r>
        <w:rPr>
          <w:rFonts w:hint="eastAsia" w:ascii="宋体" w:hAnsi="宋体" w:cs="宋体"/>
          <w:color w:val="000000" w:themeColor="text1"/>
          <w:kern w:val="0"/>
          <w:sz w:val="28"/>
          <w:szCs w:val="28"/>
          <w:highlight w:val="none"/>
          <w14:textFill>
            <w14:solidFill>
              <w14:schemeClr w14:val="tx1"/>
            </w14:solidFill>
          </w14:textFill>
        </w:rPr>
        <w:t>帐    号：</w:t>
      </w:r>
      <w:r>
        <w:rPr>
          <w:rFonts w:hint="eastAsia" w:ascii="宋体" w:hAnsi="宋体" w:cs="宋体"/>
          <w:color w:val="000000" w:themeColor="text1"/>
          <w:kern w:val="0"/>
          <w:sz w:val="28"/>
          <w:szCs w:val="28"/>
          <w:highlight w:val="none"/>
          <w:u w:val="single"/>
          <w14:textFill>
            <w14:solidFill>
              <w14:schemeClr w14:val="tx1"/>
            </w14:solidFill>
          </w14:textFill>
        </w:rPr>
        <w:t></w:t>
      </w:r>
    </w:p>
    <w:p>
      <w:pPr>
        <w:widowControl/>
        <w:spacing w:line="560" w:lineRule="exact"/>
        <w:ind w:left="0" w:leftChars="0" w:firstLine="420" w:firstLineChars="150"/>
        <w:jc w:val="left"/>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电    话：</w:t>
      </w:r>
      <w:r>
        <w:rPr>
          <w:rFonts w:hint="eastAsia" w:ascii="宋体" w:hAnsi="宋体" w:cs="宋体"/>
          <w:color w:val="000000" w:themeColor="text1"/>
          <w:kern w:val="0"/>
          <w:sz w:val="28"/>
          <w:szCs w:val="28"/>
          <w:highlight w:val="none"/>
          <w:u w:val="single"/>
          <w14:textFill>
            <w14:solidFill>
              <w14:schemeClr w14:val="tx1"/>
            </w14:solidFill>
          </w14:textFill>
        </w:rPr>
        <w:t></w:t>
      </w:r>
      <w:r>
        <w:rPr>
          <w:rFonts w:hint="eastAsia" w:ascii="宋体" w:hAnsi="宋体" w:cs="宋体"/>
          <w:color w:val="000000" w:themeColor="text1"/>
          <w:kern w:val="0"/>
          <w:sz w:val="28"/>
          <w:szCs w:val="28"/>
          <w:highlight w:val="none"/>
          <w14:textFill>
            <w14:solidFill>
              <w14:schemeClr w14:val="tx1"/>
            </w14:solidFill>
          </w14:textFill>
        </w:rPr>
        <w:t>电    话：</w:t>
      </w:r>
      <w:r>
        <w:rPr>
          <w:rFonts w:hint="eastAsia" w:ascii="宋体" w:hAnsi="宋体" w:cs="宋体"/>
          <w:color w:val="000000" w:themeColor="text1"/>
          <w:kern w:val="0"/>
          <w:sz w:val="28"/>
          <w:szCs w:val="28"/>
          <w:highlight w:val="none"/>
          <w:u w:val="single"/>
          <w14:textFill>
            <w14:solidFill>
              <w14:schemeClr w14:val="tx1"/>
            </w14:solidFill>
          </w14:textFill>
        </w:rPr>
        <w:t></w:t>
      </w:r>
    </w:p>
    <w:p>
      <w:pPr>
        <w:widowControl/>
        <w:spacing w:line="560" w:lineRule="exact"/>
        <w:ind w:left="0" w:leftChars="0" w:firstLine="420" w:firstLineChars="150"/>
        <w:jc w:val="left"/>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地    址：</w:t>
      </w:r>
      <w:r>
        <w:rPr>
          <w:rFonts w:hint="eastAsia" w:ascii="宋体" w:hAnsi="宋体" w:cs="宋体"/>
          <w:color w:val="000000" w:themeColor="text1"/>
          <w:kern w:val="0"/>
          <w:sz w:val="28"/>
          <w:szCs w:val="28"/>
          <w:highlight w:val="none"/>
          <w:u w:val="single"/>
          <w14:textFill>
            <w14:solidFill>
              <w14:schemeClr w14:val="tx1"/>
            </w14:solidFill>
          </w14:textFill>
        </w:rPr>
        <w:t></w:t>
      </w:r>
      <w:r>
        <w:rPr>
          <w:rFonts w:hint="eastAsia" w:ascii="宋体" w:hAnsi="宋体" w:cs="宋体"/>
          <w:color w:val="000000" w:themeColor="text1"/>
          <w:kern w:val="0"/>
          <w:sz w:val="28"/>
          <w:szCs w:val="28"/>
          <w:highlight w:val="none"/>
          <w14:textFill>
            <w14:solidFill>
              <w14:schemeClr w14:val="tx1"/>
            </w14:solidFill>
          </w14:textFill>
        </w:rPr>
        <w:t>地    址：</w:t>
      </w:r>
      <w:r>
        <w:rPr>
          <w:rFonts w:hint="eastAsia" w:ascii="宋体" w:hAnsi="宋体" w:cs="宋体"/>
          <w:color w:val="000000" w:themeColor="text1"/>
          <w:kern w:val="0"/>
          <w:sz w:val="28"/>
          <w:szCs w:val="28"/>
          <w:highlight w:val="none"/>
          <w:u w:val="single"/>
          <w14:textFill>
            <w14:solidFill>
              <w14:schemeClr w14:val="tx1"/>
            </w14:solidFill>
          </w14:textFill>
        </w:rPr>
        <w:t></w:t>
      </w:r>
    </w:p>
    <w:p>
      <w:pPr>
        <w:widowControl/>
        <w:spacing w:line="560" w:lineRule="exact"/>
        <w:ind w:left="0" w:leftChars="0" w:firstLine="420" w:firstLineChars="150"/>
        <w:jc w:val="left"/>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时    间：  年月日    时    间： 年月日</w:t>
      </w:r>
    </w:p>
    <w:p>
      <w:pPr>
        <w:spacing w:line="360" w:lineRule="auto"/>
        <w:ind w:left="0" w:leftChars="0" w:firstLine="482" w:firstLineChars="150"/>
        <w:jc w:val="center"/>
        <w:outlineLvl w:val="9"/>
        <w:rPr>
          <w:rFonts w:ascii="宋体" w:hAnsi="宋体" w:cs="宋体"/>
          <w:b/>
          <w:bCs/>
          <w:color w:val="000000" w:themeColor="text1"/>
          <w:sz w:val="32"/>
          <w:highlight w:val="none"/>
          <w14:textFill>
            <w14:solidFill>
              <w14:schemeClr w14:val="tx1"/>
            </w14:solidFill>
          </w14:textFill>
        </w:rPr>
      </w:pPr>
    </w:p>
    <w:p>
      <w:pPr>
        <w:widowControl/>
        <w:spacing w:line="560" w:lineRule="exact"/>
        <w:ind w:left="0" w:leftChars="0" w:firstLine="420" w:firstLineChars="150"/>
        <w:jc w:val="left"/>
        <w:outlineLvl w:val="9"/>
        <w:rPr>
          <w:rFonts w:hint="eastAsia"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鉴证方（盖章）：</w:t>
      </w:r>
    </w:p>
    <w:p>
      <w:pPr>
        <w:spacing w:line="360" w:lineRule="auto"/>
        <w:jc w:val="center"/>
        <w:outlineLvl w:val="9"/>
        <w:rPr>
          <w:rFonts w:ascii="宋体" w:hAnsi="宋体" w:cs="宋体"/>
          <w:b/>
          <w:bCs/>
          <w:color w:val="000000" w:themeColor="text1"/>
          <w:sz w:val="32"/>
          <w:highlight w:val="none"/>
          <w14:textFill>
            <w14:solidFill>
              <w14:schemeClr w14:val="tx1"/>
            </w14:solidFill>
          </w14:textFill>
        </w:rPr>
      </w:pPr>
    </w:p>
    <w:p>
      <w:pPr>
        <w:pStyle w:val="36"/>
        <w:shd w:val="clear" w:color="auto" w:fill="FFFFFF"/>
        <w:spacing w:before="0" w:beforeAutospacing="0" w:after="0" w:afterAutospacing="0" w:line="360" w:lineRule="auto"/>
        <w:ind w:firstLine="480" w:firstLineChars="200"/>
        <w:rPr>
          <w:highlight w:val="none"/>
        </w:rPr>
      </w:pPr>
    </w:p>
    <w:p>
      <w:pPr>
        <w:autoSpaceDE w:val="0"/>
        <w:spacing w:line="360" w:lineRule="auto"/>
        <w:ind w:firstLine="420" w:firstLineChars="200"/>
        <w:rPr>
          <w:szCs w:val="21"/>
          <w:highlight w:val="none"/>
        </w:rPr>
      </w:pPr>
    </w:p>
    <w:p>
      <w:pPr>
        <w:pStyle w:val="40"/>
        <w:ind w:firstLine="280"/>
        <w:jc w:val="center"/>
        <w:rPr>
          <w:szCs w:val="28"/>
          <w:highlight w:val="none"/>
        </w:rPr>
      </w:pPr>
    </w:p>
    <w:bookmarkEnd w:id="240"/>
    <w:p>
      <w:pPr>
        <w:rPr>
          <w:rFonts w:ascii="宋体" w:hAnsi="宋体" w:cs="宋体"/>
          <w:b/>
          <w:bCs/>
          <w:color w:val="000000" w:themeColor="text1"/>
          <w:sz w:val="32"/>
          <w:highlight w:val="none"/>
          <w14:textFill>
            <w14:solidFill>
              <w14:schemeClr w14:val="tx1"/>
            </w14:solidFill>
          </w14:textFill>
        </w:rPr>
      </w:pPr>
      <w:bookmarkStart w:id="241" w:name="_Toc32648"/>
      <w:r>
        <w:rPr>
          <w:rFonts w:hint="eastAsia" w:ascii="宋体" w:hAnsi="宋体" w:cs="宋体"/>
          <w:b/>
          <w:bCs/>
          <w:color w:val="000000" w:themeColor="text1"/>
          <w:sz w:val="32"/>
          <w:highlight w:val="none"/>
          <w14:textFill>
            <w14:solidFill>
              <w14:schemeClr w14:val="tx1"/>
            </w14:solidFill>
          </w14:textFill>
        </w:rPr>
        <w:br w:type="page"/>
      </w:r>
    </w:p>
    <w:p>
      <w:pPr>
        <w:keepNext w:val="0"/>
        <w:keepLines w:val="0"/>
        <w:pageBreakBefore w:val="0"/>
        <w:widowControl w:val="0"/>
        <w:tabs>
          <w:tab w:val="left" w:pos="567"/>
        </w:tabs>
        <w:kinsoku/>
        <w:wordWrap/>
        <w:overflowPunct/>
        <w:topLinePunct w:val="0"/>
        <w:autoSpaceDE/>
        <w:autoSpaceDN/>
        <w:bidi w:val="0"/>
        <w:adjustRightInd/>
        <w:snapToGrid/>
        <w:spacing w:line="360" w:lineRule="auto"/>
        <w:ind w:left="239" w:leftChars="114" w:firstLine="312" w:firstLineChars="97"/>
        <w:jc w:val="center"/>
        <w:textAlignment w:val="auto"/>
        <w:outlineLvl w:val="0"/>
        <w:rPr>
          <w:rFonts w:hint="eastAsia" w:asciiTheme="majorEastAsia" w:hAnsiTheme="majorEastAsia" w:eastAsiaTheme="majorEastAsia" w:cstheme="majorEastAsia"/>
          <w:b/>
          <w:bCs w:val="0"/>
          <w:sz w:val="32"/>
          <w:szCs w:val="32"/>
          <w:highlight w:val="none"/>
        </w:rPr>
      </w:pPr>
      <w:bookmarkStart w:id="242" w:name="_Toc27150"/>
      <w:bookmarkStart w:id="243" w:name="_Toc21421"/>
      <w:r>
        <w:rPr>
          <w:rFonts w:hint="eastAsia" w:asciiTheme="majorEastAsia" w:hAnsiTheme="majorEastAsia" w:eastAsiaTheme="majorEastAsia" w:cstheme="majorEastAsia"/>
          <w:b/>
          <w:bCs w:val="0"/>
          <w:sz w:val="32"/>
          <w:szCs w:val="32"/>
          <w:highlight w:val="none"/>
        </w:rPr>
        <w:t xml:space="preserve">第五部分  </w:t>
      </w:r>
      <w:r>
        <w:rPr>
          <w:rFonts w:hint="eastAsia" w:asciiTheme="majorEastAsia" w:hAnsiTheme="majorEastAsia" w:eastAsiaTheme="majorEastAsia" w:cstheme="majorEastAsia"/>
          <w:b/>
          <w:bCs w:val="0"/>
          <w:sz w:val="32"/>
          <w:szCs w:val="32"/>
          <w:highlight w:val="none"/>
          <w:lang w:val="en-US" w:eastAsia="zh-CN"/>
        </w:rPr>
        <w:t>采购</w:t>
      </w:r>
      <w:r>
        <w:rPr>
          <w:rFonts w:hint="eastAsia" w:asciiTheme="majorEastAsia" w:hAnsiTheme="majorEastAsia" w:eastAsiaTheme="majorEastAsia" w:cstheme="majorEastAsia"/>
          <w:b/>
          <w:bCs w:val="0"/>
          <w:sz w:val="32"/>
          <w:szCs w:val="32"/>
          <w:highlight w:val="none"/>
        </w:rPr>
        <w:t>内容及要求</w:t>
      </w:r>
      <w:bookmarkEnd w:id="241"/>
      <w:bookmarkEnd w:id="242"/>
      <w:bookmarkEnd w:id="243"/>
    </w:p>
    <w:p>
      <w:pPr>
        <w:tabs>
          <w:tab w:val="left" w:pos="980"/>
        </w:tabs>
        <w:kinsoku w:val="0"/>
        <w:spacing w:line="580" w:lineRule="exact"/>
        <w:ind w:firstLine="480" w:firstLineChars="200"/>
        <w:rPr>
          <w:rFonts w:hint="default" w:ascii="宋体" w:hAnsi="宋体" w:eastAsia="宋体" w:cs="宋体"/>
          <w:b/>
          <w:bCs/>
          <w:color w:val="000000"/>
          <w:sz w:val="24"/>
          <w:szCs w:val="24"/>
          <w:highlight w:val="none"/>
          <w:lang w:val="en-US" w:eastAsia="zh-CN"/>
        </w:rPr>
      </w:pPr>
      <w:bookmarkStart w:id="244" w:name="_Toc339114188"/>
      <w:bookmarkStart w:id="245" w:name="_Toc152042575"/>
      <w:bookmarkStart w:id="246" w:name="_Toc144974855"/>
      <w:bookmarkStart w:id="247" w:name="_Toc152045786"/>
      <w:r>
        <w:rPr>
          <w:rFonts w:hint="eastAsia" w:ascii="宋体" w:hAnsi="宋体" w:cs="宋体"/>
          <w:color w:val="000000"/>
          <w:sz w:val="24"/>
          <w:szCs w:val="24"/>
          <w:highlight w:val="none"/>
          <w:lang w:val="en-US" w:eastAsia="zh-CN"/>
        </w:rPr>
        <w:t>2023年度全国卫生专业技术资格考试暨护士执业资格考试西安考点考务服务项目，预算金额：2771500.00元。有关事项如下:</w:t>
      </w:r>
    </w:p>
    <w:p>
      <w:pPr>
        <w:spacing w:line="500" w:lineRule="exact"/>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一、项目情况</w:t>
      </w:r>
    </w:p>
    <w:p>
      <w:pPr>
        <w:spacing w:line="500" w:lineRule="exact"/>
        <w:ind w:firstLine="480" w:firstLineChars="200"/>
        <w:textAlignment w:val="baseline"/>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项目名称：</w:t>
      </w:r>
      <w:r>
        <w:rPr>
          <w:rFonts w:hint="eastAsia" w:ascii="宋体" w:hAnsi="宋体" w:cs="宋体"/>
          <w:bCs/>
          <w:color w:val="000000" w:themeColor="text1"/>
          <w:sz w:val="24"/>
          <w:highlight w:val="none"/>
          <w:lang w:eastAsia="zh-CN"/>
          <w14:textFill>
            <w14:solidFill>
              <w14:schemeClr w14:val="tx1"/>
            </w14:solidFill>
          </w14:textFill>
        </w:rPr>
        <w:t>2023年度全国卫生专业技术资格考试暨护士执业资格考试西安考点考务服务项目</w:t>
      </w:r>
    </w:p>
    <w:p>
      <w:pPr>
        <w:spacing w:line="500" w:lineRule="exact"/>
        <w:ind w:firstLine="480" w:firstLineChars="200"/>
        <w:textAlignment w:val="baseline"/>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项目预算：</w:t>
      </w:r>
      <w:r>
        <w:rPr>
          <w:rFonts w:hint="eastAsia" w:ascii="宋体" w:hAnsi="宋体" w:cs="宋体"/>
          <w:color w:val="000000"/>
          <w:sz w:val="24"/>
          <w:szCs w:val="24"/>
          <w:highlight w:val="none"/>
          <w:lang w:val="en-US" w:eastAsia="zh-CN"/>
        </w:rPr>
        <w:t>2771500.00元</w:t>
      </w:r>
    </w:p>
    <w:p>
      <w:pPr>
        <w:spacing w:line="500" w:lineRule="exact"/>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项目背景：</w:t>
      </w:r>
      <w:r>
        <w:rPr>
          <w:rFonts w:hint="eastAsia" w:ascii="宋体" w:hAnsi="宋体" w:cs="宋体"/>
          <w:color w:val="000000" w:themeColor="text1"/>
          <w:sz w:val="24"/>
          <w:highlight w:val="none"/>
          <w14:textFill>
            <w14:solidFill>
              <w14:schemeClr w14:val="tx1"/>
            </w14:solidFill>
          </w14:textFill>
        </w:rPr>
        <w:t>全国卫生专业技术资格考试暨护士执业资格考试（以下简称两考），是由国家人力资源社会保障部和国家卫生健康委员会负责，各省考区、市考点组织实施的卫生专业技术人员职称全国统一考试，西安市卫生健康委员会全权承担西安考点的两考工作，每年参考人数约为</w:t>
      </w:r>
      <w:r>
        <w:rPr>
          <w:rFonts w:ascii="宋体" w:hAnsi="宋体" w:cs="宋体"/>
          <w:color w:val="000000" w:themeColor="text1"/>
          <w:sz w:val="24"/>
          <w:highlight w:val="none"/>
          <w14:textFill>
            <w14:solidFill>
              <w14:schemeClr w14:val="tx1"/>
            </w14:solidFill>
          </w14:textFill>
        </w:rPr>
        <w:t>25000</w:t>
      </w:r>
      <w:r>
        <w:rPr>
          <w:rFonts w:hint="eastAsia" w:ascii="宋体" w:hAnsi="宋体" w:cs="宋体"/>
          <w:color w:val="000000" w:themeColor="text1"/>
          <w:sz w:val="24"/>
          <w:highlight w:val="none"/>
          <w14:textFill>
            <w14:solidFill>
              <w14:schemeClr w14:val="tx1"/>
            </w14:solidFill>
          </w14:textFill>
        </w:rPr>
        <w:t>人—</w:t>
      </w:r>
      <w:r>
        <w:rPr>
          <w:rFonts w:ascii="宋体" w:hAnsi="宋体" w:cs="宋体"/>
          <w:color w:val="000000" w:themeColor="text1"/>
          <w:sz w:val="24"/>
          <w:highlight w:val="none"/>
          <w14:textFill>
            <w14:solidFill>
              <w14:schemeClr w14:val="tx1"/>
            </w14:solidFill>
          </w14:textFill>
        </w:rPr>
        <w:t>30000</w:t>
      </w:r>
      <w:r>
        <w:rPr>
          <w:rFonts w:hint="eastAsia" w:ascii="宋体" w:hAnsi="宋体" w:cs="宋体"/>
          <w:color w:val="000000" w:themeColor="text1"/>
          <w:sz w:val="24"/>
          <w:highlight w:val="none"/>
          <w14:textFill>
            <w14:solidFill>
              <w14:schemeClr w14:val="tx1"/>
            </w14:solidFill>
          </w14:textFill>
        </w:rPr>
        <w:t>人。</w:t>
      </w:r>
      <w:r>
        <w:rPr>
          <w:rFonts w:hint="eastAsia" w:ascii="宋体" w:hAnsi="宋体" w:cs="宋体"/>
          <w:b w:val="0"/>
          <w:bCs/>
          <w:color w:val="000000" w:themeColor="text1"/>
          <w:sz w:val="24"/>
          <w:highlight w:val="none"/>
          <w:u w:val="single"/>
          <w14:textFill>
            <w14:solidFill>
              <w14:schemeClr w14:val="tx1"/>
            </w14:solidFill>
          </w14:textFill>
        </w:rPr>
        <w:t>提供考试服务的大专院校在西安考点的指导下</w:t>
      </w:r>
      <w:r>
        <w:rPr>
          <w:rFonts w:hint="eastAsia" w:ascii="宋体" w:hAnsi="宋体" w:cs="宋体"/>
          <w:b w:val="0"/>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承担考试的实施、考务、安保、医疗、后勤保障、人员配备等工作，直接向考点负责。</w:t>
      </w:r>
    </w:p>
    <w:p>
      <w:pPr>
        <w:spacing w:line="500" w:lineRule="exact"/>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二、商务要求</w:t>
      </w:r>
    </w:p>
    <w:p>
      <w:pPr>
        <w:tabs>
          <w:tab w:val="left" w:pos="5580"/>
        </w:tabs>
        <w:spacing w:line="360" w:lineRule="auto"/>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最高限价：纸笔考试每人每科20元，</w:t>
      </w:r>
    </w:p>
    <w:p>
      <w:pPr>
        <w:tabs>
          <w:tab w:val="left" w:pos="5580"/>
        </w:tabs>
        <w:spacing w:line="360" w:lineRule="auto"/>
        <w:ind w:firstLine="1200" w:firstLineChars="500"/>
        <w:jc w:val="both"/>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人机对话考试每人每科40元</w:t>
      </w:r>
      <w:r>
        <w:rPr>
          <w:rFonts w:hint="eastAsia" w:ascii="宋体" w:hAnsi="宋体" w:cs="宋体"/>
          <w:color w:val="000000" w:themeColor="text1"/>
          <w:sz w:val="24"/>
          <w:highlight w:val="none"/>
          <w:lang w:eastAsia="zh-CN"/>
          <w14:textFill>
            <w14:solidFill>
              <w14:schemeClr w14:val="tx1"/>
            </w14:solidFill>
          </w14:textFill>
        </w:rPr>
        <w:t>。</w:t>
      </w:r>
    </w:p>
    <w:p>
      <w:pPr>
        <w:spacing w:line="500" w:lineRule="exact"/>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三、服务要求（同时满足以下条件）</w:t>
      </w:r>
    </w:p>
    <w:p>
      <w:pPr>
        <w:spacing w:line="500" w:lineRule="exact"/>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1、可在一个考场内集中同时提供的纸笔考试和人机对话考试标准试室：</w:t>
      </w:r>
    </w:p>
    <w:p>
      <w:pPr>
        <w:spacing w:line="500" w:lineRule="exact"/>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（1）纸笔考试试室不少于160个，每场考试可容纳考生总数不少于4800人。考生不超过30人/每试室，座位必须单人、单桌、单行排列，每列桌椅须垂直对齐，所有考生面朝统一方向，前后左右间距80厘米以上。</w:t>
      </w:r>
    </w:p>
    <w:p>
      <w:pPr>
        <w:spacing w:line="500" w:lineRule="exact"/>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（2）人机对话考试机位数应同时满足2000人-2500人进行考试，考试用机数量不少于2500台。考试用机包含考生用机、考生备用机、试室管理机、网关服务器等，其中网关服务器需与考试用机分开布置。</w:t>
      </w:r>
    </w:p>
    <w:p>
      <w:pPr>
        <w:spacing w:line="500" w:lineRule="exact"/>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2、人机对话考试用机配置应满足且不低于以下配置：</w:t>
      </w:r>
    </w:p>
    <w:tbl>
      <w:tblPr>
        <w:tblStyle w:val="42"/>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1696" w:type="dxa"/>
          </w:tcPr>
          <w:p>
            <w:pPr>
              <w:spacing w:line="400" w:lineRule="exact"/>
              <w:jc w:val="center"/>
              <w:textAlignment w:val="baseline"/>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配置</w:t>
            </w:r>
          </w:p>
        </w:tc>
        <w:tc>
          <w:tcPr>
            <w:tcW w:w="6429" w:type="dxa"/>
          </w:tcPr>
          <w:p>
            <w:pPr>
              <w:spacing w:line="400" w:lineRule="exact"/>
              <w:jc w:val="center"/>
              <w:textAlignment w:val="baseline"/>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spacing w:line="400" w:lineRule="exact"/>
              <w:jc w:val="center"/>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品牌</w:t>
            </w:r>
          </w:p>
        </w:tc>
        <w:tc>
          <w:tcPr>
            <w:tcW w:w="6429" w:type="dxa"/>
            <w:vAlign w:val="center"/>
          </w:tcPr>
          <w:p>
            <w:pPr>
              <w:spacing w:line="400" w:lineRule="exact"/>
              <w:jc w:val="center"/>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所有考试用电脑均为主流品牌电脑（兼容机除外）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spacing w:line="400" w:lineRule="exact"/>
              <w:jc w:val="center"/>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CPU</w:t>
            </w:r>
          </w:p>
        </w:tc>
        <w:tc>
          <w:tcPr>
            <w:tcW w:w="6429" w:type="dxa"/>
            <w:vAlign w:val="center"/>
          </w:tcPr>
          <w:p>
            <w:pPr>
              <w:spacing w:line="400" w:lineRule="exact"/>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市场主流CPU类型（Intel I5\I7,AMD A10），核心数量不少于四核，线程数不少于四线程，主频应高于3.0G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96" w:type="dxa"/>
            <w:vAlign w:val="center"/>
          </w:tcPr>
          <w:p>
            <w:pPr>
              <w:spacing w:line="400" w:lineRule="exact"/>
              <w:jc w:val="center"/>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内存</w:t>
            </w:r>
          </w:p>
        </w:tc>
        <w:tc>
          <w:tcPr>
            <w:tcW w:w="6429" w:type="dxa"/>
            <w:vAlign w:val="center"/>
          </w:tcPr>
          <w:p>
            <w:pPr>
              <w:spacing w:line="400" w:lineRule="exact"/>
              <w:jc w:val="center"/>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不少于4G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spacing w:line="400" w:lineRule="exact"/>
              <w:jc w:val="center"/>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显卡</w:t>
            </w:r>
          </w:p>
        </w:tc>
        <w:tc>
          <w:tcPr>
            <w:tcW w:w="6429" w:type="dxa"/>
            <w:vAlign w:val="center"/>
          </w:tcPr>
          <w:p>
            <w:pPr>
              <w:spacing w:line="400" w:lineRule="exact"/>
              <w:jc w:val="center"/>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独立显卡，显存不少于1G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spacing w:line="400" w:lineRule="exact"/>
              <w:jc w:val="center"/>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硬盘</w:t>
            </w:r>
          </w:p>
        </w:tc>
        <w:tc>
          <w:tcPr>
            <w:tcW w:w="6429" w:type="dxa"/>
            <w:vAlign w:val="center"/>
          </w:tcPr>
          <w:p>
            <w:pPr>
              <w:spacing w:line="400" w:lineRule="exact"/>
              <w:jc w:val="center"/>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硬盘容量大小不少于500G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spacing w:line="400" w:lineRule="exact"/>
              <w:jc w:val="center"/>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网络设备</w:t>
            </w:r>
          </w:p>
        </w:tc>
        <w:tc>
          <w:tcPr>
            <w:tcW w:w="6429" w:type="dxa"/>
            <w:vAlign w:val="center"/>
          </w:tcPr>
          <w:p>
            <w:pPr>
              <w:spacing w:line="400" w:lineRule="exact"/>
              <w:jc w:val="center"/>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考试用机均配备百兆\千兆网卡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spacing w:line="400" w:lineRule="exact"/>
              <w:jc w:val="center"/>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操作系统</w:t>
            </w:r>
          </w:p>
        </w:tc>
        <w:tc>
          <w:tcPr>
            <w:tcW w:w="6429" w:type="dxa"/>
            <w:vAlign w:val="center"/>
          </w:tcPr>
          <w:p>
            <w:pPr>
              <w:spacing w:line="400" w:lineRule="exact"/>
              <w:textAlignment w:val="baseline"/>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已安装Windows 7（32\64位）系统；IE版本9.0以上等较新版本的浏览器，以及必备常用软件</w:t>
            </w:r>
          </w:p>
        </w:tc>
      </w:tr>
    </w:tbl>
    <w:p>
      <w:pPr>
        <w:spacing w:line="500" w:lineRule="exact"/>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所有考试用机应在同一局域网内，且考试用机应有固定的IP地址；考试期间除所需网关服务器可以连接互联网外，其余考试用机不得连接外网；每个试室内均应配备主流品牌千兆接入交换机，使用主流品牌三层核心交换机组网，保证考试网络的稳定性；试室之间均应使用VLAN技术划分，保证考试用网络的安全性；整体网络环境需保证在考试期间网关服务器、试室管理机、考试用机数据交互通畅，实现可靠的低延迟数据交换。网关服务器、核心层交换机应配备UPS不间断电源；整个考场所有试室应采用双路电源供电。</w:t>
      </w:r>
    </w:p>
    <w:p>
      <w:pPr>
        <w:spacing w:line="500" w:lineRule="exact"/>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考场所有试室均应配备监控设备，每个试室安装不少于两部高清监控摄像头，基本实现全考场覆盖;考场所有的网络视频录像机应具备远程访问以及接入能力；考点可提供考前三天、考试全过程的考试影像资料，且影像资料可以保存三个自然月以上，以备后查。</w:t>
      </w:r>
    </w:p>
    <w:p>
      <w:pPr>
        <w:spacing w:line="500" w:lineRule="exact"/>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在考试期间，配备不少于10人的考试设备维护人员，熟悉考试用机、网络维护和管理，保障考试时设备的良好运转；每50台考试机须配备2名监考人员和1名通过国家卫生健康委人才交流中心组织的卫生专业技术人机对话考试专项培训的系统管理员，持有证书的系统管理员最低不少于20人。每750台考试机配备不少于4名流动监考人员。</w:t>
      </w:r>
    </w:p>
    <w:p>
      <w:pPr>
        <w:spacing w:line="500" w:lineRule="exact"/>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6、考场须设立考务、安保、医疗、后勤等工作组保障需求。须按照国家保密条例，设置符合条例规定的保密室。能够按照考点和考务要求，做好考试实施过程中周内和周末教学任务的配合调整。</w:t>
      </w:r>
    </w:p>
    <w:p>
      <w:pPr>
        <w:spacing w:line="500" w:lineRule="exact"/>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7、按照考务要求，制定切实可行的应急预案。</w:t>
      </w:r>
    </w:p>
    <w:p>
      <w:pPr>
        <w:rPr>
          <w:rFonts w:ascii="宋体" w:hAnsi="宋体" w:cs="宋体"/>
          <w:b/>
          <w:color w:val="000000" w:themeColor="text1"/>
          <w:kern w:val="0"/>
          <w:sz w:val="32"/>
          <w:szCs w:val="32"/>
          <w:highlight w:val="none"/>
          <w14:textFill>
            <w14:solidFill>
              <w14:schemeClr w14:val="tx1"/>
            </w14:solidFill>
          </w14:textFill>
        </w:rPr>
      </w:pPr>
      <w:r>
        <w:rPr>
          <w:rFonts w:ascii="宋体" w:hAnsi="宋体" w:cs="宋体"/>
          <w:b/>
          <w:color w:val="000000" w:themeColor="text1"/>
          <w:kern w:val="0"/>
          <w:sz w:val="32"/>
          <w:szCs w:val="32"/>
          <w:highlight w:val="none"/>
          <w14:textFill>
            <w14:solidFill>
              <w14:schemeClr w14:val="tx1"/>
            </w14:solidFill>
          </w14:textFill>
        </w:rPr>
        <w:br w:type="page"/>
      </w:r>
    </w:p>
    <w:p>
      <w:pPr>
        <w:jc w:val="center"/>
        <w:outlineLvl w:val="0"/>
        <w:rPr>
          <w:rFonts w:ascii="宋体" w:hAnsi="宋体" w:cs="宋体"/>
          <w:b/>
          <w:bCs/>
          <w:color w:val="000000" w:themeColor="text1"/>
          <w:sz w:val="32"/>
          <w:highlight w:val="none"/>
          <w14:textFill>
            <w14:solidFill>
              <w14:schemeClr w14:val="tx1"/>
            </w14:solidFill>
          </w14:textFill>
        </w:rPr>
      </w:pPr>
      <w:bookmarkStart w:id="248" w:name="_Toc30604"/>
      <w:bookmarkStart w:id="249" w:name="_Toc20857"/>
      <w:bookmarkStart w:id="250" w:name="_Toc3982"/>
      <w:r>
        <w:rPr>
          <w:rFonts w:hint="eastAsia" w:ascii="宋体" w:hAnsi="宋体" w:cs="宋体"/>
          <w:b/>
          <w:bCs/>
          <w:color w:val="000000" w:themeColor="text1"/>
          <w:sz w:val="32"/>
          <w:highlight w:val="none"/>
          <w14:textFill>
            <w14:solidFill>
              <w14:schemeClr w14:val="tx1"/>
            </w14:solidFill>
          </w14:textFill>
        </w:rPr>
        <w:t>第六部分  投标文件格式</w:t>
      </w:r>
      <w:bookmarkEnd w:id="244"/>
      <w:bookmarkEnd w:id="248"/>
      <w:bookmarkEnd w:id="249"/>
      <w:bookmarkEnd w:id="250"/>
    </w:p>
    <w:bookmarkEnd w:id="245"/>
    <w:bookmarkEnd w:id="246"/>
    <w:bookmarkEnd w:id="247"/>
    <w:p>
      <w:pPr>
        <w:spacing w:line="400" w:lineRule="exact"/>
        <w:rPr>
          <w:rFonts w:ascii="宋体"/>
          <w:color w:val="000000" w:themeColor="text1"/>
          <w:szCs w:val="21"/>
          <w:highlight w:val="none"/>
          <w14:textFill>
            <w14:solidFill>
              <w14:schemeClr w14:val="tx1"/>
            </w14:solidFill>
          </w14:textFill>
        </w:rPr>
      </w:pPr>
    </w:p>
    <w:p>
      <w:pPr>
        <w:tabs>
          <w:tab w:val="left" w:pos="360"/>
        </w:tabs>
        <w:spacing w:line="360" w:lineRule="auto"/>
        <w:jc w:val="left"/>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入场登记号：XA-2023-000051-B01</w:t>
      </w:r>
    </w:p>
    <w:p>
      <w:pPr>
        <w:tabs>
          <w:tab w:val="left" w:pos="360"/>
        </w:tabs>
        <w:spacing w:line="360" w:lineRule="auto"/>
        <w:jc w:val="left"/>
        <w:rPr>
          <w:color w:val="000000" w:themeColor="text1"/>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项目编号：</w:t>
      </w:r>
      <w:r>
        <w:rPr>
          <w:rFonts w:hint="eastAsia" w:ascii="宋体" w:hAnsi="宋体"/>
          <w:b/>
          <w:color w:val="000000" w:themeColor="text1"/>
          <w:sz w:val="28"/>
          <w:szCs w:val="28"/>
          <w:highlight w:val="none"/>
          <w:lang w:eastAsia="zh-CN"/>
          <w14:textFill>
            <w14:solidFill>
              <w14:schemeClr w14:val="tx1"/>
            </w14:solidFill>
          </w14:textFill>
        </w:rPr>
        <w:t>SXJTZB-ZC-GK20230128</w:t>
      </w:r>
      <w:r>
        <w:rPr>
          <w:rFonts w:hint="eastAsia" w:ascii="宋体" w:hAnsi="宋体"/>
          <w:b/>
          <w:color w:val="000000" w:themeColor="text1"/>
          <w:sz w:val="28"/>
          <w:szCs w:val="28"/>
          <w:highlight w:val="none"/>
          <w14:textFill>
            <w14:solidFill>
              <w14:schemeClr w14:val="tx1"/>
            </w14:solidFill>
          </w14:textFill>
        </w:rPr>
        <w:t xml:space="preserve">                    </w:t>
      </w:r>
    </w:p>
    <w:p>
      <w:pPr>
        <w:pStyle w:val="16"/>
        <w:rPr>
          <w:color w:val="000000" w:themeColor="text1"/>
          <w:highlight w:val="none"/>
          <w14:textFill>
            <w14:solidFill>
              <w14:schemeClr w14:val="tx1"/>
            </w14:solidFill>
          </w14:textFill>
        </w:rPr>
      </w:pPr>
    </w:p>
    <w:p>
      <w:pPr>
        <w:rPr>
          <w:highlight w:val="none"/>
        </w:rPr>
      </w:pPr>
    </w:p>
    <w:p>
      <w:pPr>
        <w:numPr>
          <w:ilvl w:val="0"/>
          <w:numId w:val="0"/>
        </w:numPr>
        <w:spacing w:line="560" w:lineRule="exact"/>
        <w:jc w:val="center"/>
        <w:rPr>
          <w:rFonts w:hint="eastAsia" w:ascii="宋体" w:hAnsi="Times New Roman" w:cs="Times New Roman"/>
          <w:b/>
          <w:bCs/>
          <w:color w:val="000000" w:themeColor="text1"/>
          <w:sz w:val="52"/>
          <w:szCs w:val="52"/>
          <w:highlight w:val="none"/>
          <w:lang w:val="en-US" w:eastAsia="zh-CN"/>
          <w14:textFill>
            <w14:solidFill>
              <w14:schemeClr w14:val="tx1"/>
            </w14:solidFill>
          </w14:textFill>
        </w:rPr>
      </w:pPr>
    </w:p>
    <w:p>
      <w:pPr>
        <w:pStyle w:val="16"/>
        <w:rPr>
          <w:rFonts w:ascii="宋体"/>
          <w:b/>
          <w:color w:val="000000" w:themeColor="text1"/>
          <w:sz w:val="96"/>
          <w:szCs w:val="96"/>
          <w:highlight w:val="none"/>
          <w14:textFill>
            <w14:solidFill>
              <w14:schemeClr w14:val="tx1"/>
            </w14:solidFill>
          </w14:textFill>
        </w:rPr>
      </w:pPr>
    </w:p>
    <w:p>
      <w:pPr>
        <w:rPr>
          <w:color w:val="000000" w:themeColor="text1"/>
          <w:highlight w:val="none"/>
          <w14:textFill>
            <w14:solidFill>
              <w14:schemeClr w14:val="tx1"/>
            </w14:solidFill>
          </w14:textFill>
        </w:rPr>
      </w:pPr>
    </w:p>
    <w:p>
      <w:pPr>
        <w:ind w:firstLine="186" w:firstLineChars="42"/>
        <w:jc w:val="center"/>
        <w:rPr>
          <w:rFonts w:hint="eastAsia" w:ascii="宋体" w:hAnsi="Times New Roman" w:eastAsia="宋体" w:cs="Times New Roman"/>
          <w:b/>
          <w:bCs/>
          <w:color w:val="000000" w:themeColor="text1"/>
          <w:sz w:val="44"/>
          <w:szCs w:val="44"/>
          <w:highlight w:val="none"/>
          <w:lang w:eastAsia="zh-CN"/>
          <w14:textFill>
            <w14:solidFill>
              <w14:schemeClr w14:val="tx1"/>
            </w14:solidFill>
          </w14:textFill>
        </w:rPr>
      </w:pPr>
      <w:r>
        <w:rPr>
          <w:rFonts w:hint="eastAsia" w:ascii="宋体" w:hAnsi="Times New Roman" w:eastAsia="宋体" w:cs="Times New Roman"/>
          <w:b/>
          <w:bCs/>
          <w:color w:val="000000" w:themeColor="text1"/>
          <w:sz w:val="44"/>
          <w:szCs w:val="44"/>
          <w:highlight w:val="none"/>
          <w:lang w:eastAsia="zh-CN"/>
          <w14:textFill>
            <w14:solidFill>
              <w14:schemeClr w14:val="tx1"/>
            </w14:solidFill>
          </w14:textFill>
        </w:rPr>
        <w:t>2023年度全国卫生专业技术资格考试暨护士</w:t>
      </w:r>
    </w:p>
    <w:p>
      <w:pPr>
        <w:ind w:firstLine="186" w:firstLineChars="42"/>
        <w:jc w:val="center"/>
        <w:rPr>
          <w:rFonts w:hint="eastAsia" w:ascii="宋体" w:eastAsia="宋体"/>
          <w:b/>
          <w:bCs/>
          <w:color w:val="000000" w:themeColor="text1"/>
          <w:sz w:val="48"/>
          <w:szCs w:val="48"/>
          <w:highlight w:val="none"/>
          <w:lang w:eastAsia="zh-CN"/>
          <w14:textFill>
            <w14:solidFill>
              <w14:schemeClr w14:val="tx1"/>
            </w14:solidFill>
          </w14:textFill>
        </w:rPr>
      </w:pPr>
      <w:r>
        <w:rPr>
          <w:rFonts w:hint="eastAsia" w:ascii="宋体" w:hAnsi="Times New Roman" w:eastAsia="宋体" w:cs="Times New Roman"/>
          <w:b/>
          <w:bCs/>
          <w:color w:val="000000" w:themeColor="text1"/>
          <w:sz w:val="44"/>
          <w:szCs w:val="44"/>
          <w:highlight w:val="none"/>
          <w:lang w:eastAsia="zh-CN"/>
          <w14:textFill>
            <w14:solidFill>
              <w14:schemeClr w14:val="tx1"/>
            </w14:solidFill>
          </w14:textFill>
        </w:rPr>
        <w:t>执业资格考试西安考点考务服务项目</w:t>
      </w:r>
      <w:r>
        <w:rPr>
          <w:rFonts w:hint="eastAsia" w:ascii="宋体" w:cs="Times New Roman"/>
          <w:b/>
          <w:bCs/>
          <w:color w:val="000000" w:themeColor="text1"/>
          <w:sz w:val="44"/>
          <w:szCs w:val="44"/>
          <w:highlight w:val="none"/>
          <w:lang w:eastAsia="zh-CN"/>
          <w14:textFill>
            <w14:solidFill>
              <w14:schemeClr w14:val="tx1"/>
            </w14:solidFill>
          </w14:textFill>
        </w:rPr>
        <w:t>（三次）</w:t>
      </w:r>
      <w:r>
        <w:rPr>
          <w:rFonts w:hint="eastAsia" w:ascii="宋体"/>
          <w:b/>
          <w:bCs/>
          <w:color w:val="000000" w:themeColor="text1"/>
          <w:sz w:val="44"/>
          <w:szCs w:val="44"/>
          <w:highlight w:val="none"/>
          <w:lang w:eastAsia="zh-CN"/>
          <w14:textFill>
            <w14:solidFill>
              <w14:schemeClr w14:val="tx1"/>
            </w14:solidFill>
          </w14:textFill>
        </w:rPr>
        <w:t xml:space="preserve"> </w:t>
      </w:r>
    </w:p>
    <w:p>
      <w:pPr>
        <w:tabs>
          <w:tab w:val="left" w:pos="360"/>
        </w:tabs>
        <w:spacing w:line="360" w:lineRule="auto"/>
        <w:ind w:firstLine="420" w:firstLineChars="200"/>
        <w:rPr>
          <w:rFonts w:ascii="宋体"/>
          <w:color w:val="000000" w:themeColor="text1"/>
          <w:szCs w:val="21"/>
          <w:highlight w:val="none"/>
          <w14:textFill>
            <w14:solidFill>
              <w14:schemeClr w14:val="tx1"/>
            </w14:solidFill>
          </w14:textFill>
        </w:rPr>
      </w:pPr>
    </w:p>
    <w:p>
      <w:pPr>
        <w:tabs>
          <w:tab w:val="left" w:pos="360"/>
        </w:tabs>
        <w:spacing w:line="360" w:lineRule="auto"/>
        <w:jc w:val="center"/>
        <w:rPr>
          <w:rFonts w:ascii="宋体" w:hAnsi="宋体"/>
          <w:b/>
          <w:color w:val="000000" w:themeColor="text1"/>
          <w:sz w:val="100"/>
          <w:szCs w:val="100"/>
          <w:highlight w:val="none"/>
          <w14:textFill>
            <w14:solidFill>
              <w14:schemeClr w14:val="tx1"/>
            </w14:solidFill>
          </w14:textFill>
        </w:rPr>
      </w:pPr>
    </w:p>
    <w:p>
      <w:pPr>
        <w:tabs>
          <w:tab w:val="left" w:pos="360"/>
        </w:tabs>
        <w:spacing w:line="360" w:lineRule="auto"/>
        <w:jc w:val="center"/>
        <w:rPr>
          <w:rFonts w:hint="eastAsia" w:ascii="宋体" w:hAnsi="宋体"/>
          <w:b/>
          <w:color w:val="000000" w:themeColor="text1"/>
          <w:sz w:val="100"/>
          <w:szCs w:val="100"/>
          <w:highlight w:val="none"/>
          <w14:textFill>
            <w14:solidFill>
              <w14:schemeClr w14:val="tx1"/>
            </w14:solidFill>
          </w14:textFill>
        </w:rPr>
      </w:pPr>
      <w:r>
        <w:rPr>
          <w:rFonts w:hint="eastAsia" w:ascii="宋体" w:hAnsi="宋体"/>
          <w:b/>
          <w:color w:val="000000" w:themeColor="text1"/>
          <w:sz w:val="100"/>
          <w:szCs w:val="100"/>
          <w:highlight w:val="none"/>
          <w14:textFill>
            <w14:solidFill>
              <w14:schemeClr w14:val="tx1"/>
            </w14:solidFill>
          </w14:textFill>
        </w:rPr>
        <w:t>投</w:t>
      </w:r>
      <w:r>
        <w:rPr>
          <w:rFonts w:ascii="宋体" w:hAnsi="宋体"/>
          <w:b/>
          <w:color w:val="000000" w:themeColor="text1"/>
          <w:sz w:val="100"/>
          <w:szCs w:val="100"/>
          <w:highlight w:val="none"/>
          <w14:textFill>
            <w14:solidFill>
              <w14:schemeClr w14:val="tx1"/>
            </w14:solidFill>
          </w14:textFill>
        </w:rPr>
        <w:t xml:space="preserve"> </w:t>
      </w:r>
      <w:r>
        <w:rPr>
          <w:rFonts w:hint="eastAsia" w:ascii="宋体" w:hAnsi="宋体"/>
          <w:b/>
          <w:color w:val="000000" w:themeColor="text1"/>
          <w:sz w:val="100"/>
          <w:szCs w:val="100"/>
          <w:highlight w:val="none"/>
          <w14:textFill>
            <w14:solidFill>
              <w14:schemeClr w14:val="tx1"/>
            </w14:solidFill>
          </w14:textFill>
        </w:rPr>
        <w:t>标</w:t>
      </w:r>
      <w:r>
        <w:rPr>
          <w:rFonts w:ascii="宋体" w:hAnsi="宋体"/>
          <w:b/>
          <w:color w:val="000000" w:themeColor="text1"/>
          <w:sz w:val="100"/>
          <w:szCs w:val="100"/>
          <w:highlight w:val="none"/>
          <w14:textFill>
            <w14:solidFill>
              <w14:schemeClr w14:val="tx1"/>
            </w14:solidFill>
          </w14:textFill>
        </w:rPr>
        <w:t xml:space="preserve"> </w:t>
      </w:r>
      <w:r>
        <w:rPr>
          <w:rFonts w:hint="eastAsia" w:ascii="宋体" w:hAnsi="宋体"/>
          <w:b/>
          <w:color w:val="000000" w:themeColor="text1"/>
          <w:sz w:val="100"/>
          <w:szCs w:val="100"/>
          <w:highlight w:val="none"/>
          <w14:textFill>
            <w14:solidFill>
              <w14:schemeClr w14:val="tx1"/>
            </w14:solidFill>
          </w14:textFill>
        </w:rPr>
        <w:t>文</w:t>
      </w:r>
      <w:r>
        <w:rPr>
          <w:rFonts w:ascii="宋体" w:hAnsi="宋体"/>
          <w:b/>
          <w:color w:val="000000" w:themeColor="text1"/>
          <w:sz w:val="100"/>
          <w:szCs w:val="100"/>
          <w:highlight w:val="none"/>
          <w14:textFill>
            <w14:solidFill>
              <w14:schemeClr w14:val="tx1"/>
            </w14:solidFill>
          </w14:textFill>
        </w:rPr>
        <w:t xml:space="preserve"> </w:t>
      </w:r>
      <w:r>
        <w:rPr>
          <w:rFonts w:hint="eastAsia" w:ascii="宋体" w:hAnsi="宋体"/>
          <w:b/>
          <w:color w:val="000000" w:themeColor="text1"/>
          <w:sz w:val="100"/>
          <w:szCs w:val="100"/>
          <w:highlight w:val="none"/>
          <w14:textFill>
            <w14:solidFill>
              <w14:schemeClr w14:val="tx1"/>
            </w14:solidFill>
          </w14:textFill>
        </w:rPr>
        <w:t>件</w:t>
      </w:r>
    </w:p>
    <w:p>
      <w:pPr>
        <w:tabs>
          <w:tab w:val="left" w:pos="360"/>
        </w:tabs>
        <w:spacing w:line="360" w:lineRule="auto"/>
        <w:jc w:val="center"/>
        <w:rPr>
          <w:rFonts w:hint="eastAsia" w:ascii="宋体" w:hAnsi="宋体"/>
          <w:b/>
          <w:color w:val="000000" w:themeColor="text1"/>
          <w:sz w:val="30"/>
          <w:szCs w:val="30"/>
          <w:highlight w:val="none"/>
          <w:lang w:val="en-US" w:eastAsia="zh-CN"/>
          <w14:textFill>
            <w14:solidFill>
              <w14:schemeClr w14:val="tx1"/>
            </w14:solidFill>
          </w14:textFill>
        </w:rPr>
      </w:pPr>
    </w:p>
    <w:p>
      <w:pPr>
        <w:pStyle w:val="16"/>
        <w:rPr>
          <w:highlight w:val="none"/>
        </w:rPr>
      </w:pPr>
    </w:p>
    <w:p>
      <w:pPr>
        <w:tabs>
          <w:tab w:val="left" w:pos="360"/>
        </w:tabs>
        <w:spacing w:line="360" w:lineRule="auto"/>
        <w:jc w:val="center"/>
        <w:rPr>
          <w:rFonts w:ascii="宋体" w:hAnsi="宋体"/>
          <w:b/>
          <w:color w:val="000000" w:themeColor="text1"/>
          <w:sz w:val="32"/>
          <w:szCs w:val="32"/>
          <w:highlight w:val="none"/>
          <w14:textFill>
            <w14:solidFill>
              <w14:schemeClr w14:val="tx1"/>
            </w14:solidFill>
          </w14:textFill>
        </w:rPr>
      </w:pPr>
    </w:p>
    <w:p>
      <w:pPr>
        <w:tabs>
          <w:tab w:val="left" w:pos="360"/>
        </w:tabs>
        <w:spacing w:line="360" w:lineRule="auto"/>
        <w:jc w:val="center"/>
        <w:rPr>
          <w:rFonts w:asci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供</w:t>
      </w:r>
      <w:r>
        <w:rPr>
          <w:rFonts w:ascii="宋体" w:hAnsi="宋体"/>
          <w:b/>
          <w:color w:val="000000" w:themeColor="text1"/>
          <w:sz w:val="28"/>
          <w:szCs w:val="28"/>
          <w:highlight w:val="non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应</w:t>
      </w:r>
      <w:r>
        <w:rPr>
          <w:rFonts w:ascii="宋体" w:hAnsi="宋体"/>
          <w:b/>
          <w:color w:val="000000" w:themeColor="text1"/>
          <w:sz w:val="28"/>
          <w:szCs w:val="28"/>
          <w:highlight w:val="non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商：</w:t>
      </w:r>
      <w:r>
        <w:rPr>
          <w:rFonts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（公章）</w:t>
      </w:r>
    </w:p>
    <w:p>
      <w:pPr>
        <w:tabs>
          <w:tab w:val="left" w:pos="360"/>
        </w:tabs>
        <w:spacing w:line="360" w:lineRule="auto"/>
        <w:ind w:firstLine="1254" w:firstLineChars="446"/>
        <w:rPr>
          <w:rFonts w:ascii="宋体"/>
          <w:b/>
          <w:color w:val="000000" w:themeColor="text1"/>
          <w:sz w:val="28"/>
          <w:szCs w:val="28"/>
          <w:highlight w:val="none"/>
          <w:u w:val="singl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法定代表人或被委托人：</w:t>
      </w:r>
      <w:r>
        <w:rPr>
          <w:rFonts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（签字或盖章）</w:t>
      </w:r>
    </w:p>
    <w:p>
      <w:pPr>
        <w:tabs>
          <w:tab w:val="left" w:pos="360"/>
        </w:tabs>
        <w:spacing w:line="360" w:lineRule="auto"/>
        <w:jc w:val="center"/>
        <w:rPr>
          <w:rFonts w:asci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u w:val="single"/>
          <w14:textFill>
            <w14:solidFill>
              <w14:schemeClr w14:val="tx1"/>
            </w14:solidFill>
          </w14:textFill>
        </w:rPr>
        <w:t xml:space="preserve"> </w:t>
      </w:r>
      <w:r>
        <w:rPr>
          <w:rFonts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年</w:t>
      </w:r>
      <w:r>
        <w:rPr>
          <w:rFonts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月</w:t>
      </w:r>
      <w:r>
        <w:rPr>
          <w:rFonts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日</w:t>
      </w:r>
    </w:p>
    <w:p>
      <w:pPr>
        <w:rPr>
          <w:rFonts w:ascii="宋体"/>
          <w:b/>
          <w:color w:val="000000" w:themeColor="text1"/>
          <w:sz w:val="32"/>
          <w:szCs w:val="32"/>
          <w:highlight w:val="none"/>
          <w14:textFill>
            <w14:solidFill>
              <w14:schemeClr w14:val="tx1"/>
            </w14:solidFill>
          </w14:textFill>
        </w:rPr>
        <w:sectPr>
          <w:headerReference r:id="rId8" w:type="default"/>
          <w:type w:val="continuous"/>
          <w:pgSz w:w="11906" w:h="16838"/>
          <w:pgMar w:top="1418" w:right="1134" w:bottom="1418" w:left="1418" w:header="851" w:footer="992" w:gutter="0"/>
          <w:pgBorders>
            <w:top w:val="none" w:sz="0" w:space="0"/>
            <w:left w:val="none" w:sz="0" w:space="0"/>
            <w:bottom w:val="none" w:sz="0" w:space="0"/>
            <w:right w:val="none" w:sz="0" w:space="0"/>
          </w:pgBorders>
          <w:cols w:space="720" w:num="1"/>
          <w:titlePg/>
          <w:docGrid w:type="lines" w:linePitch="312" w:charSpace="0"/>
        </w:sectPr>
      </w:pPr>
    </w:p>
    <w:p>
      <w:pPr>
        <w:pStyle w:val="58"/>
        <w:rPr>
          <w:highlight w:val="none"/>
        </w:rPr>
      </w:pPr>
    </w:p>
    <w:p>
      <w:pPr>
        <w:pStyle w:val="16"/>
        <w:rPr>
          <w:highlight w:val="none"/>
        </w:rPr>
      </w:pPr>
    </w:p>
    <w:p>
      <w:pPr>
        <w:jc w:val="center"/>
        <w:rPr>
          <w:rFonts w:asci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投标文件编制说明</w:t>
      </w:r>
      <w:bookmarkStart w:id="298" w:name="_GoBack"/>
      <w:bookmarkEnd w:id="298"/>
    </w:p>
    <w:p>
      <w:pPr>
        <w:rPr>
          <w:rFonts w:ascii="宋体"/>
          <w:color w:val="000000" w:themeColor="text1"/>
          <w:sz w:val="24"/>
          <w:highlight w:val="none"/>
          <w14:textFill>
            <w14:solidFill>
              <w14:schemeClr w14:val="tx1"/>
            </w14:solidFill>
          </w14:textFill>
        </w:rPr>
      </w:pP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、陕西嘉唐建设项目管理有限公司提供的投标文件格式，起到样式作用，编制投标文件前，请详细阅读招标文件，理解文件中的每一项要求。</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、投标文件的编制应按照样本格式提供的内容，做出逐一明确的答复；供应商认为有必要，还可以做其它补充说明。</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、全部编制完成，并加盖印章。</w:t>
      </w:r>
    </w:p>
    <w:p>
      <w:pPr>
        <w:spacing w:line="460" w:lineRule="exact"/>
        <w:jc w:val="center"/>
        <w:outlineLvl w:val="9"/>
        <w:rPr>
          <w:rFonts w:ascii="宋体"/>
          <w:b/>
          <w:color w:val="000000" w:themeColor="text1"/>
          <w:sz w:val="44"/>
          <w:szCs w:val="44"/>
          <w:highlight w:val="none"/>
          <w14:textFill>
            <w14:solidFill>
              <w14:schemeClr w14:val="tx1"/>
            </w14:solidFill>
          </w14:textFill>
        </w:rPr>
      </w:pPr>
    </w:p>
    <w:p>
      <w:pPr>
        <w:spacing w:line="460" w:lineRule="exact"/>
        <w:jc w:val="center"/>
        <w:outlineLvl w:val="9"/>
        <w:rPr>
          <w:rFonts w:ascii="宋体"/>
          <w:b/>
          <w:color w:val="000000" w:themeColor="text1"/>
          <w:sz w:val="44"/>
          <w:szCs w:val="44"/>
          <w:highlight w:val="none"/>
          <w14:textFill>
            <w14:solidFill>
              <w14:schemeClr w14:val="tx1"/>
            </w14:solidFill>
          </w14:textFill>
        </w:rPr>
      </w:pPr>
    </w:p>
    <w:p>
      <w:pPr>
        <w:spacing w:line="460" w:lineRule="exact"/>
        <w:jc w:val="center"/>
        <w:outlineLvl w:val="9"/>
        <w:rPr>
          <w:rFonts w:ascii="宋体"/>
          <w:b/>
          <w:color w:val="000000" w:themeColor="text1"/>
          <w:sz w:val="44"/>
          <w:szCs w:val="44"/>
          <w:highlight w:val="none"/>
          <w14:textFill>
            <w14:solidFill>
              <w14:schemeClr w14:val="tx1"/>
            </w14:solidFill>
          </w14:textFill>
        </w:rPr>
      </w:pPr>
    </w:p>
    <w:p>
      <w:pPr>
        <w:spacing w:line="460" w:lineRule="exact"/>
        <w:jc w:val="center"/>
        <w:outlineLvl w:val="9"/>
        <w:rPr>
          <w:rFonts w:ascii="宋体"/>
          <w:b/>
          <w:color w:val="000000" w:themeColor="text1"/>
          <w:sz w:val="44"/>
          <w:szCs w:val="44"/>
          <w:highlight w:val="none"/>
          <w14:textFill>
            <w14:solidFill>
              <w14:schemeClr w14:val="tx1"/>
            </w14:solidFill>
          </w14:textFill>
        </w:rPr>
      </w:pPr>
    </w:p>
    <w:p>
      <w:pPr>
        <w:spacing w:line="460" w:lineRule="exact"/>
        <w:jc w:val="center"/>
        <w:outlineLvl w:val="9"/>
        <w:rPr>
          <w:rFonts w:ascii="宋体"/>
          <w:b/>
          <w:color w:val="000000" w:themeColor="text1"/>
          <w:sz w:val="44"/>
          <w:szCs w:val="44"/>
          <w:highlight w:val="none"/>
          <w14:textFill>
            <w14:solidFill>
              <w14:schemeClr w14:val="tx1"/>
            </w14:solidFill>
          </w14:textFill>
        </w:rPr>
      </w:pPr>
    </w:p>
    <w:p>
      <w:pPr>
        <w:spacing w:line="460" w:lineRule="exact"/>
        <w:jc w:val="center"/>
        <w:outlineLvl w:val="9"/>
        <w:rPr>
          <w:rFonts w:ascii="宋体"/>
          <w:b/>
          <w:color w:val="000000" w:themeColor="text1"/>
          <w:sz w:val="44"/>
          <w:szCs w:val="44"/>
          <w:highlight w:val="none"/>
          <w14:textFill>
            <w14:solidFill>
              <w14:schemeClr w14:val="tx1"/>
            </w14:solidFill>
          </w14:textFill>
        </w:rPr>
      </w:pPr>
    </w:p>
    <w:p>
      <w:pPr>
        <w:spacing w:line="460" w:lineRule="exact"/>
        <w:jc w:val="center"/>
        <w:outlineLvl w:val="9"/>
        <w:rPr>
          <w:rFonts w:ascii="宋体"/>
          <w:b/>
          <w:color w:val="000000" w:themeColor="text1"/>
          <w:sz w:val="44"/>
          <w:szCs w:val="44"/>
          <w:highlight w:val="none"/>
          <w14:textFill>
            <w14:solidFill>
              <w14:schemeClr w14:val="tx1"/>
            </w14:solidFill>
          </w14:textFill>
        </w:rPr>
      </w:pPr>
    </w:p>
    <w:p>
      <w:pPr>
        <w:spacing w:line="460" w:lineRule="exact"/>
        <w:jc w:val="center"/>
        <w:outlineLvl w:val="9"/>
        <w:rPr>
          <w:rFonts w:ascii="宋体"/>
          <w:b/>
          <w:color w:val="000000" w:themeColor="text1"/>
          <w:sz w:val="44"/>
          <w:szCs w:val="44"/>
          <w:highlight w:val="none"/>
          <w14:textFill>
            <w14:solidFill>
              <w14:schemeClr w14:val="tx1"/>
            </w14:solidFill>
          </w14:textFill>
        </w:rPr>
      </w:pPr>
    </w:p>
    <w:p>
      <w:pPr>
        <w:spacing w:line="460" w:lineRule="exact"/>
        <w:jc w:val="center"/>
        <w:outlineLvl w:val="9"/>
        <w:rPr>
          <w:rFonts w:ascii="宋体"/>
          <w:b/>
          <w:color w:val="000000" w:themeColor="text1"/>
          <w:sz w:val="44"/>
          <w:szCs w:val="44"/>
          <w:highlight w:val="none"/>
          <w14:textFill>
            <w14:solidFill>
              <w14:schemeClr w14:val="tx1"/>
            </w14:solidFill>
          </w14:textFill>
        </w:rPr>
      </w:pPr>
    </w:p>
    <w:p>
      <w:pPr>
        <w:spacing w:line="460" w:lineRule="exact"/>
        <w:jc w:val="center"/>
        <w:outlineLvl w:val="9"/>
        <w:rPr>
          <w:rFonts w:ascii="宋体"/>
          <w:b/>
          <w:color w:val="000000" w:themeColor="text1"/>
          <w:sz w:val="44"/>
          <w:szCs w:val="44"/>
          <w:highlight w:val="none"/>
          <w14:textFill>
            <w14:solidFill>
              <w14:schemeClr w14:val="tx1"/>
            </w14:solidFill>
          </w14:textFill>
        </w:rPr>
      </w:pPr>
    </w:p>
    <w:p>
      <w:pPr>
        <w:spacing w:line="460" w:lineRule="exact"/>
        <w:jc w:val="center"/>
        <w:outlineLvl w:val="9"/>
        <w:rPr>
          <w:rFonts w:ascii="宋体"/>
          <w:b/>
          <w:color w:val="000000" w:themeColor="text1"/>
          <w:sz w:val="44"/>
          <w:szCs w:val="44"/>
          <w:highlight w:val="none"/>
          <w14:textFill>
            <w14:solidFill>
              <w14:schemeClr w14:val="tx1"/>
            </w14:solidFill>
          </w14:textFill>
        </w:rPr>
      </w:pPr>
    </w:p>
    <w:p>
      <w:pPr>
        <w:spacing w:line="460" w:lineRule="exact"/>
        <w:jc w:val="center"/>
        <w:outlineLvl w:val="9"/>
        <w:rPr>
          <w:rFonts w:ascii="宋体"/>
          <w:b/>
          <w:color w:val="000000" w:themeColor="text1"/>
          <w:sz w:val="44"/>
          <w:szCs w:val="44"/>
          <w:highlight w:val="none"/>
          <w14:textFill>
            <w14:solidFill>
              <w14:schemeClr w14:val="tx1"/>
            </w14:solidFill>
          </w14:textFill>
        </w:rPr>
      </w:pPr>
    </w:p>
    <w:p>
      <w:pPr>
        <w:spacing w:line="460" w:lineRule="exact"/>
        <w:jc w:val="center"/>
        <w:outlineLvl w:val="9"/>
        <w:rPr>
          <w:rFonts w:ascii="宋体"/>
          <w:b/>
          <w:color w:val="000000" w:themeColor="text1"/>
          <w:sz w:val="44"/>
          <w:szCs w:val="44"/>
          <w:highlight w:val="none"/>
          <w14:textFill>
            <w14:solidFill>
              <w14:schemeClr w14:val="tx1"/>
            </w14:solidFill>
          </w14:textFill>
        </w:rPr>
      </w:pPr>
    </w:p>
    <w:p>
      <w:pPr>
        <w:spacing w:line="460" w:lineRule="exact"/>
        <w:jc w:val="center"/>
        <w:outlineLvl w:val="9"/>
        <w:rPr>
          <w:rFonts w:ascii="宋体"/>
          <w:b/>
          <w:color w:val="000000" w:themeColor="text1"/>
          <w:sz w:val="44"/>
          <w:szCs w:val="44"/>
          <w:highlight w:val="none"/>
          <w14:textFill>
            <w14:solidFill>
              <w14:schemeClr w14:val="tx1"/>
            </w14:solidFill>
          </w14:textFill>
        </w:rPr>
      </w:pPr>
    </w:p>
    <w:p>
      <w:pPr>
        <w:spacing w:line="460" w:lineRule="exact"/>
        <w:jc w:val="center"/>
        <w:outlineLvl w:val="9"/>
        <w:rPr>
          <w:rFonts w:ascii="宋体"/>
          <w:b/>
          <w:color w:val="000000" w:themeColor="text1"/>
          <w:sz w:val="44"/>
          <w:szCs w:val="44"/>
          <w:highlight w:val="none"/>
          <w14:textFill>
            <w14:solidFill>
              <w14:schemeClr w14:val="tx1"/>
            </w14:solidFill>
          </w14:textFill>
        </w:rPr>
      </w:pPr>
    </w:p>
    <w:p>
      <w:pPr>
        <w:spacing w:line="460" w:lineRule="exact"/>
        <w:jc w:val="center"/>
        <w:outlineLvl w:val="9"/>
        <w:rPr>
          <w:rFonts w:ascii="宋体"/>
          <w:b/>
          <w:color w:val="000000" w:themeColor="text1"/>
          <w:sz w:val="44"/>
          <w:szCs w:val="44"/>
          <w:highlight w:val="none"/>
          <w14:textFill>
            <w14:solidFill>
              <w14:schemeClr w14:val="tx1"/>
            </w14:solidFill>
          </w14:textFill>
        </w:rPr>
      </w:pPr>
    </w:p>
    <w:p>
      <w:pPr>
        <w:spacing w:line="460" w:lineRule="exact"/>
        <w:jc w:val="center"/>
        <w:outlineLvl w:val="9"/>
        <w:rPr>
          <w:rFonts w:ascii="宋体"/>
          <w:b/>
          <w:color w:val="000000" w:themeColor="text1"/>
          <w:sz w:val="44"/>
          <w:szCs w:val="44"/>
          <w:highlight w:val="none"/>
          <w14:textFill>
            <w14:solidFill>
              <w14:schemeClr w14:val="tx1"/>
            </w14:solidFill>
          </w14:textFill>
        </w:rPr>
      </w:pPr>
    </w:p>
    <w:p>
      <w:pPr>
        <w:spacing w:line="460" w:lineRule="exact"/>
        <w:jc w:val="center"/>
        <w:outlineLvl w:val="9"/>
        <w:rPr>
          <w:rFonts w:ascii="宋体"/>
          <w:b/>
          <w:color w:val="000000" w:themeColor="text1"/>
          <w:sz w:val="44"/>
          <w:szCs w:val="44"/>
          <w:highlight w:val="none"/>
          <w14:textFill>
            <w14:solidFill>
              <w14:schemeClr w14:val="tx1"/>
            </w14:solidFill>
          </w14:textFill>
        </w:rPr>
      </w:pPr>
    </w:p>
    <w:p>
      <w:pPr>
        <w:spacing w:line="460" w:lineRule="exact"/>
        <w:jc w:val="center"/>
        <w:outlineLvl w:val="9"/>
        <w:rPr>
          <w:rFonts w:ascii="宋体"/>
          <w:b/>
          <w:color w:val="000000" w:themeColor="text1"/>
          <w:sz w:val="44"/>
          <w:szCs w:val="44"/>
          <w:highlight w:val="none"/>
          <w14:textFill>
            <w14:solidFill>
              <w14:schemeClr w14:val="tx1"/>
            </w14:solidFill>
          </w14:textFill>
        </w:rPr>
      </w:pPr>
    </w:p>
    <w:p>
      <w:pPr>
        <w:spacing w:line="460" w:lineRule="exact"/>
        <w:jc w:val="center"/>
        <w:outlineLvl w:val="9"/>
        <w:rPr>
          <w:rFonts w:ascii="宋体"/>
          <w:b/>
          <w:color w:val="000000" w:themeColor="text1"/>
          <w:sz w:val="44"/>
          <w:szCs w:val="44"/>
          <w:highlight w:val="none"/>
          <w14:textFill>
            <w14:solidFill>
              <w14:schemeClr w14:val="tx1"/>
            </w14:solidFill>
          </w14:textFill>
        </w:rPr>
      </w:pPr>
    </w:p>
    <w:p>
      <w:pPr>
        <w:spacing w:line="460" w:lineRule="exact"/>
        <w:jc w:val="center"/>
        <w:outlineLvl w:val="9"/>
        <w:rPr>
          <w:rFonts w:ascii="宋体"/>
          <w:b/>
          <w:color w:val="000000" w:themeColor="text1"/>
          <w:sz w:val="44"/>
          <w:szCs w:val="44"/>
          <w:highlight w:val="none"/>
          <w14:textFill>
            <w14:solidFill>
              <w14:schemeClr w14:val="tx1"/>
            </w14:solidFill>
          </w14:textFill>
        </w:rPr>
        <w:sectPr>
          <w:headerReference r:id="rId9" w:type="first"/>
          <w:pgSz w:w="11906" w:h="16838"/>
          <w:pgMar w:top="1418" w:right="1134" w:bottom="1418" w:left="1418" w:header="851" w:footer="992" w:gutter="0"/>
          <w:pgBorders>
            <w:top w:val="none" w:sz="0" w:space="0"/>
            <w:left w:val="none" w:sz="0" w:space="0"/>
            <w:bottom w:val="none" w:sz="0" w:space="0"/>
            <w:right w:val="none" w:sz="0" w:space="0"/>
          </w:pgBorders>
          <w:cols w:space="720" w:num="1"/>
          <w:titlePg/>
          <w:docGrid w:type="lines" w:linePitch="312" w:charSpace="0"/>
        </w:sectPr>
      </w:pPr>
    </w:p>
    <w:p>
      <w:pPr>
        <w:spacing w:line="460" w:lineRule="exact"/>
        <w:jc w:val="center"/>
        <w:outlineLvl w:val="9"/>
        <w:rPr>
          <w:rFonts w:ascii="宋体"/>
          <w:b/>
          <w:color w:val="000000" w:themeColor="text1"/>
          <w:sz w:val="44"/>
          <w:szCs w:val="44"/>
          <w:highlight w:val="none"/>
          <w14:textFill>
            <w14:solidFill>
              <w14:schemeClr w14:val="tx1"/>
            </w14:solidFill>
          </w14:textFill>
        </w:rPr>
      </w:pPr>
    </w:p>
    <w:p>
      <w:pPr>
        <w:spacing w:line="460" w:lineRule="exact"/>
        <w:jc w:val="center"/>
        <w:outlineLvl w:val="9"/>
        <w:rPr>
          <w:rFonts w:ascii="宋体"/>
          <w:b/>
          <w:color w:val="000000" w:themeColor="text1"/>
          <w:sz w:val="44"/>
          <w:szCs w:val="44"/>
          <w:highlight w:val="none"/>
          <w14:textFill>
            <w14:solidFill>
              <w14:schemeClr w14:val="tx1"/>
            </w14:solidFill>
          </w14:textFill>
        </w:rPr>
      </w:pPr>
      <w:bookmarkStart w:id="251" w:name="_Toc18344"/>
      <w:r>
        <w:rPr>
          <w:rFonts w:hint="eastAsia" w:ascii="宋体" w:hAnsi="宋体"/>
          <w:b/>
          <w:color w:val="000000" w:themeColor="text1"/>
          <w:sz w:val="44"/>
          <w:szCs w:val="44"/>
          <w:highlight w:val="none"/>
          <w14:textFill>
            <w14:solidFill>
              <w14:schemeClr w14:val="tx1"/>
            </w14:solidFill>
          </w14:textFill>
        </w:rPr>
        <w:t>目</w:t>
      </w:r>
      <w:r>
        <w:rPr>
          <w:rFonts w:ascii="宋体" w:hAnsi="宋体"/>
          <w:b/>
          <w:color w:val="000000" w:themeColor="text1"/>
          <w:sz w:val="44"/>
          <w:szCs w:val="44"/>
          <w:highlight w:val="none"/>
          <w14:textFill>
            <w14:solidFill>
              <w14:schemeClr w14:val="tx1"/>
            </w14:solidFill>
          </w14:textFill>
        </w:rPr>
        <w:t xml:space="preserve">   </w:t>
      </w:r>
      <w:r>
        <w:rPr>
          <w:rFonts w:hint="eastAsia" w:ascii="宋体" w:hAnsi="宋体"/>
          <w:b/>
          <w:color w:val="000000" w:themeColor="text1"/>
          <w:sz w:val="44"/>
          <w:szCs w:val="44"/>
          <w:highlight w:val="none"/>
          <w14:textFill>
            <w14:solidFill>
              <w14:schemeClr w14:val="tx1"/>
            </w14:solidFill>
          </w14:textFill>
        </w:rPr>
        <w:t>录</w:t>
      </w:r>
      <w:bookmarkEnd w:id="251"/>
    </w:p>
    <w:p>
      <w:pPr>
        <w:snapToGrid w:val="0"/>
        <w:spacing w:line="480" w:lineRule="auto"/>
        <w:ind w:firstLine="1792" w:firstLineChars="640"/>
        <w:rPr>
          <w:rFonts w:hint="eastAsia" w:ascii="宋体" w:hAnsi="宋体"/>
          <w:color w:val="000000" w:themeColor="text1"/>
          <w:sz w:val="28"/>
          <w:szCs w:val="28"/>
          <w:highlight w:val="none"/>
          <w14:textFill>
            <w14:solidFill>
              <w14:schemeClr w14:val="tx1"/>
            </w14:solidFill>
          </w14:textFill>
        </w:rPr>
      </w:pPr>
    </w:p>
    <w:p>
      <w:pPr>
        <w:snapToGrid w:val="0"/>
        <w:spacing w:line="480" w:lineRule="auto"/>
        <w:ind w:firstLine="1792" w:firstLineChars="640"/>
        <w:rPr>
          <w:rFonts w:hint="eastAsia" w:ascii="宋体" w:hAnsi="宋体"/>
          <w:color w:val="000000" w:themeColor="text1"/>
          <w:sz w:val="28"/>
          <w:szCs w:val="28"/>
          <w:highlight w:val="none"/>
          <w14:textFill>
            <w14:solidFill>
              <w14:schemeClr w14:val="tx1"/>
            </w14:solidFill>
          </w14:textFill>
        </w:rPr>
      </w:pPr>
    </w:p>
    <w:p>
      <w:pPr>
        <w:snapToGrid w:val="0"/>
        <w:spacing w:line="480" w:lineRule="auto"/>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一、投标函..................................................页码</w:t>
      </w:r>
    </w:p>
    <w:p>
      <w:pPr>
        <w:snapToGrid w:val="0"/>
        <w:spacing w:line="480" w:lineRule="auto"/>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二、开标一览表（唱标报告）..................................页码</w:t>
      </w:r>
    </w:p>
    <w:p>
      <w:pPr>
        <w:snapToGrid w:val="0"/>
        <w:spacing w:line="480" w:lineRule="auto"/>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三、法定代表人身份证明/法定代表人授权书.....................页码</w:t>
      </w:r>
    </w:p>
    <w:p>
      <w:pPr>
        <w:snapToGrid w:val="0"/>
        <w:spacing w:line="480" w:lineRule="auto"/>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四、投标方案说明书..........................................页码</w:t>
      </w:r>
    </w:p>
    <w:p>
      <w:pPr>
        <w:snapToGrid w:val="0"/>
        <w:spacing w:line="480" w:lineRule="auto"/>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五、商务条款偏离表..........................................页码</w:t>
      </w:r>
    </w:p>
    <w:p>
      <w:pPr>
        <w:snapToGrid w:val="0"/>
        <w:spacing w:line="480" w:lineRule="auto"/>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六、供应商承诺书............................................页码</w:t>
      </w:r>
    </w:p>
    <w:p>
      <w:pPr>
        <w:snapToGrid w:val="0"/>
        <w:spacing w:line="480" w:lineRule="auto"/>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七、资格证明文件............................................页码</w:t>
      </w:r>
    </w:p>
    <w:p>
      <w:pPr>
        <w:snapToGrid w:val="0"/>
        <w:spacing w:line="480" w:lineRule="auto"/>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八、其他资料................................................页码</w:t>
      </w:r>
    </w:p>
    <w:p>
      <w:pPr>
        <w:snapToGrid w:val="0"/>
        <w:spacing w:line="360" w:lineRule="auto"/>
        <w:ind w:firstLine="1792" w:firstLineChars="640"/>
        <w:rPr>
          <w:rFonts w:ascii="宋体"/>
          <w:color w:val="000000" w:themeColor="text1"/>
          <w:sz w:val="28"/>
          <w:szCs w:val="28"/>
          <w:highlight w:val="none"/>
          <w14:textFill>
            <w14:solidFill>
              <w14:schemeClr w14:val="tx1"/>
            </w14:solidFill>
          </w14:textFill>
        </w:rPr>
      </w:pPr>
    </w:p>
    <w:p>
      <w:pPr>
        <w:snapToGrid w:val="0"/>
        <w:spacing w:line="360" w:lineRule="auto"/>
        <w:ind w:firstLine="1792" w:firstLineChars="640"/>
        <w:rPr>
          <w:rFonts w:ascii="宋体"/>
          <w:color w:val="000000" w:themeColor="text1"/>
          <w:sz w:val="28"/>
          <w:szCs w:val="28"/>
          <w:highlight w:val="none"/>
          <w14:textFill>
            <w14:solidFill>
              <w14:schemeClr w14:val="tx1"/>
            </w14:solidFill>
          </w14:textFill>
        </w:rPr>
      </w:pPr>
    </w:p>
    <w:p>
      <w:pPr>
        <w:snapToGrid w:val="0"/>
        <w:spacing w:line="360" w:lineRule="auto"/>
        <w:ind w:firstLine="1792" w:firstLineChars="640"/>
        <w:rPr>
          <w:rFonts w:ascii="宋体"/>
          <w:color w:val="000000" w:themeColor="text1"/>
          <w:sz w:val="28"/>
          <w:szCs w:val="28"/>
          <w:highlight w:val="none"/>
          <w14:textFill>
            <w14:solidFill>
              <w14:schemeClr w14:val="tx1"/>
            </w14:solidFill>
          </w14:textFill>
        </w:rPr>
      </w:pPr>
    </w:p>
    <w:p>
      <w:pPr>
        <w:pStyle w:val="96"/>
        <w:ind w:firstLine="2530" w:firstLineChars="840"/>
        <w:rPr>
          <w:color w:val="000000" w:themeColor="text1"/>
          <w:sz w:val="18"/>
          <w:szCs w:val="18"/>
          <w:highlight w:val="none"/>
          <w14:textFill>
            <w14:solidFill>
              <w14:schemeClr w14:val="tx1"/>
            </w14:solidFill>
          </w14:textFill>
        </w:rPr>
      </w:pPr>
      <w:r>
        <w:rPr>
          <w:color w:val="000000" w:themeColor="text1"/>
          <w:sz w:val="30"/>
          <w:highlight w:val="none"/>
          <w14:textFill>
            <w14:solidFill>
              <w14:schemeClr w14:val="tx1"/>
            </w14:solidFill>
          </w14:textFill>
        </w:rPr>
        <w:br w:type="page"/>
      </w:r>
    </w:p>
    <w:p>
      <w:pPr>
        <w:jc w:val="center"/>
        <w:outlineLvl w:val="1"/>
        <w:rPr>
          <w:rFonts w:ascii="宋体"/>
          <w:b/>
          <w:color w:val="000000" w:themeColor="text1"/>
          <w:sz w:val="32"/>
          <w:szCs w:val="32"/>
          <w:highlight w:val="none"/>
          <w14:textFill>
            <w14:solidFill>
              <w14:schemeClr w14:val="tx1"/>
            </w14:solidFill>
          </w14:textFill>
        </w:rPr>
      </w:pPr>
      <w:bookmarkStart w:id="252" w:name="_Toc15600"/>
      <w:bookmarkStart w:id="253" w:name="_Toc31665"/>
      <w:bookmarkStart w:id="254" w:name="_Toc7595"/>
      <w:r>
        <w:rPr>
          <w:rFonts w:hint="eastAsia" w:ascii="宋体" w:hAnsi="宋体"/>
          <w:b/>
          <w:color w:val="000000" w:themeColor="text1"/>
          <w:sz w:val="32"/>
          <w:szCs w:val="32"/>
          <w:highlight w:val="none"/>
          <w14:textFill>
            <w14:solidFill>
              <w14:schemeClr w14:val="tx1"/>
            </w14:solidFill>
          </w14:textFill>
        </w:rPr>
        <w:t>一</w:t>
      </w:r>
      <w:r>
        <w:rPr>
          <w:rFonts w:ascii="宋体"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 w:val="32"/>
          <w:szCs w:val="32"/>
          <w:highlight w:val="none"/>
          <w14:textFill>
            <w14:solidFill>
              <w14:schemeClr w14:val="tx1"/>
            </w14:solidFill>
          </w14:textFill>
        </w:rPr>
        <w:t>、投标函</w:t>
      </w:r>
      <w:bookmarkEnd w:id="252"/>
      <w:bookmarkEnd w:id="253"/>
      <w:bookmarkEnd w:id="254"/>
    </w:p>
    <w:p>
      <w:pPr>
        <w:spacing w:line="360" w:lineRule="auto"/>
        <w:rPr>
          <w:rFonts w:ascii="宋体"/>
          <w:color w:val="000000" w:themeColor="text1"/>
          <w:sz w:val="24"/>
          <w:highlight w:val="none"/>
          <w:u w:val="single"/>
          <w14:textFill>
            <w14:solidFill>
              <w14:schemeClr w14:val="tx1"/>
            </w14:solidFill>
          </w14:textFill>
        </w:rPr>
      </w:pPr>
    </w:p>
    <w:p>
      <w:pPr>
        <w:spacing w:line="360" w:lineRule="auto"/>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（采购人名称）</w:t>
      </w:r>
      <w:r>
        <w:rPr>
          <w:rFonts w:ascii="宋体" w:hAnsi="宋体"/>
          <w:color w:val="000000" w:themeColor="text1"/>
          <w:sz w:val="24"/>
          <w:highlight w:val="none"/>
          <w14:textFill>
            <w14:solidFill>
              <w14:schemeClr w14:val="tx1"/>
            </w14:solidFill>
          </w14:textFill>
        </w:rPr>
        <w:t xml:space="preserve">: </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．我方己仔细研究了</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项目招标文件的全部内容，承诺完全响应招标文件的全部内容，签字代表（</w:t>
      </w:r>
      <w:r>
        <w:rPr>
          <w:rFonts w:hint="eastAsia" w:ascii="宋体" w:hAnsi="宋体"/>
          <w:color w:val="000000" w:themeColor="text1"/>
          <w:sz w:val="24"/>
          <w:highlight w:val="none"/>
          <w:u w:val="single"/>
          <w14:textFill>
            <w14:solidFill>
              <w14:schemeClr w14:val="tx1"/>
            </w14:solidFill>
          </w14:textFill>
        </w:rPr>
        <w:t>全名、职务</w:t>
      </w:r>
      <w:r>
        <w:rPr>
          <w:rFonts w:hint="eastAsia" w:ascii="宋体" w:hAnsi="宋体"/>
          <w:color w:val="000000" w:themeColor="text1"/>
          <w:sz w:val="24"/>
          <w:highlight w:val="none"/>
          <w14:textFill>
            <w14:solidFill>
              <w14:schemeClr w14:val="tx1"/>
            </w14:solidFill>
          </w14:textFill>
        </w:rPr>
        <w:t>）经正式授权并代表供应商(</w:t>
      </w:r>
      <w:r>
        <w:rPr>
          <w:rFonts w:hint="eastAsia" w:ascii="宋体" w:hAnsi="宋体"/>
          <w:color w:val="000000" w:themeColor="text1"/>
          <w:sz w:val="24"/>
          <w:highlight w:val="none"/>
          <w:u w:val="single"/>
          <w14:textFill>
            <w14:solidFill>
              <w14:schemeClr w14:val="tx1"/>
            </w14:solidFill>
          </w14:textFill>
        </w:rPr>
        <w:t>供应商名称、地址</w:t>
      </w:r>
      <w:r>
        <w:rPr>
          <w:rFonts w:hint="eastAsia" w:ascii="宋体" w:hAnsi="宋体"/>
          <w:color w:val="000000" w:themeColor="text1"/>
          <w:sz w:val="24"/>
          <w:highlight w:val="none"/>
          <w14:textFill>
            <w14:solidFill>
              <w14:schemeClr w14:val="tx1"/>
            </w14:solidFill>
          </w14:textFill>
        </w:rPr>
        <w:t>) 提交投标文件。</w:t>
      </w:r>
    </w:p>
    <w:p>
      <w:pPr>
        <w:spacing w:line="288" w:lineRule="auto"/>
        <w:ind w:firstLine="480" w:firstLineChars="20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我方已详细审核全部招标文件，包括答疑纪要及有关附件。</w:t>
      </w:r>
    </w:p>
    <w:p>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．我方承诺在投标有效期内不修改、撤销投标文件。</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4．如我方中标：</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l</w:t>
      </w:r>
      <w:r>
        <w:rPr>
          <w:rFonts w:hint="eastAsia" w:ascii="宋体" w:hAnsi="宋体"/>
          <w:color w:val="000000" w:themeColor="text1"/>
          <w:sz w:val="24"/>
          <w:highlight w:val="none"/>
          <w14:textFill>
            <w14:solidFill>
              <w14:schemeClr w14:val="tx1"/>
            </w14:solidFill>
          </w14:textFill>
        </w:rPr>
        <w:t>）我方承诺在收到中标通知书后，在中标通知书规定的期限内与你方签订合同。</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）我方承诺在合同约定的期限内完成所有工作。</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）我方承诺在本项目实施过程中，以中标单价为合同结算的依据。</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5．我方在此声明，所递交的投标文件及有关资料内容完整、真实和准确。</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我方的投标文件在开标大会之日起计算有效期为</w:t>
      </w:r>
      <w:r>
        <w:rPr>
          <w:rFonts w:ascii="宋体" w:hAnsi="宋体"/>
          <w:color w:val="000000" w:themeColor="text1"/>
          <w:sz w:val="24"/>
          <w:highlight w:val="none"/>
          <w14:textFill>
            <w14:solidFill>
              <w14:schemeClr w14:val="tx1"/>
            </w14:solidFill>
          </w14:textFill>
        </w:rPr>
        <w:t xml:space="preserve"> 90</w:t>
      </w:r>
      <w:r>
        <w:rPr>
          <w:rFonts w:hint="eastAsia" w:ascii="宋体" w:hAnsi="宋体"/>
          <w:color w:val="000000" w:themeColor="text1"/>
          <w:sz w:val="24"/>
          <w:highlight w:val="none"/>
          <w14:textFill>
            <w14:solidFill>
              <w14:schemeClr w14:val="tx1"/>
            </w14:solidFill>
          </w14:textFill>
        </w:rPr>
        <w:t>天。</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（其他补充说明）。</w:t>
      </w:r>
    </w:p>
    <w:p>
      <w:pPr>
        <w:pStyle w:val="12"/>
        <w:spacing w:line="360" w:lineRule="auto"/>
        <w:ind w:firstLine="480"/>
        <w:jc w:val="left"/>
        <w:rPr>
          <w:rFonts w:ascii="宋体"/>
          <w:color w:val="000000" w:themeColor="text1"/>
          <w:sz w:val="24"/>
          <w:highlight w:val="none"/>
          <w14:textFill>
            <w14:solidFill>
              <w14:schemeClr w14:val="tx1"/>
            </w14:solidFill>
          </w14:textFill>
        </w:rPr>
      </w:pPr>
    </w:p>
    <w:p>
      <w:pPr>
        <w:spacing w:line="360" w:lineRule="auto"/>
        <w:ind w:firstLine="2160" w:firstLineChars="9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邮编</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p>
    <w:p>
      <w:pPr>
        <w:spacing w:line="360" w:lineRule="auto"/>
        <w:ind w:firstLine="2160" w:firstLineChars="9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传真：</w:t>
      </w:r>
      <w:r>
        <w:rPr>
          <w:rFonts w:ascii="宋体" w:hAnsi="宋体"/>
          <w:color w:val="000000" w:themeColor="text1"/>
          <w:sz w:val="24"/>
          <w:highlight w:val="none"/>
          <w:u w:val="single"/>
          <w14:textFill>
            <w14:solidFill>
              <w14:schemeClr w14:val="tx1"/>
            </w14:solidFill>
          </w14:textFill>
        </w:rPr>
        <w:t xml:space="preserve">                </w:t>
      </w:r>
    </w:p>
    <w:p>
      <w:pPr>
        <w:spacing w:line="360" w:lineRule="auto"/>
        <w:ind w:firstLine="2160" w:firstLineChars="9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供应商全称：</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公章</w:t>
      </w:r>
      <w:r>
        <w:rPr>
          <w:rFonts w:ascii="宋体" w:hAnsi="宋体"/>
          <w:color w:val="000000" w:themeColor="text1"/>
          <w:sz w:val="24"/>
          <w:highlight w:val="none"/>
          <w14:textFill>
            <w14:solidFill>
              <w14:schemeClr w14:val="tx1"/>
            </w14:solidFill>
          </w14:textFill>
        </w:rPr>
        <w:t xml:space="preserve">) </w:t>
      </w:r>
    </w:p>
    <w:p>
      <w:pPr>
        <w:spacing w:line="360" w:lineRule="auto"/>
        <w:ind w:firstLine="2160" w:firstLineChars="9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法定代表人或被授权人：</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签字或盖章</w:t>
      </w:r>
      <w:r>
        <w:rPr>
          <w:rFonts w:ascii="宋体" w:hAnsi="宋体"/>
          <w:color w:val="000000" w:themeColor="text1"/>
          <w:sz w:val="24"/>
          <w:highlight w:val="none"/>
          <w14:textFill>
            <w14:solidFill>
              <w14:schemeClr w14:val="tx1"/>
            </w14:solidFill>
          </w14:textFill>
        </w:rPr>
        <w:t>)</w:t>
      </w:r>
    </w:p>
    <w:p>
      <w:pPr>
        <w:tabs>
          <w:tab w:val="left" w:pos="630"/>
          <w:tab w:val="left" w:pos="1260"/>
        </w:tabs>
        <w:spacing w:line="360" w:lineRule="auto"/>
        <w:ind w:firstLine="2160" w:firstLineChars="900"/>
        <w:jc w:val="center"/>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日期：</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rPr>
          <w:rFonts w:ascii="宋体"/>
          <w:color w:val="000000" w:themeColor="text1"/>
          <w:sz w:val="24"/>
          <w:highlight w:val="none"/>
          <w14:textFill>
            <w14:solidFill>
              <w14:schemeClr w14:val="tx1"/>
            </w14:solidFill>
          </w14:textFill>
        </w:rPr>
      </w:pPr>
      <w:r>
        <w:rPr>
          <w:rFonts w:ascii="宋体"/>
          <w:color w:val="000000" w:themeColor="text1"/>
          <w:sz w:val="24"/>
          <w:highlight w:val="none"/>
          <w14:textFill>
            <w14:solidFill>
              <w14:schemeClr w14:val="tx1"/>
            </w14:solidFill>
          </w14:textFill>
        </w:rPr>
        <w:br w:type="page"/>
      </w:r>
    </w:p>
    <w:p>
      <w:pPr>
        <w:jc w:val="center"/>
        <w:outlineLvl w:val="1"/>
        <w:rPr>
          <w:rFonts w:ascii="宋体"/>
          <w:b/>
          <w:color w:val="000000" w:themeColor="text1"/>
          <w:sz w:val="32"/>
          <w:szCs w:val="32"/>
          <w:highlight w:val="none"/>
          <w14:textFill>
            <w14:solidFill>
              <w14:schemeClr w14:val="tx1"/>
            </w14:solidFill>
          </w14:textFill>
        </w:rPr>
      </w:pPr>
      <w:bookmarkStart w:id="255" w:name="_Toc13260"/>
      <w:bookmarkStart w:id="256" w:name="_Toc21989"/>
      <w:bookmarkStart w:id="257" w:name="_Toc31382"/>
      <w:r>
        <w:rPr>
          <w:rFonts w:hint="eastAsia" w:ascii="宋体" w:hAnsi="宋体"/>
          <w:b/>
          <w:color w:val="000000" w:themeColor="text1"/>
          <w:sz w:val="32"/>
          <w:szCs w:val="32"/>
          <w:highlight w:val="none"/>
          <w14:textFill>
            <w14:solidFill>
              <w14:schemeClr w14:val="tx1"/>
            </w14:solidFill>
          </w14:textFill>
        </w:rPr>
        <w:t>二、开标一览表（唱标报告）</w:t>
      </w:r>
      <w:bookmarkEnd w:id="255"/>
      <w:bookmarkEnd w:id="256"/>
      <w:bookmarkEnd w:id="257"/>
    </w:p>
    <w:p>
      <w:pPr>
        <w:rPr>
          <w:rFonts w:ascii="宋体"/>
          <w:color w:val="000000" w:themeColor="text1"/>
          <w:sz w:val="24"/>
          <w:highlight w:val="none"/>
          <w14:textFill>
            <w14:solidFill>
              <w14:schemeClr w14:val="tx1"/>
            </w14:solidFill>
          </w14:textFill>
        </w:rPr>
      </w:pPr>
    </w:p>
    <w:p>
      <w:pPr>
        <w:spacing w:line="360" w:lineRule="auto"/>
        <w:jc w:val="left"/>
        <w:rPr>
          <w:rFonts w:ascii="宋体" w:hAnsi="宋体"/>
          <w:bCs/>
          <w:color w:val="000000" w:themeColor="text1"/>
          <w:kern w:val="0"/>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项目名称：</w:t>
      </w:r>
      <w:r>
        <w:rPr>
          <w:rFonts w:hint="eastAsia" w:ascii="宋体" w:hAnsi="宋体"/>
          <w:bCs/>
          <w:color w:val="000000" w:themeColor="text1"/>
          <w:sz w:val="24"/>
          <w:highlight w:val="none"/>
          <w:lang w:eastAsia="zh-CN"/>
          <w14:textFill>
            <w14:solidFill>
              <w14:schemeClr w14:val="tx1"/>
            </w14:solidFill>
          </w14:textFill>
        </w:rPr>
        <w:t>2023年度全国卫生专业技术资格考试暨护士执业资格考试西安考点考务服务项目（三次）</w:t>
      </w:r>
      <w:r>
        <w:rPr>
          <w:rFonts w:hint="eastAsia" w:ascii="宋体" w:hAnsi="宋体"/>
          <w:bCs/>
          <w:color w:val="000000" w:themeColor="text1"/>
          <w:kern w:val="0"/>
          <w:sz w:val="24"/>
          <w:highlight w:val="none"/>
          <w14:textFill>
            <w14:solidFill>
              <w14:schemeClr w14:val="tx1"/>
            </w14:solidFill>
          </w14:textFill>
        </w:rPr>
        <w:t xml:space="preserve">                                                  </w:t>
      </w:r>
    </w:p>
    <w:p>
      <w:pPr>
        <w:spacing w:line="360" w:lineRule="auto"/>
        <w:jc w:val="left"/>
        <w:rPr>
          <w:rFonts w:hint="default" w:ascii="宋体" w:eastAsia="宋体"/>
          <w:bCs/>
          <w:color w:val="000000" w:themeColor="text1"/>
          <w:sz w:val="24"/>
          <w:highlight w:val="none"/>
          <w:u w:val="single"/>
          <w:lang w:val="en-US" w:eastAsia="zh-CN"/>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项目编号：SXJTZB-ZC-GK20230128</w:t>
      </w:r>
    </w:p>
    <w:tbl>
      <w:tblPr>
        <w:tblStyle w:val="41"/>
        <w:tblW w:w="5042" w:type="pct"/>
        <w:jc w:val="center"/>
        <w:tblLayout w:type="autofit"/>
        <w:tblCellMar>
          <w:top w:w="0" w:type="dxa"/>
          <w:left w:w="0" w:type="dxa"/>
          <w:bottom w:w="0" w:type="dxa"/>
          <w:right w:w="0" w:type="dxa"/>
        </w:tblCellMar>
      </w:tblPr>
      <w:tblGrid>
        <w:gridCol w:w="3007"/>
        <w:gridCol w:w="6441"/>
      </w:tblGrid>
      <w:tr>
        <w:trPr>
          <w:cantSplit/>
          <w:trHeight w:val="1346" w:hRule="atLeast"/>
          <w:jc w:val="center"/>
        </w:trPr>
        <w:tc>
          <w:tcPr>
            <w:tcW w:w="1591" w:type="pct"/>
            <w:tcBorders>
              <w:top w:val="single" w:color="auto" w:sz="8" w:space="0"/>
              <w:left w:val="single" w:color="auto" w:sz="4" w:space="0"/>
              <w:bottom w:val="single" w:color="auto" w:sz="8" w:space="0"/>
              <w:right w:val="single" w:color="auto" w:sz="4" w:space="0"/>
            </w:tcBorders>
            <w:vAlign w:val="center"/>
          </w:tcPr>
          <w:p>
            <w:pPr>
              <w:tabs>
                <w:tab w:val="left" w:pos="5580"/>
              </w:tabs>
              <w:spacing w:line="360" w:lineRule="auto"/>
              <w:jc w:val="center"/>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投标报价</w:t>
            </w:r>
          </w:p>
          <w:p>
            <w:pPr>
              <w:tabs>
                <w:tab w:val="left" w:pos="5580"/>
              </w:tabs>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（费率</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w:t>
            </w:r>
          </w:p>
        </w:tc>
        <w:tc>
          <w:tcPr>
            <w:tcW w:w="3408" w:type="pct"/>
            <w:tcBorders>
              <w:top w:val="single" w:color="auto" w:sz="8" w:space="0"/>
              <w:left w:val="nil"/>
              <w:bottom w:val="single" w:color="auto" w:sz="8" w:space="0"/>
              <w:right w:val="single" w:color="auto" w:sz="8" w:space="0"/>
            </w:tcBorders>
            <w:vAlign w:val="center"/>
          </w:tcPr>
          <w:p>
            <w:pPr>
              <w:tabs>
                <w:tab w:val="left" w:pos="5580"/>
              </w:tabs>
              <w:spacing w:line="360" w:lineRule="auto"/>
              <w:ind w:firstLine="720" w:firstLineChars="300"/>
              <w:jc w:val="both"/>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大写：</w:t>
            </w:r>
          </w:p>
          <w:p>
            <w:pPr>
              <w:tabs>
                <w:tab w:val="left" w:pos="5580"/>
              </w:tabs>
              <w:spacing w:line="360" w:lineRule="auto"/>
              <w:ind w:firstLine="720" w:firstLineChars="300"/>
              <w:jc w:val="both"/>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小写：</w:t>
            </w:r>
          </w:p>
        </w:tc>
      </w:tr>
      <w:tr>
        <w:tblPrEx>
          <w:tblCellMar>
            <w:top w:w="0" w:type="dxa"/>
            <w:left w:w="0" w:type="dxa"/>
            <w:bottom w:w="0" w:type="dxa"/>
            <w:right w:w="0" w:type="dxa"/>
          </w:tblCellMar>
        </w:tblPrEx>
        <w:trPr>
          <w:cantSplit/>
          <w:trHeight w:val="1140" w:hRule="atLeast"/>
          <w:jc w:val="center"/>
        </w:trPr>
        <w:tc>
          <w:tcPr>
            <w:tcW w:w="1591" w:type="pct"/>
            <w:tcBorders>
              <w:top w:val="single" w:color="auto" w:sz="8" w:space="0"/>
              <w:left w:val="single" w:color="auto" w:sz="4" w:space="0"/>
              <w:bottom w:val="single" w:color="auto" w:sz="8" w:space="0"/>
              <w:right w:val="single" w:color="auto" w:sz="4" w:space="0"/>
            </w:tcBorders>
            <w:vAlign w:val="center"/>
          </w:tcPr>
          <w:p>
            <w:pPr>
              <w:tabs>
                <w:tab w:val="left" w:pos="5580"/>
              </w:tabs>
              <w:spacing w:line="360" w:lineRule="auto"/>
              <w:jc w:val="center"/>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纸笔考试</w:t>
            </w:r>
            <w:r>
              <w:rPr>
                <w:rFonts w:hint="eastAsia" w:ascii="宋体" w:hAnsi="宋体" w:cs="宋体"/>
                <w:color w:val="000000" w:themeColor="text1"/>
                <w:sz w:val="24"/>
                <w:highlight w:val="none"/>
                <w:lang w:eastAsia="zh-CN"/>
                <w14:textFill>
                  <w14:solidFill>
                    <w14:schemeClr w14:val="tx1"/>
                  </w14:solidFill>
                </w14:textFill>
              </w:rPr>
              <w:t>单价</w:t>
            </w:r>
          </w:p>
          <w:p>
            <w:pPr>
              <w:tabs>
                <w:tab w:val="left" w:pos="5580"/>
              </w:tabs>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（限价</w:t>
            </w:r>
            <w:r>
              <w:rPr>
                <w:rFonts w:hint="eastAsia" w:ascii="宋体" w:hAnsi="宋体" w:cs="宋体"/>
                <w:color w:val="000000" w:themeColor="text1"/>
                <w:sz w:val="24"/>
                <w:highlight w:val="none"/>
                <w:lang w:val="en-US" w:eastAsia="zh-CN"/>
                <w14:textFill>
                  <w14:solidFill>
                    <w14:schemeClr w14:val="tx1"/>
                  </w14:solidFill>
                </w14:textFill>
              </w:rPr>
              <w:t>20</w:t>
            </w:r>
            <w:r>
              <w:rPr>
                <w:rFonts w:hint="eastAsia" w:ascii="宋体" w:hAnsi="宋体" w:cs="宋体"/>
                <w:color w:val="000000" w:themeColor="text1"/>
                <w:sz w:val="24"/>
                <w:highlight w:val="none"/>
                <w14:textFill>
                  <w14:solidFill>
                    <w14:schemeClr w14:val="tx1"/>
                  </w14:solidFill>
                </w14:textFill>
              </w:rPr>
              <w:t>元/每人每科</w:t>
            </w:r>
            <w:r>
              <w:rPr>
                <w:rFonts w:hint="eastAsia" w:ascii="宋体" w:hAnsi="宋体" w:cs="宋体"/>
                <w:color w:val="000000" w:themeColor="text1"/>
                <w:sz w:val="24"/>
                <w:highlight w:val="none"/>
                <w:lang w:eastAsia="zh-CN"/>
                <w14:textFill>
                  <w14:solidFill>
                    <w14:schemeClr w14:val="tx1"/>
                  </w14:solidFill>
                </w14:textFill>
              </w:rPr>
              <w:t>）</w:t>
            </w:r>
          </w:p>
        </w:tc>
        <w:tc>
          <w:tcPr>
            <w:tcW w:w="3408" w:type="pct"/>
            <w:tcBorders>
              <w:top w:val="single" w:color="auto" w:sz="8" w:space="0"/>
              <w:left w:val="nil"/>
              <w:bottom w:val="single" w:color="auto" w:sz="8" w:space="0"/>
              <w:right w:val="single" w:color="auto" w:sz="8" w:space="0"/>
            </w:tcBorders>
            <w:vAlign w:val="center"/>
          </w:tcPr>
          <w:p>
            <w:pPr>
              <w:tabs>
                <w:tab w:val="left" w:pos="5580"/>
              </w:tabs>
              <w:spacing w:line="360" w:lineRule="auto"/>
              <w:ind w:firstLine="720" w:firstLineChars="300"/>
              <w:jc w:val="both"/>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大写：</w:t>
            </w:r>
          </w:p>
          <w:p>
            <w:pPr>
              <w:tabs>
                <w:tab w:val="left" w:pos="5580"/>
              </w:tabs>
              <w:spacing w:line="360" w:lineRule="auto"/>
              <w:ind w:firstLine="720" w:firstLineChars="300"/>
              <w:jc w:val="both"/>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小写：</w:t>
            </w:r>
          </w:p>
        </w:tc>
      </w:tr>
      <w:tr>
        <w:tblPrEx>
          <w:tblCellMar>
            <w:top w:w="0" w:type="dxa"/>
            <w:left w:w="0" w:type="dxa"/>
            <w:bottom w:w="0" w:type="dxa"/>
            <w:right w:w="0" w:type="dxa"/>
          </w:tblCellMar>
        </w:tblPrEx>
        <w:trPr>
          <w:cantSplit/>
          <w:trHeight w:val="1140" w:hRule="atLeast"/>
          <w:jc w:val="center"/>
        </w:trPr>
        <w:tc>
          <w:tcPr>
            <w:tcW w:w="1591" w:type="pct"/>
            <w:tcBorders>
              <w:top w:val="single" w:color="auto" w:sz="8" w:space="0"/>
              <w:left w:val="single" w:color="auto" w:sz="4" w:space="0"/>
              <w:bottom w:val="single" w:color="auto" w:sz="8" w:space="0"/>
              <w:right w:val="single" w:color="auto" w:sz="4" w:space="0"/>
            </w:tcBorders>
            <w:vAlign w:val="center"/>
          </w:tcPr>
          <w:p>
            <w:pPr>
              <w:tabs>
                <w:tab w:val="left" w:pos="5580"/>
              </w:tabs>
              <w:spacing w:line="360" w:lineRule="auto"/>
              <w:jc w:val="center"/>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人机对话考试</w:t>
            </w:r>
            <w:r>
              <w:rPr>
                <w:rFonts w:hint="eastAsia" w:ascii="宋体" w:hAnsi="宋体" w:cs="宋体"/>
                <w:color w:val="000000" w:themeColor="text1"/>
                <w:sz w:val="24"/>
                <w:highlight w:val="none"/>
                <w:lang w:eastAsia="zh-CN"/>
                <w14:textFill>
                  <w14:solidFill>
                    <w14:schemeClr w14:val="tx1"/>
                  </w14:solidFill>
                </w14:textFill>
              </w:rPr>
              <w:t>单价</w:t>
            </w:r>
          </w:p>
          <w:p>
            <w:pPr>
              <w:tabs>
                <w:tab w:val="left" w:pos="5580"/>
              </w:tabs>
              <w:spacing w:line="360" w:lineRule="auto"/>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（限价</w:t>
            </w:r>
            <w:r>
              <w:rPr>
                <w:rFonts w:hint="eastAsia" w:ascii="宋体" w:hAnsi="宋体" w:cs="宋体"/>
                <w:color w:val="000000" w:themeColor="text1"/>
                <w:sz w:val="24"/>
                <w:highlight w:val="none"/>
                <w14:textFill>
                  <w14:solidFill>
                    <w14:schemeClr w14:val="tx1"/>
                  </w14:solidFill>
                </w14:textFill>
              </w:rPr>
              <w:t>40元/每人每科</w:t>
            </w:r>
            <w:r>
              <w:rPr>
                <w:rFonts w:hint="eastAsia" w:ascii="宋体" w:hAnsi="宋体" w:cs="宋体"/>
                <w:color w:val="000000" w:themeColor="text1"/>
                <w:sz w:val="24"/>
                <w:highlight w:val="none"/>
                <w:lang w:eastAsia="zh-CN"/>
                <w14:textFill>
                  <w14:solidFill>
                    <w14:schemeClr w14:val="tx1"/>
                  </w14:solidFill>
                </w14:textFill>
              </w:rPr>
              <w:t>）</w:t>
            </w:r>
          </w:p>
        </w:tc>
        <w:tc>
          <w:tcPr>
            <w:tcW w:w="3408" w:type="pct"/>
            <w:tcBorders>
              <w:top w:val="single" w:color="auto" w:sz="8" w:space="0"/>
              <w:left w:val="nil"/>
              <w:bottom w:val="single" w:color="auto" w:sz="8" w:space="0"/>
              <w:right w:val="single" w:color="auto" w:sz="8" w:space="0"/>
            </w:tcBorders>
            <w:vAlign w:val="center"/>
          </w:tcPr>
          <w:p>
            <w:pPr>
              <w:tabs>
                <w:tab w:val="left" w:pos="5580"/>
              </w:tabs>
              <w:spacing w:line="360" w:lineRule="auto"/>
              <w:ind w:firstLine="720" w:firstLineChars="300"/>
              <w:jc w:val="both"/>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大写：</w:t>
            </w:r>
          </w:p>
          <w:p>
            <w:pPr>
              <w:tabs>
                <w:tab w:val="left" w:pos="5580"/>
              </w:tabs>
              <w:spacing w:line="360" w:lineRule="auto"/>
              <w:ind w:firstLine="720" w:firstLineChars="300"/>
              <w:jc w:val="both"/>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小写：</w:t>
            </w:r>
          </w:p>
        </w:tc>
      </w:tr>
      <w:tr>
        <w:tblPrEx>
          <w:tblCellMar>
            <w:top w:w="0" w:type="dxa"/>
            <w:left w:w="0" w:type="dxa"/>
            <w:bottom w:w="0" w:type="dxa"/>
            <w:right w:w="0" w:type="dxa"/>
          </w:tblCellMar>
        </w:tblPrEx>
        <w:trPr>
          <w:cantSplit/>
          <w:trHeight w:val="1140" w:hRule="atLeast"/>
          <w:jc w:val="center"/>
        </w:trPr>
        <w:tc>
          <w:tcPr>
            <w:tcW w:w="1591" w:type="pct"/>
            <w:tcBorders>
              <w:top w:val="single" w:color="auto" w:sz="8" w:space="0"/>
              <w:left w:val="single" w:color="auto" w:sz="4" w:space="0"/>
              <w:bottom w:val="single" w:color="auto" w:sz="8" w:space="0"/>
              <w:right w:val="single" w:color="auto" w:sz="4" w:space="0"/>
            </w:tcBorders>
            <w:vAlign w:val="center"/>
          </w:tcPr>
          <w:p>
            <w:pPr>
              <w:tabs>
                <w:tab w:val="left" w:pos="5580"/>
              </w:tabs>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服务期</w:t>
            </w:r>
          </w:p>
        </w:tc>
        <w:tc>
          <w:tcPr>
            <w:tcW w:w="3408" w:type="pct"/>
            <w:tcBorders>
              <w:top w:val="single" w:color="auto" w:sz="8" w:space="0"/>
              <w:left w:val="nil"/>
              <w:bottom w:val="single" w:color="auto" w:sz="8" w:space="0"/>
              <w:right w:val="single" w:color="auto" w:sz="8" w:space="0"/>
            </w:tcBorders>
            <w:vAlign w:val="center"/>
          </w:tcPr>
          <w:p>
            <w:pPr>
              <w:tabs>
                <w:tab w:val="left" w:pos="5580"/>
              </w:tabs>
              <w:spacing w:line="360" w:lineRule="auto"/>
              <w:ind w:left="1080" w:leftChars="257" w:hanging="540" w:firstLineChars="0"/>
              <w:jc w:val="center"/>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cantSplit/>
          <w:trHeight w:val="1210" w:hRule="atLeast"/>
          <w:jc w:val="center"/>
        </w:trPr>
        <w:tc>
          <w:tcPr>
            <w:tcW w:w="1591" w:type="pct"/>
            <w:tcBorders>
              <w:top w:val="single" w:color="auto" w:sz="8" w:space="0"/>
              <w:left w:val="single" w:color="auto" w:sz="4" w:space="0"/>
              <w:bottom w:val="single" w:color="auto" w:sz="8" w:space="0"/>
              <w:right w:val="single" w:color="auto" w:sz="4" w:space="0"/>
            </w:tcBorders>
            <w:vAlign w:val="center"/>
          </w:tcPr>
          <w:p>
            <w:pPr>
              <w:tabs>
                <w:tab w:val="left" w:pos="5580"/>
              </w:tabs>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备注</w:t>
            </w:r>
          </w:p>
        </w:tc>
        <w:tc>
          <w:tcPr>
            <w:tcW w:w="3408" w:type="pct"/>
            <w:tcBorders>
              <w:top w:val="single" w:color="auto" w:sz="8" w:space="0"/>
              <w:left w:val="nil"/>
              <w:bottom w:val="single" w:color="auto" w:sz="8" w:space="0"/>
              <w:right w:val="single" w:color="auto" w:sz="8" w:space="0"/>
            </w:tcBorders>
            <w:vAlign w:val="center"/>
          </w:tcPr>
          <w:p>
            <w:pPr>
              <w:tabs>
                <w:tab w:val="left" w:pos="5580"/>
              </w:tabs>
              <w:spacing w:line="360" w:lineRule="auto"/>
              <w:ind w:left="1080" w:leftChars="257" w:hanging="540" w:firstLineChars="0"/>
              <w:jc w:val="center"/>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p>
        </w:tc>
      </w:tr>
    </w:tbl>
    <w:p>
      <w:pPr>
        <w:rPr>
          <w:iCs/>
          <w:color w:val="000000" w:themeColor="text1"/>
          <w:szCs w:val="21"/>
          <w:highlight w:val="none"/>
          <w14:textFill>
            <w14:solidFill>
              <w14:schemeClr w14:val="tx1"/>
            </w14:solidFill>
          </w14:textFill>
        </w:rPr>
      </w:pPr>
    </w:p>
    <w:p>
      <w:pPr>
        <w:rPr>
          <w:iCs/>
          <w:color w:val="000000" w:themeColor="text1"/>
          <w:szCs w:val="21"/>
          <w:highlight w:val="none"/>
          <w14:textFill>
            <w14:solidFill>
              <w14:schemeClr w14:val="tx1"/>
            </w14:solidFill>
          </w14:textFill>
        </w:rPr>
      </w:pPr>
    </w:p>
    <w:p>
      <w:pPr>
        <w:numPr>
          <w:ilvl w:val="0"/>
          <w:numId w:val="0"/>
        </w:numPr>
        <w:ind w:firstLine="420" w:firstLineChars="200"/>
        <w:rPr>
          <w:rFonts w:hint="eastAsia"/>
          <w:color w:val="000000" w:themeColor="text1"/>
          <w:szCs w:val="21"/>
          <w:highlight w:val="none"/>
          <w:lang w:val="en-US" w:eastAsia="zh-CN"/>
          <w14:textFill>
            <w14:solidFill>
              <w14:schemeClr w14:val="tx1"/>
            </w14:solidFill>
          </w14:textFill>
        </w:rPr>
      </w:pPr>
      <w:r>
        <w:rPr>
          <w:iCs/>
          <w:color w:val="000000" w:themeColor="text1"/>
          <w:szCs w:val="21"/>
          <w:highlight w:val="none"/>
          <w14:textFill>
            <w14:solidFill>
              <w14:schemeClr w14:val="tx1"/>
            </w14:solidFill>
          </w14:textFill>
        </w:rPr>
        <w:t>注：1、</w:t>
      </w:r>
      <w:r>
        <w:rPr>
          <w:rFonts w:hint="eastAsia" w:ascii="Times New Roman" w:hAnsi="Times New Roman" w:eastAsia="宋体" w:cs="Times New Roman"/>
          <w:b w:val="0"/>
          <w:bCs w:val="0"/>
          <w:iCs/>
          <w:color w:val="000000" w:themeColor="text1"/>
          <w:kern w:val="2"/>
          <w:sz w:val="21"/>
          <w:szCs w:val="21"/>
          <w:highlight w:val="none"/>
          <w:lang w:val="en-US" w:eastAsia="zh-CN" w:bidi="ar-SA"/>
          <w14:textFill>
            <w14:solidFill>
              <w14:schemeClr w14:val="tx1"/>
            </w14:solidFill>
          </w14:textFill>
        </w:rPr>
        <w:t>纸笔考试单价</w:t>
      </w:r>
      <w:r>
        <w:rPr>
          <w:rFonts w:hint="eastAsia" w:cs="Times New Roman"/>
          <w:b w:val="0"/>
          <w:bCs w:val="0"/>
          <w:iCs/>
          <w:color w:val="000000" w:themeColor="text1"/>
          <w:kern w:val="2"/>
          <w:sz w:val="21"/>
          <w:szCs w:val="21"/>
          <w:highlight w:val="none"/>
          <w:lang w:val="en-US" w:eastAsia="zh-CN" w:bidi="ar-SA"/>
          <w14:textFill>
            <w14:solidFill>
              <w14:schemeClr w14:val="tx1"/>
            </w14:solidFill>
          </w14:textFill>
        </w:rPr>
        <w:t>=单价限价20*费率、</w:t>
      </w:r>
      <w:r>
        <w:rPr>
          <w:rFonts w:hint="eastAsia"/>
          <w:iCs/>
          <w:color w:val="000000" w:themeColor="text1"/>
          <w:szCs w:val="21"/>
          <w:highlight w:val="none"/>
          <w14:textFill>
            <w14:solidFill>
              <w14:schemeClr w14:val="tx1"/>
            </w14:solidFill>
          </w14:textFill>
        </w:rPr>
        <w:t>人机</w:t>
      </w:r>
      <w:r>
        <w:rPr>
          <w:rFonts w:hint="eastAsia"/>
          <w:color w:val="000000" w:themeColor="text1"/>
          <w:szCs w:val="21"/>
          <w:highlight w:val="none"/>
          <w14:textFill>
            <w14:solidFill>
              <w14:schemeClr w14:val="tx1"/>
            </w14:solidFill>
          </w14:textFill>
        </w:rPr>
        <w:t>对话考试</w:t>
      </w:r>
      <w:r>
        <w:rPr>
          <w:rFonts w:hint="eastAsia"/>
          <w:color w:val="000000" w:themeColor="text1"/>
          <w:szCs w:val="21"/>
          <w:highlight w:val="none"/>
          <w:lang w:eastAsia="zh-CN"/>
          <w14:textFill>
            <w14:solidFill>
              <w14:schemeClr w14:val="tx1"/>
            </w14:solidFill>
          </w14:textFill>
        </w:rPr>
        <w:t>单价</w:t>
      </w:r>
      <w:r>
        <w:rPr>
          <w:rFonts w:hint="eastAsia"/>
          <w:color w:val="000000" w:themeColor="text1"/>
          <w:szCs w:val="21"/>
          <w:highlight w:val="none"/>
          <w:lang w:val="en-US" w:eastAsia="zh-CN"/>
          <w14:textFill>
            <w14:solidFill>
              <w14:schemeClr w14:val="tx1"/>
            </w14:solidFill>
          </w14:textFill>
        </w:rPr>
        <w:t>=</w:t>
      </w:r>
      <w:r>
        <w:rPr>
          <w:rFonts w:hint="eastAsia"/>
          <w:color w:val="000000" w:themeColor="text1"/>
          <w:szCs w:val="21"/>
          <w:highlight w:val="none"/>
          <w:lang w:eastAsia="zh-CN"/>
          <w14:textFill>
            <w14:solidFill>
              <w14:schemeClr w14:val="tx1"/>
            </w14:solidFill>
          </w14:textFill>
        </w:rPr>
        <w:t>单价限价</w:t>
      </w:r>
      <w:r>
        <w:rPr>
          <w:rFonts w:hint="eastAsia"/>
          <w:color w:val="000000" w:themeColor="text1"/>
          <w:szCs w:val="21"/>
          <w:highlight w:val="none"/>
          <w:lang w:val="en-US" w:eastAsia="zh-CN"/>
          <w14:textFill>
            <w14:solidFill>
              <w14:schemeClr w14:val="tx1"/>
            </w14:solidFill>
          </w14:textFill>
        </w:rPr>
        <w:t>40*费率。</w:t>
      </w:r>
    </w:p>
    <w:p>
      <w:pPr>
        <w:numPr>
          <w:ilvl w:val="0"/>
          <w:numId w:val="0"/>
        </w:numPr>
        <w:ind w:firstLine="420" w:firstLineChars="200"/>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w:t>
      </w:r>
      <w:r>
        <w:rPr>
          <w:rFonts w:hint="default"/>
          <w:color w:val="000000" w:themeColor="text1"/>
          <w:szCs w:val="21"/>
          <w:highlight w:val="none"/>
          <w:lang w:val="en-US" w:eastAsia="zh-CN"/>
          <w14:textFill>
            <w14:solidFill>
              <w14:schemeClr w14:val="tx1"/>
            </w14:solidFill>
          </w14:textFill>
        </w:rPr>
        <w:t>在“标书信息确认”栏中投标报价一栏按费率填写（如百分之几按零点几填写）</w:t>
      </w:r>
      <w:r>
        <w:rPr>
          <w:rFonts w:hint="eastAsia"/>
          <w:color w:val="000000" w:themeColor="text1"/>
          <w:szCs w:val="21"/>
          <w:highlight w:val="none"/>
          <w:lang w:val="en-US" w:eastAsia="zh-CN"/>
          <w14:textFill>
            <w14:solidFill>
              <w14:schemeClr w14:val="tx1"/>
            </w14:solidFill>
          </w14:textFill>
        </w:rPr>
        <w:t>。</w:t>
      </w:r>
    </w:p>
    <w:p>
      <w:pPr>
        <w:ind w:firstLine="420" w:firstLineChars="200"/>
        <w:rPr>
          <w:iCs/>
          <w:color w:val="000000" w:themeColor="text1"/>
          <w:szCs w:val="21"/>
          <w:highlight w:val="none"/>
          <w14:textFill>
            <w14:solidFill>
              <w14:schemeClr w14:val="tx1"/>
            </w14:solidFill>
          </w14:textFill>
        </w:rPr>
      </w:pPr>
      <w:r>
        <w:rPr>
          <w:rFonts w:hint="eastAsia" w:cs="Times New Roman"/>
          <w:b w:val="0"/>
          <w:bCs w:val="0"/>
          <w:iCs/>
          <w:color w:val="000000" w:themeColor="text1"/>
          <w:kern w:val="2"/>
          <w:sz w:val="21"/>
          <w:szCs w:val="21"/>
          <w:highlight w:val="none"/>
          <w:lang w:val="en-US" w:eastAsia="zh-CN" w:bidi="ar-SA"/>
          <w14:textFill>
            <w14:solidFill>
              <w14:schemeClr w14:val="tx1"/>
            </w14:solidFill>
          </w14:textFill>
        </w:rPr>
        <w:t>3、</w:t>
      </w:r>
      <w:r>
        <w:rPr>
          <w:iCs/>
          <w:color w:val="000000" w:themeColor="text1"/>
          <w:szCs w:val="21"/>
          <w:highlight w:val="none"/>
          <w14:textFill>
            <w14:solidFill>
              <w14:schemeClr w14:val="tx1"/>
            </w14:solidFill>
          </w14:textFill>
        </w:rPr>
        <w:t>本表价格应按</w:t>
      </w:r>
      <w:r>
        <w:rPr>
          <w:rFonts w:hint="eastAsia"/>
          <w:iCs/>
          <w:color w:val="000000" w:themeColor="text1"/>
          <w:szCs w:val="21"/>
          <w:highlight w:val="none"/>
          <w14:textFill>
            <w14:solidFill>
              <w14:schemeClr w14:val="tx1"/>
            </w14:solidFill>
          </w14:textFill>
        </w:rPr>
        <w:t>要求</w:t>
      </w:r>
      <w:r>
        <w:rPr>
          <w:iCs/>
          <w:color w:val="000000" w:themeColor="text1"/>
          <w:szCs w:val="21"/>
          <w:highlight w:val="none"/>
          <w14:textFill>
            <w14:solidFill>
              <w14:schemeClr w14:val="tx1"/>
            </w14:solidFill>
          </w14:textFill>
        </w:rPr>
        <w:t>填写，</w:t>
      </w:r>
      <w:r>
        <w:rPr>
          <w:rFonts w:hint="eastAsia"/>
          <w:iCs/>
          <w:color w:val="000000" w:themeColor="text1"/>
          <w:szCs w:val="21"/>
          <w:highlight w:val="none"/>
          <w14:textFill>
            <w14:solidFill>
              <w14:schemeClr w14:val="tx1"/>
            </w14:solidFill>
          </w14:textFill>
        </w:rPr>
        <w:t>保留小数点后两位。</w:t>
      </w:r>
    </w:p>
    <w:p>
      <w:pPr>
        <w:numPr>
          <w:ilvl w:val="0"/>
          <w:numId w:val="0"/>
        </w:numPr>
        <w:ind w:firstLine="420" w:firstLineChars="200"/>
        <w:rPr>
          <w:rFonts w:hint="eastAsia"/>
          <w:bCs/>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w:t>
      </w:r>
      <w:r>
        <w:rPr>
          <w:color w:val="000000" w:themeColor="text1"/>
          <w:szCs w:val="21"/>
          <w:highlight w:val="none"/>
          <w14:textFill>
            <w14:solidFill>
              <w14:schemeClr w14:val="tx1"/>
            </w14:solidFill>
          </w14:textFill>
        </w:rPr>
        <w:t>各投标人根据招标文件的规定，结合自身管理水平及市场行情自主报价</w:t>
      </w:r>
      <w:r>
        <w:rPr>
          <w:rFonts w:hint="eastAsia"/>
          <w:bCs/>
          <w:color w:val="000000" w:themeColor="text1"/>
          <w:szCs w:val="21"/>
          <w:highlight w:val="none"/>
          <w14:textFill>
            <w14:solidFill>
              <w14:schemeClr w14:val="tx1"/>
            </w14:solidFill>
          </w14:textFill>
        </w:rPr>
        <w:t>。</w:t>
      </w:r>
    </w:p>
    <w:p>
      <w:pPr>
        <w:numPr>
          <w:ilvl w:val="0"/>
          <w:numId w:val="0"/>
        </w:numPr>
        <w:ind w:firstLine="420" w:firstLineChars="200"/>
        <w:rPr>
          <w:rFonts w:hint="default"/>
          <w:color w:val="000000" w:themeColor="text1"/>
          <w:szCs w:val="21"/>
          <w:highlight w:val="none"/>
          <w:lang w:val="en-US" w:eastAsia="zh-CN"/>
          <w14:textFill>
            <w14:solidFill>
              <w14:schemeClr w14:val="tx1"/>
            </w14:solidFill>
          </w14:textFill>
        </w:rPr>
      </w:pPr>
    </w:p>
    <w:p>
      <w:pPr>
        <w:ind w:firstLine="3600" w:firstLineChars="1500"/>
        <w:rPr>
          <w:rFonts w:ascii="宋体" w:hAnsi="宋体"/>
          <w:color w:val="000000" w:themeColor="text1"/>
          <w:sz w:val="24"/>
          <w:highlight w:val="none"/>
          <w14:textFill>
            <w14:solidFill>
              <w14:schemeClr w14:val="tx1"/>
            </w14:solidFill>
          </w14:textFill>
        </w:rPr>
      </w:pPr>
    </w:p>
    <w:p>
      <w:pPr>
        <w:ind w:firstLine="3600" w:firstLineChars="15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供应商全称：</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（公章）</w:t>
      </w:r>
    </w:p>
    <w:p>
      <w:pPr>
        <w:ind w:firstLine="3600" w:firstLineChars="1500"/>
        <w:rPr>
          <w:rFonts w:ascii="宋体" w:hAnsi="宋体"/>
          <w:color w:val="000000" w:themeColor="text1"/>
          <w:sz w:val="24"/>
          <w:highlight w:val="none"/>
          <w14:textFill>
            <w14:solidFill>
              <w14:schemeClr w14:val="tx1"/>
            </w14:solidFill>
          </w14:textFill>
        </w:rPr>
      </w:pPr>
    </w:p>
    <w:p>
      <w:pPr>
        <w:ind w:firstLine="3600" w:firstLineChars="15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法定代表人或被授权人：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p>
      <w:pPr>
        <w:ind w:firstLine="6000" w:firstLineChars="2500"/>
        <w:rPr>
          <w:rFonts w:ascii="宋体"/>
          <w:color w:val="000000" w:themeColor="text1"/>
          <w:sz w:val="24"/>
          <w:highlight w:val="none"/>
          <w14:textFill>
            <w14:solidFill>
              <w14:schemeClr w14:val="tx1"/>
            </w14:solidFill>
          </w14:textFill>
        </w:rPr>
      </w:pPr>
    </w:p>
    <w:p>
      <w:pPr>
        <w:ind w:firstLine="6000" w:firstLineChars="25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pacing w:line="360" w:lineRule="auto"/>
        <w:ind w:right="893"/>
        <w:rPr>
          <w:rFonts w:ascii="宋体"/>
          <w:color w:val="000000" w:themeColor="text1"/>
          <w:sz w:val="24"/>
          <w:highlight w:val="none"/>
          <w14:textFill>
            <w14:solidFill>
              <w14:schemeClr w14:val="tx1"/>
            </w14:solidFill>
          </w14:textFill>
        </w:rPr>
      </w:pPr>
    </w:p>
    <w:p>
      <w:pPr>
        <w:spacing w:line="360" w:lineRule="auto"/>
        <w:ind w:right="893"/>
        <w:jc w:val="center"/>
        <w:rPr>
          <w:rFonts w:ascii="宋体" w:hAnsi="宋体"/>
          <w:b/>
          <w:color w:val="000000" w:themeColor="text1"/>
          <w:sz w:val="32"/>
          <w:szCs w:val="32"/>
          <w:highlight w:val="none"/>
          <w14:textFill>
            <w14:solidFill>
              <w14:schemeClr w14:val="tx1"/>
            </w14:solidFill>
          </w14:textFill>
        </w:rPr>
      </w:pPr>
    </w:p>
    <w:p>
      <w:pPr>
        <w:spacing w:line="360" w:lineRule="auto"/>
        <w:ind w:right="893"/>
        <w:jc w:val="center"/>
        <w:rPr>
          <w:rFonts w:ascii="宋体" w:hAnsi="宋体"/>
          <w:b/>
          <w:color w:val="000000" w:themeColor="text1"/>
          <w:sz w:val="32"/>
          <w:szCs w:val="32"/>
          <w:highlight w:val="none"/>
          <w14:textFill>
            <w14:solidFill>
              <w14:schemeClr w14:val="tx1"/>
            </w14:solidFill>
          </w14:textFill>
        </w:rPr>
        <w:sectPr>
          <w:pgSz w:w="11906" w:h="16838"/>
          <w:pgMar w:top="1418" w:right="1134" w:bottom="1418" w:left="1418" w:header="851" w:footer="992" w:gutter="0"/>
          <w:pgBorders>
            <w:top w:val="none" w:sz="0" w:space="0"/>
            <w:left w:val="none" w:sz="0" w:space="0"/>
            <w:bottom w:val="none" w:sz="0" w:space="0"/>
            <w:right w:val="none" w:sz="0" w:space="0"/>
          </w:pgBorders>
          <w:cols w:space="720" w:num="1"/>
          <w:titlePg/>
          <w:docGrid w:type="lines" w:linePitch="312" w:charSpace="0"/>
        </w:sectPr>
      </w:pPr>
    </w:p>
    <w:p>
      <w:pPr>
        <w:numPr>
          <w:ilvl w:val="0"/>
          <w:numId w:val="0"/>
        </w:numPr>
        <w:spacing w:line="360" w:lineRule="auto"/>
        <w:ind w:right="893" w:rightChars="0"/>
        <w:jc w:val="center"/>
        <w:outlineLvl w:val="1"/>
        <w:rPr>
          <w:rFonts w:hint="default" w:hAnsi="宋体" w:eastAsia="宋体"/>
          <w:b/>
          <w:bCs/>
          <w:kern w:val="2"/>
          <w:sz w:val="32"/>
          <w:szCs w:val="32"/>
          <w:highlight w:val="none"/>
          <w:lang w:val="en-US" w:eastAsia="zh-CN" w:bidi="ar-SA"/>
        </w:rPr>
      </w:pPr>
      <w:bookmarkStart w:id="258" w:name="_Toc12709"/>
      <w:bookmarkStart w:id="259" w:name="_Toc20983"/>
      <w:bookmarkStart w:id="260" w:name="_Toc9312"/>
      <w:r>
        <w:rPr>
          <w:rFonts w:hint="eastAsia" w:hAnsi="宋体"/>
          <w:b/>
          <w:bCs/>
          <w:kern w:val="2"/>
          <w:sz w:val="32"/>
          <w:szCs w:val="32"/>
          <w:highlight w:val="none"/>
          <w:lang w:val="en-US" w:eastAsia="zh-CN" w:bidi="ar-SA"/>
        </w:rPr>
        <w:t>三、</w:t>
      </w:r>
      <w:r>
        <w:rPr>
          <w:rFonts w:hint="default" w:hAnsi="宋体" w:eastAsia="宋体"/>
          <w:b/>
          <w:bCs/>
          <w:kern w:val="2"/>
          <w:sz w:val="32"/>
          <w:szCs w:val="32"/>
          <w:highlight w:val="none"/>
          <w:lang w:val="en-US" w:eastAsia="zh-CN" w:bidi="ar-SA"/>
        </w:rPr>
        <w:t>法定代表人身份证明/法定代表人授权书</w:t>
      </w:r>
      <w:bookmarkEnd w:id="258"/>
      <w:bookmarkEnd w:id="259"/>
    </w:p>
    <w:p>
      <w:pPr>
        <w:pStyle w:val="16"/>
        <w:keepLines w:val="0"/>
        <w:pageBreakBefore w:val="0"/>
        <w:widowControl w:val="0"/>
        <w:kinsoku/>
        <w:wordWrap/>
        <w:overflowPunct/>
        <w:topLinePunct w:val="0"/>
        <w:bidi w:val="0"/>
        <w:spacing w:line="360" w:lineRule="auto"/>
        <w:jc w:val="center"/>
        <w:textAlignment w:val="auto"/>
        <w:outlineLvl w:val="9"/>
        <w:rPr>
          <w:rFonts w:hint="eastAsia" w:hAnsi="宋体" w:eastAsia="宋体"/>
          <w:b/>
          <w:bCs/>
          <w:kern w:val="2"/>
          <w:sz w:val="32"/>
          <w:szCs w:val="32"/>
          <w:highlight w:val="none"/>
          <w:lang w:val="en-US" w:eastAsia="zh-CN" w:bidi="ar-SA"/>
        </w:rPr>
      </w:pPr>
    </w:p>
    <w:p>
      <w:pPr>
        <w:pStyle w:val="16"/>
        <w:keepLines w:val="0"/>
        <w:pageBreakBefore w:val="0"/>
        <w:widowControl w:val="0"/>
        <w:kinsoku/>
        <w:wordWrap/>
        <w:overflowPunct/>
        <w:topLinePunct w:val="0"/>
        <w:bidi w:val="0"/>
        <w:spacing w:line="360" w:lineRule="auto"/>
        <w:jc w:val="center"/>
        <w:textAlignment w:val="auto"/>
        <w:outlineLvl w:val="2"/>
        <w:rPr>
          <w:rFonts w:hint="eastAsia" w:ascii="Times New Roman" w:hAnsi="宋体" w:eastAsia="宋体"/>
          <w:b/>
          <w:bCs/>
          <w:kern w:val="2"/>
          <w:sz w:val="32"/>
          <w:szCs w:val="32"/>
          <w:highlight w:val="none"/>
          <w:lang w:val="en-US" w:eastAsia="zh-CN" w:bidi="ar-SA"/>
        </w:rPr>
      </w:pPr>
      <w:bookmarkStart w:id="261" w:name="_Toc10632"/>
      <w:bookmarkStart w:id="262" w:name="_Toc19648"/>
      <w:r>
        <w:rPr>
          <w:rFonts w:hint="eastAsia" w:hAnsi="宋体" w:eastAsia="宋体"/>
          <w:b/>
          <w:bCs/>
          <w:kern w:val="2"/>
          <w:sz w:val="32"/>
          <w:szCs w:val="32"/>
          <w:highlight w:val="none"/>
          <w:lang w:val="en-US" w:eastAsia="zh-CN" w:bidi="ar-SA"/>
        </w:rPr>
        <w:t>法定代表人</w:t>
      </w:r>
      <w:r>
        <w:rPr>
          <w:rFonts w:hint="eastAsia" w:ascii="Times New Roman" w:hAnsi="宋体" w:eastAsia="宋体"/>
          <w:b/>
          <w:bCs/>
          <w:kern w:val="2"/>
          <w:sz w:val="32"/>
          <w:szCs w:val="32"/>
          <w:highlight w:val="none"/>
          <w:lang w:val="en-US" w:eastAsia="zh-CN" w:bidi="ar-SA"/>
        </w:rPr>
        <w:t>身份</w:t>
      </w:r>
      <w:r>
        <w:rPr>
          <w:rFonts w:hint="eastAsia" w:hAnsi="宋体" w:eastAsia="宋体"/>
          <w:b/>
          <w:bCs/>
          <w:kern w:val="2"/>
          <w:sz w:val="32"/>
          <w:szCs w:val="32"/>
          <w:highlight w:val="none"/>
          <w:lang w:val="en-US" w:eastAsia="zh-CN" w:bidi="ar-SA"/>
        </w:rPr>
        <w:t>证明</w:t>
      </w:r>
      <w:bookmarkEnd w:id="261"/>
      <w:bookmarkEnd w:id="262"/>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outlineLvl w:val="9"/>
        <w:rPr>
          <w:rFonts w:hint="eastAsia" w:ascii="宋体" w:hAnsi="宋体" w:cs="宋体"/>
          <w:kern w:val="0"/>
          <w:sz w:val="24"/>
          <w:highlight w:val="none"/>
        </w:rPr>
      </w:pPr>
      <w:r>
        <w:rPr>
          <w:rFonts w:hint="eastAsia" w:hAnsi="宋体"/>
          <w:sz w:val="24"/>
          <w:highlight w:val="none"/>
          <w:lang w:eastAsia="zh-CN"/>
        </w:rPr>
        <w:t>供应商</w:t>
      </w:r>
      <w:r>
        <w:rPr>
          <w:rFonts w:hint="eastAsia" w:ascii="宋体" w:hAnsi="宋体" w:cs="宋体"/>
          <w:kern w:val="0"/>
          <w:sz w:val="24"/>
          <w:highlight w:val="none"/>
        </w:rPr>
        <w:t>名称：</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outlineLvl w:val="9"/>
        <w:rPr>
          <w:rFonts w:hint="eastAsia" w:ascii="宋体" w:hAnsi="宋体" w:cs="宋体"/>
          <w:kern w:val="0"/>
          <w:sz w:val="24"/>
          <w:highlight w:val="none"/>
        </w:rPr>
      </w:pPr>
      <w:r>
        <w:rPr>
          <w:rFonts w:hint="eastAsia" w:ascii="宋体" w:hAnsi="宋体" w:cs="宋体"/>
          <w:kern w:val="0"/>
          <w:sz w:val="24"/>
          <w:highlight w:val="none"/>
        </w:rPr>
        <w:t>统一社会信用代码：</w:t>
      </w:r>
      <w:r>
        <w:rPr>
          <w:rFonts w:hint="eastAsia" w:ascii="宋体" w:hAnsi="宋体" w:cs="宋体"/>
          <w:kern w:val="0"/>
          <w:sz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outlineLvl w:val="9"/>
        <w:rPr>
          <w:rFonts w:hint="eastAsia" w:ascii="宋体" w:hAnsi="宋体" w:cs="宋体"/>
          <w:kern w:val="0"/>
          <w:sz w:val="24"/>
          <w:highlight w:val="none"/>
        </w:rPr>
      </w:pPr>
      <w:r>
        <w:rPr>
          <w:rFonts w:hint="eastAsia" w:ascii="宋体" w:hAnsi="宋体" w:cs="宋体"/>
          <w:kern w:val="0"/>
          <w:sz w:val="24"/>
          <w:highlight w:val="none"/>
        </w:rPr>
        <w:t>注册地址：</w:t>
      </w:r>
      <w:r>
        <w:rPr>
          <w:rFonts w:hint="eastAsia" w:ascii="宋体" w:hAnsi="宋体" w:cs="宋体"/>
          <w:kern w:val="0"/>
          <w:sz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outlineLvl w:val="9"/>
        <w:rPr>
          <w:rFonts w:hint="eastAsia" w:ascii="宋体" w:hAnsi="宋体" w:cs="宋体"/>
          <w:kern w:val="0"/>
          <w:sz w:val="24"/>
          <w:highlight w:val="none"/>
        </w:rPr>
      </w:pPr>
      <w:r>
        <w:rPr>
          <w:rFonts w:hint="eastAsia" w:ascii="宋体" w:hAnsi="宋体" w:cs="宋体"/>
          <w:kern w:val="0"/>
          <w:sz w:val="24"/>
          <w:highlight w:val="none"/>
        </w:rPr>
        <w:t>成立时间：</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年 </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outlineLvl w:val="9"/>
        <w:rPr>
          <w:rFonts w:hint="eastAsia" w:ascii="宋体" w:hAnsi="宋体" w:cs="宋体"/>
          <w:kern w:val="0"/>
          <w:sz w:val="24"/>
          <w:highlight w:val="none"/>
          <w:u w:val="single"/>
        </w:rPr>
      </w:pPr>
      <w:r>
        <w:rPr>
          <w:rFonts w:hint="eastAsia" w:ascii="宋体" w:hAnsi="宋体" w:cs="宋体"/>
          <w:kern w:val="0"/>
          <w:sz w:val="24"/>
          <w:highlight w:val="none"/>
        </w:rPr>
        <w:t>经营期限：</w:t>
      </w:r>
      <w:r>
        <w:rPr>
          <w:rFonts w:hint="eastAsia" w:ascii="宋体" w:hAnsi="宋体" w:cs="宋体"/>
          <w:kern w:val="0"/>
          <w:sz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outlineLvl w:val="9"/>
        <w:rPr>
          <w:rFonts w:hint="eastAsia" w:ascii="宋体" w:hAnsi="宋体" w:cs="宋体"/>
          <w:kern w:val="0"/>
          <w:sz w:val="24"/>
          <w:highlight w:val="none"/>
        </w:rPr>
      </w:pPr>
      <w:r>
        <w:rPr>
          <w:rFonts w:hint="eastAsia" w:ascii="宋体" w:hAnsi="宋体" w:cs="宋体"/>
          <w:kern w:val="0"/>
          <w:sz w:val="24"/>
          <w:highlight w:val="none"/>
        </w:rPr>
        <w:t>姓名：</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性别：</w:t>
      </w:r>
      <w:r>
        <w:rPr>
          <w:rFonts w:hint="eastAsia" w:ascii="宋体" w:hAnsi="宋体" w:cs="宋体"/>
          <w:kern w:val="0"/>
          <w:sz w:val="24"/>
          <w:highlight w:val="none"/>
          <w:u w:val="single"/>
        </w:rPr>
        <w:t xml:space="preserve"> </w:t>
      </w:r>
      <w:r>
        <w:rPr>
          <w:rFonts w:hint="eastAsia" w:hAnsi="宋体" w:cs="宋体"/>
          <w:kern w:val="0"/>
          <w:sz w:val="24"/>
          <w:highlight w:val="none"/>
          <w:u w:val="single"/>
          <w:lang w:val="en-US" w:eastAsia="zh-CN"/>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年龄：</w:t>
      </w:r>
      <w:r>
        <w:rPr>
          <w:rFonts w:hint="eastAsia" w:ascii="宋体" w:hAnsi="宋体" w:cs="宋体"/>
          <w:kern w:val="0"/>
          <w:sz w:val="24"/>
          <w:highlight w:val="none"/>
          <w:u w:val="single"/>
        </w:rPr>
        <w:t xml:space="preserve"> </w:t>
      </w:r>
      <w:r>
        <w:rPr>
          <w:rFonts w:hint="eastAsia" w:hAnsi="宋体" w:cs="宋体"/>
          <w:kern w:val="0"/>
          <w:sz w:val="24"/>
          <w:highlight w:val="none"/>
          <w:u w:val="single"/>
          <w:lang w:val="en-US" w:eastAsia="zh-CN"/>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系</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r>
        <w:rPr>
          <w:rFonts w:hint="eastAsia" w:hAnsi="宋体" w:cs="宋体"/>
          <w:kern w:val="0"/>
          <w:sz w:val="24"/>
          <w:highlight w:val="none"/>
          <w:lang w:eastAsia="zh-CN"/>
        </w:rPr>
        <w:t>供应商</w:t>
      </w:r>
      <w:r>
        <w:rPr>
          <w:rFonts w:hint="eastAsia" w:ascii="宋体" w:hAnsi="宋体" w:cs="宋体"/>
          <w:kern w:val="0"/>
          <w:sz w:val="24"/>
          <w:highlight w:val="none"/>
        </w:rPr>
        <w:t>名称）的</w:t>
      </w:r>
      <w:r>
        <w:rPr>
          <w:rFonts w:hint="eastAsia" w:hAnsi="宋体" w:cs="宋体"/>
          <w:kern w:val="0"/>
          <w:sz w:val="24"/>
          <w:highlight w:val="none"/>
          <w:lang w:eastAsia="zh-CN"/>
        </w:rPr>
        <w:t>法定代表人</w:t>
      </w:r>
      <w:r>
        <w:rPr>
          <w:rFonts w:hint="eastAsia" w:ascii="宋体" w:hAnsi="宋体" w:cs="宋体"/>
          <w:kern w:val="0"/>
          <w:sz w:val="24"/>
          <w:highlight w:val="none"/>
        </w:rPr>
        <w:t>。</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outlineLvl w:val="9"/>
        <w:rPr>
          <w:rFonts w:hint="eastAsia" w:ascii="宋体" w:hAnsi="宋体" w:cs="宋体"/>
          <w:kern w:val="0"/>
          <w:sz w:val="24"/>
          <w:highlight w:val="none"/>
        </w:rPr>
      </w:pPr>
      <w:r>
        <w:rPr>
          <w:rFonts w:hint="eastAsia" w:ascii="宋体" w:hAnsi="宋体" w:cs="宋体"/>
          <w:kern w:val="0"/>
          <w:sz w:val="24"/>
          <w:highlight w:val="none"/>
        </w:rPr>
        <w:t>特此证明。</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outlineLvl w:val="9"/>
        <w:rPr>
          <w:rFonts w:hint="eastAsia" w:ascii="宋体" w:hAnsi="宋体" w:cs="宋体"/>
          <w:kern w:val="0"/>
          <w:szCs w:val="21"/>
          <w:highlight w:val="none"/>
        </w:rPr>
      </w:pPr>
      <w:r>
        <w:rPr>
          <w:rFonts w:hint="eastAsia" w:ascii="宋体" w:hAnsi="宋体"/>
          <w:szCs w:val="21"/>
          <w:highlight w:val="none"/>
        </w:rPr>
        <w:t>附：</w:t>
      </w:r>
      <w:r>
        <w:rPr>
          <w:rFonts w:hint="eastAsia" w:hAnsi="宋体"/>
          <w:szCs w:val="21"/>
          <w:highlight w:val="none"/>
          <w:lang w:eastAsia="zh-CN"/>
        </w:rPr>
        <w:t>法定代表人</w:t>
      </w:r>
      <w:r>
        <w:rPr>
          <w:rFonts w:hint="eastAsia" w:ascii="宋体" w:hAnsi="宋体"/>
          <w:szCs w:val="21"/>
          <w:highlight w:val="none"/>
        </w:rPr>
        <w:t>身份证复印件</w:t>
      </w:r>
    </w:p>
    <w:tbl>
      <w:tblPr>
        <w:tblStyle w:val="42"/>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4" w:hRule="atLeast"/>
        </w:trPr>
        <w:tc>
          <w:tcPr>
            <w:tcW w:w="5880" w:type="dxa"/>
            <w:noWrap w:val="0"/>
            <w:vAlign w:val="center"/>
          </w:tcPr>
          <w:p>
            <w:pPr>
              <w:wordWrap/>
              <w:overflowPunct/>
              <w:topLinePunct w:val="0"/>
              <w:bidi w:val="0"/>
              <w:snapToGrid w:val="0"/>
              <w:spacing w:line="360" w:lineRule="auto"/>
              <w:jc w:val="center"/>
              <w:rPr>
                <w:rFonts w:hint="eastAsia" w:ascii="宋体" w:hAnsi="宋体"/>
                <w:szCs w:val="21"/>
                <w:highlight w:val="none"/>
              </w:rPr>
            </w:pPr>
          </w:p>
          <w:p>
            <w:pPr>
              <w:wordWrap/>
              <w:overflowPunct/>
              <w:topLinePunct w:val="0"/>
              <w:bidi w:val="0"/>
              <w:snapToGrid w:val="0"/>
              <w:spacing w:line="360" w:lineRule="auto"/>
              <w:jc w:val="center"/>
              <w:rPr>
                <w:rFonts w:hint="eastAsia" w:ascii="宋体" w:hAnsi="宋体"/>
                <w:szCs w:val="21"/>
                <w:highlight w:val="none"/>
              </w:rPr>
            </w:pPr>
          </w:p>
          <w:p>
            <w:pPr>
              <w:wordWrap/>
              <w:overflowPunct/>
              <w:topLinePunct w:val="0"/>
              <w:autoSpaceDE w:val="0"/>
              <w:autoSpaceDN w:val="0"/>
              <w:bidi w:val="0"/>
              <w:adjustRightInd w:val="0"/>
              <w:snapToGrid w:val="0"/>
              <w:spacing w:before="120" w:beforeLines="50" w:line="360" w:lineRule="auto"/>
              <w:jc w:val="center"/>
              <w:rPr>
                <w:rFonts w:hint="eastAsia" w:ascii="宋体" w:hAnsi="宋体"/>
                <w:szCs w:val="21"/>
                <w:highlight w:val="none"/>
              </w:rPr>
            </w:pPr>
            <w:r>
              <w:rPr>
                <w:rFonts w:hint="eastAsia" w:hAnsi="宋体"/>
                <w:szCs w:val="21"/>
                <w:highlight w:val="none"/>
                <w:lang w:eastAsia="zh-CN"/>
              </w:rPr>
              <w:t>法定代表人</w:t>
            </w:r>
            <w:r>
              <w:rPr>
                <w:rFonts w:hint="eastAsia" w:ascii="宋体" w:hAnsi="宋体"/>
                <w:szCs w:val="21"/>
                <w:highlight w:val="none"/>
              </w:rPr>
              <w:t>身份证复印件</w:t>
            </w:r>
            <w:r>
              <w:rPr>
                <w:rFonts w:hint="eastAsia" w:ascii="宋体" w:hAnsi="宋体"/>
                <w:szCs w:val="21"/>
                <w:highlight w:val="none"/>
                <w:lang w:eastAsia="zh-CN"/>
              </w:rPr>
              <w:t>粘</w:t>
            </w:r>
            <w:r>
              <w:rPr>
                <w:rFonts w:hint="eastAsia" w:ascii="宋体" w:hAnsi="宋体"/>
                <w:szCs w:val="21"/>
                <w:highlight w:val="none"/>
              </w:rPr>
              <w:t>贴处</w:t>
            </w:r>
          </w:p>
          <w:p>
            <w:pPr>
              <w:pStyle w:val="16"/>
              <w:wordWrap/>
              <w:overflowPunct/>
              <w:topLinePunct w:val="0"/>
              <w:bidi w:val="0"/>
              <w:spacing w:line="360" w:lineRule="auto"/>
              <w:jc w:val="center"/>
              <w:rPr>
                <w:rFonts w:hint="eastAsia" w:eastAsia="宋体"/>
                <w:highlight w:val="none"/>
                <w:lang w:eastAsia="zh-CN"/>
              </w:rPr>
            </w:pPr>
            <w:r>
              <w:rPr>
                <w:rFonts w:hint="eastAsia" w:ascii="宋体" w:hAnsi="宋体"/>
                <w:szCs w:val="21"/>
                <w:highlight w:val="none"/>
                <w:lang w:eastAsia="zh-CN"/>
              </w:rPr>
              <w:t>（正反面）</w:t>
            </w:r>
          </w:p>
          <w:p>
            <w:pPr>
              <w:wordWrap/>
              <w:overflowPunct/>
              <w:topLinePunct w:val="0"/>
              <w:bidi w:val="0"/>
              <w:snapToGrid w:val="0"/>
              <w:spacing w:line="360" w:lineRule="auto"/>
              <w:jc w:val="center"/>
              <w:rPr>
                <w:rFonts w:hint="eastAsia" w:ascii="宋体" w:hAnsi="宋体"/>
                <w:szCs w:val="21"/>
                <w:highlight w:val="none"/>
              </w:rPr>
            </w:pPr>
          </w:p>
          <w:p>
            <w:pPr>
              <w:wordWrap/>
              <w:overflowPunct/>
              <w:topLinePunct w:val="0"/>
              <w:bidi w:val="0"/>
              <w:snapToGrid w:val="0"/>
              <w:spacing w:line="360" w:lineRule="auto"/>
              <w:jc w:val="center"/>
              <w:rPr>
                <w:rFonts w:hint="eastAsia" w:ascii="宋体" w:hAnsi="宋体"/>
                <w:szCs w:val="21"/>
                <w:highlight w:val="none"/>
              </w:rPr>
            </w:pPr>
          </w:p>
        </w:tc>
      </w:tr>
    </w:tbl>
    <w:p>
      <w:pPr>
        <w:wordWrap/>
        <w:overflowPunct/>
        <w:topLinePunct w:val="0"/>
        <w:bidi w:val="0"/>
        <w:snapToGrid w:val="0"/>
        <w:spacing w:line="360" w:lineRule="auto"/>
        <w:rPr>
          <w:rFonts w:hint="eastAsia" w:ascii="宋体" w:hAnsi="宋体"/>
          <w:szCs w:val="21"/>
          <w:highlight w:val="none"/>
        </w:rPr>
      </w:pPr>
    </w:p>
    <w:p>
      <w:pPr>
        <w:wordWrap/>
        <w:overflowPunct/>
        <w:topLinePunct w:val="0"/>
        <w:bidi w:val="0"/>
        <w:snapToGrid w:val="0"/>
        <w:spacing w:line="360" w:lineRule="auto"/>
        <w:rPr>
          <w:rFonts w:hint="eastAsia" w:ascii="宋体" w:hAnsi="宋体"/>
          <w:szCs w:val="21"/>
          <w:highlight w:val="none"/>
        </w:rPr>
      </w:pPr>
    </w:p>
    <w:p>
      <w:pPr>
        <w:wordWrap/>
        <w:overflowPunct/>
        <w:topLinePunct w:val="0"/>
        <w:bidi w:val="0"/>
        <w:snapToGrid w:val="0"/>
        <w:spacing w:line="360" w:lineRule="auto"/>
        <w:rPr>
          <w:rFonts w:hint="eastAsia" w:ascii="宋体" w:hAnsi="宋体"/>
          <w:szCs w:val="21"/>
          <w:highlight w:val="none"/>
        </w:rPr>
      </w:pPr>
    </w:p>
    <w:p>
      <w:pPr>
        <w:wordWrap/>
        <w:overflowPunct/>
        <w:topLinePunct w:val="0"/>
        <w:bidi w:val="0"/>
        <w:snapToGrid w:val="0"/>
        <w:spacing w:line="360" w:lineRule="auto"/>
        <w:rPr>
          <w:rFonts w:hint="eastAsia" w:ascii="宋体" w:hAnsi="宋体"/>
          <w:szCs w:val="21"/>
          <w:highlight w:val="none"/>
        </w:rPr>
      </w:pPr>
    </w:p>
    <w:p>
      <w:pPr>
        <w:wordWrap/>
        <w:overflowPunct/>
        <w:topLinePunct w:val="0"/>
        <w:bidi w:val="0"/>
        <w:snapToGrid w:val="0"/>
        <w:spacing w:line="360" w:lineRule="auto"/>
        <w:rPr>
          <w:rFonts w:hint="eastAsia" w:ascii="宋体" w:hAnsi="宋体"/>
          <w:szCs w:val="21"/>
          <w:highlight w:val="none"/>
        </w:rPr>
      </w:pPr>
    </w:p>
    <w:p>
      <w:pPr>
        <w:wordWrap/>
        <w:overflowPunct/>
        <w:topLinePunct w:val="0"/>
        <w:bidi w:val="0"/>
        <w:adjustRightInd w:val="0"/>
        <w:snapToGrid w:val="0"/>
        <w:spacing w:line="360" w:lineRule="auto"/>
        <w:rPr>
          <w:rFonts w:hint="eastAsia" w:ascii="宋体" w:hAnsi="宋体"/>
          <w:sz w:val="24"/>
          <w:highlight w:val="none"/>
        </w:rPr>
      </w:pPr>
    </w:p>
    <w:p>
      <w:pPr>
        <w:wordWrap/>
        <w:overflowPunct/>
        <w:topLinePunct w:val="0"/>
        <w:bidi w:val="0"/>
        <w:adjustRightInd w:val="0"/>
        <w:snapToGrid w:val="0"/>
        <w:spacing w:line="360" w:lineRule="auto"/>
        <w:ind w:right="420"/>
        <w:rPr>
          <w:rFonts w:hint="eastAsia" w:ascii="宋体" w:hAnsi="宋体"/>
          <w:sz w:val="24"/>
          <w:highlight w:val="none"/>
        </w:rPr>
      </w:pPr>
    </w:p>
    <w:p>
      <w:pPr>
        <w:wordWrap/>
        <w:overflowPunct/>
        <w:topLinePunct w:val="0"/>
        <w:bidi w:val="0"/>
        <w:adjustRightInd w:val="0"/>
        <w:snapToGrid w:val="0"/>
        <w:spacing w:line="360" w:lineRule="auto"/>
        <w:ind w:right="420"/>
        <w:rPr>
          <w:rFonts w:hint="eastAsia" w:ascii="宋体" w:hAnsi="宋体"/>
          <w:sz w:val="24"/>
          <w:highlight w:val="none"/>
        </w:rPr>
      </w:pPr>
    </w:p>
    <w:p>
      <w:pPr>
        <w:wordWrap/>
        <w:overflowPunct/>
        <w:topLinePunct w:val="0"/>
        <w:bidi w:val="0"/>
        <w:adjustRightInd w:val="0"/>
        <w:snapToGrid w:val="0"/>
        <w:spacing w:line="360" w:lineRule="auto"/>
        <w:ind w:right="420"/>
        <w:rPr>
          <w:rFonts w:hint="eastAsia" w:ascii="宋体" w:hAnsi="宋体"/>
          <w:sz w:val="24"/>
          <w:highlight w:val="none"/>
        </w:rPr>
      </w:pPr>
    </w:p>
    <w:p>
      <w:pPr>
        <w:wordWrap/>
        <w:overflowPunct/>
        <w:topLinePunct w:val="0"/>
        <w:bidi w:val="0"/>
        <w:adjustRightInd w:val="0"/>
        <w:snapToGrid w:val="0"/>
        <w:spacing w:line="360" w:lineRule="auto"/>
        <w:ind w:right="420"/>
        <w:rPr>
          <w:rFonts w:hint="eastAsia" w:ascii="宋体" w:hAnsi="宋体"/>
          <w:sz w:val="24"/>
          <w:highlight w:val="none"/>
        </w:rPr>
      </w:pPr>
    </w:p>
    <w:p>
      <w:pPr>
        <w:wordWrap/>
        <w:overflowPunct/>
        <w:topLinePunct w:val="0"/>
        <w:bidi w:val="0"/>
        <w:adjustRightInd w:val="0"/>
        <w:snapToGrid w:val="0"/>
        <w:spacing w:line="360" w:lineRule="auto"/>
        <w:ind w:right="420" w:firstLine="4320" w:firstLineChars="1800"/>
        <w:rPr>
          <w:rFonts w:hint="eastAsia" w:ascii="宋体" w:hAnsi="宋体"/>
          <w:sz w:val="24"/>
          <w:highlight w:val="none"/>
        </w:rPr>
      </w:pPr>
      <w:r>
        <w:rPr>
          <w:rFonts w:hint="eastAsia" w:hAnsi="宋体"/>
          <w:sz w:val="24"/>
          <w:highlight w:val="none"/>
          <w:lang w:eastAsia="zh-CN"/>
        </w:rPr>
        <w:t>供应商</w:t>
      </w:r>
      <w:r>
        <w:rPr>
          <w:rFonts w:hint="eastAsia" w:ascii="宋体" w:hAnsi="宋体"/>
          <w:sz w:val="24"/>
          <w:highlight w:val="none"/>
        </w:rPr>
        <w:t>名称</w:t>
      </w:r>
      <w:r>
        <w:rPr>
          <w:rFonts w:hint="eastAsia" w:hAnsi="宋体"/>
          <w:sz w:val="24"/>
          <w:highlight w:val="none"/>
          <w:lang w:eastAsia="zh-CN"/>
        </w:rPr>
        <w:t>：</w:t>
      </w:r>
      <w:r>
        <w:rPr>
          <w:rFonts w:hint="eastAsia" w:hAnsi="宋体"/>
          <w:sz w:val="24"/>
          <w:highlight w:val="none"/>
          <w:u w:val="single"/>
          <w:lang w:val="en-US" w:eastAsia="zh-CN"/>
        </w:rPr>
        <w:t xml:space="preserve">                 </w:t>
      </w:r>
      <w:r>
        <w:rPr>
          <w:rFonts w:hint="eastAsia" w:ascii="宋体" w:hAnsi="宋体"/>
          <w:sz w:val="24"/>
          <w:highlight w:val="none"/>
        </w:rPr>
        <w:t>（</w:t>
      </w:r>
      <w:r>
        <w:rPr>
          <w:rFonts w:hint="eastAsia" w:hAnsi="宋体"/>
          <w:sz w:val="24"/>
          <w:highlight w:val="none"/>
          <w:lang w:eastAsia="zh-CN"/>
        </w:rPr>
        <w:t>公章</w:t>
      </w:r>
      <w:r>
        <w:rPr>
          <w:rFonts w:hint="eastAsia" w:ascii="宋体" w:hAnsi="宋体"/>
          <w:sz w:val="24"/>
          <w:highlight w:val="none"/>
        </w:rPr>
        <w:t>）</w:t>
      </w:r>
    </w:p>
    <w:p>
      <w:pPr>
        <w:wordWrap/>
        <w:overflowPunct/>
        <w:topLinePunct w:val="0"/>
        <w:bidi w:val="0"/>
        <w:adjustRightInd w:val="0"/>
        <w:snapToGrid w:val="0"/>
        <w:spacing w:line="360" w:lineRule="auto"/>
        <w:ind w:right="420" w:firstLine="4320" w:firstLineChars="1800"/>
        <w:rPr>
          <w:rFonts w:hint="eastAsia"/>
          <w:highlight w:val="none"/>
        </w:rPr>
      </w:pPr>
      <w:r>
        <w:rPr>
          <w:rFonts w:hint="eastAsia" w:ascii="宋体" w:hAnsi="宋体"/>
          <w:sz w:val="24"/>
          <w:highlight w:val="none"/>
        </w:rPr>
        <w:t>日期：    年  月  日</w:t>
      </w:r>
    </w:p>
    <w:p>
      <w:pPr>
        <w:numPr>
          <w:ilvl w:val="0"/>
          <w:numId w:val="0"/>
        </w:numPr>
        <w:spacing w:line="360" w:lineRule="auto"/>
        <w:ind w:right="893" w:rightChars="0"/>
        <w:jc w:val="both"/>
        <w:outlineLvl w:val="1"/>
        <w:rPr>
          <w:rFonts w:hint="eastAsia" w:ascii="宋体" w:hAnsi="宋体"/>
          <w:b/>
          <w:color w:val="000000" w:themeColor="text1"/>
          <w:sz w:val="32"/>
          <w:szCs w:val="32"/>
          <w:highlight w:val="none"/>
          <w14:textFill>
            <w14:solidFill>
              <w14:schemeClr w14:val="tx1"/>
            </w14:solidFill>
          </w14:textFill>
        </w:rPr>
        <w:sectPr>
          <w:pgSz w:w="11906" w:h="16838"/>
          <w:pgMar w:top="1418" w:right="1134" w:bottom="1418" w:left="1418" w:header="851" w:footer="992" w:gutter="0"/>
          <w:pgBorders>
            <w:top w:val="none" w:sz="0" w:space="0"/>
            <w:left w:val="none" w:sz="0" w:space="0"/>
            <w:bottom w:val="none" w:sz="0" w:space="0"/>
            <w:right w:val="none" w:sz="0" w:space="0"/>
          </w:pgBorders>
          <w:cols w:space="720" w:num="1"/>
          <w:titlePg/>
          <w:docGrid w:type="lines" w:linePitch="312" w:charSpace="0"/>
        </w:sectPr>
      </w:pPr>
    </w:p>
    <w:p>
      <w:pPr>
        <w:numPr>
          <w:ilvl w:val="0"/>
          <w:numId w:val="0"/>
        </w:numPr>
        <w:spacing w:line="360" w:lineRule="auto"/>
        <w:ind w:right="893" w:rightChars="0"/>
        <w:jc w:val="center"/>
        <w:outlineLvl w:val="2"/>
        <w:rPr>
          <w:rFonts w:ascii="宋体"/>
          <w:b/>
          <w:color w:val="000000" w:themeColor="text1"/>
          <w:sz w:val="32"/>
          <w:szCs w:val="32"/>
          <w:highlight w:val="none"/>
          <w14:textFill>
            <w14:solidFill>
              <w14:schemeClr w14:val="tx1"/>
            </w14:solidFill>
          </w14:textFill>
        </w:rPr>
      </w:pPr>
      <w:bookmarkStart w:id="263" w:name="_Toc26639"/>
      <w:bookmarkStart w:id="264" w:name="_Toc7592"/>
      <w:r>
        <w:rPr>
          <w:rFonts w:hint="eastAsia" w:ascii="宋体" w:hAnsi="宋体"/>
          <w:b/>
          <w:color w:val="000000" w:themeColor="text1"/>
          <w:sz w:val="32"/>
          <w:szCs w:val="32"/>
          <w:highlight w:val="none"/>
          <w14:textFill>
            <w14:solidFill>
              <w14:schemeClr w14:val="tx1"/>
            </w14:solidFill>
          </w14:textFill>
        </w:rPr>
        <w:t>法定代表人授权书</w:t>
      </w:r>
      <w:bookmarkEnd w:id="260"/>
      <w:bookmarkEnd w:id="263"/>
      <w:bookmarkEnd w:id="264"/>
    </w:p>
    <w:p>
      <w:pPr>
        <w:spacing w:line="360" w:lineRule="auto"/>
        <w:rPr>
          <w:rFonts w:ascii="宋体"/>
          <w:color w:val="000000" w:themeColor="text1"/>
          <w:sz w:val="24"/>
          <w:highlight w:val="none"/>
          <w14:textFill>
            <w14:solidFill>
              <w14:schemeClr w14:val="tx1"/>
            </w14:solidFill>
          </w14:textFill>
        </w:rPr>
      </w:pPr>
    </w:p>
    <w:p>
      <w:pPr>
        <w:spacing w:line="360" w:lineRule="auto"/>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致：采购人/陕西嘉唐建设项目管理有限公司：</w:t>
      </w:r>
    </w:p>
    <w:p>
      <w:pPr>
        <w:spacing w:line="360" w:lineRule="auto"/>
        <w:ind w:firstLine="600" w:firstLineChars="25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注册于（工商行政管理局名称）之（供应商全称）（法人代表人名称、职务）</w:t>
      </w:r>
      <w:r>
        <w:rPr>
          <w:rFonts w:hint="eastAsia" w:ascii="宋体" w:hAnsi="宋体"/>
          <w:color w:val="000000" w:themeColor="text1"/>
          <w:sz w:val="24"/>
          <w:highlight w:val="none"/>
          <w14:textFill>
            <w14:solidFill>
              <w14:schemeClr w14:val="tx1"/>
            </w14:solidFill>
          </w14:textFill>
        </w:rPr>
        <w:t>授权</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（被授权人姓名、职务）</w:t>
      </w:r>
      <w:r>
        <w:rPr>
          <w:rFonts w:hint="eastAsia" w:ascii="宋体" w:hAnsi="宋体"/>
          <w:color w:val="000000" w:themeColor="text1"/>
          <w:sz w:val="24"/>
          <w:highlight w:val="none"/>
          <w14:textFill>
            <w14:solidFill>
              <w14:schemeClr w14:val="tx1"/>
            </w14:solidFill>
          </w14:textFill>
        </w:rPr>
        <w:t>为全权代表，参加贵公司组织的</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项目名称：</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eastAsia="zh-CN"/>
          <w14:textFill>
            <w14:solidFill>
              <w14:schemeClr w14:val="tx1"/>
            </w14:solidFill>
          </w14:textFill>
        </w:rPr>
        <w:t>项目</w:t>
      </w:r>
      <w:r>
        <w:rPr>
          <w:rFonts w:hint="eastAsia" w:ascii="宋体" w:hAnsi="宋体"/>
          <w:color w:val="000000" w:themeColor="text1"/>
          <w:sz w:val="24"/>
          <w:highlight w:val="none"/>
          <w:u w:val="single"/>
          <w14:textFill>
            <w14:solidFill>
              <w14:schemeClr w14:val="tx1"/>
            </w14:solidFill>
          </w14:textFill>
        </w:rPr>
        <w:t>编号：）</w:t>
      </w:r>
      <w:r>
        <w:rPr>
          <w:rFonts w:hint="eastAsia" w:ascii="宋体" w:hAnsi="宋体"/>
          <w:color w:val="000000" w:themeColor="text1"/>
          <w:sz w:val="24"/>
          <w:highlight w:val="none"/>
          <w14:textFill>
            <w14:solidFill>
              <w14:schemeClr w14:val="tx1"/>
            </w14:solidFill>
          </w14:textFill>
        </w:rPr>
        <w:t>招标活动，全权办理该项目的报名、投标等招标活动中的一切事宜。我公司对被授权人的签名负全部责任。</w:t>
      </w:r>
    </w:p>
    <w:p>
      <w:pPr>
        <w:spacing w:line="360" w:lineRule="auto"/>
        <w:rPr>
          <w:rFonts w:ascii="宋体"/>
          <w:color w:val="000000" w:themeColor="text1"/>
          <w:sz w:val="24"/>
          <w:highlight w:val="none"/>
          <w14:textFill>
            <w14:solidFill>
              <w14:schemeClr w14:val="tx1"/>
            </w14:solidFill>
          </w14:textFill>
        </w:rPr>
      </w:pPr>
    </w:p>
    <w:p>
      <w:pPr>
        <w:spacing w:line="360" w:lineRule="auto"/>
        <w:ind w:firstLine="600" w:firstLineChars="25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法定代表人签字或盖章：</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被授权人签字或盖章：</w:t>
      </w:r>
    </w:p>
    <w:p>
      <w:pPr>
        <w:spacing w:line="360" w:lineRule="auto"/>
        <w:ind w:firstLine="600" w:firstLineChars="25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务：</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职</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务：</w:t>
      </w:r>
    </w:p>
    <w:p>
      <w:pPr>
        <w:spacing w:line="360" w:lineRule="auto"/>
        <w:ind w:firstLine="600" w:firstLineChars="25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份</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证</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号</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身</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份</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证</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号</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pPr>
        <w:spacing w:line="360" w:lineRule="auto"/>
        <w:rPr>
          <w:rFonts w:ascii="宋体"/>
          <w:color w:val="000000" w:themeColor="text1"/>
          <w:sz w:val="24"/>
          <w:highlight w:val="none"/>
          <w:u w:val="single"/>
          <w14:textFill>
            <w14:solidFill>
              <w14:schemeClr w14:val="tx1"/>
            </w14:solidFill>
          </w14:textFill>
        </w:rPr>
      </w:pPr>
    </w:p>
    <w:p>
      <w:pPr>
        <w:spacing w:line="360" w:lineRule="auto"/>
        <w:ind w:firstLine="315" w:firstLineChars="15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附：法定代表人、被授权人身份证复印件。（二代身份证、反正两面都需复印）</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7"/>
        <w:gridCol w:w="4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0" w:hRule="atLeast"/>
          <w:jc w:val="center"/>
        </w:trPr>
        <w:tc>
          <w:tcPr>
            <w:tcW w:w="4407" w:type="dxa"/>
            <w:vAlign w:val="center"/>
          </w:tcPr>
          <w:p>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法定代表人身份证复印件</w:t>
            </w:r>
          </w:p>
          <w:p>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（正面或反面）</w:t>
            </w:r>
          </w:p>
        </w:tc>
        <w:tc>
          <w:tcPr>
            <w:tcW w:w="4408" w:type="dxa"/>
            <w:vAlign w:val="center"/>
          </w:tcPr>
          <w:p>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被授权人身份证复印件</w:t>
            </w:r>
          </w:p>
          <w:p>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（正面或反面）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4407" w:type="dxa"/>
            <w:vAlign w:val="center"/>
          </w:tcPr>
          <w:p>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法定代表人身份证复印件</w:t>
            </w:r>
          </w:p>
          <w:p>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（正面或反面）</w:t>
            </w:r>
          </w:p>
        </w:tc>
        <w:tc>
          <w:tcPr>
            <w:tcW w:w="4408" w:type="dxa"/>
            <w:vAlign w:val="center"/>
          </w:tcPr>
          <w:p>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被授权人身份证复印件</w:t>
            </w:r>
          </w:p>
          <w:p>
            <w:pPr>
              <w:spacing w:line="360" w:lineRule="auto"/>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（正面或反面）</w:t>
            </w:r>
          </w:p>
        </w:tc>
      </w:tr>
    </w:tbl>
    <w:p>
      <w:pPr>
        <w:spacing w:line="360" w:lineRule="auto"/>
        <w:ind w:firstLine="240" w:firstLineChars="1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（本授权的有效期为开标之日起</w:t>
      </w:r>
      <w:r>
        <w:rPr>
          <w:rFonts w:ascii="宋体" w:hAnsi="宋体"/>
          <w:color w:val="000000" w:themeColor="text1"/>
          <w:sz w:val="24"/>
          <w:highlight w:val="none"/>
          <w14:textFill>
            <w14:solidFill>
              <w14:schemeClr w14:val="tx1"/>
            </w14:solidFill>
          </w14:textFill>
        </w:rPr>
        <w:t>90</w:t>
      </w:r>
      <w:r>
        <w:rPr>
          <w:rFonts w:hint="eastAsia" w:ascii="宋体" w:hAnsi="宋体"/>
          <w:color w:val="000000" w:themeColor="text1"/>
          <w:sz w:val="24"/>
          <w:highlight w:val="none"/>
          <w14:textFill>
            <w14:solidFill>
              <w14:schemeClr w14:val="tx1"/>
            </w14:solidFill>
          </w14:textFill>
        </w:rPr>
        <w:t>个日历日）</w:t>
      </w:r>
    </w:p>
    <w:p>
      <w:pPr>
        <w:spacing w:line="360" w:lineRule="auto"/>
        <w:rPr>
          <w:rFonts w:ascii="宋体"/>
          <w:color w:val="000000" w:themeColor="text1"/>
          <w:sz w:val="24"/>
          <w:highlight w:val="none"/>
          <w14:textFill>
            <w14:solidFill>
              <w14:schemeClr w14:val="tx1"/>
            </w14:solidFill>
          </w14:textFill>
        </w:rPr>
      </w:pPr>
    </w:p>
    <w:p>
      <w:pPr>
        <w:spacing w:line="360" w:lineRule="auto"/>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供应商全称：</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（公章）</w:t>
      </w:r>
    </w:p>
    <w:p>
      <w:pPr>
        <w:spacing w:line="360" w:lineRule="auto"/>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jc w:val="center"/>
        <w:rPr>
          <w:rFonts w:ascii="宋体"/>
          <w:color w:val="000000" w:themeColor="text1"/>
          <w:sz w:val="24"/>
          <w:highlight w:val="none"/>
          <w14:textFill>
            <w14:solidFill>
              <w14:schemeClr w14:val="tx1"/>
            </w14:solidFill>
          </w14:textFill>
        </w:rPr>
      </w:pPr>
      <w:r>
        <w:rPr>
          <w:rFonts w:ascii="宋体"/>
          <w:color w:val="000000" w:themeColor="text1"/>
          <w:sz w:val="24"/>
          <w:highlight w:val="none"/>
          <w14:textFill>
            <w14:solidFill>
              <w14:schemeClr w14:val="tx1"/>
            </w14:solidFill>
          </w14:textFill>
        </w:rPr>
        <w:br w:type="page"/>
      </w:r>
    </w:p>
    <w:p>
      <w:pPr>
        <w:jc w:val="center"/>
        <w:outlineLvl w:val="1"/>
        <w:rPr>
          <w:rFonts w:ascii="宋体"/>
          <w:b/>
          <w:color w:val="000000" w:themeColor="text1"/>
          <w:sz w:val="32"/>
          <w:szCs w:val="32"/>
          <w:highlight w:val="none"/>
          <w14:textFill>
            <w14:solidFill>
              <w14:schemeClr w14:val="tx1"/>
            </w14:solidFill>
          </w14:textFill>
        </w:rPr>
      </w:pPr>
      <w:bookmarkStart w:id="265" w:name="_Toc21758"/>
      <w:bookmarkStart w:id="266" w:name="_Toc10541"/>
      <w:bookmarkStart w:id="267" w:name="_Toc1900"/>
      <w:r>
        <w:rPr>
          <w:rFonts w:hint="eastAsia" w:ascii="宋体" w:hAnsi="宋体"/>
          <w:b/>
          <w:color w:val="000000" w:themeColor="text1"/>
          <w:sz w:val="32"/>
          <w:szCs w:val="32"/>
          <w:highlight w:val="none"/>
          <w14:textFill>
            <w14:solidFill>
              <w14:schemeClr w14:val="tx1"/>
            </w14:solidFill>
          </w14:textFill>
        </w:rPr>
        <w:t>四、</w:t>
      </w:r>
      <w:r>
        <w:rPr>
          <w:rFonts w:hint="eastAsia" w:hAnsi="宋体" w:cs="宋体"/>
          <w:b/>
          <w:bCs/>
          <w:color w:val="000000" w:themeColor="text1"/>
          <w:sz w:val="32"/>
          <w:szCs w:val="32"/>
          <w:highlight w:val="none"/>
          <w14:textFill>
            <w14:solidFill>
              <w14:schemeClr w14:val="tx1"/>
            </w14:solidFill>
          </w14:textFill>
        </w:rPr>
        <w:t>投标方案说明书</w:t>
      </w:r>
      <w:bookmarkEnd w:id="265"/>
      <w:bookmarkEnd w:id="266"/>
      <w:bookmarkEnd w:id="267"/>
    </w:p>
    <w:p>
      <w:pPr>
        <w:jc w:val="center"/>
        <w:rPr>
          <w:rFonts w:ascii="宋体"/>
          <w:b/>
          <w:color w:val="000000" w:themeColor="text1"/>
          <w:sz w:val="32"/>
          <w:szCs w:val="32"/>
          <w:highlight w:val="none"/>
          <w14:textFill>
            <w14:solidFill>
              <w14:schemeClr w14:val="tx1"/>
            </w14:solidFill>
          </w14:textFill>
        </w:rPr>
      </w:pPr>
    </w:p>
    <w:p>
      <w:pPr>
        <w:spacing w:line="480" w:lineRule="auto"/>
        <w:ind w:firstLine="480" w:firstLineChars="200"/>
        <w:rPr>
          <w:rFonts w:hAnsi="宋体" w:cs="宋体"/>
          <w:color w:val="000000" w:themeColor="text1"/>
          <w:sz w:val="24"/>
          <w:szCs w:val="32"/>
          <w:highlight w:val="none"/>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供应商按招标文件的要求，依据第三部分评标办法“</w:t>
      </w:r>
      <w:r>
        <w:rPr>
          <w:rFonts w:hint="eastAsia" w:hAnsi="宋体"/>
          <w:b/>
          <w:color w:val="000000" w:themeColor="text1"/>
          <w:spacing w:val="4"/>
          <w:sz w:val="24"/>
          <w:szCs w:val="32"/>
          <w:highlight w:val="none"/>
          <w14:textFill>
            <w14:solidFill>
              <w14:schemeClr w14:val="tx1"/>
            </w14:solidFill>
          </w14:textFill>
        </w:rPr>
        <w:t>评标因素及权重分值表</w:t>
      </w:r>
      <w:r>
        <w:rPr>
          <w:rFonts w:hint="eastAsia" w:hAnsi="宋体" w:cs="宋体"/>
          <w:color w:val="000000" w:themeColor="text1"/>
          <w:sz w:val="24"/>
          <w:szCs w:val="32"/>
          <w:highlight w:val="none"/>
          <w14:textFill>
            <w14:solidFill>
              <w14:schemeClr w14:val="tx1"/>
            </w14:solidFill>
          </w14:textFill>
        </w:rPr>
        <w:t>”相关内容编写，格式自拟，评标因素及权重分值表要求内容，在投标方案说明书中必须逐项对应编制。</w:t>
      </w: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spacing w:line="440" w:lineRule="exact"/>
        <w:rPr>
          <w:rFonts w:ascii="宋体" w:hAnsi="宋体" w:cs="宋体"/>
          <w:b/>
          <w:color w:val="000000" w:themeColor="text1"/>
          <w:sz w:val="24"/>
          <w:szCs w:val="32"/>
          <w:highlight w:val="none"/>
          <w14:textFill>
            <w14:solidFill>
              <w14:schemeClr w14:val="tx1"/>
            </w14:solidFill>
          </w14:textFill>
        </w:rPr>
      </w:pPr>
    </w:p>
    <w:p>
      <w:pPr>
        <w:spacing w:line="440" w:lineRule="exact"/>
        <w:rPr>
          <w:rFonts w:ascii="宋体" w:hAnsi="宋体" w:cs="宋体"/>
          <w:b/>
          <w:color w:val="000000" w:themeColor="text1"/>
          <w:sz w:val="24"/>
          <w:szCs w:val="32"/>
          <w:highlight w:val="none"/>
          <w14:textFill>
            <w14:solidFill>
              <w14:schemeClr w14:val="tx1"/>
            </w14:solidFill>
          </w14:textFill>
        </w:rPr>
      </w:pPr>
    </w:p>
    <w:p>
      <w:pPr>
        <w:rPr>
          <w:rFonts w:hint="eastAsia" w:ascii="宋体" w:hAnsi="宋体" w:cs="宋体"/>
          <w:b/>
          <w:color w:val="000000" w:themeColor="text1"/>
          <w:sz w:val="24"/>
          <w:szCs w:val="32"/>
          <w:highlight w:val="none"/>
          <w14:textFill>
            <w14:solidFill>
              <w14:schemeClr w14:val="tx1"/>
            </w14:solidFill>
          </w14:textFill>
        </w:rPr>
      </w:pPr>
      <w:r>
        <w:rPr>
          <w:rFonts w:hint="eastAsia" w:ascii="宋体" w:hAnsi="宋体" w:cs="宋体"/>
          <w:b/>
          <w:color w:val="000000" w:themeColor="text1"/>
          <w:sz w:val="24"/>
          <w:szCs w:val="32"/>
          <w:highlight w:val="none"/>
          <w14:textFill>
            <w14:solidFill>
              <w14:schemeClr w14:val="tx1"/>
            </w14:solidFill>
          </w14:textFill>
        </w:rPr>
        <w:br w:type="page"/>
      </w:r>
    </w:p>
    <w:p>
      <w:pPr>
        <w:spacing w:line="440" w:lineRule="exac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szCs w:val="32"/>
          <w:highlight w:val="none"/>
          <w14:textFill>
            <w14:solidFill>
              <w14:schemeClr w14:val="tx1"/>
            </w14:solidFill>
          </w14:textFill>
        </w:rPr>
        <w:t>附表1</w:t>
      </w:r>
    </w:p>
    <w:p>
      <w:pPr>
        <w:spacing w:after="120"/>
        <w:jc w:val="center"/>
        <w:rPr>
          <w:rFonts w:hAnsi="宋体" w:cs="宋体"/>
          <w:b/>
          <w:color w:val="000000" w:themeColor="text1"/>
          <w:sz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服务应答表</w:t>
      </w:r>
    </w:p>
    <w:p>
      <w:pPr>
        <w:spacing w:after="120"/>
        <w:ind w:firstLine="120" w:firstLineChars="50"/>
        <w:rPr>
          <w:rFonts w:hAnsi="宋体" w:cs="宋体"/>
          <w:b/>
          <w:bCs/>
          <w:color w:val="000000" w:themeColor="text1"/>
          <w:sz w:val="24"/>
          <w:highlight w:val="none"/>
          <w14:textFill>
            <w14:solidFill>
              <w14:schemeClr w14:val="tx1"/>
            </w14:solidFill>
          </w14:textFill>
        </w:rPr>
      </w:pPr>
      <w:r>
        <w:rPr>
          <w:rFonts w:hint="eastAsia" w:hAnsi="宋体" w:cs="宋体"/>
          <w:b/>
          <w:bCs/>
          <w:color w:val="000000" w:themeColor="text1"/>
          <w:sz w:val="24"/>
          <w:highlight w:val="none"/>
          <w14:textFill>
            <w14:solidFill>
              <w14:schemeClr w14:val="tx1"/>
            </w14:solidFill>
          </w14:textFill>
        </w:rPr>
        <w:t>项目名称：</w:t>
      </w:r>
    </w:p>
    <w:p>
      <w:pPr>
        <w:spacing w:after="120"/>
        <w:ind w:firstLine="120" w:firstLineChars="50"/>
        <w:rPr>
          <w:b/>
          <w:bCs/>
          <w:color w:val="000000" w:themeColor="text1"/>
          <w:sz w:val="24"/>
          <w:highlight w:val="none"/>
          <w14:textFill>
            <w14:solidFill>
              <w14:schemeClr w14:val="tx1"/>
            </w14:solidFill>
          </w14:textFill>
        </w:rPr>
      </w:pPr>
      <w:r>
        <w:rPr>
          <w:rFonts w:hint="eastAsia" w:hAnsi="宋体" w:cs="宋体"/>
          <w:b/>
          <w:bCs/>
          <w:color w:val="000000" w:themeColor="text1"/>
          <w:sz w:val="24"/>
          <w:highlight w:val="none"/>
          <w14:textFill>
            <w14:solidFill>
              <w14:schemeClr w14:val="tx1"/>
            </w14:solidFill>
          </w14:textFill>
        </w:rPr>
        <w:t>项目编号：</w:t>
      </w:r>
    </w:p>
    <w:tbl>
      <w:tblPr>
        <w:tblStyle w:val="41"/>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393"/>
        <w:gridCol w:w="1815"/>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vAlign w:val="center"/>
          </w:tcPr>
          <w:p>
            <w:pPr>
              <w:pStyle w:val="12"/>
              <w:tabs>
                <w:tab w:val="left" w:pos="6880"/>
              </w:tabs>
              <w:spacing w:line="360" w:lineRule="auto"/>
              <w:ind w:firstLine="0" w:firstLineChars="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519" w:type="dxa"/>
            <w:vAlign w:val="center"/>
          </w:tcPr>
          <w:p>
            <w:pPr>
              <w:pStyle w:val="12"/>
              <w:tabs>
                <w:tab w:val="left" w:pos="6880"/>
              </w:tabs>
              <w:spacing w:line="360" w:lineRule="auto"/>
              <w:ind w:firstLine="0" w:firstLineChars="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招标文件要求</w:t>
            </w:r>
          </w:p>
        </w:tc>
        <w:tc>
          <w:tcPr>
            <w:tcW w:w="2393" w:type="dxa"/>
            <w:vAlign w:val="center"/>
          </w:tcPr>
          <w:p>
            <w:pPr>
              <w:pStyle w:val="12"/>
              <w:tabs>
                <w:tab w:val="left" w:pos="6880"/>
              </w:tabs>
              <w:spacing w:line="360" w:lineRule="auto"/>
              <w:ind w:firstLine="0" w:firstLineChars="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投标文件的应答</w:t>
            </w:r>
          </w:p>
        </w:tc>
        <w:tc>
          <w:tcPr>
            <w:tcW w:w="1815" w:type="dxa"/>
            <w:vAlign w:val="center"/>
          </w:tcPr>
          <w:p>
            <w:pPr>
              <w:pStyle w:val="12"/>
              <w:tabs>
                <w:tab w:val="left" w:pos="6880"/>
              </w:tabs>
              <w:spacing w:line="360" w:lineRule="auto"/>
              <w:ind w:firstLine="0" w:firstLineChars="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响应/偏离</w:t>
            </w:r>
          </w:p>
        </w:tc>
        <w:tc>
          <w:tcPr>
            <w:tcW w:w="1238" w:type="dxa"/>
            <w:vAlign w:val="center"/>
          </w:tcPr>
          <w:p>
            <w:pPr>
              <w:pStyle w:val="12"/>
              <w:tabs>
                <w:tab w:val="left" w:pos="6880"/>
              </w:tabs>
              <w:spacing w:line="360" w:lineRule="auto"/>
              <w:ind w:firstLine="0" w:firstLineChars="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2"/>
              <w:tabs>
                <w:tab w:val="left" w:pos="34"/>
              </w:tabs>
              <w:spacing w:line="360" w:lineRule="auto"/>
              <w:ind w:left="-108" w:firstLine="0" w:firstLineChars="0"/>
              <w:jc w:val="center"/>
              <w:rPr>
                <w:rFonts w:ascii="宋体" w:hAnsi="宋体" w:cs="宋体"/>
                <w:color w:val="000000" w:themeColor="text1"/>
                <w:kern w:val="0"/>
                <w:sz w:val="24"/>
                <w:highlight w:val="none"/>
                <w14:textFill>
                  <w14:solidFill>
                    <w14:schemeClr w14:val="tx1"/>
                  </w14:solidFill>
                </w14:textFill>
              </w:rPr>
            </w:pPr>
          </w:p>
        </w:tc>
        <w:tc>
          <w:tcPr>
            <w:tcW w:w="2519"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393"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815"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2"/>
              <w:tabs>
                <w:tab w:val="left" w:pos="34"/>
              </w:tabs>
              <w:spacing w:line="360" w:lineRule="auto"/>
              <w:ind w:left="-108" w:firstLine="0" w:firstLineChars="0"/>
              <w:jc w:val="center"/>
              <w:rPr>
                <w:rFonts w:ascii="宋体" w:hAnsi="宋体" w:cs="宋体"/>
                <w:color w:val="000000" w:themeColor="text1"/>
                <w:kern w:val="0"/>
                <w:sz w:val="24"/>
                <w:highlight w:val="none"/>
                <w14:textFill>
                  <w14:solidFill>
                    <w14:schemeClr w14:val="tx1"/>
                  </w14:solidFill>
                </w14:textFill>
              </w:rPr>
            </w:pPr>
          </w:p>
        </w:tc>
        <w:tc>
          <w:tcPr>
            <w:tcW w:w="2519"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393"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815"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2"/>
              <w:tabs>
                <w:tab w:val="left" w:pos="34"/>
              </w:tabs>
              <w:spacing w:line="360" w:lineRule="auto"/>
              <w:ind w:left="-108" w:firstLine="0" w:firstLineChars="0"/>
              <w:jc w:val="center"/>
              <w:rPr>
                <w:rFonts w:ascii="宋体" w:hAnsi="宋体" w:cs="宋体"/>
                <w:color w:val="000000" w:themeColor="text1"/>
                <w:kern w:val="0"/>
                <w:sz w:val="24"/>
                <w:highlight w:val="none"/>
                <w14:textFill>
                  <w14:solidFill>
                    <w14:schemeClr w14:val="tx1"/>
                  </w14:solidFill>
                </w14:textFill>
              </w:rPr>
            </w:pPr>
          </w:p>
        </w:tc>
        <w:tc>
          <w:tcPr>
            <w:tcW w:w="2519"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393"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815"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2"/>
              <w:tabs>
                <w:tab w:val="left" w:pos="34"/>
              </w:tabs>
              <w:spacing w:line="360" w:lineRule="auto"/>
              <w:ind w:left="-108" w:firstLine="0" w:firstLineChars="0"/>
              <w:jc w:val="center"/>
              <w:rPr>
                <w:rFonts w:ascii="宋体" w:hAnsi="宋体" w:cs="宋体"/>
                <w:color w:val="000000" w:themeColor="text1"/>
                <w:kern w:val="0"/>
                <w:sz w:val="24"/>
                <w:highlight w:val="none"/>
                <w14:textFill>
                  <w14:solidFill>
                    <w14:schemeClr w14:val="tx1"/>
                  </w14:solidFill>
                </w14:textFill>
              </w:rPr>
            </w:pPr>
          </w:p>
        </w:tc>
        <w:tc>
          <w:tcPr>
            <w:tcW w:w="2519"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393"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815"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2"/>
              <w:tabs>
                <w:tab w:val="left" w:pos="34"/>
              </w:tabs>
              <w:spacing w:line="360" w:lineRule="auto"/>
              <w:ind w:left="-108" w:firstLine="0" w:firstLineChars="0"/>
              <w:jc w:val="center"/>
              <w:rPr>
                <w:rFonts w:ascii="宋体" w:hAnsi="宋体" w:cs="宋体"/>
                <w:color w:val="000000" w:themeColor="text1"/>
                <w:kern w:val="0"/>
                <w:sz w:val="24"/>
                <w:highlight w:val="none"/>
                <w14:textFill>
                  <w14:solidFill>
                    <w14:schemeClr w14:val="tx1"/>
                  </w14:solidFill>
                </w14:textFill>
              </w:rPr>
            </w:pPr>
          </w:p>
        </w:tc>
        <w:tc>
          <w:tcPr>
            <w:tcW w:w="2519"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393"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815"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2"/>
              <w:tabs>
                <w:tab w:val="left" w:pos="34"/>
              </w:tabs>
              <w:spacing w:line="360" w:lineRule="auto"/>
              <w:ind w:left="-108" w:firstLine="0" w:firstLineChars="0"/>
              <w:jc w:val="center"/>
              <w:rPr>
                <w:rFonts w:ascii="宋体" w:hAnsi="宋体" w:cs="宋体"/>
                <w:color w:val="000000" w:themeColor="text1"/>
                <w:kern w:val="0"/>
                <w:sz w:val="24"/>
                <w:highlight w:val="none"/>
                <w14:textFill>
                  <w14:solidFill>
                    <w14:schemeClr w14:val="tx1"/>
                  </w14:solidFill>
                </w14:textFill>
              </w:rPr>
            </w:pPr>
          </w:p>
        </w:tc>
        <w:tc>
          <w:tcPr>
            <w:tcW w:w="2519"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393"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815"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2"/>
              <w:tabs>
                <w:tab w:val="left" w:pos="34"/>
              </w:tabs>
              <w:spacing w:line="360" w:lineRule="auto"/>
              <w:ind w:left="-108" w:firstLine="0" w:firstLineChars="0"/>
              <w:jc w:val="center"/>
              <w:rPr>
                <w:rFonts w:ascii="宋体" w:hAnsi="宋体" w:cs="宋体"/>
                <w:color w:val="000000" w:themeColor="text1"/>
                <w:kern w:val="0"/>
                <w:sz w:val="24"/>
                <w:highlight w:val="none"/>
                <w14:textFill>
                  <w14:solidFill>
                    <w14:schemeClr w14:val="tx1"/>
                  </w14:solidFill>
                </w14:textFill>
              </w:rPr>
            </w:pPr>
          </w:p>
        </w:tc>
        <w:tc>
          <w:tcPr>
            <w:tcW w:w="2519"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393"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815"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2"/>
              <w:tabs>
                <w:tab w:val="left" w:pos="34"/>
              </w:tabs>
              <w:spacing w:line="360" w:lineRule="auto"/>
              <w:ind w:left="-108" w:firstLine="0" w:firstLineChars="0"/>
              <w:jc w:val="center"/>
              <w:rPr>
                <w:rFonts w:ascii="宋体" w:hAnsi="宋体" w:cs="宋体"/>
                <w:color w:val="000000" w:themeColor="text1"/>
                <w:kern w:val="0"/>
                <w:sz w:val="24"/>
                <w:highlight w:val="none"/>
                <w14:textFill>
                  <w14:solidFill>
                    <w14:schemeClr w14:val="tx1"/>
                  </w14:solidFill>
                </w14:textFill>
              </w:rPr>
            </w:pPr>
          </w:p>
        </w:tc>
        <w:tc>
          <w:tcPr>
            <w:tcW w:w="2519"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393"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815"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2"/>
              <w:tabs>
                <w:tab w:val="left" w:pos="34"/>
              </w:tabs>
              <w:spacing w:line="360" w:lineRule="auto"/>
              <w:ind w:firstLine="120" w:firstLineChars="50"/>
              <w:rPr>
                <w:rFonts w:ascii="宋体" w:hAnsi="宋体" w:cs="宋体"/>
                <w:color w:val="000000" w:themeColor="text1"/>
                <w:kern w:val="0"/>
                <w:sz w:val="24"/>
                <w:highlight w:val="none"/>
                <w14:textFill>
                  <w14:solidFill>
                    <w14:schemeClr w14:val="tx1"/>
                  </w14:solidFill>
                </w14:textFill>
              </w:rPr>
            </w:pPr>
          </w:p>
        </w:tc>
        <w:tc>
          <w:tcPr>
            <w:tcW w:w="2519"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393"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815"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2"/>
              <w:tabs>
                <w:tab w:val="left" w:pos="34"/>
              </w:tabs>
              <w:spacing w:line="360" w:lineRule="auto"/>
              <w:ind w:firstLine="120" w:firstLineChars="50"/>
              <w:rPr>
                <w:rFonts w:ascii="宋体" w:hAnsi="宋体" w:cs="宋体"/>
                <w:color w:val="000000" w:themeColor="text1"/>
                <w:kern w:val="0"/>
                <w:sz w:val="24"/>
                <w:highlight w:val="none"/>
                <w14:textFill>
                  <w14:solidFill>
                    <w14:schemeClr w14:val="tx1"/>
                  </w14:solidFill>
                </w14:textFill>
              </w:rPr>
            </w:pPr>
          </w:p>
        </w:tc>
        <w:tc>
          <w:tcPr>
            <w:tcW w:w="2519"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393"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815"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pPr>
              <w:pStyle w:val="12"/>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bl>
    <w:p>
      <w:pPr>
        <w:spacing w:after="120"/>
        <w:ind w:firstLine="105" w:firstLineChars="5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w:t>
      </w:r>
    </w:p>
    <w:p>
      <w:pPr>
        <w:spacing w:line="52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供应商名称：</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（盖单位公章）</w:t>
      </w:r>
    </w:p>
    <w:p>
      <w:pPr>
        <w:spacing w:line="500" w:lineRule="exact"/>
        <w:ind w:firstLine="436" w:firstLineChars="200"/>
        <w:jc w:val="left"/>
        <w:rPr>
          <w:rFonts w:hAnsi="宋体" w:cs="宋体"/>
          <w:color w:val="000000" w:themeColor="text1"/>
          <w:spacing w:val="4"/>
          <w:highlight w:val="none"/>
          <w14:textFill>
            <w14:solidFill>
              <w14:schemeClr w14:val="tx1"/>
            </w14:solidFill>
          </w14:textFill>
        </w:rPr>
      </w:pPr>
    </w:p>
    <w:p>
      <w:pPr>
        <w:spacing w:line="500" w:lineRule="exact"/>
        <w:ind w:firstLine="436" w:firstLineChars="200"/>
        <w:jc w:val="left"/>
        <w:rPr>
          <w:rFonts w:hAnsi="宋体" w:cs="宋体"/>
          <w:color w:val="000000" w:themeColor="text1"/>
          <w:spacing w:val="4"/>
          <w:highlight w:val="none"/>
          <w14:textFill>
            <w14:solidFill>
              <w14:schemeClr w14:val="tx1"/>
            </w14:solidFill>
          </w14:textFill>
        </w:rPr>
      </w:pPr>
      <w:r>
        <w:rPr>
          <w:rFonts w:hint="eastAsia" w:hAnsi="宋体" w:cs="宋体"/>
          <w:color w:val="000000" w:themeColor="text1"/>
          <w:spacing w:val="4"/>
          <w:highlight w:val="none"/>
          <w14:textFill>
            <w14:solidFill>
              <w14:schemeClr w14:val="tx1"/>
            </w14:solidFill>
          </w14:textFill>
        </w:rPr>
        <w:t>法定代表人或被授权人：</w:t>
      </w:r>
      <w:r>
        <w:rPr>
          <w:rFonts w:hint="eastAsia" w:hAnsi="宋体" w:cs="宋体"/>
          <w:color w:val="000000" w:themeColor="text1"/>
          <w:spacing w:val="4"/>
          <w:highlight w:val="none"/>
          <w:u w:val="single"/>
          <w14:textFill>
            <w14:solidFill>
              <w14:schemeClr w14:val="tx1"/>
            </w14:solidFill>
          </w14:textFill>
        </w:rPr>
        <w:t xml:space="preserve">      </w:t>
      </w:r>
      <w:r>
        <w:rPr>
          <w:rFonts w:hint="eastAsia" w:hAnsi="宋体" w:cs="宋体"/>
          <w:color w:val="000000" w:themeColor="text1"/>
          <w:spacing w:val="4"/>
          <w:highlight w:val="none"/>
          <w14:textFill>
            <w14:solidFill>
              <w14:schemeClr w14:val="tx1"/>
            </w14:solidFill>
          </w14:textFill>
        </w:rPr>
        <w:t>（签字或盖章）</w:t>
      </w:r>
    </w:p>
    <w:p>
      <w:pPr>
        <w:spacing w:line="520" w:lineRule="exact"/>
        <w:ind w:firstLine="420" w:firstLineChars="200"/>
        <w:rPr>
          <w:rFonts w:hAnsi="宋体" w:cs="宋体"/>
          <w:color w:val="000000" w:themeColor="text1"/>
          <w:highlight w:val="none"/>
          <w14:textFill>
            <w14:solidFill>
              <w14:schemeClr w14:val="tx1"/>
            </w14:solidFill>
          </w14:textFill>
        </w:rPr>
      </w:pPr>
    </w:p>
    <w:p>
      <w:pPr>
        <w:spacing w:line="520" w:lineRule="exact"/>
        <w:ind w:firstLine="420" w:firstLineChars="200"/>
        <w:rPr>
          <w:rFonts w:hAnsi="宋体" w:cs="宋体"/>
          <w:b/>
          <w:bCs/>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日      期：      年   月    日</w:t>
      </w:r>
    </w:p>
    <w:p>
      <w:pPr>
        <w:rPr>
          <w:rFonts w:hAnsi="宋体" w:cs="宋体"/>
          <w:color w:val="000000" w:themeColor="text1"/>
          <w:highlight w:val="none"/>
          <w14:textFill>
            <w14:solidFill>
              <w14:schemeClr w14:val="tx1"/>
            </w14:solidFill>
          </w14:textFill>
        </w:rPr>
      </w:pPr>
    </w:p>
    <w:p>
      <w:pPr>
        <w:pStyle w:val="114"/>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注：1.本表只填写投标文件中与招标文件有偏离（包括正偏离和负偏离）的内容，投标文件中商务响应与招标文件要求完全一致的，不用在此表中列出，但必须提交空白表。</w:t>
      </w:r>
    </w:p>
    <w:p>
      <w:pPr>
        <w:pStyle w:val="114"/>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2．供应商必须据实填写，不得虚假填写，否则将取消其投标或中标资格。</w:t>
      </w:r>
    </w:p>
    <w:p>
      <w:pPr>
        <w:spacing w:line="360" w:lineRule="auto"/>
        <w:rPr>
          <w:rFonts w:ascii="宋体" w:hAnsi="宋体" w:cs="宋体"/>
          <w:color w:val="000000" w:themeColor="text1"/>
          <w:sz w:val="24"/>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附表2 本项目拟投入人员汇总表</w:t>
      </w:r>
    </w:p>
    <w:p>
      <w:pPr>
        <w:pStyle w:val="115"/>
        <w:spacing w:before="156" w:beforeLines="50" w:line="360" w:lineRule="auto"/>
        <w:ind w:firstLine="0" w:firstLineChars="0"/>
        <w:jc w:val="center"/>
        <w:outlineLvl w:val="9"/>
        <w:rPr>
          <w:rFonts w:ascii="宋体" w:hAnsi="宋体"/>
          <w:color w:val="000000" w:themeColor="text1"/>
          <w:highlight w:val="none"/>
          <w14:textFill>
            <w14:solidFill>
              <w14:schemeClr w14:val="tx1"/>
            </w14:solidFill>
          </w14:textFill>
        </w:rPr>
      </w:pPr>
      <w:bookmarkStart w:id="268" w:name="_Toc5853"/>
      <w:bookmarkStart w:id="269" w:name="_Toc25058"/>
      <w:bookmarkStart w:id="270" w:name="_Toc10057"/>
      <w:r>
        <w:rPr>
          <w:rFonts w:hint="eastAsia" w:ascii="宋体" w:hAnsi="宋体"/>
          <w:color w:val="000000" w:themeColor="text1"/>
          <w:highlight w:val="none"/>
          <w14:textFill>
            <w14:solidFill>
              <w14:schemeClr w14:val="tx1"/>
            </w14:solidFill>
          </w14:textFill>
        </w:rPr>
        <w:t>（一）本项目拟投入人员汇总表</w:t>
      </w:r>
      <w:bookmarkEnd w:id="268"/>
      <w:bookmarkEnd w:id="269"/>
      <w:bookmarkEnd w:id="270"/>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1240"/>
        <w:gridCol w:w="570"/>
        <w:gridCol w:w="570"/>
        <w:gridCol w:w="570"/>
        <w:gridCol w:w="835"/>
        <w:gridCol w:w="1157"/>
        <w:gridCol w:w="748"/>
        <w:gridCol w:w="2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557" w:type="dxa"/>
            <w:tcMar>
              <w:top w:w="15" w:type="dxa"/>
              <w:left w:w="15" w:type="dxa"/>
              <w:bottom w:w="0" w:type="dxa"/>
              <w:right w:w="15" w:type="dxa"/>
            </w:tcMar>
            <w:vAlign w:val="center"/>
          </w:tcPr>
          <w:p>
            <w:pPr>
              <w:pStyle w:val="116"/>
              <w:spacing w:line="400" w:lineRule="exact"/>
              <w:ind w:left="0" w:leftChars="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序号</w:t>
            </w:r>
          </w:p>
        </w:tc>
        <w:tc>
          <w:tcPr>
            <w:tcW w:w="1240" w:type="dxa"/>
            <w:tcMar>
              <w:top w:w="15" w:type="dxa"/>
              <w:left w:w="15" w:type="dxa"/>
              <w:bottom w:w="0" w:type="dxa"/>
              <w:right w:w="15" w:type="dxa"/>
            </w:tcMar>
            <w:vAlign w:val="center"/>
          </w:tcPr>
          <w:p>
            <w:pPr>
              <w:pStyle w:val="116"/>
              <w:spacing w:line="400" w:lineRule="exact"/>
              <w:ind w:left="0" w:leftChars="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姓  名</w:t>
            </w:r>
          </w:p>
        </w:tc>
        <w:tc>
          <w:tcPr>
            <w:tcW w:w="570" w:type="dxa"/>
            <w:tcMar>
              <w:top w:w="15" w:type="dxa"/>
              <w:left w:w="15" w:type="dxa"/>
              <w:bottom w:w="0" w:type="dxa"/>
              <w:right w:w="15" w:type="dxa"/>
            </w:tcMar>
            <w:vAlign w:val="center"/>
          </w:tcPr>
          <w:p>
            <w:pPr>
              <w:pStyle w:val="116"/>
              <w:spacing w:line="400" w:lineRule="exact"/>
              <w:ind w:left="0" w:leftChars="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性别</w:t>
            </w:r>
          </w:p>
        </w:tc>
        <w:tc>
          <w:tcPr>
            <w:tcW w:w="570" w:type="dxa"/>
            <w:tcMar>
              <w:top w:w="15" w:type="dxa"/>
              <w:left w:w="15" w:type="dxa"/>
              <w:bottom w:w="0" w:type="dxa"/>
              <w:right w:w="15" w:type="dxa"/>
            </w:tcMar>
            <w:vAlign w:val="center"/>
          </w:tcPr>
          <w:p>
            <w:pPr>
              <w:pStyle w:val="116"/>
              <w:spacing w:line="400" w:lineRule="exact"/>
              <w:ind w:left="0" w:leftChars="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年龄</w:t>
            </w:r>
          </w:p>
        </w:tc>
        <w:tc>
          <w:tcPr>
            <w:tcW w:w="570" w:type="dxa"/>
            <w:tcMar>
              <w:top w:w="15" w:type="dxa"/>
              <w:left w:w="15" w:type="dxa"/>
              <w:bottom w:w="0" w:type="dxa"/>
              <w:right w:w="15" w:type="dxa"/>
            </w:tcMar>
            <w:vAlign w:val="center"/>
          </w:tcPr>
          <w:p>
            <w:pPr>
              <w:pStyle w:val="116"/>
              <w:spacing w:line="400" w:lineRule="exact"/>
              <w:ind w:left="0" w:leftChars="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学历</w:t>
            </w:r>
          </w:p>
        </w:tc>
        <w:tc>
          <w:tcPr>
            <w:tcW w:w="835" w:type="dxa"/>
            <w:tcMar>
              <w:top w:w="15" w:type="dxa"/>
              <w:left w:w="15" w:type="dxa"/>
              <w:bottom w:w="0" w:type="dxa"/>
              <w:right w:w="15" w:type="dxa"/>
            </w:tcMar>
            <w:vAlign w:val="center"/>
          </w:tcPr>
          <w:p>
            <w:pPr>
              <w:pStyle w:val="116"/>
              <w:spacing w:line="400" w:lineRule="exact"/>
              <w:ind w:left="0" w:leftChars="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技术</w:t>
            </w:r>
          </w:p>
          <w:p>
            <w:pPr>
              <w:pStyle w:val="116"/>
              <w:spacing w:line="400" w:lineRule="exact"/>
              <w:ind w:left="0" w:leftChars="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职称</w:t>
            </w:r>
          </w:p>
        </w:tc>
        <w:tc>
          <w:tcPr>
            <w:tcW w:w="1157" w:type="dxa"/>
            <w:tcMar>
              <w:top w:w="15" w:type="dxa"/>
              <w:left w:w="15" w:type="dxa"/>
              <w:bottom w:w="0" w:type="dxa"/>
              <w:right w:w="15" w:type="dxa"/>
            </w:tcMar>
          </w:tcPr>
          <w:p>
            <w:pPr>
              <w:pStyle w:val="116"/>
              <w:spacing w:line="400" w:lineRule="exact"/>
              <w:ind w:left="0" w:leftChars="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资格证</w:t>
            </w:r>
          </w:p>
          <w:p>
            <w:pPr>
              <w:pStyle w:val="116"/>
              <w:spacing w:line="400" w:lineRule="exact"/>
              <w:ind w:left="0" w:leftChars="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书种类</w:t>
            </w:r>
          </w:p>
        </w:tc>
        <w:tc>
          <w:tcPr>
            <w:tcW w:w="748" w:type="dxa"/>
            <w:tcMar>
              <w:top w:w="15" w:type="dxa"/>
              <w:left w:w="15" w:type="dxa"/>
              <w:bottom w:w="0" w:type="dxa"/>
              <w:right w:w="15" w:type="dxa"/>
            </w:tcMar>
            <w:vAlign w:val="center"/>
          </w:tcPr>
          <w:p>
            <w:pPr>
              <w:pStyle w:val="116"/>
              <w:spacing w:line="400" w:lineRule="exact"/>
              <w:ind w:left="0" w:leftChars="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工作</w:t>
            </w:r>
          </w:p>
          <w:p>
            <w:pPr>
              <w:pStyle w:val="116"/>
              <w:spacing w:line="400" w:lineRule="exact"/>
              <w:ind w:left="0" w:leftChars="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年限</w:t>
            </w:r>
          </w:p>
        </w:tc>
        <w:tc>
          <w:tcPr>
            <w:tcW w:w="2757" w:type="dxa"/>
            <w:tcMar>
              <w:top w:w="15" w:type="dxa"/>
              <w:left w:w="15" w:type="dxa"/>
              <w:bottom w:w="0" w:type="dxa"/>
              <w:right w:w="15" w:type="dxa"/>
            </w:tcMar>
            <w:vAlign w:val="center"/>
          </w:tcPr>
          <w:p>
            <w:pPr>
              <w:pStyle w:val="116"/>
              <w:spacing w:line="400" w:lineRule="exact"/>
              <w:ind w:left="0" w:leftChars="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拟担任的职务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highlight w:val="none"/>
                <w14:textFill>
                  <w14:solidFill>
                    <w14:schemeClr w14:val="tx1"/>
                  </w14:solidFill>
                </w14:textFill>
              </w:rPr>
            </w:pPr>
          </w:p>
        </w:tc>
      </w:tr>
    </w:tbl>
    <w:p>
      <w:pPr>
        <w:pStyle w:val="117"/>
        <w:tabs>
          <w:tab w:val="left" w:pos="2040"/>
        </w:tabs>
        <w:spacing w:beforeLines="0" w:line="400" w:lineRule="exact"/>
        <w:ind w:left="0" w:firstLine="420" w:firstLineChars="200"/>
        <w:rPr>
          <w:rFonts w:hAnsi="宋体" w:eastAsia="宋体" w:cs="宋体"/>
          <w:color w:val="000000" w:themeColor="text1"/>
          <w:szCs w:val="21"/>
          <w:highlight w:val="none"/>
          <w14:textFill>
            <w14:solidFill>
              <w14:schemeClr w14:val="tx1"/>
            </w14:solidFill>
          </w14:textFill>
        </w:rPr>
      </w:pPr>
      <w:r>
        <w:rPr>
          <w:rFonts w:hint="eastAsia" w:hAnsi="宋体" w:eastAsia="宋体" w:cs="宋体"/>
          <w:color w:val="000000" w:themeColor="text1"/>
          <w:szCs w:val="21"/>
          <w:highlight w:val="none"/>
          <w14:textFill>
            <w14:solidFill>
              <w14:schemeClr w14:val="tx1"/>
            </w14:solidFill>
          </w14:textFill>
        </w:rPr>
        <w:t>注：1.供应商可适当调整该表格式，但不得减少信息内容。</w:t>
      </w:r>
    </w:p>
    <w:p>
      <w:pPr>
        <w:pStyle w:val="118"/>
        <w:spacing w:before="0" w:beforeLines="0" w:after="0" w:afterLines="0" w:line="400" w:lineRule="exact"/>
        <w:ind w:left="0" w:leftChars="0" w:firstLine="420" w:firstLineChars="200"/>
        <w:jc w:val="both"/>
        <w:rPr>
          <w:rFonts w:hAnsi="宋体" w:cs="宋体"/>
          <w:b w:val="0"/>
          <w:color w:val="000000" w:themeColor="text1"/>
          <w:sz w:val="21"/>
          <w:highlight w:val="none"/>
          <w14:textFill>
            <w14:solidFill>
              <w14:schemeClr w14:val="tx1"/>
            </w14:solidFill>
          </w14:textFill>
        </w:rPr>
      </w:pPr>
    </w:p>
    <w:p>
      <w:pPr>
        <w:pStyle w:val="115"/>
        <w:spacing w:line="360" w:lineRule="auto"/>
        <w:ind w:firstLine="0" w:firstLineChars="0"/>
        <w:jc w:val="center"/>
        <w:outlineLvl w:val="9"/>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br w:type="page"/>
      </w:r>
    </w:p>
    <w:p>
      <w:pPr>
        <w:pStyle w:val="115"/>
        <w:spacing w:line="360" w:lineRule="auto"/>
        <w:ind w:firstLine="0" w:firstLineChars="0"/>
        <w:jc w:val="center"/>
        <w:outlineLvl w:val="9"/>
        <w:rPr>
          <w:rFonts w:hAnsi="宋体"/>
          <w:color w:val="000000" w:themeColor="text1"/>
          <w:highlight w:val="none"/>
          <w14:textFill>
            <w14:solidFill>
              <w14:schemeClr w14:val="tx1"/>
            </w14:solidFill>
          </w14:textFill>
        </w:rPr>
      </w:pPr>
      <w:bookmarkStart w:id="271" w:name="_Toc27953"/>
      <w:bookmarkStart w:id="272" w:name="_Toc25611"/>
      <w:bookmarkStart w:id="273" w:name="_Toc31228"/>
      <w:r>
        <w:rPr>
          <w:rFonts w:hint="eastAsia" w:hAnsi="宋体"/>
          <w:color w:val="000000" w:themeColor="text1"/>
          <w:highlight w:val="none"/>
          <w14:textFill>
            <w14:solidFill>
              <w14:schemeClr w14:val="tx1"/>
            </w14:solidFill>
          </w14:textFill>
        </w:rPr>
        <w:t>（二） 本项目拟投入主要人员简历表</w:t>
      </w:r>
      <w:bookmarkEnd w:id="271"/>
      <w:bookmarkEnd w:id="272"/>
      <w:bookmarkEnd w:id="273"/>
    </w:p>
    <w:p>
      <w:pPr>
        <w:pStyle w:val="115"/>
        <w:spacing w:line="360" w:lineRule="auto"/>
        <w:ind w:firstLine="0" w:firstLineChars="0"/>
        <w:jc w:val="center"/>
        <w:outlineLvl w:val="9"/>
        <w:rPr>
          <w:rFonts w:hAnsi="宋体"/>
          <w:color w:val="000000" w:themeColor="text1"/>
          <w:highlight w:val="none"/>
          <w14:textFill>
            <w14:solidFill>
              <w14:schemeClr w14:val="tx1"/>
            </w14:solidFill>
          </w14:textFill>
        </w:rPr>
      </w:pPr>
      <w:bookmarkStart w:id="274" w:name="_Toc13331"/>
      <w:bookmarkStart w:id="275" w:name="_Toc10940"/>
      <w:bookmarkStart w:id="276" w:name="_Toc14182"/>
      <w:r>
        <w:rPr>
          <w:rFonts w:hint="eastAsia" w:hAnsi="宋体"/>
          <w:color w:val="000000" w:themeColor="text1"/>
          <w:highlight w:val="none"/>
          <w14:textFill>
            <w14:solidFill>
              <w14:schemeClr w14:val="tx1"/>
            </w14:solidFill>
          </w14:textFill>
        </w:rPr>
        <w:t>本项目拟投入主要人员简历表</w:t>
      </w:r>
      <w:bookmarkEnd w:id="274"/>
      <w:bookmarkEnd w:id="275"/>
      <w:bookmarkEnd w:id="276"/>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72"/>
        <w:gridCol w:w="1577"/>
        <w:gridCol w:w="1525"/>
        <w:gridCol w:w="1286"/>
        <w:gridCol w:w="45"/>
        <w:gridCol w:w="1709"/>
        <w:gridCol w:w="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姓  名</w:t>
            </w:r>
          </w:p>
        </w:tc>
        <w:tc>
          <w:tcPr>
            <w:tcW w:w="1577" w:type="dxa"/>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p>
        </w:tc>
        <w:tc>
          <w:tcPr>
            <w:tcW w:w="1525" w:type="dxa"/>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性 别</w:t>
            </w:r>
          </w:p>
        </w:tc>
        <w:tc>
          <w:tcPr>
            <w:tcW w:w="1331" w:type="dxa"/>
            <w:gridSpan w:val="2"/>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p>
        </w:tc>
        <w:tc>
          <w:tcPr>
            <w:tcW w:w="1709" w:type="dxa"/>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年 龄</w:t>
            </w:r>
          </w:p>
        </w:tc>
        <w:tc>
          <w:tcPr>
            <w:tcW w:w="1139" w:type="dxa"/>
            <w:gridSpan w:val="2"/>
            <w:vAlign w:val="center"/>
          </w:tcPr>
          <w:p>
            <w:pPr>
              <w:pStyle w:val="116"/>
              <w:spacing w:line="400" w:lineRule="exact"/>
              <w:ind w:left="0" w:leftChars="0" w:firstLine="420" w:firstLineChars="200"/>
              <w:rPr>
                <w:rFonts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2" w:type="dxa"/>
            <w:gridSpan w:val="2"/>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职  称</w:t>
            </w:r>
          </w:p>
        </w:tc>
        <w:tc>
          <w:tcPr>
            <w:tcW w:w="1577" w:type="dxa"/>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p>
        </w:tc>
        <w:tc>
          <w:tcPr>
            <w:tcW w:w="1525" w:type="dxa"/>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身份证号</w:t>
            </w:r>
          </w:p>
        </w:tc>
        <w:tc>
          <w:tcPr>
            <w:tcW w:w="1331" w:type="dxa"/>
            <w:gridSpan w:val="2"/>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p>
        </w:tc>
        <w:tc>
          <w:tcPr>
            <w:tcW w:w="1709" w:type="dxa"/>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专业/年限</w:t>
            </w:r>
          </w:p>
        </w:tc>
        <w:tc>
          <w:tcPr>
            <w:tcW w:w="1139" w:type="dxa"/>
            <w:gridSpan w:val="2"/>
            <w:vAlign w:val="center"/>
          </w:tcPr>
          <w:p>
            <w:pPr>
              <w:pStyle w:val="116"/>
              <w:spacing w:line="400" w:lineRule="exact"/>
              <w:ind w:left="0" w:leftChars="0" w:firstLine="420" w:firstLineChars="200"/>
              <w:rPr>
                <w:rFonts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毕业时间</w:t>
            </w:r>
          </w:p>
        </w:tc>
        <w:tc>
          <w:tcPr>
            <w:tcW w:w="1577" w:type="dxa"/>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p>
        </w:tc>
        <w:tc>
          <w:tcPr>
            <w:tcW w:w="1525" w:type="dxa"/>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毕业学校</w:t>
            </w:r>
          </w:p>
        </w:tc>
        <w:tc>
          <w:tcPr>
            <w:tcW w:w="1331" w:type="dxa"/>
            <w:gridSpan w:val="2"/>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p>
        </w:tc>
        <w:tc>
          <w:tcPr>
            <w:tcW w:w="1709" w:type="dxa"/>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学历/专业</w:t>
            </w:r>
          </w:p>
        </w:tc>
        <w:tc>
          <w:tcPr>
            <w:tcW w:w="1139" w:type="dxa"/>
            <w:gridSpan w:val="2"/>
            <w:vAlign w:val="center"/>
          </w:tcPr>
          <w:p>
            <w:pPr>
              <w:pStyle w:val="116"/>
              <w:spacing w:line="400" w:lineRule="exact"/>
              <w:ind w:left="0" w:leftChars="0" w:firstLine="420" w:firstLineChars="200"/>
              <w:rPr>
                <w:rFonts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资格证书</w:t>
            </w:r>
          </w:p>
        </w:tc>
        <w:tc>
          <w:tcPr>
            <w:tcW w:w="1577" w:type="dxa"/>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p>
        </w:tc>
        <w:tc>
          <w:tcPr>
            <w:tcW w:w="1525" w:type="dxa"/>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注册时间</w:t>
            </w:r>
          </w:p>
        </w:tc>
        <w:tc>
          <w:tcPr>
            <w:tcW w:w="1331" w:type="dxa"/>
            <w:gridSpan w:val="2"/>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p>
        </w:tc>
        <w:tc>
          <w:tcPr>
            <w:tcW w:w="1709" w:type="dxa"/>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从业时间</w:t>
            </w:r>
          </w:p>
        </w:tc>
        <w:tc>
          <w:tcPr>
            <w:tcW w:w="1139" w:type="dxa"/>
            <w:gridSpan w:val="2"/>
            <w:vAlign w:val="center"/>
          </w:tcPr>
          <w:p>
            <w:pPr>
              <w:pStyle w:val="116"/>
              <w:spacing w:line="400" w:lineRule="exact"/>
              <w:ind w:left="0" w:leftChars="0" w:firstLine="420" w:firstLineChars="200"/>
              <w:rPr>
                <w:rFonts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349" w:type="dxa"/>
            <w:gridSpan w:val="3"/>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是否属供应商固定雇员</w:t>
            </w:r>
          </w:p>
        </w:tc>
        <w:tc>
          <w:tcPr>
            <w:tcW w:w="1525" w:type="dxa"/>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p>
        </w:tc>
        <w:tc>
          <w:tcPr>
            <w:tcW w:w="3040" w:type="dxa"/>
            <w:gridSpan w:val="3"/>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为供应商服务时间</w:t>
            </w:r>
          </w:p>
        </w:tc>
        <w:tc>
          <w:tcPr>
            <w:tcW w:w="1139" w:type="dxa"/>
            <w:gridSpan w:val="2"/>
            <w:vAlign w:val="center"/>
          </w:tcPr>
          <w:p>
            <w:pPr>
              <w:pStyle w:val="116"/>
              <w:spacing w:line="400" w:lineRule="exact"/>
              <w:ind w:left="0" w:leftChars="0" w:firstLine="420" w:firstLineChars="200"/>
              <w:rPr>
                <w:rFonts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349" w:type="dxa"/>
            <w:gridSpan w:val="3"/>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拟在本项目担任职务</w:t>
            </w:r>
          </w:p>
        </w:tc>
        <w:tc>
          <w:tcPr>
            <w:tcW w:w="5704" w:type="dxa"/>
            <w:gridSpan w:val="6"/>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053" w:type="dxa"/>
            <w:gridSpan w:val="9"/>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教育和培训背景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053" w:type="dxa"/>
            <w:gridSpan w:val="9"/>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时  间</w:t>
            </w:r>
          </w:p>
        </w:tc>
        <w:tc>
          <w:tcPr>
            <w:tcW w:w="3374" w:type="dxa"/>
            <w:gridSpan w:val="3"/>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参加过的项目名称</w:t>
            </w:r>
          </w:p>
          <w:p>
            <w:pPr>
              <w:pStyle w:val="116"/>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及当时所在单位</w:t>
            </w:r>
          </w:p>
        </w:tc>
        <w:tc>
          <w:tcPr>
            <w:tcW w:w="1286" w:type="dxa"/>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担任何职</w:t>
            </w:r>
          </w:p>
        </w:tc>
        <w:tc>
          <w:tcPr>
            <w:tcW w:w="1761" w:type="dxa"/>
            <w:gridSpan w:val="3"/>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主要工作内容</w:t>
            </w:r>
          </w:p>
        </w:tc>
        <w:tc>
          <w:tcPr>
            <w:tcW w:w="1132" w:type="dxa"/>
            <w:vAlign w:val="center"/>
          </w:tcPr>
          <w:p>
            <w:pPr>
              <w:pStyle w:val="116"/>
              <w:spacing w:line="400" w:lineRule="exact"/>
              <w:ind w:left="0" w:leftChars="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6"/>
              <w:spacing w:line="400" w:lineRule="exact"/>
              <w:ind w:left="0" w:leftChars="0"/>
              <w:jc w:val="both"/>
              <w:rPr>
                <w:rFonts w:hAnsi="宋体" w:cs="宋体"/>
                <w:color w:val="000000" w:themeColor="text1"/>
                <w:highlight w:val="none"/>
                <w14:textFill>
                  <w14:solidFill>
                    <w14:schemeClr w14:val="tx1"/>
                  </w14:solidFill>
                </w14:textFill>
              </w:rPr>
            </w:pPr>
          </w:p>
        </w:tc>
        <w:tc>
          <w:tcPr>
            <w:tcW w:w="3374" w:type="dxa"/>
            <w:gridSpan w:val="3"/>
            <w:vAlign w:val="center"/>
          </w:tcPr>
          <w:p>
            <w:pPr>
              <w:pStyle w:val="116"/>
              <w:spacing w:line="400" w:lineRule="exact"/>
              <w:ind w:left="0" w:leftChars="0"/>
              <w:jc w:val="both"/>
              <w:rPr>
                <w:rFonts w:hAnsi="宋体" w:cs="宋体"/>
                <w:color w:val="000000" w:themeColor="text1"/>
                <w:highlight w:val="none"/>
                <w14:textFill>
                  <w14:solidFill>
                    <w14:schemeClr w14:val="tx1"/>
                  </w14:solidFill>
                </w14:textFill>
              </w:rPr>
            </w:pPr>
          </w:p>
        </w:tc>
        <w:tc>
          <w:tcPr>
            <w:tcW w:w="1286" w:type="dxa"/>
            <w:vAlign w:val="center"/>
          </w:tcPr>
          <w:p>
            <w:pPr>
              <w:pStyle w:val="116"/>
              <w:spacing w:line="400" w:lineRule="exact"/>
              <w:ind w:left="0" w:leftChars="0"/>
              <w:jc w:val="both"/>
              <w:rPr>
                <w:rFonts w:hAnsi="宋体" w:cs="宋体"/>
                <w:color w:val="000000" w:themeColor="text1"/>
                <w:highlight w:val="none"/>
                <w14:textFill>
                  <w14:solidFill>
                    <w14:schemeClr w14:val="tx1"/>
                  </w14:solidFill>
                </w14:textFill>
              </w:rPr>
            </w:pPr>
          </w:p>
        </w:tc>
        <w:tc>
          <w:tcPr>
            <w:tcW w:w="1761" w:type="dxa"/>
            <w:gridSpan w:val="3"/>
            <w:vAlign w:val="center"/>
          </w:tcPr>
          <w:p>
            <w:pPr>
              <w:pStyle w:val="116"/>
              <w:spacing w:line="400" w:lineRule="exact"/>
              <w:ind w:left="0" w:leftChars="0"/>
              <w:jc w:val="both"/>
              <w:rPr>
                <w:rFonts w:hAnsi="宋体" w:cs="宋体"/>
                <w:color w:val="000000" w:themeColor="text1"/>
                <w:highlight w:val="none"/>
                <w14:textFill>
                  <w14:solidFill>
                    <w14:schemeClr w14:val="tx1"/>
                  </w14:solidFill>
                </w14:textFill>
              </w:rPr>
            </w:pPr>
          </w:p>
        </w:tc>
        <w:tc>
          <w:tcPr>
            <w:tcW w:w="1132" w:type="dxa"/>
            <w:vAlign w:val="center"/>
          </w:tcPr>
          <w:p>
            <w:pPr>
              <w:pStyle w:val="116"/>
              <w:spacing w:line="400" w:lineRule="exact"/>
              <w:ind w:left="0" w:leftChars="0"/>
              <w:jc w:val="both"/>
              <w:rPr>
                <w:rFonts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00" w:type="dxa"/>
            <w:vAlign w:val="center"/>
          </w:tcPr>
          <w:p>
            <w:pPr>
              <w:pStyle w:val="116"/>
              <w:spacing w:line="400" w:lineRule="exact"/>
              <w:ind w:left="0" w:leftChars="0"/>
              <w:jc w:val="both"/>
              <w:rPr>
                <w:rFonts w:hAnsi="宋体" w:cs="宋体"/>
                <w:color w:val="000000" w:themeColor="text1"/>
                <w:highlight w:val="none"/>
                <w14:textFill>
                  <w14:solidFill>
                    <w14:schemeClr w14:val="tx1"/>
                  </w14:solidFill>
                </w14:textFill>
              </w:rPr>
            </w:pPr>
          </w:p>
        </w:tc>
        <w:tc>
          <w:tcPr>
            <w:tcW w:w="3374" w:type="dxa"/>
            <w:gridSpan w:val="3"/>
            <w:vAlign w:val="center"/>
          </w:tcPr>
          <w:p>
            <w:pPr>
              <w:pStyle w:val="116"/>
              <w:spacing w:line="400" w:lineRule="exact"/>
              <w:ind w:left="0" w:leftChars="0"/>
              <w:jc w:val="both"/>
              <w:rPr>
                <w:rFonts w:hAnsi="宋体" w:cs="宋体"/>
                <w:color w:val="000000" w:themeColor="text1"/>
                <w:highlight w:val="none"/>
                <w14:textFill>
                  <w14:solidFill>
                    <w14:schemeClr w14:val="tx1"/>
                  </w14:solidFill>
                </w14:textFill>
              </w:rPr>
            </w:pPr>
          </w:p>
        </w:tc>
        <w:tc>
          <w:tcPr>
            <w:tcW w:w="1286" w:type="dxa"/>
            <w:vAlign w:val="center"/>
          </w:tcPr>
          <w:p>
            <w:pPr>
              <w:pStyle w:val="116"/>
              <w:spacing w:line="400" w:lineRule="exact"/>
              <w:ind w:left="0" w:leftChars="0"/>
              <w:jc w:val="both"/>
              <w:rPr>
                <w:rFonts w:hAnsi="宋体" w:cs="宋体"/>
                <w:color w:val="000000" w:themeColor="text1"/>
                <w:highlight w:val="none"/>
                <w14:textFill>
                  <w14:solidFill>
                    <w14:schemeClr w14:val="tx1"/>
                  </w14:solidFill>
                </w14:textFill>
              </w:rPr>
            </w:pPr>
          </w:p>
        </w:tc>
        <w:tc>
          <w:tcPr>
            <w:tcW w:w="1761" w:type="dxa"/>
            <w:gridSpan w:val="3"/>
            <w:vAlign w:val="center"/>
          </w:tcPr>
          <w:p>
            <w:pPr>
              <w:pStyle w:val="116"/>
              <w:spacing w:line="400" w:lineRule="exact"/>
              <w:ind w:left="0" w:leftChars="0"/>
              <w:jc w:val="both"/>
              <w:rPr>
                <w:rFonts w:hAnsi="宋体" w:cs="宋体"/>
                <w:color w:val="000000" w:themeColor="text1"/>
                <w:highlight w:val="none"/>
                <w14:textFill>
                  <w14:solidFill>
                    <w14:schemeClr w14:val="tx1"/>
                  </w14:solidFill>
                </w14:textFill>
              </w:rPr>
            </w:pPr>
          </w:p>
        </w:tc>
        <w:tc>
          <w:tcPr>
            <w:tcW w:w="1132" w:type="dxa"/>
            <w:vAlign w:val="center"/>
          </w:tcPr>
          <w:p>
            <w:pPr>
              <w:pStyle w:val="116"/>
              <w:spacing w:line="400" w:lineRule="exact"/>
              <w:ind w:left="0" w:leftChars="0"/>
              <w:jc w:val="both"/>
              <w:rPr>
                <w:rFonts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6"/>
              <w:spacing w:line="400" w:lineRule="exact"/>
              <w:ind w:left="0" w:leftChars="0"/>
              <w:jc w:val="both"/>
              <w:rPr>
                <w:rFonts w:hAnsi="宋体" w:cs="宋体"/>
                <w:color w:val="000000" w:themeColor="text1"/>
                <w:highlight w:val="none"/>
                <w14:textFill>
                  <w14:solidFill>
                    <w14:schemeClr w14:val="tx1"/>
                  </w14:solidFill>
                </w14:textFill>
              </w:rPr>
            </w:pPr>
          </w:p>
        </w:tc>
        <w:tc>
          <w:tcPr>
            <w:tcW w:w="3374" w:type="dxa"/>
            <w:gridSpan w:val="3"/>
            <w:vAlign w:val="center"/>
          </w:tcPr>
          <w:p>
            <w:pPr>
              <w:pStyle w:val="116"/>
              <w:spacing w:line="400" w:lineRule="exact"/>
              <w:ind w:left="0" w:leftChars="0"/>
              <w:jc w:val="both"/>
              <w:rPr>
                <w:rFonts w:hAnsi="宋体" w:cs="宋体"/>
                <w:color w:val="000000" w:themeColor="text1"/>
                <w:highlight w:val="none"/>
                <w14:textFill>
                  <w14:solidFill>
                    <w14:schemeClr w14:val="tx1"/>
                  </w14:solidFill>
                </w14:textFill>
              </w:rPr>
            </w:pPr>
          </w:p>
        </w:tc>
        <w:tc>
          <w:tcPr>
            <w:tcW w:w="1286" w:type="dxa"/>
            <w:vAlign w:val="center"/>
          </w:tcPr>
          <w:p>
            <w:pPr>
              <w:pStyle w:val="116"/>
              <w:spacing w:line="400" w:lineRule="exact"/>
              <w:ind w:left="0" w:leftChars="0"/>
              <w:jc w:val="both"/>
              <w:rPr>
                <w:rFonts w:hAnsi="宋体" w:cs="宋体"/>
                <w:color w:val="000000" w:themeColor="text1"/>
                <w:highlight w:val="none"/>
                <w14:textFill>
                  <w14:solidFill>
                    <w14:schemeClr w14:val="tx1"/>
                  </w14:solidFill>
                </w14:textFill>
              </w:rPr>
            </w:pPr>
          </w:p>
        </w:tc>
        <w:tc>
          <w:tcPr>
            <w:tcW w:w="1761" w:type="dxa"/>
            <w:gridSpan w:val="3"/>
            <w:vAlign w:val="center"/>
          </w:tcPr>
          <w:p>
            <w:pPr>
              <w:pStyle w:val="116"/>
              <w:spacing w:line="400" w:lineRule="exact"/>
              <w:ind w:left="0" w:leftChars="0"/>
              <w:jc w:val="both"/>
              <w:rPr>
                <w:rFonts w:hAnsi="宋体" w:cs="宋体"/>
                <w:color w:val="000000" w:themeColor="text1"/>
                <w:highlight w:val="none"/>
                <w14:textFill>
                  <w14:solidFill>
                    <w14:schemeClr w14:val="tx1"/>
                  </w14:solidFill>
                </w14:textFill>
              </w:rPr>
            </w:pPr>
          </w:p>
        </w:tc>
        <w:tc>
          <w:tcPr>
            <w:tcW w:w="1132" w:type="dxa"/>
            <w:vAlign w:val="center"/>
          </w:tcPr>
          <w:p>
            <w:pPr>
              <w:pStyle w:val="116"/>
              <w:spacing w:line="400" w:lineRule="exact"/>
              <w:ind w:left="0" w:leftChars="0"/>
              <w:jc w:val="both"/>
              <w:rPr>
                <w:rFonts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6"/>
              <w:spacing w:line="400" w:lineRule="exact"/>
              <w:ind w:left="0" w:leftChars="0"/>
              <w:jc w:val="both"/>
              <w:rPr>
                <w:rFonts w:hAnsi="宋体" w:cs="宋体"/>
                <w:color w:val="000000" w:themeColor="text1"/>
                <w:highlight w:val="none"/>
                <w14:textFill>
                  <w14:solidFill>
                    <w14:schemeClr w14:val="tx1"/>
                  </w14:solidFill>
                </w14:textFill>
              </w:rPr>
            </w:pPr>
          </w:p>
        </w:tc>
        <w:tc>
          <w:tcPr>
            <w:tcW w:w="3374" w:type="dxa"/>
            <w:gridSpan w:val="3"/>
            <w:vAlign w:val="center"/>
          </w:tcPr>
          <w:p>
            <w:pPr>
              <w:pStyle w:val="116"/>
              <w:spacing w:line="400" w:lineRule="exact"/>
              <w:ind w:left="0" w:leftChars="0"/>
              <w:jc w:val="both"/>
              <w:rPr>
                <w:rFonts w:hAnsi="宋体" w:cs="宋体"/>
                <w:color w:val="000000" w:themeColor="text1"/>
                <w:highlight w:val="none"/>
                <w14:textFill>
                  <w14:solidFill>
                    <w14:schemeClr w14:val="tx1"/>
                  </w14:solidFill>
                </w14:textFill>
              </w:rPr>
            </w:pPr>
          </w:p>
        </w:tc>
        <w:tc>
          <w:tcPr>
            <w:tcW w:w="1286" w:type="dxa"/>
            <w:vAlign w:val="center"/>
          </w:tcPr>
          <w:p>
            <w:pPr>
              <w:pStyle w:val="116"/>
              <w:spacing w:line="400" w:lineRule="exact"/>
              <w:ind w:left="0" w:leftChars="0"/>
              <w:jc w:val="both"/>
              <w:rPr>
                <w:rFonts w:hAnsi="宋体" w:cs="宋体"/>
                <w:color w:val="000000" w:themeColor="text1"/>
                <w:highlight w:val="none"/>
                <w14:textFill>
                  <w14:solidFill>
                    <w14:schemeClr w14:val="tx1"/>
                  </w14:solidFill>
                </w14:textFill>
              </w:rPr>
            </w:pPr>
          </w:p>
        </w:tc>
        <w:tc>
          <w:tcPr>
            <w:tcW w:w="1761" w:type="dxa"/>
            <w:gridSpan w:val="3"/>
            <w:vAlign w:val="center"/>
          </w:tcPr>
          <w:p>
            <w:pPr>
              <w:pStyle w:val="116"/>
              <w:spacing w:line="400" w:lineRule="exact"/>
              <w:ind w:left="0" w:leftChars="0"/>
              <w:jc w:val="both"/>
              <w:rPr>
                <w:rFonts w:hAnsi="宋体" w:cs="宋体"/>
                <w:color w:val="000000" w:themeColor="text1"/>
                <w:highlight w:val="none"/>
                <w14:textFill>
                  <w14:solidFill>
                    <w14:schemeClr w14:val="tx1"/>
                  </w14:solidFill>
                </w14:textFill>
              </w:rPr>
            </w:pPr>
          </w:p>
        </w:tc>
        <w:tc>
          <w:tcPr>
            <w:tcW w:w="1132" w:type="dxa"/>
            <w:vAlign w:val="center"/>
          </w:tcPr>
          <w:p>
            <w:pPr>
              <w:pStyle w:val="116"/>
              <w:spacing w:line="400" w:lineRule="exact"/>
              <w:ind w:left="0" w:leftChars="0"/>
              <w:jc w:val="both"/>
              <w:rPr>
                <w:rFonts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6"/>
              <w:spacing w:line="400" w:lineRule="exact"/>
              <w:ind w:left="0" w:leftChars="0" w:firstLine="420" w:firstLineChars="200"/>
              <w:jc w:val="both"/>
              <w:rPr>
                <w:rFonts w:hAnsi="宋体" w:cs="宋体"/>
                <w:color w:val="000000" w:themeColor="text1"/>
                <w:highlight w:val="none"/>
                <w14:textFill>
                  <w14:solidFill>
                    <w14:schemeClr w14:val="tx1"/>
                  </w14:solidFill>
                </w14:textFill>
              </w:rPr>
            </w:pPr>
          </w:p>
        </w:tc>
        <w:tc>
          <w:tcPr>
            <w:tcW w:w="3374" w:type="dxa"/>
            <w:gridSpan w:val="3"/>
            <w:vAlign w:val="center"/>
          </w:tcPr>
          <w:p>
            <w:pPr>
              <w:pStyle w:val="116"/>
              <w:spacing w:line="400" w:lineRule="exact"/>
              <w:ind w:left="0" w:leftChars="0" w:firstLine="420" w:firstLineChars="200"/>
              <w:jc w:val="both"/>
              <w:rPr>
                <w:rFonts w:hAnsi="宋体" w:cs="宋体"/>
                <w:color w:val="000000" w:themeColor="text1"/>
                <w:highlight w:val="none"/>
                <w14:textFill>
                  <w14:solidFill>
                    <w14:schemeClr w14:val="tx1"/>
                  </w14:solidFill>
                </w14:textFill>
              </w:rPr>
            </w:pPr>
          </w:p>
        </w:tc>
        <w:tc>
          <w:tcPr>
            <w:tcW w:w="1286" w:type="dxa"/>
            <w:vAlign w:val="center"/>
          </w:tcPr>
          <w:p>
            <w:pPr>
              <w:pStyle w:val="116"/>
              <w:spacing w:line="400" w:lineRule="exact"/>
              <w:ind w:left="0" w:leftChars="0" w:firstLine="420" w:firstLineChars="200"/>
              <w:jc w:val="both"/>
              <w:rPr>
                <w:rFonts w:hAnsi="宋体" w:cs="宋体"/>
                <w:color w:val="000000" w:themeColor="text1"/>
                <w:highlight w:val="none"/>
                <w14:textFill>
                  <w14:solidFill>
                    <w14:schemeClr w14:val="tx1"/>
                  </w14:solidFill>
                </w14:textFill>
              </w:rPr>
            </w:pPr>
          </w:p>
        </w:tc>
        <w:tc>
          <w:tcPr>
            <w:tcW w:w="1761" w:type="dxa"/>
            <w:gridSpan w:val="3"/>
            <w:vAlign w:val="center"/>
          </w:tcPr>
          <w:p>
            <w:pPr>
              <w:pStyle w:val="116"/>
              <w:spacing w:line="400" w:lineRule="exact"/>
              <w:ind w:left="0" w:leftChars="0" w:firstLine="420" w:firstLineChars="200"/>
              <w:jc w:val="both"/>
              <w:rPr>
                <w:rFonts w:hAnsi="宋体" w:cs="宋体"/>
                <w:color w:val="000000" w:themeColor="text1"/>
                <w:highlight w:val="none"/>
                <w14:textFill>
                  <w14:solidFill>
                    <w14:schemeClr w14:val="tx1"/>
                  </w14:solidFill>
                </w14:textFill>
              </w:rPr>
            </w:pPr>
          </w:p>
        </w:tc>
        <w:tc>
          <w:tcPr>
            <w:tcW w:w="1132" w:type="dxa"/>
            <w:vAlign w:val="center"/>
          </w:tcPr>
          <w:p>
            <w:pPr>
              <w:pStyle w:val="116"/>
              <w:spacing w:line="400" w:lineRule="exact"/>
              <w:ind w:left="0" w:leftChars="0" w:firstLine="420" w:firstLineChars="200"/>
              <w:jc w:val="both"/>
              <w:rPr>
                <w:rFonts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6"/>
              <w:spacing w:line="400" w:lineRule="exact"/>
              <w:ind w:left="0" w:leftChars="0" w:firstLine="420" w:firstLineChars="200"/>
              <w:jc w:val="both"/>
              <w:rPr>
                <w:rFonts w:hAnsi="宋体" w:cs="宋体"/>
                <w:color w:val="000000" w:themeColor="text1"/>
                <w:highlight w:val="none"/>
                <w14:textFill>
                  <w14:solidFill>
                    <w14:schemeClr w14:val="tx1"/>
                  </w14:solidFill>
                </w14:textFill>
              </w:rPr>
            </w:pPr>
          </w:p>
        </w:tc>
        <w:tc>
          <w:tcPr>
            <w:tcW w:w="3374" w:type="dxa"/>
            <w:gridSpan w:val="3"/>
            <w:vAlign w:val="center"/>
          </w:tcPr>
          <w:p>
            <w:pPr>
              <w:pStyle w:val="116"/>
              <w:spacing w:line="400" w:lineRule="exact"/>
              <w:ind w:left="0" w:leftChars="0" w:firstLine="420" w:firstLineChars="200"/>
              <w:jc w:val="both"/>
              <w:rPr>
                <w:rFonts w:hAnsi="宋体" w:cs="宋体"/>
                <w:color w:val="000000" w:themeColor="text1"/>
                <w:highlight w:val="none"/>
                <w14:textFill>
                  <w14:solidFill>
                    <w14:schemeClr w14:val="tx1"/>
                  </w14:solidFill>
                </w14:textFill>
              </w:rPr>
            </w:pPr>
          </w:p>
        </w:tc>
        <w:tc>
          <w:tcPr>
            <w:tcW w:w="1286" w:type="dxa"/>
            <w:vAlign w:val="center"/>
          </w:tcPr>
          <w:p>
            <w:pPr>
              <w:pStyle w:val="116"/>
              <w:spacing w:line="400" w:lineRule="exact"/>
              <w:ind w:left="0" w:leftChars="0" w:firstLine="420" w:firstLineChars="200"/>
              <w:jc w:val="both"/>
              <w:rPr>
                <w:rFonts w:hAnsi="宋体" w:cs="宋体"/>
                <w:color w:val="000000" w:themeColor="text1"/>
                <w:highlight w:val="none"/>
                <w14:textFill>
                  <w14:solidFill>
                    <w14:schemeClr w14:val="tx1"/>
                  </w14:solidFill>
                </w14:textFill>
              </w:rPr>
            </w:pPr>
          </w:p>
        </w:tc>
        <w:tc>
          <w:tcPr>
            <w:tcW w:w="1761" w:type="dxa"/>
            <w:gridSpan w:val="3"/>
            <w:vAlign w:val="center"/>
          </w:tcPr>
          <w:p>
            <w:pPr>
              <w:pStyle w:val="116"/>
              <w:spacing w:line="400" w:lineRule="exact"/>
              <w:ind w:left="0" w:leftChars="0" w:firstLine="420" w:firstLineChars="200"/>
              <w:jc w:val="both"/>
              <w:rPr>
                <w:rFonts w:hAnsi="宋体" w:cs="宋体"/>
                <w:color w:val="000000" w:themeColor="text1"/>
                <w:highlight w:val="none"/>
                <w14:textFill>
                  <w14:solidFill>
                    <w14:schemeClr w14:val="tx1"/>
                  </w14:solidFill>
                </w14:textFill>
              </w:rPr>
            </w:pPr>
          </w:p>
        </w:tc>
        <w:tc>
          <w:tcPr>
            <w:tcW w:w="1132" w:type="dxa"/>
            <w:vAlign w:val="center"/>
          </w:tcPr>
          <w:p>
            <w:pPr>
              <w:pStyle w:val="116"/>
              <w:spacing w:line="400" w:lineRule="exact"/>
              <w:ind w:left="0" w:leftChars="0" w:firstLine="420" w:firstLineChars="200"/>
              <w:jc w:val="both"/>
              <w:rPr>
                <w:rFonts w:hAnsi="宋体" w:cs="宋体"/>
                <w:color w:val="000000" w:themeColor="text1"/>
                <w:highlight w:val="none"/>
                <w14:textFill>
                  <w14:solidFill>
                    <w14:schemeClr w14:val="tx1"/>
                  </w14:solidFill>
                </w14:textFill>
              </w:rPr>
            </w:pPr>
          </w:p>
        </w:tc>
      </w:tr>
    </w:tbl>
    <w:p>
      <w:pPr>
        <w:pStyle w:val="117"/>
        <w:tabs>
          <w:tab w:val="left" w:pos="2040"/>
        </w:tabs>
        <w:spacing w:beforeLines="0" w:line="400" w:lineRule="exact"/>
        <w:ind w:left="0" w:firstLine="420" w:firstLineChars="200"/>
        <w:rPr>
          <w:rFonts w:hAnsi="宋体" w:eastAsia="宋体" w:cs="宋体"/>
          <w:color w:val="000000" w:themeColor="text1"/>
          <w:szCs w:val="21"/>
          <w:highlight w:val="none"/>
          <w14:textFill>
            <w14:solidFill>
              <w14:schemeClr w14:val="tx1"/>
            </w14:solidFill>
          </w14:textFill>
        </w:rPr>
      </w:pPr>
      <w:r>
        <w:rPr>
          <w:rFonts w:hint="eastAsia" w:hAnsi="宋体" w:eastAsia="宋体" w:cs="宋体"/>
          <w:color w:val="000000" w:themeColor="text1"/>
          <w:szCs w:val="21"/>
          <w:highlight w:val="none"/>
          <w14:textFill>
            <w14:solidFill>
              <w14:schemeClr w14:val="tx1"/>
            </w14:solidFill>
          </w14:textFill>
        </w:rPr>
        <w:t>注：</w:t>
      </w:r>
    </w:p>
    <w:p>
      <w:pPr>
        <w:pStyle w:val="117"/>
        <w:tabs>
          <w:tab w:val="left" w:pos="2040"/>
        </w:tabs>
        <w:spacing w:beforeLines="0" w:line="400" w:lineRule="exact"/>
        <w:ind w:left="0" w:firstLine="420" w:firstLineChars="200"/>
        <w:rPr>
          <w:rFonts w:hAnsi="宋体" w:eastAsia="宋体" w:cs="宋体"/>
          <w:color w:val="000000" w:themeColor="text1"/>
          <w:highlight w:val="none"/>
          <w14:textFill>
            <w14:solidFill>
              <w14:schemeClr w14:val="tx1"/>
            </w14:solidFill>
          </w14:textFill>
        </w:rPr>
      </w:pPr>
      <w:r>
        <w:rPr>
          <w:rFonts w:hint="eastAsia" w:hAnsi="宋体" w:eastAsia="宋体" w:cs="宋体"/>
          <w:color w:val="000000" w:themeColor="text1"/>
          <w:highlight w:val="none"/>
          <w14:textFill>
            <w14:solidFill>
              <w14:schemeClr w14:val="tx1"/>
            </w14:solidFill>
          </w14:textFill>
        </w:rPr>
        <w:t>1.表后附身份证、毕业证、职称证、执业资格证、获奖证书（如果有）复印件。</w:t>
      </w:r>
    </w:p>
    <w:p>
      <w:pPr>
        <w:pStyle w:val="117"/>
        <w:tabs>
          <w:tab w:val="left" w:pos="2040"/>
        </w:tabs>
        <w:spacing w:beforeLines="0" w:line="400" w:lineRule="exact"/>
        <w:ind w:left="0" w:firstLine="420" w:firstLineChars="200"/>
        <w:rPr>
          <w:rFonts w:hAnsi="宋体" w:eastAsia="宋体" w:cs="宋体"/>
          <w:color w:val="000000" w:themeColor="text1"/>
          <w:highlight w:val="none"/>
          <w14:textFill>
            <w14:solidFill>
              <w14:schemeClr w14:val="tx1"/>
            </w14:solidFill>
          </w14:textFill>
        </w:rPr>
      </w:pPr>
      <w:r>
        <w:rPr>
          <w:rFonts w:hint="eastAsia" w:hAnsi="宋体" w:eastAsia="宋体" w:cs="宋体"/>
          <w:color w:val="000000" w:themeColor="text1"/>
          <w:highlight w:val="none"/>
          <w14:textFill>
            <w14:solidFill>
              <w14:schemeClr w14:val="tx1"/>
            </w14:solidFill>
          </w14:textFill>
        </w:rPr>
        <w:t>2.获奖情况包括项目、集体或个人获奖情况，如有，应附复印件或者扫描件。</w:t>
      </w:r>
    </w:p>
    <w:p>
      <w:pPr>
        <w:pStyle w:val="117"/>
        <w:tabs>
          <w:tab w:val="left" w:pos="2040"/>
        </w:tabs>
        <w:spacing w:beforeLines="0" w:line="400" w:lineRule="exact"/>
        <w:ind w:left="0" w:firstLine="420" w:firstLineChars="200"/>
        <w:rPr>
          <w:rFonts w:hAnsi="宋体" w:eastAsia="宋体" w:cs="宋体"/>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highlight w:val="none"/>
          <w14:textFill>
            <w14:solidFill>
              <w14:schemeClr w14:val="tx1"/>
            </w14:solidFill>
          </w14:textFill>
        </w:rPr>
      </w:pPr>
    </w:p>
    <w:p>
      <w:pPr>
        <w:pStyle w:val="27"/>
        <w:rPr>
          <w:rFonts w:ascii="宋体" w:hAnsi="宋体"/>
          <w:b/>
          <w:bCs/>
          <w:color w:val="000000" w:themeColor="text1"/>
          <w:sz w:val="32"/>
          <w:szCs w:val="32"/>
          <w:highlight w:val="none"/>
          <w14:textFill>
            <w14:solidFill>
              <w14:schemeClr w14:val="tx1"/>
            </w14:solidFill>
          </w14:textFill>
        </w:rPr>
      </w:pPr>
    </w:p>
    <w:p>
      <w:pPr>
        <w:pStyle w:val="27"/>
        <w:rPr>
          <w:rFonts w:ascii="宋体" w:hAnsi="宋体"/>
          <w:b/>
          <w:bCs/>
          <w:color w:val="000000" w:themeColor="text1"/>
          <w:sz w:val="32"/>
          <w:szCs w:val="32"/>
          <w:highlight w:val="none"/>
          <w14:textFill>
            <w14:solidFill>
              <w14:schemeClr w14:val="tx1"/>
            </w14:solidFill>
          </w14:textFill>
        </w:rPr>
      </w:pPr>
    </w:p>
    <w:p>
      <w:pPr>
        <w:pStyle w:val="27"/>
        <w:rPr>
          <w:rFonts w:ascii="宋体" w:hAnsi="宋体"/>
          <w:b/>
          <w:bCs/>
          <w:color w:val="000000" w:themeColor="text1"/>
          <w:sz w:val="32"/>
          <w:szCs w:val="32"/>
          <w:highlight w:val="none"/>
          <w14:textFill>
            <w14:solidFill>
              <w14:schemeClr w14:val="tx1"/>
            </w14:solidFill>
          </w14:textFill>
        </w:rPr>
      </w:pPr>
    </w:p>
    <w:p>
      <w:pPr>
        <w:rPr>
          <w:rFonts w:hint="eastAsia" w:ascii="宋体" w:hAnsi="宋体"/>
          <w:b/>
          <w:bCs/>
          <w:color w:val="000000" w:themeColor="text1"/>
          <w:sz w:val="32"/>
          <w:szCs w:val="32"/>
          <w:highlight w:val="none"/>
          <w14:textFill>
            <w14:solidFill>
              <w14:schemeClr w14:val="tx1"/>
            </w14:solidFill>
          </w14:textFill>
        </w:rPr>
      </w:pPr>
      <w:bookmarkStart w:id="277" w:name="_Toc7892"/>
      <w:r>
        <w:rPr>
          <w:rFonts w:hint="eastAsia" w:ascii="宋体" w:hAnsi="宋体"/>
          <w:b/>
          <w:bCs/>
          <w:color w:val="000000" w:themeColor="text1"/>
          <w:sz w:val="32"/>
          <w:szCs w:val="32"/>
          <w:highlight w:val="none"/>
          <w14:textFill>
            <w14:solidFill>
              <w14:schemeClr w14:val="tx1"/>
            </w14:solidFill>
          </w14:textFill>
        </w:rPr>
        <w:br w:type="page"/>
      </w:r>
    </w:p>
    <w:p>
      <w:pPr>
        <w:spacing w:line="348" w:lineRule="auto"/>
        <w:ind w:left="740" w:leftChars="123" w:hanging="482" w:hangingChars="150"/>
        <w:jc w:val="center"/>
        <w:outlineLvl w:val="1"/>
        <w:rPr>
          <w:rFonts w:ascii="宋体"/>
          <w:b/>
          <w:bCs/>
          <w:color w:val="000000" w:themeColor="text1"/>
          <w:sz w:val="32"/>
          <w:szCs w:val="32"/>
          <w:highlight w:val="none"/>
          <w14:textFill>
            <w14:solidFill>
              <w14:schemeClr w14:val="tx1"/>
            </w14:solidFill>
          </w14:textFill>
        </w:rPr>
      </w:pPr>
      <w:bookmarkStart w:id="278" w:name="_Toc26829"/>
      <w:bookmarkStart w:id="279" w:name="_Toc21437"/>
      <w:r>
        <w:rPr>
          <w:rFonts w:hint="eastAsia" w:ascii="宋体" w:hAnsi="宋体"/>
          <w:b/>
          <w:bCs/>
          <w:color w:val="000000" w:themeColor="text1"/>
          <w:sz w:val="32"/>
          <w:szCs w:val="32"/>
          <w:highlight w:val="none"/>
          <w14:textFill>
            <w14:solidFill>
              <w14:schemeClr w14:val="tx1"/>
            </w14:solidFill>
          </w14:textFill>
        </w:rPr>
        <w:t>五、商务条款偏离表</w:t>
      </w:r>
      <w:bookmarkEnd w:id="277"/>
      <w:bookmarkEnd w:id="278"/>
      <w:bookmarkEnd w:id="279"/>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jc w:val="center"/>
              <w:rPr>
                <w:rFonts w:cs="宋体"/>
                <w:color w:val="000000" w:themeColor="text1"/>
                <w:highlight w:val="none"/>
                <w14:textFill>
                  <w14:solidFill>
                    <w14:schemeClr w14:val="tx1"/>
                  </w14:solidFill>
                </w14:textFill>
              </w:rPr>
            </w:pPr>
            <w:bookmarkStart w:id="280" w:name="_Toc387415869"/>
            <w:r>
              <w:rPr>
                <w:rFonts w:hint="eastAsia" w:cs="宋体"/>
                <w:color w:val="000000" w:themeColor="text1"/>
                <w:highlight w:val="none"/>
                <w14:textFill>
                  <w14:solidFill>
                    <w14:schemeClr w14:val="tx1"/>
                  </w14:solidFill>
                </w14:textFill>
              </w:rPr>
              <w:t>序号</w:t>
            </w: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招标文件条目号</w:t>
            </w: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招标文件的商务条款</w:t>
            </w: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投标文件的商务条款</w:t>
            </w: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偏离</w:t>
            </w: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bl>
    <w:p>
      <w:pPr>
        <w:pStyle w:val="36"/>
        <w:widowControl w:val="0"/>
        <w:spacing w:before="0" w:beforeAutospacing="0" w:after="0" w:afterAutospacing="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说明：</w:t>
      </w:r>
    </w:p>
    <w:p>
      <w:pPr>
        <w:pStyle w:val="36"/>
        <w:widowControl w:val="0"/>
        <w:spacing w:before="0" w:beforeAutospacing="0" w:after="0" w:afterAutospacing="0" w:line="500" w:lineRule="exact"/>
        <w:ind w:firstLine="482" w:firstLineChars="200"/>
        <w:jc w:val="both"/>
        <w:rPr>
          <w:rFonts w:cs="宋体"/>
          <w:b/>
          <w:bCs/>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1.本表只填写投标文件中与招标文件有偏离（包括正偏离和负偏离）的内容，投标文件中商务响应与招标文件要求完全一致的，不用在此表中列出，但必须提交空白表。</w:t>
      </w:r>
    </w:p>
    <w:p>
      <w:pPr>
        <w:pStyle w:val="36"/>
        <w:widowControl w:val="0"/>
        <w:spacing w:before="0" w:beforeAutospacing="0" w:after="0" w:afterAutospacing="0" w:line="500" w:lineRule="exact"/>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2.供应商必须据实填写，不得虚假响应，否则将取消其投标或中标资格，并按有关规定进处罚。</w:t>
      </w:r>
    </w:p>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p>
      <w:pPr>
        <w:pStyle w:val="36"/>
        <w:widowControl w:val="0"/>
        <w:spacing w:before="0" w:beforeAutospacing="0" w:after="0" w:afterAutospacing="0"/>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供应商名称：</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（盖单位公章）</w:t>
      </w:r>
    </w:p>
    <w:p>
      <w:pPr>
        <w:pStyle w:val="36"/>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p>
      <w:pPr>
        <w:spacing w:line="50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法定代表人或被授权人：      （签字或盖章）</w:t>
      </w:r>
    </w:p>
    <w:p>
      <w:pPr>
        <w:pStyle w:val="36"/>
        <w:widowControl w:val="0"/>
        <w:spacing w:before="0" w:beforeAutospacing="0" w:after="0" w:afterAutospacing="0"/>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 xml:space="preserve">      </w:t>
      </w:r>
    </w:p>
    <w:p>
      <w:pPr>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      期：      年   月    日</w:t>
      </w:r>
    </w:p>
    <w:p>
      <w:pPr>
        <w:spacing w:line="520" w:lineRule="exact"/>
        <w:ind w:firstLine="420" w:firstLineChars="200"/>
        <w:rPr>
          <w:rFonts w:hAnsi="宋体" w:cs="宋体"/>
          <w:color w:val="000000" w:themeColor="text1"/>
          <w:highlight w:val="none"/>
          <w14:textFill>
            <w14:solidFill>
              <w14:schemeClr w14:val="tx1"/>
            </w14:solidFill>
          </w14:textFill>
        </w:rPr>
      </w:pPr>
    </w:p>
    <w:p>
      <w:pPr>
        <w:pStyle w:val="2"/>
        <w:jc w:val="center"/>
        <w:rPr>
          <w:color w:val="000000" w:themeColor="text1"/>
          <w:sz w:val="24"/>
          <w:szCs w:val="24"/>
          <w:highlight w:val="none"/>
          <w14:textFill>
            <w14:solidFill>
              <w14:schemeClr w14:val="tx1"/>
            </w14:solidFill>
          </w14:textFill>
        </w:rPr>
        <w:sectPr>
          <w:pgSz w:w="11906" w:h="16838"/>
          <w:pgMar w:top="1418" w:right="1134" w:bottom="1418" w:left="1418" w:header="851" w:footer="992" w:gutter="0"/>
          <w:pgBorders>
            <w:top w:val="none" w:sz="0" w:space="0"/>
            <w:left w:val="none" w:sz="0" w:space="0"/>
            <w:bottom w:val="none" w:sz="0" w:space="0"/>
            <w:right w:val="none" w:sz="0" w:space="0"/>
          </w:pgBorders>
          <w:cols w:space="720" w:num="1"/>
          <w:titlePg/>
          <w:docGrid w:type="lines" w:linePitch="312" w:charSpace="0"/>
        </w:sectPr>
      </w:pPr>
    </w:p>
    <w:bookmarkEnd w:id="280"/>
    <w:p>
      <w:pPr>
        <w:spacing w:before="120" w:beforeLines="50" w:line="360" w:lineRule="auto"/>
        <w:jc w:val="center"/>
        <w:outlineLvl w:val="1"/>
        <w:rPr>
          <w:rFonts w:hAnsi="宋体" w:cs="宋体"/>
          <w:b/>
          <w:bCs/>
          <w:color w:val="000000" w:themeColor="text1"/>
          <w:sz w:val="30"/>
          <w:szCs w:val="30"/>
          <w:highlight w:val="none"/>
          <w14:textFill>
            <w14:solidFill>
              <w14:schemeClr w14:val="tx1"/>
            </w14:solidFill>
          </w14:textFill>
        </w:rPr>
      </w:pPr>
      <w:bookmarkStart w:id="281" w:name="_Toc29939"/>
      <w:bookmarkStart w:id="282" w:name="_Toc4020"/>
      <w:bookmarkStart w:id="283" w:name="_Toc12660"/>
      <w:r>
        <w:rPr>
          <w:rFonts w:hint="eastAsia" w:hAnsi="宋体" w:cs="宋体"/>
          <w:b/>
          <w:bCs/>
          <w:color w:val="000000" w:themeColor="text1"/>
          <w:sz w:val="30"/>
          <w:szCs w:val="30"/>
          <w:highlight w:val="none"/>
          <w14:textFill>
            <w14:solidFill>
              <w14:schemeClr w14:val="tx1"/>
            </w14:solidFill>
          </w14:textFill>
        </w:rPr>
        <w:t>六、供应商承诺书</w:t>
      </w:r>
      <w:bookmarkEnd w:id="281"/>
      <w:bookmarkEnd w:id="282"/>
      <w:bookmarkEnd w:id="283"/>
    </w:p>
    <w:p>
      <w:pPr>
        <w:spacing w:before="120" w:beforeLines="50" w:line="360" w:lineRule="auto"/>
        <w:jc w:val="center"/>
        <w:rPr>
          <w:rFonts w:hAnsi="宋体" w:cs="宋体"/>
          <w:b/>
          <w:bCs/>
          <w:color w:val="000000" w:themeColor="text1"/>
          <w:sz w:val="36"/>
          <w:szCs w:val="36"/>
          <w:highlight w:val="none"/>
          <w14:textFill>
            <w14:solidFill>
              <w14:schemeClr w14:val="tx1"/>
            </w14:solidFill>
          </w14:textFill>
        </w:rPr>
      </w:pPr>
      <w:r>
        <w:rPr>
          <w:rFonts w:hint="eastAsia" w:hAnsi="宋体" w:cs="宋体"/>
          <w:b/>
          <w:bCs/>
          <w:color w:val="000000" w:themeColor="text1"/>
          <w:kern w:val="20"/>
          <w:sz w:val="24"/>
          <w:szCs w:val="32"/>
          <w:highlight w:val="none"/>
          <w14:textFill>
            <w14:solidFill>
              <w14:schemeClr w14:val="tx1"/>
            </w14:solidFill>
          </w14:textFill>
        </w:rPr>
        <w:t>陕西省政府采购供应商拒绝政府采购领域商业贿赂承诺书</w:t>
      </w:r>
    </w:p>
    <w:p>
      <w:pPr>
        <w:widowControl/>
        <w:spacing w:line="408" w:lineRule="auto"/>
        <w:ind w:firstLine="480" w:firstLineChars="200"/>
        <w:jc w:val="left"/>
        <w:rPr>
          <w:rFonts w:hAnsi="宋体" w:cs="宋体"/>
          <w:color w:val="000000" w:themeColor="text1"/>
          <w:sz w:val="24"/>
          <w:szCs w:val="32"/>
          <w:highlight w:val="none"/>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为响应党中央、国务院关于治理政府采购领域商业贿赂行为的号召，我公司在此庄严承诺：</w:t>
      </w:r>
    </w:p>
    <w:p>
      <w:pPr>
        <w:widowControl/>
        <w:numPr>
          <w:ilvl w:val="0"/>
          <w:numId w:val="5"/>
        </w:numPr>
        <w:spacing w:line="408" w:lineRule="auto"/>
        <w:ind w:firstLine="480" w:firstLineChars="200"/>
        <w:jc w:val="left"/>
        <w:rPr>
          <w:rFonts w:hAnsi="宋体" w:cs="宋体"/>
          <w:color w:val="000000" w:themeColor="text1"/>
          <w:sz w:val="24"/>
          <w:szCs w:val="32"/>
          <w:highlight w:val="none"/>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在参与政府采购活动中遵纪守法、诚信经营、公平竞标。</w:t>
      </w:r>
    </w:p>
    <w:p>
      <w:pPr>
        <w:widowControl/>
        <w:numPr>
          <w:ilvl w:val="0"/>
          <w:numId w:val="5"/>
        </w:numPr>
        <w:spacing w:line="408" w:lineRule="auto"/>
        <w:ind w:firstLine="480" w:firstLineChars="200"/>
        <w:jc w:val="left"/>
        <w:rPr>
          <w:rFonts w:hAnsi="宋体" w:cs="宋体"/>
          <w:color w:val="000000" w:themeColor="text1"/>
          <w:sz w:val="24"/>
          <w:szCs w:val="32"/>
          <w:highlight w:val="none"/>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不向政府采购人、采购代理机构和政府采购评审专家进行任何形式的商业贿赂以谋取交易机会。</w:t>
      </w:r>
    </w:p>
    <w:p>
      <w:pPr>
        <w:widowControl/>
        <w:numPr>
          <w:ilvl w:val="0"/>
          <w:numId w:val="5"/>
        </w:numPr>
        <w:spacing w:line="408" w:lineRule="auto"/>
        <w:ind w:firstLine="480" w:firstLineChars="200"/>
        <w:jc w:val="left"/>
        <w:rPr>
          <w:rFonts w:hAnsi="宋体" w:cs="宋体"/>
          <w:color w:val="000000" w:themeColor="text1"/>
          <w:sz w:val="24"/>
          <w:szCs w:val="32"/>
          <w:highlight w:val="none"/>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不向政府采购代理机构和采购人提供虚假资质文件或采用虚假应标方式参与政府采购市场竞争并谋取中标、成交。</w:t>
      </w:r>
    </w:p>
    <w:p>
      <w:pPr>
        <w:widowControl/>
        <w:numPr>
          <w:ilvl w:val="0"/>
          <w:numId w:val="5"/>
        </w:numPr>
        <w:spacing w:line="408" w:lineRule="auto"/>
        <w:ind w:firstLine="480" w:firstLineChars="200"/>
        <w:jc w:val="left"/>
        <w:rPr>
          <w:rFonts w:hAnsi="宋体" w:cs="宋体"/>
          <w:color w:val="000000" w:themeColor="text1"/>
          <w:sz w:val="24"/>
          <w:szCs w:val="32"/>
          <w:highlight w:val="none"/>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不采取“围标、陪标”等商业欺诈手段获得政府采购定单。</w:t>
      </w:r>
    </w:p>
    <w:p>
      <w:pPr>
        <w:widowControl/>
        <w:numPr>
          <w:ilvl w:val="0"/>
          <w:numId w:val="5"/>
        </w:numPr>
        <w:spacing w:line="408" w:lineRule="auto"/>
        <w:ind w:firstLine="480" w:firstLineChars="200"/>
        <w:jc w:val="left"/>
        <w:rPr>
          <w:rFonts w:hAnsi="宋体" w:cs="宋体"/>
          <w:color w:val="000000" w:themeColor="text1"/>
          <w:sz w:val="24"/>
          <w:szCs w:val="32"/>
          <w:highlight w:val="none"/>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不采取不正当手段诋毁、排挤其他供应商。</w:t>
      </w:r>
    </w:p>
    <w:p>
      <w:pPr>
        <w:widowControl/>
        <w:numPr>
          <w:ilvl w:val="0"/>
          <w:numId w:val="5"/>
        </w:numPr>
        <w:spacing w:line="408" w:lineRule="auto"/>
        <w:ind w:firstLine="480" w:firstLineChars="200"/>
        <w:jc w:val="left"/>
        <w:rPr>
          <w:rFonts w:hAnsi="宋体" w:cs="宋体"/>
          <w:color w:val="000000" w:themeColor="text1"/>
          <w:sz w:val="24"/>
          <w:szCs w:val="32"/>
          <w:highlight w:val="none"/>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不在提供商品和服务时“偷梁换柱、以次充好”损害采购人的合法权益。</w:t>
      </w:r>
    </w:p>
    <w:p>
      <w:pPr>
        <w:widowControl/>
        <w:numPr>
          <w:ilvl w:val="0"/>
          <w:numId w:val="5"/>
        </w:numPr>
        <w:spacing w:line="408" w:lineRule="auto"/>
        <w:ind w:firstLine="480" w:firstLineChars="200"/>
        <w:jc w:val="left"/>
        <w:rPr>
          <w:rFonts w:hAnsi="宋体" w:cs="宋体"/>
          <w:color w:val="000000" w:themeColor="text1"/>
          <w:sz w:val="24"/>
          <w:szCs w:val="32"/>
          <w:highlight w:val="none"/>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不与采购人、采购代理机构政府采购评审专家或其它供应商恶意串通，进行质疑和投诉，维护政府采购市场秩序。</w:t>
      </w:r>
    </w:p>
    <w:p>
      <w:pPr>
        <w:widowControl/>
        <w:numPr>
          <w:ilvl w:val="0"/>
          <w:numId w:val="5"/>
        </w:numPr>
        <w:spacing w:line="408" w:lineRule="auto"/>
        <w:ind w:firstLine="480" w:firstLineChars="200"/>
        <w:jc w:val="left"/>
        <w:rPr>
          <w:rFonts w:hAnsi="宋体" w:cs="宋体"/>
          <w:color w:val="000000" w:themeColor="text1"/>
          <w:sz w:val="24"/>
          <w:szCs w:val="32"/>
          <w:highlight w:val="none"/>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尊重和接受政府采购监督管理部门的监督和政府采购代理机构招标采购要求，承担因违约行为给采购人造成的损失。</w:t>
      </w:r>
    </w:p>
    <w:p>
      <w:pPr>
        <w:widowControl/>
        <w:numPr>
          <w:ilvl w:val="0"/>
          <w:numId w:val="5"/>
        </w:numPr>
        <w:spacing w:line="408" w:lineRule="auto"/>
        <w:ind w:firstLine="480" w:firstLineChars="200"/>
        <w:jc w:val="left"/>
        <w:rPr>
          <w:rFonts w:hAnsi="宋体" w:cs="宋体"/>
          <w:color w:val="000000" w:themeColor="text1"/>
          <w:sz w:val="24"/>
          <w:szCs w:val="32"/>
          <w:highlight w:val="none"/>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不发生其他有悖于政府采购公开、公平、公正和诚信原则的行为。</w:t>
      </w:r>
    </w:p>
    <w:p>
      <w:pPr>
        <w:pStyle w:val="2"/>
        <w:rPr>
          <w:highlight w:val="none"/>
        </w:rPr>
      </w:pPr>
    </w:p>
    <w:p>
      <w:pPr>
        <w:widowControl/>
        <w:spacing w:line="408" w:lineRule="auto"/>
        <w:ind w:left="239" w:leftChars="114"/>
        <w:jc w:val="left"/>
        <w:rPr>
          <w:rFonts w:hint="eastAsia" w:hAnsi="宋体" w:eastAsia="宋体" w:cs="宋体"/>
          <w:color w:val="000000" w:themeColor="text1"/>
          <w:sz w:val="24"/>
          <w:szCs w:val="32"/>
          <w:highlight w:val="none"/>
          <w:lang w:eastAsia="zh-CN"/>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承诺单位：</w:t>
      </w:r>
      <w:r>
        <w:rPr>
          <w:rFonts w:hint="eastAsia" w:hAnsi="宋体" w:cs="宋体"/>
          <w:color w:val="000000" w:themeColor="text1"/>
          <w:sz w:val="24"/>
          <w:szCs w:val="32"/>
          <w:highlight w:val="none"/>
          <w:u w:val="single"/>
          <w14:textFill>
            <w14:solidFill>
              <w14:schemeClr w14:val="tx1"/>
            </w14:solidFill>
          </w14:textFill>
        </w:rPr>
        <w:t xml:space="preserve">                       </w:t>
      </w:r>
      <w:r>
        <w:rPr>
          <w:rFonts w:hint="eastAsia" w:hAnsi="宋体" w:cs="宋体"/>
          <w:color w:val="000000" w:themeColor="text1"/>
          <w:sz w:val="24"/>
          <w:szCs w:val="32"/>
          <w:highlight w:val="none"/>
          <w14:textFill>
            <w14:solidFill>
              <w14:schemeClr w14:val="tx1"/>
            </w14:solidFill>
          </w14:textFill>
        </w:rPr>
        <w:t>（盖章）</w:t>
      </w:r>
    </w:p>
    <w:p>
      <w:pPr>
        <w:widowControl/>
        <w:spacing w:line="408" w:lineRule="auto"/>
        <w:ind w:left="239" w:leftChars="114"/>
        <w:jc w:val="left"/>
        <w:rPr>
          <w:rFonts w:hint="eastAsia" w:hAnsi="宋体" w:eastAsia="宋体" w:cs="宋体"/>
          <w:color w:val="000000" w:themeColor="text1"/>
          <w:sz w:val="24"/>
          <w:szCs w:val="32"/>
          <w:highlight w:val="none"/>
          <w:lang w:eastAsia="zh-CN"/>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被授权人：</w:t>
      </w:r>
      <w:r>
        <w:rPr>
          <w:rFonts w:hint="eastAsia" w:hAnsi="宋体" w:cs="宋体"/>
          <w:color w:val="000000" w:themeColor="text1"/>
          <w:sz w:val="24"/>
          <w:szCs w:val="32"/>
          <w:highlight w:val="none"/>
          <w:u w:val="single"/>
          <w14:textFill>
            <w14:solidFill>
              <w14:schemeClr w14:val="tx1"/>
            </w14:solidFill>
          </w14:textFill>
        </w:rPr>
        <w:t xml:space="preserve">                       </w:t>
      </w:r>
      <w:r>
        <w:rPr>
          <w:rFonts w:hint="eastAsia" w:hAnsi="宋体" w:cs="宋体"/>
          <w:color w:val="000000" w:themeColor="text1"/>
          <w:sz w:val="24"/>
          <w:szCs w:val="32"/>
          <w:highlight w:val="none"/>
          <w14:textFill>
            <w14:solidFill>
              <w14:schemeClr w14:val="tx1"/>
            </w14:solidFill>
          </w14:textFill>
        </w:rPr>
        <w:t>（签字）</w:t>
      </w:r>
    </w:p>
    <w:p>
      <w:pPr>
        <w:widowControl/>
        <w:spacing w:line="408" w:lineRule="auto"/>
        <w:ind w:left="239" w:leftChars="114"/>
        <w:jc w:val="left"/>
        <w:rPr>
          <w:rFonts w:hAnsi="宋体" w:cs="宋体"/>
          <w:color w:val="000000" w:themeColor="text1"/>
          <w:sz w:val="24"/>
          <w:szCs w:val="32"/>
          <w:highlight w:val="none"/>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地  址：</w:t>
      </w:r>
      <w:r>
        <w:rPr>
          <w:rFonts w:hint="eastAsia" w:hAnsi="宋体" w:cs="宋体"/>
          <w:color w:val="000000" w:themeColor="text1"/>
          <w:sz w:val="24"/>
          <w:szCs w:val="32"/>
          <w:highlight w:val="none"/>
          <w:u w:val="single"/>
          <w14:textFill>
            <w14:solidFill>
              <w14:schemeClr w14:val="tx1"/>
            </w14:solidFill>
          </w14:textFill>
        </w:rPr>
        <w:t>             </w:t>
      </w:r>
      <w:r>
        <w:rPr>
          <w:rFonts w:hint="eastAsia" w:hAnsi="宋体" w:cs="宋体"/>
          <w:color w:val="000000" w:themeColor="text1"/>
          <w:sz w:val="24"/>
          <w:szCs w:val="32"/>
          <w:highlight w:val="none"/>
          <w14:textFill>
            <w14:solidFill>
              <w14:schemeClr w14:val="tx1"/>
            </w14:solidFill>
          </w14:textFill>
        </w:rPr>
        <w:t>  </w:t>
      </w:r>
    </w:p>
    <w:p>
      <w:pPr>
        <w:widowControl/>
        <w:spacing w:line="408" w:lineRule="auto"/>
        <w:ind w:left="239" w:leftChars="114"/>
        <w:jc w:val="left"/>
        <w:rPr>
          <w:rFonts w:hint="eastAsia" w:hAnsi="宋体" w:eastAsia="宋体" w:cs="宋体"/>
          <w:color w:val="000000" w:themeColor="text1"/>
          <w:sz w:val="24"/>
          <w:szCs w:val="32"/>
          <w:highlight w:val="none"/>
          <w:u w:val="single"/>
          <w:lang w:eastAsia="zh-CN"/>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邮  编：</w:t>
      </w:r>
      <w:r>
        <w:rPr>
          <w:rFonts w:hint="eastAsia" w:hAnsi="宋体" w:cs="宋体"/>
          <w:color w:val="000000" w:themeColor="text1"/>
          <w:sz w:val="24"/>
          <w:szCs w:val="32"/>
          <w:highlight w:val="none"/>
          <w:u w:val="single"/>
          <w14:textFill>
            <w14:solidFill>
              <w14:schemeClr w14:val="tx1"/>
            </w14:solidFill>
          </w14:textFill>
        </w:rPr>
        <w:t xml:space="preserve">                         </w:t>
      </w:r>
    </w:p>
    <w:p>
      <w:pPr>
        <w:widowControl/>
        <w:spacing w:line="408" w:lineRule="auto"/>
        <w:ind w:left="239" w:leftChars="114"/>
        <w:jc w:val="left"/>
        <w:rPr>
          <w:rFonts w:hAnsi="宋体" w:cs="宋体"/>
          <w:color w:val="000000" w:themeColor="text1"/>
          <w:sz w:val="24"/>
          <w:szCs w:val="32"/>
          <w:highlight w:val="none"/>
          <w14:textFill>
            <w14:solidFill>
              <w14:schemeClr w14:val="tx1"/>
            </w14:solidFill>
          </w14:textFill>
        </w:rPr>
      </w:pPr>
      <w:r>
        <w:rPr>
          <w:rFonts w:hint="eastAsia" w:hAnsi="宋体" w:cs="宋体"/>
          <w:color w:val="000000" w:themeColor="text1"/>
          <w:sz w:val="24"/>
          <w:szCs w:val="32"/>
          <w:highlight w:val="none"/>
          <w14:textFill>
            <w14:solidFill>
              <w14:schemeClr w14:val="tx1"/>
            </w14:solidFill>
          </w14:textFill>
        </w:rPr>
        <w:t>电  话：</w:t>
      </w:r>
      <w:r>
        <w:rPr>
          <w:rFonts w:hint="eastAsia" w:hAnsi="宋体" w:cs="宋体"/>
          <w:color w:val="000000" w:themeColor="text1"/>
          <w:sz w:val="24"/>
          <w:szCs w:val="32"/>
          <w:highlight w:val="none"/>
          <w:u w:val="single"/>
          <w14:textFill>
            <w14:solidFill>
              <w14:schemeClr w14:val="tx1"/>
            </w14:solidFill>
          </w14:textFill>
        </w:rPr>
        <w:t>             </w:t>
      </w:r>
      <w:r>
        <w:rPr>
          <w:rFonts w:hint="eastAsia" w:hAnsi="宋体" w:cs="宋体"/>
          <w:color w:val="000000" w:themeColor="text1"/>
          <w:sz w:val="24"/>
          <w:szCs w:val="32"/>
          <w:highlight w:val="none"/>
          <w14:textFill>
            <w14:solidFill>
              <w14:schemeClr w14:val="tx1"/>
            </w14:solidFill>
          </w14:textFill>
        </w:rPr>
        <w:t>                                                       年  月  日</w:t>
      </w:r>
    </w:p>
    <w:p>
      <w:pPr>
        <w:rPr>
          <w:color w:val="000000" w:themeColor="text1"/>
          <w:sz w:val="24"/>
          <w:szCs w:val="32"/>
          <w:highlight w:val="none"/>
          <w14:textFill>
            <w14:solidFill>
              <w14:schemeClr w14:val="tx1"/>
            </w14:solidFill>
          </w14:textFill>
        </w:rPr>
      </w:pPr>
      <w:r>
        <w:rPr>
          <w:rFonts w:hint="eastAsia" w:hAnsi="宋体" w:cs="宋体"/>
          <w:b/>
          <w:bCs/>
          <w:color w:val="000000" w:themeColor="text1"/>
          <w:kern w:val="20"/>
          <w:highlight w:val="none"/>
          <w14:textFill>
            <w14:solidFill>
              <w14:schemeClr w14:val="tx1"/>
            </w14:solidFill>
          </w14:textFill>
        </w:rPr>
        <w:br w:type="page"/>
      </w:r>
    </w:p>
    <w:p>
      <w:pPr>
        <w:spacing w:before="120" w:beforeLines="50" w:line="360" w:lineRule="auto"/>
        <w:jc w:val="center"/>
        <w:outlineLvl w:val="1"/>
        <w:rPr>
          <w:rFonts w:hAnsi="宋体" w:cs="宋体"/>
          <w:b/>
          <w:bCs/>
          <w:color w:val="000000" w:themeColor="text1"/>
          <w:sz w:val="30"/>
          <w:szCs w:val="30"/>
          <w:highlight w:val="none"/>
          <w14:textFill>
            <w14:solidFill>
              <w14:schemeClr w14:val="tx1"/>
            </w14:solidFill>
          </w14:textFill>
        </w:rPr>
      </w:pPr>
      <w:bookmarkStart w:id="284" w:name="_Toc27728"/>
      <w:bookmarkStart w:id="285" w:name="_Toc15926"/>
      <w:bookmarkStart w:id="286" w:name="_Toc26377"/>
      <w:r>
        <w:rPr>
          <w:rFonts w:hint="eastAsia" w:hAnsi="宋体" w:cs="宋体"/>
          <w:b/>
          <w:bCs/>
          <w:color w:val="000000" w:themeColor="text1"/>
          <w:sz w:val="30"/>
          <w:szCs w:val="30"/>
          <w:highlight w:val="none"/>
          <w14:textFill>
            <w14:solidFill>
              <w14:schemeClr w14:val="tx1"/>
            </w14:solidFill>
          </w14:textFill>
        </w:rPr>
        <w:t>七、资格证明文件</w:t>
      </w:r>
      <w:bookmarkEnd w:id="284"/>
      <w:bookmarkEnd w:id="285"/>
      <w:bookmarkEnd w:id="286"/>
    </w:p>
    <w:p>
      <w:pPr>
        <w:spacing w:line="360" w:lineRule="auto"/>
        <w:ind w:firstLine="470" w:firstLineChars="196"/>
        <w:outlineLvl w:val="1"/>
        <w:rPr>
          <w:rFonts w:ascii="宋体"/>
          <w:color w:val="000000" w:themeColor="text1"/>
          <w:kern w:val="0"/>
          <w:sz w:val="24"/>
          <w:highlight w:val="none"/>
          <w14:textFill>
            <w14:solidFill>
              <w14:schemeClr w14:val="tx1"/>
            </w14:solidFill>
          </w14:textFill>
        </w:rPr>
      </w:pPr>
      <w:bookmarkStart w:id="287" w:name="_Toc4923"/>
      <w:bookmarkStart w:id="288" w:name="_Toc6821"/>
      <w:r>
        <w:rPr>
          <w:rFonts w:ascii="宋体" w:hAnsi="宋体"/>
          <w:color w:val="000000" w:themeColor="text1"/>
          <w:kern w:val="0"/>
          <w:sz w:val="24"/>
          <w:highlight w:val="none"/>
          <w14:textFill>
            <w14:solidFill>
              <w14:schemeClr w14:val="tx1"/>
            </w14:solidFill>
          </w14:textFill>
        </w:rPr>
        <w:t>1</w:t>
      </w:r>
      <w:r>
        <w:rPr>
          <w:rFonts w:hint="eastAsia" w:ascii="宋体" w:hAnsi="宋体"/>
          <w:color w:val="000000" w:themeColor="text1"/>
          <w:kern w:val="0"/>
          <w:sz w:val="24"/>
          <w:highlight w:val="none"/>
          <w:lang w:eastAsia="zh-CN"/>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基本资格条件：符合《中华人民共和国政府采购法》第二十二条的规定；</w:t>
      </w:r>
      <w:bookmarkEnd w:id="287"/>
      <w:bookmarkEnd w:id="288"/>
    </w:p>
    <w:p>
      <w:pPr>
        <w:pStyle w:val="36"/>
        <w:spacing w:before="0" w:beforeAutospacing="0" w:after="0" w:afterAutospacing="0" w:line="510" w:lineRule="atLeast"/>
        <w:ind w:firstLine="420"/>
        <w:rPr>
          <w:rFonts w:hint="eastAsia"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（1）具有独立承担民事责任能力的法人或其他组织，提供有效存续的营业执照或事业单位法人证书或非企业专业服务机构执业许可证或民办非企业单位登记证书或自然人的身份证明；</w:t>
      </w:r>
    </w:p>
    <w:p>
      <w:pPr>
        <w:pStyle w:val="36"/>
        <w:spacing w:before="0" w:beforeAutospacing="0" w:after="0" w:afterAutospacing="0" w:line="510" w:lineRule="atLeast"/>
        <w:ind w:firstLine="420"/>
        <w:rPr>
          <w:rFonts w:hint="eastAsia"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（2）财务状况报告：提供经审计的2021年财务报告，包括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pStyle w:val="36"/>
        <w:spacing w:before="0" w:beforeAutospacing="0" w:after="0" w:afterAutospacing="0" w:line="510" w:lineRule="atLeast"/>
        <w:ind w:firstLine="420"/>
        <w:rPr>
          <w:rFonts w:hint="eastAsia"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（3）税收缴纳证明：提供已缴纳的2022年1月至今任意一个月的纳税证明或完税证明，纳税证明或完税证明上应有代收机构或税务机关的公章</w:t>
      </w:r>
      <w:r>
        <w:rPr>
          <w:rFonts w:hint="eastAsia" w:ascii="宋体" w:hAnsi="宋体" w:cs="宋体"/>
          <w:b w:val="0"/>
          <w:bCs w:val="0"/>
          <w:sz w:val="24"/>
          <w:szCs w:val="24"/>
          <w:highlight w:val="none"/>
          <w:lang w:val="en-US" w:eastAsia="zh-CN"/>
        </w:rPr>
        <w:t>或业务专用章</w:t>
      </w:r>
      <w:r>
        <w:rPr>
          <w:rFonts w:hint="eastAsia" w:cs="宋体"/>
          <w:color w:val="000000" w:themeColor="text1"/>
          <w:highlight w:val="none"/>
          <w:lang w:val="en-US" w:eastAsia="zh-CN"/>
          <w14:textFill>
            <w14:solidFill>
              <w14:schemeClr w14:val="tx1"/>
            </w14:solidFill>
          </w14:textFill>
        </w:rPr>
        <w:t>。依法免税的供应商应提供相关文件证明；</w:t>
      </w:r>
    </w:p>
    <w:p>
      <w:pPr>
        <w:pStyle w:val="36"/>
        <w:spacing w:before="0" w:beforeAutospacing="0" w:after="0" w:afterAutospacing="0" w:line="510" w:lineRule="atLeast"/>
        <w:ind w:firstLine="420"/>
        <w:rPr>
          <w:rFonts w:hint="eastAsia"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（4）供应商须提供具有履行合同所必需的设备和专业技术能力的承诺；</w:t>
      </w:r>
    </w:p>
    <w:p>
      <w:pPr>
        <w:pStyle w:val="36"/>
        <w:spacing w:before="0" w:beforeAutospacing="0" w:after="0" w:afterAutospacing="0" w:line="510" w:lineRule="atLeast"/>
        <w:ind w:firstLine="420"/>
        <w:rPr>
          <w:rFonts w:hint="eastAsia"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（5）社会保障资金缴纳证明：提供已缴存的2022年1月至今任意一个月的社会保障资金缴存单据或社保机构开具的社会保险参保缴费情况证明，单据或证明上应有社保机构或代收机构的公章</w:t>
      </w:r>
      <w:r>
        <w:rPr>
          <w:rFonts w:hint="eastAsia" w:ascii="宋体" w:hAnsi="宋体" w:cs="宋体"/>
          <w:b w:val="0"/>
          <w:bCs w:val="0"/>
          <w:sz w:val="24"/>
          <w:szCs w:val="24"/>
          <w:highlight w:val="none"/>
          <w:lang w:val="en-US" w:eastAsia="zh-CN"/>
        </w:rPr>
        <w:t>或业务专用章</w:t>
      </w:r>
      <w:r>
        <w:rPr>
          <w:rFonts w:hint="eastAsia" w:cs="宋体"/>
          <w:color w:val="000000" w:themeColor="text1"/>
          <w:highlight w:val="none"/>
          <w:lang w:val="en-US" w:eastAsia="zh-CN"/>
          <w14:textFill>
            <w14:solidFill>
              <w14:schemeClr w14:val="tx1"/>
            </w14:solidFill>
          </w14:textFill>
        </w:rPr>
        <w:t>。依法不需要缴纳社会保障资金的供应商应提供相关文件证明；</w:t>
      </w:r>
    </w:p>
    <w:p>
      <w:pPr>
        <w:pStyle w:val="36"/>
        <w:spacing w:before="0" w:beforeAutospacing="0" w:after="0" w:afterAutospacing="0" w:line="510" w:lineRule="atLeast"/>
        <w:ind w:firstLine="420"/>
        <w:rPr>
          <w:rFonts w:hint="eastAsia"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（6）出具参加本次政府采购活动前三年内在经营活动中没有重大违法记录的书面声明；</w:t>
      </w:r>
    </w:p>
    <w:p>
      <w:pPr>
        <w:pStyle w:val="36"/>
        <w:spacing w:before="0" w:beforeAutospacing="0" w:after="0" w:afterAutospacing="0" w:line="510" w:lineRule="atLeast"/>
        <w:ind w:firstLine="420"/>
        <w:rPr>
          <w:rFonts w:hint="eastAsia" w:cs="宋体"/>
          <w:color w:val="000000" w:themeColor="text1"/>
          <w:highlight w:val="none"/>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2、特定资格条件：</w:t>
      </w:r>
    </w:p>
    <w:p>
      <w:pPr>
        <w:pStyle w:val="36"/>
        <w:spacing w:before="0" w:beforeAutospacing="0" w:after="0" w:afterAutospacing="0" w:line="510" w:lineRule="atLeast"/>
        <w:ind w:firstLine="420"/>
        <w:rPr>
          <w:rFonts w:hint="eastAsia" w:cs="宋体"/>
          <w:color w:val="000000" w:themeColor="text1"/>
          <w:highlight w:val="none"/>
          <w:lang w:eastAsia="zh-CN"/>
          <w14:textFill>
            <w14:solidFill>
              <w14:schemeClr w14:val="tx1"/>
            </w14:solidFill>
          </w14:textFill>
        </w:rPr>
      </w:pP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1</w:t>
      </w:r>
      <w:r>
        <w:rPr>
          <w:rFonts w:hint="eastAsia" w:cs="宋体"/>
          <w:color w:val="000000" w:themeColor="text1"/>
          <w:highlight w:val="none"/>
          <w:lang w:eastAsia="zh-CN"/>
          <w14:textFill>
            <w14:solidFill>
              <w14:schemeClr w14:val="tx1"/>
            </w14:solidFill>
          </w14:textFill>
        </w:rPr>
        <w:t>）具备省级及以上教育行政部门颁发的办学许可证；</w:t>
      </w:r>
    </w:p>
    <w:p>
      <w:pPr>
        <w:pStyle w:val="36"/>
        <w:spacing w:before="0" w:beforeAutospacing="0" w:after="0" w:afterAutospacing="0" w:line="510" w:lineRule="atLeast"/>
        <w:ind w:firstLine="420"/>
        <w:rPr>
          <w:rFonts w:hint="eastAsia" w:cs="宋体"/>
          <w:color w:val="000000" w:themeColor="text1"/>
          <w:highlight w:val="none"/>
          <w:lang w:eastAsia="zh-CN"/>
          <w14:textFill>
            <w14:solidFill>
              <w14:schemeClr w14:val="tx1"/>
            </w14:solidFill>
          </w14:textFill>
        </w:rPr>
      </w:pP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2</w:t>
      </w:r>
      <w:r>
        <w:rPr>
          <w:rFonts w:hint="eastAsia" w:cs="宋体"/>
          <w:color w:val="000000" w:themeColor="text1"/>
          <w:highlight w:val="none"/>
          <w:lang w:eastAsia="zh-CN"/>
          <w14:textFill>
            <w14:solidFill>
              <w14:schemeClr w14:val="tx1"/>
            </w14:solidFill>
          </w14:textFill>
        </w:rPr>
        <w:t>）法定代表人参加投标的提供法定代表人身份证明及身份证，委托代理人参加投标的提供授权委托书及委托代理人身份证，</w:t>
      </w:r>
      <w:r>
        <w:rPr>
          <w:rFonts w:hint="eastAsia" w:ascii="宋体" w:hAnsi="宋体"/>
          <w:kern w:val="0"/>
          <w:sz w:val="24"/>
          <w:highlight w:val="none"/>
        </w:rPr>
        <w:t>备注：分支机构由分支机构负责人授权即可</w:t>
      </w:r>
      <w:r>
        <w:rPr>
          <w:rFonts w:hint="eastAsia" w:cs="宋体"/>
          <w:color w:val="000000" w:themeColor="text1"/>
          <w:highlight w:val="none"/>
          <w:lang w:eastAsia="zh-CN"/>
          <w14:textFill>
            <w14:solidFill>
              <w14:schemeClr w14:val="tx1"/>
            </w14:solidFill>
          </w14:textFill>
        </w:rPr>
        <w:t>；</w:t>
      </w:r>
    </w:p>
    <w:p>
      <w:pPr>
        <w:pStyle w:val="36"/>
        <w:spacing w:before="0" w:beforeAutospacing="0" w:after="0" w:afterAutospacing="0" w:line="510" w:lineRule="atLeast"/>
        <w:ind w:firstLine="420"/>
        <w:rPr>
          <w:rFonts w:hint="eastAsia" w:cs="宋体"/>
          <w:color w:val="000000" w:themeColor="text1"/>
          <w:highlight w:val="none"/>
          <w:lang w:eastAsia="zh-CN"/>
          <w14:textFill>
            <w14:solidFill>
              <w14:schemeClr w14:val="tx1"/>
            </w14:solidFill>
          </w14:textFill>
        </w:rPr>
      </w:pP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3</w:t>
      </w:r>
      <w:r>
        <w:rPr>
          <w:rFonts w:hint="eastAsia" w:cs="宋体"/>
          <w:color w:val="000000" w:themeColor="text1"/>
          <w:highlight w:val="none"/>
          <w:lang w:eastAsia="zh-CN"/>
          <w14:textFill>
            <w14:solidFill>
              <w14:schemeClr w14:val="tx1"/>
            </w14:solidFill>
          </w14:textFill>
        </w:rPr>
        <w:t>）本项目不接受联合体投标（提供书面声明材料）</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keepNext w:val="0"/>
        <w:keepLines w:val="0"/>
        <w:spacing w:before="120" w:beforeLines="50" w:after="0" w:line="360" w:lineRule="auto"/>
        <w:jc w:val="center"/>
        <w:rPr>
          <w:rFonts w:ascii="宋体" w:hAnsi="宋体" w:eastAsia="宋体" w:cs="宋体"/>
          <w:color w:val="000000" w:themeColor="text1"/>
          <w:highlight w:val="none"/>
          <w14:textFill>
            <w14:solidFill>
              <w14:schemeClr w14:val="tx1"/>
            </w14:solidFill>
          </w14:textFill>
        </w:rPr>
      </w:pPr>
      <w:bookmarkStart w:id="289" w:name="_Toc8726"/>
      <w:bookmarkStart w:id="290" w:name="_Toc3930"/>
      <w:bookmarkStart w:id="291" w:name="_Toc21489"/>
      <w:r>
        <w:rPr>
          <w:rFonts w:hint="eastAsia" w:ascii="宋体" w:hAnsi="宋体" w:eastAsia="宋体" w:cs="宋体"/>
          <w:color w:val="000000" w:themeColor="text1"/>
          <w:highlight w:val="none"/>
          <w14:textFill>
            <w14:solidFill>
              <w14:schemeClr w14:val="tx1"/>
            </w14:solidFill>
          </w14:textFill>
        </w:rPr>
        <w:t>八、其他资料</w:t>
      </w:r>
      <w:bookmarkEnd w:id="289"/>
      <w:bookmarkEnd w:id="290"/>
      <w:bookmarkEnd w:id="291"/>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1、依据招标文件要求，供应商认为有必要说明的其他内容。</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2、其他可以证明供应商实力的文件。</w:t>
      </w:r>
    </w:p>
    <w:p>
      <w:pPr>
        <w:spacing w:line="588" w:lineRule="exact"/>
        <w:rPr>
          <w:rFonts w:ascii="宋体" w:hAnsi="宋体"/>
          <w:b/>
          <w:color w:val="000000" w:themeColor="text1"/>
          <w:kern w:val="0"/>
          <w:sz w:val="24"/>
          <w:highlight w:val="none"/>
          <w14:textFill>
            <w14:solidFill>
              <w14:schemeClr w14:val="tx1"/>
            </w14:solidFill>
          </w14:textFill>
        </w:rPr>
      </w:pPr>
    </w:p>
    <w:p>
      <w:pPr>
        <w:pStyle w:val="16"/>
        <w:rPr>
          <w:rFonts w:ascii="宋体" w:hAnsi="宋体"/>
          <w:b/>
          <w:color w:val="000000" w:themeColor="text1"/>
          <w:kern w:val="0"/>
          <w:sz w:val="24"/>
          <w:highlight w:val="none"/>
          <w14:textFill>
            <w14:solidFill>
              <w14:schemeClr w14:val="tx1"/>
            </w14:solidFill>
          </w14:textFill>
        </w:rPr>
      </w:pPr>
    </w:p>
    <w:p>
      <w:pPr>
        <w:rPr>
          <w:rFonts w:ascii="宋体" w:hAnsi="宋体"/>
          <w:b/>
          <w:color w:val="000000" w:themeColor="text1"/>
          <w:kern w:val="0"/>
          <w:sz w:val="24"/>
          <w:highlight w:val="none"/>
          <w14:textFill>
            <w14:solidFill>
              <w14:schemeClr w14:val="tx1"/>
            </w14:solidFill>
          </w14:textFill>
        </w:rPr>
      </w:pPr>
    </w:p>
    <w:p>
      <w:pPr>
        <w:pStyle w:val="16"/>
        <w:rPr>
          <w:rFonts w:ascii="宋体" w:hAnsi="宋体"/>
          <w:b/>
          <w:color w:val="000000" w:themeColor="text1"/>
          <w:kern w:val="0"/>
          <w:sz w:val="24"/>
          <w:highlight w:val="none"/>
          <w14:textFill>
            <w14:solidFill>
              <w14:schemeClr w14:val="tx1"/>
            </w14:solidFill>
          </w14:textFill>
        </w:rPr>
      </w:pPr>
    </w:p>
    <w:p>
      <w:pPr>
        <w:rPr>
          <w:rFonts w:ascii="宋体" w:hAnsi="宋体"/>
          <w:b/>
          <w:color w:val="000000" w:themeColor="text1"/>
          <w:kern w:val="0"/>
          <w:sz w:val="24"/>
          <w:highlight w:val="none"/>
          <w14:textFill>
            <w14:solidFill>
              <w14:schemeClr w14:val="tx1"/>
            </w14:solidFill>
          </w14:textFill>
        </w:rPr>
      </w:pPr>
    </w:p>
    <w:p>
      <w:pPr>
        <w:pStyle w:val="16"/>
        <w:rPr>
          <w:rFonts w:ascii="宋体" w:hAnsi="宋体"/>
          <w:b/>
          <w:color w:val="000000" w:themeColor="text1"/>
          <w:kern w:val="0"/>
          <w:sz w:val="24"/>
          <w:highlight w:val="none"/>
          <w14:textFill>
            <w14:solidFill>
              <w14:schemeClr w14:val="tx1"/>
            </w14:solidFill>
          </w14:textFill>
        </w:rPr>
      </w:pPr>
    </w:p>
    <w:p>
      <w:pPr>
        <w:rPr>
          <w:rFonts w:ascii="宋体" w:hAnsi="宋体"/>
          <w:b/>
          <w:color w:val="000000" w:themeColor="text1"/>
          <w:kern w:val="0"/>
          <w:sz w:val="24"/>
          <w:highlight w:val="none"/>
          <w14:textFill>
            <w14:solidFill>
              <w14:schemeClr w14:val="tx1"/>
            </w14:solidFill>
          </w14:textFill>
        </w:rPr>
      </w:pPr>
    </w:p>
    <w:p>
      <w:pPr>
        <w:pStyle w:val="16"/>
        <w:rPr>
          <w:rFonts w:ascii="宋体" w:hAnsi="宋体"/>
          <w:b/>
          <w:color w:val="000000" w:themeColor="text1"/>
          <w:kern w:val="0"/>
          <w:sz w:val="24"/>
          <w:highlight w:val="none"/>
          <w14:textFill>
            <w14:solidFill>
              <w14:schemeClr w14:val="tx1"/>
            </w14:solidFill>
          </w14:textFill>
        </w:rPr>
      </w:pPr>
    </w:p>
    <w:p>
      <w:pPr>
        <w:rPr>
          <w:rFonts w:ascii="宋体" w:hAnsi="宋体"/>
          <w:b/>
          <w:color w:val="000000" w:themeColor="text1"/>
          <w:kern w:val="0"/>
          <w:sz w:val="24"/>
          <w:highlight w:val="none"/>
          <w14:textFill>
            <w14:solidFill>
              <w14:schemeClr w14:val="tx1"/>
            </w14:solidFill>
          </w14:textFill>
        </w:rPr>
      </w:pPr>
    </w:p>
    <w:p>
      <w:pPr>
        <w:pStyle w:val="16"/>
        <w:rPr>
          <w:rFonts w:ascii="宋体" w:hAnsi="宋体"/>
          <w:b/>
          <w:color w:val="000000" w:themeColor="text1"/>
          <w:kern w:val="0"/>
          <w:sz w:val="24"/>
          <w:highlight w:val="none"/>
          <w14:textFill>
            <w14:solidFill>
              <w14:schemeClr w14:val="tx1"/>
            </w14:solidFill>
          </w14:textFill>
        </w:rPr>
      </w:pPr>
    </w:p>
    <w:p>
      <w:pPr>
        <w:rPr>
          <w:rFonts w:ascii="宋体" w:hAnsi="宋体"/>
          <w:b/>
          <w:color w:val="000000" w:themeColor="text1"/>
          <w:kern w:val="0"/>
          <w:sz w:val="24"/>
          <w:highlight w:val="none"/>
          <w14:textFill>
            <w14:solidFill>
              <w14:schemeClr w14:val="tx1"/>
            </w14:solidFill>
          </w14:textFill>
        </w:rPr>
      </w:pPr>
    </w:p>
    <w:p>
      <w:pPr>
        <w:pStyle w:val="16"/>
        <w:rPr>
          <w:rFonts w:ascii="宋体" w:hAnsi="宋体"/>
          <w:b/>
          <w:color w:val="000000" w:themeColor="text1"/>
          <w:kern w:val="0"/>
          <w:sz w:val="24"/>
          <w:highlight w:val="none"/>
          <w14:textFill>
            <w14:solidFill>
              <w14:schemeClr w14:val="tx1"/>
            </w14:solidFill>
          </w14:textFill>
        </w:rPr>
      </w:pPr>
    </w:p>
    <w:p>
      <w:pPr>
        <w:rPr>
          <w:rFonts w:ascii="宋体" w:hAnsi="宋体"/>
          <w:b/>
          <w:color w:val="000000" w:themeColor="text1"/>
          <w:kern w:val="0"/>
          <w:sz w:val="24"/>
          <w:highlight w:val="none"/>
          <w14:textFill>
            <w14:solidFill>
              <w14:schemeClr w14:val="tx1"/>
            </w14:solidFill>
          </w14:textFill>
        </w:rPr>
      </w:pPr>
    </w:p>
    <w:p>
      <w:pPr>
        <w:pStyle w:val="16"/>
        <w:rPr>
          <w:rFonts w:ascii="宋体" w:hAnsi="宋体"/>
          <w:b/>
          <w:color w:val="000000" w:themeColor="text1"/>
          <w:kern w:val="0"/>
          <w:sz w:val="24"/>
          <w:highlight w:val="none"/>
          <w14:textFill>
            <w14:solidFill>
              <w14:schemeClr w14:val="tx1"/>
            </w14:solidFill>
          </w14:textFill>
        </w:rPr>
      </w:pPr>
    </w:p>
    <w:p>
      <w:pPr>
        <w:rPr>
          <w:rFonts w:ascii="宋体" w:hAnsi="宋体"/>
          <w:b/>
          <w:color w:val="000000" w:themeColor="text1"/>
          <w:kern w:val="0"/>
          <w:sz w:val="24"/>
          <w:highlight w:val="none"/>
          <w14:textFill>
            <w14:solidFill>
              <w14:schemeClr w14:val="tx1"/>
            </w14:solidFill>
          </w14:textFill>
        </w:rPr>
      </w:pPr>
    </w:p>
    <w:p>
      <w:pPr>
        <w:pStyle w:val="16"/>
        <w:rPr>
          <w:rFonts w:ascii="宋体" w:hAnsi="宋体"/>
          <w:b/>
          <w:color w:val="000000" w:themeColor="text1"/>
          <w:kern w:val="0"/>
          <w:sz w:val="24"/>
          <w:highlight w:val="none"/>
          <w14:textFill>
            <w14:solidFill>
              <w14:schemeClr w14:val="tx1"/>
            </w14:solidFill>
          </w14:textFill>
        </w:rPr>
      </w:pPr>
    </w:p>
    <w:p>
      <w:pPr>
        <w:rPr>
          <w:rFonts w:ascii="宋体" w:hAnsi="宋体"/>
          <w:b/>
          <w:color w:val="000000" w:themeColor="text1"/>
          <w:kern w:val="0"/>
          <w:sz w:val="24"/>
          <w:highlight w:val="none"/>
          <w14:textFill>
            <w14:solidFill>
              <w14:schemeClr w14:val="tx1"/>
            </w14:solidFill>
          </w14:textFill>
        </w:rPr>
      </w:pPr>
    </w:p>
    <w:p>
      <w:pPr>
        <w:pStyle w:val="16"/>
        <w:rPr>
          <w:rFonts w:ascii="宋体" w:hAnsi="宋体"/>
          <w:b/>
          <w:color w:val="000000" w:themeColor="text1"/>
          <w:kern w:val="0"/>
          <w:sz w:val="24"/>
          <w:highlight w:val="none"/>
          <w14:textFill>
            <w14:solidFill>
              <w14:schemeClr w14:val="tx1"/>
            </w14:solidFill>
          </w14:textFill>
        </w:rPr>
      </w:pPr>
    </w:p>
    <w:p>
      <w:pPr>
        <w:rPr>
          <w:rFonts w:ascii="宋体" w:hAnsi="宋体"/>
          <w:b/>
          <w:color w:val="000000" w:themeColor="text1"/>
          <w:kern w:val="0"/>
          <w:sz w:val="24"/>
          <w:highlight w:val="none"/>
          <w14:textFill>
            <w14:solidFill>
              <w14:schemeClr w14:val="tx1"/>
            </w14:solidFill>
          </w14:textFill>
        </w:rPr>
      </w:pPr>
    </w:p>
    <w:p>
      <w:pPr>
        <w:pStyle w:val="16"/>
        <w:rPr>
          <w:rFonts w:ascii="宋体" w:hAnsi="宋体"/>
          <w:b/>
          <w:color w:val="000000" w:themeColor="text1"/>
          <w:kern w:val="0"/>
          <w:sz w:val="24"/>
          <w:highlight w:val="none"/>
          <w14:textFill>
            <w14:solidFill>
              <w14:schemeClr w14:val="tx1"/>
            </w14:solidFill>
          </w14:textFill>
        </w:rPr>
      </w:pPr>
    </w:p>
    <w:p>
      <w:pPr>
        <w:rPr>
          <w:rFonts w:ascii="宋体" w:hAnsi="宋体"/>
          <w:b/>
          <w:color w:val="000000" w:themeColor="text1"/>
          <w:kern w:val="0"/>
          <w:sz w:val="24"/>
          <w:highlight w:val="none"/>
          <w14:textFill>
            <w14:solidFill>
              <w14:schemeClr w14:val="tx1"/>
            </w14:solidFill>
          </w14:textFill>
        </w:rPr>
      </w:pPr>
    </w:p>
    <w:p>
      <w:pPr>
        <w:pStyle w:val="16"/>
        <w:rPr>
          <w:rFonts w:ascii="宋体" w:hAnsi="宋体"/>
          <w:b/>
          <w:color w:val="000000" w:themeColor="text1"/>
          <w:kern w:val="0"/>
          <w:sz w:val="24"/>
          <w:highlight w:val="none"/>
          <w14:textFill>
            <w14:solidFill>
              <w14:schemeClr w14:val="tx1"/>
            </w14:solidFill>
          </w14:textFill>
        </w:rPr>
      </w:pPr>
    </w:p>
    <w:p>
      <w:pPr>
        <w:rPr>
          <w:rFonts w:ascii="宋体" w:hAnsi="宋体"/>
          <w:b/>
          <w:color w:val="000000" w:themeColor="text1"/>
          <w:kern w:val="0"/>
          <w:sz w:val="24"/>
          <w:highlight w:val="none"/>
          <w14:textFill>
            <w14:solidFill>
              <w14:schemeClr w14:val="tx1"/>
            </w14:solidFill>
          </w14:textFill>
        </w:rPr>
      </w:pPr>
    </w:p>
    <w:p>
      <w:pPr>
        <w:pStyle w:val="16"/>
        <w:rPr>
          <w:rFonts w:ascii="宋体" w:hAnsi="宋体"/>
          <w:b/>
          <w:color w:val="000000" w:themeColor="text1"/>
          <w:kern w:val="0"/>
          <w:sz w:val="24"/>
          <w:highlight w:val="none"/>
          <w14:textFill>
            <w14:solidFill>
              <w14:schemeClr w14:val="tx1"/>
            </w14:solidFill>
          </w14:textFill>
        </w:rPr>
      </w:pPr>
    </w:p>
    <w:p>
      <w:pPr>
        <w:rPr>
          <w:rFonts w:ascii="宋体" w:hAnsi="宋体"/>
          <w:b/>
          <w:color w:val="000000" w:themeColor="text1"/>
          <w:kern w:val="0"/>
          <w:sz w:val="24"/>
          <w:highlight w:val="none"/>
          <w14:textFill>
            <w14:solidFill>
              <w14:schemeClr w14:val="tx1"/>
            </w14:solidFill>
          </w14:textFill>
        </w:rPr>
      </w:pPr>
    </w:p>
    <w:p>
      <w:pPr>
        <w:pStyle w:val="16"/>
        <w:rPr>
          <w:rFonts w:ascii="宋体" w:hAnsi="宋体"/>
          <w:b/>
          <w:color w:val="000000" w:themeColor="text1"/>
          <w:kern w:val="0"/>
          <w:sz w:val="24"/>
          <w:highlight w:val="none"/>
          <w14:textFill>
            <w14:solidFill>
              <w14:schemeClr w14:val="tx1"/>
            </w14:solidFill>
          </w14:textFill>
        </w:rPr>
      </w:pPr>
    </w:p>
    <w:p>
      <w:pPr>
        <w:rPr>
          <w:rFonts w:ascii="宋体" w:hAnsi="宋体"/>
          <w:b/>
          <w:color w:val="000000" w:themeColor="text1"/>
          <w:kern w:val="0"/>
          <w:sz w:val="24"/>
          <w:highlight w:val="none"/>
          <w14:textFill>
            <w14:solidFill>
              <w14:schemeClr w14:val="tx1"/>
            </w14:solidFill>
          </w14:textFill>
        </w:rPr>
      </w:pPr>
    </w:p>
    <w:p>
      <w:pPr>
        <w:pStyle w:val="16"/>
        <w:rPr>
          <w:rFonts w:ascii="宋体" w:hAnsi="宋体"/>
          <w:b/>
          <w:color w:val="000000" w:themeColor="text1"/>
          <w:kern w:val="0"/>
          <w:sz w:val="24"/>
          <w:highlight w:val="none"/>
          <w14:textFill>
            <w14:solidFill>
              <w14:schemeClr w14:val="tx1"/>
            </w14:solidFill>
          </w14:textFill>
        </w:rPr>
      </w:pPr>
    </w:p>
    <w:p>
      <w:pPr>
        <w:pStyle w:val="58"/>
        <w:rPr>
          <w:highlight w:val="none"/>
        </w:rPr>
      </w:pPr>
    </w:p>
    <w:p>
      <w:pPr>
        <w:pStyle w:val="16"/>
        <w:rPr>
          <w:color w:val="000000" w:themeColor="text1"/>
          <w:highlight w:val="none"/>
          <w14:textFill>
            <w14:solidFill>
              <w14:schemeClr w14:val="tx1"/>
            </w14:solidFill>
          </w14:textFill>
        </w:rPr>
      </w:pPr>
    </w:p>
    <w:p>
      <w:pPr>
        <w:pStyle w:val="16"/>
        <w:wordWrap/>
        <w:overflowPunct/>
        <w:topLinePunct w:val="0"/>
        <w:bidi w:val="0"/>
        <w:spacing w:line="360" w:lineRule="auto"/>
        <w:rPr>
          <w:rFonts w:hint="eastAsia" w:hAnsi="宋体"/>
          <w:b/>
          <w:bCs/>
          <w:sz w:val="28"/>
          <w:szCs w:val="28"/>
          <w:highlight w:val="none"/>
          <w:u w:val="none"/>
          <w:lang w:eastAsia="zh-CN"/>
        </w:rPr>
      </w:pPr>
    </w:p>
    <w:p>
      <w:pPr>
        <w:pStyle w:val="16"/>
        <w:wordWrap/>
        <w:overflowPunct/>
        <w:topLinePunct w:val="0"/>
        <w:bidi w:val="0"/>
        <w:spacing w:line="360" w:lineRule="auto"/>
        <w:rPr>
          <w:rFonts w:hint="eastAsia" w:hAnsi="宋体"/>
          <w:b/>
          <w:bCs/>
          <w:sz w:val="28"/>
          <w:szCs w:val="28"/>
          <w:highlight w:val="none"/>
          <w:u w:val="none"/>
          <w:lang w:eastAsia="zh-CN"/>
        </w:rPr>
      </w:pPr>
    </w:p>
    <w:p>
      <w:pPr>
        <w:pStyle w:val="16"/>
        <w:wordWrap/>
        <w:overflowPunct/>
        <w:topLinePunct w:val="0"/>
        <w:bidi w:val="0"/>
        <w:spacing w:line="360" w:lineRule="auto"/>
        <w:rPr>
          <w:rFonts w:hint="eastAsia" w:hAnsi="宋体"/>
          <w:b/>
          <w:bCs/>
          <w:sz w:val="28"/>
          <w:szCs w:val="28"/>
          <w:highlight w:val="none"/>
          <w:u w:val="none"/>
          <w:lang w:val="en-US" w:eastAsia="zh-CN"/>
        </w:rPr>
      </w:pPr>
      <w:r>
        <w:rPr>
          <w:rFonts w:hint="eastAsia" w:hAnsi="宋体"/>
          <w:b/>
          <w:bCs/>
          <w:sz w:val="28"/>
          <w:szCs w:val="28"/>
          <w:highlight w:val="none"/>
          <w:u w:val="none"/>
          <w:lang w:eastAsia="zh-CN"/>
        </w:rPr>
        <w:t>附件</w:t>
      </w:r>
      <w:r>
        <w:rPr>
          <w:rFonts w:hint="eastAsia" w:hAnsi="宋体"/>
          <w:b/>
          <w:bCs/>
          <w:sz w:val="28"/>
          <w:szCs w:val="28"/>
          <w:highlight w:val="none"/>
          <w:u w:val="none"/>
          <w:lang w:val="en-US" w:eastAsia="zh-CN"/>
        </w:rPr>
        <w:t>1</w:t>
      </w:r>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中小企业声明函（服务）</w:t>
      </w:r>
    </w:p>
    <w:p>
      <w:pPr>
        <w:pStyle w:val="16"/>
        <w:keepNext w:val="0"/>
        <w:keepLines w:val="0"/>
        <w:pageBreakBefore w:val="0"/>
        <w:widowControl w:val="0"/>
        <w:kinsoku/>
        <w:wordWrap/>
        <w:overflowPunct/>
        <w:topLinePunct w:val="0"/>
        <w:autoSpaceDE/>
        <w:autoSpaceDN/>
        <w:bidi w:val="0"/>
        <w:adjustRightInd/>
        <w:snapToGrid/>
        <w:spacing w:before="55" w:after="0" w:afterLines="0" w:line="360" w:lineRule="auto"/>
        <w:ind w:right="415" w:firstLine="640"/>
        <w:textAlignment w:val="auto"/>
        <w:outlineLvl w:val="9"/>
        <w:rPr>
          <w:rFonts w:hint="eastAsia" w:ascii="宋体" w:hAnsi="宋体" w:eastAsia="宋体" w:cs="宋体"/>
          <w:b w:val="0"/>
          <w:bCs w:val="0"/>
          <w:spacing w:val="-2"/>
          <w:sz w:val="24"/>
          <w:szCs w:val="24"/>
          <w:highlight w:val="none"/>
        </w:rPr>
      </w:pPr>
    </w:p>
    <w:p>
      <w:pPr>
        <w:pStyle w:val="16"/>
        <w:keepNext w:val="0"/>
        <w:keepLines w:val="0"/>
        <w:pageBreakBefore w:val="0"/>
        <w:widowControl w:val="0"/>
        <w:kinsoku/>
        <w:wordWrap/>
        <w:overflowPunct/>
        <w:topLinePunct w:val="0"/>
        <w:autoSpaceDE/>
        <w:autoSpaceDN/>
        <w:bidi w:val="0"/>
        <w:adjustRightInd/>
        <w:snapToGrid/>
        <w:spacing w:before="55" w:after="0" w:afterLines="0" w:line="360" w:lineRule="auto"/>
        <w:ind w:right="0" w:rightChars="0" w:firstLine="640"/>
        <w:textAlignment w:val="auto"/>
        <w:outlineLvl w:val="9"/>
        <w:rPr>
          <w:rFonts w:hint="eastAsia" w:ascii="宋体" w:hAnsi="宋体" w:eastAsia="宋体" w:cs="宋体"/>
          <w:b w:val="0"/>
          <w:bCs w:val="0"/>
          <w:spacing w:val="-2"/>
          <w:sz w:val="24"/>
          <w:szCs w:val="24"/>
          <w:highlight w:val="none"/>
        </w:rPr>
      </w:pPr>
      <w:r>
        <w:rPr>
          <w:rFonts w:hint="eastAsia" w:ascii="宋体" w:hAnsi="宋体" w:eastAsia="宋体" w:cs="宋体"/>
          <w:b w:val="0"/>
          <w:bCs w:val="0"/>
          <w:spacing w:val="-2"/>
          <w:sz w:val="24"/>
          <w:szCs w:val="24"/>
          <w:highlight w:val="none"/>
        </w:rPr>
        <w:t>本公司（联合体）郑重声明，根据《政府采购促进中小企业发展管理办法》（财库</w:t>
      </w:r>
      <w:r>
        <w:rPr>
          <w:rFonts w:hint="eastAsia" w:ascii="宋体" w:hAnsi="宋体" w:eastAsia="宋体" w:cs="宋体"/>
          <w:spacing w:val="-8"/>
          <w:sz w:val="24"/>
          <w:szCs w:val="24"/>
          <w:highlight w:val="none"/>
          <w:lang w:eastAsia="zh-CN"/>
        </w:rPr>
        <w:t>〔</w:t>
      </w:r>
      <w:r>
        <w:rPr>
          <w:rFonts w:hint="eastAsia" w:ascii="宋体" w:hAnsi="宋体" w:eastAsia="宋体" w:cs="宋体"/>
          <w:b w:val="0"/>
          <w:bCs w:val="0"/>
          <w:spacing w:val="-2"/>
          <w:sz w:val="24"/>
          <w:szCs w:val="24"/>
          <w:highlight w:val="none"/>
        </w:rPr>
        <w:t>2020</w:t>
      </w:r>
      <w:r>
        <w:rPr>
          <w:rFonts w:hint="eastAsia" w:ascii="宋体" w:hAnsi="宋体" w:eastAsia="宋体" w:cs="宋体"/>
          <w:spacing w:val="-8"/>
          <w:sz w:val="24"/>
          <w:szCs w:val="24"/>
          <w:highlight w:val="none"/>
          <w:lang w:eastAsia="zh-CN"/>
        </w:rPr>
        <w:t>〕</w:t>
      </w:r>
      <w:r>
        <w:rPr>
          <w:rFonts w:hint="eastAsia" w:ascii="宋体" w:hAnsi="宋体" w:eastAsia="宋体" w:cs="宋体"/>
          <w:b w:val="0"/>
          <w:bCs w:val="0"/>
          <w:spacing w:val="-2"/>
          <w:sz w:val="24"/>
          <w:szCs w:val="24"/>
          <w:highlight w:val="none"/>
        </w:rPr>
        <w:t>46 号）的规定，本公司（联合体）参加</w:t>
      </w:r>
      <w:r>
        <w:rPr>
          <w:rFonts w:hint="eastAsia" w:ascii="宋体" w:hAnsi="宋体" w:eastAsia="宋体" w:cs="宋体"/>
          <w:b w:val="0"/>
          <w:bCs w:val="0"/>
          <w:spacing w:val="-2"/>
          <w:sz w:val="24"/>
          <w:szCs w:val="24"/>
          <w:highlight w:val="none"/>
          <w:u w:val="single"/>
        </w:rPr>
        <w:t>（单位名称）</w:t>
      </w:r>
      <w:r>
        <w:rPr>
          <w:rFonts w:hint="eastAsia" w:ascii="宋体" w:hAnsi="宋体" w:eastAsia="宋体" w:cs="宋体"/>
          <w:b w:val="0"/>
          <w:bCs w:val="0"/>
          <w:spacing w:val="-2"/>
          <w:sz w:val="24"/>
          <w:szCs w:val="24"/>
          <w:highlight w:val="none"/>
        </w:rPr>
        <w:t>的</w:t>
      </w:r>
      <w:r>
        <w:rPr>
          <w:rFonts w:hint="eastAsia" w:ascii="宋体" w:hAnsi="宋体" w:eastAsia="宋体" w:cs="宋体"/>
          <w:b w:val="0"/>
          <w:bCs w:val="0"/>
          <w:spacing w:val="-2"/>
          <w:sz w:val="24"/>
          <w:szCs w:val="24"/>
          <w:highlight w:val="none"/>
          <w:u w:val="single"/>
        </w:rPr>
        <w:t>（项目名称）</w:t>
      </w:r>
      <w:r>
        <w:rPr>
          <w:rFonts w:hint="eastAsia" w:ascii="宋体" w:hAnsi="宋体" w:eastAsia="宋体" w:cs="宋体"/>
          <w:b w:val="0"/>
          <w:bCs w:val="0"/>
          <w:spacing w:val="-2"/>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41"/>
        <w:pageBreakBefore w:val="0"/>
        <w:numPr>
          <w:ilvl w:val="0"/>
          <w:numId w:val="6"/>
        </w:numPr>
        <w:kinsoku/>
        <w:wordWrap/>
        <w:overflowPunct/>
        <w:topLinePunct w:val="0"/>
        <w:autoSpaceDE/>
        <w:autoSpaceDN/>
        <w:bidi w:val="0"/>
        <w:adjustRightInd/>
        <w:snapToGrid/>
        <w:spacing w:line="360" w:lineRule="auto"/>
        <w:ind w:left="60" w:leftChars="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zh-CN" w:eastAsia="zh-CN"/>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lang w:val="zh-CN" w:eastAsia="zh-CN"/>
        </w:rPr>
        <w:t>（采购文件中明确的所属行业）</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rPr>
        <w:t>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万元，资产总额为</w:t>
      </w:r>
      <w:r>
        <w:rPr>
          <w:rFonts w:hint="eastAsia"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w:t>
      </w:r>
      <w:r>
        <w:rPr>
          <w:rFonts w:hint="eastAsia" w:hAnsi="宋体" w:eastAsia="宋体" w:cs="宋体"/>
          <w:sz w:val="24"/>
          <w:szCs w:val="24"/>
          <w:highlight w:val="none"/>
          <w:lang w:eastAsia="zh-CN"/>
        </w:rPr>
        <w:t>，</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pPr>
        <w:pStyle w:val="141"/>
        <w:pageBreakBefore w:val="0"/>
        <w:numPr>
          <w:ilvl w:val="0"/>
          <w:numId w:val="6"/>
        </w:numPr>
        <w:kinsoku/>
        <w:wordWrap/>
        <w:overflowPunct/>
        <w:topLinePunct w:val="0"/>
        <w:autoSpaceDE/>
        <w:autoSpaceDN/>
        <w:bidi w:val="0"/>
        <w:adjustRightInd/>
        <w:snapToGrid/>
        <w:spacing w:line="360" w:lineRule="auto"/>
        <w:ind w:left="60" w:leftChars="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zh-CN" w:eastAsia="zh-CN"/>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lang w:val="zh-CN" w:eastAsia="zh-CN"/>
        </w:rPr>
        <w:t>（采购文件中明确的所属行业）</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万元，资产总额为</w:t>
      </w:r>
      <w:r>
        <w:rPr>
          <w:rFonts w:hint="eastAsia"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w:t>
      </w:r>
      <w:r>
        <w:rPr>
          <w:rFonts w:hint="eastAsia" w:hAnsi="宋体" w:eastAsia="宋体" w:cs="宋体"/>
          <w:sz w:val="24"/>
          <w:szCs w:val="24"/>
          <w:highlight w:val="none"/>
          <w:lang w:eastAsia="zh-CN"/>
        </w:rPr>
        <w:t>，</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pPr>
        <w:pStyle w:val="141"/>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lang w:val="zh-CN" w:eastAsia="zh-CN"/>
        </w:rPr>
      </w:pPr>
      <w:r>
        <w:rPr>
          <w:rFonts w:hint="eastAsia" w:ascii="宋体" w:hAnsi="宋体" w:eastAsia="宋体" w:cs="宋体"/>
          <w:sz w:val="24"/>
          <w:szCs w:val="24"/>
          <w:highlight w:val="none"/>
          <w:u w:val="none"/>
          <w:lang w:val="zh-CN" w:eastAsia="zh-CN"/>
        </w:rPr>
        <w:t>……</w:t>
      </w:r>
    </w:p>
    <w:p>
      <w:pPr>
        <w:pStyle w:val="141"/>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lang w:val="zh-CN" w:eastAsia="zh-CN"/>
        </w:rPr>
      </w:pPr>
      <w:r>
        <w:rPr>
          <w:rFonts w:hint="eastAsia" w:ascii="宋体" w:hAnsi="宋体" w:eastAsia="宋体" w:cs="宋体"/>
          <w:sz w:val="24"/>
          <w:szCs w:val="24"/>
          <w:highlight w:val="none"/>
          <w:u w:val="none"/>
          <w:lang w:val="zh-CN" w:eastAsia="zh-CN"/>
        </w:rPr>
        <w:t>以上企业，不属于大企业的分支机构，不存在控股股东为大企业的情形，也不存在与大企业的负责人为同一人的情形。</w:t>
      </w:r>
    </w:p>
    <w:p>
      <w:pPr>
        <w:pStyle w:val="141"/>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lang w:val="zh-CN" w:eastAsia="zh-CN"/>
        </w:rPr>
      </w:pPr>
      <w:r>
        <w:rPr>
          <w:rFonts w:hint="eastAsia" w:ascii="宋体" w:hAnsi="宋体" w:eastAsia="宋体" w:cs="宋体"/>
          <w:sz w:val="24"/>
          <w:szCs w:val="24"/>
          <w:highlight w:val="none"/>
          <w:u w:val="none"/>
          <w:lang w:val="zh-CN" w:eastAsia="zh-CN"/>
        </w:rPr>
        <w:t>本企业对上述声明内容的真实性负责。如有虚假，将依法承担相应责任。</w:t>
      </w:r>
    </w:p>
    <w:p>
      <w:pPr>
        <w:pStyle w:val="141"/>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pStyle w:val="141"/>
        <w:keepNext w:val="0"/>
        <w:keepLines w:val="0"/>
        <w:pageBreakBefore w:val="0"/>
        <w:widowControl w:val="0"/>
        <w:kinsoku/>
        <w:wordWrap/>
        <w:overflowPunct/>
        <w:topLinePunct w:val="0"/>
        <w:autoSpaceDE/>
        <w:autoSpaceDN/>
        <w:bidi w:val="0"/>
        <w:adjustRightInd/>
        <w:snapToGrid/>
        <w:spacing w:line="360" w:lineRule="auto"/>
        <w:ind w:firstLine="4560" w:firstLineChars="1900"/>
        <w:jc w:val="left"/>
        <w:textAlignment w:val="auto"/>
        <w:outlineLvl w:val="9"/>
        <w:rPr>
          <w:rFonts w:hint="eastAsia" w:ascii="宋体" w:hAnsi="宋体" w:eastAsia="宋体" w:cs="宋体"/>
          <w:b w:val="0"/>
          <w:bCs w:val="0"/>
          <w:kern w:val="0"/>
          <w:sz w:val="24"/>
          <w:szCs w:val="24"/>
          <w:highlight w:val="none"/>
          <w:u w:val="none"/>
          <w:lang w:val="en-US" w:eastAsia="zh-CN" w:bidi="ar-SA"/>
        </w:rPr>
      </w:pPr>
      <w:r>
        <w:rPr>
          <w:rFonts w:hint="eastAsia" w:ascii="宋体" w:hAnsi="宋体" w:eastAsia="宋体" w:cs="宋体"/>
          <w:b w:val="0"/>
          <w:bCs w:val="0"/>
          <w:kern w:val="0"/>
          <w:sz w:val="24"/>
          <w:szCs w:val="24"/>
          <w:highlight w:val="none"/>
          <w:u w:val="none"/>
          <w:lang w:val="en-US" w:eastAsia="zh-CN" w:bidi="ar-SA"/>
        </w:rPr>
        <w:t>企业名称（盖章）：</w:t>
      </w:r>
    </w:p>
    <w:p>
      <w:pPr>
        <w:pStyle w:val="141"/>
        <w:keepNext w:val="0"/>
        <w:keepLines w:val="0"/>
        <w:pageBreakBefore w:val="0"/>
        <w:widowControl w:val="0"/>
        <w:kinsoku/>
        <w:wordWrap/>
        <w:overflowPunct/>
        <w:topLinePunct w:val="0"/>
        <w:autoSpaceDE/>
        <w:autoSpaceDN/>
        <w:bidi w:val="0"/>
        <w:adjustRightInd/>
        <w:snapToGrid/>
        <w:spacing w:line="360" w:lineRule="auto"/>
        <w:ind w:firstLine="4560" w:firstLineChars="1900"/>
        <w:jc w:val="left"/>
        <w:textAlignment w:val="auto"/>
        <w:outlineLvl w:val="9"/>
        <w:rPr>
          <w:rFonts w:hint="eastAsia" w:ascii="宋体" w:hAnsi="宋体" w:eastAsia="宋体" w:cs="宋体"/>
          <w:b w:val="0"/>
          <w:bCs w:val="0"/>
          <w:kern w:val="0"/>
          <w:sz w:val="24"/>
          <w:szCs w:val="24"/>
          <w:highlight w:val="none"/>
          <w:u w:val="none"/>
          <w:lang w:val="en-US" w:eastAsia="zh-CN" w:bidi="ar-SA"/>
        </w:rPr>
      </w:pPr>
      <w:r>
        <w:rPr>
          <w:rFonts w:hint="eastAsia" w:ascii="宋体" w:hAnsi="宋体" w:eastAsia="宋体" w:cs="宋体"/>
          <w:b w:val="0"/>
          <w:bCs w:val="0"/>
          <w:kern w:val="0"/>
          <w:sz w:val="24"/>
          <w:szCs w:val="24"/>
          <w:highlight w:val="none"/>
          <w:u w:val="none"/>
          <w:lang w:val="en-US" w:eastAsia="zh-CN" w:bidi="ar-SA"/>
        </w:rPr>
        <w:t>日期：</w:t>
      </w:r>
    </w:p>
    <w:p>
      <w:pPr>
        <w:pStyle w:val="141"/>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p>
    <w:p>
      <w:pPr>
        <w:pStyle w:val="141"/>
        <w:pageBreakBefore w:val="0"/>
        <w:kinsoku/>
        <w:wordWrap/>
        <w:overflowPunct/>
        <w:topLinePunct w:val="0"/>
        <w:autoSpaceDE/>
        <w:autoSpaceDN/>
        <w:bidi w:val="0"/>
        <w:adjustRightInd/>
        <w:snapToGrid/>
        <w:spacing w:line="360" w:lineRule="auto"/>
        <w:ind w:left="660" w:leftChars="0" w:hanging="660" w:hangingChars="300"/>
        <w:textAlignment w:val="auto"/>
        <w:rPr>
          <w:rFonts w:hint="eastAsia" w:ascii="宋体" w:hAnsi="宋体" w:eastAsia="宋体" w:cs="宋体"/>
          <w:spacing w:val="-8"/>
          <w:sz w:val="22"/>
          <w:szCs w:val="22"/>
          <w:highlight w:val="none"/>
          <w:lang w:eastAsia="zh-CN"/>
        </w:rPr>
      </w:pPr>
      <w:r>
        <w:rPr>
          <w:rFonts w:hint="eastAsia" w:ascii="宋体" w:hAnsi="宋体" w:eastAsia="宋体" w:cs="宋体"/>
          <w:sz w:val="22"/>
          <w:szCs w:val="22"/>
          <w:highlight w:val="none"/>
          <w:lang w:eastAsia="zh-CN"/>
        </w:rPr>
        <w:t>备注：</w:t>
      </w:r>
      <w:r>
        <w:rPr>
          <w:rFonts w:hint="eastAsia" w:ascii="宋体" w:hAnsi="宋体" w:eastAsia="宋体" w:cs="宋体"/>
          <w:sz w:val="22"/>
          <w:szCs w:val="22"/>
          <w:highlight w:val="none"/>
          <w:lang w:val="en-US" w:eastAsia="zh-CN"/>
        </w:rPr>
        <w:t>1、</w:t>
      </w:r>
      <w:r>
        <w:rPr>
          <w:rFonts w:hint="eastAsia" w:ascii="宋体" w:hAnsi="宋体" w:eastAsia="宋体" w:cs="宋体"/>
          <w:spacing w:val="-8"/>
          <w:sz w:val="22"/>
          <w:szCs w:val="22"/>
          <w:highlight w:val="none"/>
        </w:rPr>
        <w:t>中小企业参加政府采购活动，应当按照</w:t>
      </w:r>
      <w:r>
        <w:rPr>
          <w:rFonts w:hint="eastAsia" w:ascii="宋体" w:hAnsi="宋体" w:eastAsia="宋体" w:cs="宋体"/>
          <w:spacing w:val="-8"/>
          <w:sz w:val="22"/>
          <w:szCs w:val="22"/>
          <w:highlight w:val="none"/>
          <w:lang w:eastAsia="zh-CN"/>
        </w:rPr>
        <w:t>《政府采购促进中小企业发展管理办法》（财库〔2020〕46号）</w:t>
      </w:r>
      <w:r>
        <w:rPr>
          <w:rFonts w:hint="eastAsia" w:ascii="宋体" w:hAnsi="宋体" w:eastAsia="宋体" w:cs="宋体"/>
          <w:spacing w:val="-8"/>
          <w:sz w:val="22"/>
          <w:szCs w:val="22"/>
          <w:highlight w:val="none"/>
        </w:rPr>
        <w:t>规定和《中小企业划型标准规定》（工信部联企业〔2011〕300号），如实填写并</w:t>
      </w:r>
      <w:r>
        <w:rPr>
          <w:rFonts w:hint="eastAsia" w:ascii="宋体" w:hAnsi="宋体" w:eastAsia="宋体" w:cs="宋体"/>
          <w:spacing w:val="-8"/>
          <w:sz w:val="22"/>
          <w:szCs w:val="22"/>
          <w:highlight w:val="none"/>
          <w:lang w:eastAsia="zh-CN"/>
        </w:rPr>
        <w:t>提交本</w:t>
      </w:r>
      <w:r>
        <w:rPr>
          <w:rFonts w:hint="eastAsia" w:ascii="宋体" w:hAnsi="宋体" w:eastAsia="宋体" w:cs="宋体"/>
          <w:spacing w:val="-8"/>
          <w:sz w:val="22"/>
          <w:szCs w:val="22"/>
          <w:highlight w:val="none"/>
        </w:rPr>
        <w:t>《中小企业声明函》</w:t>
      </w:r>
      <w:r>
        <w:rPr>
          <w:rFonts w:hint="eastAsia" w:ascii="宋体" w:hAnsi="宋体" w:eastAsia="宋体" w:cs="宋体"/>
          <w:spacing w:val="-8"/>
          <w:sz w:val="22"/>
          <w:szCs w:val="22"/>
          <w:highlight w:val="none"/>
          <w:lang w:eastAsia="zh-CN"/>
        </w:rPr>
        <w:t>。</w:t>
      </w:r>
    </w:p>
    <w:p>
      <w:pPr>
        <w:pStyle w:val="141"/>
        <w:pageBreakBefore w:val="0"/>
        <w:numPr>
          <w:ilvl w:val="0"/>
          <w:numId w:val="0"/>
        </w:numPr>
        <w:kinsoku/>
        <w:wordWrap/>
        <w:overflowPunct/>
        <w:topLinePunct w:val="0"/>
        <w:autoSpaceDE/>
        <w:autoSpaceDN/>
        <w:bidi w:val="0"/>
        <w:adjustRightInd/>
        <w:snapToGrid/>
        <w:spacing w:line="360" w:lineRule="auto"/>
        <w:ind w:left="480" w:leftChars="0"/>
        <w:textAlignment w:val="auto"/>
        <w:rPr>
          <w:rFonts w:hint="eastAsia" w:ascii="宋体" w:hAnsi="宋体" w:eastAsia="宋体" w:cs="宋体"/>
          <w:spacing w:val="-8"/>
          <w:sz w:val="22"/>
          <w:szCs w:val="22"/>
          <w:highlight w:val="none"/>
          <w:lang w:val="en-US" w:eastAsia="zh-CN"/>
        </w:rPr>
      </w:pPr>
      <w:r>
        <w:rPr>
          <w:rFonts w:hint="eastAsia" w:ascii="宋体" w:hAnsi="宋体" w:eastAsia="宋体" w:cs="宋体"/>
          <w:spacing w:val="-8"/>
          <w:sz w:val="22"/>
          <w:szCs w:val="22"/>
          <w:highlight w:val="none"/>
          <w:lang w:val="en-US" w:eastAsia="zh-CN"/>
        </w:rPr>
        <w:t>2、从业人员、营业收入、资产总额填报上一年度数据，无上一年度数据的新成立企业可不填报。</w:t>
      </w:r>
    </w:p>
    <w:p>
      <w:pPr>
        <w:pStyle w:val="141"/>
        <w:pageBreakBefore w:val="0"/>
        <w:numPr>
          <w:ilvl w:val="0"/>
          <w:numId w:val="6"/>
        </w:numPr>
        <w:kinsoku/>
        <w:wordWrap/>
        <w:overflowPunct/>
        <w:topLinePunct w:val="0"/>
        <w:autoSpaceDE/>
        <w:autoSpaceDN/>
        <w:bidi w:val="0"/>
        <w:adjustRightInd/>
        <w:snapToGrid/>
        <w:spacing w:line="360" w:lineRule="auto"/>
        <w:ind w:left="60" w:leftChars="0" w:firstLine="420" w:firstLineChars="0"/>
        <w:textAlignment w:val="auto"/>
        <w:rPr>
          <w:rFonts w:hint="eastAsia" w:ascii="宋体" w:hAnsi="宋体" w:eastAsia="宋体" w:cs="宋体"/>
          <w:spacing w:val="-8"/>
          <w:sz w:val="22"/>
          <w:szCs w:val="22"/>
          <w:highlight w:val="none"/>
          <w:lang w:val="en-US" w:eastAsia="zh-CN"/>
        </w:rPr>
      </w:pPr>
      <w:r>
        <w:rPr>
          <w:rFonts w:hint="eastAsia" w:ascii="宋体" w:hAnsi="宋体" w:eastAsia="宋体" w:cs="宋体"/>
          <w:spacing w:val="-8"/>
          <w:sz w:val="22"/>
          <w:szCs w:val="22"/>
          <w:highlight w:val="none"/>
          <w:lang w:val="en-US" w:eastAsia="zh-CN"/>
        </w:rPr>
        <w:t>本项目采购标的所属行业为</w:t>
      </w:r>
      <w:r>
        <w:rPr>
          <w:rFonts w:hint="eastAsia" w:hAnsi="宋体" w:cs="宋体"/>
          <w:spacing w:val="-8"/>
          <w:sz w:val="22"/>
          <w:szCs w:val="22"/>
          <w:highlight w:val="none"/>
          <w:lang w:val="en-US" w:eastAsia="zh-CN"/>
        </w:rPr>
        <w:t>其他未列明行业</w:t>
      </w:r>
      <w:r>
        <w:rPr>
          <w:rFonts w:hint="eastAsia" w:ascii="宋体" w:hAnsi="宋体" w:eastAsia="宋体" w:cs="宋体"/>
          <w:spacing w:val="-8"/>
          <w:sz w:val="22"/>
          <w:szCs w:val="2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line="360" w:lineRule="auto"/>
        <w:jc w:val="left"/>
        <w:textAlignment w:val="auto"/>
        <w:rPr>
          <w:rFonts w:hint="eastAsia" w:ascii="宋体" w:hAnsi="宋体" w:eastAsia="宋体" w:cs="宋体"/>
          <w:b/>
          <w:sz w:val="28"/>
          <w:szCs w:val="28"/>
          <w:highlight w:val="none"/>
        </w:rPr>
        <w:sectPr>
          <w:pgSz w:w="11906" w:h="16838"/>
          <w:pgMar w:top="1418" w:right="1134" w:bottom="1418" w:left="1418" w:header="851" w:footer="992" w:gutter="0"/>
          <w:pgBorders>
            <w:top w:val="none" w:sz="0" w:space="0"/>
            <w:left w:val="none" w:sz="0" w:space="0"/>
            <w:bottom w:val="none" w:sz="0" w:space="0"/>
            <w:right w:val="none" w:sz="0" w:space="0"/>
          </w:pgBorders>
          <w:cols w:space="720" w:num="1"/>
        </w:sectPr>
      </w:pPr>
    </w:p>
    <w:p>
      <w:pPr>
        <w:rPr>
          <w:rFonts w:hint="eastAsia" w:ascii="宋体" w:hAnsi="宋体" w:eastAsia="宋体" w:cs="宋体"/>
          <w:b/>
          <w:bCs/>
          <w:spacing w:val="6"/>
          <w:sz w:val="30"/>
          <w:szCs w:val="30"/>
          <w:highlight w:val="none"/>
        </w:rPr>
      </w:pPr>
      <w:bookmarkStart w:id="292" w:name="_Toc18154"/>
      <w:r>
        <w:rPr>
          <w:rFonts w:hint="eastAsia" w:ascii="宋体" w:hAnsi="宋体" w:eastAsia="宋体" w:cs="宋体"/>
          <w:b/>
          <w:bCs/>
          <w:spacing w:val="6"/>
          <w:sz w:val="30"/>
          <w:szCs w:val="30"/>
          <w:highlight w:val="none"/>
        </w:rPr>
        <w:br w:type="page"/>
      </w:r>
    </w:p>
    <w:p>
      <w:pPr>
        <w:keepNext w:val="0"/>
        <w:keepLines w:val="0"/>
        <w:pageBreakBefore w:val="0"/>
        <w:widowControl w:val="0"/>
        <w:kinsoku/>
        <w:wordWrap/>
        <w:overflowPunct/>
        <w:topLinePunct w:val="0"/>
        <w:autoSpaceDE/>
        <w:autoSpaceDN/>
        <w:bidi w:val="0"/>
        <w:adjustRightInd/>
        <w:snapToGrid/>
        <w:spacing w:before="100" w:beforeAutospacing="0" w:after="163" w:afterLines="50" w:line="360" w:lineRule="auto"/>
        <w:textAlignment w:val="auto"/>
        <w:outlineLvl w:val="2"/>
        <w:rPr>
          <w:rFonts w:hint="eastAsia" w:ascii="宋体" w:hAnsi="宋体" w:eastAsia="宋体" w:cs="宋体"/>
          <w:b/>
          <w:bCs/>
          <w:spacing w:val="6"/>
          <w:sz w:val="30"/>
          <w:szCs w:val="30"/>
          <w:highlight w:val="none"/>
        </w:rPr>
      </w:pPr>
      <w:bookmarkStart w:id="293" w:name="_Toc30631"/>
      <w:bookmarkStart w:id="294" w:name="_Toc7156"/>
      <w:r>
        <w:rPr>
          <w:rFonts w:hint="eastAsia" w:ascii="宋体" w:hAnsi="宋体" w:eastAsia="宋体" w:cs="宋体"/>
          <w:b/>
          <w:bCs/>
          <w:spacing w:val="6"/>
          <w:sz w:val="30"/>
          <w:szCs w:val="30"/>
          <w:highlight w:val="none"/>
        </w:rPr>
        <w:t>附件</w:t>
      </w:r>
      <w:r>
        <w:rPr>
          <w:rFonts w:hint="eastAsia" w:hAnsi="宋体" w:eastAsia="宋体" w:cs="宋体"/>
          <w:b/>
          <w:bCs/>
          <w:spacing w:val="6"/>
          <w:sz w:val="30"/>
          <w:szCs w:val="30"/>
          <w:highlight w:val="none"/>
          <w:lang w:val="en-US" w:eastAsia="zh-CN"/>
        </w:rPr>
        <w:t>2</w:t>
      </w:r>
      <w:bookmarkEnd w:id="292"/>
      <w:bookmarkEnd w:id="293"/>
      <w:bookmarkEnd w:id="294"/>
    </w:p>
    <w:p>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outlineLvl w:val="2"/>
        <w:rPr>
          <w:rFonts w:hint="eastAsia" w:ascii="宋体" w:hAnsi="宋体" w:eastAsia="宋体" w:cs="宋体"/>
          <w:b/>
          <w:spacing w:val="6"/>
          <w:sz w:val="32"/>
          <w:szCs w:val="32"/>
          <w:highlight w:val="none"/>
        </w:rPr>
      </w:pPr>
      <w:bookmarkStart w:id="295" w:name="_Toc2347"/>
      <w:bookmarkStart w:id="296" w:name="_Toc2490"/>
      <w:bookmarkStart w:id="297" w:name="_Toc11171"/>
      <w:r>
        <w:rPr>
          <w:rFonts w:hint="eastAsia" w:ascii="宋体" w:hAnsi="宋体" w:eastAsia="宋体" w:cs="宋体"/>
          <w:b/>
          <w:spacing w:val="6"/>
          <w:sz w:val="32"/>
          <w:szCs w:val="32"/>
          <w:highlight w:val="none"/>
        </w:rPr>
        <w:t>残疾人福利性单位声明函</w:t>
      </w:r>
      <w:bookmarkEnd w:id="295"/>
      <w:bookmarkEnd w:id="296"/>
      <w:bookmarkEnd w:id="297"/>
    </w:p>
    <w:p>
      <w:pPr>
        <w:wordWrap/>
        <w:overflowPunct/>
        <w:topLinePunct w:val="0"/>
        <w:bidi w:val="0"/>
        <w:spacing w:line="360" w:lineRule="auto"/>
        <w:rPr>
          <w:rFonts w:hint="eastAsia" w:ascii="宋体" w:hAnsi="宋体" w:eastAsia="宋体" w:cs="宋体"/>
          <w:b/>
          <w:spacing w:val="6"/>
          <w:sz w:val="30"/>
          <w:szCs w:val="30"/>
          <w:highlight w:val="none"/>
        </w:rPr>
      </w:pPr>
    </w:p>
    <w:p>
      <w:pPr>
        <w:wordWrap/>
        <w:overflowPunct/>
        <w:topLinePunct w:val="0"/>
        <w:bidi w:val="0"/>
        <w:spacing w:line="360" w:lineRule="auto"/>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sz w:val="24"/>
          <w:szCs w:val="24"/>
          <w:highlight w:val="none"/>
        </w:rPr>
        <w:t>〔2017〕 141</w:t>
      </w:r>
      <w:r>
        <w:rPr>
          <w:rFonts w:hint="eastAsia" w:ascii="宋体" w:hAnsi="宋体" w:eastAsia="宋体" w:cs="宋体"/>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ordWrap/>
        <w:overflowPunct/>
        <w:topLinePunct w:val="0"/>
        <w:bidi w:val="0"/>
        <w:spacing w:line="360" w:lineRule="auto"/>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本单位对上述声明的真实性负责。如有虚假，将依法承担相应责任。</w:t>
      </w:r>
    </w:p>
    <w:p>
      <w:pPr>
        <w:wordWrap/>
        <w:overflowPunct/>
        <w:topLinePunct w:val="0"/>
        <w:bidi w:val="0"/>
        <w:spacing w:line="360" w:lineRule="auto"/>
        <w:ind w:firstLine="504" w:firstLineChars="200"/>
        <w:rPr>
          <w:rFonts w:hint="eastAsia" w:ascii="宋体" w:hAnsi="宋体" w:eastAsia="宋体" w:cs="宋体"/>
          <w:spacing w:val="6"/>
          <w:sz w:val="24"/>
          <w:szCs w:val="24"/>
          <w:highlight w:val="none"/>
        </w:rPr>
      </w:pPr>
    </w:p>
    <w:p>
      <w:pPr>
        <w:wordWrap/>
        <w:overflowPunct/>
        <w:topLinePunct w:val="0"/>
        <w:bidi w:val="0"/>
        <w:spacing w:line="360" w:lineRule="auto"/>
        <w:ind w:firstLine="504" w:firstLineChars="200"/>
        <w:rPr>
          <w:rFonts w:hint="eastAsia" w:ascii="宋体" w:hAnsi="宋体" w:eastAsia="宋体" w:cs="宋体"/>
          <w:spacing w:val="6"/>
          <w:sz w:val="24"/>
          <w:szCs w:val="24"/>
          <w:highlight w:val="none"/>
        </w:rPr>
      </w:pPr>
    </w:p>
    <w:p>
      <w:pPr>
        <w:wordWrap/>
        <w:overflowPunct/>
        <w:topLinePunct w:val="0"/>
        <w:bidi w:val="0"/>
        <w:spacing w:line="360" w:lineRule="auto"/>
        <w:ind w:firstLine="504" w:firstLineChars="200"/>
        <w:rPr>
          <w:rFonts w:hint="eastAsia" w:ascii="宋体" w:hAnsi="宋体" w:eastAsia="宋体" w:cs="宋体"/>
          <w:spacing w:val="6"/>
          <w:sz w:val="24"/>
          <w:szCs w:val="24"/>
          <w:highlight w:val="none"/>
        </w:rPr>
      </w:pPr>
    </w:p>
    <w:p>
      <w:pPr>
        <w:wordWrap/>
        <w:overflowPunct/>
        <w:topLinePunct w:val="0"/>
        <w:bidi w:val="0"/>
        <w:spacing w:line="360" w:lineRule="auto"/>
        <w:ind w:firstLine="504" w:firstLineChars="200"/>
        <w:rPr>
          <w:rFonts w:hint="eastAsia" w:ascii="宋体" w:hAnsi="宋体" w:eastAsia="宋体" w:cs="宋体"/>
          <w:spacing w:val="6"/>
          <w:sz w:val="24"/>
          <w:szCs w:val="24"/>
          <w:highlight w:val="none"/>
        </w:rPr>
      </w:pPr>
    </w:p>
    <w:p>
      <w:pPr>
        <w:tabs>
          <w:tab w:val="left" w:pos="4860"/>
        </w:tabs>
        <w:wordWrap/>
        <w:overflowPunct/>
        <w:topLinePunct w:val="0"/>
        <w:bidi w:val="0"/>
        <w:spacing w:line="360" w:lineRule="auto"/>
        <w:ind w:right="1560" w:firstLine="504" w:firstLineChars="200"/>
        <w:jc w:val="center"/>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 xml:space="preserve">               单位名称（盖章）：</w:t>
      </w:r>
    </w:p>
    <w:p>
      <w:pPr>
        <w:tabs>
          <w:tab w:val="left" w:pos="4860"/>
        </w:tabs>
        <w:wordWrap/>
        <w:overflowPunct/>
        <w:topLinePunct w:val="0"/>
        <w:bidi w:val="0"/>
        <w:spacing w:line="360" w:lineRule="auto"/>
        <w:ind w:right="1560" w:firstLine="504" w:firstLineChars="200"/>
        <w:jc w:val="center"/>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 xml:space="preserve">      </w:t>
      </w:r>
      <w:r>
        <w:rPr>
          <w:rFonts w:hint="eastAsia" w:ascii="宋体" w:hAnsi="宋体" w:eastAsia="宋体" w:cs="宋体"/>
          <w:spacing w:val="6"/>
          <w:sz w:val="24"/>
          <w:szCs w:val="24"/>
          <w:highlight w:val="none"/>
          <w:lang w:val="en-US" w:eastAsia="zh-CN"/>
        </w:rPr>
        <w:t xml:space="preserve"> </w:t>
      </w:r>
      <w:r>
        <w:rPr>
          <w:rFonts w:hint="eastAsia" w:ascii="宋体" w:hAnsi="宋体" w:eastAsia="宋体" w:cs="宋体"/>
          <w:spacing w:val="6"/>
          <w:sz w:val="24"/>
          <w:szCs w:val="24"/>
          <w:highlight w:val="none"/>
        </w:rPr>
        <w:t xml:space="preserve">日  </w:t>
      </w:r>
      <w:r>
        <w:rPr>
          <w:rFonts w:hint="eastAsia" w:ascii="宋体" w:hAnsi="宋体" w:eastAsia="宋体" w:cs="宋体"/>
          <w:spacing w:val="6"/>
          <w:sz w:val="24"/>
          <w:szCs w:val="24"/>
          <w:highlight w:val="none"/>
          <w:lang w:val="en-US" w:eastAsia="zh-CN"/>
        </w:rPr>
        <w:t xml:space="preserve">  </w:t>
      </w:r>
      <w:r>
        <w:rPr>
          <w:rFonts w:hint="eastAsia" w:ascii="宋体" w:hAnsi="宋体" w:eastAsia="宋体" w:cs="宋体"/>
          <w:spacing w:val="6"/>
          <w:sz w:val="24"/>
          <w:szCs w:val="24"/>
          <w:highlight w:val="none"/>
        </w:rPr>
        <w:t>期：</w:t>
      </w:r>
    </w:p>
    <w:p>
      <w:pPr>
        <w:pStyle w:val="16"/>
        <w:wordWrap/>
        <w:overflowPunct/>
        <w:topLinePunct w:val="0"/>
        <w:bidi w:val="0"/>
        <w:spacing w:line="360" w:lineRule="auto"/>
        <w:rPr>
          <w:rFonts w:hint="eastAsia" w:ascii="宋体" w:hAnsi="宋体" w:eastAsia="宋体" w:cs="宋体"/>
          <w:b/>
          <w:bCs/>
          <w:spacing w:val="6"/>
          <w:kern w:val="0"/>
          <w:sz w:val="30"/>
          <w:szCs w:val="30"/>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highlight w:val="none"/>
        </w:rPr>
      </w:pPr>
      <w:r>
        <w:rPr>
          <w:rFonts w:hint="eastAsia" w:ascii="宋体" w:hAnsi="宋体" w:eastAsia="宋体" w:cs="宋体"/>
          <w:sz w:val="24"/>
          <w:szCs w:val="24"/>
          <w:highlight w:val="none"/>
          <w:lang w:val="en-US" w:eastAsia="zh-CN"/>
        </w:rPr>
        <w:t>备注：</w:t>
      </w:r>
      <w:r>
        <w:rPr>
          <w:rFonts w:hint="eastAsia" w:ascii="宋体" w:hAnsi="宋体" w:eastAsia="宋体" w:cs="宋体"/>
          <w:sz w:val="24"/>
          <w:szCs w:val="24"/>
          <w:highlight w:val="none"/>
          <w:lang w:eastAsia="zh-CN"/>
        </w:rPr>
        <w:t>符合条件的残疾人福利性单位在参加政府采购活动时，应当提供《残疾人福利性单位声明函》，并对声明的真实性负责；非残疾人福利性单位无需提供。</w:t>
      </w:r>
    </w:p>
    <w:p>
      <w:pPr>
        <w:pStyle w:val="16"/>
        <w:wordWrap/>
        <w:overflowPunct/>
        <w:topLinePunct w:val="0"/>
        <w:bidi w:val="0"/>
        <w:spacing w:line="360" w:lineRule="auto"/>
        <w:rPr>
          <w:rFonts w:hint="eastAsia" w:ascii="宋体" w:hAnsi="宋体" w:eastAsia="宋体" w:cs="宋体"/>
          <w:b/>
          <w:bCs/>
          <w:spacing w:val="6"/>
          <w:kern w:val="0"/>
          <w:sz w:val="30"/>
          <w:szCs w:val="30"/>
          <w:highlight w:val="none"/>
          <w:lang w:val="en-US" w:eastAsia="zh-CN" w:bidi="ar-SA"/>
        </w:rPr>
      </w:pPr>
    </w:p>
    <w:p>
      <w:pPr>
        <w:pStyle w:val="16"/>
        <w:wordWrap/>
        <w:overflowPunct/>
        <w:topLinePunct w:val="0"/>
        <w:bidi w:val="0"/>
        <w:spacing w:line="360" w:lineRule="auto"/>
        <w:rPr>
          <w:rFonts w:hint="eastAsia" w:ascii="宋体" w:hAnsi="宋体" w:eastAsia="宋体" w:cs="宋体"/>
          <w:b/>
          <w:bCs/>
          <w:spacing w:val="6"/>
          <w:kern w:val="0"/>
          <w:sz w:val="30"/>
          <w:szCs w:val="30"/>
          <w:highlight w:val="none"/>
          <w:lang w:val="en-US" w:eastAsia="zh-CN" w:bidi="ar-SA"/>
        </w:rPr>
      </w:pPr>
    </w:p>
    <w:p>
      <w:pPr>
        <w:pStyle w:val="16"/>
        <w:wordWrap/>
        <w:overflowPunct/>
        <w:topLinePunct w:val="0"/>
        <w:bidi w:val="0"/>
        <w:spacing w:line="360" w:lineRule="auto"/>
        <w:rPr>
          <w:rFonts w:hint="eastAsia" w:ascii="宋体" w:hAnsi="宋体" w:eastAsia="宋体" w:cs="宋体"/>
          <w:b/>
          <w:bCs/>
          <w:spacing w:val="6"/>
          <w:kern w:val="0"/>
          <w:sz w:val="30"/>
          <w:szCs w:val="30"/>
          <w:highlight w:val="none"/>
          <w:lang w:val="en-US" w:eastAsia="zh-CN" w:bidi="ar-SA"/>
        </w:rPr>
      </w:pPr>
    </w:p>
    <w:p>
      <w:pPr>
        <w:pStyle w:val="16"/>
        <w:wordWrap/>
        <w:overflowPunct/>
        <w:topLinePunct w:val="0"/>
        <w:bidi w:val="0"/>
        <w:spacing w:line="360" w:lineRule="auto"/>
        <w:rPr>
          <w:rFonts w:hint="eastAsia" w:ascii="宋体" w:hAnsi="宋体" w:eastAsia="宋体" w:cs="宋体"/>
          <w:b/>
          <w:bCs/>
          <w:spacing w:val="6"/>
          <w:kern w:val="0"/>
          <w:sz w:val="30"/>
          <w:szCs w:val="30"/>
          <w:highlight w:val="none"/>
          <w:lang w:val="en-US" w:eastAsia="zh-CN" w:bidi="ar-SA"/>
        </w:rPr>
      </w:pPr>
    </w:p>
    <w:p>
      <w:pPr>
        <w:pStyle w:val="16"/>
        <w:wordWrap/>
        <w:overflowPunct/>
        <w:topLinePunct w:val="0"/>
        <w:bidi w:val="0"/>
        <w:spacing w:line="360" w:lineRule="auto"/>
        <w:rPr>
          <w:rFonts w:hint="eastAsia" w:ascii="宋体" w:hAnsi="宋体" w:eastAsia="宋体" w:cs="宋体"/>
          <w:b/>
          <w:bCs/>
          <w:spacing w:val="6"/>
          <w:kern w:val="0"/>
          <w:sz w:val="30"/>
          <w:szCs w:val="30"/>
          <w:highlight w:val="none"/>
          <w:lang w:val="en-US" w:eastAsia="zh-CN" w:bidi="ar-SA"/>
        </w:rPr>
      </w:pPr>
    </w:p>
    <w:p>
      <w:pPr>
        <w:rPr>
          <w:rFonts w:hint="eastAsia" w:ascii="宋体" w:hAnsi="宋体" w:eastAsia="宋体" w:cs="宋体"/>
          <w:b/>
          <w:bCs/>
          <w:spacing w:val="6"/>
          <w:kern w:val="0"/>
          <w:sz w:val="30"/>
          <w:szCs w:val="30"/>
          <w:highlight w:val="none"/>
          <w:lang w:val="en-US" w:eastAsia="zh-CN" w:bidi="ar-SA"/>
        </w:rPr>
      </w:pPr>
    </w:p>
    <w:p>
      <w:pPr>
        <w:pStyle w:val="58"/>
        <w:rPr>
          <w:rFonts w:hint="eastAsia"/>
          <w:highlight w:val="none"/>
          <w:lang w:val="en-US" w:eastAsia="zh-CN"/>
        </w:rPr>
      </w:pPr>
    </w:p>
    <w:p>
      <w:pPr>
        <w:rPr>
          <w:rFonts w:hint="eastAsia" w:ascii="宋体" w:hAnsi="宋体" w:eastAsia="宋体" w:cs="宋体"/>
          <w:b/>
          <w:bCs/>
          <w:spacing w:val="6"/>
          <w:kern w:val="0"/>
          <w:sz w:val="30"/>
          <w:szCs w:val="30"/>
          <w:highlight w:val="none"/>
          <w:lang w:val="en-US" w:eastAsia="zh-CN" w:bidi="ar-SA"/>
        </w:rPr>
      </w:pPr>
      <w:r>
        <w:rPr>
          <w:rFonts w:hint="eastAsia" w:ascii="宋体" w:hAnsi="宋体" w:eastAsia="宋体" w:cs="宋体"/>
          <w:b/>
          <w:bCs/>
          <w:spacing w:val="6"/>
          <w:kern w:val="0"/>
          <w:sz w:val="30"/>
          <w:szCs w:val="30"/>
          <w:highlight w:val="none"/>
          <w:lang w:val="en-US" w:eastAsia="zh-CN" w:bidi="ar-SA"/>
        </w:rPr>
        <w:br w:type="page"/>
      </w:r>
    </w:p>
    <w:p>
      <w:pPr>
        <w:pStyle w:val="16"/>
        <w:wordWrap/>
        <w:overflowPunct/>
        <w:topLinePunct w:val="0"/>
        <w:bidi w:val="0"/>
        <w:spacing w:line="360" w:lineRule="auto"/>
        <w:rPr>
          <w:rFonts w:hint="eastAsia" w:ascii="宋体" w:hAnsi="宋体" w:eastAsia="宋体" w:cs="宋体"/>
          <w:b/>
          <w:bCs/>
          <w:spacing w:val="6"/>
          <w:kern w:val="0"/>
          <w:sz w:val="30"/>
          <w:szCs w:val="30"/>
          <w:highlight w:val="none"/>
          <w:lang w:val="en-US" w:eastAsia="zh-CN" w:bidi="ar-SA"/>
        </w:rPr>
      </w:pPr>
      <w:r>
        <w:rPr>
          <w:rFonts w:hint="eastAsia" w:ascii="宋体" w:hAnsi="宋体" w:eastAsia="宋体" w:cs="宋体"/>
          <w:b/>
          <w:bCs/>
          <w:spacing w:val="6"/>
          <w:kern w:val="0"/>
          <w:sz w:val="30"/>
          <w:szCs w:val="30"/>
          <w:highlight w:val="none"/>
          <w:lang w:val="en-US" w:eastAsia="zh-CN" w:bidi="ar-SA"/>
        </w:rPr>
        <w:t>附件3</w:t>
      </w:r>
    </w:p>
    <w:p>
      <w:pPr>
        <w:wordWrap/>
        <w:overflowPunct/>
        <w:topLinePunct w:val="0"/>
        <w:bidi w:val="0"/>
        <w:spacing w:line="360" w:lineRule="auto"/>
        <w:ind w:firstLine="643" w:firstLineChars="200"/>
        <w:jc w:val="center"/>
        <w:rPr>
          <w:rFonts w:hint="eastAsia" w:hAnsi="宋体" w:eastAsia="宋体" w:cs="宋体"/>
          <w:b/>
          <w:bCs/>
          <w:sz w:val="32"/>
          <w:szCs w:val="32"/>
          <w:highlight w:val="none"/>
          <w:lang w:eastAsia="zh-CN"/>
        </w:rPr>
      </w:pPr>
      <w:r>
        <w:rPr>
          <w:rFonts w:hint="eastAsia" w:hAnsi="宋体" w:eastAsia="宋体" w:cs="宋体"/>
          <w:b/>
          <w:bCs/>
          <w:sz w:val="32"/>
          <w:szCs w:val="32"/>
          <w:highlight w:val="none"/>
          <w:lang w:eastAsia="zh-CN"/>
        </w:rPr>
        <w:t>监狱企业证明文件</w:t>
      </w:r>
    </w:p>
    <w:p>
      <w:pPr>
        <w:pStyle w:val="16"/>
        <w:wordWrap/>
        <w:overflowPunct/>
        <w:topLinePunct w:val="0"/>
        <w:bidi w:val="0"/>
        <w:spacing w:line="360" w:lineRule="auto"/>
        <w:rPr>
          <w:rFonts w:hint="eastAsia"/>
          <w:highlight w:val="none"/>
          <w:lang w:eastAsia="zh-CN"/>
        </w:rPr>
      </w:pPr>
    </w:p>
    <w:p>
      <w:pPr>
        <w:wordWrap/>
        <w:overflowPunct/>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wordWrap/>
        <w:overflowPunct/>
        <w:topLinePunct w:val="0"/>
        <w:bidi w:val="0"/>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b/>
          <w:bCs/>
          <w:sz w:val="24"/>
          <w:szCs w:val="24"/>
          <w:highlight w:val="none"/>
          <w:lang w:eastAsia="zh-CN"/>
        </w:rPr>
        <w:t>，</w:t>
      </w:r>
      <w:r>
        <w:rPr>
          <w:rFonts w:hint="eastAsia" w:ascii="宋体" w:hAnsi="宋体" w:eastAsia="宋体" w:cs="宋体"/>
          <w:b/>
          <w:bCs/>
          <w:color w:val="000000"/>
          <w:sz w:val="24"/>
          <w:szCs w:val="24"/>
          <w:highlight w:val="none"/>
          <w:lang w:eastAsia="zh-CN"/>
        </w:rPr>
        <w:t>非监狱企业无需提供</w:t>
      </w:r>
      <w:r>
        <w:rPr>
          <w:rFonts w:hint="eastAsia" w:ascii="宋体" w:hAnsi="宋体" w:eastAsia="宋体" w:cs="宋体"/>
          <w:b/>
          <w:bCs/>
          <w:sz w:val="24"/>
          <w:szCs w:val="24"/>
          <w:highlight w:val="none"/>
        </w:rPr>
        <w:t>。</w:t>
      </w:r>
    </w:p>
    <w:p>
      <w:pPr>
        <w:tabs>
          <w:tab w:val="left" w:pos="7839"/>
        </w:tabs>
        <w:wordWrap/>
        <w:overflowPunct/>
        <w:topLinePunct w:val="0"/>
        <w:bidi w:val="0"/>
        <w:spacing w:line="360" w:lineRule="auto"/>
        <w:rPr>
          <w:rFonts w:hAnsi="宋体"/>
          <w:szCs w:val="24"/>
          <w:highlight w:val="none"/>
        </w:rPr>
      </w:pPr>
    </w:p>
    <w:p>
      <w:pPr>
        <w:snapToGrid w:val="0"/>
        <w:spacing w:line="480" w:lineRule="auto"/>
        <w:rPr>
          <w:rFonts w:ascii="宋体"/>
          <w:color w:val="000000" w:themeColor="text1"/>
          <w:kern w:val="0"/>
          <w:highlight w:val="none"/>
          <w14:textFill>
            <w14:solidFill>
              <w14:schemeClr w14:val="tx1"/>
            </w14:solidFill>
          </w14:textFill>
        </w:rPr>
      </w:pPr>
    </w:p>
    <w:p>
      <w:pPr>
        <w:pStyle w:val="40"/>
        <w:rPr>
          <w:highlight w:val="none"/>
        </w:rPr>
      </w:pPr>
    </w:p>
    <w:sectPr>
      <w:footerReference r:id="rId10" w:type="default"/>
      <w:type w:val="continuous"/>
      <w:pgSz w:w="11906" w:h="16838"/>
      <w:pgMar w:top="1418" w:right="1134" w:bottom="1418" w:left="1418" w:header="851" w:footer="850"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10002FF" w:usb1="4000FCFF" w:usb2="00000009" w:usb3="00000000" w:csb0="6000019F" w:csb1="DFD7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Futura Bk BT">
    <w:altName w:val="Lucida Sans Unicode"/>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7"/>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7"/>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t xml:space="preserve">第 </w:t>
                          </w:r>
                          <w:r>
                            <w:fldChar w:fldCharType="begin"/>
                          </w:r>
                          <w:r>
                            <w:instrText xml:space="preserve"> PAGE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7"/>
                    </w:pPr>
                    <w:r>
                      <w:t xml:space="preserve">第 </w:t>
                    </w:r>
                    <w:r>
                      <w:fldChar w:fldCharType="begin"/>
                    </w:r>
                    <w:r>
                      <w:instrText xml:space="preserve"> PAGE  \* MERGEFORMAT </w:instrText>
                    </w:r>
                    <w:r>
                      <w:fldChar w:fldCharType="separate"/>
                    </w:r>
                    <w:r>
                      <w:t>46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1080" w:hanging="1080" w:hangingChars="600"/>
      <w:jc w:val="left"/>
      <w:rPr>
        <w:rFonts w:hint="eastAsia" w:ascii="宋体" w:hAnsi="宋体" w:eastAsia="宋体" w:cs="宋体"/>
      </w:rPr>
    </w:pPr>
    <w:r>
      <w:rPr>
        <w:rFonts w:hint="eastAsia" w:ascii="宋体" w:hAnsi="宋体" w:cs="宋体"/>
        <w:lang w:eastAsia="zh-CN"/>
      </w:rPr>
      <w:t>2023年度全国卫生专业技术资格考试暨护士执业资格考试西安考点考务服务项目（三次）</w:t>
    </w:r>
    <w:r>
      <w:rPr>
        <w:rFonts w:hint="eastAsia" w:ascii="宋体" w:hAnsi="宋体" w:cs="宋体"/>
        <w:lang w:val="en-US" w:eastAsia="zh-CN"/>
      </w:rPr>
      <w:t xml:space="preserve">          </w:t>
    </w:r>
    <w:r>
      <w:rPr>
        <w:rFonts w:hint="eastAsia" w:ascii="宋体" w:hAnsi="宋体" w:eastAsia="宋体" w:cs="宋体"/>
        <w:lang w:val="en-US" w:eastAsia="zh-CN"/>
      </w:rPr>
      <w:t xml:space="preserve">  </w:t>
    </w:r>
    <w:r>
      <w:rPr>
        <w:rFonts w:hint="eastAsia" w:ascii="宋体" w:hAnsi="宋体" w:eastAsia="宋体" w:cs="宋体"/>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widowControl w:val="0"/>
      <w:pBdr>
        <w:top w:val="none" w:color="auto" w:sz="0" w:space="1"/>
        <w:left w:val="none" w:color="auto" w:sz="0" w:space="4"/>
        <w:bottom w:val="none" w:color="auto" w:sz="0" w:space="1"/>
        <w:right w:val="none" w:color="auto" w:sz="0" w:space="4"/>
        <w:between w:val="none" w:color="auto" w:sz="0" w:space="0"/>
      </w:pBdr>
      <w:snapToGrid w:val="0"/>
      <w:ind w:left="1084" w:leftChars="0" w:hanging="1084" w:hangingChars="600"/>
      <w:jc w:val="left"/>
      <w:rPr>
        <w:rFonts w:hint="default" w:eastAsia="宋体"/>
        <w:b/>
        <w:bCs/>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1080" w:hanging="1080" w:hangingChars="600"/>
      <w:jc w:val="left"/>
      <w:rPr>
        <w:rFonts w:hint="eastAsia" w:ascii="宋体" w:hAnsi="宋体" w:eastAsia="宋体" w:cs="宋体"/>
      </w:rPr>
    </w:pPr>
    <w:r>
      <w:rPr>
        <w:rFonts w:hint="eastAsia" w:ascii="宋体" w:hAnsi="宋体" w:cs="宋体"/>
        <w:lang w:eastAsia="zh-CN"/>
      </w:rPr>
      <w:t>2023年度全国卫生专业技术资格考试暨护士执业资格考试西安考点考务服务项目（三次）</w:t>
    </w:r>
    <w:r>
      <w:rPr>
        <w:rFonts w:hint="eastAsia" w:ascii="宋体" w:hAnsi="宋体" w:cs="宋体"/>
        <w:lang w:val="en-US" w:eastAsia="zh-CN"/>
      </w:rPr>
      <w:t xml:space="preserve">            </w:t>
    </w:r>
    <w:r>
      <w:rPr>
        <w:rFonts w:hint="eastAsia" w:ascii="宋体" w:hAnsi="宋体" w:eastAsia="宋体" w:cs="宋体"/>
      </w:rPr>
      <w:t>招标文件</w:t>
    </w:r>
  </w:p>
  <w:p>
    <w:pPr>
      <w:pStyle w:val="28"/>
      <w:widowControl w:val="0"/>
      <w:pBdr>
        <w:top w:val="none" w:color="auto" w:sz="0" w:space="1"/>
        <w:left w:val="none" w:color="auto" w:sz="0" w:space="4"/>
        <w:bottom w:val="none" w:color="auto" w:sz="0" w:space="1"/>
        <w:right w:val="none" w:color="auto" w:sz="0" w:space="4"/>
        <w:between w:val="none" w:color="auto" w:sz="0" w:space="0"/>
      </w:pBdr>
      <w:snapToGrid w:val="0"/>
      <w:ind w:left="1084" w:leftChars="0" w:hanging="1084" w:hangingChars="600"/>
      <w:jc w:val="left"/>
      <w:rPr>
        <w:rFonts w:hint="default" w:eastAsia="宋体"/>
        <w:b/>
        <w:bCs/>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1080" w:hanging="1080" w:hangingChars="600"/>
      <w:jc w:val="left"/>
      <w:rPr>
        <w:rFonts w:hint="eastAsia" w:ascii="宋体" w:hAnsi="宋体" w:eastAsia="宋体" w:cs="宋体"/>
      </w:rPr>
    </w:pPr>
    <w:r>
      <w:rPr>
        <w:rFonts w:hint="eastAsia" w:ascii="宋体" w:hAnsi="宋体" w:cs="宋体"/>
        <w:lang w:eastAsia="zh-CN"/>
      </w:rPr>
      <w:t>2023年度全国卫生专业技术资格考试暨护士执业资格考试西安考点考务服务项目（三次）</w:t>
    </w:r>
    <w:r>
      <w:rPr>
        <w:rFonts w:hint="eastAsia" w:ascii="宋体" w:hAnsi="宋体" w:cs="宋体"/>
        <w:lang w:val="en-US" w:eastAsia="zh-CN"/>
      </w:rPr>
      <w:t xml:space="preserve">               </w:t>
    </w:r>
    <w:r>
      <w:rPr>
        <w:rFonts w:hint="eastAsia" w:ascii="宋体" w:hAnsi="宋体" w:eastAsia="宋体" w:cs="宋体"/>
        <w:lang w:val="en-US" w:eastAsia="zh-CN"/>
      </w:rPr>
      <w:t xml:space="preserve">  </w:t>
    </w:r>
    <w:r>
      <w:rPr>
        <w:rFonts w:hint="eastAsia" w:ascii="宋体" w:hAnsi="宋体" w:eastAsia="宋体" w:cs="宋体"/>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1080" w:hanging="1080" w:hangingChars="600"/>
      <w:jc w:val="left"/>
      <w:rPr>
        <w:rFonts w:hint="eastAsia" w:ascii="宋体" w:hAnsi="宋体" w:eastAsia="宋体" w:cs="宋体"/>
      </w:rPr>
    </w:pPr>
    <w:r>
      <w:rPr>
        <w:rFonts w:hint="eastAsia" w:ascii="宋体" w:hAnsi="宋体" w:cs="宋体"/>
        <w:lang w:eastAsia="zh-CN"/>
      </w:rPr>
      <w:t>2023年度全国卫生专业技术资格考试暨护士执业资格考试西安考点考务服务项目（三次）</w:t>
    </w:r>
    <w:r>
      <w:rPr>
        <w:rFonts w:hint="eastAsia" w:ascii="宋体" w:hAnsi="宋体" w:cs="宋体"/>
        <w:lang w:val="en-US" w:eastAsia="zh-CN"/>
      </w:rPr>
      <w:t xml:space="preserve">                 </w:t>
    </w:r>
    <w:r>
      <w:rPr>
        <w:rFonts w:hint="eastAsia" w:ascii="宋体" w:hAnsi="宋体" w:eastAsia="宋体" w:cs="宋体"/>
      </w:rPr>
      <w:t>招标文件</w:t>
    </w:r>
  </w:p>
  <w:p>
    <w:pPr>
      <w:pStyle w:val="28"/>
      <w:widowControl w:val="0"/>
      <w:pBdr>
        <w:top w:val="none" w:color="auto" w:sz="0" w:space="1"/>
        <w:left w:val="none" w:color="auto" w:sz="0" w:space="4"/>
        <w:bottom w:val="none" w:color="auto" w:sz="0" w:space="1"/>
        <w:right w:val="none" w:color="auto" w:sz="0" w:space="4"/>
        <w:between w:val="none" w:color="auto" w:sz="0" w:space="0"/>
      </w:pBdr>
      <w:snapToGrid w:val="0"/>
      <w:ind w:left="1084" w:leftChars="0" w:hanging="1084" w:hangingChars="600"/>
      <w:jc w:val="left"/>
      <w:rPr>
        <w:rFonts w:hint="default" w:eastAsia="宋体"/>
        <w:b/>
        <w:bCs/>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483E0"/>
    <w:multiLevelType w:val="singleLevel"/>
    <w:tmpl w:val="88F483E0"/>
    <w:lvl w:ilvl="0" w:tentative="0">
      <w:start w:val="1"/>
      <w:numFmt w:val="decimal"/>
      <w:suff w:val="nothing"/>
      <w:lvlText w:val="%1、"/>
      <w:lvlJc w:val="left"/>
    </w:lvl>
  </w:abstractNum>
  <w:abstractNum w:abstractNumId="1">
    <w:nsid w:val="D8BE74EF"/>
    <w:multiLevelType w:val="singleLevel"/>
    <w:tmpl w:val="D8BE74EF"/>
    <w:lvl w:ilvl="0" w:tentative="0">
      <w:start w:val="4"/>
      <w:numFmt w:val="chineseCounting"/>
      <w:suff w:val="space"/>
      <w:lvlText w:val="第%1部分"/>
      <w:lvlJc w:val="left"/>
      <w:rPr>
        <w:rFonts w:hint="eastAsia"/>
      </w:rPr>
    </w:lvl>
  </w:abstractNum>
  <w:abstractNum w:abstractNumId="2">
    <w:nsid w:val="DA8563C1"/>
    <w:multiLevelType w:val="singleLevel"/>
    <w:tmpl w:val="DA8563C1"/>
    <w:lvl w:ilvl="0" w:tentative="0">
      <w:start w:val="4"/>
      <w:numFmt w:val="decimal"/>
      <w:suff w:val="nothing"/>
      <w:lvlText w:val="%1．"/>
      <w:lvlJc w:val="left"/>
    </w:lvl>
  </w:abstractNum>
  <w:abstractNum w:abstractNumId="3">
    <w:nsid w:val="04125DC2"/>
    <w:multiLevelType w:val="singleLevel"/>
    <w:tmpl w:val="04125DC2"/>
    <w:lvl w:ilvl="0" w:tentative="0">
      <w:start w:val="1"/>
      <w:numFmt w:val="decimal"/>
      <w:suff w:val="nothing"/>
      <w:lvlText w:val="（%1）"/>
      <w:lvlJc w:val="left"/>
    </w:lvl>
  </w:abstractNum>
  <w:abstractNum w:abstractNumId="4">
    <w:nsid w:val="6A26F07A"/>
    <w:multiLevelType w:val="singleLevel"/>
    <w:tmpl w:val="6A26F07A"/>
    <w:lvl w:ilvl="0" w:tentative="0">
      <w:start w:val="2"/>
      <w:numFmt w:val="chineseCounting"/>
      <w:suff w:val="space"/>
      <w:lvlText w:val="第%1部分"/>
      <w:lvlJc w:val="left"/>
      <w:rPr>
        <w:rFonts w:hint="eastAsia"/>
      </w:rPr>
    </w:lvl>
  </w:abstractNum>
  <w:abstractNum w:abstractNumId="5">
    <w:nsid w:val="7ED0A0DE"/>
    <w:multiLevelType w:val="singleLevel"/>
    <w:tmpl w:val="7ED0A0DE"/>
    <w:lvl w:ilvl="0" w:tentative="0">
      <w:start w:val="1"/>
      <w:numFmt w:val="decimal"/>
      <w:suff w:val="nothing"/>
      <w:lvlText w:val="%1、"/>
      <w:lvlJc w:val="left"/>
      <w:pPr>
        <w:ind w:left="60"/>
      </w:p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TJmNjc3MGQ5OWQ5OGYzNGIzMzVhZjg5Y2FkOTEifQ=="/>
  </w:docVars>
  <w:rsids>
    <w:rsidRoot w:val="00172A27"/>
    <w:rsid w:val="00000AB9"/>
    <w:rsid w:val="0000790B"/>
    <w:rsid w:val="00015F6D"/>
    <w:rsid w:val="00024CFC"/>
    <w:rsid w:val="0005022A"/>
    <w:rsid w:val="00052D48"/>
    <w:rsid w:val="0005361D"/>
    <w:rsid w:val="0005494B"/>
    <w:rsid w:val="000643DD"/>
    <w:rsid w:val="000669CC"/>
    <w:rsid w:val="00081DE7"/>
    <w:rsid w:val="00083151"/>
    <w:rsid w:val="00092CC7"/>
    <w:rsid w:val="00096A2E"/>
    <w:rsid w:val="000A21B2"/>
    <w:rsid w:val="000A3B30"/>
    <w:rsid w:val="000A5A77"/>
    <w:rsid w:val="000A7791"/>
    <w:rsid w:val="000B60B0"/>
    <w:rsid w:val="000B6C08"/>
    <w:rsid w:val="000D12F3"/>
    <w:rsid w:val="000D26EF"/>
    <w:rsid w:val="000E0CCE"/>
    <w:rsid w:val="000E16D0"/>
    <w:rsid w:val="000E41CD"/>
    <w:rsid w:val="000F43B4"/>
    <w:rsid w:val="0010228B"/>
    <w:rsid w:val="00105A4D"/>
    <w:rsid w:val="00113624"/>
    <w:rsid w:val="00115047"/>
    <w:rsid w:val="001172AA"/>
    <w:rsid w:val="00117B3E"/>
    <w:rsid w:val="00123FC2"/>
    <w:rsid w:val="00125614"/>
    <w:rsid w:val="00126697"/>
    <w:rsid w:val="00132499"/>
    <w:rsid w:val="00134B67"/>
    <w:rsid w:val="001459B5"/>
    <w:rsid w:val="001469DB"/>
    <w:rsid w:val="0015026D"/>
    <w:rsid w:val="00151FD0"/>
    <w:rsid w:val="0016410A"/>
    <w:rsid w:val="00167335"/>
    <w:rsid w:val="00172A27"/>
    <w:rsid w:val="001746D0"/>
    <w:rsid w:val="0017540D"/>
    <w:rsid w:val="001810E7"/>
    <w:rsid w:val="00190C1D"/>
    <w:rsid w:val="001A0474"/>
    <w:rsid w:val="001A1902"/>
    <w:rsid w:val="001B34FC"/>
    <w:rsid w:val="001B60A0"/>
    <w:rsid w:val="001C4722"/>
    <w:rsid w:val="001D0270"/>
    <w:rsid w:val="001E3092"/>
    <w:rsid w:val="001E3D4D"/>
    <w:rsid w:val="001F3600"/>
    <w:rsid w:val="001F4BA7"/>
    <w:rsid w:val="001F57D7"/>
    <w:rsid w:val="002001C5"/>
    <w:rsid w:val="00200B1D"/>
    <w:rsid w:val="002044CF"/>
    <w:rsid w:val="002107FD"/>
    <w:rsid w:val="002113F6"/>
    <w:rsid w:val="00213804"/>
    <w:rsid w:val="00213D39"/>
    <w:rsid w:val="00214C9C"/>
    <w:rsid w:val="00223AC9"/>
    <w:rsid w:val="00224111"/>
    <w:rsid w:val="0023068E"/>
    <w:rsid w:val="00236A72"/>
    <w:rsid w:val="00236CAC"/>
    <w:rsid w:val="00243258"/>
    <w:rsid w:val="00244998"/>
    <w:rsid w:val="002539D8"/>
    <w:rsid w:val="00256B64"/>
    <w:rsid w:val="00256F65"/>
    <w:rsid w:val="00274E8E"/>
    <w:rsid w:val="0029406F"/>
    <w:rsid w:val="002A1E7A"/>
    <w:rsid w:val="002B035C"/>
    <w:rsid w:val="002B46BE"/>
    <w:rsid w:val="002C2E53"/>
    <w:rsid w:val="002C37E3"/>
    <w:rsid w:val="002C4111"/>
    <w:rsid w:val="002C49B9"/>
    <w:rsid w:val="002C560F"/>
    <w:rsid w:val="002C6E11"/>
    <w:rsid w:val="002D17F4"/>
    <w:rsid w:val="002D2057"/>
    <w:rsid w:val="002D5094"/>
    <w:rsid w:val="002E080C"/>
    <w:rsid w:val="002E619F"/>
    <w:rsid w:val="002E6E08"/>
    <w:rsid w:val="002F0634"/>
    <w:rsid w:val="002F16D3"/>
    <w:rsid w:val="002F2733"/>
    <w:rsid w:val="003020D0"/>
    <w:rsid w:val="003025D1"/>
    <w:rsid w:val="00310DED"/>
    <w:rsid w:val="00313B7B"/>
    <w:rsid w:val="00316DCB"/>
    <w:rsid w:val="00317C0F"/>
    <w:rsid w:val="003237C4"/>
    <w:rsid w:val="00323909"/>
    <w:rsid w:val="0033062F"/>
    <w:rsid w:val="00340A64"/>
    <w:rsid w:val="003411B9"/>
    <w:rsid w:val="00341545"/>
    <w:rsid w:val="00341C25"/>
    <w:rsid w:val="00342E8C"/>
    <w:rsid w:val="00343FF7"/>
    <w:rsid w:val="00350BA2"/>
    <w:rsid w:val="00371A55"/>
    <w:rsid w:val="00372E68"/>
    <w:rsid w:val="00373AAB"/>
    <w:rsid w:val="00381423"/>
    <w:rsid w:val="003833CA"/>
    <w:rsid w:val="0039061B"/>
    <w:rsid w:val="003A2544"/>
    <w:rsid w:val="003B0CBE"/>
    <w:rsid w:val="003C0F5E"/>
    <w:rsid w:val="003C7BD7"/>
    <w:rsid w:val="003D0C48"/>
    <w:rsid w:val="003D19B3"/>
    <w:rsid w:val="003E044B"/>
    <w:rsid w:val="003E10C4"/>
    <w:rsid w:val="003F3AC7"/>
    <w:rsid w:val="003F6390"/>
    <w:rsid w:val="00403BB1"/>
    <w:rsid w:val="004056CF"/>
    <w:rsid w:val="00416778"/>
    <w:rsid w:val="00422BAB"/>
    <w:rsid w:val="00424437"/>
    <w:rsid w:val="00424937"/>
    <w:rsid w:val="004250BE"/>
    <w:rsid w:val="004271B5"/>
    <w:rsid w:val="00454479"/>
    <w:rsid w:val="004725A4"/>
    <w:rsid w:val="00474547"/>
    <w:rsid w:val="00483ACE"/>
    <w:rsid w:val="00491DE8"/>
    <w:rsid w:val="004A08B5"/>
    <w:rsid w:val="004A2905"/>
    <w:rsid w:val="004A2BE7"/>
    <w:rsid w:val="004B1C11"/>
    <w:rsid w:val="004B5AC5"/>
    <w:rsid w:val="004C4BD6"/>
    <w:rsid w:val="004D0F8B"/>
    <w:rsid w:val="004D1BA3"/>
    <w:rsid w:val="004D3A3E"/>
    <w:rsid w:val="004E17AC"/>
    <w:rsid w:val="004E29A3"/>
    <w:rsid w:val="004F4FE6"/>
    <w:rsid w:val="004F6BF9"/>
    <w:rsid w:val="00500E42"/>
    <w:rsid w:val="005057B0"/>
    <w:rsid w:val="005106D6"/>
    <w:rsid w:val="005130E9"/>
    <w:rsid w:val="00515B38"/>
    <w:rsid w:val="00516927"/>
    <w:rsid w:val="00522F2D"/>
    <w:rsid w:val="0052450C"/>
    <w:rsid w:val="00527CAA"/>
    <w:rsid w:val="00532E85"/>
    <w:rsid w:val="00533233"/>
    <w:rsid w:val="00533EE3"/>
    <w:rsid w:val="00541E33"/>
    <w:rsid w:val="00560151"/>
    <w:rsid w:val="005740AA"/>
    <w:rsid w:val="00577204"/>
    <w:rsid w:val="00581D1A"/>
    <w:rsid w:val="0058559E"/>
    <w:rsid w:val="00586714"/>
    <w:rsid w:val="00587E2D"/>
    <w:rsid w:val="0059619F"/>
    <w:rsid w:val="005B10D3"/>
    <w:rsid w:val="005B26EA"/>
    <w:rsid w:val="005B6B04"/>
    <w:rsid w:val="005C3F14"/>
    <w:rsid w:val="005C49A5"/>
    <w:rsid w:val="005D2CF9"/>
    <w:rsid w:val="005D6DE9"/>
    <w:rsid w:val="005E3FDB"/>
    <w:rsid w:val="005E7889"/>
    <w:rsid w:val="00601451"/>
    <w:rsid w:val="00603B18"/>
    <w:rsid w:val="00603C55"/>
    <w:rsid w:val="00604D9F"/>
    <w:rsid w:val="00605C4C"/>
    <w:rsid w:val="00613C81"/>
    <w:rsid w:val="006168DC"/>
    <w:rsid w:val="006241A5"/>
    <w:rsid w:val="00626C91"/>
    <w:rsid w:val="00627BC6"/>
    <w:rsid w:val="00641E40"/>
    <w:rsid w:val="00646D67"/>
    <w:rsid w:val="006611F2"/>
    <w:rsid w:val="0066220A"/>
    <w:rsid w:val="00662257"/>
    <w:rsid w:val="006632E6"/>
    <w:rsid w:val="006659FF"/>
    <w:rsid w:val="00681386"/>
    <w:rsid w:val="00683E43"/>
    <w:rsid w:val="00683E49"/>
    <w:rsid w:val="00696CA6"/>
    <w:rsid w:val="006977E1"/>
    <w:rsid w:val="006A6160"/>
    <w:rsid w:val="006B0062"/>
    <w:rsid w:val="006C49FD"/>
    <w:rsid w:val="006D0490"/>
    <w:rsid w:val="006D0EEF"/>
    <w:rsid w:val="006E1A28"/>
    <w:rsid w:val="006E3BB3"/>
    <w:rsid w:val="006E5C74"/>
    <w:rsid w:val="006F4CD6"/>
    <w:rsid w:val="007028D4"/>
    <w:rsid w:val="007066BF"/>
    <w:rsid w:val="007068CF"/>
    <w:rsid w:val="0072025B"/>
    <w:rsid w:val="007229CE"/>
    <w:rsid w:val="00731B31"/>
    <w:rsid w:val="00746AAD"/>
    <w:rsid w:val="0074753A"/>
    <w:rsid w:val="007549A8"/>
    <w:rsid w:val="007611CC"/>
    <w:rsid w:val="007758F3"/>
    <w:rsid w:val="0078074D"/>
    <w:rsid w:val="00792B1C"/>
    <w:rsid w:val="00793D22"/>
    <w:rsid w:val="007A3925"/>
    <w:rsid w:val="007B1123"/>
    <w:rsid w:val="007B5DBD"/>
    <w:rsid w:val="007C0AF5"/>
    <w:rsid w:val="007C1CE9"/>
    <w:rsid w:val="007D1911"/>
    <w:rsid w:val="007D35AE"/>
    <w:rsid w:val="007D480A"/>
    <w:rsid w:val="007D5AD9"/>
    <w:rsid w:val="007E486B"/>
    <w:rsid w:val="007F7A8C"/>
    <w:rsid w:val="00801291"/>
    <w:rsid w:val="00811641"/>
    <w:rsid w:val="00824FF6"/>
    <w:rsid w:val="00826FFF"/>
    <w:rsid w:val="00836BC2"/>
    <w:rsid w:val="008471CD"/>
    <w:rsid w:val="008500FD"/>
    <w:rsid w:val="008508E8"/>
    <w:rsid w:val="00857452"/>
    <w:rsid w:val="0086066A"/>
    <w:rsid w:val="0086071E"/>
    <w:rsid w:val="00860CBE"/>
    <w:rsid w:val="0086196E"/>
    <w:rsid w:val="008641DB"/>
    <w:rsid w:val="0086713E"/>
    <w:rsid w:val="00867984"/>
    <w:rsid w:val="00870C1F"/>
    <w:rsid w:val="00890FD2"/>
    <w:rsid w:val="00892843"/>
    <w:rsid w:val="00894F13"/>
    <w:rsid w:val="008A0B2E"/>
    <w:rsid w:val="008B1D8B"/>
    <w:rsid w:val="008B465C"/>
    <w:rsid w:val="008B6989"/>
    <w:rsid w:val="008C2C57"/>
    <w:rsid w:val="008D3254"/>
    <w:rsid w:val="008F3B97"/>
    <w:rsid w:val="0090306A"/>
    <w:rsid w:val="00912851"/>
    <w:rsid w:val="009129E0"/>
    <w:rsid w:val="00916716"/>
    <w:rsid w:val="00920D90"/>
    <w:rsid w:val="00924301"/>
    <w:rsid w:val="0092561B"/>
    <w:rsid w:val="00926A78"/>
    <w:rsid w:val="00931F76"/>
    <w:rsid w:val="0093316E"/>
    <w:rsid w:val="00942774"/>
    <w:rsid w:val="00946A60"/>
    <w:rsid w:val="00947D24"/>
    <w:rsid w:val="0095434D"/>
    <w:rsid w:val="00955A6F"/>
    <w:rsid w:val="009658AE"/>
    <w:rsid w:val="00967928"/>
    <w:rsid w:val="00975F25"/>
    <w:rsid w:val="0098290B"/>
    <w:rsid w:val="00983E78"/>
    <w:rsid w:val="00984BAD"/>
    <w:rsid w:val="00984FC5"/>
    <w:rsid w:val="009903F0"/>
    <w:rsid w:val="00990FA3"/>
    <w:rsid w:val="00991916"/>
    <w:rsid w:val="00996818"/>
    <w:rsid w:val="009A10A9"/>
    <w:rsid w:val="009A412B"/>
    <w:rsid w:val="009A5D90"/>
    <w:rsid w:val="009B37CF"/>
    <w:rsid w:val="009B4772"/>
    <w:rsid w:val="009B5605"/>
    <w:rsid w:val="009B7776"/>
    <w:rsid w:val="009B7AF9"/>
    <w:rsid w:val="009C0816"/>
    <w:rsid w:val="009C2FD0"/>
    <w:rsid w:val="009C595A"/>
    <w:rsid w:val="009F58F1"/>
    <w:rsid w:val="00A044D6"/>
    <w:rsid w:val="00A051BB"/>
    <w:rsid w:val="00A16EAA"/>
    <w:rsid w:val="00A17E78"/>
    <w:rsid w:val="00A30264"/>
    <w:rsid w:val="00A33F8C"/>
    <w:rsid w:val="00A3713E"/>
    <w:rsid w:val="00A4544D"/>
    <w:rsid w:val="00A45E37"/>
    <w:rsid w:val="00A46065"/>
    <w:rsid w:val="00A466D9"/>
    <w:rsid w:val="00A56484"/>
    <w:rsid w:val="00A60889"/>
    <w:rsid w:val="00A633FF"/>
    <w:rsid w:val="00A6540C"/>
    <w:rsid w:val="00A71605"/>
    <w:rsid w:val="00A85F15"/>
    <w:rsid w:val="00A86730"/>
    <w:rsid w:val="00AA37A5"/>
    <w:rsid w:val="00AA6EAC"/>
    <w:rsid w:val="00AB4CBB"/>
    <w:rsid w:val="00AC4AF0"/>
    <w:rsid w:val="00AD3A7D"/>
    <w:rsid w:val="00AD40CD"/>
    <w:rsid w:val="00AE12A6"/>
    <w:rsid w:val="00AE7FFD"/>
    <w:rsid w:val="00AF10D4"/>
    <w:rsid w:val="00B00335"/>
    <w:rsid w:val="00B17CCA"/>
    <w:rsid w:val="00B20708"/>
    <w:rsid w:val="00B20A3B"/>
    <w:rsid w:val="00B22737"/>
    <w:rsid w:val="00B41F96"/>
    <w:rsid w:val="00B42397"/>
    <w:rsid w:val="00B45034"/>
    <w:rsid w:val="00B6161B"/>
    <w:rsid w:val="00B6175C"/>
    <w:rsid w:val="00B650D2"/>
    <w:rsid w:val="00B71689"/>
    <w:rsid w:val="00B71823"/>
    <w:rsid w:val="00B76036"/>
    <w:rsid w:val="00B858FA"/>
    <w:rsid w:val="00B8670D"/>
    <w:rsid w:val="00B86AB3"/>
    <w:rsid w:val="00B9017D"/>
    <w:rsid w:val="00B9279A"/>
    <w:rsid w:val="00B97C1C"/>
    <w:rsid w:val="00BA3C32"/>
    <w:rsid w:val="00BA52D9"/>
    <w:rsid w:val="00BB3114"/>
    <w:rsid w:val="00BB3DC4"/>
    <w:rsid w:val="00BB419E"/>
    <w:rsid w:val="00BB4B46"/>
    <w:rsid w:val="00BB51F3"/>
    <w:rsid w:val="00BC05FC"/>
    <w:rsid w:val="00BC38DF"/>
    <w:rsid w:val="00BC6222"/>
    <w:rsid w:val="00BE0653"/>
    <w:rsid w:val="00BE5294"/>
    <w:rsid w:val="00BE662D"/>
    <w:rsid w:val="00BE66E6"/>
    <w:rsid w:val="00C006E5"/>
    <w:rsid w:val="00C00EFD"/>
    <w:rsid w:val="00C0260F"/>
    <w:rsid w:val="00C02D12"/>
    <w:rsid w:val="00C04586"/>
    <w:rsid w:val="00C07F13"/>
    <w:rsid w:val="00C269B5"/>
    <w:rsid w:val="00C44502"/>
    <w:rsid w:val="00C45C34"/>
    <w:rsid w:val="00C46789"/>
    <w:rsid w:val="00C473C9"/>
    <w:rsid w:val="00C4773B"/>
    <w:rsid w:val="00C61853"/>
    <w:rsid w:val="00C63EF7"/>
    <w:rsid w:val="00C671B7"/>
    <w:rsid w:val="00C70384"/>
    <w:rsid w:val="00C76F70"/>
    <w:rsid w:val="00C86FF4"/>
    <w:rsid w:val="00C90376"/>
    <w:rsid w:val="00C95F3C"/>
    <w:rsid w:val="00C97CD6"/>
    <w:rsid w:val="00CA5221"/>
    <w:rsid w:val="00CA6016"/>
    <w:rsid w:val="00CA66B1"/>
    <w:rsid w:val="00CB0413"/>
    <w:rsid w:val="00CB3A34"/>
    <w:rsid w:val="00CB4C4F"/>
    <w:rsid w:val="00CC4A04"/>
    <w:rsid w:val="00CD4B66"/>
    <w:rsid w:val="00CD6FFB"/>
    <w:rsid w:val="00CE0249"/>
    <w:rsid w:val="00CE1919"/>
    <w:rsid w:val="00CE2073"/>
    <w:rsid w:val="00CF6A9C"/>
    <w:rsid w:val="00D12C66"/>
    <w:rsid w:val="00D1325D"/>
    <w:rsid w:val="00D210F6"/>
    <w:rsid w:val="00D22EE7"/>
    <w:rsid w:val="00D2382B"/>
    <w:rsid w:val="00D25636"/>
    <w:rsid w:val="00D25C47"/>
    <w:rsid w:val="00D30512"/>
    <w:rsid w:val="00D33470"/>
    <w:rsid w:val="00D34A87"/>
    <w:rsid w:val="00D353D0"/>
    <w:rsid w:val="00D565D3"/>
    <w:rsid w:val="00D63A72"/>
    <w:rsid w:val="00D660EB"/>
    <w:rsid w:val="00D66553"/>
    <w:rsid w:val="00D67DD9"/>
    <w:rsid w:val="00D710F1"/>
    <w:rsid w:val="00D71E0A"/>
    <w:rsid w:val="00D74EB0"/>
    <w:rsid w:val="00D76974"/>
    <w:rsid w:val="00D8198F"/>
    <w:rsid w:val="00D84002"/>
    <w:rsid w:val="00D86C51"/>
    <w:rsid w:val="00D9764C"/>
    <w:rsid w:val="00DA4A3F"/>
    <w:rsid w:val="00DB0721"/>
    <w:rsid w:val="00DB1938"/>
    <w:rsid w:val="00DB3462"/>
    <w:rsid w:val="00DB7DF6"/>
    <w:rsid w:val="00DD0994"/>
    <w:rsid w:val="00DD1A8F"/>
    <w:rsid w:val="00DD1B12"/>
    <w:rsid w:val="00DD57FD"/>
    <w:rsid w:val="00DE7A17"/>
    <w:rsid w:val="00DF0855"/>
    <w:rsid w:val="00DF304A"/>
    <w:rsid w:val="00E12E33"/>
    <w:rsid w:val="00E179F0"/>
    <w:rsid w:val="00E20BF0"/>
    <w:rsid w:val="00E41802"/>
    <w:rsid w:val="00E43EB2"/>
    <w:rsid w:val="00E4685A"/>
    <w:rsid w:val="00E5078A"/>
    <w:rsid w:val="00E50B2C"/>
    <w:rsid w:val="00E54915"/>
    <w:rsid w:val="00E54F6E"/>
    <w:rsid w:val="00E55BB0"/>
    <w:rsid w:val="00E56204"/>
    <w:rsid w:val="00E56BA3"/>
    <w:rsid w:val="00E710AC"/>
    <w:rsid w:val="00E71AB7"/>
    <w:rsid w:val="00E72EAB"/>
    <w:rsid w:val="00E730C5"/>
    <w:rsid w:val="00E75706"/>
    <w:rsid w:val="00E8092E"/>
    <w:rsid w:val="00E81BB8"/>
    <w:rsid w:val="00E95312"/>
    <w:rsid w:val="00E96E59"/>
    <w:rsid w:val="00EA50F9"/>
    <w:rsid w:val="00EA58F8"/>
    <w:rsid w:val="00EB1F68"/>
    <w:rsid w:val="00EB34CB"/>
    <w:rsid w:val="00EB790C"/>
    <w:rsid w:val="00EC0FD6"/>
    <w:rsid w:val="00ED3C52"/>
    <w:rsid w:val="00EE1D41"/>
    <w:rsid w:val="00EE6933"/>
    <w:rsid w:val="00EF0383"/>
    <w:rsid w:val="00EF380D"/>
    <w:rsid w:val="00F0205C"/>
    <w:rsid w:val="00F12F6A"/>
    <w:rsid w:val="00F27443"/>
    <w:rsid w:val="00F3116D"/>
    <w:rsid w:val="00F34E4E"/>
    <w:rsid w:val="00F368A7"/>
    <w:rsid w:val="00F441D7"/>
    <w:rsid w:val="00F6704D"/>
    <w:rsid w:val="00F6757F"/>
    <w:rsid w:val="00F77C45"/>
    <w:rsid w:val="00F80B58"/>
    <w:rsid w:val="00F80BAE"/>
    <w:rsid w:val="00F83F5C"/>
    <w:rsid w:val="00F87ACE"/>
    <w:rsid w:val="00F92437"/>
    <w:rsid w:val="00F937DB"/>
    <w:rsid w:val="00F9401B"/>
    <w:rsid w:val="00F94D69"/>
    <w:rsid w:val="00F979FE"/>
    <w:rsid w:val="00FA1193"/>
    <w:rsid w:val="00FA39E9"/>
    <w:rsid w:val="00FA7CB7"/>
    <w:rsid w:val="00FC165B"/>
    <w:rsid w:val="00FD11D9"/>
    <w:rsid w:val="00FD6D13"/>
    <w:rsid w:val="00FE30DA"/>
    <w:rsid w:val="00FF042C"/>
    <w:rsid w:val="00FF3377"/>
    <w:rsid w:val="00FF7022"/>
    <w:rsid w:val="010E299D"/>
    <w:rsid w:val="01592469"/>
    <w:rsid w:val="015C5DB1"/>
    <w:rsid w:val="0170404F"/>
    <w:rsid w:val="01735F5A"/>
    <w:rsid w:val="017E0007"/>
    <w:rsid w:val="01AF4A4D"/>
    <w:rsid w:val="01EE5456"/>
    <w:rsid w:val="02377BE6"/>
    <w:rsid w:val="029060AA"/>
    <w:rsid w:val="02AE2C16"/>
    <w:rsid w:val="02B94956"/>
    <w:rsid w:val="02C441C6"/>
    <w:rsid w:val="02F53A76"/>
    <w:rsid w:val="032669E8"/>
    <w:rsid w:val="03521F01"/>
    <w:rsid w:val="036B48D4"/>
    <w:rsid w:val="03A57FE5"/>
    <w:rsid w:val="03C330D9"/>
    <w:rsid w:val="03E071B0"/>
    <w:rsid w:val="03F359AA"/>
    <w:rsid w:val="041E0A86"/>
    <w:rsid w:val="044358FC"/>
    <w:rsid w:val="044A7BA3"/>
    <w:rsid w:val="04623A76"/>
    <w:rsid w:val="0472010B"/>
    <w:rsid w:val="0493773A"/>
    <w:rsid w:val="04A64940"/>
    <w:rsid w:val="04A701D9"/>
    <w:rsid w:val="04E055EE"/>
    <w:rsid w:val="04E2054C"/>
    <w:rsid w:val="04E54B7A"/>
    <w:rsid w:val="04F52FD6"/>
    <w:rsid w:val="051666CB"/>
    <w:rsid w:val="051F7672"/>
    <w:rsid w:val="052F1D40"/>
    <w:rsid w:val="05424B35"/>
    <w:rsid w:val="056A7930"/>
    <w:rsid w:val="05D01845"/>
    <w:rsid w:val="05DF2D15"/>
    <w:rsid w:val="05EF3851"/>
    <w:rsid w:val="060B5303"/>
    <w:rsid w:val="063174BB"/>
    <w:rsid w:val="06322E0E"/>
    <w:rsid w:val="06340D6A"/>
    <w:rsid w:val="064B0C94"/>
    <w:rsid w:val="064F459E"/>
    <w:rsid w:val="065128C5"/>
    <w:rsid w:val="068D60ED"/>
    <w:rsid w:val="068E4538"/>
    <w:rsid w:val="06BC1351"/>
    <w:rsid w:val="07034156"/>
    <w:rsid w:val="070E13CD"/>
    <w:rsid w:val="07245249"/>
    <w:rsid w:val="073B1E38"/>
    <w:rsid w:val="073B457B"/>
    <w:rsid w:val="074C2E4B"/>
    <w:rsid w:val="074C4ADA"/>
    <w:rsid w:val="0752169F"/>
    <w:rsid w:val="07767AEB"/>
    <w:rsid w:val="077E43A6"/>
    <w:rsid w:val="07F1449F"/>
    <w:rsid w:val="07F20E7E"/>
    <w:rsid w:val="07FF153D"/>
    <w:rsid w:val="0819667B"/>
    <w:rsid w:val="08343F74"/>
    <w:rsid w:val="08414535"/>
    <w:rsid w:val="084614A8"/>
    <w:rsid w:val="0847542C"/>
    <w:rsid w:val="08480F6C"/>
    <w:rsid w:val="0855370F"/>
    <w:rsid w:val="089F71BD"/>
    <w:rsid w:val="08CD4F42"/>
    <w:rsid w:val="08F6322F"/>
    <w:rsid w:val="092263E9"/>
    <w:rsid w:val="097E13E3"/>
    <w:rsid w:val="0993732F"/>
    <w:rsid w:val="09B4426E"/>
    <w:rsid w:val="09C269E6"/>
    <w:rsid w:val="09F4528B"/>
    <w:rsid w:val="0A1A2968"/>
    <w:rsid w:val="0A2709FD"/>
    <w:rsid w:val="0A2C60A6"/>
    <w:rsid w:val="0A5B4178"/>
    <w:rsid w:val="0A9713EC"/>
    <w:rsid w:val="0AA43F77"/>
    <w:rsid w:val="0AA71863"/>
    <w:rsid w:val="0AA8538E"/>
    <w:rsid w:val="0AE147AE"/>
    <w:rsid w:val="0AF52007"/>
    <w:rsid w:val="0B1306DF"/>
    <w:rsid w:val="0B3E574F"/>
    <w:rsid w:val="0B570F57"/>
    <w:rsid w:val="0B5D5DF3"/>
    <w:rsid w:val="0B7219F2"/>
    <w:rsid w:val="0B7A659F"/>
    <w:rsid w:val="0BAE02F9"/>
    <w:rsid w:val="0BE15B4C"/>
    <w:rsid w:val="0BFA0CCC"/>
    <w:rsid w:val="0C2333AB"/>
    <w:rsid w:val="0C3118A4"/>
    <w:rsid w:val="0C3E338D"/>
    <w:rsid w:val="0C665E39"/>
    <w:rsid w:val="0C7B43D3"/>
    <w:rsid w:val="0C892282"/>
    <w:rsid w:val="0CBF6062"/>
    <w:rsid w:val="0D224920"/>
    <w:rsid w:val="0D5E00F6"/>
    <w:rsid w:val="0D72077A"/>
    <w:rsid w:val="0D7F229E"/>
    <w:rsid w:val="0DC91529"/>
    <w:rsid w:val="0E5666F6"/>
    <w:rsid w:val="0E572BD5"/>
    <w:rsid w:val="0E6333EC"/>
    <w:rsid w:val="0E751FD2"/>
    <w:rsid w:val="0E870C1F"/>
    <w:rsid w:val="0EC457FA"/>
    <w:rsid w:val="0EF32D02"/>
    <w:rsid w:val="0F065ABD"/>
    <w:rsid w:val="0F130755"/>
    <w:rsid w:val="0F3D604D"/>
    <w:rsid w:val="0F490772"/>
    <w:rsid w:val="0F75416F"/>
    <w:rsid w:val="0F8971C2"/>
    <w:rsid w:val="0FA626FD"/>
    <w:rsid w:val="0FC65D20"/>
    <w:rsid w:val="101215D4"/>
    <w:rsid w:val="10294501"/>
    <w:rsid w:val="102B5C62"/>
    <w:rsid w:val="104C6051"/>
    <w:rsid w:val="104E6E5E"/>
    <w:rsid w:val="10D03CF0"/>
    <w:rsid w:val="10DB12FA"/>
    <w:rsid w:val="10E77423"/>
    <w:rsid w:val="10F24784"/>
    <w:rsid w:val="1102018A"/>
    <w:rsid w:val="113207A3"/>
    <w:rsid w:val="1156321C"/>
    <w:rsid w:val="116F5F57"/>
    <w:rsid w:val="11AD1F5B"/>
    <w:rsid w:val="11E53EC2"/>
    <w:rsid w:val="120862FD"/>
    <w:rsid w:val="123A4FE9"/>
    <w:rsid w:val="124F0D00"/>
    <w:rsid w:val="126A72C0"/>
    <w:rsid w:val="129676BF"/>
    <w:rsid w:val="129D41F8"/>
    <w:rsid w:val="12A56E0D"/>
    <w:rsid w:val="12B971DF"/>
    <w:rsid w:val="12D55006"/>
    <w:rsid w:val="12F42C58"/>
    <w:rsid w:val="12F750DE"/>
    <w:rsid w:val="132B6DAE"/>
    <w:rsid w:val="13490117"/>
    <w:rsid w:val="1395331A"/>
    <w:rsid w:val="13A445CA"/>
    <w:rsid w:val="13BF7656"/>
    <w:rsid w:val="13CD2D65"/>
    <w:rsid w:val="13D06B5F"/>
    <w:rsid w:val="13D0731A"/>
    <w:rsid w:val="13ED5D3B"/>
    <w:rsid w:val="13F41A26"/>
    <w:rsid w:val="13FD5EED"/>
    <w:rsid w:val="14107E69"/>
    <w:rsid w:val="14921339"/>
    <w:rsid w:val="14930299"/>
    <w:rsid w:val="14C26A3F"/>
    <w:rsid w:val="151B08BC"/>
    <w:rsid w:val="152C693B"/>
    <w:rsid w:val="154530D7"/>
    <w:rsid w:val="1556200E"/>
    <w:rsid w:val="1556251E"/>
    <w:rsid w:val="157C6CB2"/>
    <w:rsid w:val="158C17BA"/>
    <w:rsid w:val="15A66E56"/>
    <w:rsid w:val="15BB652C"/>
    <w:rsid w:val="15D37588"/>
    <w:rsid w:val="15E52D11"/>
    <w:rsid w:val="161E5935"/>
    <w:rsid w:val="16206D76"/>
    <w:rsid w:val="167A2ED0"/>
    <w:rsid w:val="167B66AC"/>
    <w:rsid w:val="168E65B4"/>
    <w:rsid w:val="16931C70"/>
    <w:rsid w:val="16A012A2"/>
    <w:rsid w:val="16AA639C"/>
    <w:rsid w:val="16AE750E"/>
    <w:rsid w:val="16D4233C"/>
    <w:rsid w:val="16EF4002"/>
    <w:rsid w:val="16F851AF"/>
    <w:rsid w:val="172A2A51"/>
    <w:rsid w:val="172E0C33"/>
    <w:rsid w:val="174D4042"/>
    <w:rsid w:val="176C25AC"/>
    <w:rsid w:val="17774AC3"/>
    <w:rsid w:val="177956AE"/>
    <w:rsid w:val="17C52D22"/>
    <w:rsid w:val="17D91255"/>
    <w:rsid w:val="1809450B"/>
    <w:rsid w:val="18C127F2"/>
    <w:rsid w:val="18C63393"/>
    <w:rsid w:val="18C90CFF"/>
    <w:rsid w:val="18CD0B35"/>
    <w:rsid w:val="18DC3CCF"/>
    <w:rsid w:val="18E92892"/>
    <w:rsid w:val="19233FA3"/>
    <w:rsid w:val="192537CA"/>
    <w:rsid w:val="19431DA0"/>
    <w:rsid w:val="195919B3"/>
    <w:rsid w:val="19931AB5"/>
    <w:rsid w:val="199512F0"/>
    <w:rsid w:val="199B0385"/>
    <w:rsid w:val="19AA1AF9"/>
    <w:rsid w:val="19C71184"/>
    <w:rsid w:val="19EF3ACE"/>
    <w:rsid w:val="1A057D8D"/>
    <w:rsid w:val="1A347D4B"/>
    <w:rsid w:val="1A4953AC"/>
    <w:rsid w:val="1A557ED5"/>
    <w:rsid w:val="1A6858B9"/>
    <w:rsid w:val="1A6B7078"/>
    <w:rsid w:val="1A703379"/>
    <w:rsid w:val="1A742EDA"/>
    <w:rsid w:val="1A9173E7"/>
    <w:rsid w:val="1A9F0C83"/>
    <w:rsid w:val="1AA80D89"/>
    <w:rsid w:val="1AB31334"/>
    <w:rsid w:val="1AB776DE"/>
    <w:rsid w:val="1AC06A33"/>
    <w:rsid w:val="1AEE1EBE"/>
    <w:rsid w:val="1AF44669"/>
    <w:rsid w:val="1B1E1452"/>
    <w:rsid w:val="1B425A03"/>
    <w:rsid w:val="1B4D701A"/>
    <w:rsid w:val="1B9964FB"/>
    <w:rsid w:val="1BA444CC"/>
    <w:rsid w:val="1BB67025"/>
    <w:rsid w:val="1BCE2ACB"/>
    <w:rsid w:val="1BDA4AC1"/>
    <w:rsid w:val="1C022E6C"/>
    <w:rsid w:val="1C612596"/>
    <w:rsid w:val="1C7F3E27"/>
    <w:rsid w:val="1CC22675"/>
    <w:rsid w:val="1CE719CD"/>
    <w:rsid w:val="1CFC0F98"/>
    <w:rsid w:val="1DA578BD"/>
    <w:rsid w:val="1DEF27B9"/>
    <w:rsid w:val="1E5C4D35"/>
    <w:rsid w:val="1E753AA1"/>
    <w:rsid w:val="1E931FA3"/>
    <w:rsid w:val="1EAF5DEB"/>
    <w:rsid w:val="1EF15C9C"/>
    <w:rsid w:val="1EFB2FFA"/>
    <w:rsid w:val="1EFC7464"/>
    <w:rsid w:val="1F0F46C2"/>
    <w:rsid w:val="1F1668EB"/>
    <w:rsid w:val="1F316F2E"/>
    <w:rsid w:val="1F361C45"/>
    <w:rsid w:val="1F4446D0"/>
    <w:rsid w:val="1F504C1F"/>
    <w:rsid w:val="1F5C540C"/>
    <w:rsid w:val="1F7E7B2E"/>
    <w:rsid w:val="1FAE2C5F"/>
    <w:rsid w:val="1FE12BB5"/>
    <w:rsid w:val="1FEF691D"/>
    <w:rsid w:val="1FF22B62"/>
    <w:rsid w:val="1FF73CD4"/>
    <w:rsid w:val="20237A84"/>
    <w:rsid w:val="204A4D07"/>
    <w:rsid w:val="2096173F"/>
    <w:rsid w:val="209A5AF5"/>
    <w:rsid w:val="20AB7496"/>
    <w:rsid w:val="20AC3881"/>
    <w:rsid w:val="20AE0CF7"/>
    <w:rsid w:val="20BB51CB"/>
    <w:rsid w:val="20CD4719"/>
    <w:rsid w:val="20D85B49"/>
    <w:rsid w:val="20DB43AD"/>
    <w:rsid w:val="21183FF9"/>
    <w:rsid w:val="213B55BE"/>
    <w:rsid w:val="214967B1"/>
    <w:rsid w:val="216009F8"/>
    <w:rsid w:val="217D40E8"/>
    <w:rsid w:val="21DB5CC6"/>
    <w:rsid w:val="21DD24A2"/>
    <w:rsid w:val="21DD49CB"/>
    <w:rsid w:val="21EB63F2"/>
    <w:rsid w:val="220D3C83"/>
    <w:rsid w:val="221B64CB"/>
    <w:rsid w:val="2242260B"/>
    <w:rsid w:val="227E2B74"/>
    <w:rsid w:val="22837B3B"/>
    <w:rsid w:val="228B4025"/>
    <w:rsid w:val="228C104B"/>
    <w:rsid w:val="229E148E"/>
    <w:rsid w:val="22A243CB"/>
    <w:rsid w:val="22DC3680"/>
    <w:rsid w:val="22EF5318"/>
    <w:rsid w:val="2300653D"/>
    <w:rsid w:val="23162F0E"/>
    <w:rsid w:val="23394CB0"/>
    <w:rsid w:val="233F5BDA"/>
    <w:rsid w:val="236C1AA3"/>
    <w:rsid w:val="23EC5247"/>
    <w:rsid w:val="23FC53D4"/>
    <w:rsid w:val="24074A22"/>
    <w:rsid w:val="24191654"/>
    <w:rsid w:val="249859C9"/>
    <w:rsid w:val="24B14D99"/>
    <w:rsid w:val="24C47A35"/>
    <w:rsid w:val="24DF431D"/>
    <w:rsid w:val="251B735D"/>
    <w:rsid w:val="25203C5B"/>
    <w:rsid w:val="25271897"/>
    <w:rsid w:val="25953326"/>
    <w:rsid w:val="25B11709"/>
    <w:rsid w:val="25BF642B"/>
    <w:rsid w:val="25C909A6"/>
    <w:rsid w:val="26374B86"/>
    <w:rsid w:val="26452E30"/>
    <w:rsid w:val="265E2CFF"/>
    <w:rsid w:val="267057E9"/>
    <w:rsid w:val="26804A23"/>
    <w:rsid w:val="269B06C8"/>
    <w:rsid w:val="26A34BB6"/>
    <w:rsid w:val="26C846B8"/>
    <w:rsid w:val="26D6483C"/>
    <w:rsid w:val="26DC4479"/>
    <w:rsid w:val="26E41CCB"/>
    <w:rsid w:val="26FB2ACC"/>
    <w:rsid w:val="27057F32"/>
    <w:rsid w:val="276E60CD"/>
    <w:rsid w:val="277A1B31"/>
    <w:rsid w:val="27C76682"/>
    <w:rsid w:val="27F76BCA"/>
    <w:rsid w:val="28100CC6"/>
    <w:rsid w:val="28126A85"/>
    <w:rsid w:val="282150E9"/>
    <w:rsid w:val="28AB678D"/>
    <w:rsid w:val="28B300BA"/>
    <w:rsid w:val="28C45520"/>
    <w:rsid w:val="28CF3D38"/>
    <w:rsid w:val="28FB2270"/>
    <w:rsid w:val="29193E52"/>
    <w:rsid w:val="29256BCE"/>
    <w:rsid w:val="29946FA3"/>
    <w:rsid w:val="29976B6A"/>
    <w:rsid w:val="29BF23C0"/>
    <w:rsid w:val="29D1014C"/>
    <w:rsid w:val="29DD582A"/>
    <w:rsid w:val="29E9585C"/>
    <w:rsid w:val="29EB2AFB"/>
    <w:rsid w:val="2A1009C7"/>
    <w:rsid w:val="2A17361C"/>
    <w:rsid w:val="2A320916"/>
    <w:rsid w:val="2A375D41"/>
    <w:rsid w:val="2A773719"/>
    <w:rsid w:val="2A950493"/>
    <w:rsid w:val="2AA508CD"/>
    <w:rsid w:val="2AEA4B61"/>
    <w:rsid w:val="2B1269FD"/>
    <w:rsid w:val="2B9564D0"/>
    <w:rsid w:val="2B9B40AD"/>
    <w:rsid w:val="2BB01477"/>
    <w:rsid w:val="2BDF2F66"/>
    <w:rsid w:val="2BE023C4"/>
    <w:rsid w:val="2BE43DA1"/>
    <w:rsid w:val="2C290EE9"/>
    <w:rsid w:val="2CA9708A"/>
    <w:rsid w:val="2CAC5F7D"/>
    <w:rsid w:val="2CAF2ECB"/>
    <w:rsid w:val="2CCA6A7E"/>
    <w:rsid w:val="2CDD556A"/>
    <w:rsid w:val="2D0A1A7B"/>
    <w:rsid w:val="2D0D5881"/>
    <w:rsid w:val="2D283E6C"/>
    <w:rsid w:val="2D6E7E4B"/>
    <w:rsid w:val="2D99461C"/>
    <w:rsid w:val="2DAC361B"/>
    <w:rsid w:val="2DD3296E"/>
    <w:rsid w:val="2DD90081"/>
    <w:rsid w:val="2DE27D71"/>
    <w:rsid w:val="2DE52C57"/>
    <w:rsid w:val="2DE57862"/>
    <w:rsid w:val="2DEC1D3C"/>
    <w:rsid w:val="2E051F5E"/>
    <w:rsid w:val="2E1D6FFC"/>
    <w:rsid w:val="2E3040AE"/>
    <w:rsid w:val="2E506979"/>
    <w:rsid w:val="2E732DF7"/>
    <w:rsid w:val="2E7D2B29"/>
    <w:rsid w:val="2E9276A5"/>
    <w:rsid w:val="2E976DAE"/>
    <w:rsid w:val="2EA34F73"/>
    <w:rsid w:val="2EAF75D8"/>
    <w:rsid w:val="2EC3136F"/>
    <w:rsid w:val="2F081A5A"/>
    <w:rsid w:val="2F87097D"/>
    <w:rsid w:val="2F9C6C74"/>
    <w:rsid w:val="2FA77700"/>
    <w:rsid w:val="2FAD73A0"/>
    <w:rsid w:val="2FBC1909"/>
    <w:rsid w:val="2FC16EFF"/>
    <w:rsid w:val="2FD410B3"/>
    <w:rsid w:val="2FE42982"/>
    <w:rsid w:val="2FF65BD7"/>
    <w:rsid w:val="30195EF2"/>
    <w:rsid w:val="301D2986"/>
    <w:rsid w:val="30310509"/>
    <w:rsid w:val="30401F9D"/>
    <w:rsid w:val="304E64B6"/>
    <w:rsid w:val="3063470D"/>
    <w:rsid w:val="309F5314"/>
    <w:rsid w:val="30B55C11"/>
    <w:rsid w:val="31120C37"/>
    <w:rsid w:val="3115280F"/>
    <w:rsid w:val="31560261"/>
    <w:rsid w:val="31A73E2E"/>
    <w:rsid w:val="31BA43C9"/>
    <w:rsid w:val="31C16AB4"/>
    <w:rsid w:val="320563A7"/>
    <w:rsid w:val="320A57CD"/>
    <w:rsid w:val="32244DFC"/>
    <w:rsid w:val="324B7C77"/>
    <w:rsid w:val="32A8252D"/>
    <w:rsid w:val="32DE2260"/>
    <w:rsid w:val="32FB0F4C"/>
    <w:rsid w:val="32FD56ED"/>
    <w:rsid w:val="330F17E5"/>
    <w:rsid w:val="333A1E7A"/>
    <w:rsid w:val="335B2DBB"/>
    <w:rsid w:val="33736C53"/>
    <w:rsid w:val="33D0308C"/>
    <w:rsid w:val="33E744B7"/>
    <w:rsid w:val="33F3468D"/>
    <w:rsid w:val="33F64A1A"/>
    <w:rsid w:val="340C750B"/>
    <w:rsid w:val="340D2FDB"/>
    <w:rsid w:val="3421373E"/>
    <w:rsid w:val="342B09EB"/>
    <w:rsid w:val="34527057"/>
    <w:rsid w:val="345D3C26"/>
    <w:rsid w:val="345F54B7"/>
    <w:rsid w:val="347E351D"/>
    <w:rsid w:val="34A31AFB"/>
    <w:rsid w:val="34B86D13"/>
    <w:rsid w:val="34BC4687"/>
    <w:rsid w:val="34E9340B"/>
    <w:rsid w:val="34FD7B87"/>
    <w:rsid w:val="351823E5"/>
    <w:rsid w:val="35267B43"/>
    <w:rsid w:val="354978C3"/>
    <w:rsid w:val="356221AD"/>
    <w:rsid w:val="35683A54"/>
    <w:rsid w:val="357758E3"/>
    <w:rsid w:val="357D4824"/>
    <w:rsid w:val="35A55437"/>
    <w:rsid w:val="35F431BB"/>
    <w:rsid w:val="36725C92"/>
    <w:rsid w:val="36CB02C0"/>
    <w:rsid w:val="37231F6C"/>
    <w:rsid w:val="373A0A40"/>
    <w:rsid w:val="37702FE8"/>
    <w:rsid w:val="37976071"/>
    <w:rsid w:val="37AA4049"/>
    <w:rsid w:val="37B3347F"/>
    <w:rsid w:val="37D25E78"/>
    <w:rsid w:val="3807777E"/>
    <w:rsid w:val="380F26A6"/>
    <w:rsid w:val="38242B94"/>
    <w:rsid w:val="383102F9"/>
    <w:rsid w:val="38332E0C"/>
    <w:rsid w:val="384A5771"/>
    <w:rsid w:val="385F29E9"/>
    <w:rsid w:val="38643C9F"/>
    <w:rsid w:val="38892B5C"/>
    <w:rsid w:val="38A8126A"/>
    <w:rsid w:val="38BD21BA"/>
    <w:rsid w:val="38D56637"/>
    <w:rsid w:val="38F42DD2"/>
    <w:rsid w:val="39043742"/>
    <w:rsid w:val="39060BC2"/>
    <w:rsid w:val="39157987"/>
    <w:rsid w:val="39313B99"/>
    <w:rsid w:val="393B1A49"/>
    <w:rsid w:val="39436326"/>
    <w:rsid w:val="39614CA2"/>
    <w:rsid w:val="39A20CFD"/>
    <w:rsid w:val="39A8727C"/>
    <w:rsid w:val="39CF204D"/>
    <w:rsid w:val="39DC0E8E"/>
    <w:rsid w:val="39E22AEA"/>
    <w:rsid w:val="3A034A0E"/>
    <w:rsid w:val="3A1A2409"/>
    <w:rsid w:val="3A1C0E86"/>
    <w:rsid w:val="3A2351B0"/>
    <w:rsid w:val="3A236771"/>
    <w:rsid w:val="3A236EF9"/>
    <w:rsid w:val="3A6C3A05"/>
    <w:rsid w:val="3A7931A8"/>
    <w:rsid w:val="3A9C6A8F"/>
    <w:rsid w:val="3AC94A3A"/>
    <w:rsid w:val="3ADE7B13"/>
    <w:rsid w:val="3AF1486E"/>
    <w:rsid w:val="3AF23F12"/>
    <w:rsid w:val="3AFC48EC"/>
    <w:rsid w:val="3AFD3A9D"/>
    <w:rsid w:val="3B1C3301"/>
    <w:rsid w:val="3B2F5E4E"/>
    <w:rsid w:val="3B513DEE"/>
    <w:rsid w:val="3B691D97"/>
    <w:rsid w:val="3B7053DE"/>
    <w:rsid w:val="3BC83389"/>
    <w:rsid w:val="3BCE2734"/>
    <w:rsid w:val="3BD07273"/>
    <w:rsid w:val="3C2D2FF5"/>
    <w:rsid w:val="3C3218B9"/>
    <w:rsid w:val="3C3C29EE"/>
    <w:rsid w:val="3C4F5132"/>
    <w:rsid w:val="3C6525A5"/>
    <w:rsid w:val="3C945E4D"/>
    <w:rsid w:val="3CAF2872"/>
    <w:rsid w:val="3CB32057"/>
    <w:rsid w:val="3CCF7F38"/>
    <w:rsid w:val="3CD047A6"/>
    <w:rsid w:val="3CF41C14"/>
    <w:rsid w:val="3CF803AC"/>
    <w:rsid w:val="3D3118EB"/>
    <w:rsid w:val="3D34734F"/>
    <w:rsid w:val="3D4914B1"/>
    <w:rsid w:val="3D4B7758"/>
    <w:rsid w:val="3D5552B8"/>
    <w:rsid w:val="3D692C3F"/>
    <w:rsid w:val="3D8B3C33"/>
    <w:rsid w:val="3DCA5029"/>
    <w:rsid w:val="3DCB0515"/>
    <w:rsid w:val="3DDA1633"/>
    <w:rsid w:val="3DFD7168"/>
    <w:rsid w:val="3E5F540E"/>
    <w:rsid w:val="3E6C01D2"/>
    <w:rsid w:val="3EB900D3"/>
    <w:rsid w:val="3ECE7D2E"/>
    <w:rsid w:val="3ED73AE6"/>
    <w:rsid w:val="3EDF3F16"/>
    <w:rsid w:val="3EE30F7D"/>
    <w:rsid w:val="3F055FB6"/>
    <w:rsid w:val="3F47037C"/>
    <w:rsid w:val="3F4E170B"/>
    <w:rsid w:val="3F62682D"/>
    <w:rsid w:val="3F6E3B5B"/>
    <w:rsid w:val="3F7A20AE"/>
    <w:rsid w:val="3FE14AE0"/>
    <w:rsid w:val="3FEC4101"/>
    <w:rsid w:val="403642AA"/>
    <w:rsid w:val="40632F94"/>
    <w:rsid w:val="40A37E18"/>
    <w:rsid w:val="40B41A41"/>
    <w:rsid w:val="40CD3D02"/>
    <w:rsid w:val="41862EE9"/>
    <w:rsid w:val="41A23C24"/>
    <w:rsid w:val="41D0464D"/>
    <w:rsid w:val="41DD38D3"/>
    <w:rsid w:val="42222148"/>
    <w:rsid w:val="42566AF0"/>
    <w:rsid w:val="42581CC7"/>
    <w:rsid w:val="42707BEA"/>
    <w:rsid w:val="42812299"/>
    <w:rsid w:val="42AA417F"/>
    <w:rsid w:val="42D81106"/>
    <w:rsid w:val="42DD4B4A"/>
    <w:rsid w:val="42F029F7"/>
    <w:rsid w:val="431219E3"/>
    <w:rsid w:val="431846E9"/>
    <w:rsid w:val="431B695C"/>
    <w:rsid w:val="434346DE"/>
    <w:rsid w:val="434E44A7"/>
    <w:rsid w:val="43512E49"/>
    <w:rsid w:val="436D5705"/>
    <w:rsid w:val="43775F23"/>
    <w:rsid w:val="43BB0FD0"/>
    <w:rsid w:val="43BE13CA"/>
    <w:rsid w:val="43E02B4D"/>
    <w:rsid w:val="43E43B1F"/>
    <w:rsid w:val="43E53A75"/>
    <w:rsid w:val="43FF0184"/>
    <w:rsid w:val="44004CA8"/>
    <w:rsid w:val="440B1DF8"/>
    <w:rsid w:val="441C40D4"/>
    <w:rsid w:val="44495458"/>
    <w:rsid w:val="44C11685"/>
    <w:rsid w:val="44DC4D12"/>
    <w:rsid w:val="44E17249"/>
    <w:rsid w:val="44F504C9"/>
    <w:rsid w:val="44FB4726"/>
    <w:rsid w:val="45077E73"/>
    <w:rsid w:val="450B59A8"/>
    <w:rsid w:val="45136354"/>
    <w:rsid w:val="451713AC"/>
    <w:rsid w:val="452469FE"/>
    <w:rsid w:val="455C26A8"/>
    <w:rsid w:val="45783434"/>
    <w:rsid w:val="45A07DBC"/>
    <w:rsid w:val="45AD61FC"/>
    <w:rsid w:val="45B8325D"/>
    <w:rsid w:val="45BF39AD"/>
    <w:rsid w:val="45E06AD2"/>
    <w:rsid w:val="45FD0EBA"/>
    <w:rsid w:val="46072965"/>
    <w:rsid w:val="462A584F"/>
    <w:rsid w:val="46500AD4"/>
    <w:rsid w:val="46537CE0"/>
    <w:rsid w:val="46562DA7"/>
    <w:rsid w:val="466D3D88"/>
    <w:rsid w:val="46867910"/>
    <w:rsid w:val="46B475BD"/>
    <w:rsid w:val="46FD2D63"/>
    <w:rsid w:val="470A2DF2"/>
    <w:rsid w:val="473653BD"/>
    <w:rsid w:val="47374B95"/>
    <w:rsid w:val="47637A38"/>
    <w:rsid w:val="47A852CE"/>
    <w:rsid w:val="47B40D9A"/>
    <w:rsid w:val="47C05FC0"/>
    <w:rsid w:val="47EA57FC"/>
    <w:rsid w:val="47F23EAB"/>
    <w:rsid w:val="480568A7"/>
    <w:rsid w:val="480F0C6A"/>
    <w:rsid w:val="481629BE"/>
    <w:rsid w:val="48417499"/>
    <w:rsid w:val="48735D3E"/>
    <w:rsid w:val="48754629"/>
    <w:rsid w:val="48C216E7"/>
    <w:rsid w:val="48C83810"/>
    <w:rsid w:val="48CF6CE0"/>
    <w:rsid w:val="48EC5AF0"/>
    <w:rsid w:val="48F10632"/>
    <w:rsid w:val="49180624"/>
    <w:rsid w:val="496C17E6"/>
    <w:rsid w:val="497C5F5E"/>
    <w:rsid w:val="49921B9C"/>
    <w:rsid w:val="49CE50DE"/>
    <w:rsid w:val="49D37AEA"/>
    <w:rsid w:val="4A205018"/>
    <w:rsid w:val="4A3B6CB1"/>
    <w:rsid w:val="4A453398"/>
    <w:rsid w:val="4A952779"/>
    <w:rsid w:val="4AB74B32"/>
    <w:rsid w:val="4B6B030A"/>
    <w:rsid w:val="4B876458"/>
    <w:rsid w:val="4B991F11"/>
    <w:rsid w:val="4BA25ADB"/>
    <w:rsid w:val="4BBD6990"/>
    <w:rsid w:val="4BC72D95"/>
    <w:rsid w:val="4BC8298A"/>
    <w:rsid w:val="4BD032DB"/>
    <w:rsid w:val="4BDF193C"/>
    <w:rsid w:val="4BE01608"/>
    <w:rsid w:val="4BE24E41"/>
    <w:rsid w:val="4BE65461"/>
    <w:rsid w:val="4C407841"/>
    <w:rsid w:val="4CC7209A"/>
    <w:rsid w:val="4D110BD2"/>
    <w:rsid w:val="4D123B4A"/>
    <w:rsid w:val="4D3D3D41"/>
    <w:rsid w:val="4D8F5AD4"/>
    <w:rsid w:val="4DA23ED3"/>
    <w:rsid w:val="4E30637C"/>
    <w:rsid w:val="4E531211"/>
    <w:rsid w:val="4E6272FF"/>
    <w:rsid w:val="4E836345"/>
    <w:rsid w:val="4E8A1BD3"/>
    <w:rsid w:val="4E991EB4"/>
    <w:rsid w:val="4EA331C8"/>
    <w:rsid w:val="4EA77F02"/>
    <w:rsid w:val="4F1D4680"/>
    <w:rsid w:val="4F584350"/>
    <w:rsid w:val="4F6201FC"/>
    <w:rsid w:val="4FA37BB1"/>
    <w:rsid w:val="4FC8067B"/>
    <w:rsid w:val="4FEA47B3"/>
    <w:rsid w:val="4FEB5A09"/>
    <w:rsid w:val="4FF93690"/>
    <w:rsid w:val="4FFB2802"/>
    <w:rsid w:val="50591CBD"/>
    <w:rsid w:val="50665D02"/>
    <w:rsid w:val="50767501"/>
    <w:rsid w:val="507E419A"/>
    <w:rsid w:val="50A47DB1"/>
    <w:rsid w:val="50BC6AD5"/>
    <w:rsid w:val="50D33F90"/>
    <w:rsid w:val="50D432C9"/>
    <w:rsid w:val="50DC50D8"/>
    <w:rsid w:val="50EC631F"/>
    <w:rsid w:val="50FB0887"/>
    <w:rsid w:val="50FD5126"/>
    <w:rsid w:val="510B46C0"/>
    <w:rsid w:val="513940B8"/>
    <w:rsid w:val="51F0037B"/>
    <w:rsid w:val="521D0FC3"/>
    <w:rsid w:val="524C1EF6"/>
    <w:rsid w:val="529C2335"/>
    <w:rsid w:val="52AD79B5"/>
    <w:rsid w:val="52C058D7"/>
    <w:rsid w:val="52F66364"/>
    <w:rsid w:val="530B4323"/>
    <w:rsid w:val="532D5321"/>
    <w:rsid w:val="53511372"/>
    <w:rsid w:val="53685562"/>
    <w:rsid w:val="53975F38"/>
    <w:rsid w:val="53B66105"/>
    <w:rsid w:val="53B74616"/>
    <w:rsid w:val="53C46FFC"/>
    <w:rsid w:val="53E933C6"/>
    <w:rsid w:val="53ED4C3D"/>
    <w:rsid w:val="53F4743C"/>
    <w:rsid w:val="53FD029B"/>
    <w:rsid w:val="53FF492A"/>
    <w:rsid w:val="540F391A"/>
    <w:rsid w:val="543A1E06"/>
    <w:rsid w:val="544133E2"/>
    <w:rsid w:val="544C45A3"/>
    <w:rsid w:val="54596730"/>
    <w:rsid w:val="546A01ED"/>
    <w:rsid w:val="546E4801"/>
    <w:rsid w:val="548779D4"/>
    <w:rsid w:val="54945563"/>
    <w:rsid w:val="54C03049"/>
    <w:rsid w:val="54C808C1"/>
    <w:rsid w:val="54F076AE"/>
    <w:rsid w:val="5507406B"/>
    <w:rsid w:val="55203EE0"/>
    <w:rsid w:val="552E3C55"/>
    <w:rsid w:val="55560A9D"/>
    <w:rsid w:val="55846554"/>
    <w:rsid w:val="55B215CB"/>
    <w:rsid w:val="55BC1804"/>
    <w:rsid w:val="56004372"/>
    <w:rsid w:val="561512E2"/>
    <w:rsid w:val="5667542A"/>
    <w:rsid w:val="56935FC5"/>
    <w:rsid w:val="56BD5DCA"/>
    <w:rsid w:val="56D31E62"/>
    <w:rsid w:val="56D8109D"/>
    <w:rsid w:val="56DD6522"/>
    <w:rsid w:val="56F00607"/>
    <w:rsid w:val="571142E7"/>
    <w:rsid w:val="5729447A"/>
    <w:rsid w:val="57506FC9"/>
    <w:rsid w:val="57850558"/>
    <w:rsid w:val="57973429"/>
    <w:rsid w:val="57BF13A7"/>
    <w:rsid w:val="57D47486"/>
    <w:rsid w:val="57DF41EB"/>
    <w:rsid w:val="57ED70BD"/>
    <w:rsid w:val="580F0CB1"/>
    <w:rsid w:val="583753A8"/>
    <w:rsid w:val="58503DE7"/>
    <w:rsid w:val="586A3E5D"/>
    <w:rsid w:val="58846AA6"/>
    <w:rsid w:val="5886085C"/>
    <w:rsid w:val="588C502F"/>
    <w:rsid w:val="588E6FF5"/>
    <w:rsid w:val="58B73A25"/>
    <w:rsid w:val="58C31F74"/>
    <w:rsid w:val="58F5562B"/>
    <w:rsid w:val="59054519"/>
    <w:rsid w:val="59075F24"/>
    <w:rsid w:val="5914264C"/>
    <w:rsid w:val="59376914"/>
    <w:rsid w:val="593C5A58"/>
    <w:rsid w:val="595014EE"/>
    <w:rsid w:val="5961382A"/>
    <w:rsid w:val="598002BB"/>
    <w:rsid w:val="59815A4A"/>
    <w:rsid w:val="59F40CA9"/>
    <w:rsid w:val="5A067D5F"/>
    <w:rsid w:val="5A11105F"/>
    <w:rsid w:val="5A187725"/>
    <w:rsid w:val="5A1F26DD"/>
    <w:rsid w:val="5A2055FA"/>
    <w:rsid w:val="5A4209DB"/>
    <w:rsid w:val="5A490FF5"/>
    <w:rsid w:val="5A4A7550"/>
    <w:rsid w:val="5A8C332D"/>
    <w:rsid w:val="5AA53D1D"/>
    <w:rsid w:val="5ABD7D7E"/>
    <w:rsid w:val="5ACB2232"/>
    <w:rsid w:val="5B2630E4"/>
    <w:rsid w:val="5B8342DA"/>
    <w:rsid w:val="5B8F2A37"/>
    <w:rsid w:val="5B9C35FC"/>
    <w:rsid w:val="5BF306CD"/>
    <w:rsid w:val="5BF821E3"/>
    <w:rsid w:val="5C7502BA"/>
    <w:rsid w:val="5C835FBF"/>
    <w:rsid w:val="5CDC7EFE"/>
    <w:rsid w:val="5CE46921"/>
    <w:rsid w:val="5D6027F4"/>
    <w:rsid w:val="5D615CFC"/>
    <w:rsid w:val="5D8B5480"/>
    <w:rsid w:val="5DB663A5"/>
    <w:rsid w:val="5DE81CCB"/>
    <w:rsid w:val="5E3B3AD3"/>
    <w:rsid w:val="5E4A076D"/>
    <w:rsid w:val="5E590DDF"/>
    <w:rsid w:val="5E675216"/>
    <w:rsid w:val="5EA52572"/>
    <w:rsid w:val="5EAF108E"/>
    <w:rsid w:val="5EC57CE7"/>
    <w:rsid w:val="5ECF4011"/>
    <w:rsid w:val="5ED9574B"/>
    <w:rsid w:val="5EE237C6"/>
    <w:rsid w:val="5EE83621"/>
    <w:rsid w:val="5EE96F88"/>
    <w:rsid w:val="5EEE344A"/>
    <w:rsid w:val="5F090B4D"/>
    <w:rsid w:val="5F2A4D32"/>
    <w:rsid w:val="5F453584"/>
    <w:rsid w:val="5F986776"/>
    <w:rsid w:val="5FA77A1A"/>
    <w:rsid w:val="5FC05E02"/>
    <w:rsid w:val="5FC70086"/>
    <w:rsid w:val="5FD537CF"/>
    <w:rsid w:val="5FDB3173"/>
    <w:rsid w:val="5FF07E98"/>
    <w:rsid w:val="60116800"/>
    <w:rsid w:val="602224A2"/>
    <w:rsid w:val="60B75FDB"/>
    <w:rsid w:val="60D62077"/>
    <w:rsid w:val="60F257CD"/>
    <w:rsid w:val="60F77BE1"/>
    <w:rsid w:val="61002BE4"/>
    <w:rsid w:val="611514D2"/>
    <w:rsid w:val="61193F48"/>
    <w:rsid w:val="613227E3"/>
    <w:rsid w:val="61407821"/>
    <w:rsid w:val="61927C78"/>
    <w:rsid w:val="6194446E"/>
    <w:rsid w:val="61AC7260"/>
    <w:rsid w:val="61B97615"/>
    <w:rsid w:val="61E45980"/>
    <w:rsid w:val="61FA4033"/>
    <w:rsid w:val="6200468F"/>
    <w:rsid w:val="6238469E"/>
    <w:rsid w:val="627E3805"/>
    <w:rsid w:val="62906D3B"/>
    <w:rsid w:val="62990D5C"/>
    <w:rsid w:val="62AA50ED"/>
    <w:rsid w:val="62C430D7"/>
    <w:rsid w:val="62DC2626"/>
    <w:rsid w:val="62E57320"/>
    <w:rsid w:val="63182D7C"/>
    <w:rsid w:val="63414B82"/>
    <w:rsid w:val="636B4E7E"/>
    <w:rsid w:val="639E1A2D"/>
    <w:rsid w:val="63A6102E"/>
    <w:rsid w:val="63DC0116"/>
    <w:rsid w:val="64296F31"/>
    <w:rsid w:val="642B5CE3"/>
    <w:rsid w:val="64343B2F"/>
    <w:rsid w:val="64416969"/>
    <w:rsid w:val="64484206"/>
    <w:rsid w:val="64532635"/>
    <w:rsid w:val="645F26AE"/>
    <w:rsid w:val="64AB3952"/>
    <w:rsid w:val="64B833BB"/>
    <w:rsid w:val="64BD40BE"/>
    <w:rsid w:val="64C54ACB"/>
    <w:rsid w:val="64CD3DE2"/>
    <w:rsid w:val="64E42419"/>
    <w:rsid w:val="64ED04B4"/>
    <w:rsid w:val="653537D6"/>
    <w:rsid w:val="65373941"/>
    <w:rsid w:val="657A2B2F"/>
    <w:rsid w:val="659226F4"/>
    <w:rsid w:val="65A52198"/>
    <w:rsid w:val="65BF65B2"/>
    <w:rsid w:val="65E50102"/>
    <w:rsid w:val="65E511C7"/>
    <w:rsid w:val="65F26C70"/>
    <w:rsid w:val="66040BB8"/>
    <w:rsid w:val="663002D4"/>
    <w:rsid w:val="66713C35"/>
    <w:rsid w:val="66770C98"/>
    <w:rsid w:val="6689508B"/>
    <w:rsid w:val="66964A23"/>
    <w:rsid w:val="669953F2"/>
    <w:rsid w:val="66DF38B6"/>
    <w:rsid w:val="672A1A1E"/>
    <w:rsid w:val="67465F35"/>
    <w:rsid w:val="676B56DD"/>
    <w:rsid w:val="677E239F"/>
    <w:rsid w:val="67CA4B20"/>
    <w:rsid w:val="67F000D7"/>
    <w:rsid w:val="67F71035"/>
    <w:rsid w:val="681E1E7A"/>
    <w:rsid w:val="686B2E45"/>
    <w:rsid w:val="68794F3C"/>
    <w:rsid w:val="688C1635"/>
    <w:rsid w:val="68C42E27"/>
    <w:rsid w:val="68D25B9F"/>
    <w:rsid w:val="68D53754"/>
    <w:rsid w:val="6902263E"/>
    <w:rsid w:val="691655E5"/>
    <w:rsid w:val="6953050C"/>
    <w:rsid w:val="697F058F"/>
    <w:rsid w:val="69824CEF"/>
    <w:rsid w:val="699558A5"/>
    <w:rsid w:val="69CC5E2C"/>
    <w:rsid w:val="69DF43A6"/>
    <w:rsid w:val="69E86162"/>
    <w:rsid w:val="69EF6AFC"/>
    <w:rsid w:val="6A5D677E"/>
    <w:rsid w:val="6A86594D"/>
    <w:rsid w:val="6A88179D"/>
    <w:rsid w:val="6A8B10FD"/>
    <w:rsid w:val="6AAA7BB9"/>
    <w:rsid w:val="6AB81ABD"/>
    <w:rsid w:val="6AC0225E"/>
    <w:rsid w:val="6ACA6F45"/>
    <w:rsid w:val="6AD94ED8"/>
    <w:rsid w:val="6ADB198A"/>
    <w:rsid w:val="6AEA0E92"/>
    <w:rsid w:val="6AEB5F43"/>
    <w:rsid w:val="6AF421AC"/>
    <w:rsid w:val="6B131EF6"/>
    <w:rsid w:val="6B1F61CC"/>
    <w:rsid w:val="6B266785"/>
    <w:rsid w:val="6B266E76"/>
    <w:rsid w:val="6B374265"/>
    <w:rsid w:val="6B46061D"/>
    <w:rsid w:val="6B5B4528"/>
    <w:rsid w:val="6B7127AE"/>
    <w:rsid w:val="6B905367"/>
    <w:rsid w:val="6B9320D0"/>
    <w:rsid w:val="6B9B3B23"/>
    <w:rsid w:val="6BDE0813"/>
    <w:rsid w:val="6BE53461"/>
    <w:rsid w:val="6BEC4AE7"/>
    <w:rsid w:val="6C095EA7"/>
    <w:rsid w:val="6C0C297A"/>
    <w:rsid w:val="6C11007B"/>
    <w:rsid w:val="6C1F4622"/>
    <w:rsid w:val="6C3F18BA"/>
    <w:rsid w:val="6C5F126B"/>
    <w:rsid w:val="6C7661F7"/>
    <w:rsid w:val="6C974856"/>
    <w:rsid w:val="6CDE116F"/>
    <w:rsid w:val="6CF272CA"/>
    <w:rsid w:val="6D0F6FD5"/>
    <w:rsid w:val="6D160362"/>
    <w:rsid w:val="6D21117E"/>
    <w:rsid w:val="6D2D0624"/>
    <w:rsid w:val="6D584566"/>
    <w:rsid w:val="6D6A6EB1"/>
    <w:rsid w:val="6D6F0005"/>
    <w:rsid w:val="6D71236F"/>
    <w:rsid w:val="6DA31ADE"/>
    <w:rsid w:val="6DA61A6C"/>
    <w:rsid w:val="6DB314F4"/>
    <w:rsid w:val="6DBD1C9B"/>
    <w:rsid w:val="6DF350A8"/>
    <w:rsid w:val="6DFF1732"/>
    <w:rsid w:val="6E437785"/>
    <w:rsid w:val="6E773D80"/>
    <w:rsid w:val="6E9053FD"/>
    <w:rsid w:val="6EA834A0"/>
    <w:rsid w:val="6EDF2946"/>
    <w:rsid w:val="6EE53805"/>
    <w:rsid w:val="6EFD4493"/>
    <w:rsid w:val="6F0D2199"/>
    <w:rsid w:val="6F2A2D4B"/>
    <w:rsid w:val="6F357DDA"/>
    <w:rsid w:val="6F784650"/>
    <w:rsid w:val="6F7E4F4F"/>
    <w:rsid w:val="6F8464EB"/>
    <w:rsid w:val="6FB34B3E"/>
    <w:rsid w:val="6FD06B87"/>
    <w:rsid w:val="6FFC584D"/>
    <w:rsid w:val="7004098B"/>
    <w:rsid w:val="7022300E"/>
    <w:rsid w:val="703419A7"/>
    <w:rsid w:val="70372271"/>
    <w:rsid w:val="70A5092B"/>
    <w:rsid w:val="70AC02DD"/>
    <w:rsid w:val="70B11315"/>
    <w:rsid w:val="70B531E3"/>
    <w:rsid w:val="70BC3C4E"/>
    <w:rsid w:val="70E04D4E"/>
    <w:rsid w:val="70E06EE4"/>
    <w:rsid w:val="70FA674D"/>
    <w:rsid w:val="71134338"/>
    <w:rsid w:val="711807F2"/>
    <w:rsid w:val="71282442"/>
    <w:rsid w:val="713742F4"/>
    <w:rsid w:val="713F3304"/>
    <w:rsid w:val="715F7085"/>
    <w:rsid w:val="71724B49"/>
    <w:rsid w:val="718A2445"/>
    <w:rsid w:val="71922EE9"/>
    <w:rsid w:val="719D2BCC"/>
    <w:rsid w:val="71C57C05"/>
    <w:rsid w:val="71E12B43"/>
    <w:rsid w:val="71E424F7"/>
    <w:rsid w:val="71E713A5"/>
    <w:rsid w:val="71FE226D"/>
    <w:rsid w:val="7212068C"/>
    <w:rsid w:val="72347284"/>
    <w:rsid w:val="725B417E"/>
    <w:rsid w:val="726758D0"/>
    <w:rsid w:val="72704323"/>
    <w:rsid w:val="72847A2A"/>
    <w:rsid w:val="72987AB4"/>
    <w:rsid w:val="72A35D30"/>
    <w:rsid w:val="72CB161F"/>
    <w:rsid w:val="72D35F87"/>
    <w:rsid w:val="72DE7F25"/>
    <w:rsid w:val="72F34940"/>
    <w:rsid w:val="73064471"/>
    <w:rsid w:val="730B79D6"/>
    <w:rsid w:val="733028FA"/>
    <w:rsid w:val="735477E2"/>
    <w:rsid w:val="736D604E"/>
    <w:rsid w:val="737E3CB6"/>
    <w:rsid w:val="73A03009"/>
    <w:rsid w:val="73A03D9F"/>
    <w:rsid w:val="73A263E1"/>
    <w:rsid w:val="73B44CAE"/>
    <w:rsid w:val="73BA4E1E"/>
    <w:rsid w:val="73C12E92"/>
    <w:rsid w:val="73D51CFF"/>
    <w:rsid w:val="73E60253"/>
    <w:rsid w:val="73EA5AF7"/>
    <w:rsid w:val="740638BC"/>
    <w:rsid w:val="74334064"/>
    <w:rsid w:val="74477445"/>
    <w:rsid w:val="747263BA"/>
    <w:rsid w:val="74A23383"/>
    <w:rsid w:val="74B80631"/>
    <w:rsid w:val="750A53F5"/>
    <w:rsid w:val="751D0B1E"/>
    <w:rsid w:val="752452F3"/>
    <w:rsid w:val="753F48C2"/>
    <w:rsid w:val="75782E4C"/>
    <w:rsid w:val="7589486C"/>
    <w:rsid w:val="75F663E5"/>
    <w:rsid w:val="76011917"/>
    <w:rsid w:val="760D1365"/>
    <w:rsid w:val="761608DF"/>
    <w:rsid w:val="761E79A2"/>
    <w:rsid w:val="762D50CD"/>
    <w:rsid w:val="7641052A"/>
    <w:rsid w:val="764B26FE"/>
    <w:rsid w:val="764D619F"/>
    <w:rsid w:val="76BB169E"/>
    <w:rsid w:val="76DB5B2B"/>
    <w:rsid w:val="76E41895"/>
    <w:rsid w:val="76F90BDF"/>
    <w:rsid w:val="77077CCC"/>
    <w:rsid w:val="770A6702"/>
    <w:rsid w:val="77106CCA"/>
    <w:rsid w:val="773520FB"/>
    <w:rsid w:val="773D6FCC"/>
    <w:rsid w:val="77443098"/>
    <w:rsid w:val="776313F3"/>
    <w:rsid w:val="7772528F"/>
    <w:rsid w:val="77A4212C"/>
    <w:rsid w:val="77A771D4"/>
    <w:rsid w:val="77B27C39"/>
    <w:rsid w:val="77C25C6A"/>
    <w:rsid w:val="77C846BB"/>
    <w:rsid w:val="77E42159"/>
    <w:rsid w:val="77FF064F"/>
    <w:rsid w:val="782011A6"/>
    <w:rsid w:val="7829326F"/>
    <w:rsid w:val="785E3012"/>
    <w:rsid w:val="78611F5E"/>
    <w:rsid w:val="78976D25"/>
    <w:rsid w:val="78A4141D"/>
    <w:rsid w:val="78C7160B"/>
    <w:rsid w:val="78F52018"/>
    <w:rsid w:val="790C7168"/>
    <w:rsid w:val="794B05EF"/>
    <w:rsid w:val="79830B41"/>
    <w:rsid w:val="799A2643"/>
    <w:rsid w:val="79D60607"/>
    <w:rsid w:val="79E71A62"/>
    <w:rsid w:val="7A1E7001"/>
    <w:rsid w:val="7A2C4FAF"/>
    <w:rsid w:val="7A3F6D80"/>
    <w:rsid w:val="7A491AA7"/>
    <w:rsid w:val="7A532593"/>
    <w:rsid w:val="7A645D3A"/>
    <w:rsid w:val="7A884DCA"/>
    <w:rsid w:val="7AE34018"/>
    <w:rsid w:val="7B093D2C"/>
    <w:rsid w:val="7B141984"/>
    <w:rsid w:val="7B2A5E81"/>
    <w:rsid w:val="7B3F679B"/>
    <w:rsid w:val="7B6F0753"/>
    <w:rsid w:val="7B7E6290"/>
    <w:rsid w:val="7B952009"/>
    <w:rsid w:val="7BBA717E"/>
    <w:rsid w:val="7BF23A4F"/>
    <w:rsid w:val="7BFA24A7"/>
    <w:rsid w:val="7C122F23"/>
    <w:rsid w:val="7C17561A"/>
    <w:rsid w:val="7C220CF8"/>
    <w:rsid w:val="7C2441B3"/>
    <w:rsid w:val="7C2A0F9C"/>
    <w:rsid w:val="7C3E6A61"/>
    <w:rsid w:val="7C6201EE"/>
    <w:rsid w:val="7C69797B"/>
    <w:rsid w:val="7C7E03C1"/>
    <w:rsid w:val="7C9A0D0C"/>
    <w:rsid w:val="7CCE7DC9"/>
    <w:rsid w:val="7CF73A06"/>
    <w:rsid w:val="7D025A67"/>
    <w:rsid w:val="7D314B7B"/>
    <w:rsid w:val="7D4A7579"/>
    <w:rsid w:val="7D5771B8"/>
    <w:rsid w:val="7D9C1611"/>
    <w:rsid w:val="7D9D3963"/>
    <w:rsid w:val="7DBF0B02"/>
    <w:rsid w:val="7E117E12"/>
    <w:rsid w:val="7E191B65"/>
    <w:rsid w:val="7E450902"/>
    <w:rsid w:val="7E886DEF"/>
    <w:rsid w:val="7E893C95"/>
    <w:rsid w:val="7EB118E6"/>
    <w:rsid w:val="7EC7247F"/>
    <w:rsid w:val="7EF401A0"/>
    <w:rsid w:val="7F1C6715"/>
    <w:rsid w:val="7F1D3E12"/>
    <w:rsid w:val="7F27546F"/>
    <w:rsid w:val="7F3723EF"/>
    <w:rsid w:val="7F623E3B"/>
    <w:rsid w:val="7F8A3392"/>
    <w:rsid w:val="7F9549DB"/>
    <w:rsid w:val="7FE508C3"/>
    <w:rsid w:val="7FF24D0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99"/>
    <w:pPr>
      <w:keepNext/>
      <w:keepLines/>
      <w:spacing w:before="340" w:after="330" w:line="576" w:lineRule="auto"/>
      <w:outlineLvl w:val="0"/>
    </w:pPr>
    <w:rPr>
      <w:b/>
      <w:bCs/>
      <w:kern w:val="44"/>
      <w:sz w:val="44"/>
      <w:szCs w:val="44"/>
    </w:rPr>
  </w:style>
  <w:style w:type="paragraph" w:styleId="2">
    <w:name w:val="heading 2"/>
    <w:basedOn w:val="1"/>
    <w:next w:val="1"/>
    <w:link w:val="62"/>
    <w:qFormat/>
    <w:uiPriority w:val="9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63"/>
    <w:qFormat/>
    <w:uiPriority w:val="99"/>
    <w:pPr>
      <w:keepNext/>
      <w:keepLines/>
      <w:spacing w:before="260" w:after="260" w:line="415" w:lineRule="auto"/>
      <w:outlineLvl w:val="2"/>
    </w:pPr>
    <w:rPr>
      <w:b/>
      <w:bCs/>
      <w:sz w:val="32"/>
      <w:szCs w:val="32"/>
    </w:rPr>
  </w:style>
  <w:style w:type="paragraph" w:styleId="5">
    <w:name w:val="heading 4"/>
    <w:basedOn w:val="1"/>
    <w:next w:val="1"/>
    <w:link w:val="64"/>
    <w:qFormat/>
    <w:uiPriority w:val="99"/>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5"/>
    <w:qFormat/>
    <w:uiPriority w:val="99"/>
    <w:pPr>
      <w:keepNext/>
      <w:keepLines/>
      <w:spacing w:before="280" w:after="290" w:line="374" w:lineRule="auto"/>
      <w:outlineLvl w:val="4"/>
    </w:pPr>
    <w:rPr>
      <w:b/>
      <w:bCs/>
      <w:sz w:val="28"/>
      <w:szCs w:val="28"/>
    </w:rPr>
  </w:style>
  <w:style w:type="paragraph" w:styleId="7">
    <w:name w:val="heading 6"/>
    <w:basedOn w:val="1"/>
    <w:next w:val="1"/>
    <w:link w:val="66"/>
    <w:qFormat/>
    <w:uiPriority w:val="99"/>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67"/>
    <w:qFormat/>
    <w:uiPriority w:val="99"/>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68"/>
    <w:qFormat/>
    <w:uiPriority w:val="99"/>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69"/>
    <w:qFormat/>
    <w:uiPriority w:val="99"/>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style>
  <w:style w:type="paragraph" w:styleId="12">
    <w:name w:val="Normal Indent"/>
    <w:basedOn w:val="1"/>
    <w:qFormat/>
    <w:uiPriority w:val="99"/>
    <w:pPr>
      <w:ind w:firstLine="420" w:firstLineChars="200"/>
    </w:pPr>
  </w:style>
  <w:style w:type="paragraph" w:styleId="13">
    <w:name w:val="Document Map"/>
    <w:basedOn w:val="1"/>
    <w:link w:val="70"/>
    <w:qFormat/>
    <w:uiPriority w:val="99"/>
    <w:pPr>
      <w:shd w:val="clear" w:color="auto" w:fill="000080"/>
    </w:pPr>
  </w:style>
  <w:style w:type="paragraph" w:styleId="14">
    <w:name w:val="annotation text"/>
    <w:basedOn w:val="1"/>
    <w:link w:val="71"/>
    <w:qFormat/>
    <w:uiPriority w:val="99"/>
    <w:pPr>
      <w:adjustRightInd w:val="0"/>
      <w:spacing w:line="360" w:lineRule="atLeast"/>
      <w:jc w:val="left"/>
    </w:pPr>
    <w:rPr>
      <w:kern w:val="0"/>
      <w:sz w:val="24"/>
      <w:szCs w:val="20"/>
    </w:rPr>
  </w:style>
  <w:style w:type="paragraph" w:styleId="15">
    <w:name w:val="Body Text 3"/>
    <w:basedOn w:val="1"/>
    <w:link w:val="72"/>
    <w:qFormat/>
    <w:uiPriority w:val="99"/>
    <w:rPr>
      <w:rFonts w:ascii="宋体"/>
      <w:sz w:val="24"/>
      <w:szCs w:val="20"/>
    </w:rPr>
  </w:style>
  <w:style w:type="paragraph" w:styleId="16">
    <w:name w:val="Body Text"/>
    <w:basedOn w:val="1"/>
    <w:next w:val="1"/>
    <w:link w:val="73"/>
    <w:qFormat/>
    <w:uiPriority w:val="99"/>
    <w:pPr>
      <w:spacing w:after="120"/>
    </w:pPr>
  </w:style>
  <w:style w:type="paragraph" w:styleId="17">
    <w:name w:val="Body Text Indent"/>
    <w:basedOn w:val="1"/>
    <w:link w:val="74"/>
    <w:qFormat/>
    <w:uiPriority w:val="99"/>
    <w:pPr>
      <w:spacing w:line="540" w:lineRule="exact"/>
      <w:ind w:right="210" w:rightChars="100" w:firstLine="719" w:firstLineChars="243"/>
      <w:jc w:val="left"/>
    </w:pPr>
    <w:rPr>
      <w:rFonts w:ascii="仿宋_GB2312" w:eastAsia="仿宋_GB2312"/>
      <w:spacing w:val="-12"/>
      <w:sz w:val="32"/>
    </w:rPr>
  </w:style>
  <w:style w:type="paragraph" w:styleId="18">
    <w:name w:val="Block Text"/>
    <w:basedOn w:val="1"/>
    <w:qFormat/>
    <w:uiPriority w:val="0"/>
    <w:pPr>
      <w:spacing w:after="120"/>
      <w:ind w:left="1440" w:leftChars="700" w:right="700" w:rightChars="700"/>
    </w:pPr>
  </w:style>
  <w:style w:type="paragraph" w:styleId="19">
    <w:name w:val="toc 5"/>
    <w:basedOn w:val="1"/>
    <w:next w:val="1"/>
    <w:qFormat/>
    <w:uiPriority w:val="99"/>
    <w:pPr>
      <w:ind w:left="1680" w:leftChars="800"/>
    </w:pPr>
  </w:style>
  <w:style w:type="paragraph" w:styleId="20">
    <w:name w:val="toc 3"/>
    <w:basedOn w:val="1"/>
    <w:next w:val="1"/>
    <w:qFormat/>
    <w:uiPriority w:val="99"/>
    <w:pPr>
      <w:ind w:left="840" w:leftChars="400"/>
    </w:pPr>
  </w:style>
  <w:style w:type="paragraph" w:styleId="21">
    <w:name w:val="Plain Text"/>
    <w:basedOn w:val="1"/>
    <w:link w:val="75"/>
    <w:qFormat/>
    <w:uiPriority w:val="99"/>
    <w:rPr>
      <w:rFonts w:ascii="宋体" w:hAnsi="Courier New"/>
      <w:szCs w:val="20"/>
    </w:rPr>
  </w:style>
  <w:style w:type="paragraph" w:styleId="22">
    <w:name w:val="toc 8"/>
    <w:basedOn w:val="1"/>
    <w:next w:val="1"/>
    <w:qFormat/>
    <w:uiPriority w:val="99"/>
    <w:pPr>
      <w:ind w:left="2940" w:leftChars="1400"/>
    </w:pPr>
  </w:style>
  <w:style w:type="paragraph" w:styleId="23">
    <w:name w:val="Date"/>
    <w:basedOn w:val="1"/>
    <w:next w:val="1"/>
    <w:link w:val="76"/>
    <w:qFormat/>
    <w:uiPriority w:val="99"/>
    <w:rPr>
      <w:rFonts w:ascii="宋体" w:hAnsi="宋体"/>
      <w:sz w:val="24"/>
      <w:szCs w:val="20"/>
    </w:rPr>
  </w:style>
  <w:style w:type="paragraph" w:styleId="24">
    <w:name w:val="Body Text Indent 2"/>
    <w:basedOn w:val="1"/>
    <w:link w:val="77"/>
    <w:qFormat/>
    <w:uiPriority w:val="99"/>
    <w:pPr>
      <w:spacing w:after="120" w:line="480" w:lineRule="auto"/>
      <w:ind w:left="420" w:leftChars="200"/>
    </w:pPr>
    <w:rPr>
      <w:szCs w:val="20"/>
    </w:rPr>
  </w:style>
  <w:style w:type="paragraph" w:styleId="25">
    <w:name w:val="endnote text"/>
    <w:basedOn w:val="1"/>
    <w:link w:val="78"/>
    <w:qFormat/>
    <w:uiPriority w:val="99"/>
    <w:pPr>
      <w:snapToGrid w:val="0"/>
    </w:pPr>
    <w:rPr>
      <w:szCs w:val="20"/>
    </w:rPr>
  </w:style>
  <w:style w:type="paragraph" w:styleId="26">
    <w:name w:val="Balloon Text"/>
    <w:basedOn w:val="1"/>
    <w:link w:val="79"/>
    <w:qFormat/>
    <w:uiPriority w:val="99"/>
    <w:rPr>
      <w:sz w:val="18"/>
      <w:szCs w:val="18"/>
    </w:rPr>
  </w:style>
  <w:style w:type="paragraph" w:styleId="27">
    <w:name w:val="footer"/>
    <w:basedOn w:val="1"/>
    <w:link w:val="80"/>
    <w:qFormat/>
    <w:uiPriority w:val="99"/>
    <w:pPr>
      <w:tabs>
        <w:tab w:val="center" w:pos="4153"/>
        <w:tab w:val="right" w:pos="8306"/>
      </w:tabs>
      <w:snapToGrid w:val="0"/>
      <w:jc w:val="left"/>
    </w:pPr>
    <w:rPr>
      <w:sz w:val="18"/>
      <w:szCs w:val="18"/>
    </w:rPr>
  </w:style>
  <w:style w:type="paragraph" w:styleId="28">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99"/>
    <w:pPr>
      <w:tabs>
        <w:tab w:val="right" w:leader="dot" w:pos="8820"/>
      </w:tabs>
      <w:spacing w:line="440" w:lineRule="exact"/>
    </w:pPr>
  </w:style>
  <w:style w:type="paragraph" w:styleId="30">
    <w:name w:val="toc 4"/>
    <w:basedOn w:val="1"/>
    <w:next w:val="1"/>
    <w:qFormat/>
    <w:uiPriority w:val="99"/>
    <w:pPr>
      <w:ind w:left="1260" w:leftChars="600"/>
    </w:pPr>
  </w:style>
  <w:style w:type="paragraph" w:styleId="31">
    <w:name w:val="toc 6"/>
    <w:basedOn w:val="1"/>
    <w:next w:val="1"/>
    <w:qFormat/>
    <w:uiPriority w:val="99"/>
    <w:pPr>
      <w:ind w:left="2100" w:leftChars="1000"/>
    </w:pPr>
  </w:style>
  <w:style w:type="paragraph" w:styleId="32">
    <w:name w:val="Body Text Indent 3"/>
    <w:basedOn w:val="1"/>
    <w:link w:val="82"/>
    <w:qFormat/>
    <w:uiPriority w:val="99"/>
    <w:pPr>
      <w:spacing w:after="120"/>
      <w:ind w:left="420" w:leftChars="200"/>
    </w:pPr>
    <w:rPr>
      <w:sz w:val="16"/>
      <w:szCs w:val="16"/>
    </w:rPr>
  </w:style>
  <w:style w:type="paragraph" w:styleId="33">
    <w:name w:val="toc 2"/>
    <w:basedOn w:val="1"/>
    <w:next w:val="1"/>
    <w:qFormat/>
    <w:uiPriority w:val="99"/>
    <w:pPr>
      <w:tabs>
        <w:tab w:val="right" w:leader="dot" w:pos="8834"/>
      </w:tabs>
      <w:spacing w:line="360" w:lineRule="auto"/>
      <w:ind w:left="420" w:leftChars="200"/>
    </w:pPr>
  </w:style>
  <w:style w:type="paragraph" w:styleId="34">
    <w:name w:val="toc 9"/>
    <w:basedOn w:val="1"/>
    <w:next w:val="1"/>
    <w:qFormat/>
    <w:uiPriority w:val="99"/>
    <w:pPr>
      <w:ind w:left="3360" w:leftChars="1600"/>
    </w:pPr>
  </w:style>
  <w:style w:type="paragraph" w:styleId="35">
    <w:name w:val="Body Text 2"/>
    <w:basedOn w:val="1"/>
    <w:link w:val="83"/>
    <w:qFormat/>
    <w:uiPriority w:val="99"/>
    <w:rPr>
      <w:rFonts w:ascii="楷体_GB2312" w:eastAsia="楷体_GB2312"/>
      <w:b/>
      <w:sz w:val="32"/>
      <w:szCs w:val="20"/>
    </w:rPr>
  </w:style>
  <w:style w:type="paragraph" w:styleId="36">
    <w:name w:val="Normal (Web)"/>
    <w:basedOn w:val="1"/>
    <w:qFormat/>
    <w:uiPriority w:val="99"/>
    <w:pPr>
      <w:widowControl/>
      <w:spacing w:before="100" w:beforeAutospacing="1" w:after="100" w:afterAutospacing="1"/>
      <w:jc w:val="left"/>
    </w:pPr>
    <w:rPr>
      <w:rFonts w:ascii="宋体" w:hAnsi="宋体"/>
      <w:kern w:val="0"/>
      <w:sz w:val="24"/>
    </w:rPr>
  </w:style>
  <w:style w:type="paragraph" w:styleId="37">
    <w:name w:val="index 1"/>
    <w:basedOn w:val="1"/>
    <w:next w:val="1"/>
    <w:qFormat/>
    <w:uiPriority w:val="99"/>
    <w:pPr>
      <w:spacing w:line="220" w:lineRule="exact"/>
      <w:jc w:val="center"/>
    </w:pPr>
    <w:rPr>
      <w:rFonts w:ascii="仿宋_GB2312" w:eastAsia="仿宋_GB2312"/>
      <w:szCs w:val="21"/>
    </w:rPr>
  </w:style>
  <w:style w:type="paragraph" w:styleId="38">
    <w:name w:val="Title"/>
    <w:basedOn w:val="1"/>
    <w:next w:val="1"/>
    <w:link w:val="84"/>
    <w:qFormat/>
    <w:uiPriority w:val="99"/>
    <w:pPr>
      <w:adjustRightInd w:val="0"/>
      <w:spacing w:before="240" w:after="60" w:line="420" w:lineRule="atLeast"/>
      <w:jc w:val="center"/>
      <w:outlineLvl w:val="0"/>
    </w:pPr>
    <w:rPr>
      <w:rFonts w:ascii="Arial" w:hAnsi="Arial" w:cs="Arial"/>
      <w:b/>
      <w:kern w:val="0"/>
      <w:sz w:val="32"/>
      <w:szCs w:val="20"/>
    </w:rPr>
  </w:style>
  <w:style w:type="paragraph" w:styleId="39">
    <w:name w:val="annotation subject"/>
    <w:basedOn w:val="14"/>
    <w:next w:val="14"/>
    <w:link w:val="121"/>
    <w:qFormat/>
    <w:uiPriority w:val="0"/>
    <w:pPr>
      <w:adjustRightInd/>
      <w:spacing w:line="240" w:lineRule="auto"/>
    </w:pPr>
    <w:rPr>
      <w:b/>
      <w:bCs/>
      <w:kern w:val="2"/>
      <w:sz w:val="21"/>
      <w:szCs w:val="24"/>
    </w:rPr>
  </w:style>
  <w:style w:type="paragraph" w:styleId="40">
    <w:name w:val="Body Text First Indent"/>
    <w:basedOn w:val="16"/>
    <w:qFormat/>
    <w:uiPriority w:val="0"/>
    <w:pPr>
      <w:widowControl/>
      <w:ind w:firstLine="420" w:firstLineChars="100"/>
    </w:pPr>
    <w:rPr>
      <w:sz w:val="28"/>
    </w:rPr>
  </w:style>
  <w:style w:type="table" w:styleId="42">
    <w:name w:val="Table Grid"/>
    <w:basedOn w:val="41"/>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locked/>
    <w:uiPriority w:val="22"/>
    <w:rPr>
      <w:b/>
      <w:bCs/>
    </w:rPr>
  </w:style>
  <w:style w:type="character" w:styleId="45">
    <w:name w:val="page number"/>
    <w:basedOn w:val="43"/>
    <w:qFormat/>
    <w:uiPriority w:val="99"/>
    <w:rPr>
      <w:rFonts w:cs="Times New Roman"/>
    </w:rPr>
  </w:style>
  <w:style w:type="character" w:styleId="46">
    <w:name w:val="FollowedHyperlink"/>
    <w:basedOn w:val="43"/>
    <w:qFormat/>
    <w:uiPriority w:val="99"/>
    <w:rPr>
      <w:rFonts w:cs="Times New Roman"/>
      <w:color w:val="800080"/>
      <w:u w:val="single"/>
    </w:rPr>
  </w:style>
  <w:style w:type="character" w:styleId="47">
    <w:name w:val="Emphasis"/>
    <w:basedOn w:val="43"/>
    <w:qFormat/>
    <w:locked/>
    <w:uiPriority w:val="20"/>
  </w:style>
  <w:style w:type="character" w:styleId="48">
    <w:name w:val="HTML Definition"/>
    <w:basedOn w:val="43"/>
    <w:qFormat/>
    <w:uiPriority w:val="0"/>
    <w:rPr>
      <w:i/>
      <w:iCs/>
    </w:rPr>
  </w:style>
  <w:style w:type="character" w:styleId="49">
    <w:name w:val="HTML Typewriter"/>
    <w:basedOn w:val="43"/>
    <w:qFormat/>
    <w:uiPriority w:val="0"/>
    <w:rPr>
      <w:rFonts w:hint="default" w:ascii="monospace" w:hAnsi="monospace" w:eastAsia="monospace" w:cs="monospace"/>
      <w:sz w:val="20"/>
    </w:rPr>
  </w:style>
  <w:style w:type="character" w:styleId="50">
    <w:name w:val="HTML Acronym"/>
    <w:basedOn w:val="43"/>
    <w:qFormat/>
    <w:uiPriority w:val="0"/>
    <w:rPr>
      <w:sz w:val="0"/>
      <w:szCs w:val="0"/>
      <w:bdr w:val="single" w:color="auto" w:sz="2" w:space="0"/>
    </w:rPr>
  </w:style>
  <w:style w:type="character" w:styleId="51">
    <w:name w:val="HTML Variable"/>
    <w:basedOn w:val="43"/>
    <w:qFormat/>
    <w:uiPriority w:val="0"/>
  </w:style>
  <w:style w:type="character" w:styleId="52">
    <w:name w:val="Hyperlink"/>
    <w:basedOn w:val="43"/>
    <w:qFormat/>
    <w:uiPriority w:val="99"/>
    <w:rPr>
      <w:rFonts w:cs="Times New Roman"/>
      <w:color w:val="0000FF"/>
      <w:u w:val="single"/>
    </w:rPr>
  </w:style>
  <w:style w:type="character" w:styleId="53">
    <w:name w:val="HTML Code"/>
    <w:basedOn w:val="43"/>
    <w:qFormat/>
    <w:uiPriority w:val="0"/>
    <w:rPr>
      <w:rFonts w:hint="default" w:ascii="Consolas" w:hAnsi="Consolas" w:eastAsia="Consolas" w:cs="Consolas"/>
      <w:color w:val="C7254E"/>
      <w:sz w:val="21"/>
      <w:szCs w:val="21"/>
      <w:shd w:val="clear" w:color="auto" w:fill="F9F2F4"/>
    </w:rPr>
  </w:style>
  <w:style w:type="character" w:styleId="54">
    <w:name w:val="annotation reference"/>
    <w:basedOn w:val="43"/>
    <w:qFormat/>
    <w:uiPriority w:val="99"/>
    <w:rPr>
      <w:rFonts w:cs="Times New Roman"/>
      <w:sz w:val="21"/>
    </w:rPr>
  </w:style>
  <w:style w:type="character" w:styleId="55">
    <w:name w:val="HTML Cite"/>
    <w:basedOn w:val="43"/>
    <w:qFormat/>
    <w:uiPriority w:val="0"/>
  </w:style>
  <w:style w:type="character" w:styleId="56">
    <w:name w:val="HTML Keyboard"/>
    <w:basedOn w:val="43"/>
    <w:qFormat/>
    <w:uiPriority w:val="0"/>
    <w:rPr>
      <w:rFonts w:ascii="Consolas" w:hAnsi="Consolas" w:eastAsia="Consolas" w:cs="Consolas"/>
      <w:color w:val="FFFFFF"/>
      <w:sz w:val="21"/>
      <w:szCs w:val="21"/>
      <w:shd w:val="clear" w:color="auto" w:fill="333333"/>
    </w:rPr>
  </w:style>
  <w:style w:type="character" w:styleId="57">
    <w:name w:val="HTML Sample"/>
    <w:basedOn w:val="43"/>
    <w:qFormat/>
    <w:uiPriority w:val="0"/>
    <w:rPr>
      <w:rFonts w:hint="default" w:ascii="Consolas" w:hAnsi="Consolas" w:eastAsia="Consolas" w:cs="Consolas"/>
      <w:sz w:val="21"/>
      <w:szCs w:val="21"/>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列出段落1"/>
    <w:basedOn w:val="1"/>
    <w:qFormat/>
    <w:uiPriority w:val="99"/>
    <w:pPr>
      <w:ind w:firstLine="420" w:firstLineChars="200"/>
    </w:pPr>
    <w:rPr>
      <w:rFonts w:ascii="Calibri" w:hAnsi="Calibri"/>
      <w:szCs w:val="22"/>
    </w:rPr>
  </w:style>
  <w:style w:type="paragraph" w:customStyle="1" w:styleId="60">
    <w:name w:val="样式 10 磅"/>
    <w:qFormat/>
    <w:uiPriority w:val="0"/>
    <w:pPr>
      <w:widowControl w:val="0"/>
      <w:jc w:val="both"/>
    </w:pPr>
    <w:rPr>
      <w:rFonts w:ascii="Calibri" w:hAnsi="Calibri" w:eastAsia="宋体" w:cs="Times New Roman"/>
      <w:kern w:val="2"/>
      <w:sz w:val="21"/>
      <w:szCs w:val="24"/>
      <w:lang w:val="en-US" w:eastAsia="zh-CN" w:bidi="ar-SA"/>
    </w:rPr>
  </w:style>
  <w:style w:type="character" w:customStyle="1" w:styleId="61">
    <w:name w:val="标题 1 Char"/>
    <w:basedOn w:val="43"/>
    <w:link w:val="3"/>
    <w:qFormat/>
    <w:uiPriority w:val="9"/>
    <w:rPr>
      <w:b/>
      <w:bCs/>
      <w:kern w:val="44"/>
      <w:sz w:val="44"/>
      <w:szCs w:val="44"/>
    </w:rPr>
  </w:style>
  <w:style w:type="character" w:customStyle="1" w:styleId="62">
    <w:name w:val="标题 2 Char"/>
    <w:basedOn w:val="43"/>
    <w:link w:val="2"/>
    <w:qFormat/>
    <w:locked/>
    <w:uiPriority w:val="99"/>
    <w:rPr>
      <w:rFonts w:ascii="Arial" w:hAnsi="Arial" w:eastAsia="黑体"/>
      <w:b/>
      <w:kern w:val="2"/>
      <w:sz w:val="32"/>
      <w:lang w:val="en-US" w:eastAsia="zh-CN"/>
    </w:rPr>
  </w:style>
  <w:style w:type="character" w:customStyle="1" w:styleId="63">
    <w:name w:val="标题 3 Char"/>
    <w:basedOn w:val="43"/>
    <w:link w:val="4"/>
    <w:semiHidden/>
    <w:qFormat/>
    <w:uiPriority w:val="9"/>
    <w:rPr>
      <w:b/>
      <w:bCs/>
      <w:sz w:val="32"/>
      <w:szCs w:val="32"/>
    </w:rPr>
  </w:style>
  <w:style w:type="character" w:customStyle="1" w:styleId="64">
    <w:name w:val="标题 4 Char"/>
    <w:basedOn w:val="43"/>
    <w:link w:val="5"/>
    <w:semiHidden/>
    <w:qFormat/>
    <w:uiPriority w:val="9"/>
    <w:rPr>
      <w:rFonts w:asciiTheme="majorHAnsi" w:hAnsiTheme="majorHAnsi" w:eastAsiaTheme="majorEastAsia" w:cstheme="majorBidi"/>
      <w:b/>
      <w:bCs/>
      <w:sz w:val="28"/>
      <w:szCs w:val="28"/>
    </w:rPr>
  </w:style>
  <w:style w:type="character" w:customStyle="1" w:styleId="65">
    <w:name w:val="标题 5 Char"/>
    <w:basedOn w:val="43"/>
    <w:link w:val="6"/>
    <w:qFormat/>
    <w:locked/>
    <w:uiPriority w:val="99"/>
    <w:rPr>
      <w:rFonts w:eastAsia="宋体"/>
      <w:b/>
      <w:kern w:val="2"/>
      <w:sz w:val="28"/>
      <w:lang w:val="en-US" w:eastAsia="zh-CN"/>
    </w:rPr>
  </w:style>
  <w:style w:type="character" w:customStyle="1" w:styleId="66">
    <w:name w:val="标题 6 Char"/>
    <w:basedOn w:val="43"/>
    <w:link w:val="7"/>
    <w:semiHidden/>
    <w:qFormat/>
    <w:uiPriority w:val="9"/>
    <w:rPr>
      <w:rFonts w:asciiTheme="majorHAnsi" w:hAnsiTheme="majorHAnsi" w:eastAsiaTheme="majorEastAsia" w:cstheme="majorBidi"/>
      <w:b/>
      <w:bCs/>
      <w:sz w:val="24"/>
      <w:szCs w:val="24"/>
    </w:rPr>
  </w:style>
  <w:style w:type="character" w:customStyle="1" w:styleId="67">
    <w:name w:val="标题 7 Char"/>
    <w:basedOn w:val="43"/>
    <w:link w:val="8"/>
    <w:semiHidden/>
    <w:qFormat/>
    <w:uiPriority w:val="9"/>
    <w:rPr>
      <w:b/>
      <w:bCs/>
      <w:sz w:val="24"/>
      <w:szCs w:val="24"/>
    </w:rPr>
  </w:style>
  <w:style w:type="character" w:customStyle="1" w:styleId="68">
    <w:name w:val="标题 8 Char"/>
    <w:basedOn w:val="43"/>
    <w:link w:val="9"/>
    <w:semiHidden/>
    <w:qFormat/>
    <w:uiPriority w:val="9"/>
    <w:rPr>
      <w:rFonts w:asciiTheme="majorHAnsi" w:hAnsiTheme="majorHAnsi" w:eastAsiaTheme="majorEastAsia" w:cstheme="majorBidi"/>
      <w:sz w:val="24"/>
      <w:szCs w:val="24"/>
    </w:rPr>
  </w:style>
  <w:style w:type="character" w:customStyle="1" w:styleId="69">
    <w:name w:val="标题 9 Char"/>
    <w:basedOn w:val="43"/>
    <w:link w:val="10"/>
    <w:semiHidden/>
    <w:qFormat/>
    <w:uiPriority w:val="9"/>
    <w:rPr>
      <w:rFonts w:asciiTheme="majorHAnsi" w:hAnsiTheme="majorHAnsi" w:eastAsiaTheme="majorEastAsia" w:cstheme="majorBidi"/>
      <w:szCs w:val="21"/>
    </w:rPr>
  </w:style>
  <w:style w:type="character" w:customStyle="1" w:styleId="70">
    <w:name w:val="文档结构图 Char"/>
    <w:basedOn w:val="43"/>
    <w:link w:val="13"/>
    <w:semiHidden/>
    <w:qFormat/>
    <w:uiPriority w:val="99"/>
    <w:rPr>
      <w:sz w:val="0"/>
      <w:szCs w:val="0"/>
    </w:rPr>
  </w:style>
  <w:style w:type="character" w:customStyle="1" w:styleId="71">
    <w:name w:val="批注文字 Char"/>
    <w:basedOn w:val="43"/>
    <w:link w:val="14"/>
    <w:semiHidden/>
    <w:qFormat/>
    <w:uiPriority w:val="99"/>
    <w:rPr>
      <w:szCs w:val="24"/>
    </w:rPr>
  </w:style>
  <w:style w:type="character" w:customStyle="1" w:styleId="72">
    <w:name w:val="正文文本 3 Char"/>
    <w:basedOn w:val="43"/>
    <w:link w:val="15"/>
    <w:semiHidden/>
    <w:qFormat/>
    <w:uiPriority w:val="99"/>
    <w:rPr>
      <w:sz w:val="16"/>
      <w:szCs w:val="16"/>
    </w:rPr>
  </w:style>
  <w:style w:type="character" w:customStyle="1" w:styleId="73">
    <w:name w:val="正文文本 Char"/>
    <w:basedOn w:val="43"/>
    <w:link w:val="16"/>
    <w:semiHidden/>
    <w:qFormat/>
    <w:uiPriority w:val="99"/>
    <w:rPr>
      <w:szCs w:val="24"/>
    </w:rPr>
  </w:style>
  <w:style w:type="character" w:customStyle="1" w:styleId="74">
    <w:name w:val="正文文本缩进 Char"/>
    <w:basedOn w:val="43"/>
    <w:link w:val="17"/>
    <w:qFormat/>
    <w:locked/>
    <w:uiPriority w:val="99"/>
    <w:rPr>
      <w:rFonts w:ascii="仿宋_GB2312" w:eastAsia="仿宋_GB2312" w:cs="Times New Roman"/>
      <w:spacing w:val="-12"/>
      <w:kern w:val="2"/>
      <w:sz w:val="24"/>
      <w:szCs w:val="24"/>
    </w:rPr>
  </w:style>
  <w:style w:type="character" w:customStyle="1" w:styleId="75">
    <w:name w:val="纯文本 Char"/>
    <w:basedOn w:val="43"/>
    <w:link w:val="21"/>
    <w:qFormat/>
    <w:locked/>
    <w:uiPriority w:val="99"/>
    <w:rPr>
      <w:rFonts w:ascii="宋体" w:hAnsi="Courier New" w:eastAsia="宋体"/>
      <w:kern w:val="2"/>
      <w:sz w:val="21"/>
      <w:lang w:val="en-US" w:eastAsia="zh-CN"/>
    </w:rPr>
  </w:style>
  <w:style w:type="character" w:customStyle="1" w:styleId="76">
    <w:name w:val="日期 Char"/>
    <w:basedOn w:val="43"/>
    <w:link w:val="23"/>
    <w:qFormat/>
    <w:locked/>
    <w:uiPriority w:val="99"/>
    <w:rPr>
      <w:rFonts w:ascii="宋体" w:hAnsi="宋体" w:eastAsia="宋体"/>
      <w:kern w:val="2"/>
      <w:sz w:val="24"/>
      <w:lang w:val="en-US" w:eastAsia="zh-CN"/>
    </w:rPr>
  </w:style>
  <w:style w:type="character" w:customStyle="1" w:styleId="77">
    <w:name w:val="正文文本缩进 2 Char"/>
    <w:basedOn w:val="43"/>
    <w:link w:val="24"/>
    <w:semiHidden/>
    <w:qFormat/>
    <w:uiPriority w:val="99"/>
    <w:rPr>
      <w:szCs w:val="24"/>
    </w:rPr>
  </w:style>
  <w:style w:type="character" w:customStyle="1" w:styleId="78">
    <w:name w:val="尾注文本 Char"/>
    <w:basedOn w:val="43"/>
    <w:link w:val="25"/>
    <w:semiHidden/>
    <w:qFormat/>
    <w:uiPriority w:val="99"/>
    <w:rPr>
      <w:szCs w:val="24"/>
    </w:rPr>
  </w:style>
  <w:style w:type="character" w:customStyle="1" w:styleId="79">
    <w:name w:val="批注框文本 Char"/>
    <w:basedOn w:val="43"/>
    <w:link w:val="26"/>
    <w:semiHidden/>
    <w:qFormat/>
    <w:uiPriority w:val="99"/>
    <w:rPr>
      <w:sz w:val="0"/>
      <w:szCs w:val="0"/>
    </w:rPr>
  </w:style>
  <w:style w:type="character" w:customStyle="1" w:styleId="80">
    <w:name w:val="页脚 Char"/>
    <w:basedOn w:val="43"/>
    <w:link w:val="27"/>
    <w:qFormat/>
    <w:locked/>
    <w:uiPriority w:val="99"/>
    <w:rPr>
      <w:rFonts w:eastAsia="宋体"/>
      <w:kern w:val="2"/>
      <w:sz w:val="18"/>
      <w:lang w:val="en-US" w:eastAsia="zh-CN"/>
    </w:rPr>
  </w:style>
  <w:style w:type="character" w:customStyle="1" w:styleId="81">
    <w:name w:val="页眉 Char"/>
    <w:basedOn w:val="43"/>
    <w:link w:val="28"/>
    <w:semiHidden/>
    <w:qFormat/>
    <w:uiPriority w:val="99"/>
    <w:rPr>
      <w:sz w:val="18"/>
      <w:szCs w:val="18"/>
    </w:rPr>
  </w:style>
  <w:style w:type="character" w:customStyle="1" w:styleId="82">
    <w:name w:val="正文文本缩进 3 Char"/>
    <w:basedOn w:val="43"/>
    <w:link w:val="32"/>
    <w:semiHidden/>
    <w:qFormat/>
    <w:uiPriority w:val="99"/>
    <w:rPr>
      <w:sz w:val="16"/>
      <w:szCs w:val="16"/>
    </w:rPr>
  </w:style>
  <w:style w:type="character" w:customStyle="1" w:styleId="83">
    <w:name w:val="正文文本 2 Char"/>
    <w:basedOn w:val="43"/>
    <w:link w:val="35"/>
    <w:semiHidden/>
    <w:qFormat/>
    <w:uiPriority w:val="99"/>
    <w:rPr>
      <w:szCs w:val="24"/>
    </w:rPr>
  </w:style>
  <w:style w:type="character" w:customStyle="1" w:styleId="84">
    <w:name w:val="标题 Char"/>
    <w:basedOn w:val="43"/>
    <w:link w:val="38"/>
    <w:qFormat/>
    <w:locked/>
    <w:uiPriority w:val="99"/>
    <w:rPr>
      <w:rFonts w:ascii="Arial" w:hAnsi="Arial" w:eastAsia="宋体"/>
      <w:b/>
      <w:sz w:val="32"/>
      <w:lang w:val="en-US" w:eastAsia="zh-CN"/>
    </w:rPr>
  </w:style>
  <w:style w:type="character" w:customStyle="1" w:styleId="85">
    <w:name w:val="style11"/>
    <w:basedOn w:val="43"/>
    <w:qFormat/>
    <w:uiPriority w:val="99"/>
    <w:rPr>
      <w:rFonts w:cs="Times New Roman"/>
    </w:rPr>
  </w:style>
  <w:style w:type="character" w:customStyle="1" w:styleId="86">
    <w:name w:val="apple-style-span"/>
    <w:basedOn w:val="43"/>
    <w:qFormat/>
    <w:uiPriority w:val="99"/>
    <w:rPr>
      <w:rFonts w:cs="Times New Roman"/>
    </w:rPr>
  </w:style>
  <w:style w:type="character" w:customStyle="1" w:styleId="87">
    <w:name w:val="font161"/>
    <w:qFormat/>
    <w:uiPriority w:val="99"/>
    <w:rPr>
      <w:b/>
      <w:sz w:val="32"/>
    </w:rPr>
  </w:style>
  <w:style w:type="paragraph" w:customStyle="1" w:styleId="88">
    <w:name w:val="样式 标题 3 + (中文) 黑体 小四 非加粗 段前: 7.8 磅 段后: 0 磅 行距: 固定值 20 磅"/>
    <w:basedOn w:val="4"/>
    <w:qFormat/>
    <w:uiPriority w:val="99"/>
    <w:pPr>
      <w:spacing w:before="0" w:after="0" w:line="400" w:lineRule="exact"/>
    </w:pPr>
    <w:rPr>
      <w:rFonts w:eastAsia="黑体" w:cs="宋体"/>
      <w:b w:val="0"/>
      <w:bCs w:val="0"/>
      <w:sz w:val="24"/>
      <w:szCs w:val="20"/>
    </w:rPr>
  </w:style>
  <w:style w:type="paragraph" w:customStyle="1" w:styleId="89">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0">
    <w:name w:val="样式 标题 2 + Times New Roman 四号 非加粗 段前: 5 磅 段后: 0 磅 行距: 固定值 20..."/>
    <w:basedOn w:val="2"/>
    <w:qFormat/>
    <w:uiPriority w:val="99"/>
    <w:pPr>
      <w:spacing w:before="100" w:after="0" w:line="400" w:lineRule="exact"/>
    </w:pPr>
    <w:rPr>
      <w:rFonts w:ascii="Times New Roman" w:hAnsi="Times New Roman" w:cs="宋体"/>
      <w:b w:val="0"/>
      <w:bCs w:val="0"/>
      <w:sz w:val="28"/>
      <w:szCs w:val="20"/>
    </w:rPr>
  </w:style>
  <w:style w:type="paragraph" w:customStyle="1" w:styleId="91">
    <w:name w:val="表格文字"/>
    <w:basedOn w:val="1"/>
    <w:qFormat/>
    <w:uiPriority w:val="99"/>
    <w:pPr>
      <w:adjustRightInd w:val="0"/>
      <w:spacing w:line="420" w:lineRule="atLeast"/>
      <w:jc w:val="left"/>
    </w:pPr>
    <w:rPr>
      <w:kern w:val="0"/>
      <w:szCs w:val="20"/>
    </w:rPr>
  </w:style>
  <w:style w:type="paragraph" w:customStyle="1" w:styleId="92">
    <w:name w:val="Char2"/>
    <w:basedOn w:val="1"/>
    <w:qFormat/>
    <w:uiPriority w:val="99"/>
  </w:style>
  <w:style w:type="paragraph" w:customStyle="1" w:styleId="93">
    <w:name w:val="Char"/>
    <w:basedOn w:val="1"/>
    <w:qFormat/>
    <w:uiPriority w:val="99"/>
    <w:pPr>
      <w:spacing w:line="360" w:lineRule="auto"/>
    </w:pPr>
    <w:rPr>
      <w:rFonts w:ascii="仿宋_GB2312" w:eastAsia="仿宋_GB2312"/>
      <w:b/>
      <w:sz w:val="32"/>
      <w:szCs w:val="20"/>
    </w:rPr>
  </w:style>
  <w:style w:type="paragraph" w:customStyle="1" w:styleId="94">
    <w:name w:val="样式1"/>
    <w:basedOn w:val="1"/>
    <w:qFormat/>
    <w:uiPriority w:val="99"/>
    <w:pPr>
      <w:spacing w:before="120" w:after="120" w:line="300" w:lineRule="auto"/>
    </w:pPr>
    <w:rPr>
      <w:rFonts w:ascii="宋体" w:hAnsi="宋体"/>
      <w:b/>
      <w:sz w:val="24"/>
      <w:szCs w:val="20"/>
    </w:rPr>
  </w:style>
  <w:style w:type="paragraph" w:customStyle="1" w:styleId="95">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96">
    <w:name w:val="目录"/>
    <w:basedOn w:val="1"/>
    <w:qFormat/>
    <w:uiPriority w:val="99"/>
    <w:pPr>
      <w:widowControl/>
      <w:jc w:val="center"/>
    </w:pPr>
    <w:rPr>
      <w:rFonts w:ascii="宋体"/>
      <w:b/>
      <w:kern w:val="0"/>
      <w:sz w:val="36"/>
      <w:szCs w:val="20"/>
    </w:rPr>
  </w:style>
  <w:style w:type="paragraph" w:customStyle="1" w:styleId="97">
    <w:name w:val="目录文字"/>
    <w:basedOn w:val="1"/>
    <w:qFormat/>
    <w:uiPriority w:val="99"/>
    <w:pPr>
      <w:widowControl/>
      <w:spacing w:line="480" w:lineRule="auto"/>
      <w:jc w:val="left"/>
    </w:pPr>
    <w:rPr>
      <w:rFonts w:ascii="宋体" w:hAnsi="宋体"/>
      <w:kern w:val="0"/>
      <w:sz w:val="24"/>
      <w:szCs w:val="20"/>
    </w:rPr>
  </w:style>
  <w:style w:type="paragraph" w:customStyle="1" w:styleId="98">
    <w:name w:val="style1"/>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customStyle="1" w:styleId="99">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customStyle="1" w:styleId="100">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01">
    <w:name w:val="表头"/>
    <w:basedOn w:val="1"/>
    <w:qFormat/>
    <w:uiPriority w:val="99"/>
    <w:pPr>
      <w:spacing w:line="360" w:lineRule="auto"/>
      <w:jc w:val="center"/>
    </w:pPr>
    <w:rPr>
      <w:rFonts w:ascii="黑体" w:eastAsia="黑体"/>
      <w:kern w:val="0"/>
      <w:sz w:val="24"/>
      <w:szCs w:val="20"/>
    </w:rPr>
  </w:style>
  <w:style w:type="paragraph" w:customStyle="1" w:styleId="102">
    <w:name w:val="1"/>
    <w:basedOn w:val="1"/>
    <w:next w:val="1"/>
    <w:qFormat/>
    <w:uiPriority w:val="99"/>
  </w:style>
  <w:style w:type="paragraph" w:customStyle="1" w:styleId="103">
    <w:name w:val="6'"/>
    <w:basedOn w:val="1"/>
    <w:qFormat/>
    <w:uiPriority w:val="99"/>
    <w:pPr>
      <w:autoSpaceDE w:val="0"/>
      <w:autoSpaceDN w:val="0"/>
      <w:adjustRightInd w:val="0"/>
      <w:snapToGrid w:val="0"/>
      <w:spacing w:line="320" w:lineRule="exact"/>
      <w:jc w:val="center"/>
    </w:pPr>
    <w:rPr>
      <w:spacing w:val="20"/>
      <w:kern w:val="28"/>
      <w:szCs w:val="20"/>
    </w:rPr>
  </w:style>
  <w:style w:type="paragraph" w:customStyle="1" w:styleId="104">
    <w:name w:val="_Style 14"/>
    <w:basedOn w:val="1"/>
    <w:qFormat/>
    <w:uiPriority w:val="99"/>
    <w:pPr>
      <w:spacing w:line="360" w:lineRule="auto"/>
    </w:pPr>
    <w:rPr>
      <w:szCs w:val="20"/>
    </w:rPr>
  </w:style>
  <w:style w:type="paragraph" w:customStyle="1" w:styleId="105">
    <w:name w:val="Char1"/>
    <w:basedOn w:val="1"/>
    <w:qFormat/>
    <w:uiPriority w:val="99"/>
    <w:pPr>
      <w:spacing w:line="360" w:lineRule="auto"/>
    </w:pPr>
    <w:rPr>
      <w:rFonts w:ascii="仿宋_GB2312" w:eastAsia="仿宋_GB2312"/>
      <w:b/>
      <w:sz w:val="32"/>
      <w:szCs w:val="20"/>
    </w:rPr>
  </w:style>
  <w:style w:type="paragraph" w:customStyle="1" w:styleId="106">
    <w:name w:val="p0"/>
    <w:basedOn w:val="1"/>
    <w:qFormat/>
    <w:uiPriority w:val="99"/>
    <w:pPr>
      <w:widowControl/>
    </w:pPr>
    <w:rPr>
      <w:kern w:val="0"/>
      <w:szCs w:val="21"/>
    </w:rPr>
  </w:style>
  <w:style w:type="paragraph" w:customStyle="1" w:styleId="107">
    <w:name w:val="样式 标题 1 + 黑体 三号 非加粗 居中 段前: 6 磅 段后: 6 磅 行距: 固定值 20 磅"/>
    <w:basedOn w:val="3"/>
    <w:qFormat/>
    <w:uiPriority w:val="99"/>
    <w:pPr>
      <w:spacing w:before="120" w:after="120" w:line="400" w:lineRule="exact"/>
      <w:jc w:val="center"/>
    </w:pPr>
    <w:rPr>
      <w:rFonts w:ascii="黑体" w:hAnsi="黑体" w:eastAsia="黑体" w:cs="宋体"/>
      <w:b w:val="0"/>
      <w:bCs w:val="0"/>
      <w:sz w:val="32"/>
      <w:szCs w:val="20"/>
    </w:rPr>
  </w:style>
  <w:style w:type="paragraph" w:customStyle="1" w:styleId="108">
    <w:name w:val="表格"/>
    <w:basedOn w:val="1"/>
    <w:qFormat/>
    <w:uiPriority w:val="99"/>
    <w:pPr>
      <w:jc w:val="center"/>
    </w:pPr>
    <w:rPr>
      <w:rFonts w:ascii="华文细黑" w:hAnsi="华文细黑"/>
      <w:kern w:val="0"/>
      <w:szCs w:val="20"/>
    </w:rPr>
  </w:style>
  <w:style w:type="paragraph" w:customStyle="1" w:styleId="109">
    <w:name w:val="xl52"/>
    <w:basedOn w:val="1"/>
    <w:qFormat/>
    <w:uiPriority w:val="99"/>
    <w:pPr>
      <w:widowControl/>
      <w:spacing w:before="100" w:beforeAutospacing="1" w:after="100" w:afterAutospacing="1"/>
      <w:jc w:val="center"/>
    </w:pPr>
    <w:rPr>
      <w:rFonts w:ascii="Arial Unicode MS" w:hAnsi="Arial Unicode MS"/>
      <w:b/>
      <w:kern w:val="0"/>
      <w:sz w:val="32"/>
      <w:szCs w:val="20"/>
    </w:rPr>
  </w:style>
  <w:style w:type="paragraph" w:customStyle="1" w:styleId="110">
    <w:name w:val="Char Char Char Char Char Char Char"/>
    <w:basedOn w:val="1"/>
    <w:qFormat/>
    <w:uiPriority w:val="99"/>
    <w:pPr>
      <w:widowControl/>
      <w:snapToGrid w:val="0"/>
      <w:spacing w:after="160" w:line="360" w:lineRule="auto"/>
      <w:jc w:val="left"/>
    </w:pPr>
    <w:rPr>
      <w:szCs w:val="20"/>
    </w:rPr>
  </w:style>
  <w:style w:type="paragraph" w:customStyle="1" w:styleId="111">
    <w:name w:val="Char Char Char Char Char Char Char1"/>
    <w:basedOn w:val="1"/>
    <w:qFormat/>
    <w:uiPriority w:val="99"/>
    <w:pPr>
      <w:widowControl/>
      <w:snapToGrid w:val="0"/>
      <w:spacing w:after="160" w:line="360" w:lineRule="auto"/>
      <w:jc w:val="left"/>
    </w:pPr>
    <w:rPr>
      <w:szCs w:val="20"/>
    </w:rPr>
  </w:style>
  <w:style w:type="paragraph" w:customStyle="1" w:styleId="112">
    <w:name w:val="Char Char Char"/>
    <w:basedOn w:val="5"/>
    <w:qFormat/>
    <w:uiPriority w:val="99"/>
    <w:pPr>
      <w:widowControl/>
      <w:tabs>
        <w:tab w:val="left" w:pos="495"/>
      </w:tabs>
      <w:spacing w:before="140" w:after="0" w:line="220" w:lineRule="atLeast"/>
      <w:ind w:left="720"/>
      <w:jc w:val="left"/>
    </w:pPr>
    <w:rPr>
      <w:rFonts w:ascii="Futura Bk BT" w:hAnsi="Futura Bk BT" w:eastAsia="宋体"/>
      <w:b w:val="0"/>
      <w:bCs w:val="0"/>
      <w:spacing w:val="-4"/>
      <w:kern w:val="28"/>
      <w:sz w:val="21"/>
      <w:szCs w:val="20"/>
      <w:lang w:val="en-AU" w:eastAsia="en-US"/>
    </w:rPr>
  </w:style>
  <w:style w:type="character" w:customStyle="1" w:styleId="113">
    <w:name w:val="ca-31"/>
    <w:basedOn w:val="43"/>
    <w:qFormat/>
    <w:uiPriority w:val="0"/>
    <w:rPr>
      <w:rFonts w:cs="Times New Roman"/>
    </w:rPr>
  </w:style>
  <w:style w:type="paragraph" w:customStyle="1" w:styleId="114">
    <w:name w:val="纯文本1"/>
    <w:basedOn w:val="1"/>
    <w:qFormat/>
    <w:uiPriority w:val="0"/>
    <w:pPr>
      <w:spacing w:line="324" w:lineRule="auto"/>
    </w:pPr>
    <w:rPr>
      <w:rFonts w:ascii="宋体" w:hAnsi="Courier New" w:cs="Courier New"/>
      <w:szCs w:val="21"/>
    </w:rPr>
  </w:style>
  <w:style w:type="paragraph" w:customStyle="1" w:styleId="115">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116">
    <w:name w:val="表格文字中"/>
    <w:basedOn w:val="1"/>
    <w:qFormat/>
    <w:uiPriority w:val="0"/>
    <w:pPr>
      <w:adjustRightInd w:val="0"/>
      <w:snapToGrid w:val="0"/>
      <w:ind w:left="22" w:leftChars="8"/>
      <w:jc w:val="center"/>
    </w:pPr>
    <w:rPr>
      <w:kern w:val="0"/>
    </w:rPr>
  </w:style>
  <w:style w:type="paragraph" w:customStyle="1" w:styleId="117">
    <w:name w:val="表注1"/>
    <w:basedOn w:val="1"/>
    <w:qFormat/>
    <w:uiPriority w:val="0"/>
    <w:pPr>
      <w:adjustRightInd w:val="0"/>
      <w:snapToGrid w:val="0"/>
      <w:spacing w:beforeLines="50" w:line="300" w:lineRule="auto"/>
      <w:ind w:left="350" w:hanging="350" w:hangingChars="350"/>
    </w:pPr>
    <w:rPr>
      <w:rFonts w:eastAsia="仿宋_GB2312"/>
      <w:bCs/>
      <w:color w:val="000000"/>
    </w:rPr>
  </w:style>
  <w:style w:type="paragraph" w:customStyle="1" w:styleId="118">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119">
    <w:name w:val="正文 New"/>
    <w:qFormat/>
    <w:uiPriority w:val="99"/>
    <w:pPr>
      <w:widowControl w:val="0"/>
      <w:jc w:val="both"/>
    </w:pPr>
    <w:rPr>
      <w:rFonts w:ascii="Calibri" w:hAnsi="Calibri" w:eastAsia="宋体" w:cs="Times New Roman"/>
      <w:lang w:val="en-US" w:eastAsia="zh-CN" w:bidi="ar-SA"/>
    </w:rPr>
  </w:style>
  <w:style w:type="paragraph" w:customStyle="1" w:styleId="12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character" w:customStyle="1" w:styleId="121">
    <w:name w:val="批注主题 Char"/>
    <w:basedOn w:val="71"/>
    <w:link w:val="39"/>
    <w:qFormat/>
    <w:uiPriority w:val="0"/>
    <w:rPr>
      <w:b/>
      <w:bCs/>
      <w:kern w:val="2"/>
      <w:sz w:val="21"/>
      <w:szCs w:val="24"/>
    </w:rPr>
  </w:style>
  <w:style w:type="character" w:customStyle="1" w:styleId="122">
    <w:name w:val="hour_pm"/>
    <w:basedOn w:val="43"/>
    <w:qFormat/>
    <w:uiPriority w:val="0"/>
  </w:style>
  <w:style w:type="character" w:customStyle="1" w:styleId="123">
    <w:name w:val="indent"/>
    <w:basedOn w:val="43"/>
    <w:qFormat/>
    <w:uiPriority w:val="0"/>
  </w:style>
  <w:style w:type="character" w:customStyle="1" w:styleId="124">
    <w:name w:val="hour_am"/>
    <w:basedOn w:val="43"/>
    <w:qFormat/>
    <w:uiPriority w:val="0"/>
  </w:style>
  <w:style w:type="character" w:customStyle="1" w:styleId="125">
    <w:name w:val="button"/>
    <w:basedOn w:val="43"/>
    <w:qFormat/>
    <w:uiPriority w:val="0"/>
  </w:style>
  <w:style w:type="character" w:customStyle="1" w:styleId="126">
    <w:name w:val="hover3"/>
    <w:basedOn w:val="43"/>
    <w:qFormat/>
    <w:uiPriority w:val="0"/>
    <w:rPr>
      <w:shd w:val="clear" w:color="auto" w:fill="EEEEEE"/>
    </w:rPr>
  </w:style>
  <w:style w:type="character" w:customStyle="1" w:styleId="127">
    <w:name w:val="old"/>
    <w:basedOn w:val="43"/>
    <w:qFormat/>
    <w:uiPriority w:val="0"/>
    <w:rPr>
      <w:color w:val="999999"/>
    </w:rPr>
  </w:style>
  <w:style w:type="character" w:customStyle="1" w:styleId="128">
    <w:name w:val="glyphicon4"/>
    <w:basedOn w:val="43"/>
    <w:qFormat/>
    <w:uiPriority w:val="0"/>
  </w:style>
  <w:style w:type="character" w:customStyle="1" w:styleId="129">
    <w:name w:val="tmpztreemove_arrow"/>
    <w:basedOn w:val="43"/>
    <w:qFormat/>
    <w:uiPriority w:val="0"/>
    <w:rPr>
      <w:shd w:val="clear" w:color="auto" w:fill="FFFFFF"/>
    </w:rPr>
  </w:style>
  <w:style w:type="paragraph" w:customStyle="1" w:styleId="130">
    <w:name w:val="WPSOffice手动目录 1"/>
    <w:qFormat/>
    <w:uiPriority w:val="0"/>
    <w:rPr>
      <w:rFonts w:ascii="Times New Roman" w:hAnsi="Times New Roman" w:eastAsia="宋体" w:cs="Times New Roman"/>
      <w:lang w:val="en-US" w:eastAsia="zh-CN" w:bidi="ar-SA"/>
    </w:rPr>
  </w:style>
  <w:style w:type="paragraph" w:customStyle="1" w:styleId="131">
    <w:name w:val="TOC 标题1"/>
    <w:basedOn w:val="3"/>
    <w:next w:val="1"/>
    <w:qFormat/>
    <w:uiPriority w:val="39"/>
    <w:pPr>
      <w:tabs>
        <w:tab w:val="left" w:pos="1440"/>
        <w:tab w:val="left" w:pos="5670"/>
      </w:tabs>
      <w:spacing w:before="480" w:after="0" w:line="276" w:lineRule="auto"/>
      <w:jc w:val="left"/>
      <w:outlineLvl w:val="9"/>
    </w:pPr>
    <w:rPr>
      <w:rFonts w:ascii="仿宋" w:hAnsi="仿宋" w:eastAsia="仿宋"/>
      <w:color w:val="000000"/>
      <w:kern w:val="0"/>
      <w:sz w:val="32"/>
      <w:szCs w:val="32"/>
    </w:rPr>
  </w:style>
  <w:style w:type="paragraph" w:styleId="132">
    <w:name w:val="List Paragraph"/>
    <w:basedOn w:val="1"/>
    <w:unhideWhenUsed/>
    <w:qFormat/>
    <w:uiPriority w:val="99"/>
    <w:pPr>
      <w:ind w:firstLine="420" w:firstLineChars="200"/>
    </w:pPr>
  </w:style>
  <w:style w:type="paragraph" w:customStyle="1" w:styleId="13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4">
    <w:name w:val="样式 首行缩进:  2 字符"/>
    <w:basedOn w:val="1"/>
    <w:qFormat/>
    <w:uiPriority w:val="0"/>
    <w:pPr>
      <w:spacing w:line="400" w:lineRule="exact"/>
      <w:ind w:firstLine="200" w:firstLineChars="200"/>
    </w:pPr>
    <w:rPr>
      <w:rFonts w:cs="宋体"/>
      <w:sz w:val="24"/>
    </w:rPr>
  </w:style>
  <w:style w:type="character" w:customStyle="1" w:styleId="135">
    <w:name w:val="NormalCharacter"/>
    <w:qFormat/>
    <w:uiPriority w:val="0"/>
    <w:rPr>
      <w:rFonts w:ascii="宋体"/>
      <w:sz w:val="24"/>
      <w:lang w:val="en-US" w:eastAsia="zh-CN" w:bidi="ar-SA"/>
    </w:rPr>
  </w:style>
  <w:style w:type="paragraph" w:customStyle="1" w:styleId="136">
    <w:name w:val="样式2"/>
    <w:basedOn w:val="137"/>
    <w:qFormat/>
    <w:uiPriority w:val="0"/>
    <w:pPr>
      <w:spacing w:line="560" w:lineRule="exact"/>
      <w:ind w:firstLine="643" w:firstLineChars="200"/>
      <w:jc w:val="both"/>
    </w:pPr>
    <w:rPr>
      <w:rFonts w:ascii="仿宋_GB2312" w:hAnsi="仿宋" w:eastAsia="仿宋_GB2312"/>
      <w:b/>
      <w:bCs/>
      <w:szCs w:val="32"/>
    </w:rPr>
  </w:style>
  <w:style w:type="paragraph" w:customStyle="1" w:styleId="137">
    <w:name w:val="@标题"/>
    <w:basedOn w:val="1"/>
    <w:next w:val="138"/>
    <w:qFormat/>
    <w:uiPriority w:val="0"/>
    <w:pPr>
      <w:keepNext/>
      <w:spacing w:before="50" w:beforeLines="50" w:after="50" w:afterLines="50"/>
      <w:jc w:val="center"/>
      <w:outlineLvl w:val="1"/>
    </w:pPr>
    <w:rPr>
      <w:rFonts w:ascii="Calibri" w:hAnsi="Calibri" w:eastAsia="黑体"/>
      <w:kern w:val="32"/>
      <w:sz w:val="32"/>
    </w:rPr>
  </w:style>
  <w:style w:type="paragraph" w:customStyle="1" w:styleId="138">
    <w:name w:val="@正文"/>
    <w:basedOn w:val="139"/>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39">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140">
    <w:name w:val="4"/>
    <w:basedOn w:val="1"/>
    <w:next w:val="132"/>
    <w:qFormat/>
    <w:uiPriority w:val="34"/>
    <w:pPr>
      <w:ind w:firstLine="420" w:firstLineChars="200"/>
    </w:pPr>
  </w:style>
  <w:style w:type="paragraph" w:customStyle="1" w:styleId="141">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65</Pages>
  <Words>30995</Words>
  <Characters>34033</Characters>
  <Lines>247</Lines>
  <Paragraphs>69</Paragraphs>
  <TotalTime>1</TotalTime>
  <ScaleCrop>false</ScaleCrop>
  <LinksUpToDate>false</LinksUpToDate>
  <CharactersWithSpaces>35548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2021-02-04T00:59:00Z</dcterms:created>
  <dc:creator>adminis</dc:creator>
  <cp:lastModifiedBy>Administrator</cp:lastModifiedBy>
  <cp:lastPrinted>2022-10-10T01:33:00Z</cp:lastPrinted>
  <dcterms:modified xsi:type="dcterms:W3CDTF">2023-03-13T06:41:39Z</dcterms:modified>
  <dc:title>招标编号：SXLHZB2012-831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BB66D73F6F894264BF64047B7AEAFD8D</vt:lpwstr>
  </property>
</Properties>
</file>