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sz w:val="56"/>
          <w:szCs w:val="72"/>
        </w:rPr>
      </w:pPr>
      <w:r>
        <w:rPr>
          <w:rFonts w:hint="eastAsia"/>
          <w:sz w:val="56"/>
          <w:szCs w:val="72"/>
        </w:rPr>
        <w:t>西安市重点区域环境空气颗粒物监管能力运维项目（包2）</w:t>
      </w:r>
    </w:p>
    <w:p>
      <w:pPr>
        <w:pStyle w:val="2"/>
        <w:rPr>
          <w:rFonts w:hint="eastAsia"/>
          <w:sz w:val="56"/>
          <w:szCs w:val="72"/>
        </w:rPr>
      </w:pPr>
    </w:p>
    <w:p>
      <w:pPr>
        <w:rPr>
          <w:rFonts w:hint="eastAsia"/>
        </w:rPr>
      </w:pPr>
    </w:p>
    <w:p>
      <w:pPr>
        <w:pStyle w:val="2"/>
      </w:pPr>
    </w:p>
    <w:p>
      <w:pPr>
        <w:widowControl/>
        <w:ind w:firstLine="1611" w:firstLineChars="100"/>
        <w:rPr>
          <w:rFonts w:ascii="华文中宋" w:hAnsi="华文中宋" w:eastAsia="华文中宋" w:cs="Calibri Light"/>
          <w:sz w:val="96"/>
          <w:szCs w:val="96"/>
        </w:rPr>
      </w:pPr>
      <w:r>
        <w:rPr>
          <w:rFonts w:ascii="华文中宋" w:hAnsi="华文中宋" w:eastAsia="华文中宋" w:cs="Calibri Light"/>
          <w:spacing w:val="324"/>
          <w:kern w:val="0"/>
          <w:sz w:val="96"/>
          <w:szCs w:val="96"/>
          <w:fitText w:val="5784" w:id="-1444721664"/>
        </w:rPr>
        <w:t>招标文</w:t>
      </w:r>
      <w:r>
        <w:rPr>
          <w:rFonts w:ascii="华文中宋" w:hAnsi="华文中宋" w:eastAsia="华文中宋" w:cs="Calibri Light"/>
          <w:spacing w:val="0"/>
          <w:kern w:val="0"/>
          <w:sz w:val="96"/>
          <w:szCs w:val="96"/>
          <w:fitText w:val="5784" w:id="-1444721664"/>
        </w:rPr>
        <w:t>件</w:t>
      </w:r>
    </w:p>
    <w:p>
      <w:pPr>
        <w:widowControl/>
        <w:jc w:val="center"/>
        <w:rPr>
          <w:rFonts w:ascii="Calibri Light" w:hAnsi="Calibri Light" w:eastAsia="华文仿宋" w:cs="Calibri Light"/>
          <w:sz w:val="36"/>
          <w:szCs w:val="36"/>
        </w:rPr>
      </w:pPr>
    </w:p>
    <w:p>
      <w:pPr>
        <w:widowControl/>
        <w:ind w:left="3288" w:leftChars="692" w:right="532" w:rightChars="250" w:hanging="1815" w:hangingChars="500"/>
        <w:rPr>
          <w:rFonts w:asciiTheme="minorEastAsia" w:hAnsiTheme="minorEastAsia" w:cstheme="minorEastAsia"/>
          <w:sz w:val="36"/>
          <w:szCs w:val="36"/>
        </w:rPr>
      </w:pPr>
      <w:r>
        <w:rPr>
          <w:rFonts w:hint="eastAsia" w:asciiTheme="minorEastAsia" w:hAnsiTheme="minorEastAsia" w:cstheme="minorEastAsia"/>
          <w:sz w:val="36"/>
          <w:szCs w:val="36"/>
        </w:rPr>
        <w:t>项目名称：西安市重点区域环境空气颗粒物监管能力运维项目（包2）</w:t>
      </w:r>
    </w:p>
    <w:p>
      <w:pPr>
        <w:widowControl/>
        <w:ind w:left="2562" w:leftChars="692" w:right="532" w:rightChars="250" w:hanging="1089" w:hangingChars="300"/>
        <w:jc w:val="left"/>
        <w:rPr>
          <w:rFonts w:asciiTheme="minorEastAsia" w:hAnsiTheme="minorEastAsia" w:cstheme="minorEastAsia"/>
          <w:sz w:val="36"/>
          <w:szCs w:val="36"/>
        </w:rPr>
      </w:pPr>
      <w:r>
        <w:rPr>
          <w:rFonts w:hint="eastAsia" w:asciiTheme="minorEastAsia" w:hAnsiTheme="minorEastAsia" w:cstheme="minorEastAsia"/>
          <w:sz w:val="36"/>
          <w:szCs w:val="36"/>
        </w:rPr>
        <w:t>项目编号：SXDXYZB2023-005-02</w:t>
      </w:r>
    </w:p>
    <w:p>
      <w:pPr>
        <w:widowControl/>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pStyle w:val="2"/>
      </w:pPr>
    </w:p>
    <w:p>
      <w:pPr>
        <w:pStyle w:val="2"/>
      </w:pPr>
    </w:p>
    <w:p>
      <w:pPr>
        <w:widowControl/>
        <w:ind w:right="532" w:rightChars="250" w:firstLine="1089" w:firstLineChars="300"/>
        <w:rPr>
          <w:rFonts w:hint="eastAsia" w:asciiTheme="minorEastAsia" w:hAnsiTheme="minorEastAsia" w:cstheme="minorEastAsia"/>
          <w:sz w:val="36"/>
          <w:szCs w:val="36"/>
        </w:rPr>
      </w:pPr>
      <w:r>
        <w:rPr>
          <w:rFonts w:hint="eastAsia" w:asciiTheme="minorEastAsia" w:hAnsiTheme="minorEastAsia" w:cstheme="minorEastAsia"/>
          <w:sz w:val="36"/>
          <w:szCs w:val="36"/>
        </w:rPr>
        <w:t xml:space="preserve">采   购  </w:t>
      </w:r>
      <w:r>
        <w:rPr>
          <w:rFonts w:hint="eastAsia" w:asciiTheme="minorEastAsia" w:hAnsiTheme="minorEastAsia" w:cstheme="minorEastAsia"/>
          <w:sz w:val="36"/>
          <w:szCs w:val="36"/>
          <w:lang w:val="en-US" w:eastAsia="zh-CN"/>
        </w:rPr>
        <w:t xml:space="preserve"> </w:t>
      </w:r>
      <w:r>
        <w:rPr>
          <w:rFonts w:hint="eastAsia" w:asciiTheme="minorEastAsia" w:hAnsiTheme="minorEastAsia" w:cstheme="minorEastAsia"/>
          <w:sz w:val="36"/>
          <w:szCs w:val="36"/>
        </w:rPr>
        <w:t>人：西安市智慧环保综合指挥中心</w:t>
      </w:r>
    </w:p>
    <w:p>
      <w:pPr>
        <w:widowControl/>
        <w:ind w:left="3288" w:leftChars="692" w:right="532" w:rightChars="250" w:hanging="1815" w:hangingChars="500"/>
        <w:rPr>
          <w:rFonts w:hint="eastAsia" w:asciiTheme="minorEastAsia" w:hAnsiTheme="minorEastAsia" w:cstheme="minorEastAsia"/>
          <w:sz w:val="36"/>
          <w:szCs w:val="36"/>
        </w:rPr>
      </w:pPr>
    </w:p>
    <w:p>
      <w:pPr>
        <w:widowControl/>
        <w:ind w:right="532" w:rightChars="250" w:firstLine="1089" w:firstLineChars="300"/>
        <w:rPr>
          <w:rFonts w:ascii="Calibri Light" w:hAnsi="Calibri Light" w:eastAsia="华文仿宋" w:cs="Calibri Light"/>
          <w:sz w:val="36"/>
          <w:szCs w:val="36"/>
        </w:rPr>
      </w:pPr>
      <w:r>
        <w:rPr>
          <w:rFonts w:hint="eastAsia" w:asciiTheme="minorEastAsia" w:hAnsiTheme="minorEastAsia" w:cstheme="minorEastAsia"/>
          <w:sz w:val="36"/>
          <w:szCs w:val="36"/>
        </w:rPr>
        <w:t>采购代理机构：陕西德欣源项目管理有限公司</w:t>
      </w:r>
    </w:p>
    <w:p>
      <w:pPr>
        <w:widowControl/>
        <w:jc w:val="center"/>
        <w:rPr>
          <w:rFonts w:hint="eastAsia" w:asciiTheme="minorEastAsia" w:hAnsiTheme="minorEastAsia" w:cstheme="minorEastAsia"/>
          <w:sz w:val="36"/>
          <w:szCs w:val="36"/>
        </w:rPr>
      </w:pPr>
    </w:p>
    <w:p>
      <w:pPr>
        <w:widowControl/>
        <w:jc w:val="center"/>
        <w:rPr>
          <w:rFonts w:asciiTheme="minorEastAsia" w:hAnsiTheme="minorEastAsia" w:cstheme="minorEastAsia"/>
          <w:sz w:val="36"/>
          <w:szCs w:val="36"/>
        </w:rPr>
      </w:pPr>
      <w:r>
        <w:rPr>
          <w:rFonts w:hint="eastAsia" w:asciiTheme="minorEastAsia" w:hAnsiTheme="minorEastAsia" w:cstheme="minorEastAsia"/>
          <w:sz w:val="36"/>
          <w:szCs w:val="36"/>
        </w:rPr>
        <w:fldChar w:fldCharType="begin"/>
      </w:r>
      <w:r>
        <w:rPr>
          <w:rFonts w:hint="eastAsia" w:asciiTheme="minorEastAsia" w:hAnsiTheme="minorEastAsia" w:cstheme="minorEastAsia"/>
          <w:sz w:val="36"/>
          <w:szCs w:val="36"/>
        </w:rPr>
        <w:instrText xml:space="preserve"> TIME \@ "yyyy年M月" </w:instrText>
      </w:r>
      <w:r>
        <w:rPr>
          <w:rFonts w:hint="eastAsia" w:asciiTheme="minorEastAsia" w:hAnsiTheme="minorEastAsia" w:cstheme="minorEastAsia"/>
          <w:sz w:val="36"/>
          <w:szCs w:val="36"/>
        </w:rPr>
        <w:fldChar w:fldCharType="separate"/>
      </w:r>
      <w:r>
        <w:rPr>
          <w:rFonts w:hint="eastAsia" w:asciiTheme="minorEastAsia" w:hAnsiTheme="minorEastAsia" w:cstheme="minorEastAsia"/>
          <w:sz w:val="36"/>
          <w:szCs w:val="36"/>
        </w:rPr>
        <w:t>2023年3月</w:t>
      </w:r>
      <w:r>
        <w:rPr>
          <w:rFonts w:hint="eastAsia" w:asciiTheme="minorEastAsia" w:hAnsiTheme="minorEastAsia" w:cstheme="minorEastAsia"/>
          <w:sz w:val="36"/>
          <w:szCs w:val="36"/>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pgNumType w:start="1"/>
          <w:cols w:space="425" w:num="1"/>
          <w:docGrid w:type="linesAndChars" w:linePitch="381" w:charSpace="704"/>
        </w:sectPr>
      </w:pPr>
    </w:p>
    <w:p>
      <w:pPr>
        <w:widowControl/>
        <w:jc w:val="center"/>
        <w:rPr>
          <w:rFonts w:ascii="Calibri Light" w:hAnsi="Calibri Light" w:eastAsia="华文仿宋" w:cs="Calibri Light"/>
          <w:sz w:val="36"/>
          <w:szCs w:val="36"/>
        </w:rPr>
      </w:pPr>
    </w:p>
    <w:p>
      <w:pPr>
        <w:widowControl/>
        <w:jc w:val="center"/>
        <w:rPr>
          <w:rFonts w:ascii="宋体" w:hAnsi="宋体" w:eastAsia="宋体" w:cs="宋体"/>
          <w:b/>
          <w:sz w:val="44"/>
          <w:szCs w:val="44"/>
        </w:rPr>
      </w:pPr>
      <w:r>
        <w:rPr>
          <w:rFonts w:hint="eastAsia" w:ascii="宋体" w:hAnsi="宋体" w:eastAsia="宋体" w:cs="宋体"/>
          <w:b/>
          <w:sz w:val="44"/>
          <w:szCs w:val="44"/>
        </w:rPr>
        <w:t>目  录</w:t>
      </w:r>
    </w:p>
    <w:p>
      <w:pPr>
        <w:widowControl/>
        <w:jc w:val="center"/>
        <w:rPr>
          <w:rFonts w:ascii="Calibri Light" w:hAnsi="Calibri Light" w:eastAsia="华文仿宋" w:cs="Calibri Light"/>
          <w:sz w:val="28"/>
          <w:szCs w:val="28"/>
        </w:rPr>
      </w:pPr>
    </w:p>
    <w:p>
      <w:pPr>
        <w:pStyle w:val="18"/>
        <w:tabs>
          <w:tab w:val="right" w:leader="hyphen" w:pos="9072"/>
        </w:tabs>
        <w:spacing w:before="381" w:after="381"/>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"1-3" \h \u </w:instrText>
      </w:r>
      <w:r>
        <w:rPr>
          <w:rFonts w:hint="eastAsia" w:asciiTheme="minorEastAsia" w:hAnsiTheme="minorEastAsia" w:eastAsiaTheme="minorEastAsia" w:cstheme="minorEastAsia"/>
          <w:sz w:val="36"/>
          <w:szCs w:val="36"/>
        </w:rPr>
        <w:fldChar w:fldCharType="separate"/>
      </w:r>
      <w:r>
        <w:fldChar w:fldCharType="begin"/>
      </w:r>
      <w:r>
        <w:instrText xml:space="preserve"> HYPERLINK \l "_Toc12241" </w:instrText>
      </w:r>
      <w:r>
        <w:fldChar w:fldCharType="separate"/>
      </w:r>
      <w:r>
        <w:rPr>
          <w:rFonts w:hint="eastAsia" w:ascii="宋体" w:hAnsi="宋体" w:cs="宋体"/>
          <w:szCs w:val="36"/>
        </w:rPr>
        <w:t>第一章  招标公告</w:t>
      </w:r>
      <w:r>
        <w:tab/>
      </w:r>
      <w:r>
        <w:fldChar w:fldCharType="begin"/>
      </w:r>
      <w:r>
        <w:instrText xml:space="preserve"> PAGEREF _Toc12241 \h </w:instrText>
      </w:r>
      <w:r>
        <w:fldChar w:fldCharType="separate"/>
      </w:r>
      <w:r>
        <w:t>2</w:t>
      </w:r>
      <w:r>
        <w:fldChar w:fldCharType="end"/>
      </w:r>
      <w:r>
        <w:fldChar w:fldCharType="end"/>
      </w:r>
    </w:p>
    <w:p>
      <w:pPr>
        <w:pStyle w:val="18"/>
        <w:tabs>
          <w:tab w:val="right" w:leader="hyphen" w:pos="9072"/>
        </w:tabs>
        <w:spacing w:before="381" w:after="381"/>
        <w:rPr>
          <w:rFonts w:hint="eastAsia" w:eastAsia="宋体"/>
          <w:lang w:val="en-US" w:eastAsia="zh-CN"/>
        </w:rPr>
      </w:pPr>
      <w:r>
        <w:fldChar w:fldCharType="begin"/>
      </w:r>
      <w:r>
        <w:instrText xml:space="preserve"> HYPERLINK \l "_Toc8626" </w:instrText>
      </w:r>
      <w:r>
        <w:fldChar w:fldCharType="separate"/>
      </w:r>
      <w:r>
        <w:rPr>
          <w:rFonts w:hint="eastAsia" w:ascii="宋体" w:hAnsi="宋体" w:cs="宋体"/>
          <w:szCs w:val="36"/>
        </w:rPr>
        <w:t>第二章 服务商须知</w:t>
      </w:r>
      <w:r>
        <w:tab/>
      </w:r>
      <w:r>
        <w:rPr>
          <w:rFonts w:hint="eastAsia"/>
          <w:lang w:val="en-US" w:eastAsia="zh-CN"/>
        </w:rPr>
        <w:t>1</w:t>
      </w:r>
      <w:r>
        <w:fldChar w:fldCharType="end"/>
      </w:r>
      <w:r>
        <w:rPr>
          <w:rFonts w:hint="eastAsia"/>
          <w:lang w:val="en-US" w:eastAsia="zh-CN"/>
        </w:rPr>
        <w:t>1</w:t>
      </w:r>
    </w:p>
    <w:p>
      <w:pPr>
        <w:pStyle w:val="18"/>
        <w:tabs>
          <w:tab w:val="right" w:leader="hyphen" w:pos="9072"/>
        </w:tabs>
        <w:spacing w:before="381" w:after="381"/>
      </w:pPr>
      <w:r>
        <w:fldChar w:fldCharType="begin"/>
      </w:r>
      <w:r>
        <w:instrText xml:space="preserve"> HYPERLINK \l "_Toc8517" </w:instrText>
      </w:r>
      <w:r>
        <w:fldChar w:fldCharType="separate"/>
      </w:r>
      <w:r>
        <w:rPr>
          <w:rFonts w:hint="eastAsia" w:ascii="宋体" w:hAnsi="宋体" w:cs="宋体"/>
          <w:bCs/>
          <w:szCs w:val="36"/>
        </w:rPr>
        <w:t>第三章 招标内容及要求</w:t>
      </w:r>
      <w:r>
        <w:tab/>
      </w:r>
      <w:r>
        <w:fldChar w:fldCharType="begin"/>
      </w:r>
      <w:r>
        <w:instrText xml:space="preserve"> PAGEREF _Toc8517 \h </w:instrText>
      </w:r>
      <w:r>
        <w:fldChar w:fldCharType="separate"/>
      </w:r>
      <w:r>
        <w:t>33</w:t>
      </w:r>
      <w:r>
        <w:fldChar w:fldCharType="end"/>
      </w:r>
      <w:r>
        <w:fldChar w:fldCharType="end"/>
      </w:r>
    </w:p>
    <w:p>
      <w:pPr>
        <w:pStyle w:val="18"/>
        <w:tabs>
          <w:tab w:val="right" w:leader="hyphen" w:pos="9072"/>
        </w:tabs>
        <w:spacing w:before="381" w:after="381"/>
      </w:pPr>
      <w:r>
        <w:fldChar w:fldCharType="begin"/>
      </w:r>
      <w:r>
        <w:instrText xml:space="preserve"> HYPERLINK \l "_Toc8729" </w:instrText>
      </w:r>
      <w:r>
        <w:fldChar w:fldCharType="separate"/>
      </w:r>
      <w:r>
        <w:rPr>
          <w:rFonts w:hint="eastAsia" w:ascii="宋体" w:hAnsi="宋体" w:cs="宋体"/>
          <w:bCs/>
          <w:szCs w:val="36"/>
        </w:rPr>
        <w:t>第四章  合同文本</w:t>
      </w:r>
      <w:r>
        <w:tab/>
      </w:r>
      <w:r>
        <w:fldChar w:fldCharType="begin"/>
      </w:r>
      <w:r>
        <w:instrText xml:space="preserve"> PAGEREF _Toc8729 \h </w:instrText>
      </w:r>
      <w:r>
        <w:fldChar w:fldCharType="separate"/>
      </w:r>
      <w:r>
        <w:t>56</w:t>
      </w:r>
      <w:r>
        <w:fldChar w:fldCharType="end"/>
      </w:r>
      <w:r>
        <w:fldChar w:fldCharType="end"/>
      </w:r>
    </w:p>
    <w:p>
      <w:pPr>
        <w:pStyle w:val="18"/>
        <w:tabs>
          <w:tab w:val="right" w:leader="hyphen" w:pos="9072"/>
        </w:tabs>
        <w:spacing w:before="381" w:after="381"/>
      </w:pPr>
      <w:r>
        <w:fldChar w:fldCharType="begin"/>
      </w:r>
      <w:r>
        <w:instrText xml:space="preserve"> HYPERLINK \l "_Toc25445" </w:instrText>
      </w:r>
      <w:r>
        <w:fldChar w:fldCharType="separate"/>
      </w:r>
      <w:r>
        <w:rPr>
          <w:rFonts w:hint="eastAsia" w:ascii="宋体" w:hAnsi="宋体" w:cs="宋体"/>
          <w:bCs/>
          <w:szCs w:val="36"/>
        </w:rPr>
        <w:t>第五章  投标文件构成及格式</w:t>
      </w:r>
      <w:r>
        <w:tab/>
      </w:r>
      <w:r>
        <w:fldChar w:fldCharType="begin"/>
      </w:r>
      <w:r>
        <w:instrText xml:space="preserve"> PAGEREF _Toc25445 \h </w:instrText>
      </w:r>
      <w:r>
        <w:fldChar w:fldCharType="separate"/>
      </w:r>
      <w:r>
        <w:t>66</w:t>
      </w:r>
      <w:r>
        <w:fldChar w:fldCharType="end"/>
      </w:r>
      <w:r>
        <w:fldChar w:fldCharType="end"/>
      </w:r>
    </w:p>
    <w:p>
      <w:pPr>
        <w:widowControl/>
        <w:tabs>
          <w:tab w:val="right" w:leader="hyphen" w:pos="8504"/>
        </w:tabs>
        <w:spacing w:after="381" w:afterLines="100" w:line="400" w:lineRule="exact"/>
        <w:ind w:left="1278" w:leftChars="200" w:right="426" w:rightChars="200" w:hanging="852" w:hangingChars="400"/>
        <w:rPr>
          <w:rFonts w:asciiTheme="minorEastAsia" w:hAnsiTheme="minorEastAsia" w:cstheme="minorEastAsia"/>
          <w:sz w:val="36"/>
          <w:szCs w:val="36"/>
        </w:rPr>
      </w:pPr>
      <w:r>
        <w:rPr>
          <w:rFonts w:hint="eastAsia" w:asciiTheme="minorEastAsia" w:hAnsiTheme="minorEastAsia" w:cstheme="minorEastAsia"/>
          <w:szCs w:val="36"/>
        </w:rPr>
        <w:fldChar w:fldCharType="end"/>
      </w:r>
    </w:p>
    <w:p>
      <w:pPr>
        <w:rPr>
          <w:rFonts w:asciiTheme="minorEastAsia" w:hAnsiTheme="minorEastAsia" w:cstheme="minorEastAsia"/>
        </w:rPr>
        <w:sectPr>
          <w:footerReference r:id="rId9" w:type="default"/>
          <w:pgSz w:w="11906" w:h="16838"/>
          <w:pgMar w:top="1417" w:right="1417" w:bottom="1417" w:left="1417" w:header="850" w:footer="992" w:gutter="0"/>
          <w:pgNumType w:start="1"/>
          <w:cols w:space="425" w:num="1"/>
          <w:docGrid w:type="linesAndChars" w:linePitch="381" w:charSpace="704"/>
        </w:sectPr>
      </w:pPr>
    </w:p>
    <w:p>
      <w:pPr>
        <w:pStyle w:val="3"/>
        <w:spacing w:before="156" w:after="156" w:line="360" w:lineRule="auto"/>
        <w:rPr>
          <w:rFonts w:ascii="宋体" w:hAnsi="宋体" w:eastAsia="宋体" w:cs="宋体"/>
          <w:b/>
          <w:bCs w:val="0"/>
          <w:szCs w:val="36"/>
        </w:rPr>
      </w:pPr>
      <w:bookmarkStart w:id="0" w:name="_Toc495014609"/>
      <w:bookmarkStart w:id="1" w:name="_Toc534192578"/>
      <w:bookmarkStart w:id="2" w:name="_Toc495014918"/>
      <w:bookmarkStart w:id="3" w:name="_Toc445306491"/>
      <w:bookmarkStart w:id="4" w:name="_Toc495012769"/>
      <w:bookmarkStart w:id="5" w:name="_Toc534192584"/>
      <w:bookmarkStart w:id="6" w:name="_Toc85037374"/>
      <w:bookmarkStart w:id="7" w:name="_Toc495014583"/>
      <w:bookmarkStart w:id="8" w:name="_Toc534657773"/>
      <w:bookmarkStart w:id="9" w:name="_Toc495014647"/>
      <w:bookmarkStart w:id="10" w:name="_Toc495012819"/>
      <w:bookmarkStart w:id="11" w:name="_Toc75507081"/>
      <w:bookmarkStart w:id="12" w:name="_Toc12241"/>
      <w:r>
        <w:rPr>
          <w:rFonts w:hint="eastAsia" w:ascii="宋体" w:hAnsi="宋体" w:eastAsia="宋体" w:cs="宋体"/>
          <w:b/>
          <w:bCs w:val="0"/>
          <w:szCs w:val="36"/>
        </w:rPr>
        <w:t xml:space="preserve">第一章  </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eastAsia="宋体" w:cs="宋体"/>
          <w:b/>
          <w:bCs w:val="0"/>
          <w:szCs w:val="36"/>
        </w:rPr>
        <w:t>招标公告</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600" w:beforeAutospacing="0" w:after="600" w:afterAutospacing="0" w:line="240" w:lineRule="auto"/>
        <w:ind w:left="300" w:right="300" w:firstLine="0"/>
        <w:jc w:val="center"/>
        <w:textAlignment w:val="auto"/>
        <w:rPr>
          <w:rFonts w:ascii="微软雅黑" w:hAnsi="微软雅黑" w:eastAsia="微软雅黑" w:cs="微软雅黑"/>
          <w:b/>
          <w:bCs/>
          <w:i w:val="0"/>
          <w:iCs w:val="0"/>
          <w:caps w:val="0"/>
          <w:color w:val="0A82E5"/>
          <w:spacing w:val="0"/>
          <w:sz w:val="24"/>
          <w:szCs w:val="24"/>
        </w:rPr>
      </w:pPr>
      <w:bookmarkStart w:id="13" w:name="_Toc8626"/>
      <w:bookmarkStart w:id="14" w:name="_Toc534657774"/>
      <w:bookmarkStart w:id="15" w:name="_Toc495014648"/>
      <w:bookmarkStart w:id="16" w:name="_Toc495014610"/>
      <w:bookmarkStart w:id="17" w:name="_Toc495014919"/>
      <w:bookmarkStart w:id="18" w:name="_Toc445306492"/>
      <w:bookmarkStart w:id="19" w:name="_Toc495012820"/>
      <w:bookmarkStart w:id="20" w:name="_Toc534192585"/>
      <w:bookmarkStart w:id="21" w:name="_Toc85037375"/>
      <w:bookmarkStart w:id="22" w:name="_Toc495012770"/>
      <w:bookmarkStart w:id="23" w:name="_Toc534192579"/>
      <w:bookmarkStart w:id="24" w:name="_Toc75507082"/>
      <w:bookmarkStart w:id="25" w:name="_Toc495014584"/>
      <w:r>
        <w:rPr>
          <w:rFonts w:hint="eastAsia" w:ascii="微软雅黑" w:hAnsi="微软雅黑" w:eastAsia="微软雅黑" w:cs="微软雅黑"/>
          <w:b/>
          <w:bCs/>
          <w:i w:val="0"/>
          <w:iCs w:val="0"/>
          <w:caps w:val="0"/>
          <w:color w:val="0A82E5"/>
          <w:spacing w:val="0"/>
          <w:kern w:val="0"/>
          <w:sz w:val="24"/>
          <w:szCs w:val="24"/>
          <w:lang w:val="en-US" w:eastAsia="zh-CN" w:bidi="ar"/>
        </w:rPr>
        <w:t>西安市智慧环保综合指挥中心重点区域环境空气颗粒物监管能力运维项目招标公告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72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720" w:afterAutospacing="0" w:line="240" w:lineRule="auto"/>
        <w:ind w:left="300" w:right="300" w:firstLine="384"/>
        <w:jc w:val="both"/>
        <w:textAlignment w:val="auto"/>
        <w:rPr>
          <w:sz w:val="24"/>
          <w:szCs w:val="24"/>
        </w:rPr>
      </w:pPr>
      <w:r>
        <w:rPr>
          <w:rFonts w:ascii="微软雅黑" w:hAnsi="微软雅黑" w:eastAsia="微软雅黑" w:cs="微软雅黑"/>
          <w:i w:val="0"/>
          <w:iCs w:val="0"/>
          <w:caps w:val="0"/>
          <w:color w:val="333333"/>
          <w:spacing w:val="0"/>
          <w:sz w:val="24"/>
          <w:szCs w:val="24"/>
        </w:rPr>
        <w:t>重点区域环境空气颗粒物监管能力运维项目</w:t>
      </w:r>
      <w:r>
        <w:rPr>
          <w:rFonts w:hint="eastAsia" w:ascii="微软雅黑" w:hAnsi="微软雅黑" w:eastAsia="微软雅黑" w:cs="微软雅黑"/>
          <w:i w:val="0"/>
          <w:iCs w:val="0"/>
          <w:caps w:val="0"/>
          <w:color w:val="333333"/>
          <w:spacing w:val="0"/>
          <w:sz w:val="24"/>
          <w:szCs w:val="24"/>
        </w:rPr>
        <w:t>招标项目的潜在投标人应在</w:t>
      </w:r>
      <w:r>
        <w:rPr>
          <w:rFonts w:hint="eastAsia" w:ascii="微软雅黑" w:hAnsi="微软雅黑" w:eastAsia="微软雅黑" w:cs="微软雅黑"/>
          <w:i w:val="0"/>
          <w:iCs w:val="0"/>
          <w:caps w:val="0"/>
          <w:color w:val="0A82E5"/>
          <w:spacing w:val="0"/>
          <w:sz w:val="24"/>
          <w:szCs w:val="24"/>
        </w:rPr>
        <w:t>全国公共资源交易平台（陕西省·西安市）网站〖首页〉电子交易平台〉陕西政府采购交易系统</w:t>
      </w:r>
      <w:r>
        <w:rPr>
          <w:rFonts w:hint="eastAsia" w:ascii="微软雅黑" w:hAnsi="微软雅黑" w:eastAsia="微软雅黑" w:cs="微软雅黑"/>
          <w:i w:val="0"/>
          <w:iCs w:val="0"/>
          <w:caps w:val="0"/>
          <w:color w:val="333333"/>
          <w:spacing w:val="0"/>
          <w:sz w:val="24"/>
          <w:szCs w:val="24"/>
        </w:rPr>
        <w:t>获取招标文件，并于</w:t>
      </w:r>
      <w:r>
        <w:rPr>
          <w:rFonts w:hint="eastAsia" w:ascii="微软雅黑" w:hAnsi="微软雅黑" w:eastAsia="微软雅黑" w:cs="微软雅黑"/>
          <w:i w:val="0"/>
          <w:iCs w:val="0"/>
          <w:caps w:val="0"/>
          <w:color w:val="0A82E5"/>
          <w:spacing w:val="0"/>
          <w:sz w:val="24"/>
          <w:szCs w:val="24"/>
        </w:rPr>
        <w:t xml:space="preserve"> 2023年04月07日 </w:t>
      </w:r>
      <w:r>
        <w:rPr>
          <w:rFonts w:hint="eastAsia" w:ascii="微软雅黑" w:hAnsi="微软雅黑" w:eastAsia="微软雅黑" w:cs="微软雅黑"/>
          <w:i w:val="0"/>
          <w:iCs w:val="0"/>
          <w:caps w:val="0"/>
          <w:color w:val="0A82E5"/>
          <w:spacing w:val="0"/>
          <w:sz w:val="24"/>
          <w:szCs w:val="24"/>
          <w:lang w:val="en-US" w:eastAsia="zh-CN"/>
        </w:rPr>
        <w:t>9</w:t>
      </w:r>
      <w:r>
        <w:rPr>
          <w:rFonts w:hint="eastAsia" w:ascii="微软雅黑" w:hAnsi="微软雅黑" w:eastAsia="微软雅黑" w:cs="微软雅黑"/>
          <w:i w:val="0"/>
          <w:iCs w:val="0"/>
          <w:caps w:val="0"/>
          <w:color w:val="0A82E5"/>
          <w:spacing w:val="0"/>
          <w:sz w:val="24"/>
          <w:szCs w:val="24"/>
        </w:rPr>
        <w:t>时</w:t>
      </w:r>
      <w:r>
        <w:rPr>
          <w:rFonts w:hint="eastAsia" w:ascii="微软雅黑" w:hAnsi="微软雅黑" w:eastAsia="微软雅黑" w:cs="微软雅黑"/>
          <w:i w:val="0"/>
          <w:iCs w:val="0"/>
          <w:caps w:val="0"/>
          <w:color w:val="0A82E5"/>
          <w:spacing w:val="0"/>
          <w:sz w:val="24"/>
          <w:szCs w:val="24"/>
          <w:lang w:val="en-US" w:eastAsia="zh-CN"/>
        </w:rPr>
        <w:t>3</w:t>
      </w:r>
      <w:bookmarkStart w:id="109" w:name="_GoBack"/>
      <w:bookmarkEnd w:id="109"/>
      <w:r>
        <w:rPr>
          <w:rFonts w:hint="eastAsia" w:ascii="微软雅黑" w:hAnsi="微软雅黑" w:eastAsia="微软雅黑" w:cs="微软雅黑"/>
          <w:i w:val="0"/>
          <w:iCs w:val="0"/>
          <w:caps w:val="0"/>
          <w:color w:val="0A82E5"/>
          <w:spacing w:val="0"/>
          <w:sz w:val="24"/>
          <w:szCs w:val="24"/>
        </w:rPr>
        <w:t>0分 </w:t>
      </w:r>
      <w:r>
        <w:rPr>
          <w:rFonts w:hint="eastAsia" w:ascii="微软雅黑" w:hAnsi="微软雅黑" w:eastAsia="微软雅黑" w:cs="微软雅黑"/>
          <w:i w:val="0"/>
          <w:iCs w:val="0"/>
          <w:caps w:val="0"/>
          <w:color w:val="333333"/>
          <w:spacing w:val="0"/>
          <w:sz w:val="24"/>
          <w:szCs w:val="24"/>
        </w:rPr>
        <w:t>（北京时间）前递交投标文件。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项目编号：SXDXYZB2023-005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项目名称：重点区域环境空气颗粒物监管能力运维项目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预算金额：5,599,581.00元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合同包预算金额：2,926,206.00元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合同包最高限价：2,926,206.00元</w:t>
      </w:r>
    </w:p>
    <w:tbl>
      <w:tblPr>
        <w:tblStyle w:val="25"/>
        <w:tblW w:w="92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1586"/>
        <w:gridCol w:w="1586"/>
        <w:gridCol w:w="869"/>
        <w:gridCol w:w="1305"/>
        <w:gridCol w:w="1653"/>
        <w:gridCol w:w="16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基础环境运维服务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2,926,206.00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2,926,206.00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合同履行期限：自合同签订之日起一年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合同包预算金额：2,673,375.00元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合同包最高限价：2,673,375.00元</w:t>
      </w:r>
    </w:p>
    <w:tbl>
      <w:tblPr>
        <w:tblStyle w:val="25"/>
        <w:tblW w:w="92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1586"/>
        <w:gridCol w:w="1586"/>
        <w:gridCol w:w="869"/>
        <w:gridCol w:w="1305"/>
        <w:gridCol w:w="1653"/>
        <w:gridCol w:w="16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基础环境运维服务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2,673,375.00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2,673,375.00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合同履行期限：自合同签订之日起一年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（1）财政部、工业和信息化部关于印发《政府采购促进中小企业发展管理办法》的通知（财库〔2020〕46号） 及陕西省财政厅关于落实政府采购支持中小企业有关政策（陕财办采〔2022〕10号）；（2）《财政部司法部关于政府采购支持监狱企业发展有关问题的通知》-－财库[2014]68号；（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财政部、发展改革委、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关于印发环境标志产品政府采购品目清单的通知》（财库〔2019〕18号）；（11）《关于印发节能产品政府采购品目清单的通知》（财库〔2019〕19号）；（12）《陕西省财政厅关于加快推进我省中小企业政府采购信用融资工作的通知》（陕财办采〔2020〕15号）；（13）《财政部 农业农村部 国家乡村振兴局关于运用政府采购政策支持乡村产业振兴的通知》（财库〔2021〕19号）；（14）陕西省财政厅《关于进一步加强政府绿色采购有关问题的通知》陕财办采〔2021〕29号；（15）《关于在政府采购活动中查询及使用信用记录有关问题的通知》（财库〔2016〕125号）；（16）政府采购要求落实的其他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（1）财政部、工业和信息化部关于印发《政府采购促进中小企业发展管理办法》的通知（财库〔2020〕46号）及陕西省财政厅关于落实政府采购支持中小企业有关政策（陕财办采〔2022〕10号） ；（2）《财政部司法部关于政府采购支持监狱企业发展有关问题的通知》-－财库[2014]68号；（3）《国务院办公厅关于建立政府强制采购节能产品制度的通知》（国办发〔2007〕51号）；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财政部、发展改革委、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关于印发环境标志产品政府采购品目清单的通知》（财库〔2019〕18号）；（11）《关于印发节能产品政府采购品目清单的通知》（财库〔2019〕19号）；（12）《陕西省财政厅关于加快推进我省中小企业政府采购信用融资工作的通知》（陕财办采〔2020〕15号）；（13）《财政部 农业农村部 国家乡村振兴局关于运用政府采购政策支持乡村产业振兴的通知》（财库〔2021〕19号）；（14）陕西省财政厅《关于进一步加强政府绿色采购有关问题的通知》陕财办采〔2021〕29号；（15）《关于在政府采购活动中查询及使用信用记录有关问题的通知》（财库〔2016〕125号）；（16）政府采购要求落实的其他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有效的主体资格证明：在中华人民共和国境内注册，并有效存续的营业执照/事业单位法人证书/非企业专业服务机构执业许可证/民办非企业单位登记证书、税务登记证、组织机构代码证，或“三证合一”后的注册登记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二）财务状况报告（二选一）：1、提供2021年度经审计的财务会计报告（至少包括审计报告、资产负债表和利润表，成立时间至提交投标文件截止时间不足一年的可提供成立后任意时段的资产负债表）；2、或提供服务商基本存款账户信息及开标日期前三个月内其基本存款账户开户银行出具的资信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三）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（四）税收缴纳证明：自2022年1月1日以来已缴纳的至少一个月的纳税证明或完税证明，纳税证明或完税证明上应有代收机构或税务机关的公章或业务专用章。依法免税的服务商应提供相关文件证明。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（五）无重大违法记录声明：参加本次政府采购活动前3年内在经营活动中没有重大违法记录，以及未被列入失信被执行人、重大税收违法案件当事人名单、政府采购严重违法失信行为记录名单的书面声明。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六）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本项目不接受联合体投标。</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注：1、以上资格要求必须全部满足。</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2、无重大违法记录声明和法定代表人委托授权书应按第五章《投标文件构成及格式》中给定的格式进行填写。</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3、分支机构参与投标时，投标文件中应附法人出具的授权书。法人只能授权一家分支机构参与投标，且不能与分支机构同时参与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4、事业单位法人参与投标可不提供财务状况报告、社会保障资金缴纳证明及税收缴纳证明。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5、资格审查时将由采购人对服务商信用记录进行核查，详见招标文件第二章中的《服务商注意事项》。</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6、本包非专门面向中小企业采购</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7、各申请人均可就本采购项目上述2个包投标，但一个投标单位最多允许中标1个包。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有效的主体资格证明：在中华人民共和国境内注册，并有效存续的营业执照/事业单位法人证书/非企业专业服务机构执业许可证/民办非企业单位登记证书、税务登记证、组织机构代码证，或“三证合一”后的注册登记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二）财务状况报告（二选一）：1、提供2021年度经审计的财务会计报告（至少包括审计报告、资产负债表和利润表，成立时间至提交投标文件截止时间不足一年的可提供成立后任意时段的资产负债表）；2、或提供服务商基本存款账户信息及开标日期前三个月内其基本存款账户开户银行出具的资信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三）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（四）税收缴纳证明：自2022年1月1日以来已缴纳的至少一个月的纳税证明或完税证明，纳税证明或完税证明上应有代收机构或税务机关的公章或业务专用章。依法免税的服务商应提供相关文件证明。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（五）无重大违法记录声明：参加本次政府采购活动前3年内在经营活动中没有重大违法记录，以及未被列入失信被执行人、重大税收违法案件当事人名单、政府采购严重违法失信行为记录名单的书面声明。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六）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本项目不接受联合体投标。</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注：1、以上资格要求必须全部满足。</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2、无重大违法记录声明和法定代表人委托授权书应按第五章《投标文件构成及格式》中给定的格式进行填写。</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3、分支机构参与投标时，投标文件中应附法人出具的授权书。法人只能授权一家分支机构参与投标，且不能与分支机构同时参与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4、事业单位法人参与投标可不提供财务状况报告、社会保障资金缴纳证明及税收缴纳证明。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5、资格审查时将由采购人对服务商信用记录进行核查，详见招标文件第二章中的《服务商注意事项》。</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6、本包专门面向中小企业采购（投标单位需提供中小企业声明函）。</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7、各申请人均可就本采购项目上述2个包投标，但一个投标单位最多允许中标1个包。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时间：</w:t>
      </w:r>
      <w:r>
        <w:rPr>
          <w:rFonts w:hint="eastAsia" w:ascii="微软雅黑" w:hAnsi="微软雅黑" w:eastAsia="微软雅黑" w:cs="微软雅黑"/>
          <w:i w:val="0"/>
          <w:iCs w:val="0"/>
          <w:caps w:val="0"/>
          <w:color w:val="0A82E5"/>
          <w:spacing w:val="0"/>
          <w:sz w:val="24"/>
          <w:szCs w:val="24"/>
        </w:rPr>
        <w:t> 2023年03月1</w:t>
      </w:r>
      <w:r>
        <w:rPr>
          <w:rFonts w:hint="eastAsia" w:ascii="微软雅黑" w:hAnsi="微软雅黑" w:eastAsia="微软雅黑" w:cs="微软雅黑"/>
          <w:i w:val="0"/>
          <w:iCs w:val="0"/>
          <w:caps w:val="0"/>
          <w:color w:val="0A82E5"/>
          <w:spacing w:val="0"/>
          <w:sz w:val="24"/>
          <w:szCs w:val="24"/>
          <w:lang w:val="en-US" w:eastAsia="zh-CN"/>
        </w:rPr>
        <w:t>7</w:t>
      </w:r>
      <w:r>
        <w:rPr>
          <w:rFonts w:hint="eastAsia" w:ascii="微软雅黑" w:hAnsi="微软雅黑" w:eastAsia="微软雅黑" w:cs="微软雅黑"/>
          <w:i w:val="0"/>
          <w:iCs w:val="0"/>
          <w:caps w:val="0"/>
          <w:color w:val="0A82E5"/>
          <w:spacing w:val="0"/>
          <w:sz w:val="24"/>
          <w:szCs w:val="24"/>
        </w:rPr>
        <w:t>日 至 2023年03月2</w:t>
      </w:r>
      <w:r>
        <w:rPr>
          <w:rFonts w:hint="eastAsia" w:ascii="微软雅黑" w:hAnsi="微软雅黑" w:eastAsia="微软雅黑" w:cs="微软雅黑"/>
          <w:i w:val="0"/>
          <w:iCs w:val="0"/>
          <w:caps w:val="0"/>
          <w:color w:val="0A82E5"/>
          <w:spacing w:val="0"/>
          <w:sz w:val="24"/>
          <w:szCs w:val="24"/>
          <w:lang w:val="en-US" w:eastAsia="zh-CN"/>
        </w:rPr>
        <w:t>3</w:t>
      </w:r>
      <w:r>
        <w:rPr>
          <w:rFonts w:hint="eastAsia" w:ascii="微软雅黑" w:hAnsi="微软雅黑" w:eastAsia="微软雅黑" w:cs="微软雅黑"/>
          <w:i w:val="0"/>
          <w:iCs w:val="0"/>
          <w:caps w:val="0"/>
          <w:color w:val="0A82E5"/>
          <w:spacing w:val="0"/>
          <w:sz w:val="24"/>
          <w:szCs w:val="24"/>
        </w:rPr>
        <w:t>日 ，每天上午 08:00:00 至 12:00:00 ，下午 12:00:00 至 18:00:00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途径：</w:t>
      </w:r>
      <w:r>
        <w:rPr>
          <w:rFonts w:hint="eastAsia" w:ascii="微软雅黑" w:hAnsi="微软雅黑" w:eastAsia="微软雅黑" w:cs="微软雅黑"/>
          <w:i w:val="0"/>
          <w:iCs w:val="0"/>
          <w:caps w:val="0"/>
          <w:color w:val="0A82E5"/>
          <w:spacing w:val="0"/>
          <w:sz w:val="24"/>
          <w:szCs w:val="24"/>
        </w:rPr>
        <w:t>全国公共资源交易平台（陕西省·西安市）网站〖首页〉电子交易平台〉陕西政府采购交易系统</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方式：</w:t>
      </w:r>
      <w:r>
        <w:rPr>
          <w:rFonts w:hint="eastAsia" w:ascii="微软雅黑" w:hAnsi="微软雅黑" w:eastAsia="微软雅黑" w:cs="微软雅黑"/>
          <w:i w:val="0"/>
          <w:iCs w:val="0"/>
          <w:caps w:val="0"/>
          <w:color w:val="0A82E5"/>
          <w:spacing w:val="0"/>
          <w:sz w:val="24"/>
          <w:szCs w:val="24"/>
        </w:rPr>
        <w:t>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售价：</w:t>
      </w:r>
      <w:r>
        <w:rPr>
          <w:rFonts w:hint="eastAsia" w:ascii="微软雅黑" w:hAnsi="微软雅黑" w:eastAsia="微软雅黑" w:cs="微软雅黑"/>
          <w:i w:val="0"/>
          <w:iCs w:val="0"/>
          <w:caps w:val="0"/>
          <w:color w:val="0A82E5"/>
          <w:spacing w:val="0"/>
          <w:sz w:val="24"/>
          <w:szCs w:val="24"/>
        </w:rPr>
        <w:t>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时间：</w:t>
      </w:r>
      <w:r>
        <w:rPr>
          <w:rFonts w:hint="eastAsia" w:ascii="微软雅黑" w:hAnsi="微软雅黑" w:eastAsia="微软雅黑" w:cs="微软雅黑"/>
          <w:i w:val="0"/>
          <w:iCs w:val="0"/>
          <w:caps w:val="0"/>
          <w:color w:val="0A82E5"/>
          <w:spacing w:val="0"/>
          <w:sz w:val="24"/>
          <w:szCs w:val="24"/>
        </w:rPr>
        <w:t xml:space="preserve"> 2023年04月07日 </w:t>
      </w:r>
      <w:r>
        <w:rPr>
          <w:rFonts w:hint="eastAsia" w:ascii="微软雅黑" w:hAnsi="微软雅黑" w:eastAsia="微软雅黑" w:cs="微软雅黑"/>
          <w:i w:val="0"/>
          <w:iCs w:val="0"/>
          <w:caps w:val="0"/>
          <w:color w:val="0A82E5"/>
          <w:spacing w:val="0"/>
          <w:sz w:val="24"/>
          <w:szCs w:val="24"/>
          <w:lang w:val="en-US" w:eastAsia="zh-CN"/>
        </w:rPr>
        <w:t>9</w:t>
      </w:r>
      <w:r>
        <w:rPr>
          <w:rFonts w:hint="eastAsia" w:ascii="微软雅黑" w:hAnsi="微软雅黑" w:eastAsia="微软雅黑" w:cs="微软雅黑"/>
          <w:i w:val="0"/>
          <w:iCs w:val="0"/>
          <w:caps w:val="0"/>
          <w:color w:val="0A82E5"/>
          <w:spacing w:val="0"/>
          <w:sz w:val="24"/>
          <w:szCs w:val="24"/>
        </w:rPr>
        <w:t>时</w:t>
      </w:r>
      <w:r>
        <w:rPr>
          <w:rFonts w:hint="eastAsia" w:ascii="微软雅黑" w:hAnsi="微软雅黑" w:eastAsia="微软雅黑" w:cs="微软雅黑"/>
          <w:i w:val="0"/>
          <w:iCs w:val="0"/>
          <w:caps w:val="0"/>
          <w:color w:val="0A82E5"/>
          <w:spacing w:val="0"/>
          <w:sz w:val="24"/>
          <w:szCs w:val="24"/>
          <w:lang w:val="en-US" w:eastAsia="zh-CN"/>
        </w:rPr>
        <w:t>30</w:t>
      </w:r>
      <w:r>
        <w:rPr>
          <w:rFonts w:hint="eastAsia" w:ascii="微软雅黑" w:hAnsi="微软雅黑" w:eastAsia="微软雅黑" w:cs="微软雅黑"/>
          <w:i w:val="0"/>
          <w:iCs w:val="0"/>
          <w:caps w:val="0"/>
          <w:color w:val="0A82E5"/>
          <w:spacing w:val="0"/>
          <w:sz w:val="24"/>
          <w:szCs w:val="24"/>
        </w:rPr>
        <w:t>分00秒 </w:t>
      </w:r>
      <w:r>
        <w:rPr>
          <w:rFonts w:hint="eastAsia" w:ascii="微软雅黑" w:hAnsi="微软雅黑" w:eastAsia="微软雅黑" w:cs="微软雅黑"/>
          <w:i w:val="0"/>
          <w:iCs w:val="0"/>
          <w:caps w:val="0"/>
          <w:color w:val="333333"/>
          <w:spacing w:val="0"/>
          <w:sz w:val="24"/>
          <w:szCs w:val="24"/>
        </w:rPr>
        <w:t>（北京时间）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提交投标文件地点：</w:t>
      </w:r>
      <w:r>
        <w:rPr>
          <w:rFonts w:hint="eastAsia" w:ascii="微软雅黑" w:hAnsi="微软雅黑" w:eastAsia="微软雅黑" w:cs="微软雅黑"/>
          <w:i w:val="0"/>
          <w:iCs w:val="0"/>
          <w:caps w:val="0"/>
          <w:color w:val="0A82E5"/>
          <w:spacing w:val="0"/>
          <w:sz w:val="24"/>
          <w:szCs w:val="24"/>
        </w:rPr>
        <w:t>全国公共资源交易平台（陕西省·西安市）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开标地点：</w:t>
      </w:r>
      <w:r>
        <w:rPr>
          <w:rFonts w:hint="eastAsia" w:ascii="微软雅黑" w:hAnsi="微软雅黑" w:eastAsia="微软雅黑" w:cs="微软雅黑"/>
          <w:i w:val="0"/>
          <w:iCs w:val="0"/>
          <w:caps w:val="0"/>
          <w:color w:val="0A82E5"/>
          <w:spacing w:val="0"/>
          <w:sz w:val="24"/>
          <w:szCs w:val="24"/>
        </w:rPr>
        <w:t>全国公共资源交易平台（陕西省·西安市）不见面开标大厅。操作说明详见平台〖首页·〉服务指南·〉下载专区〗中的《西安公共资源交易不见面开 标大厅服务商操作手册》。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自本公告发布之日起</w:t>
      </w:r>
      <w:r>
        <w:rPr>
          <w:rFonts w:hint="eastAsia" w:ascii="微软雅黑" w:hAnsi="微软雅黑" w:eastAsia="微软雅黑" w:cs="微软雅黑"/>
          <w:i w:val="0"/>
          <w:iCs w:val="0"/>
          <w:caps w:val="0"/>
          <w:color w:val="0A82E5"/>
          <w:spacing w:val="0"/>
          <w:sz w:val="24"/>
          <w:szCs w:val="24"/>
        </w:rPr>
        <w:t>5</w:t>
      </w:r>
      <w:r>
        <w:rPr>
          <w:rFonts w:hint="eastAsia" w:ascii="微软雅黑" w:hAnsi="微软雅黑" w:eastAsia="微软雅黑" w:cs="微软雅黑"/>
          <w:i w:val="0"/>
          <w:iCs w:val="0"/>
          <w:caps w:val="0"/>
          <w:color w:val="333333"/>
          <w:spacing w:val="0"/>
          <w:sz w:val="24"/>
          <w:szCs w:val="24"/>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Style w:val="28"/>
          <w:rFonts w:hint="eastAsia" w:ascii="宋体" w:hAnsi="宋体" w:eastAsia="宋体" w:cs="宋体"/>
          <w:b/>
          <w:bCs/>
          <w:i w:val="0"/>
          <w:iCs w:val="0"/>
          <w:caps w:val="0"/>
          <w:color w:val="0A82E5"/>
          <w:spacing w:val="0"/>
          <w:kern w:val="0"/>
          <w:sz w:val="24"/>
          <w:szCs w:val="24"/>
          <w:shd w:val="clear" w:fill="FFFFFF"/>
          <w:lang w:val="en-US" w:eastAsia="zh-CN" w:bidi="ar"/>
        </w:rPr>
        <w:t>招标文件获取方式及公告期限</w:t>
      </w:r>
      <w:r>
        <w:rPr>
          <w:rFonts w:hint="eastAsia" w:ascii="宋体" w:hAnsi="宋体" w:eastAsia="宋体" w:cs="宋体"/>
          <w:i w:val="0"/>
          <w:iCs w:val="0"/>
          <w:caps w:val="0"/>
          <w:color w:val="0A82E5"/>
          <w:spacing w:val="0"/>
          <w:kern w:val="0"/>
          <w:sz w:val="24"/>
          <w:szCs w:val="24"/>
          <w:shd w:val="clear" w:fill="FFFFFF"/>
          <w:lang w:val="en-US" w:eastAsia="zh-CN" w:bidi="ar"/>
        </w:rPr>
        <w:t>：1、获取方式：服务商登录【全国公共资源交易平台（陕西省·西安市）】网站〖首页·〉电子交易平台·〉企业端〗后，在〖招 标公告/出让公告〗模块中选择有意向的项目点击“我要投标”，成功后即可在〖我的项目〗中点击“项目流程·〉交易文件下载”免费下载电子招标文件（*.SXSZF）。</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2、招标文件公告期：自招标公告发布之日起5个工作日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3、服务商初次使用交易平台须先完成诚信入库登记、CA认证及企业信息绑定。具体操作流程见【全国公共资源交易平台（陕西省·西安市）】（sxggzyjy.xa.gov.cn）网站〖首页·〉服务指南·〉下载专区〗中的《西安市市级单位电子化政府采购项目投标指南》。</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注意：服务商应随时留意可能发布的变更公告，公告中如注明本项目有变更文件，则应从“项目流程·〉答疑文件下载”下载更新后的电子招标文件（*.SXSCF），使用旧版电子招标文件制作的电子投标文件（*.SXSTF），系统将拒绝接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Style w:val="28"/>
          <w:rFonts w:hint="eastAsia" w:ascii="宋体" w:hAnsi="宋体" w:eastAsia="宋体" w:cs="宋体"/>
          <w:b/>
          <w:bCs/>
          <w:i w:val="0"/>
          <w:iCs w:val="0"/>
          <w:caps w:val="0"/>
          <w:color w:val="0A82E5"/>
          <w:spacing w:val="0"/>
          <w:kern w:val="0"/>
          <w:sz w:val="24"/>
          <w:szCs w:val="24"/>
          <w:shd w:val="clear" w:fill="FFFFFF"/>
          <w:lang w:val="en-US" w:eastAsia="zh-CN" w:bidi="ar"/>
        </w:rPr>
        <w:t>提交投标文件的方式：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1、电子投标文件（</w:t>
      </w:r>
      <w:r>
        <w:rPr>
          <w:rFonts w:hint="eastAsia" w:ascii="宋体" w:hAnsi="宋体" w:eastAsia="宋体" w:cs="宋体"/>
          <w:i w:val="0"/>
          <w:iCs w:val="0"/>
          <w:caps w:val="0"/>
          <w:color w:val="C00000"/>
          <w:spacing w:val="0"/>
          <w:kern w:val="0"/>
          <w:sz w:val="24"/>
          <w:szCs w:val="24"/>
          <w:shd w:val="clear" w:fill="FFFFFF"/>
          <w:lang w:val="en-US" w:eastAsia="zh-CN" w:bidi="ar"/>
        </w:rPr>
        <w:t>*.SXSTF</w:t>
      </w:r>
      <w:r>
        <w:rPr>
          <w:rFonts w:hint="eastAsia" w:ascii="宋体" w:hAnsi="宋体" w:eastAsia="宋体" w:cs="宋体"/>
          <w:i w:val="0"/>
          <w:iCs w:val="0"/>
          <w:caps w:val="0"/>
          <w:color w:val="0A82E5"/>
          <w:spacing w:val="0"/>
          <w:kern w:val="0"/>
          <w:sz w:val="24"/>
          <w:szCs w:val="24"/>
          <w:shd w:val="clear" w:fill="FFFFFF"/>
          <w:lang w:val="en-US" w:eastAsia="zh-CN" w:bidi="ar"/>
        </w:rPr>
        <w:t>）可于提交投标文件截止时间前任意时段登录全国公共资源交易平台（陕西省·西安市）网站“电子交易平台〉企业端”进行提交，逾期系统将拒绝接收。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名称：</w:t>
      </w:r>
      <w:r>
        <w:rPr>
          <w:rFonts w:hint="eastAsia" w:ascii="微软雅黑" w:hAnsi="微软雅黑" w:eastAsia="微软雅黑" w:cs="微软雅黑"/>
          <w:i w:val="0"/>
          <w:iCs w:val="0"/>
          <w:caps w:val="0"/>
          <w:color w:val="0A82E5"/>
          <w:spacing w:val="0"/>
          <w:sz w:val="24"/>
          <w:szCs w:val="24"/>
        </w:rPr>
        <w:t>西安市智慧环保综合指挥中心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地址：</w:t>
      </w:r>
      <w:r>
        <w:rPr>
          <w:rFonts w:hint="eastAsia" w:ascii="微软雅黑" w:hAnsi="微软雅黑" w:eastAsia="微软雅黑" w:cs="微软雅黑"/>
          <w:i w:val="0"/>
          <w:iCs w:val="0"/>
          <w:caps w:val="0"/>
          <w:color w:val="0A82E5"/>
          <w:spacing w:val="0"/>
          <w:sz w:val="24"/>
          <w:szCs w:val="24"/>
        </w:rPr>
        <w:t>未央区凤城七路与明光路十字西北角联益中心三楼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联系方式：</w:t>
      </w:r>
      <w:r>
        <w:rPr>
          <w:rFonts w:hint="eastAsia" w:ascii="微软雅黑" w:hAnsi="微软雅黑" w:eastAsia="微软雅黑" w:cs="微软雅黑"/>
          <w:i w:val="0"/>
          <w:iCs w:val="0"/>
          <w:caps w:val="0"/>
          <w:color w:val="0A82E5"/>
          <w:spacing w:val="0"/>
          <w:sz w:val="24"/>
          <w:szCs w:val="24"/>
        </w:rPr>
        <w:t>赵老师 029-86511336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名称：</w:t>
      </w:r>
      <w:r>
        <w:rPr>
          <w:rFonts w:hint="eastAsia" w:ascii="微软雅黑" w:hAnsi="微软雅黑" w:eastAsia="微软雅黑" w:cs="微软雅黑"/>
          <w:i w:val="0"/>
          <w:iCs w:val="0"/>
          <w:caps w:val="0"/>
          <w:color w:val="0A82E5"/>
          <w:spacing w:val="0"/>
          <w:sz w:val="24"/>
          <w:szCs w:val="24"/>
        </w:rPr>
        <w:t>陕西德欣源项目管理有限公司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地址：</w:t>
      </w:r>
      <w:r>
        <w:rPr>
          <w:rFonts w:hint="eastAsia" w:ascii="微软雅黑" w:hAnsi="微软雅黑" w:eastAsia="微软雅黑" w:cs="微软雅黑"/>
          <w:i w:val="0"/>
          <w:iCs w:val="0"/>
          <w:caps w:val="0"/>
          <w:color w:val="0A82E5"/>
          <w:spacing w:val="0"/>
          <w:sz w:val="24"/>
          <w:szCs w:val="24"/>
        </w:rPr>
        <w:t>陕西省西安市未央区陕西省西安市经济技术开发区文景路一方中港国际B座1701室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联系方式：</w:t>
      </w:r>
      <w:r>
        <w:rPr>
          <w:rFonts w:hint="eastAsia" w:ascii="微软雅黑" w:hAnsi="微软雅黑" w:eastAsia="微软雅黑" w:cs="微软雅黑"/>
          <w:i w:val="0"/>
          <w:iCs w:val="0"/>
          <w:caps w:val="0"/>
          <w:color w:val="0A82E5"/>
          <w:spacing w:val="0"/>
          <w:sz w:val="24"/>
          <w:szCs w:val="24"/>
        </w:rPr>
        <w:t>18189187635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项目联系人：</w:t>
      </w:r>
      <w:r>
        <w:rPr>
          <w:rFonts w:hint="eastAsia" w:ascii="微软雅黑" w:hAnsi="微软雅黑" w:eastAsia="微软雅黑" w:cs="微软雅黑"/>
          <w:i w:val="0"/>
          <w:iCs w:val="0"/>
          <w:caps w:val="0"/>
          <w:color w:val="0A82E5"/>
          <w:spacing w:val="0"/>
          <w:sz w:val="24"/>
          <w:szCs w:val="24"/>
        </w:rPr>
        <w:t>王卫江</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电话：</w:t>
      </w:r>
      <w:r>
        <w:rPr>
          <w:rFonts w:hint="eastAsia" w:ascii="微软雅黑" w:hAnsi="微软雅黑" w:eastAsia="微软雅黑" w:cs="微软雅黑"/>
          <w:i w:val="0"/>
          <w:iCs w:val="0"/>
          <w:caps w:val="0"/>
          <w:color w:val="0A82E5"/>
          <w:spacing w:val="0"/>
          <w:sz w:val="24"/>
          <w:szCs w:val="24"/>
        </w:rPr>
        <w:t>18189187635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right"/>
        <w:textAlignment w:val="auto"/>
        <w:rPr>
          <w:sz w:val="24"/>
          <w:szCs w:val="24"/>
        </w:rPr>
      </w:pPr>
      <w:r>
        <w:rPr>
          <w:rFonts w:hint="eastAsia" w:ascii="微软雅黑" w:hAnsi="微软雅黑" w:eastAsia="微软雅黑" w:cs="微软雅黑"/>
          <w:i w:val="0"/>
          <w:iCs w:val="0"/>
          <w:caps w:val="0"/>
          <w:color w:val="333333"/>
          <w:spacing w:val="0"/>
          <w:sz w:val="24"/>
          <w:szCs w:val="24"/>
        </w:rPr>
        <w:t>陕西德欣源项目管理有限公司</w:t>
      </w:r>
    </w:p>
    <w:p>
      <w:pPr>
        <w:rPr>
          <w:rFonts w:ascii="宋体" w:hAnsi="宋体" w:eastAsia="宋体" w:cs="宋体"/>
          <w:b/>
          <w:bCs w:val="0"/>
          <w:szCs w:val="36"/>
        </w:rPr>
      </w:pPr>
      <w:r>
        <w:rPr>
          <w:rFonts w:hint="eastAsia" w:ascii="宋体" w:hAnsi="宋体" w:eastAsia="宋体" w:cs="宋体"/>
          <w:b/>
          <w:bCs w:val="0"/>
          <w:szCs w:val="36"/>
        </w:rPr>
        <w:br w:type="page"/>
      </w:r>
    </w:p>
    <w:p>
      <w:pPr>
        <w:pStyle w:val="3"/>
        <w:spacing w:before="156" w:after="156" w:line="360" w:lineRule="auto"/>
        <w:rPr>
          <w:rFonts w:ascii="宋体" w:hAnsi="宋体" w:eastAsia="宋体" w:cs="宋体"/>
          <w:b/>
          <w:bCs w:val="0"/>
          <w:szCs w:val="36"/>
        </w:rPr>
      </w:pPr>
      <w:r>
        <w:rPr>
          <w:rFonts w:hint="eastAsia" w:ascii="宋体" w:hAnsi="宋体" w:eastAsia="宋体" w:cs="宋体"/>
          <w:b/>
          <w:bCs w:val="0"/>
          <w:szCs w:val="36"/>
        </w:rPr>
        <w:t>第二章 服务商须知</w:t>
      </w:r>
      <w:bookmarkEnd w:id="13"/>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tcBorders>
              <w:top w:val="single" w:color="auto" w:sz="2" w:space="0"/>
            </w:tcBorders>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项目名称</w:t>
            </w:r>
          </w:p>
        </w:tc>
        <w:tc>
          <w:tcPr>
            <w:tcW w:w="5766" w:type="dxa"/>
            <w:tcBorders>
              <w:top w:val="single" w:color="auto" w:sz="2" w:space="0"/>
            </w:tcBorders>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西安市智慧环保综合指挥中心西安市重点区域环境空气颗粒物监管能力运维项目（包2）项目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项目编号</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SXDXYZB2023-005-02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highlight w:val="none"/>
              </w:rPr>
            </w:pPr>
          </w:p>
        </w:tc>
        <w:tc>
          <w:tcPr>
            <w:tcW w:w="2410" w:type="dxa"/>
            <w:shd w:val="clear" w:color="auto" w:fill="auto"/>
            <w:vAlign w:val="center"/>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预算执行书编号</w:t>
            </w:r>
          </w:p>
        </w:tc>
        <w:tc>
          <w:tcPr>
            <w:tcW w:w="5766" w:type="dxa"/>
            <w:shd w:val="clear" w:color="auto" w:fill="auto"/>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ZCBN-西安市-2023-00243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是否专门面向中小企业采购</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2139916130"/>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2072024220"/>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预算金额</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color w:val="333333"/>
                <w:sz w:val="24"/>
                <w:szCs w:val="24"/>
                <w:shd w:val="clear" w:color="auto" w:fill="FFFFFF"/>
              </w:rPr>
              <w:t>2673375.00</w:t>
            </w:r>
            <w:r>
              <w:rPr>
                <w:rFonts w:hint="eastAsia" w:ascii="宋体" w:hAnsi="宋体" w:eastAsia="宋体" w:cs="宋体"/>
                <w:sz w:val="24"/>
                <w:szCs w:val="24"/>
              </w:rPr>
              <w:t xml:space="preserve"> 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最高限价</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color w:val="333333"/>
                <w:sz w:val="24"/>
                <w:szCs w:val="24"/>
                <w:shd w:val="clear" w:color="auto" w:fill="FFFFFF"/>
              </w:rPr>
              <w:t>2673375.00</w:t>
            </w: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是否接受联合体</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60816019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317929335"/>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是否允许进口产品</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4857025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68959484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是否允许大中企业</w:t>
            </w:r>
          </w:p>
          <w:p>
            <w:pPr>
              <w:spacing w:line="360" w:lineRule="auto"/>
              <w:rPr>
                <w:rFonts w:ascii="宋体" w:hAnsi="宋体" w:eastAsia="宋体" w:cs="宋体"/>
                <w:sz w:val="24"/>
                <w:szCs w:val="24"/>
              </w:rPr>
            </w:pPr>
            <w:r>
              <w:rPr>
                <w:rFonts w:hint="eastAsia" w:ascii="宋体" w:hAnsi="宋体" w:eastAsia="宋体" w:cs="宋体"/>
                <w:sz w:val="24"/>
                <w:szCs w:val="24"/>
              </w:rPr>
              <w:t>向小微企业分包</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36572508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54473539"/>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投标保证金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履约保证金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投标文件份数</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投标服务商无需提供；</w:t>
            </w:r>
          </w:p>
          <w:p>
            <w:pPr>
              <w:spacing w:line="360" w:lineRule="auto"/>
              <w:rPr>
                <w:rFonts w:ascii="宋体" w:hAnsi="宋体" w:eastAsia="宋体" w:cs="宋体"/>
                <w:sz w:val="24"/>
                <w:szCs w:val="24"/>
              </w:rPr>
            </w:pPr>
            <w:r>
              <w:rPr>
                <w:rFonts w:hint="eastAsia" w:ascii="宋体" w:hAnsi="宋体" w:eastAsia="宋体" w:cs="宋体"/>
                <w:sz w:val="24"/>
                <w:szCs w:val="24"/>
              </w:rPr>
              <w:t>中标服务商在领取中标通知书时提供一正两副。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项目服务地点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甲方指定地点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3"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现场踏勘和集中答疑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pacing w:val="-10"/>
                <w:sz w:val="24"/>
                <w:szCs w:val="24"/>
              </w:rPr>
              <w:fldChar w:fldCharType="begin"/>
            </w:r>
            <w:r>
              <w:rPr>
                <w:rFonts w:hint="eastAsia" w:ascii="宋体" w:hAnsi="宋体" w:eastAsia="宋体" w:cs="宋体"/>
                <w:spacing w:val="-10"/>
                <w:sz w:val="24"/>
                <w:szCs w:val="24"/>
              </w:rPr>
              <w:instrText xml:space="preserve"> eq \o\ac(</w:instrText>
            </w:r>
            <w:r>
              <w:rPr>
                <w:rFonts w:hint="eastAsia" w:ascii="宋体" w:hAnsi="宋体" w:eastAsia="宋体" w:cs="宋体"/>
                <w:spacing w:val="-10"/>
                <w:position w:val="-4"/>
                <w:sz w:val="36"/>
                <w:szCs w:val="24"/>
              </w:rPr>
              <w:instrText xml:space="preserve">□</w:instrText>
            </w:r>
            <w:r>
              <w:rPr>
                <w:rFonts w:hint="eastAsia" w:ascii="宋体" w:hAnsi="宋体" w:eastAsia="宋体" w:cs="宋体"/>
                <w:spacing w:val="-10"/>
                <w:sz w:val="24"/>
                <w:szCs w:val="24"/>
              </w:rPr>
              <w:instrText xml:space="preserve">,√)</w:instrTex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不组织</w:t>
            </w:r>
            <w:r>
              <w:rPr>
                <w:rFonts w:hint="eastAsia" w:ascii="宋体" w:hAnsi="宋体" w:eastAsia="宋体" w:cs="宋体"/>
                <w:spacing w:val="-10"/>
                <w:sz w:val="24"/>
                <w:szCs w:val="24"/>
              </w:rPr>
              <w:fldChar w:fldCharType="begin"/>
            </w:r>
            <w:r>
              <w:rPr>
                <w:rFonts w:hint="eastAsia" w:ascii="宋体" w:hAnsi="宋体" w:eastAsia="宋体" w:cs="宋体"/>
                <w:spacing w:val="-10"/>
                <w:sz w:val="24"/>
                <w:szCs w:val="24"/>
              </w:rPr>
              <w:instrText xml:space="preserve"> eq \o\ac(</w:instrText>
            </w:r>
            <w:r>
              <w:rPr>
                <w:rFonts w:hint="eastAsia" w:ascii="宋体" w:hAnsi="宋体" w:eastAsia="宋体" w:cs="宋体"/>
                <w:spacing w:val="-10"/>
                <w:position w:val="-4"/>
                <w:sz w:val="36"/>
                <w:szCs w:val="24"/>
              </w:rPr>
              <w:instrText xml:space="preserve">□</w:instrText>
            </w:r>
            <w:r>
              <w:rPr>
                <w:rFonts w:hint="eastAsia" w:ascii="宋体" w:hAnsi="宋体" w:eastAsia="宋体" w:cs="宋体"/>
                <w:spacing w:val="-10"/>
                <w:sz w:val="24"/>
                <w:szCs w:val="24"/>
              </w:rPr>
              <w:instrText xml:space="preserve">)</w:instrTex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组织，投标人自行踏勘现场。踏勘费用服务商自行承担。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政府采购信息发布媒体</w:t>
            </w:r>
          </w:p>
          <w:p>
            <w:pPr>
              <w:spacing w:line="360" w:lineRule="auto"/>
              <w:rPr>
                <w:rFonts w:ascii="宋体" w:hAnsi="宋体" w:eastAsia="宋体" w:cs="宋体"/>
                <w:sz w:val="24"/>
                <w:szCs w:val="24"/>
              </w:rPr>
            </w:pPr>
            <w:r>
              <w:rPr>
                <w:rFonts w:hint="eastAsia" w:ascii="宋体" w:hAnsi="宋体" w:eastAsia="宋体" w:cs="宋体"/>
                <w:sz w:val="24"/>
                <w:szCs w:val="24"/>
              </w:rPr>
              <w:t>（采购公告、采购结果公告、变更公告）</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1．陕西省政府采购网：仅提供项目公告，官网地址：http://ccgp-shaanxi.gov.cn/</w:t>
            </w:r>
          </w:p>
          <w:p>
            <w:pPr>
              <w:spacing w:line="360" w:lineRule="auto"/>
              <w:rPr>
                <w:rFonts w:ascii="宋体" w:hAnsi="宋体" w:eastAsia="宋体" w:cs="宋体"/>
                <w:sz w:val="24"/>
                <w:szCs w:val="24"/>
              </w:rPr>
            </w:pPr>
            <w:r>
              <w:rPr>
                <w:rFonts w:hint="eastAsia" w:ascii="宋体" w:hAnsi="宋体" w:eastAsia="宋体" w:cs="宋体"/>
                <w:sz w:val="24"/>
                <w:szCs w:val="24"/>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询问和质疑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见招标公告中的“联系方式”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投诉受理</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1．受理单位：西安市财政局政府采购管理处</w:t>
            </w:r>
          </w:p>
          <w:p>
            <w:pPr>
              <w:spacing w:line="360" w:lineRule="auto"/>
              <w:rPr>
                <w:rFonts w:ascii="宋体" w:hAnsi="宋体" w:eastAsia="宋体" w:cs="宋体"/>
                <w:sz w:val="24"/>
                <w:szCs w:val="24"/>
              </w:rPr>
            </w:pPr>
            <w:r>
              <w:rPr>
                <w:rFonts w:hint="eastAsia" w:ascii="宋体" w:hAnsi="宋体" w:eastAsia="宋体" w:cs="宋体"/>
                <w:sz w:val="24"/>
                <w:szCs w:val="24"/>
              </w:rPr>
              <w:t>2．联系电话：029-89821846</w:t>
            </w:r>
          </w:p>
          <w:p>
            <w:pPr>
              <w:spacing w:line="360" w:lineRule="auto"/>
              <w:rPr>
                <w:rFonts w:ascii="宋体" w:hAnsi="宋体" w:eastAsia="宋体" w:cs="宋体"/>
                <w:sz w:val="24"/>
                <w:szCs w:val="24"/>
              </w:rPr>
            </w:pPr>
            <w:r>
              <w:rPr>
                <w:rFonts w:hint="eastAsia" w:ascii="宋体" w:hAnsi="宋体" w:eastAsia="宋体" w:cs="宋体"/>
                <w:sz w:val="24"/>
                <w:szCs w:val="24"/>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资格审查</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审查地点：同开标地点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信用信息查询截止时点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开标形式</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077786224"/>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不见面开标  </w:t>
            </w: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见面开标</w:t>
            </w:r>
          </w:p>
          <w:p>
            <w:pPr>
              <w:spacing w:line="360" w:lineRule="auto"/>
              <w:rPr>
                <w:rFonts w:ascii="宋体" w:hAnsi="宋体" w:eastAsia="宋体" w:cs="宋体"/>
                <w:sz w:val="24"/>
                <w:szCs w:val="24"/>
              </w:rPr>
            </w:pPr>
            <w:r>
              <w:rPr>
                <w:rFonts w:hint="eastAsia" w:ascii="宋体" w:hAnsi="宋体" w:eastAsia="宋体" w:cs="宋体"/>
                <w:sz w:val="24"/>
                <w:szCs w:val="24"/>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是否允许递交多个备选投标方案</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60885784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61833125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中标通知书</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1．领取地点：陕西德欣源项目管理有限公司</w:t>
            </w:r>
          </w:p>
          <w:p>
            <w:pPr>
              <w:spacing w:line="360" w:lineRule="auto"/>
              <w:rPr>
                <w:rFonts w:ascii="宋体" w:hAnsi="宋体" w:eastAsia="宋体" w:cs="宋体"/>
                <w:sz w:val="24"/>
                <w:szCs w:val="24"/>
              </w:rPr>
            </w:pPr>
            <w:r>
              <w:rPr>
                <w:rFonts w:hint="eastAsia" w:ascii="宋体" w:hAnsi="宋体" w:eastAsia="宋体" w:cs="宋体"/>
                <w:sz w:val="24"/>
                <w:szCs w:val="24"/>
              </w:rPr>
              <w:t>2．联系电话：18189187635</w:t>
            </w:r>
          </w:p>
          <w:p>
            <w:pPr>
              <w:spacing w:line="360" w:lineRule="auto"/>
              <w:rPr>
                <w:rFonts w:ascii="宋体" w:hAnsi="宋体" w:eastAsia="宋体" w:cs="宋体"/>
                <w:sz w:val="24"/>
                <w:szCs w:val="24"/>
              </w:rPr>
            </w:pPr>
            <w:r>
              <w:rPr>
                <w:rFonts w:hint="eastAsia" w:ascii="宋体" w:hAnsi="宋体" w:eastAsia="宋体" w:cs="宋体"/>
                <w:sz w:val="24"/>
                <w:szCs w:val="24"/>
              </w:rPr>
              <w:t>3．联系人：王卫江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西安市公共资源交易中心电子化政府采购系统技术支持（软件开发商）</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国泰新点软件股份有限公司</w:t>
            </w:r>
          </w:p>
          <w:p>
            <w:pPr>
              <w:spacing w:line="360" w:lineRule="auto"/>
              <w:rPr>
                <w:rFonts w:ascii="宋体" w:hAnsi="宋体" w:eastAsia="宋体" w:cs="宋体"/>
                <w:sz w:val="24"/>
                <w:szCs w:val="24"/>
              </w:rPr>
            </w:pPr>
            <w:r>
              <w:rPr>
                <w:rFonts w:hint="eastAsia" w:ascii="宋体" w:hAnsi="宋体" w:eastAsia="宋体" w:cs="宋体"/>
                <w:sz w:val="24"/>
                <w:szCs w:val="24"/>
              </w:rPr>
              <w:t>1．技术支持热线：400-998-0000/400-928-0095</w:t>
            </w:r>
          </w:p>
          <w:p>
            <w:pPr>
              <w:spacing w:line="360" w:lineRule="auto"/>
              <w:rPr>
                <w:rFonts w:ascii="宋体" w:hAnsi="宋体" w:eastAsia="宋体" w:cs="宋体"/>
                <w:sz w:val="24"/>
                <w:szCs w:val="24"/>
              </w:rPr>
            </w:pPr>
            <w:r>
              <w:rPr>
                <w:rFonts w:hint="eastAsia" w:ascii="宋体" w:hAnsi="宋体" w:eastAsia="宋体" w:cs="宋体"/>
                <w:sz w:val="24"/>
                <w:szCs w:val="24"/>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CA业务网点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陕西省数字证书认证中心股份有限公司</w:t>
            </w:r>
          </w:p>
          <w:p>
            <w:pPr>
              <w:spacing w:line="360" w:lineRule="auto"/>
              <w:rPr>
                <w:rFonts w:ascii="宋体" w:hAnsi="宋体" w:eastAsia="宋体" w:cs="宋体"/>
                <w:sz w:val="24"/>
                <w:szCs w:val="24"/>
              </w:rPr>
            </w:pPr>
            <w:r>
              <w:rPr>
                <w:rFonts w:hint="eastAsia" w:ascii="宋体" w:hAnsi="宋体" w:eastAsia="宋体" w:cs="宋体"/>
                <w:sz w:val="24"/>
                <w:szCs w:val="24"/>
              </w:rPr>
              <w:t>网点1：西安市高新三路信息港大厦1楼客服中心</w:t>
            </w:r>
          </w:p>
          <w:p>
            <w:pPr>
              <w:spacing w:line="360" w:lineRule="auto"/>
              <w:rPr>
                <w:rFonts w:ascii="宋体" w:hAnsi="宋体" w:eastAsia="宋体" w:cs="宋体"/>
                <w:sz w:val="24"/>
                <w:szCs w:val="24"/>
              </w:rPr>
            </w:pPr>
            <w:r>
              <w:rPr>
                <w:rFonts w:hint="eastAsia" w:ascii="宋体" w:hAnsi="宋体" w:eastAsia="宋体" w:cs="宋体"/>
                <w:sz w:val="24"/>
                <w:szCs w:val="24"/>
              </w:rPr>
              <w:t>客服电话：4006-369-888</w:t>
            </w:r>
          </w:p>
          <w:p>
            <w:pPr>
              <w:spacing w:line="360" w:lineRule="auto"/>
              <w:rPr>
                <w:rFonts w:ascii="宋体" w:hAnsi="宋体" w:eastAsia="宋体" w:cs="宋体"/>
                <w:sz w:val="24"/>
                <w:szCs w:val="24"/>
              </w:rPr>
            </w:pPr>
            <w:r>
              <w:rPr>
                <w:rFonts w:hint="eastAsia" w:ascii="宋体" w:hAnsi="宋体" w:eastAsia="宋体" w:cs="宋体"/>
                <w:sz w:val="24"/>
                <w:szCs w:val="24"/>
              </w:rPr>
              <w:t>网点2：西安市长安北路14号省体育公寓B座一楼</w:t>
            </w:r>
          </w:p>
          <w:p>
            <w:pPr>
              <w:spacing w:line="360" w:lineRule="auto"/>
              <w:rPr>
                <w:rFonts w:ascii="宋体" w:hAnsi="宋体" w:eastAsia="宋体" w:cs="宋体"/>
                <w:sz w:val="24"/>
                <w:szCs w:val="24"/>
              </w:rPr>
            </w:pPr>
            <w:r>
              <w:rPr>
                <w:rFonts w:hint="eastAsia" w:ascii="宋体" w:hAnsi="宋体" w:eastAsia="宋体" w:cs="宋体"/>
                <w:sz w:val="24"/>
                <w:szCs w:val="24"/>
              </w:rPr>
              <w:t>咨询电话：029-88661241</w:t>
            </w:r>
          </w:p>
          <w:p>
            <w:pPr>
              <w:spacing w:line="360" w:lineRule="auto"/>
              <w:rPr>
                <w:rFonts w:ascii="宋体" w:hAnsi="宋体" w:eastAsia="宋体" w:cs="宋体"/>
                <w:sz w:val="24"/>
                <w:szCs w:val="24"/>
              </w:rPr>
            </w:pPr>
            <w:r>
              <w:rPr>
                <w:rFonts w:hint="eastAsia" w:ascii="宋体" w:hAnsi="宋体" w:eastAsia="宋体" w:cs="宋体"/>
                <w:sz w:val="24"/>
                <w:szCs w:val="24"/>
              </w:rPr>
              <w:t>网点3：西安市文景北路16号白桦林国际B座2楼11#窗口</w:t>
            </w:r>
          </w:p>
          <w:p>
            <w:pPr>
              <w:spacing w:line="360" w:lineRule="auto"/>
              <w:rPr>
                <w:rFonts w:ascii="宋体" w:hAnsi="宋体" w:eastAsia="宋体" w:cs="宋体"/>
                <w:sz w:val="24"/>
                <w:szCs w:val="24"/>
              </w:rPr>
            </w:pPr>
            <w:r>
              <w:rPr>
                <w:rFonts w:hint="eastAsia" w:ascii="宋体" w:hAnsi="宋体" w:eastAsia="宋体" w:cs="宋体"/>
                <w:sz w:val="24"/>
                <w:szCs w:val="24"/>
              </w:rPr>
              <w:t>咨询电话：029-86510073转80211</w:t>
            </w:r>
          </w:p>
        </w:tc>
      </w:tr>
    </w:tbl>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Cs/>
          <w:kern w:val="36"/>
          <w:sz w:val="24"/>
          <w:szCs w:val="24"/>
        </w:rPr>
      </w:pPr>
      <w:r>
        <w:rPr>
          <w:rFonts w:hint="eastAsia" w:ascii="宋体" w:hAnsi="宋体" w:eastAsia="宋体" w:cs="宋体"/>
          <w:bCs/>
          <w:kern w:val="36"/>
          <w:sz w:val="24"/>
          <w:szCs w:val="24"/>
        </w:rPr>
        <w:t xml:space="preserve"> </w:t>
      </w:r>
      <w:r>
        <w:rPr>
          <w:rFonts w:hint="eastAsia" w:ascii="宋体" w:hAnsi="宋体" w:eastAsia="宋体" w:cs="宋体"/>
          <w:b/>
          <w:kern w:val="36"/>
          <w:sz w:val="24"/>
          <w:szCs w:val="24"/>
        </w:rPr>
        <w:t>服务商须知</w:t>
      </w:r>
      <w:bookmarkEnd w:id="14"/>
      <w:bookmarkEnd w:id="15"/>
      <w:bookmarkEnd w:id="16"/>
      <w:bookmarkEnd w:id="17"/>
      <w:bookmarkEnd w:id="18"/>
      <w:bookmarkEnd w:id="19"/>
      <w:bookmarkEnd w:id="20"/>
      <w:bookmarkEnd w:id="21"/>
      <w:bookmarkEnd w:id="22"/>
      <w:bookmarkEnd w:id="23"/>
      <w:bookmarkEnd w:id="24"/>
      <w:bookmarkEnd w:id="25"/>
    </w:p>
    <w:p>
      <w:pPr>
        <w:keepNext/>
        <w:keepLines/>
        <w:widowControl/>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一、名词解释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（一）政府采购监管机构：西安市财政局</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（二）服务商：凡参与本次投标，具有相关资格的法人/其他组织/自然人。</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二、服务商注意事项</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（一）询问</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服务商对政府采购活动事项有疑问的，可以向采购人或采购代理提出询问。采购人或采购代理将在3个工作日内对服务作出法提出的询问做出答复。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询问内容超出采购人对采购代理委托授权范围的，服务商应当向采购人提出。</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（二）质疑和投诉</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1、服务商认为采购文件、采购过程、中标或成交结果使自己的权益受到损害的，可以在知道或应知其权益受到损害之日起7个工作日内以书面形式向采购人或采购代理机构提出。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2、质疑提交方式：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（1）在线质疑：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登录【全国公共资源交易平台（陕西省·西安市）】网站〖首页·〉电子交易平台·〉企业端〗，在〖我的项目〗中点击“项目流程·〉质疑”，填写表单并提交质疑。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（2）书面质疑：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书面质疑函应按照财政部国库司制定的《政府采购供</w:t>
      </w:r>
      <w:r>
        <w:rPr>
          <w:rFonts w:hint="eastAsia" w:ascii="宋体" w:hAnsi="宋体" w:eastAsia="宋体" w:cs="宋体"/>
          <w:w w:val="1"/>
          <w:sz w:val="24"/>
          <w:szCs w:val="24"/>
        </w:rPr>
        <w:t xml:space="preserve"> </w:t>
      </w:r>
      <w:r>
        <w:rPr>
          <w:rFonts w:hint="eastAsia" w:ascii="宋体" w:hAnsi="宋体" w:eastAsia="宋体" w:cs="宋体"/>
          <w:sz w:val="24"/>
          <w:szCs w:val="24"/>
        </w:rPr>
        <w:t>应</w:t>
      </w:r>
      <w:r>
        <w:rPr>
          <w:rFonts w:hint="eastAsia" w:ascii="宋体" w:hAnsi="宋体" w:eastAsia="宋体" w:cs="宋体"/>
          <w:w w:val="1"/>
          <w:sz w:val="24"/>
          <w:szCs w:val="24"/>
        </w:rPr>
        <w:t xml:space="preserve"> </w:t>
      </w:r>
      <w:r>
        <w:rPr>
          <w:rFonts w:hint="eastAsia" w:ascii="宋体" w:hAnsi="宋体" w:eastAsia="宋体" w:cs="宋体"/>
          <w:sz w:val="24"/>
          <w:szCs w:val="24"/>
        </w:rPr>
        <w:t>商质疑函范本》进行填写，签字、盖章后提交至采购人或采购代理机构。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采购人联系方式：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 系 人：赵老师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联系电话：029-86511336</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通信地址：未央区凤城七路与明光路十字西北角联益中心三楼</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采购代理联系方式：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受理地点：陕西德欣源项目管理有限公司</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联系电话：18189187635</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服务商质疑应当提交质疑事项和必要的证明材料。在法定质疑期内，针对同一采购程序环节的质疑应当一次性提出。采购人、采购代理将在收到书面质疑后7个工作日内，在线答复或以书面形式通知质疑人和其他有关服务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服务商为自然人的，应当由本人签字；服务商为法人或者其他组织的，应当由法定代表人、主要负责人，或者其授权代表签字或者盖章，并加盖公章，公章不得以合同章或其他印章代替。服务商委托代理人质疑的，应当同时提交服务商签署的授权委托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5、有下列情形之一的，属于无效质疑：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（1）对采购文件质疑的质疑人不是依法获取采购文件的潜在服务商；对采购过程、中标或成交结果质疑的质疑人不是参与本次政府采购项目的服务商；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（2）超过法定期限，或未以线上、书面形式提出的；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（3）缺乏必要的证明材料，或捏造事实、提供虚假材料，或以非法手段取得证明材料的；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（4）书面质疑函没有合法有效的签字、盖章或委托授权书的（代理人质疑和投诉，应当提交服务商签署的授权委托书）；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（5）针对同一采购程序环节又提出其他质疑事项的，或质疑答复后就同一事项再次不符合法律、法规、规章和政府采购监管机构规定的其他条件质疑的。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质疑服务商对采购人、采购代理的答复不满意，或者采购人、采购代作出规定的时间内做出答复的，可以在答复期满后15个工作日内按照《政府采购质疑和投诉办法》（财政部94号令）相关规定向西安市财政局政府采购管理处提出投诉。服务商投诉的事项不得超出已质疑事项的范围。</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b/>
          <w:sz w:val="24"/>
          <w:szCs w:val="24"/>
        </w:rPr>
        <w:t>对捏造事实、提供虚假材料进行质疑、投诉的行为予以严肃处理：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依据《政府采购质疑和投诉办法》（财政部94号令）有关规定，投诉人在全国范围内十二个月内三次以上投诉查无实据的，由财政部门列入不良行为记录名单。对于捏造事，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b/>
          <w:sz w:val="24"/>
          <w:szCs w:val="24"/>
        </w:rPr>
        <w:t>对捏造事实诬告陷害他人、诽谤他人的法律适用：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《中华人民共和国刑法》第246条【侮辱罪、诽谤罪】以暴力或者其他方法公然侮辱他人或者捏造事实诽谤他人，情节严重的，处三年以下有期徒刑、拘役、管制或者剥夺政治权利。</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（三）关于信用记录的查询和使用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1、根据《关于在政府采购活动中查询及使用信用记录有关问题的通知》（财库〔2016〕125号）第二条有关要求，</w:t>
      </w:r>
      <w:r>
        <w:rPr>
          <w:rFonts w:hint="eastAsia" w:ascii="宋体" w:hAnsi="宋体" w:eastAsia="宋体" w:cs="宋体"/>
          <w:sz w:val="24"/>
          <w:szCs w:val="24"/>
          <w:em w:val="dot"/>
        </w:rPr>
        <w:t>采购人</w:t>
      </w:r>
      <w:r>
        <w:rPr>
          <w:rFonts w:hint="eastAsia" w:ascii="宋体" w:hAnsi="宋体" w:eastAsia="宋体" w:cs="宋体"/>
          <w:sz w:val="24"/>
          <w:szCs w:val="24"/>
        </w:rPr>
        <w:t>将在资格审查时通过【</w:t>
      </w:r>
      <w:r>
        <w:fldChar w:fldCharType="begin"/>
      </w:r>
      <w:r>
        <w:instrText xml:space="preserve"> HYPERLINK "http://www.creditchina.gov.cn" </w:instrText>
      </w:r>
      <w:r>
        <w:fldChar w:fldCharType="separate"/>
      </w:r>
      <w:r>
        <w:rPr>
          <w:rFonts w:hint="eastAsia" w:ascii="宋体" w:hAnsi="宋体" w:eastAsia="宋体" w:cs="宋体"/>
          <w:sz w:val="24"/>
          <w:szCs w:val="24"/>
          <w:em w:val="dot"/>
        </w:rPr>
        <w:t>信用中国</w:t>
      </w:r>
      <w:r>
        <w:rPr>
          <w:rFonts w:hint="eastAsia" w:ascii="宋体" w:hAnsi="宋体" w:eastAsia="宋体" w:cs="宋体"/>
          <w:sz w:val="24"/>
          <w:szCs w:val="24"/>
          <w:em w:val="dot"/>
        </w:rPr>
        <w:fldChar w:fldCharType="end"/>
      </w:r>
      <w:r>
        <w:rPr>
          <w:rFonts w:hint="eastAsia" w:ascii="宋体" w:hAnsi="宋体" w:eastAsia="宋体" w:cs="宋体"/>
          <w:sz w:val="24"/>
          <w:szCs w:val="24"/>
        </w:rPr>
        <w:t>（www.creditchina.gov.cn）】、【</w:t>
      </w:r>
      <w:r>
        <w:fldChar w:fldCharType="begin"/>
      </w:r>
      <w:r>
        <w:instrText xml:space="preserve"> HYPERLINK "http://www.ccgp.gov.cn/cr/list" </w:instrText>
      </w:r>
      <w:r>
        <w:fldChar w:fldCharType="separate"/>
      </w:r>
      <w:r>
        <w:rPr>
          <w:rFonts w:hint="eastAsia" w:ascii="宋体" w:hAnsi="宋体" w:eastAsia="宋体" w:cs="宋体"/>
          <w:sz w:val="24"/>
          <w:szCs w:val="24"/>
          <w:em w:val="dot"/>
        </w:rPr>
        <w:t>中国政府采购网</w:t>
      </w:r>
      <w:r>
        <w:rPr>
          <w:rFonts w:hint="eastAsia" w:ascii="宋体" w:hAnsi="宋体" w:eastAsia="宋体" w:cs="宋体"/>
          <w:sz w:val="24"/>
          <w:szCs w:val="24"/>
          <w:em w:val="dot"/>
        </w:rPr>
        <w:fldChar w:fldCharType="end"/>
      </w:r>
      <w:r>
        <w:rPr>
          <w:rFonts w:hint="eastAsia" w:ascii="宋体" w:hAnsi="宋体" w:eastAsia="宋体" w:cs="宋体"/>
          <w:sz w:val="24"/>
          <w:szCs w:val="24"/>
        </w:rPr>
        <w:t>（www.ccgp.gov.cn）】网站对服务商的信用情况进行甄别。</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2、对列入失信被执行人、重大税收违法案件当事人名单、政府采购严重违法失信行为记录名单及其他不符合《中华人民共和国政府采购法》第二十二条规定条件的服务商，将拒绝其参与政府采购活动。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3、服务商在参加政府采购活动前3年内因违法经营被禁止在一定期限内参加政府采购活动，期限届满的，可以参加政府采购活动的，但服务商应提供相关证明材料。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4、信用记录核查的截止时点为“资格审查当日”，查询结果将与其他采购文件一并保存。信用记录查询方法及查询结果如下：</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（1）信用中国上的信用报告：信用中国首页·〉“信用信息”查询框·〉下载信用信息（PDF格式），并打印。</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（2）政府采购严重违法失信行为记录：中国政府采购网首页·〉政府采购严重违法失信行为记录名单，将查询结果截图并打印。</w:t>
      </w:r>
    </w:p>
    <w:p>
      <w:pPr>
        <w:widowControl/>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rPr>
        <w:t>（四）关于对中小企业的优惠政策</w:t>
      </w:r>
      <w:r>
        <w:rPr>
          <w:rFonts w:hint="eastAsia" w:ascii="宋体" w:hAnsi="宋体" w:eastAsia="宋体" w:cs="宋体"/>
          <w:b/>
          <w:sz w:val="24"/>
          <w:szCs w:val="24"/>
          <w:highlight w:val="none"/>
        </w:rPr>
        <w:t>（本项目专门面向中小企业采购故不给予报价扣除优惠）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用扣除后的价格参加评审。同时，依据《政府采购促进中小企业发展管理办法》（财库〔2020〕46号）第四条第二款规定在货物采购项目中，服务商提供的货物既有中小企业制造货物，也有大型企业制造货物的，不享受中小企业扶持政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适用招标投标法的政府采购工程建设项目，采用综合评估法但未采用低价优先法计算价格分的，评标时应当在采用原报价进行评分的基础上增加其价格得分的3%～5%作为其价格分。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2、根据财政部、司法部联合下发的《关于政府采购支持监狱企业发展有关问题的通知》（财库〔2014〕68号）等的规定，监狱企业视同小型、微型企业。</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参加政府采购活动的中小企业/残疾人单位应提供《中小企业声明函》或《残疾人福利性单位声明函》。《监狱企业证明函》应由省级以上监狱管理局、戒毒管理局（含新疆生产建设兵团）出具。未提供上述证明的函的，不能享受招标文件规定的价格扣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5、实际价格扣除比例以本章《评审要素及分值一览表》中的具体规定为准。</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（五）不见面开标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疫情防控期间，为减少人员流动、避免交叉感染，该项目将采取“不见面”开标的形式，服务商无须到达开标现场，即可在网上直接参与开标活动。相关注意事项如下：</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1、开标当日，请各服务商至少提前半小时登录“不见面”开评标系统，并按要求及时签到，并保持在线直到评审结束； </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2、投标服务商无需提交纸质投标文件，待采购结果公告后，由中标服务商补交一正两副纸质投标文件（备案用）。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唱标过程中，服务商在收到工作人员“开始解密”指令后，请及时使用CA对电子投标文件进行解密。解密时所用CA应与加密投标文件时所用CA相同；评审过程中，评标委员会可能会就某些问题要求服务商进行在线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见面”开评标系统操作说明详见全国公共资源交易平台（陕西·西安）网站〖首页·〉服务指南·〉下载专区〗中的《西安公共资源交易不见面开标大厅服务商操作手册》。相关技术问题，请咨询软件开发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（1）技术支持热线：400-998-0000/400-928-0095</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（2）驻场技术人员：029-86510166/86510167转80310</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（六）服务商的投标费用自理。</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三、招标文件</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（一）招标文件包括下列内容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第一章　招标公告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第二章　服务商须知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第三章　招标内容及要求</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第四章　合同文本</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第五章　投标文件构成及格式</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（二）招标文件的检查及阅读</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服务商下载招标文件后应仔细阅读检查招标文件中的所有内容，按照招标文件中所列事项、条款、规范要求及格式，在投标文件中对招标文件做出全面地响</w:t>
      </w:r>
      <w:r>
        <w:rPr>
          <w:rFonts w:hint="eastAsia" w:ascii="宋体" w:hAnsi="宋体" w:eastAsia="宋体" w:cs="宋体"/>
          <w:w w:val="1"/>
          <w:sz w:val="24"/>
          <w:szCs w:val="24"/>
        </w:rPr>
        <w:t xml:space="preserve"> </w:t>
      </w:r>
      <w:r>
        <w:rPr>
          <w:rFonts w:hint="eastAsia" w:ascii="宋体" w:hAnsi="宋体" w:eastAsia="宋体" w:cs="宋体"/>
          <w:sz w:val="24"/>
          <w:szCs w:val="24"/>
        </w:rPr>
        <w:t>应，并按招标文件的要求提交全部资料。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项目废标后重新组织招标的，采购代理将重新编制、发布新版招标文件，服务商应按新版招标文件重新编制投标文件。原招标文件及投标文件失效。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投标文件封面、投标函以及法定代表人委托授权书三处的项目名称、项目编号、标段（项目未分标段的除外）应当与最新发布的招标文件保持一致，否则将被视为无效投标文件。</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（三）招标文件的修改、澄清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代理可对已发出的招标文件进行必要的澄清或者修改，澄清或者修改的内容作为招标文件的组成部分。澄清或者修改的内容可能影响投标文件编制的，采购代理将在投标截止时间15日前，在财政部门指定的政府采购信息发布媒体上发布变更公告，澄清或修改的内容为招标文件的组成部分；不足15日，采购代理将顺延提交投标文件的截止时间。</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商对招标文件质疑的，应在采购文件公告期限届满之日起7个工作日内以书面形式提出，采购人或采购代理将以书面形式予以答复；在此之后提出的针对招标文件的质疑为无效质疑。答复的内容可能影响投标文件编制的，采购代理将在财政部门指定的政府采购信息发布媒体上发布变更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代理可以视采购具体情况，暂停项目的执行或延长投标截止时间和开标时间，但至少会在招标文件要求的提交投标文件的截止时间3日前，在财政部门指定的政府采购信息发布媒体上发布变更公告。不足3日的，将另行通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4、请各服务商在提交投标文件截止时间之前，务必自行关注下列地址发布的变更公告，采购代理不再另行通知，因服务商未及时关注所造成的一切后果由服务商自行承担：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fldChar w:fldCharType="begin"/>
      </w:r>
      <w:r>
        <w:instrText xml:space="preserve"> HYPERLINK "http://www.ccgp-shaanxi.gov.cn" </w:instrText>
      </w:r>
      <w: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】（www.ccgp-shaanxi.gov.cn）中的〖首页·〉市县采购信息公告〗；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（2）【西安市公共资源交易平台】（sxggzyjy.xa.gov.cn）中的〖首页·〉交易大厅·〉政府采购〗。</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（四）招标文件的解释权归采购代理。</w:t>
      </w:r>
    </w:p>
    <w:p>
      <w:pPr>
        <w:keepNext/>
        <w:keepLines/>
        <w:widowControl/>
        <w:spacing w:line="360" w:lineRule="auto"/>
        <w:rPr>
          <w:rFonts w:ascii="宋体" w:hAnsi="宋体" w:eastAsia="宋体" w:cs="宋体"/>
          <w:b/>
          <w:bCs/>
          <w:sz w:val="24"/>
          <w:szCs w:val="24"/>
        </w:rPr>
      </w:pPr>
      <w:r>
        <w:rPr>
          <w:rFonts w:hint="eastAsia" w:ascii="宋体" w:hAnsi="宋体" w:eastAsia="宋体" w:cs="宋体"/>
          <w:b/>
          <w:bCs/>
          <w:sz w:val="24"/>
          <w:szCs w:val="24"/>
        </w:rPr>
        <w:t>四、西安市政府采购信用担保及信用融资政策</w:t>
      </w:r>
    </w:p>
    <w:p>
      <w:pPr>
        <w:widowControl/>
        <w:wordWrap w:val="0"/>
        <w:spacing w:line="360" w:lineRule="auto"/>
        <w:ind w:firstLine="480" w:firstLineChars="200"/>
        <w:rPr>
          <w:rFonts w:ascii="宋体" w:hAnsi="宋体" w:eastAsia="宋体" w:cs="宋体"/>
          <w:b/>
          <w:bCs/>
          <w:sz w:val="24"/>
          <w:szCs w:val="24"/>
        </w:rPr>
      </w:pPr>
      <w:r>
        <w:rPr>
          <w:rFonts w:ascii="宋体" w:hAnsi="宋体" w:eastAsia="宋体" w:cs="宋体"/>
          <w:sz w:val="24"/>
          <w:szCs w:val="24"/>
        </w:rPr>
        <w:t>为进一步贯彻落实国务院和我省关于支持中小企业发展的政策措施， 发挥政府采购政策导向作用，充分利用信息化技术，通过搭建信息对称、相互 对接的平台，有效缓解中小企业融资难、融资贵问题，陕西省财政厅制定了《陕 西省中小企业政府采购信用融资办法》（陕财办采〔2018〕23 号），为参与 陕西省政府采购项目的中型、小型及微型企业提供政府采购信用担保和融资服务。成交供应商如果需要融资贷款服务的，可凭成交通知书、政府采购合同等 相关资料，按照信用融资办法规定的程序申请办理，具体规定可登陆陕西省政 府采购信用融资平台 （http://ccgp-shaanxi.gov.cn/zcdservice/zcd/shanxi/）中查询了解</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b/>
          <w:bCs/>
          <w:sz w:val="24"/>
          <w:szCs w:val="24"/>
        </w:rPr>
        <w:t>五、投标报价</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投标报价是服务商响</w:t>
      </w:r>
      <w:r>
        <w:rPr>
          <w:rFonts w:hint="eastAsia" w:ascii="宋体" w:hAnsi="宋体" w:eastAsia="宋体" w:cs="宋体"/>
          <w:w w:val="1"/>
          <w:sz w:val="24"/>
          <w:szCs w:val="24"/>
        </w:rPr>
        <w:t xml:space="preserve"> </w:t>
      </w:r>
      <w:r>
        <w:rPr>
          <w:rFonts w:hint="eastAsia" w:ascii="宋体" w:hAnsi="宋体" w:eastAsia="宋体" w:cs="宋体"/>
          <w:sz w:val="24"/>
          <w:szCs w:val="24"/>
        </w:rPr>
        <w:t>应招标项目要求的全部工作内容的价格体现，包括完成采购内容所需的直接费、间接费、利润、税金及其他相关的一切费用。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（一）服务商在报价时应充分考虑所有可能发生的费用，招标文件未列明，而服务商认为应当计取的费用均应列入报价中。报价时不论是否计取，采购人均按已计取对待。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（二）服务商应严格按照《投标文件构成及格式》中《开标一览表》中的相关要求填写分类报价及其他需要响</w:t>
      </w:r>
      <w:r>
        <w:rPr>
          <w:rFonts w:hint="eastAsia" w:ascii="宋体" w:hAnsi="宋体" w:eastAsia="宋体" w:cs="宋体"/>
          <w:w w:val="1"/>
          <w:sz w:val="24"/>
          <w:szCs w:val="24"/>
        </w:rPr>
        <w:t xml:space="preserve"> </w:t>
      </w:r>
      <w:r>
        <w:rPr>
          <w:rFonts w:hint="eastAsia" w:ascii="宋体" w:hAnsi="宋体" w:eastAsia="宋体" w:cs="宋体"/>
          <w:sz w:val="24"/>
          <w:szCs w:val="24"/>
        </w:rPr>
        <w:t>应的内容。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（三）投标报价货币：</w:t>
      </w:r>
      <w:r>
        <w:rPr>
          <w:rFonts w:hint="eastAsia" w:ascii="宋体" w:hAnsi="宋体" w:eastAsia="宋体" w:cs="宋体"/>
          <w:sz w:val="24"/>
          <w:szCs w:val="24"/>
          <w:u w:val="single"/>
        </w:rPr>
        <w:t>人民币</w:t>
      </w:r>
      <w:r>
        <w:rPr>
          <w:rFonts w:hint="eastAsia" w:ascii="宋体" w:hAnsi="宋体" w:eastAsia="宋体" w:cs="宋体"/>
          <w:sz w:val="24"/>
          <w:szCs w:val="24"/>
        </w:rPr>
        <w:t>；基本单位：</w:t>
      </w:r>
      <w:r>
        <w:rPr>
          <w:rFonts w:hint="eastAsia" w:ascii="宋体" w:hAnsi="宋体" w:eastAsia="宋体" w:cs="宋体"/>
          <w:sz w:val="24"/>
          <w:szCs w:val="24"/>
          <w:u w:val="single"/>
        </w:rPr>
        <w:t>元</w:t>
      </w:r>
      <w:r>
        <w:rPr>
          <w:rFonts w:hint="eastAsia" w:ascii="宋体" w:hAnsi="宋体" w:eastAsia="宋体" w:cs="宋体"/>
          <w:sz w:val="24"/>
          <w:szCs w:val="24"/>
        </w:rPr>
        <w:t>，精确到小数点后两位。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（四）投标报价只能提交唯一报价，并且在合同履行过程中是固定不变的，任何有选择的报价将不予接受，按无效投标处理。</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六、投标文件</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（一）电子投标文件</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编制电子投标文件时，应使用最新发布的电子招标文件及专用制作工具进行编制。并使用CA（数字认证证书）对电子投标文件进行签署、加密、递交及开标时解密等相关操作。</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电子招标文件获取方式：服务商登录〖西安市公共资源交易平台·〉首页·〉电子交易平台·〉企业端〗后，在〖招标公告/出让公告〗模块中选择有意向的项目点击“我要投标”，成功后点击“我的项目·〉项目流程·〉交易文件下载”免费下载电子招标文件（*.SXSZF）。</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注意：①正常下载电子招标文件后，“交易文件下载”按钮前的图标将变</w:t>
      </w:r>
    </w:p>
    <w:p>
      <w:pPr>
        <w:widowControl/>
        <w:wordWrap w:val="0"/>
        <w:spacing w:line="360" w:lineRule="auto"/>
        <w:rPr>
          <w:rFonts w:ascii="宋体" w:hAnsi="宋体" w:eastAsia="宋体" w:cs="宋体"/>
          <w:sz w:val="24"/>
          <w:szCs w:val="24"/>
        </w:rPr>
      </w:pPr>
      <w:r>
        <w:rPr>
          <w:rFonts w:hint="eastAsia" w:ascii="宋体" w:hAnsi="宋体" w:eastAsia="宋体" w:cs="宋体"/>
          <w:sz w:val="24"/>
          <w:szCs w:val="24"/>
        </w:rPr>
        <w:t>为“✔”，未正常下载或从其他途径获取招标文件的，将无法上传电子投标文件；②服务商应随时留意可能发布的变更公告，变更公告是招标文件的组</w:t>
      </w:r>
    </w:p>
    <w:p>
      <w:pPr>
        <w:widowControl/>
        <w:wordWrap w:val="0"/>
        <w:spacing w:line="360" w:lineRule="auto"/>
        <w:rPr>
          <w:rFonts w:ascii="宋体" w:hAnsi="宋体" w:eastAsia="宋体" w:cs="宋体"/>
          <w:sz w:val="24"/>
          <w:szCs w:val="24"/>
        </w:rPr>
      </w:pPr>
      <w:r>
        <w:rPr>
          <w:rFonts w:hint="eastAsia" w:ascii="宋体" w:hAnsi="宋体" w:eastAsia="宋体" w:cs="宋体"/>
          <w:sz w:val="24"/>
          <w:szCs w:val="24"/>
        </w:rPr>
        <w:t>成部分。变更内容影响投标文件编制时，采购代理将同时发布答疑文件，此时服务商应从“项目流程〉答疑文件下载”下载更新后的电子招标文件（*.SXSCF），使用旧版电子招标文件制作的电子投标文件（*.SXSTF），系统将拒绝接收。</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2、电子招标文件需要使用专用软件打开、浏览。软件下载地址及操作手册详见〖西安市公共资源交易平台·〉首页·〉服务指南·〉下载专区〗中的《政府采购项目投标文件制作软件及操作手册》。</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3、电子投标文件中需要法定代表人签字或盖章的地方，请使用“法人CA”进行签章；需要加盖服务商公章的地方，请使用“企业CA”进行盖章。加密和解密应当使用同一CA，否则将会导致解密失败。</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电子投标文件同样需要使用上述专用软件进行编制。若电子投标文件签章后，导出的PDF文件里看不到签章，请尝试使用查看投标文件工具打开未加密的电子投标文件重新导出。在编制过程中，如有其他技术性问题，请先翻阅操作手册，或致电软件开发商：</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（1）技术支持热线：400-998-0000</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（2）驻场技术人员：029-86510166/86510167人工转80310（徐工）</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（二）纸质投标文件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开标时投标服务商无需提交纸质投标文件，项目中标后由中标服务商在领取中标通知书时提供一正两副纸质投标文件用于备案。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用电子化评审系统的采购项目，其纸质投标文件应从政府采购项目投标文件制作软件中导出。并按规定的纸质投标文件份数要求进行印刷，其正本及各副本分别装订成册。项目分标段的，应按所投标段分别准备投标文件。</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（三）投标文件的语言及计量单位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1、招标活动的所有文件、资料、函电文字均使用简体中文，确需提交用其他语言形成的资料，必须翻译成简体中文。对不同文字文本投标文件的解释发生异议时，以简体中文文本为准。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2、投标文件的计量单位应使用中华人民共和国法定计量单位，但招标文件另有规定的除外。</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（四）投标文件的有效期</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投标文件有效期为自开标之日起90个日历日。如中标，延长至合同执行完毕时止。</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（五）投标文件的提交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可于提交投标文件截止时间前任意时段，登录〖西安市公共资源交易平台·〉首页·〉电子交易平台·〉企业端〗提交电子投标文件，逾期系统将拒绝接收。提交时，依次点击“我的项目·〉项目流程·〉项目管理·〉上传投标文件”，上传加密的电子投标文件（*.SXSTF）。上传成功后，电子化平台将予以记录。</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（六）投标文件的撤回、补充和修改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服务商在递交投标文件后，且在提交投标文件截止时间前，可以对所提交的投标文件进行撤回、补充或修改。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（七）关于投标文件的雷同性分析</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根据陕西省公共资源交易中心2021年7月22日印发的《关于在政府采购交易系统中开通标书雷同性分析功能的通知》，在符合性审查环节，将由评标委员会在评标系统中对服务商的电子投标文件进行雷同性分析。</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文件制作机器码”一致，则表明不同投标服务商的电子投标文件出自同一台制作设备，根据《陕西省财政厅关于政府采购有关政策的复函》（陕财办采函〔2019〕18号），该情形可以视为投标服务商串通投标，其投标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若“文件创建标识码”一致，则表示不同投标服务商使用投标文件制作软件时，使用同一源工程文件，该情形建议由评标委员会结合项目情况综合判定。</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（八）服务商提交投标文件时，出现下列情况之一的，其投标文件将被拒绝接收：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1、误投的；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2、逾期提交电子投标文件的。</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七、组织开标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（一）采购代理组织招标、开标、评标工作，整个过程受政府采购监管机构的监督、管理。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（二）采购代理在规定的时间和地点组织公开招标，服务商法定代表人或被授权人可登录</w:t>
      </w:r>
      <w:r>
        <w:rPr>
          <w:rFonts w:hint="eastAsia" w:ascii="宋体" w:hAnsi="宋体" w:eastAsia="宋体" w:cs="宋体"/>
          <w:kern w:val="0"/>
          <w:sz w:val="24"/>
          <w:szCs w:val="24"/>
        </w:rPr>
        <w:t>【全国公共资源交易平台（陕西省·西安市）〉</w:t>
      </w:r>
      <w:r>
        <w:rPr>
          <w:rFonts w:hint="eastAsia" w:ascii="宋体" w:hAnsi="宋体" w:eastAsia="宋体" w:cs="宋体"/>
          <w:sz w:val="24"/>
          <w:szCs w:val="24"/>
        </w:rPr>
        <w:t>不见面开标系统】参加。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（三）开标大会上，采购代理将对已接收的投标文件，依据提交投标文件的顺序，以公开唱标的形式，将开标一览表的内容公布。</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（四）主持人宣布开标后，服务商应携带“加密电子投标文件时所用CA锁”在线自行解密电子投标文件。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（五）在开标环节出现下列情况之一的，其电子投标文件视为无效文件：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1、服务商拒绝对电子投标文件进行解密的；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2、因服务商自身原因（如未带CA锁，或所带CA锁与制作电子投标文件使用的CA锁不一致，或沿用旧版招标文件编制投标文件等情形），导致在规定时间内无法解密投标文件的；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3、上传的电子投标文件无法打开的；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4、政府采购法律法规规定的其他无效情形。</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八、资格审查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标结束后，由采购人委派的资格审查小组（采购人应出具书面授权函）按照《政府采购货物和服务招标投标管理办法》（财政部第87号令）有关规定，对服务商资格证明文件及信用记录进行审查。出现下列情形的，投标文件将被视为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（1）不具备招标文件中规定的资格要求的；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（2）未按招标文件要求签字或加盖公章的；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资格审查结束后，资格审查小组成员应当对审查结果进行签字确认，并告知无效投标服务商资格审查未通过的原因。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合格服务商不足3家的，不得评标。</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九、评标方法和程序</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评标专家从政府采购评审专家库内相关专业的专家名单中随机抽取。采购预算金额在1000万元以上、技术复杂、社会影响较大的采购项目评标委员会成员人数应当为7人以上单数。</w:t>
      </w:r>
    </w:p>
    <w:p>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（一）评标方法</w:t>
      </w:r>
      <w:r>
        <w:rPr>
          <w:rFonts w:hint="eastAsia" w:ascii="宋体" w:hAnsi="宋体" w:eastAsia="宋体" w:cs="宋体"/>
          <w:sz w:val="24"/>
          <w:szCs w:val="24"/>
        </w:rPr>
        <w:t>：本项目采用综合评分法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投标文件满足招标文件全部实质性要求，且按照评审因素的量化指标评审得分最高的服务商为中标候选人。</w:t>
      </w:r>
    </w:p>
    <w:p>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（二）评标程序</w:t>
      </w:r>
      <w:r>
        <w:rPr>
          <w:rFonts w:hint="eastAsia" w:ascii="宋体" w:hAnsi="宋体" w:eastAsia="宋体" w:cs="宋体"/>
          <w:sz w:val="24"/>
          <w:szCs w:val="24"/>
        </w:rPr>
        <w:t>：服务商资格性审查通过后，</w:t>
      </w:r>
      <w:r>
        <w:rPr>
          <w:rFonts w:hint="eastAsia" w:ascii="宋体" w:hAnsi="宋体" w:eastAsia="宋体" w:cs="宋体"/>
          <w:bCs/>
          <w:sz w:val="24"/>
          <w:szCs w:val="24"/>
        </w:rPr>
        <w:t>评标委员会依据招标文件的规定，对投标文件的符合性进行审查。审查通过后，评标委员会根据响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应程度对合格服务商的投标文件进行综合打分，按最后得分由高向低排序，推荐中标候选人。具体程序如下：</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1、投标文件的符合性审查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评标委员会依据招标文件的规定，对投标文件的有效性、完整性进行审查。</w:t>
      </w:r>
    </w:p>
    <w:p>
      <w:pPr>
        <w:widowControl/>
        <w:spacing w:before="156" w:beforeLines="50" w:after="156" w:afterLines="50" w:line="360" w:lineRule="auto"/>
        <w:rPr>
          <w:rFonts w:ascii="宋体" w:hAnsi="宋体" w:eastAsia="宋体" w:cs="宋体"/>
          <w:b/>
          <w:sz w:val="24"/>
          <w:szCs w:val="24"/>
          <w:u w:val="thick"/>
        </w:rPr>
      </w:pPr>
    </w:p>
    <w:p>
      <w:pPr>
        <w:widowControl/>
        <w:spacing w:before="156" w:beforeLines="50" w:after="156" w:afterLines="50" w:line="360" w:lineRule="auto"/>
        <w:jc w:val="center"/>
        <w:rPr>
          <w:rFonts w:ascii="宋体" w:hAnsi="宋体" w:eastAsia="宋体" w:cs="宋体"/>
          <w:b/>
          <w:sz w:val="24"/>
          <w:szCs w:val="24"/>
          <w:u w:val="thick"/>
        </w:rPr>
      </w:pPr>
      <w:r>
        <w:rPr>
          <w:rFonts w:hint="eastAsia" w:ascii="宋体" w:hAnsi="宋体" w:eastAsia="宋体" w:cs="宋体"/>
          <w:b/>
          <w:sz w:val="24"/>
          <w:szCs w:val="24"/>
          <w:u w:val="thick"/>
        </w:rPr>
        <w:t>符合性审查表</w:t>
      </w:r>
    </w:p>
    <w:tbl>
      <w:tblPr>
        <w:tblStyle w:val="25"/>
        <w:tblW w:w="92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375"/>
        <w:gridCol w:w="3773"/>
        <w:gridCol w:w="838"/>
        <w:gridCol w:w="15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5" w:hRule="atLeast"/>
          <w:jc w:val="center"/>
        </w:trPr>
        <w:tc>
          <w:tcPr>
            <w:tcW w:w="694" w:type="dxa"/>
            <w:tcBorders>
              <w:top w:val="single" w:color="auto" w:sz="12" w:space="0"/>
              <w:bottom w:val="single" w:color="auto" w:sz="2" w:space="0"/>
            </w:tcBorders>
            <w:shd w:val="clear" w:color="auto" w:fill="F2F2F2"/>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375" w:type="dxa"/>
            <w:tcBorders>
              <w:top w:val="single" w:color="auto" w:sz="12" w:space="0"/>
              <w:bottom w:val="single" w:color="auto" w:sz="2" w:space="0"/>
            </w:tcBorders>
            <w:shd w:val="clear" w:color="auto" w:fill="F2F2F2"/>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符合性审查项</w:t>
            </w:r>
          </w:p>
        </w:tc>
        <w:tc>
          <w:tcPr>
            <w:tcW w:w="3773" w:type="dxa"/>
            <w:tcBorders>
              <w:top w:val="single" w:color="auto" w:sz="12" w:space="0"/>
              <w:bottom w:val="single" w:color="auto" w:sz="2" w:space="0"/>
            </w:tcBorders>
            <w:shd w:val="clear" w:color="auto" w:fill="F2F2F2"/>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通过条件</w:t>
            </w:r>
          </w:p>
        </w:tc>
        <w:tc>
          <w:tcPr>
            <w:tcW w:w="838" w:type="dxa"/>
            <w:tcBorders>
              <w:top w:val="single" w:color="auto" w:sz="12" w:space="0"/>
              <w:bottom w:val="single" w:color="auto" w:sz="2" w:space="0"/>
            </w:tcBorders>
            <w:shd w:val="clear" w:color="auto" w:fill="F2F2F2"/>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结论</w:t>
            </w:r>
          </w:p>
        </w:tc>
        <w:tc>
          <w:tcPr>
            <w:tcW w:w="1536" w:type="dxa"/>
            <w:tcBorders>
              <w:top w:val="single" w:color="auto" w:sz="12" w:space="0"/>
              <w:bottom w:val="single" w:color="auto" w:sz="2" w:space="0"/>
            </w:tcBorders>
            <w:shd w:val="clear" w:color="auto" w:fill="F2F2F2"/>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未通过原因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30" w:hRule="atLeast"/>
          <w:jc w:val="center"/>
        </w:trPr>
        <w:tc>
          <w:tcPr>
            <w:tcW w:w="694" w:type="dxa"/>
            <w:tcBorders>
              <w:top w:val="single" w:color="auto" w:sz="2" w:space="0"/>
            </w:tcBorders>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2375" w:type="dxa"/>
            <w:tcBorders>
              <w:top w:val="single" w:color="auto" w:sz="2" w:space="0"/>
            </w:tcBorders>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投标文件项目名称、项目编号、标段（未分标段的除外）</w:t>
            </w:r>
          </w:p>
        </w:tc>
        <w:tc>
          <w:tcPr>
            <w:tcW w:w="3773" w:type="dxa"/>
            <w:tcBorders>
              <w:top w:val="single" w:color="auto" w:sz="2" w:space="0"/>
            </w:tcBorders>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投标文件以下三处的项目名称、项目编号、标段无遗漏，且与本项目完全一致（以招标文件中给定的项目名称、项目编号为准）：</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（1）封面；</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（2）投标函；</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（3）法定代表人委托授权书 /法人身份证明。</w:t>
            </w:r>
          </w:p>
        </w:tc>
        <w:tc>
          <w:tcPr>
            <w:tcW w:w="838" w:type="dxa"/>
            <w:tcBorders>
              <w:top w:val="single" w:color="auto" w:sz="2" w:space="0"/>
            </w:tcBorders>
            <w:vAlign w:val="center"/>
          </w:tcPr>
          <w:p>
            <w:pPr>
              <w:widowControl/>
              <w:spacing w:line="360" w:lineRule="auto"/>
              <w:rPr>
                <w:rFonts w:ascii="宋体" w:hAnsi="宋体" w:eastAsia="宋体" w:cs="宋体"/>
                <w:b/>
                <w:bCs/>
                <w:kern w:val="0"/>
                <w:sz w:val="24"/>
                <w:szCs w:val="24"/>
              </w:rPr>
            </w:pPr>
          </w:p>
        </w:tc>
        <w:tc>
          <w:tcPr>
            <w:tcW w:w="1536" w:type="dxa"/>
            <w:tcBorders>
              <w:top w:val="single" w:color="auto" w:sz="2" w:space="0"/>
            </w:tcBorders>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02"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投标文件应包含以下内容：</w:t>
            </w:r>
          </w:p>
          <w:p>
            <w:pPr>
              <w:widowControl/>
              <w:spacing w:line="360" w:lineRule="auto"/>
              <w:rPr>
                <w:rFonts w:ascii="宋体" w:hAnsi="宋体" w:eastAsia="宋体" w:cs="宋体"/>
                <w:sz w:val="24"/>
                <w:szCs w:val="24"/>
              </w:rPr>
            </w:pPr>
            <w:r>
              <w:rPr>
                <w:rFonts w:hint="eastAsia" w:ascii="宋体" w:hAnsi="宋体" w:eastAsia="宋体" w:cs="宋体"/>
                <w:sz w:val="24"/>
                <w:szCs w:val="24"/>
              </w:rPr>
              <w:t>（1）投标函；</w:t>
            </w:r>
          </w:p>
          <w:p>
            <w:pPr>
              <w:widowControl/>
              <w:spacing w:line="360" w:lineRule="auto"/>
              <w:rPr>
                <w:rFonts w:ascii="宋体" w:hAnsi="宋体" w:eastAsia="宋体" w:cs="宋体"/>
                <w:sz w:val="24"/>
                <w:szCs w:val="24"/>
              </w:rPr>
            </w:pPr>
            <w:r>
              <w:rPr>
                <w:rFonts w:hint="eastAsia" w:ascii="宋体" w:hAnsi="宋体" w:eastAsia="宋体" w:cs="宋体"/>
                <w:sz w:val="24"/>
                <w:szCs w:val="24"/>
              </w:rPr>
              <w:t>（2）开标一览表、费用明细表（《投标文件构成及格式》未作要求的除外）；</w:t>
            </w:r>
          </w:p>
          <w:p>
            <w:pPr>
              <w:widowControl/>
              <w:spacing w:line="360" w:lineRule="auto"/>
              <w:rPr>
                <w:rFonts w:ascii="宋体" w:hAnsi="宋体" w:eastAsia="宋体" w:cs="宋体"/>
                <w:sz w:val="24"/>
                <w:szCs w:val="24"/>
              </w:rPr>
            </w:pPr>
            <w:r>
              <w:rPr>
                <w:rFonts w:hint="eastAsia" w:ascii="宋体" w:hAnsi="宋体" w:eastAsia="宋体" w:cs="宋体"/>
                <w:sz w:val="24"/>
                <w:szCs w:val="24"/>
              </w:rPr>
              <w:t>（3）资格证明文件；</w:t>
            </w:r>
          </w:p>
          <w:p>
            <w:pPr>
              <w:widowControl/>
              <w:spacing w:line="360" w:lineRule="auto"/>
              <w:rPr>
                <w:rFonts w:ascii="宋体" w:hAnsi="宋体" w:eastAsia="宋体" w:cs="宋体"/>
                <w:sz w:val="24"/>
                <w:szCs w:val="24"/>
              </w:rPr>
            </w:pPr>
            <w:r>
              <w:rPr>
                <w:rFonts w:hint="eastAsia" w:ascii="宋体" w:hAnsi="宋体" w:eastAsia="宋体" w:cs="宋体"/>
                <w:sz w:val="24"/>
                <w:szCs w:val="24"/>
              </w:rPr>
              <w:t>（4）服务商概况；</w:t>
            </w:r>
          </w:p>
          <w:p>
            <w:pPr>
              <w:widowControl/>
              <w:spacing w:line="360" w:lineRule="auto"/>
              <w:rPr>
                <w:rFonts w:ascii="宋体" w:hAnsi="宋体" w:eastAsia="宋体" w:cs="宋体"/>
                <w:sz w:val="24"/>
                <w:szCs w:val="24"/>
              </w:rPr>
            </w:pPr>
            <w:r>
              <w:rPr>
                <w:rFonts w:hint="eastAsia" w:ascii="宋体" w:hAnsi="宋体" w:eastAsia="宋体" w:cs="宋体"/>
                <w:sz w:val="24"/>
                <w:szCs w:val="24"/>
              </w:rPr>
              <w:t>（5）服务商参加政府采购活动承诺书；</w:t>
            </w:r>
          </w:p>
          <w:p>
            <w:pPr>
              <w:widowControl/>
              <w:spacing w:line="360" w:lineRule="auto"/>
              <w:rPr>
                <w:rFonts w:ascii="宋体" w:hAnsi="宋体" w:eastAsia="宋体" w:cs="宋体"/>
                <w:b/>
                <w:bCs/>
                <w:kern w:val="0"/>
                <w:sz w:val="24"/>
                <w:szCs w:val="24"/>
              </w:rPr>
            </w:pPr>
            <w:r>
              <w:rPr>
                <w:rFonts w:hint="eastAsia" w:ascii="宋体" w:hAnsi="宋体" w:eastAsia="宋体" w:cs="宋体"/>
                <w:sz w:val="24"/>
                <w:szCs w:val="24"/>
              </w:rPr>
              <w:t>（6）投标方案。</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投标文件的签署、盖章</w:t>
            </w:r>
          </w:p>
        </w:tc>
        <w:tc>
          <w:tcPr>
            <w:tcW w:w="3773"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sz w:val="24"/>
                <w:szCs w:val="24"/>
              </w:rPr>
              <w:t>签署、盖章均符合招标文件要求，且无遗漏。</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投标文件的语言及计量单位</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均符合招标文件的要求。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投标有效期</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符合招标文件的要求。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84"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投标报价</w:t>
            </w:r>
          </w:p>
        </w:tc>
        <w:tc>
          <w:tcPr>
            <w:tcW w:w="3773"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同时满足以下条款：</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（1）投标报价符合唯一性要求；</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（2）开标一览表填写符合要求；</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（3）报价货币符合招标文件要求；</w:t>
            </w:r>
          </w:p>
          <w:p>
            <w:pPr>
              <w:widowControl/>
              <w:spacing w:line="360" w:lineRule="auto"/>
              <w:rPr>
                <w:rFonts w:ascii="宋体" w:hAnsi="宋体" w:eastAsia="宋体" w:cs="宋体"/>
                <w:sz w:val="24"/>
                <w:szCs w:val="24"/>
              </w:rPr>
            </w:pPr>
            <w:r>
              <w:rPr>
                <w:rFonts w:hint="eastAsia" w:ascii="宋体" w:hAnsi="宋体" w:eastAsia="宋体" w:cs="宋体"/>
                <w:bCs/>
                <w:kern w:val="0"/>
                <w:sz w:val="24"/>
                <w:szCs w:val="24"/>
              </w:rPr>
              <w:t>（4）未超出采购预算或招标文件规定的最高限价；</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49"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实质性条款响应</w:t>
            </w:r>
          </w:p>
        </w:tc>
        <w:tc>
          <w:tcPr>
            <w:tcW w:w="3773" w:type="dxa"/>
            <w:vAlign w:val="center"/>
          </w:tcPr>
          <w:p>
            <w:pPr>
              <w:widowControl/>
              <w:spacing w:line="360" w:lineRule="auto"/>
              <w:rPr>
                <w:rFonts w:ascii="宋体" w:hAnsi="宋体" w:eastAsia="宋体" w:cs="宋体"/>
                <w:b/>
                <w:bCs/>
                <w:kern w:val="0"/>
                <w:sz w:val="24"/>
                <w:szCs w:val="24"/>
              </w:rPr>
            </w:pPr>
            <w:r>
              <w:rPr>
                <w:rFonts w:hint="eastAsia" w:ascii="宋体" w:hAnsi="宋体" w:eastAsia="宋体" w:cs="宋体"/>
                <w:sz w:val="24"/>
                <w:szCs w:val="24"/>
              </w:rPr>
              <w:t>完全响应招标文件要求的各项技术/服务/商务实质性条款。</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合同文本</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完全理解并接受招标文件合同条款的要求。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5"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电子投标文件雷同性分析</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电子投标文件的“文件制作机器码”和“文件创建标识码”通过评标系统的雷同性分析。</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51"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其他</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完全理解并接受法律法规和招标文件对服务商的各项须知、规约要求和责任义务，没有出现法律法规或招标文件明确规定的其他被视为“无效投标”的情形。</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6" w:hRule="atLeast"/>
          <w:jc w:val="center"/>
        </w:trPr>
        <w:tc>
          <w:tcPr>
            <w:tcW w:w="9216" w:type="dxa"/>
            <w:gridSpan w:val="5"/>
            <w:vAlign w:val="center"/>
          </w:tcPr>
          <w:p>
            <w:pPr>
              <w:widowControl/>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评标委员会成员：（签字或盖章）</w:t>
            </w:r>
          </w:p>
          <w:p>
            <w:pPr>
              <w:widowControl/>
              <w:spacing w:line="360" w:lineRule="auto"/>
              <w:rPr>
                <w:rFonts w:ascii="宋体" w:hAnsi="宋体" w:eastAsia="宋体" w:cs="宋体"/>
                <w:b/>
                <w:bCs/>
                <w:kern w:val="0"/>
                <w:sz w:val="24"/>
                <w:szCs w:val="24"/>
              </w:rPr>
            </w:pPr>
          </w:p>
          <w:p>
            <w:pPr>
              <w:widowControl/>
              <w:spacing w:line="360" w:lineRule="auto"/>
              <w:rPr>
                <w:rFonts w:ascii="宋体" w:hAnsi="宋体" w:eastAsia="宋体" w:cs="宋体"/>
                <w:b/>
                <w:bCs/>
                <w:kern w:val="0"/>
                <w:sz w:val="24"/>
                <w:szCs w:val="24"/>
              </w:rPr>
            </w:pPr>
          </w:p>
          <w:p>
            <w:pPr>
              <w:widowControl/>
              <w:spacing w:line="360" w:lineRule="auto"/>
              <w:rPr>
                <w:rFonts w:ascii="宋体" w:hAnsi="宋体" w:eastAsia="宋体" w:cs="宋体"/>
                <w:b/>
                <w:bCs/>
                <w:kern w:val="0"/>
                <w:sz w:val="24"/>
                <w:szCs w:val="24"/>
              </w:rPr>
            </w:pPr>
          </w:p>
        </w:tc>
      </w:tr>
    </w:tbl>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2、综合比较与评价</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评标委员会按《评审要素及分值一览表》中规定的评标方法和标准，对通过符合性审查的投标文件进行商务和技术评估，综合比较与评价。</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出现下列情形的，服务商投标无效：</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pPr>
        <w:widowControl/>
        <w:spacing w:line="360" w:lineRule="auto"/>
        <w:jc w:val="left"/>
        <w:rPr>
          <w:rFonts w:ascii="宋体" w:hAnsi="宋体" w:eastAsia="宋体" w:cs="宋体"/>
          <w:b/>
          <w:sz w:val="24"/>
          <w:szCs w:val="24"/>
          <w:u w:val="thick"/>
        </w:rPr>
      </w:pPr>
      <w:r>
        <w:rPr>
          <w:rFonts w:hint="eastAsia" w:ascii="宋体" w:hAnsi="宋体" w:eastAsia="宋体" w:cs="宋体"/>
          <w:b/>
          <w:sz w:val="24"/>
          <w:szCs w:val="24"/>
          <w:u w:val="thick"/>
        </w:rPr>
        <w:br w:type="page"/>
      </w:r>
    </w:p>
    <w:p>
      <w:pPr>
        <w:widowControl/>
        <w:spacing w:before="156" w:beforeLines="50" w:after="156" w:afterLines="50" w:line="360" w:lineRule="auto"/>
        <w:jc w:val="center"/>
        <w:rPr>
          <w:rFonts w:ascii="宋体" w:hAnsi="宋体" w:eastAsia="宋体" w:cs="宋体"/>
          <w:b/>
          <w:sz w:val="24"/>
          <w:szCs w:val="24"/>
          <w:u w:val="thick"/>
        </w:rPr>
      </w:pPr>
      <w:bookmarkStart w:id="26" w:name="_Toc424636365"/>
      <w:bookmarkStart w:id="27" w:name="_Toc495014611"/>
      <w:bookmarkStart w:id="28" w:name="_Toc534657775"/>
      <w:bookmarkStart w:id="29" w:name="_Toc534192580"/>
      <w:bookmarkStart w:id="30" w:name="_Toc445306493"/>
      <w:bookmarkStart w:id="31" w:name="_Toc495012771"/>
      <w:bookmarkStart w:id="32" w:name="_Toc495012821"/>
      <w:bookmarkStart w:id="33" w:name="_Toc534192586"/>
      <w:bookmarkStart w:id="34" w:name="_Toc495014649"/>
      <w:bookmarkStart w:id="35" w:name="_Toc495014920"/>
      <w:bookmarkStart w:id="36" w:name="_Toc495014585"/>
      <w:r>
        <w:rPr>
          <w:rFonts w:hint="eastAsia" w:ascii="宋体" w:hAnsi="宋体" w:eastAsia="宋体" w:cs="宋体"/>
          <w:b/>
          <w:sz w:val="24"/>
          <w:szCs w:val="24"/>
          <w:u w:val="thick"/>
        </w:rPr>
        <w:t>评审要素及分值一览表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748"/>
        <w:gridCol w:w="511"/>
        <w:gridCol w:w="511"/>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trPr>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评分</w:t>
            </w:r>
          </w:p>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因素</w:t>
            </w:r>
          </w:p>
        </w:tc>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分</w:t>
            </w:r>
          </w:p>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值</w:t>
            </w:r>
          </w:p>
        </w:tc>
        <w:tc>
          <w:tcPr>
            <w:tcW w:w="0" w:type="auto"/>
            <w:gridSpan w:val="2"/>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w:t>
            </w:r>
          </w:p>
          <w:p>
            <w:pPr>
              <w:widowControl/>
              <w:spacing w:line="360" w:lineRule="auto"/>
              <w:rPr>
                <w:rFonts w:ascii="宋体" w:hAnsi="宋体" w:eastAsia="宋体" w:cs="宋体"/>
                <w:sz w:val="24"/>
                <w:szCs w:val="24"/>
              </w:rPr>
            </w:pPr>
            <w:r>
              <w:rPr>
                <w:rFonts w:hint="eastAsia" w:ascii="宋体" w:hAnsi="宋体" w:eastAsia="宋体" w:cs="宋体"/>
                <w:sz w:val="24"/>
                <w:szCs w:val="24"/>
              </w:rPr>
              <w:t>报价</w:t>
            </w:r>
          </w:p>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gridSpan w:val="2"/>
            <w:vAlign w:val="center"/>
          </w:tcPr>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rPr>
              <w:t>1.经初审合格的投标文件，其投标报价为有效投</w:t>
            </w:r>
            <w:r>
              <w:rPr>
                <w:rFonts w:hint="eastAsia" w:ascii="宋体" w:hAnsi="宋体" w:eastAsia="宋体" w:cs="宋体"/>
                <w:sz w:val="24"/>
                <w:szCs w:val="24"/>
                <w:highlight w:val="none"/>
              </w:rPr>
              <w:t>标报价，本项目专门面向中小企业采购故不给予报价扣除优惠。</w:t>
            </w:r>
          </w:p>
          <w:p>
            <w:pPr>
              <w:widowControl/>
              <w:spacing w:line="360" w:lineRule="auto"/>
              <w:rPr>
                <w:rFonts w:ascii="宋体" w:hAnsi="宋体" w:eastAsia="宋体" w:cs="宋体"/>
                <w:sz w:val="24"/>
                <w:szCs w:val="24"/>
              </w:rPr>
            </w:pPr>
            <w:r>
              <w:rPr>
                <w:rFonts w:hint="eastAsia" w:ascii="宋体" w:hAnsi="宋体" w:eastAsia="宋体" w:cs="宋体"/>
                <w:sz w:val="24"/>
                <w:szCs w:val="24"/>
              </w:rPr>
              <w:t>2.满足招标文件要求且有效最低的投标报价为评审基准价，其价格分为满分。其他各投标人的报价得分按下列公式计算：</w:t>
            </w:r>
          </w:p>
          <w:p>
            <w:pPr>
              <w:widowControl/>
              <w:spacing w:line="360" w:lineRule="auto"/>
              <w:rPr>
                <w:rFonts w:ascii="宋体" w:hAnsi="宋体" w:eastAsia="宋体" w:cs="宋体"/>
                <w:sz w:val="24"/>
                <w:szCs w:val="24"/>
              </w:rPr>
            </w:pPr>
            <w:r>
              <w:rPr>
                <w:rFonts w:hint="eastAsia" w:ascii="宋体" w:hAnsi="宋体" w:eastAsia="宋体" w:cs="宋体"/>
                <w:sz w:val="24"/>
                <w:szCs w:val="24"/>
              </w:rPr>
              <w:t>按（基准价/有效投标报价）×10%×100的公式计算其得分。</w:t>
            </w:r>
          </w:p>
          <w:p>
            <w:pPr>
              <w:widowControl/>
              <w:spacing w:line="360" w:lineRule="auto"/>
              <w:rPr>
                <w:rFonts w:ascii="宋体" w:hAnsi="宋体" w:eastAsia="宋体" w:cs="宋体"/>
                <w:sz w:val="24"/>
                <w:szCs w:val="24"/>
              </w:rPr>
            </w:pPr>
            <w:r>
              <w:rPr>
                <w:rFonts w:hint="eastAsia" w:ascii="宋体" w:hAnsi="宋体" w:eastAsia="宋体" w:cs="宋体"/>
                <w:sz w:val="24"/>
                <w:szCs w:val="24"/>
              </w:rPr>
              <w:t>3.投标报价不完整的，不进入投标价格的计算，本项得0分。</w:t>
            </w:r>
          </w:p>
          <w:p>
            <w:pPr>
              <w:widowControl/>
              <w:spacing w:line="360" w:lineRule="auto"/>
              <w:rPr>
                <w:rFonts w:ascii="宋体" w:hAnsi="宋体" w:eastAsia="宋体" w:cs="宋体"/>
                <w:sz w:val="24"/>
                <w:szCs w:val="24"/>
              </w:rPr>
            </w:pPr>
            <w:r>
              <w:rPr>
                <w:rFonts w:hint="eastAsia" w:ascii="宋体" w:hAnsi="宋体" w:eastAsia="宋体" w:cs="宋体"/>
                <w:sz w:val="24"/>
                <w:szCs w:val="24"/>
              </w:rPr>
              <w:t>4.经评委一致认定，投标人的投标总报价低于公认市场成本，或超过采购预算，其投标将被拒绝。</w:t>
            </w:r>
          </w:p>
          <w:p>
            <w:pPr>
              <w:widowControl/>
              <w:spacing w:line="360" w:lineRule="auto"/>
              <w:rPr>
                <w:rFonts w:ascii="宋体" w:hAnsi="宋体" w:eastAsia="宋体" w:cs="宋体"/>
                <w:sz w:val="24"/>
                <w:szCs w:val="24"/>
              </w:rPr>
            </w:pPr>
            <w:r>
              <w:rPr>
                <w:rFonts w:hint="eastAsia" w:ascii="宋体" w:hAnsi="宋体" w:eastAsia="宋体" w:cs="宋体"/>
                <w:sz w:val="24"/>
                <w:szCs w:val="24"/>
              </w:rPr>
              <w:t>5.不正当竞争预防措施：在评审过程中，投标单位最后报价低于采购预算50%或者低于其他投标单位最后报价算术平均价40%，有可能影响产品质量或者不能诚信履约的，评审委员会应当要求其在评审现场合理的时间内提供成本构成书面说明，并提交相关证明材料。投标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pPr>
              <w:widowControl/>
              <w:spacing w:line="360" w:lineRule="auto"/>
              <w:rPr>
                <w:rFonts w:ascii="宋体" w:hAnsi="宋体" w:eastAsia="宋体" w:cs="宋体"/>
                <w:sz w:val="24"/>
                <w:szCs w:val="24"/>
              </w:rPr>
            </w:pPr>
            <w:r>
              <w:rPr>
                <w:rFonts w:hint="eastAsia" w:ascii="宋体" w:hAnsi="宋体" w:eastAsia="宋体" w:cs="宋体"/>
                <w:sz w:val="24"/>
                <w:szCs w:val="24"/>
              </w:rPr>
              <w:t>6.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widowControl/>
              <w:spacing w:line="360" w:lineRule="auto"/>
              <w:rPr>
                <w:rFonts w:ascii="宋体" w:hAnsi="宋体" w:eastAsia="宋体" w:cs="宋体"/>
                <w:sz w:val="24"/>
                <w:szCs w:val="24"/>
              </w:rPr>
            </w:pPr>
            <w:r>
              <w:rPr>
                <w:rFonts w:hint="eastAsia" w:ascii="宋体" w:hAnsi="宋体" w:eastAsia="宋体" w:cs="宋体"/>
                <w:sz w:val="24"/>
                <w:szCs w:val="24"/>
              </w:rPr>
              <w:t>投标单位提供书面说明后，评审委员会应当结合采购项目需求、专业实际情况、投标单位财务状况报告、与其他投标单位比较情况等就投标单位书面说明进行审查评价。投标单位拒绝或者变相拒绝提供有效书面说明或者书面说明不能证明其报价合理性的，评审委员会应当将其响应文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2</w:t>
            </w:r>
          </w:p>
        </w:tc>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服务</w:t>
            </w:r>
          </w:p>
          <w:p>
            <w:pPr>
              <w:widowControl/>
              <w:spacing w:line="360" w:lineRule="auto"/>
              <w:rPr>
                <w:rFonts w:ascii="宋体" w:hAnsi="宋体" w:eastAsia="宋体" w:cs="宋体"/>
                <w:sz w:val="24"/>
                <w:szCs w:val="24"/>
              </w:rPr>
            </w:pPr>
            <w:r>
              <w:rPr>
                <w:rFonts w:hint="eastAsia" w:ascii="宋体" w:hAnsi="宋体" w:eastAsia="宋体" w:cs="宋体"/>
                <w:sz w:val="24"/>
                <w:szCs w:val="24"/>
              </w:rPr>
              <w:t>方案</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①</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26分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按照招标文件中各部分运维工作的目标、内容、技术要求，制定详细的运维方案，包括服务内容（0-6分）、规章制度建设（0-3分）、日常维护措施（0-4分）、定期巡检措施（0-4分）、故障维修措施（0-3分）、日常质控措施（0-3分）、手工比对（0-3分），根据响应情况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②</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根据对应急工作进行合理规划并制定可行计划，从各种应急情况详述（0-3分）、应急工作流程（0-3分）、应急解决方案（0-4分），由评审专家自主赋分。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③</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提供拟参与本项目运维工作的车辆配置情况（不少于5辆，包括运维巡检用车、质控及应急用车等）（0-5分）；每多配备一辆车另加1分，最多加5分，由评审专家自主赋分。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注：以有效期内的车辆行驶证或租赁协议的复印件加盖公章为准，未提供不计分。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3</w:t>
            </w:r>
          </w:p>
        </w:tc>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项目团队人员配备</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①</w:t>
            </w:r>
          </w:p>
        </w:tc>
        <w:tc>
          <w:tcPr>
            <w:tcW w:w="0" w:type="auto"/>
            <w:vAlign w:val="center"/>
          </w:tcPr>
          <w:p>
            <w:pPr>
              <w:widowControl/>
              <w:spacing w:line="360" w:lineRule="auto"/>
              <w:rPr>
                <w:rFonts w:ascii="宋体" w:hAnsi="宋体" w:eastAsia="宋体" w:cs="宋体"/>
                <w:sz w:val="24"/>
                <w:szCs w:val="24"/>
              </w:rPr>
            </w:pPr>
            <w:bookmarkStart w:id="37" w:name="_Toc5935"/>
            <w:bookmarkStart w:id="38" w:name="_Toc17811"/>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提供拟参与本项目运维工作的人员清单（不少于10人，包括项目负责人、现场运维人员及质控人员），应满足整体运维需求，由评审专家自主赋分。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人员整体配置齐全、合理，职责分工明确计5—10分</w:t>
            </w:r>
            <w:bookmarkEnd w:id="37"/>
            <w:bookmarkEnd w:id="38"/>
            <w:r>
              <w:rPr>
                <w:rFonts w:hint="eastAsia" w:ascii="宋体" w:hAnsi="宋体" w:eastAsia="宋体" w:cs="宋体"/>
                <w:sz w:val="24"/>
                <w:szCs w:val="24"/>
              </w:rPr>
              <w:t>，</w:t>
            </w:r>
          </w:p>
          <w:p>
            <w:pPr>
              <w:widowControl/>
              <w:spacing w:line="360" w:lineRule="auto"/>
              <w:rPr>
                <w:rFonts w:ascii="宋体" w:hAnsi="宋体" w:eastAsia="宋体" w:cs="宋体"/>
                <w:sz w:val="24"/>
                <w:szCs w:val="24"/>
              </w:rPr>
            </w:pPr>
            <w:r>
              <w:rPr>
                <w:rFonts w:hint="eastAsia" w:ascii="宋体" w:hAnsi="宋体" w:eastAsia="宋体" w:cs="宋体"/>
                <w:sz w:val="24"/>
                <w:szCs w:val="24"/>
              </w:rPr>
              <w:t>人员整体配置简单，职责分工不明确计0-5分。</w:t>
            </w:r>
          </w:p>
          <w:p>
            <w:pPr>
              <w:widowControl/>
              <w:spacing w:line="360" w:lineRule="auto"/>
              <w:rPr>
                <w:rFonts w:ascii="宋体" w:hAnsi="宋体" w:eastAsia="宋体" w:cs="宋体"/>
                <w:sz w:val="24"/>
                <w:szCs w:val="24"/>
              </w:rPr>
            </w:pPr>
            <w:r>
              <w:rPr>
                <w:rFonts w:hint="eastAsia" w:ascii="宋体" w:hAnsi="宋体" w:eastAsia="宋体" w:cs="宋体"/>
                <w:b/>
                <w:bCs/>
                <w:sz w:val="24"/>
                <w:szCs w:val="24"/>
              </w:rPr>
              <w:t>注：以上团队人员需提供省级及以上相关部门颁发的自动监测领域证书，以证书复印件加盖投标人公章为准，未提供不计分。</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②</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项目负责人具有项目管理专业人士资格认证（PMP）或具有中级及以上专业技术职称得1分；现场运维人员具有从事自动监测运维相关工作3年（含）以上的工作经历的每人得1分，最高得分4分；质控人员具有中级及以上专业技术职称或具有从事运维质量管理相关工作2年（含）以上的工作经历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4</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物资</w:t>
            </w:r>
          </w:p>
          <w:p>
            <w:pPr>
              <w:widowControl/>
              <w:spacing w:line="360" w:lineRule="auto"/>
              <w:rPr>
                <w:rFonts w:ascii="宋体" w:hAnsi="宋体" w:eastAsia="宋体" w:cs="宋体"/>
                <w:sz w:val="24"/>
                <w:szCs w:val="24"/>
              </w:rPr>
            </w:pPr>
            <w:r>
              <w:rPr>
                <w:rFonts w:hint="eastAsia" w:ascii="宋体" w:hAnsi="宋体" w:eastAsia="宋体" w:cs="宋体"/>
                <w:sz w:val="24"/>
                <w:szCs w:val="24"/>
              </w:rPr>
              <w:t>投入</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物资清单（如备机、备品、备件、耗材，质控设备等），从清单内容及使用计划（设备品名、品牌、型号、数量）（0-6分）、设备来源（以购置发票或租赁协议为准）（0-4分），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5</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质量</w:t>
            </w:r>
          </w:p>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保证及合理化建议   </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8分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1.根据质量保证内容及服务承诺，由评审专家自主赋0-5分。</w:t>
            </w:r>
          </w:p>
          <w:p>
            <w:pPr>
              <w:widowControl/>
              <w:spacing w:line="360" w:lineRule="auto"/>
              <w:rPr>
                <w:rFonts w:ascii="宋体" w:hAnsi="宋体" w:eastAsia="宋体" w:cs="宋体"/>
                <w:sz w:val="24"/>
                <w:szCs w:val="24"/>
              </w:rPr>
            </w:pPr>
            <w:r>
              <w:rPr>
                <w:rFonts w:hint="eastAsia" w:ascii="宋体" w:hAnsi="宋体" w:eastAsia="宋体" w:cs="宋体"/>
                <w:sz w:val="24"/>
                <w:szCs w:val="24"/>
              </w:rPr>
              <w:t>2.合理化建议由评审专家自主赋0-3分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备品耗材库</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zh-CN"/>
              </w:rPr>
              <w:t>提供备品备件耗材库</w:t>
            </w:r>
            <w:r>
              <w:rPr>
                <w:rFonts w:hint="eastAsia" w:ascii="宋体" w:hAnsi="宋体" w:eastAsia="宋体" w:cs="宋体"/>
                <w:sz w:val="24"/>
                <w:szCs w:val="24"/>
              </w:rPr>
              <w:t>情况叙述（0-3分）、自有或租赁证明材料（0-3分）</w:t>
            </w:r>
            <w:r>
              <w:rPr>
                <w:rFonts w:hint="eastAsia" w:ascii="宋体" w:hAnsi="宋体" w:eastAsia="宋体" w:cs="宋体"/>
                <w:sz w:val="24"/>
                <w:szCs w:val="24"/>
                <w:lang w:val="zh-CN"/>
              </w:rPr>
              <w:t>，</w:t>
            </w:r>
            <w:r>
              <w:rPr>
                <w:rFonts w:hint="eastAsia" w:ascii="宋体" w:hAnsi="宋体" w:eastAsia="宋体" w:cs="宋体"/>
                <w:sz w:val="24"/>
                <w:szCs w:val="24"/>
              </w:rPr>
              <w:t>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注：提供备品备件耗材库等服务所需的场地位置分布地点，承诺在中标后30日内设置到位，并将服务机构清单及服务电话报采购人处备案，不提供此内容，此项不得分。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7</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业绩</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4分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投标人需提供2019年1月至今同类项目业绩（以合同签订日期为准），投标文件中提供合同复印件加盖公章，每提供一个计2分，满分4分。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trPr>
        <w:tc>
          <w:tcPr>
            <w:tcW w:w="0" w:type="auto"/>
            <w:gridSpan w:val="5"/>
            <w:vAlign w:val="center"/>
          </w:tcPr>
          <w:p>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1、本项目专门面向中小企业采购固不给予报价扣除优惠。</w:t>
            </w:r>
          </w:p>
          <w:p>
            <w:pPr>
              <w:widowControl/>
              <w:spacing w:line="360" w:lineRule="auto"/>
              <w:rPr>
                <w:rFonts w:ascii="宋体" w:hAnsi="宋体" w:eastAsia="宋体" w:cs="宋体"/>
                <w:sz w:val="24"/>
                <w:szCs w:val="24"/>
              </w:rPr>
            </w:pPr>
            <w:r>
              <w:rPr>
                <w:rFonts w:hint="eastAsia" w:ascii="宋体" w:hAnsi="宋体" w:eastAsia="宋体" w:cs="宋体"/>
                <w:sz w:val="24"/>
                <w:szCs w:val="24"/>
              </w:rPr>
              <w:t>2、若出现综合得分并列时，按照最后报价由低到高的顺序推荐；评审得分且最后报价相同的，按照技术指标优劣进行排序；若上述两项得分都相同，则由全体评审小组无记名投票，以得票高者排序在先。</w:t>
            </w:r>
          </w:p>
          <w:p>
            <w:pPr>
              <w:widowControl/>
              <w:spacing w:line="360" w:lineRule="auto"/>
              <w:rPr>
                <w:rFonts w:ascii="宋体" w:hAnsi="宋体" w:eastAsia="宋体" w:cs="宋体"/>
                <w:sz w:val="24"/>
                <w:szCs w:val="24"/>
              </w:rPr>
            </w:pPr>
            <w:r>
              <w:rPr>
                <w:rFonts w:hint="eastAsia" w:ascii="宋体" w:hAnsi="宋体" w:eastAsia="宋体" w:cs="宋体"/>
                <w:sz w:val="24"/>
                <w:szCs w:val="24"/>
              </w:rPr>
              <w:t>3、评审小组成员打分超过得分界限或未按本方法赋分时，该评委的打分按作废处理。</w:t>
            </w:r>
          </w:p>
          <w:p>
            <w:pPr>
              <w:widowControl/>
              <w:spacing w:line="360" w:lineRule="auto"/>
              <w:rPr>
                <w:rFonts w:ascii="宋体" w:hAnsi="宋体" w:eastAsia="宋体" w:cs="宋体"/>
                <w:sz w:val="24"/>
                <w:szCs w:val="24"/>
              </w:rPr>
            </w:pPr>
            <w:r>
              <w:rPr>
                <w:rFonts w:hint="eastAsia" w:ascii="宋体" w:hAnsi="宋体" w:eastAsia="宋体" w:cs="宋体"/>
                <w:sz w:val="24"/>
                <w:szCs w:val="24"/>
              </w:rPr>
              <w:t>4、评审小组二分之一以上人员认为有串标、弄虚作假嫌疑或严重脱离市场价的，该投标人不得作为成交候选人。</w:t>
            </w:r>
          </w:p>
          <w:p>
            <w:pPr>
              <w:widowControl/>
              <w:spacing w:line="360" w:lineRule="auto"/>
              <w:rPr>
                <w:rFonts w:ascii="宋体" w:hAnsi="宋体" w:eastAsia="宋体" w:cs="宋体"/>
                <w:sz w:val="24"/>
                <w:szCs w:val="24"/>
              </w:rPr>
            </w:pPr>
            <w:r>
              <w:rPr>
                <w:rFonts w:hint="eastAsia" w:ascii="宋体" w:hAnsi="宋体" w:eastAsia="宋体" w:cs="宋体"/>
                <w:sz w:val="24"/>
                <w:szCs w:val="24"/>
              </w:rPr>
              <w:t>5、由于招标文件有矛盾，造成对投标人不利的评审结果，由投标人自行负责。</w:t>
            </w:r>
          </w:p>
          <w:p>
            <w:pPr>
              <w:widowControl/>
              <w:spacing w:line="360" w:lineRule="auto"/>
              <w:rPr>
                <w:rFonts w:ascii="宋体" w:hAnsi="宋体" w:eastAsia="宋体" w:cs="宋体"/>
                <w:sz w:val="24"/>
                <w:szCs w:val="24"/>
              </w:rPr>
            </w:pPr>
            <w:r>
              <w:rPr>
                <w:rFonts w:hint="eastAsia" w:ascii="宋体" w:hAnsi="宋体" w:eastAsia="宋体" w:cs="宋体"/>
                <w:sz w:val="24"/>
                <w:szCs w:val="24"/>
              </w:rPr>
              <w:t>6、评审过程中，若出现特殊情况时，将暂停评审，有关情况的处理待评审小组确认后，再行评定。</w:t>
            </w:r>
          </w:p>
          <w:p>
            <w:pPr>
              <w:widowControl/>
              <w:spacing w:line="360" w:lineRule="auto"/>
              <w:rPr>
                <w:rFonts w:ascii="宋体" w:hAnsi="宋体" w:eastAsia="宋体" w:cs="宋体"/>
                <w:sz w:val="24"/>
                <w:szCs w:val="24"/>
              </w:rPr>
            </w:pPr>
            <w:r>
              <w:rPr>
                <w:rFonts w:hint="eastAsia" w:ascii="宋体" w:hAnsi="宋体" w:eastAsia="宋体" w:cs="宋体"/>
                <w:sz w:val="24"/>
                <w:szCs w:val="24"/>
              </w:rPr>
              <w:t>7、计算结果保留两位小数，第三位“四舍五入”。</w:t>
            </w:r>
          </w:p>
        </w:tc>
      </w:tr>
    </w:tbl>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3、推荐中标候选人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服务商列为排名第一的中标候选人。</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4、编写评审报告</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pPr>
        <w:widowControl/>
        <w:autoSpaceDE w:val="0"/>
        <w:autoSpaceDN w:val="0"/>
        <w:adjustRightIn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（三）对投标文件的澄清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1、评标委员会在对投标文件的有效性、完整性和响应程度进行审查时，可以要求服务商对投标文件中含义不明确、同类问题表述不一致或者有明显文字和计算错误的内容等做出必要的澄清、说明或者补正。</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2、依照民法中的过失责任原则，澄清、说明或补正前评标委员会将按最不利于投标服务商的原则对投标文件做出评判。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评标委员会要求服务商澄清、说明或者补正投标文件应当以书面形式做出。服务商应当在规定的澄清时限内以书面形式提交，服务商的澄清、说明或者更正应当由法定代表人或其授权代表签字（或盖章），或者加盖公章。</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4、服务商的澄清、说明或者补正不得超出投标文件的范围或者改变投标文件的实质性内容。澄清、说明或者补正的内容将作为合同履行的重要依据。</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（四）评审现场人员的保密责任</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采购结果确定前，采购人、采购代理对评审委员会名单负有保密责任。评审委员会成员、采购人和集中采购代理机构工作人员、相关监督人员等与评审工作有关的人员，对评审情况以及在评审过程中获悉的国家秘密、商业秘密负有保密责任。</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（五）有下列情形之一的，视为服务商串通投标，其投标无效：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1、不同服务商的投标文件由同一单位或者个人编制；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2、不同服务商委托同一单位或者个人办理投标事宜；</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3、不同服务商的投标文件载明的项目管理成员或者联系人员为同一人；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4、不同服务商的投标文件异常一致或者投标报价呈规律性差异。</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九、中标</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（一）采购代理在评标工作结束后2个工作日内将评审报告送采购人。</w:t>
      </w:r>
    </w:p>
    <w:p>
      <w:pPr>
        <w:pStyle w:val="21"/>
        <w:wordWrap w:val="0"/>
        <w:spacing w:before="0" w:beforeAutospacing="0" w:after="0" w:afterAutospacing="0" w:line="360" w:lineRule="auto"/>
        <w:ind w:left="480"/>
        <w:jc w:val="both"/>
        <w:rPr>
          <w:rFonts w:eastAsia="宋体"/>
          <w:color w:val="333333"/>
          <w:highlight w:val="yellow"/>
          <w:shd w:val="clear" w:color="auto" w:fill="FFFFFF"/>
        </w:rPr>
      </w:pPr>
      <w:r>
        <w:rPr>
          <w:rFonts w:hint="eastAsia" w:eastAsia="宋体"/>
        </w:rPr>
        <w:t>（二）采购人在收到评审报告之日起5个工作日内，在评标报告确定的中标候选人名单中按次序确定排名第一的中标候选人为中标服务商。中标候选人并列的，由采购人邀请中标候选人按照随机抽取的方式进行确定。采购人逾期不予确认，又不能说明合法理由的，视同按评标报告推荐的次序确定排名第一的中标候选人为中标服务</w:t>
      </w:r>
      <w:r>
        <w:rPr>
          <w:rFonts w:hint="eastAsia" w:eastAsia="宋体"/>
          <w:highlight w:val="none"/>
        </w:rPr>
        <w:t>商。</w:t>
      </w:r>
      <w:r>
        <w:rPr>
          <w:rFonts w:hint="eastAsia" w:eastAsia="宋体"/>
          <w:color w:val="333333"/>
          <w:highlight w:val="none"/>
          <w:shd w:val="clear" w:color="auto" w:fill="FFFFFF"/>
        </w:rPr>
        <w:t>各申请人均可就本采购项目上述2个包投标，但一个投标单位最多允许中标1个包</w:t>
      </w:r>
      <w:r>
        <w:rPr>
          <w:rFonts w:hint="eastAsia" w:asciiTheme="minorEastAsia" w:hAnsiTheme="minorEastAsia"/>
          <w:highlight w:val="none"/>
        </w:rPr>
        <w:t>。</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（三）采购代理将在中标服务商确定之日起2个工作日内，在【</w:t>
      </w:r>
      <w:r>
        <w:fldChar w:fldCharType="begin"/>
      </w:r>
      <w:r>
        <w:instrText xml:space="preserve"> HYPERLINK "http://www.ccgp-shaanxi.gov.cn" </w:instrText>
      </w:r>
      <w: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（www.ccgp-shaanxi.gov.cn）】上公布中标结果。中标公告期限为1个工作日。</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（四）在公告中标结果的同时，采购代理向中标服务商发出中标通知书，中标服务商在领取中标通知书时提供一正两副纸质投标文件用于备案。</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中标通知书领取地点：陕西德欣源项目管理有限公司</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联系电话：18189187635</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采用综合评分法评审的，服务商可登录全国公共资源交易中心平台（陕西省·西安市），选择“首页〉电子交易平台〉企业端〉我的项目”，点击“项目流程”，在打开的“项目管理”对话框中右侧选择“评标结果查看”，查看本单位的最终得分与排序。</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（六）采购代理按照相关规定将评审报告送监管机构备案。</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十、签订政府采购合同</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（一）自中标通知书发出之日起30日内，采购人与中标服务商应按招标文件和中标服务商投标文件的约定，签订书面合同。所签订的政府采购合同不得对招标文件和中标服务商的投标文件内容作实质性修改。</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（二）中标服务商拒绝与采购人签订合同的，采购人可以按照评审报告推荐的中标候选人名单排序，确定下一候选人为中标服务商，也可以重新开展政府采购活动。</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（三）招标文件、投标文件、澄清、补充合同等为政府采购合同的组成部分，具有同等法律效力。</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（四）采购人应在规定时限内将政府采购合同报送监管机构备案。</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十一、其他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1、出现影响采购公正的违法、违规行为的；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2、服务商的报价均超过了采购预算，采购人不能支付的；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3、因重大变故，采购任务取消的。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废标后，除采购任务取消外，本项目将重新组织招标。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在递交投标文件阶段、密封性等形式检查阶段、资格审查阶段或评标委员会评标阶段，当出现有效投标服务商不足3家时，本项目将依据西安市财政局《关于进一步规范市级预算单位变更政府采购方式审批管理的通知》（市财发〔2017〕186号）的有关规定，按政府采购监管部门事前批准的采购方式继续进行。</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（四）招标文件未明确的其他事项，按《政府采购法》及其相关法律法规执行。</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numPr>
          <w:ilvl w:val="0"/>
          <w:numId w:val="3"/>
        </w:numPr>
        <w:adjustRightInd w:val="0"/>
        <w:spacing w:line="360" w:lineRule="auto"/>
        <w:ind w:firstLine="723" w:firstLineChars="200"/>
        <w:jc w:val="center"/>
        <w:textAlignment w:val="baseline"/>
        <w:outlineLvl w:val="0"/>
        <w:rPr>
          <w:rFonts w:ascii="宋体" w:hAnsi="宋体" w:eastAsia="宋体" w:cs="宋体"/>
          <w:b/>
          <w:bCs/>
          <w:sz w:val="36"/>
          <w:szCs w:val="36"/>
        </w:rPr>
      </w:pPr>
      <w:bookmarkStart w:id="39" w:name="_Toc75507083"/>
      <w:bookmarkStart w:id="40" w:name="_Toc85037376"/>
      <w:bookmarkStart w:id="41" w:name="_Toc8517"/>
      <w:r>
        <w:rPr>
          <w:rFonts w:hint="eastAsia" w:ascii="宋体" w:hAnsi="宋体" w:eastAsia="宋体" w:cs="宋体"/>
          <w:b/>
          <w:bCs/>
          <w:sz w:val="36"/>
          <w:szCs w:val="36"/>
        </w:rPr>
        <w:t>招标内容及要求</w:t>
      </w:r>
      <w:bookmarkEnd w:id="26"/>
      <w:bookmarkEnd w:id="27"/>
      <w:bookmarkEnd w:id="28"/>
      <w:bookmarkEnd w:id="29"/>
      <w:bookmarkEnd w:id="30"/>
      <w:bookmarkEnd w:id="31"/>
      <w:bookmarkEnd w:id="32"/>
      <w:bookmarkEnd w:id="33"/>
      <w:bookmarkEnd w:id="34"/>
      <w:bookmarkEnd w:id="35"/>
      <w:bookmarkEnd w:id="36"/>
      <w:bookmarkEnd w:id="39"/>
      <w:bookmarkEnd w:id="40"/>
      <w:bookmarkEnd w:id="41"/>
    </w:p>
    <w:p>
      <w:pPr>
        <w:adjustRightInd w:val="0"/>
        <w:spacing w:line="360" w:lineRule="auto"/>
        <w:jc w:val="left"/>
        <w:textAlignment w:val="baseline"/>
        <w:rPr>
          <w:rFonts w:ascii="宋体" w:hAnsi="宋体" w:eastAsia="宋体" w:cs="宋体"/>
          <w:bCs/>
          <w:sz w:val="24"/>
          <w:szCs w:val="24"/>
        </w:rPr>
      </w:pPr>
      <w:r>
        <w:rPr>
          <w:rFonts w:hint="eastAsia" w:ascii="宋体" w:hAnsi="宋体" w:eastAsia="宋体" w:cs="宋体"/>
          <w:bCs/>
          <w:sz w:val="24"/>
          <w:szCs w:val="24"/>
        </w:rPr>
        <w:t>一、项目概况</w:t>
      </w:r>
    </w:p>
    <w:p>
      <w:pPr>
        <w:adjustRightInd w:val="0"/>
        <w:spacing w:line="360" w:lineRule="auto"/>
        <w:ind w:firstLine="482" w:firstLineChars="200"/>
        <w:textAlignment w:val="baseline"/>
        <w:rPr>
          <w:rFonts w:ascii="宋体" w:hAnsi="宋体" w:eastAsia="宋体" w:cs="宋体"/>
          <w:sz w:val="24"/>
          <w:szCs w:val="24"/>
        </w:rPr>
      </w:pPr>
      <w:bookmarkStart w:id="42" w:name="_Toc55201338"/>
      <w:r>
        <w:rPr>
          <w:rFonts w:hint="eastAsia" w:ascii="宋体" w:hAnsi="宋体" w:eastAsia="宋体" w:cs="宋体"/>
          <w:b/>
          <w:bCs/>
          <w:sz w:val="24"/>
          <w:szCs w:val="24"/>
        </w:rPr>
        <w:t>（一）</w:t>
      </w:r>
      <w:bookmarkEnd w:id="42"/>
      <w:r>
        <w:rPr>
          <w:rFonts w:hint="eastAsia" w:ascii="宋体" w:hAnsi="宋体" w:eastAsia="宋体" w:cs="宋体"/>
          <w:b/>
          <w:bCs/>
          <w:sz w:val="24"/>
          <w:szCs w:val="24"/>
        </w:rPr>
        <w:t>运维项目内容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西安市2021年启动《西安市重点区域环境空气颗粒物监管能力运维项目（包2）》，在全市重点区域工地、堆场、拆迁工地及重点道路安装68套（含可挪点设备）颗粒物自动监测设备。为保证监测设备的稳定运行，对建成的68套颗粒物监测系统提供运维服务。运维项目主要内容包括：现场仪器维护、仪器校准、流量校准、标准膜校准、温度气压校准、数据质控、手工比对（34站）、故障维修、日常巡检等。以及颗粒物监测仪器不限于34座（次）挪机、安装、调试、</w:t>
      </w:r>
      <w:r>
        <w:rPr>
          <w:rFonts w:hint="eastAsia" w:ascii="宋体" w:hAnsi="宋体" w:eastAsia="宋体" w:cs="宋体"/>
          <w:color w:val="FF0000"/>
          <w:sz w:val="24"/>
          <w:szCs w:val="24"/>
        </w:rPr>
        <w:t>数据比对（工地扬尘监测系统）</w:t>
      </w:r>
      <w:r>
        <w:rPr>
          <w:rFonts w:hint="eastAsia" w:ascii="宋体" w:hAnsi="宋体" w:eastAsia="宋体" w:cs="宋体"/>
          <w:sz w:val="24"/>
          <w:szCs w:val="24"/>
        </w:rPr>
        <w:t>服务。</w:t>
      </w:r>
    </w:p>
    <w:p>
      <w:pPr>
        <w:adjustRightInd w:val="0"/>
        <w:spacing w:line="360" w:lineRule="auto"/>
        <w:ind w:firstLine="482" w:firstLineChars="200"/>
        <w:textAlignment w:val="baseline"/>
        <w:rPr>
          <w:rFonts w:ascii="宋体" w:hAnsi="宋体" w:eastAsia="宋体" w:cs="宋体"/>
          <w:b/>
          <w:bCs/>
          <w:sz w:val="24"/>
          <w:szCs w:val="24"/>
        </w:rPr>
      </w:pPr>
      <w:bookmarkStart w:id="43" w:name="_Toc55201339"/>
      <w:r>
        <w:rPr>
          <w:rFonts w:hint="eastAsia" w:ascii="宋体" w:hAnsi="宋体" w:eastAsia="宋体" w:cs="宋体"/>
          <w:b/>
          <w:bCs/>
          <w:sz w:val="24"/>
          <w:szCs w:val="24"/>
        </w:rPr>
        <w:t>（二）</w:t>
      </w:r>
      <w:bookmarkEnd w:id="43"/>
      <w:r>
        <w:rPr>
          <w:rFonts w:hint="eastAsia" w:ascii="宋体" w:hAnsi="宋体" w:eastAsia="宋体" w:cs="宋体"/>
          <w:b/>
          <w:bCs/>
          <w:sz w:val="24"/>
          <w:szCs w:val="24"/>
        </w:rPr>
        <w:t>服务周期</w:t>
      </w:r>
    </w:p>
    <w:p>
      <w:pPr>
        <w:pStyle w:val="4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项目服务期为1年，自签订合同之日算起。</w:t>
      </w:r>
    </w:p>
    <w:p>
      <w:pPr>
        <w:adjustRightInd w:val="0"/>
        <w:spacing w:line="360" w:lineRule="auto"/>
        <w:ind w:firstLine="482" w:firstLineChars="200"/>
        <w:textAlignment w:val="baseline"/>
        <w:rPr>
          <w:rFonts w:ascii="宋体" w:hAnsi="宋体" w:eastAsia="宋体" w:cs="宋体"/>
          <w:b/>
          <w:bCs/>
          <w:sz w:val="24"/>
          <w:szCs w:val="24"/>
        </w:rPr>
      </w:pPr>
      <w:bookmarkStart w:id="44" w:name="_Toc55201340"/>
      <w:r>
        <w:rPr>
          <w:rFonts w:hint="eastAsia" w:ascii="宋体" w:hAnsi="宋体" w:eastAsia="宋体" w:cs="宋体"/>
          <w:b/>
          <w:bCs/>
          <w:sz w:val="24"/>
          <w:szCs w:val="24"/>
        </w:rPr>
        <w:t>（三）</w:t>
      </w:r>
      <w:bookmarkEnd w:id="44"/>
      <w:r>
        <w:rPr>
          <w:rFonts w:hint="eastAsia" w:ascii="宋体" w:hAnsi="宋体" w:eastAsia="宋体" w:cs="宋体"/>
          <w:b/>
          <w:bCs/>
          <w:sz w:val="24"/>
          <w:szCs w:val="24"/>
        </w:rPr>
        <w:t>付款方式</w:t>
      </w:r>
    </w:p>
    <w:p>
      <w:pPr>
        <w:widowControl/>
        <w:shd w:val="clear" w:color="auto" w:fill="FFFFFF"/>
        <w:spacing w:line="360" w:lineRule="auto"/>
        <w:ind w:firstLine="480" w:firstLineChars="200"/>
        <w:jc w:val="left"/>
        <w:rPr>
          <w:rFonts w:ascii="宋体" w:hAnsi="宋体" w:eastAsia="宋体" w:cs="宋体"/>
          <w:color w:val="FF0000"/>
          <w:sz w:val="24"/>
          <w:szCs w:val="24"/>
        </w:rPr>
      </w:pPr>
      <w:r>
        <w:rPr>
          <w:rFonts w:hint="eastAsia" w:ascii="宋体" w:hAnsi="宋体" w:eastAsia="宋体" w:cs="宋体"/>
          <w:color w:val="FF0000"/>
          <w:sz w:val="24"/>
          <w:szCs w:val="24"/>
        </w:rPr>
        <w:t>付款方式：本项目按进度付款，自项目启动之日起算四个月后支付合同总价的</w:t>
      </w:r>
      <w:r>
        <w:rPr>
          <w:rFonts w:ascii="宋体" w:hAnsi="宋体" w:eastAsia="宋体" w:cs="宋体"/>
          <w:color w:val="FF0000"/>
          <w:sz w:val="24"/>
          <w:szCs w:val="24"/>
        </w:rPr>
        <w:t>30</w:t>
      </w:r>
      <w:r>
        <w:rPr>
          <w:rFonts w:hint="eastAsia" w:ascii="宋体" w:hAnsi="宋体" w:eastAsia="宋体" w:cs="宋体"/>
          <w:color w:val="FF0000"/>
          <w:sz w:val="24"/>
          <w:szCs w:val="24"/>
        </w:rPr>
        <w:t>%，项目运维结束后支付余款。支付余款时对全年增减项综合评价（含手工比对及挪点），并按绩效考核成绩得分核算应付运维费用。</w:t>
      </w:r>
    </w:p>
    <w:p>
      <w:pPr>
        <w:adjustRightInd w:val="0"/>
        <w:spacing w:line="360" w:lineRule="auto"/>
        <w:textAlignment w:val="baseline"/>
        <w:rPr>
          <w:rFonts w:ascii="宋体" w:hAnsi="宋体" w:eastAsia="宋体" w:cs="宋体"/>
          <w:bCs/>
          <w:sz w:val="24"/>
          <w:szCs w:val="24"/>
        </w:rPr>
      </w:pPr>
      <w:bookmarkStart w:id="45" w:name="_Toc55201342"/>
      <w:r>
        <w:rPr>
          <w:rFonts w:hint="eastAsia" w:ascii="宋体" w:hAnsi="宋体" w:eastAsia="宋体" w:cs="宋体"/>
          <w:bCs/>
          <w:sz w:val="24"/>
          <w:szCs w:val="24"/>
        </w:rPr>
        <w:t>二、运维技术需求</w:t>
      </w:r>
      <w:bookmarkEnd w:id="45"/>
    </w:p>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1、项目内容</w:t>
      </w:r>
    </w:p>
    <w:p>
      <w:pPr>
        <w:spacing w:line="360" w:lineRule="auto"/>
        <w:ind w:right="27" w:rightChars="13" w:firstLine="480" w:firstLineChars="200"/>
        <w:rPr>
          <w:rFonts w:ascii="宋体" w:hAnsi="宋体" w:eastAsia="宋体" w:cs="宋体"/>
          <w:sz w:val="24"/>
          <w:szCs w:val="24"/>
          <w:lang w:val="zh-CN"/>
        </w:rPr>
      </w:pPr>
      <w:r>
        <w:rPr>
          <w:rFonts w:hint="eastAsia" w:ascii="宋体" w:hAnsi="宋体" w:eastAsia="宋体" w:cs="宋体"/>
          <w:sz w:val="24"/>
          <w:szCs w:val="24"/>
          <w:lang w:val="zh-CN"/>
        </w:rPr>
        <w:t>项目运维服务为西安市建成的</w:t>
      </w:r>
      <w:r>
        <w:rPr>
          <w:rFonts w:hint="eastAsia" w:ascii="宋体" w:hAnsi="宋体" w:eastAsia="宋体" w:cs="宋体"/>
          <w:sz w:val="24"/>
          <w:szCs w:val="24"/>
        </w:rPr>
        <w:t>68</w:t>
      </w:r>
      <w:r>
        <w:rPr>
          <w:rFonts w:hint="eastAsia" w:ascii="宋体" w:hAnsi="宋体" w:eastAsia="宋体" w:cs="宋体"/>
          <w:sz w:val="24"/>
          <w:szCs w:val="24"/>
          <w:lang w:val="zh-CN"/>
        </w:rPr>
        <w:t>套颗粒物监测系统。运维服务内容包含所有站点监测分析仪器及数据采集与传输设备、辅助设备、用电及网络保障、视频监控、护栏等辅助基础设施的日常维护、质量控制、故障维修、年度检修、预防性维护等工作，确保颗粒物监测仪器设备稳定运行并与智慧环保软件平台联网正常；颗粒物监测仪器</w:t>
      </w:r>
      <w:r>
        <w:rPr>
          <w:rFonts w:hint="eastAsia" w:ascii="宋体" w:hAnsi="宋体" w:eastAsia="宋体" w:cs="宋体"/>
          <w:sz w:val="24"/>
          <w:szCs w:val="24"/>
        </w:rPr>
        <w:t>不限于34</w:t>
      </w:r>
      <w:r>
        <w:rPr>
          <w:rFonts w:hint="eastAsia" w:ascii="宋体" w:hAnsi="宋体" w:eastAsia="宋体" w:cs="宋体"/>
          <w:sz w:val="24"/>
          <w:szCs w:val="24"/>
          <w:lang w:val="zh-CN"/>
        </w:rPr>
        <w:t>座（次）挪机、安装、调试、</w:t>
      </w:r>
      <w:r>
        <w:rPr>
          <w:rFonts w:hint="eastAsia" w:ascii="宋体" w:hAnsi="宋体" w:eastAsia="宋体" w:cs="宋体"/>
          <w:color w:val="FF0000"/>
          <w:sz w:val="24"/>
          <w:szCs w:val="24"/>
          <w:lang w:val="zh-CN"/>
        </w:rPr>
        <w:t>数据比对</w:t>
      </w:r>
      <w:r>
        <w:rPr>
          <w:rFonts w:hint="eastAsia" w:ascii="宋体" w:hAnsi="宋体" w:eastAsia="宋体" w:cs="宋体"/>
          <w:sz w:val="24"/>
          <w:szCs w:val="24"/>
          <w:lang w:val="zh-CN"/>
        </w:rPr>
        <w:t>服务。接受采购人质控检查和考核。</w:t>
      </w:r>
    </w:p>
    <w:p>
      <w:pPr>
        <w:spacing w:line="360" w:lineRule="auto"/>
        <w:ind w:right="27" w:rightChars="13" w:firstLine="480" w:firstLineChars="200"/>
        <w:jc w:val="center"/>
        <w:rPr>
          <w:rFonts w:ascii="宋体" w:hAnsi="宋体" w:eastAsia="宋体" w:cs="宋体"/>
          <w:sz w:val="24"/>
          <w:szCs w:val="24"/>
          <w:lang w:val="zh-CN"/>
        </w:rPr>
      </w:pPr>
      <w:r>
        <w:rPr>
          <w:rFonts w:hint="eastAsia" w:ascii="宋体" w:hAnsi="宋体" w:eastAsia="宋体" w:cs="宋体"/>
          <w:sz w:val="24"/>
          <w:szCs w:val="24"/>
          <w:lang w:val="zh-CN"/>
        </w:rPr>
        <w:t xml:space="preserve"> </w:t>
      </w: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r>
        <w:rPr>
          <w:rFonts w:hint="eastAsia" w:ascii="宋体" w:hAnsi="宋体" w:eastAsia="宋体" w:cs="宋体"/>
          <w:sz w:val="24"/>
          <w:szCs w:val="24"/>
        </w:rPr>
        <w:t>68</w:t>
      </w:r>
      <w:r>
        <w:rPr>
          <w:rFonts w:hint="eastAsia" w:ascii="宋体" w:hAnsi="宋体" w:eastAsia="宋体" w:cs="宋体"/>
          <w:sz w:val="24"/>
          <w:szCs w:val="24"/>
          <w:lang w:val="zh-CN"/>
        </w:rPr>
        <w:t>套设备清单</w:t>
      </w:r>
    </w:p>
    <w:tbl>
      <w:tblPr>
        <w:tblStyle w:val="25"/>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429"/>
        <w:gridCol w:w="1998"/>
        <w:gridCol w:w="1263"/>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0"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序号</w:t>
            </w:r>
          </w:p>
        </w:tc>
        <w:tc>
          <w:tcPr>
            <w:tcW w:w="2429"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产品名称</w:t>
            </w:r>
          </w:p>
        </w:tc>
        <w:tc>
          <w:tcPr>
            <w:tcW w:w="1998"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品牌</w:t>
            </w:r>
          </w:p>
        </w:tc>
        <w:tc>
          <w:tcPr>
            <w:tcW w:w="1263"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数量</w:t>
            </w:r>
          </w:p>
        </w:tc>
        <w:tc>
          <w:tcPr>
            <w:tcW w:w="1263"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单位</w:t>
            </w:r>
          </w:p>
        </w:tc>
        <w:tc>
          <w:tcPr>
            <w:tcW w:w="1263" w:type="dxa"/>
            <w:vAlign w:val="center"/>
          </w:tcPr>
          <w:p>
            <w:pPr>
              <w:spacing w:line="360" w:lineRule="auto"/>
              <w:jc w:val="center"/>
              <w:rPr>
                <w:rFonts w:ascii="宋体" w:hAnsi="宋体" w:eastAsia="宋体" w:cs="宋体"/>
                <w:b/>
                <w:color w:val="000000"/>
                <w:kern w:val="0"/>
                <w:sz w:val="24"/>
                <w:szCs w:val="24"/>
                <w:lang w:bidi="en-US"/>
              </w:rPr>
            </w:pPr>
            <w:r>
              <w:rPr>
                <w:rFonts w:hint="eastAsia" w:ascii="宋体" w:hAnsi="宋体" w:eastAsia="宋体" w:cs="宋体"/>
                <w:b/>
                <w:color w:val="000000"/>
                <w:kern w:val="0"/>
                <w:sz w:val="24"/>
                <w:szCs w:val="24"/>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1</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颗粒物在线监测系统</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蓝盾光电</w:t>
            </w:r>
          </w:p>
        </w:tc>
        <w:tc>
          <w:tcPr>
            <w:tcW w:w="1263"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jc w:val="center"/>
              <w:rPr>
                <w:rFonts w:ascii="宋体" w:hAnsi="宋体" w:eastAsia="宋体"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2</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噪声单元</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蓝盾光电</w:t>
            </w:r>
          </w:p>
        </w:tc>
        <w:tc>
          <w:tcPr>
            <w:tcW w:w="1263"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5</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3</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视频监测单元</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海康威视</w:t>
            </w:r>
          </w:p>
        </w:tc>
        <w:tc>
          <w:tcPr>
            <w:tcW w:w="1263"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4</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4G通讯</w:t>
            </w:r>
            <w:r>
              <w:rPr>
                <w:rFonts w:hint="eastAsia" w:ascii="宋体" w:hAnsi="宋体" w:eastAsia="宋体" w:cs="宋体"/>
                <w:color w:val="000000"/>
                <w:kern w:val="0"/>
                <w:sz w:val="24"/>
                <w:szCs w:val="24"/>
                <w:lang w:bidi="en-US"/>
              </w:rPr>
              <w:t>模块</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计讯物联</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5</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GPS定位</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计讯物联</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6</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稳压电源</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八联</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7</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LED显示屏</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创凯光</w:t>
            </w:r>
          </w:p>
        </w:tc>
        <w:tc>
          <w:tcPr>
            <w:tcW w:w="1263"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5</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8</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数据</w:t>
            </w:r>
            <w:r>
              <w:rPr>
                <w:rFonts w:hint="eastAsia" w:ascii="宋体" w:hAnsi="宋体" w:eastAsia="宋体" w:cs="宋体"/>
                <w:color w:val="000000"/>
                <w:kern w:val="0"/>
                <w:sz w:val="24"/>
                <w:szCs w:val="24"/>
                <w:lang w:eastAsia="en-US" w:bidi="en-US"/>
              </w:rPr>
              <w:t>采集</w:t>
            </w:r>
            <w:r>
              <w:rPr>
                <w:rFonts w:hint="eastAsia" w:ascii="宋体" w:hAnsi="宋体" w:eastAsia="宋体" w:cs="宋体"/>
                <w:color w:val="000000"/>
                <w:kern w:val="0"/>
                <w:sz w:val="24"/>
                <w:szCs w:val="24"/>
                <w:lang w:bidi="en-US"/>
              </w:rPr>
              <w:t>传输</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艾讯宏达</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9</w:t>
            </w:r>
          </w:p>
        </w:tc>
        <w:tc>
          <w:tcPr>
            <w:tcW w:w="2429"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温控机柜</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陆丰</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12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1</w:t>
            </w:r>
            <w:r>
              <w:rPr>
                <w:rFonts w:hint="eastAsia" w:ascii="宋体" w:hAnsi="宋体" w:eastAsia="宋体" w:cs="宋体"/>
                <w:color w:val="000000"/>
                <w:kern w:val="0"/>
                <w:sz w:val="24"/>
                <w:szCs w:val="24"/>
                <w:lang w:bidi="en-US"/>
              </w:rPr>
              <w:t>0</w:t>
            </w:r>
          </w:p>
        </w:tc>
        <w:tc>
          <w:tcPr>
            <w:tcW w:w="2429"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围栏、立杆安装工具</w:t>
            </w:r>
          </w:p>
        </w:tc>
        <w:tc>
          <w:tcPr>
            <w:tcW w:w="1998"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定制</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263" w:type="dxa"/>
            <w:vAlign w:val="center"/>
          </w:tcPr>
          <w:p>
            <w:pPr>
              <w:spacing w:line="360" w:lineRule="auto"/>
              <w:jc w:val="center"/>
              <w:rPr>
                <w:rFonts w:ascii="宋体" w:hAnsi="宋体" w:eastAsia="宋体" w:cs="宋体"/>
                <w:color w:val="000000"/>
                <w:kern w:val="0"/>
                <w:sz w:val="24"/>
                <w:szCs w:val="24"/>
                <w:lang w:eastAsia="en-US" w:bidi="en-US"/>
              </w:rPr>
            </w:pPr>
          </w:p>
        </w:tc>
      </w:tr>
    </w:tbl>
    <w:p>
      <w:pPr>
        <w:spacing w:line="360" w:lineRule="auto"/>
        <w:jc w:val="center"/>
        <w:rPr>
          <w:rFonts w:ascii="宋体" w:hAnsi="宋体" w:eastAsia="宋体" w:cs="宋体"/>
          <w:color w:val="000000"/>
          <w:kern w:val="0"/>
          <w:sz w:val="24"/>
          <w:szCs w:val="24"/>
          <w:lang w:val="zh-CN" w:eastAsia="en-US" w:bidi="en-US"/>
        </w:rPr>
      </w:pPr>
      <w:bookmarkStart w:id="46" w:name="_Toc55201345"/>
    </w:p>
    <w:p>
      <w:pPr>
        <w:pStyle w:val="24"/>
        <w:ind w:firstLine="480"/>
        <w:rPr>
          <w:rFonts w:ascii="宋体" w:hAnsi="宋体" w:eastAsia="宋体" w:cs="宋体"/>
          <w:color w:val="000000"/>
          <w:kern w:val="0"/>
          <w:sz w:val="24"/>
          <w:szCs w:val="24"/>
          <w:lang w:val="zh-CN" w:eastAsia="en-US" w:bidi="en-US"/>
        </w:rPr>
      </w:pPr>
    </w:p>
    <w:p>
      <w:pPr>
        <w:rPr>
          <w:rFonts w:ascii="宋体" w:hAnsi="宋体" w:eastAsia="宋体" w:cs="宋体"/>
          <w:color w:val="000000"/>
          <w:kern w:val="0"/>
          <w:sz w:val="24"/>
          <w:szCs w:val="24"/>
          <w:lang w:val="zh-CN" w:eastAsia="en-US" w:bidi="en-US"/>
        </w:rPr>
      </w:pPr>
    </w:p>
    <w:p>
      <w:pPr>
        <w:pStyle w:val="24"/>
        <w:ind w:firstLine="480"/>
        <w:rPr>
          <w:rFonts w:ascii="宋体" w:hAnsi="宋体" w:eastAsia="宋体" w:cs="宋体"/>
          <w:color w:val="000000"/>
          <w:kern w:val="0"/>
          <w:sz w:val="24"/>
          <w:szCs w:val="24"/>
          <w:lang w:val="zh-CN" w:eastAsia="en-US" w:bidi="en-US"/>
        </w:rPr>
      </w:pPr>
    </w:p>
    <w:p>
      <w:pPr>
        <w:rPr>
          <w:rFonts w:ascii="宋体" w:hAnsi="宋体" w:eastAsia="宋体" w:cs="宋体"/>
          <w:color w:val="000000"/>
          <w:kern w:val="0"/>
          <w:sz w:val="24"/>
          <w:szCs w:val="24"/>
          <w:lang w:val="zh-CN" w:eastAsia="en-US" w:bidi="en-US"/>
        </w:rPr>
      </w:pPr>
    </w:p>
    <w:p>
      <w:pPr>
        <w:pStyle w:val="24"/>
        <w:ind w:firstLine="480"/>
        <w:rPr>
          <w:rFonts w:ascii="宋体" w:hAnsi="宋体" w:eastAsia="宋体" w:cs="宋体"/>
          <w:color w:val="000000"/>
          <w:kern w:val="0"/>
          <w:sz w:val="24"/>
          <w:szCs w:val="24"/>
          <w:lang w:val="zh-CN" w:eastAsia="en-US" w:bidi="en-US"/>
        </w:rPr>
      </w:pPr>
    </w:p>
    <w:p>
      <w:pPr>
        <w:rPr>
          <w:rFonts w:ascii="宋体" w:hAnsi="宋体" w:eastAsia="宋体" w:cs="宋体"/>
          <w:color w:val="000000"/>
          <w:kern w:val="0"/>
          <w:sz w:val="24"/>
          <w:szCs w:val="24"/>
          <w:lang w:val="zh-CN" w:eastAsia="en-US" w:bidi="en-US"/>
        </w:rPr>
      </w:pPr>
    </w:p>
    <w:p>
      <w:pPr>
        <w:pStyle w:val="24"/>
        <w:ind w:firstLine="480"/>
        <w:rPr>
          <w:rFonts w:ascii="宋体" w:hAnsi="宋体" w:eastAsia="宋体" w:cs="宋体"/>
          <w:color w:val="000000"/>
          <w:kern w:val="0"/>
          <w:sz w:val="24"/>
          <w:szCs w:val="24"/>
          <w:lang w:val="zh-CN" w:eastAsia="en-US" w:bidi="en-US"/>
        </w:rPr>
      </w:pPr>
    </w:p>
    <w:p>
      <w:pPr>
        <w:rPr>
          <w:rFonts w:ascii="宋体" w:hAnsi="宋体" w:eastAsia="宋体" w:cs="宋体"/>
          <w:color w:val="000000"/>
          <w:kern w:val="0"/>
          <w:sz w:val="24"/>
          <w:szCs w:val="24"/>
          <w:lang w:val="zh-CN" w:eastAsia="en-US" w:bidi="en-US"/>
        </w:rPr>
      </w:pPr>
    </w:p>
    <w:p>
      <w:pPr>
        <w:pStyle w:val="24"/>
        <w:ind w:firstLine="480"/>
        <w:rPr>
          <w:rFonts w:ascii="宋体" w:hAnsi="宋体" w:eastAsia="宋体" w:cs="宋体"/>
          <w:color w:val="000000"/>
          <w:kern w:val="0"/>
          <w:sz w:val="24"/>
          <w:szCs w:val="24"/>
          <w:lang w:val="zh-CN" w:eastAsia="en-US" w:bidi="en-US"/>
        </w:rPr>
      </w:pPr>
    </w:p>
    <w:p>
      <w:pPr>
        <w:rPr>
          <w:rFonts w:ascii="宋体" w:hAnsi="宋体" w:eastAsia="宋体" w:cs="宋体"/>
          <w:color w:val="000000"/>
          <w:kern w:val="0"/>
          <w:sz w:val="24"/>
          <w:szCs w:val="24"/>
          <w:lang w:val="zh-CN" w:eastAsia="en-US" w:bidi="en-US"/>
        </w:rPr>
      </w:pPr>
    </w:p>
    <w:p>
      <w:pPr>
        <w:pStyle w:val="24"/>
        <w:ind w:firstLine="560"/>
        <w:rPr>
          <w:lang w:val="zh-CN"/>
        </w:rPr>
      </w:pPr>
    </w:p>
    <w:tbl>
      <w:tblPr>
        <w:tblStyle w:val="2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61"/>
        <w:gridCol w:w="1515"/>
        <w:gridCol w:w="1384"/>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exact"/>
          <w:jc w:val="center"/>
        </w:trPr>
        <w:tc>
          <w:tcPr>
            <w:tcW w:w="9693" w:type="dxa"/>
            <w:gridSpan w:val="5"/>
            <w:tcBorders>
              <w:top w:val="single" w:color="auto" w:sz="4" w:space="0"/>
              <w:left w:val="nil"/>
              <w:bottom w:val="nil"/>
              <w:right w:val="nil"/>
            </w:tcBorders>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68</w:t>
            </w:r>
            <w:r>
              <w:rPr>
                <w:rFonts w:hint="eastAsia" w:ascii="宋体" w:hAnsi="宋体" w:eastAsia="宋体" w:cs="宋体"/>
                <w:color w:val="000000"/>
                <w:kern w:val="0"/>
                <w:sz w:val="24"/>
                <w:szCs w:val="24"/>
                <w:lang w:val="zh-CN" w:eastAsia="en-US" w:bidi="en-US"/>
              </w:rPr>
              <w:t>套设备清单</w:t>
            </w:r>
            <w:r>
              <w:rPr>
                <w:rFonts w:hint="eastAsia" w:ascii="宋体" w:hAnsi="宋体" w:eastAsia="宋体" w:cs="宋体"/>
                <w:color w:val="000000"/>
                <w:kern w:val="0"/>
                <w:sz w:val="24"/>
                <w:szCs w:val="24"/>
                <w:lang w:bidi="en-US"/>
              </w:rPr>
              <w:t>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序号</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站点编号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路段</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区县</w:t>
            </w:r>
          </w:p>
        </w:tc>
        <w:tc>
          <w:tcPr>
            <w:tcW w:w="45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站点位置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45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咸宁路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咸宁东路与东三环十字西北角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咸宁路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碑林区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咸宁西路与兴庆西路十字向东100米路北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长乐东路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长乐东路灞桥区松林家园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华清路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华清西路与二环东路西南角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华清路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华清东路西安市公共交通集团有限公司第三分公司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108国道临潼区新丰工业园（带屏幕）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108国道临潼区108国道－闫新路向西400米路南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108国道临潼区气象局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108国道临潼区-108国道-凤凰大道-延长加油站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108国道临潼区-东城国际铝材门窗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108国道灞桥区官厅佳苑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108国道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108国道灞桥区灞桥街社区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东三环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东三环辅路与云扉巷向南300米路东加油站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东三环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东三环-世博中路十字东北角加油站附近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东三环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东三环-通塬路十字西北角加油站附近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东二环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碑林区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二环东路-互助路丁字口立交转盘下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610100539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太华北路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太华北路未央区奇星御园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北辰大道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未央区北辰路-浐灞一路（麦德龙商场）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北辰大道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未央区北辰路-秦汉大道向南250米路西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朱宏路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未央区-朱宏路-锦宏路（壳牌加油站）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朱宏路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未央区-朱宏路-北三环西北角中国石油加油站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秦汉大道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临潼区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秦汉大道临潼区下朱村村委会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秦汉大道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国际港务区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 xml:space="preserve">秦汉大道灞桥区西安国际陆港假日酒店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秦汉大道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秦汉大道正奥能源加油站门口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秦汉大道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国际港务区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秦汉大道保税区地铁站西北角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西太路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西太路与纬三十二路十字南100米路西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港务西路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国际港务区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国际港务区地铁站B1出口向南400米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西太路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西太路与翠北路十字向南100米路东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610100549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港务西路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国际港务区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灞桥区港务西路-港兴三路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西太路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西太路与灵和路十字东北角路北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西太路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西太路庆镇村村口（带屏幕）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太白南路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太白南路与电子四路东南方向60米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草滩八路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草滩八路-尚林路（带屏幕）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环山路东石村公交站公厕旁路南（带屏幕）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草堂八路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草滩八路-尚稷路向南300米路东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环山路秦岭生态文化园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草滩六路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草滩六路-尚稷路向西200米路北（西安博爱学校）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环山路中国石油西安长安团结加油站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草滩六路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草滩六路-尚林路丁字口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环山路南五台壳牌加油站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草滩五路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草滩五路-尚稷路十字西北角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环山路王莽街道长安区农家乐示范村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草滩四路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草滩四路-尚苑路（带屏幕）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环山路太乙驿（M智慧房车太乙官露营地西南）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北三环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北三环与明光路十字向西300米路北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韦鸣路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韦鸣路昆仑石油韦鸣路加油站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北二环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二环北路西段－桃园北路向东200米路南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雁引路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雁引路昆仑石油引镇加油站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雁引路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雁引路中国石化云龙加油站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昆明路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昆明路石桥立交地铁站A口向西300米路北绿化带内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610100559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昆明路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昆明路－团结南路向西250米路中间绿化带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雁引路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雁引路中国石油西安长安大兆加油站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长鸣路公交首末站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昆明路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西咸新区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昆明路－西三环立交桥西北角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长鸣路延长壳牌长鸣酒铺加油站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西沣路－环山路北500米路西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富鱼路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富鱼路与铁路高架桥向西200米路北工地门口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西沣路跃进村村口向北250米路东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59</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富鱼路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富鱼路与富源三路十字向东40米处绿化带内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西沣路洨河桥北450米路西，加油站对面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富鱼路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富鱼路西安外事学院北教学区门口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西沣路与香积大街丁字口向北100米路西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大庆路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大庆路与汉城路十字向东150米中间绿化带内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64</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大庆路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大庆路天朗城市公园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65</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西沣路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西沣路云龙酒店向南130米路西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66</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阿房一路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阿房一路与富源一路向东100米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阿房一路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阿房一路海伦春天小区门口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610100568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西二环路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4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西二环路－西安高架快速干道立交桥十字东南角</w:t>
            </w:r>
          </w:p>
        </w:tc>
      </w:tr>
    </w:tbl>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2、运维工作目标</w:t>
      </w:r>
      <w:bookmarkEnd w:id="46"/>
    </w:p>
    <w:p>
      <w:pPr>
        <w:adjustRightInd w:val="0"/>
        <w:spacing w:line="360" w:lineRule="auto"/>
        <w:ind w:firstLine="480" w:firstLineChars="200"/>
        <w:textAlignment w:val="baseline"/>
        <w:rPr>
          <w:rFonts w:ascii="宋体" w:hAnsi="宋体" w:eastAsia="宋体" w:cs="宋体"/>
          <w:kern w:val="0"/>
          <w:sz w:val="24"/>
          <w:szCs w:val="24"/>
        </w:rPr>
      </w:pPr>
      <w:bookmarkStart w:id="47" w:name="_Toc405479910"/>
      <w:r>
        <w:rPr>
          <w:rFonts w:hint="eastAsia" w:ascii="宋体" w:hAnsi="宋体" w:eastAsia="宋体" w:cs="宋体"/>
          <w:kern w:val="0"/>
          <w:sz w:val="24"/>
          <w:szCs w:val="24"/>
        </w:rPr>
        <w:t>运行维护工作应按照安全生产有关规定，建立安全生产制度，切实消除安全隐患；运行维护工作必须确保提供及时、准确、有效的监测数据，站点运行质量应达到以下指标：</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（1）所获取的各项指标的有效监测数据必须满足《环境空气质量标准》（GB 3095-2012）中规定的污染物浓度数据有效性最低要求；</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（2）数据有效采集率达到95%（以小时值计）以上；</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（3）数据质控合格率达到90%（以小时值计）以上；</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（4）运维任务完成率100%；</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（5）异常情况处理率100%；</w:t>
      </w:r>
      <w:bookmarkStart w:id="48" w:name="_Toc55201346"/>
    </w:p>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3、运维工作内容</w:t>
      </w:r>
      <w:bookmarkEnd w:id="47"/>
      <w:bookmarkEnd w:id="48"/>
      <w:bookmarkStart w:id="49" w:name="OLE_LINK13"/>
      <w:bookmarkStart w:id="50" w:name="OLE_LINK12"/>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运维过程中主要完成以下工作：</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（1）站点的日常运行维护，仪器备件耗材更换；</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（2）站点设备的维护保养及维修；</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（3）当仪器出现故障不能及时修复时，应在48小时之内使用备机开展监测；</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（4）站点的内部质控措施； </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（5）站点通讯及数据采集系统的维护及维修，保障颗粒物监测系统与西安市智慧环保指挥平台通讯正常；</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（6）站点相关辅助设施的维护、保养、维修。</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（7）运维电费和通讯费用由运维单位承担。</w:t>
      </w:r>
    </w:p>
    <w:bookmarkEnd w:id="49"/>
    <w:bookmarkEnd w:id="50"/>
    <w:p>
      <w:pPr>
        <w:adjustRightInd w:val="0"/>
        <w:spacing w:line="360" w:lineRule="auto"/>
        <w:ind w:firstLine="480" w:firstLineChars="200"/>
        <w:textAlignment w:val="baseline"/>
        <w:rPr>
          <w:rFonts w:ascii="宋体" w:hAnsi="宋体" w:eastAsia="宋体" w:cs="宋体"/>
          <w:kern w:val="0"/>
          <w:sz w:val="24"/>
          <w:szCs w:val="24"/>
        </w:rPr>
      </w:pPr>
      <w:bookmarkStart w:id="51" w:name="_Toc405479911"/>
      <w:r>
        <w:rPr>
          <w:rFonts w:hint="eastAsia" w:ascii="宋体" w:hAnsi="宋体" w:eastAsia="宋体" w:cs="宋体"/>
          <w:kern w:val="0"/>
          <w:sz w:val="24"/>
          <w:szCs w:val="24"/>
        </w:rPr>
        <w:t>（8）运维过程中所产生的备机及耗材费用由运维单位承担；</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（9）运维单位在运维期内须无条件配合西安市生态环境局组织的相关设备补充、系统升级工作，并保障监测数据的完整性、准确性。</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10）委托运行维护及管理的全部资产（包括全部产权和建筑物、设备及配套设施）属采购人所有。未经采购人同意，运维单位不得以任何方式对各类财产进行出售、抵押或转移；同时，在委托运行及管理期间，运维单位有责任保证上述全部资产的完整、安全并处于良好状态，避免出现被盗、人为破坏等原因造成的资产损失。出现站点资产丢失、损坏等情况，一切责任由运维单位承担，并尽快恢复运行，所发生的费用全部由运维单位承担。</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（11）运维单位须为所有参与本项目运维的人员购买能覆盖此次运维周期的人身意外保险，制定并执行运维相关的安全措施，确保不发生意外，若发生运维安全事故，全部责任由运维单位承担。</w:t>
      </w:r>
    </w:p>
    <w:p>
      <w:pPr>
        <w:adjustRightInd w:val="0"/>
        <w:spacing w:line="360" w:lineRule="auto"/>
        <w:ind w:firstLine="482" w:firstLineChars="200"/>
        <w:textAlignment w:val="baseline"/>
        <w:rPr>
          <w:rFonts w:ascii="宋体" w:hAnsi="宋体" w:eastAsia="宋体" w:cs="宋体"/>
          <w:b/>
          <w:bCs/>
          <w:sz w:val="24"/>
          <w:szCs w:val="24"/>
        </w:rPr>
      </w:pPr>
      <w:bookmarkStart w:id="52" w:name="_Toc55201347"/>
      <w:r>
        <w:rPr>
          <w:rFonts w:hint="eastAsia" w:ascii="宋体" w:hAnsi="宋体" w:eastAsia="宋体" w:cs="宋体"/>
          <w:b/>
          <w:bCs/>
          <w:sz w:val="24"/>
          <w:szCs w:val="24"/>
        </w:rPr>
        <w:t>4、运维工作具体要求</w:t>
      </w:r>
      <w:bookmarkEnd w:id="51"/>
      <w:bookmarkEnd w:id="52"/>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运维单位应遵守关于站点管理的各项规定，严格按照国家相关标准要求开展运维工作。</w:t>
      </w:r>
    </w:p>
    <w:p>
      <w:pPr>
        <w:adjustRightInd w:val="0"/>
        <w:spacing w:line="360" w:lineRule="auto"/>
        <w:ind w:firstLine="482" w:firstLineChars="200"/>
        <w:textAlignment w:val="baseline"/>
        <w:rPr>
          <w:rFonts w:ascii="宋体" w:hAnsi="宋体" w:eastAsia="宋体" w:cs="宋体"/>
          <w:b/>
          <w:bCs/>
          <w:sz w:val="24"/>
          <w:szCs w:val="24"/>
        </w:rPr>
      </w:pPr>
      <w:bookmarkStart w:id="53" w:name="_Toc403547771"/>
      <w:bookmarkStart w:id="54" w:name="_Toc405479912"/>
      <w:bookmarkStart w:id="55" w:name="_Toc403547824"/>
      <w:r>
        <w:rPr>
          <w:rFonts w:hint="eastAsia" w:ascii="宋体" w:hAnsi="宋体" w:eastAsia="宋体" w:cs="宋体"/>
          <w:b/>
          <w:bCs/>
          <w:sz w:val="24"/>
          <w:szCs w:val="24"/>
        </w:rPr>
        <w:t>4.1  一般维护要求</w:t>
      </w:r>
      <w:bookmarkEnd w:id="53"/>
      <w:bookmarkEnd w:id="54"/>
      <w:bookmarkEnd w:id="55"/>
    </w:p>
    <w:p>
      <w:pPr>
        <w:adjustRightInd w:val="0"/>
        <w:spacing w:line="360" w:lineRule="auto"/>
        <w:ind w:firstLine="480" w:firstLineChars="200"/>
        <w:textAlignment w:val="baseline"/>
        <w:rPr>
          <w:rFonts w:ascii="宋体" w:hAnsi="宋体" w:eastAsia="宋体" w:cs="宋体"/>
          <w:sz w:val="24"/>
          <w:szCs w:val="24"/>
        </w:rPr>
      </w:pPr>
      <w:bookmarkStart w:id="56" w:name="_Toc405479913"/>
      <w:bookmarkStart w:id="57" w:name="_Toc403547772"/>
      <w:bookmarkStart w:id="58" w:name="_Toc403547825"/>
      <w:r>
        <w:rPr>
          <w:rFonts w:hint="eastAsia" w:ascii="宋体" w:hAnsi="宋体" w:eastAsia="宋体" w:cs="宋体"/>
          <w:sz w:val="24"/>
          <w:szCs w:val="24"/>
        </w:rPr>
        <w:t>（1）保持站点内部环境清洁，布置整齐，各仪器设备干净清洁，设备标识清楚；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（2）检查供电、网络通讯、气象设备、噪声设备、视频监控设备的情况，保证系统的正常运行；</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 xml:space="preserve">（3）保证空调正常工作，仪器运行温度保持在25℃左右，站房内温度日波动范围小于5℃，相对湿度保持在80%RH以下； </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（4）指派专人维护，设备固定牢固，人走关门，非工作人员未经许可不得入内；</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（5）每次维护后做好系统运行维护记录，所有记录表格参照国家站标准填写；</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（6）进行维护时，应规范操作，注意安全，防止意外发生。</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（7）挪点拆除、安装时，应按流程规范施工，保证土建、用电、人员安全，以及植被破坏赔偿，绿化恢复，确保站点各设备实施稳定运行。</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4.1.1 每日维护要求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每日对站点运行情况进行远程诊断和运行管理，包括：</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（1）判断系统数据采集与传输情况；</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（2）每日对噪声测试设备进行一次电校准；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（3）每日检查数据是否及时上传至数据平台并正常发布，发现数据断网及时恢复；</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 xml:space="preserve">（4）根据数据分析结果、设备状态参数和仪器故障报警信号，判断仪器运行情况和现场状况； </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（5）发生重污染天气等特殊情况后，应在4小时内开展相应运维工作；</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发现监测数据异常，应立即通知指挥中心，在每日6时～23时出现的异常，应在4小时内解决；在每日23时～次日6时出现的异常，应在次日10时前解决（通信线路，电力线路故障除外，但应及时与相关部门联系解决）；</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4.1.2每周工作要求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每周至少巡查站点1次，并做好巡查记录，巡检时需要完成的工作包括：</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（1）查看站点设备是否齐备，有无丢失和损坏；检查接地线路是否可靠，排风排气装置工作是否正常；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（2）检查采样和排气管路是否有漏气和堵塞现象，各监测仪器采样流量是否正常；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（3）检查各监测仪器运行状况和工作参数，判断是否正常，如有异常情况及时处理，保证仪器运行正常；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（4）检查</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监测仪动态加热装置及采样总管加热装置是否工作正常；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（5）检查外部环境是否正常，有没有对测定结果或运行环境存在明显影响的污染源；</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（6）检查电路系统和通讯系统，保证系统供电正常，电压稳定；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（7）检查站点通讯系统，保证与数据平台的连接正常，数据传输正常；确保无远程控制软件；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（8）对仪器显示数据、时间与数据采集仪之间的一致性进行检查和校准；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（9）应及时清除站点附近的杂草和积水，当周围树木生长超过规范规定时，应及时剪除对采样有影响的树枝；</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（10）应经常检查机柜是否有漏雨现象，发现渗漏情况及时进行密封，机柜外围设备是否有损坏或被水淹，如遇到以上问题应及时处理，保证系统安全运行；</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（11）检查站房的安全措施，做好防火防盗工作；</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（12）每周对颗粒物监测仪至少进行一次流量检查，流量误差超过±5%时应进行校准。同时对仪器的采样纸带进行检查，如纸带即将用尽及时进行更换；</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（13）空气质量达到重度及以上时，应及时清洗采样管和切割器。在污染过程结束后清洗采样系统；</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（14）每周对机柜内外环境卫生进行检查，及时保洁；</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（15）认真填写每周运行维护记录表。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4.1.3每月工作要求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（1）清洗</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采样头，检查β射线法颗粒物监测仪仪器喷嘴、压环、密封圈等部件；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（2）检查PM</w:t>
      </w:r>
      <w:r>
        <w:rPr>
          <w:rFonts w:hint="eastAsia" w:ascii="宋体" w:hAnsi="宋体" w:eastAsia="宋体" w:cs="宋体"/>
          <w:sz w:val="24"/>
          <w:szCs w:val="24"/>
          <w:vertAlign w:val="subscript"/>
        </w:rPr>
        <w:t>10</w:t>
      </w:r>
      <w:r>
        <w:rPr>
          <w:rFonts w:hint="eastAsia" w:ascii="宋体" w:hAnsi="宋体" w:eastAsia="宋体" w:cs="宋体"/>
          <w:sz w:val="24"/>
          <w:szCs w:val="24"/>
        </w:rPr>
        <w:t>监测仪流量，超过国家相关规范要求时进行校准，检查仪器是否泄漏；</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（3）每月开展颗粒物标准膜测试，流量误差超过±2%时应进行校准；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（4）每月对气象五参数、噪声测试设备进行一次校准；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（5）每月清洗一次空调过滤网；</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（6）每月对数据和运维记录进行备份；</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（7）认真填写每月运行维护记录表。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4.1.4每季度工作要求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（1）每季度进行一次监测仪器的精密度审核。颗粒物监测仪的精密度审核采用标准流量计测定监测仪器的工作流量来确定。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（2）检查校准</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监测仪相对湿度、温度传感器和压力传感器；</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（3）认真填写季度运行维护记录表。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4.1.5每半年工作要求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（1）对机柜、风绳（等电位联结体）等外部组件进行除锈处理；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（2）认真填写每半年运行维护记录表。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4.1.6每年工作要求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（1）每年至少抽取站点总数的1/2的设备开展一次</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器准确度审核，每次有效数据不少于5个日均值（每日有效采样时间不少于20小时），以手工监测比对的方式，将自动监测数据同手工监测数据进行比较分析，按照准确度审核指标，及时完成自动监测系统的检查与维修。具体工作参照《环境空气颗粒物（</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和</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2.5</w:t>
      </w:r>
      <w:r>
        <w:rPr>
          <w:rFonts w:hint="eastAsia" w:ascii="宋体" w:hAnsi="宋体" w:eastAsia="宋体" w:cs="宋体"/>
          <w:sz w:val="24"/>
          <w:szCs w:val="24"/>
        </w:rPr>
        <w:t>）连续自动监测系统运行和质控技术规范》（HJ 817-2018），采用审核采样器进行准确度审核。手工采样样品的称量须在CMA实验室完成，确保称量结果真实准确；</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（2）对所有的仪器进行预防性维护，按说明书要求更换备件；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（3）更换所有泵组件；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（4）认真填写每年运行维护记录表。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4.1.7日常运行维护记录</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应建立站点维护档案，将站点的运行过程和运行事件进行详细记录，并进行归档管理。日常运维中使用运行管理相关记录至少应包括：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（1）站点运行维护记录；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（2）颗粒物监测仪校准检查记录；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（3）颗粒物监测系统仪器设备维修记录；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（4）颗粒物监测系统备品备件管理记录；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（5）站点主要消耗耗材使用记录；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（6）标准物质使用记录；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（7）站点机柜内外环境检查记录；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（8）颗粒物监测系统仪器资料保管清单；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（9）挪点各设备拆除、安装管理记录。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投标人须在投标文件中提供以上记录表格。</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4.1.8其他要求</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（1）运维所使用耗材、备件要求为原厂耗材及备件；</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（2）应及时制定每月工作计划，并严格按计划执行，若有变更及时通知指挥中心；</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运维单位需保证满足环保部门对仪器设备故障的响应时间的要求，当仪器设备每日6时～23时出现故障，应在1小时内响应，4小时内到达现场解决（通信线路、电力线路故障除外，但应及时与相关部门联系积极解决）。当仪器设备每日23时～次日6时出现故障，应在次日10时前到达现场解决（通信线路、电力线路故障除外，但应及时与相关部门联系积极解决）。若仪器故障无法排除，运维单位必须在48小时内提供并更换相应的备机，保证自动站正常运行；</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（4）严禁擅自改变采样管路连接方式和更改仪器参数设置；</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（5）运维单位须每月5日前提交各站点上一月的运维记录纸质表格记录至指挥中心。</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  质量控制要求</w:t>
      </w:r>
      <w:bookmarkEnd w:id="56"/>
      <w:bookmarkEnd w:id="57"/>
      <w:bookmarkEnd w:id="58"/>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中标人需认真落实质量管理制度，做好相应记录。</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4.2.1量值溯源要求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运维单位应将运维所使用的流量计、温度计、气压计、湿度计、风速风向仪等标准质控器具溯源到标准设备，由省级（含）以上计量院出具鉴定报告。</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4.2.2日常质量控制要求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监测仪在以下情况下需进行校准：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（1）挪点移动时；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（2）工地现场比对时；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（3）进行可能影响校准结果的维修或维护后；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（4）监测仪暂停工作一段时间后；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（5）有迹象表明监测仪器工作不正常或校准结果出现变化。</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4.2.3质量检查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运维单位必须接受西安市生态环境局、指挥中心及其委托单位和人员的质量检查。</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4.2.4</w:t>
      </w:r>
      <w:bookmarkStart w:id="59" w:name="_Toc405479914"/>
      <w:bookmarkStart w:id="60" w:name="_Toc403547773"/>
      <w:bookmarkStart w:id="61" w:name="_Toc403547826"/>
      <w:r>
        <w:rPr>
          <w:rFonts w:hint="eastAsia" w:ascii="宋体" w:hAnsi="宋体" w:eastAsia="宋体" w:cs="宋体"/>
          <w:b/>
          <w:bCs/>
          <w:kern w:val="0"/>
          <w:sz w:val="24"/>
          <w:szCs w:val="24"/>
        </w:rPr>
        <w:t>质量控制资料整理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各种技术与质量文件均保持现行有效，可根据管理需要进行调整或修订。以纸质表格的形式，将巡检记录、维修维护记录、日常检查等质量保证与质量控制记录按要求及时进行填写。</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4.2.5质量控制资料提交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运维单位须每月5日前将各站点上一月的质控记录的纸质表格提交至指挥中心。</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 系统设备维修要求</w:t>
      </w:r>
      <w:bookmarkEnd w:id="59"/>
      <w:bookmarkEnd w:id="60"/>
      <w:bookmarkEnd w:id="61"/>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4.3.1维修更换工作要求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运维单位负责系统所有设备和仪器的维护、维修和部件更换。</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4.3.2设备维修质量控制要求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监测仪器修复后，当其监测性能受到影响时，采用关键参数检查、颗粒物流量测定、标准膜测试或手工比对等方法进行测试。</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仪器大修后，颗粒物监测设备应开展手工比对测试，测试应严格按照《环境空气颗粒物（PM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和PM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）连续自动监测系统运行和质控技术规范》（HJ 817-2018）中准确度审核要求实施，并遵守《环境空气中PM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和PM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的测定 重量法》（HJ618－2011）和《环境空气质量手工监测技术规范》（HJ 194-2017）等相关规范要求，同时提交相应报告。</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4.4人员、车辆、设备配备、挪点及技术标准要求</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4.4.1人员配备要求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68套颗粒物自动监测设备分布于西安市多个重点区域和重点道路，运维单位应保证配备的运维技术人员数量与其负责日常维护的站点数量比值不低于1/9。本项目需安排1名项目负责人进行项目管理，另至少安排1名人员进行站点质控管理，配合指挥中心进行检查考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运行维护单位投入本项目运维的全部专业技术人员须取得省级及以上相关部门颁发的环境空气自动监测领域上岗证。</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4.4.2车辆配置要求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运维单位应保证配备的运维保障车辆数量不少于5辆，其中应包含：</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运维巡检用车4辆：主要用于站点的日常巡查维护、备件耗材运输、工具运输；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质控用车及应急用车1：主要用于各种计量器具、质控器具的检定运输，以及站点的应急故障处理和配合指挥中心进行检查考核等。</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4.4.3备机配置要求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（1）运维单位须配置不少于4台备机满足运维需求，包括颗粒物监测仪、气象单元、噪声单元、监控视频模块等，备机须使用同品牌型号设备。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（2）运维单位需为本项目至少配备2台笔记本计算机，用于现场运维和质控工作。</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4.4.4备件配置需求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运维单位应按不少于半年的使用量配置运维所需备件（原厂）。备件应做好出入库登记，在备件使用过程中，要遵循先备先用的原则。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本项目涉及备件包括但不限于以下内容：</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（1）PM10监测仪备件：计数器、流量控制器、流量电磁阀、温湿度传感器、颗粒物加热杆、采样泵、24V电源、开关电源、保险管等；</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（2）其他备品备件：LED显示屏、4g路由器、空调电机、空调主板、稳压器、温控仪、监控球机、电表、空开、电源适配器、插线板等。</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4.4.5耗材配置要求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运维单位应按不少于半年的消耗量配置运维所需耗材（原厂）。耗材应做好出入库登记，在耗材使用过程中，要遵循先备先用的原则。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本项目涉及耗材包括但不限于以下内容：</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监测仪：纸带等；</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（2）其他耗材：中性透明玻璃胶、不锈钢除锈剂、酒精湿巾、黄油等。</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4.4.6质控设配置要求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运维单位须配备必要的质量控制设备：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（1）至少每9个站点配备1套流量计、1台一级压力计、1台一级温湿度计；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（2）至少每9个子站配备一套标准膜片（用于颗粒物监测仪标准膜标定检查校准）；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（3）运维单位应将运维所使用的流量计、温度计、气压计、湿度计、风速风向仪等标准质控器具溯源到标准设备，由省级（含）以上计量院出具鉴定报告。</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4.4.7挪点设备拆除、安装、比对要求</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（1）拆除时，各设备按操作规范拆除、装箱、运输，完成旧站点垃圾清运、地面恢复等工作；</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（2）安装时，按流程规范施工，保证土建、人员、电力供应需求和安全，以及植被破坏赔偿，绿化恢复等，确保站点各设备实施稳定运行；</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（3）按要求对工地、重点区域或重点方向开展管控性监测作业，依技术规范进行现场数据比对及抽检工作；</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bCs/>
          <w:kern w:val="0"/>
          <w:sz w:val="24"/>
          <w:szCs w:val="24"/>
        </w:rPr>
        <w:t>（4）认真填写挪点情况记录统计表。</w:t>
      </w:r>
    </w:p>
    <w:p>
      <w:pPr>
        <w:adjustRightInd w:val="0"/>
        <w:spacing w:line="360" w:lineRule="auto"/>
        <w:ind w:firstLine="482" w:firstLineChars="200"/>
        <w:textAlignment w:val="baseline"/>
        <w:rPr>
          <w:rFonts w:ascii="宋体" w:hAnsi="宋体" w:eastAsia="宋体" w:cs="宋体"/>
          <w:b/>
          <w:bCs/>
          <w:kern w:val="0"/>
          <w:sz w:val="24"/>
          <w:szCs w:val="24"/>
        </w:rPr>
      </w:pPr>
      <w:bookmarkStart w:id="62" w:name="_Toc13054234"/>
      <w:bookmarkStart w:id="63" w:name="_Toc83659339"/>
      <w:bookmarkStart w:id="64" w:name="_Toc29897"/>
      <w:bookmarkStart w:id="65" w:name="_Toc6767_WPSOffice_Level2"/>
      <w:bookmarkStart w:id="66" w:name="_Toc88119996"/>
      <w:r>
        <w:rPr>
          <w:rFonts w:hint="eastAsia" w:ascii="宋体" w:hAnsi="宋体" w:eastAsia="宋体" w:cs="宋体"/>
          <w:b/>
          <w:bCs/>
          <w:kern w:val="0"/>
          <w:sz w:val="24"/>
          <w:szCs w:val="24"/>
        </w:rPr>
        <w:t>4.4.8空气质量连续监测（AQMS）技术服务遵循的标准及规范</w:t>
      </w:r>
      <w:bookmarkEnd w:id="62"/>
      <w:bookmarkEnd w:id="63"/>
      <w:bookmarkEnd w:id="64"/>
      <w:bookmarkEnd w:id="65"/>
      <w:bookmarkEnd w:id="6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《环境空气质量标准》（GB 3095-2012）；</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《环境监测质量管理技术导则》（HJ 630-2011）；</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《环境空气颗粒物（PM10和PM2.5）连续自动监测系统安装和验收技术规范》（HJ 655-2013）；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《环境空气颗粒物（PM10和PM2.5）连续自动监测系统技术要求及检测方法》（HJ 653-2013）；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《环境空气颗粒物（PM10和PM2.5）连续自动监测系统运行和质控技术规范》（HJ 817-2018）；</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《环境空气质量手工监测技术规范》（HJ 194-2017）；</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《环境空气质量评价技术规范（试行）》（HJ 663-2013）；</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《环境空气质量指数（AQI）技术规定（试行）》（HJ 633-2012）；</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《环境空气PM</w:t>
      </w:r>
      <w:r>
        <w:rPr>
          <w:rFonts w:hint="eastAsia" w:ascii="宋体" w:hAnsi="宋体" w:eastAsia="宋体" w:cs="宋体"/>
          <w:sz w:val="24"/>
          <w:szCs w:val="24"/>
          <w:vertAlign w:val="subscript"/>
        </w:rPr>
        <w:t>10</w:t>
      </w:r>
      <w:r>
        <w:rPr>
          <w:rFonts w:hint="eastAsia" w:ascii="宋体" w:hAnsi="宋体" w:eastAsia="宋体" w:cs="宋体"/>
          <w:sz w:val="24"/>
          <w:szCs w:val="24"/>
        </w:rPr>
        <w:t>和PM</w:t>
      </w:r>
      <w:r>
        <w:rPr>
          <w:rFonts w:hint="eastAsia" w:ascii="宋体" w:hAnsi="宋体" w:eastAsia="宋体" w:cs="宋体"/>
          <w:sz w:val="24"/>
          <w:szCs w:val="24"/>
          <w:vertAlign w:val="subscript"/>
        </w:rPr>
        <w:t>2.5</w:t>
      </w:r>
      <w:r>
        <w:rPr>
          <w:rFonts w:hint="eastAsia" w:ascii="宋体" w:hAnsi="宋体" w:eastAsia="宋体" w:cs="宋体"/>
          <w:sz w:val="24"/>
          <w:szCs w:val="24"/>
        </w:rPr>
        <w:t>的测定 重量法》（HJ 618－2011）。</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其他规范及要求：中华人民共和国环境保护行业标准中规定的涉及空气质量连续自动监测内容的要求；生态环境部印发《城市环境空气质量排名技术规定》；省、市级生态环境部门的管理要求和工作要求。</w:t>
      </w:r>
    </w:p>
    <w:p>
      <w:pPr>
        <w:spacing w:line="360" w:lineRule="auto"/>
        <w:ind w:firstLine="482" w:firstLineChars="200"/>
        <w:rPr>
          <w:rFonts w:ascii="宋体" w:hAnsi="宋体" w:eastAsia="宋体" w:cs="宋体"/>
          <w:b/>
          <w:sz w:val="24"/>
          <w:szCs w:val="24"/>
        </w:rPr>
      </w:pPr>
      <w:bookmarkStart w:id="67" w:name="_Toc405479915"/>
      <w:bookmarkStart w:id="68" w:name="_Toc55201348"/>
      <w:r>
        <w:rPr>
          <w:rFonts w:hint="eastAsia" w:ascii="宋体" w:hAnsi="宋体" w:eastAsia="宋体" w:cs="宋体"/>
          <w:b/>
          <w:sz w:val="24"/>
          <w:szCs w:val="24"/>
        </w:rPr>
        <w:t>5、站点交接</w:t>
      </w:r>
      <w:bookmarkEnd w:id="67"/>
      <w:r>
        <w:rPr>
          <w:rFonts w:hint="eastAsia" w:ascii="宋体" w:hAnsi="宋体" w:eastAsia="宋体" w:cs="宋体"/>
          <w:b/>
          <w:sz w:val="24"/>
          <w:szCs w:val="24"/>
        </w:rPr>
        <w:t>内容</w:t>
      </w:r>
      <w:bookmarkEnd w:id="68"/>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5.1勘查安装现场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所有设备安装现场进行勘察，了解各现场工作条件是否符合相关标准要求、自动监测设备是否正常运行、各项指标是否满足标准要求，总结各个监测设备安装现场情况、存在的问题，根据勘察结果提出整改的建议，并为各个监测设备建立档案。</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5.2完善设备资料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站点自动监测设备的现场资料，主要有：设备的中文说明书、维护手册、技术图纸、国家认证检测报告与合格证（复印件）、设备自带的软件备份、安装厂家的调试报告。</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5.3设备检修调试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根据国家相关标准，对已安装的自动监测设备进行调试，并对各个主要技术指标进行检测，检测结果必须符合国家相关标准要求。</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5.4调取运行数据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运维单位在设备安装现场将调取设备运行前一个月连续的历史数据，分析并判断数据能否正确反映当地实际监测状况，从而判断设备是否工作正常。</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5.5接收运行设备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运维单位在现场确认自动监测设备运行正常、测试结果符合要求，运维单位将正式接收自动监测设备。</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5.6建立设备档案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根据勘察情况、设备测试数据和测试结果，运维单位将对每套自动监测设备建立一个单独的档案，将每次维护的表格都存在这个档案中。在运维移交时，将这些设备档案交给后续的运维单位。</w:t>
      </w:r>
      <w:bookmarkStart w:id="69" w:name="_Toc27350"/>
    </w:p>
    <w:bookmarkEnd w:id="69"/>
    <w:p>
      <w:pPr>
        <w:spacing w:line="360" w:lineRule="auto"/>
        <w:ind w:firstLine="482" w:firstLineChars="200"/>
        <w:rPr>
          <w:rFonts w:ascii="宋体" w:hAnsi="宋体" w:eastAsia="宋体" w:cs="宋体"/>
          <w:b/>
          <w:sz w:val="24"/>
          <w:szCs w:val="24"/>
        </w:rPr>
      </w:pPr>
      <w:bookmarkStart w:id="70" w:name="_Toc405479916"/>
      <w:bookmarkStart w:id="71" w:name="_Toc55201349"/>
      <w:r>
        <w:rPr>
          <w:rFonts w:hint="eastAsia" w:ascii="宋体" w:hAnsi="宋体" w:eastAsia="宋体" w:cs="宋体"/>
          <w:b/>
          <w:sz w:val="24"/>
          <w:szCs w:val="24"/>
        </w:rPr>
        <w:t>6、监督考核要求</w:t>
      </w:r>
      <w:bookmarkEnd w:id="70"/>
      <w:bookmarkEnd w:id="7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每月对运维单位绩效考核一次，考核采取百分制、单站考核的方式，主要包括单个站点数据有效采集率、数据质控合格率（以下简称“两率”）以及运行维护的内容。</w:t>
      </w:r>
    </w:p>
    <w:p>
      <w:pPr>
        <w:spacing w:line="360" w:lineRule="auto"/>
        <w:ind w:firstLine="482" w:firstLineChars="200"/>
        <w:rPr>
          <w:rFonts w:ascii="宋体" w:hAnsi="宋体" w:eastAsia="宋体" w:cs="宋体"/>
          <w:b/>
          <w:sz w:val="24"/>
          <w:szCs w:val="24"/>
        </w:rPr>
      </w:pPr>
      <w:bookmarkStart w:id="72" w:name="_Toc20790"/>
      <w:bookmarkStart w:id="73" w:name="_Toc21388_WPSOffice_Level2"/>
      <w:bookmarkStart w:id="74" w:name="_Toc13054237"/>
      <w:r>
        <w:rPr>
          <w:rFonts w:hint="eastAsia" w:ascii="宋体" w:hAnsi="宋体" w:eastAsia="宋体" w:cs="宋体"/>
          <w:b/>
          <w:sz w:val="24"/>
          <w:szCs w:val="24"/>
        </w:rPr>
        <w:t>6.1 考核办法</w:t>
      </w:r>
      <w:bookmarkEnd w:id="72"/>
      <w:bookmarkEnd w:id="73"/>
      <w:bookmarkEnd w:id="74"/>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数据有效采集率指考核时段内各监测项目实际接收的小时值数量总和除以应</w:t>
      </w:r>
      <w:r>
        <w:rPr>
          <w:rFonts w:hint="eastAsia" w:ascii="宋体" w:hAnsi="宋体" w:eastAsia="宋体" w:cs="宋体"/>
          <w:color w:val="FF0000"/>
          <w:sz w:val="24"/>
          <w:szCs w:val="24"/>
        </w:rPr>
        <w:t>获得</w:t>
      </w:r>
      <w:r>
        <w:rPr>
          <w:rFonts w:hint="eastAsia" w:ascii="宋体" w:hAnsi="宋体" w:eastAsia="宋体" w:cs="宋体"/>
          <w:sz w:val="24"/>
          <w:szCs w:val="24"/>
        </w:rPr>
        <w:t>的小时值数量总和。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数据质控合格率指考核时段内各监测项目实际获取的质控合格的小时值数量总和除以应获得的小时值数量总和。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每日各项目应获得小时值数量均按24个计，考核时段天数按考核时段内日历天数计。</w:t>
      </w:r>
    </w:p>
    <w:p>
      <w:pPr>
        <w:spacing w:line="360" w:lineRule="auto"/>
        <w:rPr>
          <w:rFonts w:ascii="宋体" w:hAnsi="宋体" w:eastAsia="宋体" w:cs="宋体"/>
          <w:b/>
          <w:sz w:val="24"/>
          <w:szCs w:val="24"/>
        </w:rPr>
      </w:pPr>
      <w:r>
        <w:rPr>
          <w:rFonts w:hint="eastAsia" w:ascii="宋体" w:hAnsi="宋体" w:eastAsia="宋体" w:cs="宋体"/>
          <w:b/>
          <w:sz w:val="24"/>
          <w:szCs w:val="24"/>
        </w:rPr>
        <w:t>（1）数据有效性：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考核时段内单个站点任一监测项目有效数据量应满足《环境空气质量标准》（GB 3095-2012）中规定的污染物浓度数据有效性的最低要求，否则考核总分为0分；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单站设备</w:t>
      </w:r>
      <w:r>
        <w:rPr>
          <w:rFonts w:hint="eastAsia" w:ascii="宋体" w:hAnsi="宋体" w:eastAsia="宋体" w:cs="宋体"/>
          <w:color w:val="FF0000"/>
          <w:sz w:val="24"/>
          <w:szCs w:val="24"/>
        </w:rPr>
        <w:t>数据有效采集率</w:t>
      </w:r>
      <w:r>
        <w:rPr>
          <w:rFonts w:hint="eastAsia" w:ascii="宋体" w:hAnsi="宋体" w:eastAsia="宋体" w:cs="宋体"/>
          <w:sz w:val="24"/>
          <w:szCs w:val="24"/>
        </w:rPr>
        <w:t>必须高于95%（含），否则不予支付运维费用；单站设备</w:t>
      </w:r>
      <w:r>
        <w:rPr>
          <w:rFonts w:hint="eastAsia" w:ascii="宋体" w:hAnsi="宋体" w:eastAsia="宋体" w:cs="宋体"/>
          <w:color w:val="FF0000"/>
          <w:sz w:val="24"/>
          <w:szCs w:val="24"/>
        </w:rPr>
        <w:t>数据质控合格率</w:t>
      </w:r>
      <w:r>
        <w:rPr>
          <w:rFonts w:hint="eastAsia" w:ascii="宋体" w:hAnsi="宋体" w:eastAsia="宋体" w:cs="宋体"/>
          <w:sz w:val="24"/>
          <w:szCs w:val="24"/>
        </w:rPr>
        <w:t>必须高于90%（含），否则不予支付运维费用。</w:t>
      </w:r>
    </w:p>
    <w:p>
      <w:pPr>
        <w:spacing w:line="360" w:lineRule="auto"/>
        <w:rPr>
          <w:rFonts w:ascii="宋体" w:hAnsi="宋体" w:eastAsia="宋体" w:cs="宋体"/>
          <w:b/>
          <w:sz w:val="24"/>
          <w:szCs w:val="24"/>
        </w:rPr>
      </w:pPr>
      <w:r>
        <w:rPr>
          <w:rFonts w:hint="eastAsia" w:ascii="宋体" w:hAnsi="宋体" w:eastAsia="宋体" w:cs="宋体"/>
          <w:b/>
          <w:sz w:val="24"/>
          <w:szCs w:val="24"/>
        </w:rPr>
        <w:t>（2）两率及运行维护：</w:t>
      </w:r>
    </w:p>
    <w:p>
      <w:pPr>
        <w:spacing w:line="360" w:lineRule="auto"/>
        <w:ind w:firstLine="480" w:firstLineChars="200"/>
        <w:rPr>
          <w:rFonts w:ascii="宋体" w:hAnsi="宋体" w:eastAsia="宋体" w:cs="宋体"/>
          <w:sz w:val="24"/>
          <w:szCs w:val="24"/>
        </w:rPr>
      </w:pPr>
      <w:bookmarkStart w:id="75" w:name="_Toc29642_WPSOffice_Level3"/>
      <w:bookmarkStart w:id="76" w:name="_Toc24889_WPSOffice_Level3"/>
      <w:r>
        <w:rPr>
          <w:rFonts w:hint="eastAsia" w:ascii="宋体" w:hAnsi="宋体" w:eastAsia="宋体" w:cs="宋体"/>
          <w:sz w:val="24"/>
          <w:szCs w:val="24"/>
        </w:rPr>
        <w:t>1）两率部分（60分）</w:t>
      </w:r>
      <w:bookmarkEnd w:id="75"/>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单站设备数据质控合格率高于95%（含）的，得60分；90%（含）-95%的，得分为60×（数据有效率/95%）。</w:t>
      </w:r>
      <w:bookmarkStart w:id="77" w:name="_Toc3611_WPSOffice_Level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2）运行维护部分（30分）</w:t>
      </w:r>
      <w:bookmarkEnd w:id="77"/>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行维护部分由指挥中心组织检查考核，每月抽10%至20%站点进行运行维护部分现场检查，以现场检查得分平均分计为所有站点本月运行维护部分得分。检查内容包括日常站点环境保障效果、采样系统维护效果、仪器日常维护效果、质量控制效果、通讯系统维护效果（数据上传发布情况）、人员与档案记录管理情况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检查满分100分，运维得分=检查得分×0.3分。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3）运维任务完成及异常情况处理情况（10分）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单站运维任务完成率100%，并且站点异常情况处理率达100%的，得10分；两项未达100%的，得分为10×（任务完成及异常情况处理率/100%）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4）考核总分（100分）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考核总分=两率得分+运维得分+任务完成及异常情况处理得分。</w:t>
      </w:r>
    </w:p>
    <w:tbl>
      <w:tblPr>
        <w:tblStyle w:val="2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714"/>
        <w:gridCol w:w="892"/>
        <w:gridCol w:w="111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序号</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分项名称</w:t>
            </w:r>
          </w:p>
        </w:tc>
        <w:tc>
          <w:tcPr>
            <w:tcW w:w="89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数量</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单位</w:t>
            </w:r>
          </w:p>
        </w:tc>
        <w:tc>
          <w:tcPr>
            <w:tcW w:w="20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总价</w:t>
            </w:r>
            <w:r>
              <w:rPr>
                <w:rFonts w:hint="eastAsia" w:ascii="仿宋" w:hAnsi="仿宋" w:eastAsia="仿宋"/>
                <w:b/>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1</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颗粒物扬尘自动在线监测系统运维服务</w:t>
            </w:r>
          </w:p>
        </w:tc>
        <w:tc>
          <w:tcPr>
            <w:tcW w:w="89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68</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ascii="仿宋" w:hAnsi="仿宋" w:eastAsia="仿宋"/>
                <w:sz w:val="24"/>
                <w:szCs w:val="24"/>
              </w:rPr>
              <w:t>套</w:t>
            </w:r>
          </w:p>
        </w:tc>
        <w:tc>
          <w:tcPr>
            <w:tcW w:w="20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ascii="仿宋" w:hAnsi="仿宋" w:eastAsia="仿宋"/>
                <w:color w:val="000000"/>
                <w:kern w:val="0"/>
                <w:sz w:val="22"/>
                <w:lang w:bidi="ar"/>
              </w:rPr>
              <w:t>2,</w:t>
            </w:r>
            <w:r>
              <w:rPr>
                <w:rFonts w:hint="eastAsia" w:ascii="仿宋" w:hAnsi="仿宋" w:eastAsia="仿宋"/>
                <w:color w:val="000000"/>
                <w:kern w:val="0"/>
                <w:sz w:val="22"/>
                <w:lang w:bidi="ar"/>
              </w:rPr>
              <w:t>256</w:t>
            </w:r>
            <w:r>
              <w:rPr>
                <w:rFonts w:ascii="仿宋" w:hAnsi="仿宋" w:eastAsia="仿宋"/>
                <w:color w:val="000000"/>
                <w:kern w:val="0"/>
                <w:sz w:val="22"/>
                <w:lang w:bidi="ar"/>
              </w:rPr>
              <w:t>,</w:t>
            </w:r>
            <w:r>
              <w:rPr>
                <w:rFonts w:hint="eastAsia" w:ascii="仿宋" w:hAnsi="仿宋" w:eastAsia="仿宋"/>
                <w:color w:val="000000"/>
                <w:kern w:val="0"/>
                <w:sz w:val="22"/>
                <w:lang w:bidi="ar"/>
              </w:rPr>
              <w:t>152</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2</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数据质控服务（手工比对）</w:t>
            </w:r>
          </w:p>
        </w:tc>
        <w:tc>
          <w:tcPr>
            <w:tcW w:w="89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34</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站</w:t>
            </w:r>
          </w:p>
        </w:tc>
        <w:tc>
          <w:tcPr>
            <w:tcW w:w="20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hint="eastAsia" w:ascii="仿宋" w:hAnsi="仿宋" w:eastAsia="仿宋"/>
                <w:color w:val="000000"/>
                <w:kern w:val="0"/>
                <w:sz w:val="22"/>
                <w:lang w:bidi="ar"/>
              </w:rPr>
              <w:t>145</w:t>
            </w:r>
            <w:r>
              <w:rPr>
                <w:rFonts w:ascii="仿宋" w:hAnsi="仿宋" w:eastAsia="仿宋"/>
                <w:color w:val="000000"/>
                <w:kern w:val="0"/>
                <w:sz w:val="22"/>
                <w:lang w:bidi="ar"/>
              </w:rPr>
              <w:t>,</w:t>
            </w:r>
            <w:r>
              <w:rPr>
                <w:rFonts w:hint="eastAsia" w:ascii="仿宋" w:hAnsi="仿宋" w:eastAsia="仿宋"/>
                <w:color w:val="000000"/>
                <w:kern w:val="0"/>
                <w:sz w:val="22"/>
                <w:lang w:bidi="ar"/>
              </w:rPr>
              <w:t>190</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3</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挪点安装服务</w:t>
            </w:r>
          </w:p>
        </w:tc>
        <w:tc>
          <w:tcPr>
            <w:tcW w:w="89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34</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座(次)</w:t>
            </w:r>
          </w:p>
        </w:tc>
        <w:tc>
          <w:tcPr>
            <w:tcW w:w="20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hint="eastAsia" w:ascii="仿宋" w:hAnsi="仿宋" w:eastAsia="仿宋"/>
                <w:color w:val="000000"/>
                <w:kern w:val="0"/>
                <w:sz w:val="22"/>
                <w:lang w:bidi="ar"/>
              </w:rPr>
              <w:t>272</w:t>
            </w:r>
            <w:r>
              <w:rPr>
                <w:rFonts w:ascii="仿宋" w:hAnsi="仿宋" w:eastAsia="仿宋"/>
                <w:color w:val="000000"/>
                <w:kern w:val="0"/>
                <w:sz w:val="22"/>
                <w:lang w:bidi="ar"/>
              </w:rPr>
              <w:t>,</w:t>
            </w:r>
            <w:r>
              <w:rPr>
                <w:rFonts w:hint="eastAsia" w:ascii="仿宋" w:hAnsi="仿宋" w:eastAsia="仿宋"/>
                <w:color w:val="000000"/>
                <w:kern w:val="0"/>
                <w:sz w:val="22"/>
                <w:lang w:bidi="ar"/>
              </w:rPr>
              <w:t>033</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40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ascii="仿宋" w:hAnsi="仿宋" w:eastAsia="仿宋"/>
                <w:b/>
                <w:bCs/>
                <w:sz w:val="24"/>
                <w:szCs w:val="24"/>
              </w:rPr>
              <w:t>合     计</w:t>
            </w:r>
          </w:p>
        </w:tc>
        <w:tc>
          <w:tcPr>
            <w:tcW w:w="20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color w:val="000000"/>
                <w:kern w:val="0"/>
                <w:sz w:val="22"/>
                <w:lang w:bidi="ar"/>
              </w:rPr>
            </w:pPr>
            <w:r>
              <w:rPr>
                <w:rFonts w:hint="eastAsia" w:ascii="仿宋" w:hAnsi="仿宋" w:eastAsia="仿宋"/>
                <w:color w:val="000000"/>
                <w:kern w:val="0"/>
                <w:sz w:val="22"/>
                <w:lang w:bidi="ar"/>
              </w:rPr>
              <w:t>2</w:t>
            </w:r>
            <w:r>
              <w:rPr>
                <w:rFonts w:ascii="仿宋" w:hAnsi="仿宋" w:eastAsia="仿宋"/>
                <w:color w:val="000000"/>
                <w:kern w:val="0"/>
                <w:sz w:val="22"/>
                <w:lang w:bidi="ar"/>
              </w:rPr>
              <w:t>,</w:t>
            </w:r>
            <w:r>
              <w:rPr>
                <w:rFonts w:hint="eastAsia" w:ascii="仿宋" w:hAnsi="仿宋" w:eastAsia="仿宋"/>
                <w:color w:val="000000"/>
                <w:kern w:val="0"/>
                <w:sz w:val="22"/>
                <w:lang w:bidi="ar"/>
              </w:rPr>
              <w:t>673</w:t>
            </w:r>
            <w:r>
              <w:rPr>
                <w:rFonts w:ascii="仿宋" w:hAnsi="仿宋" w:eastAsia="仿宋"/>
                <w:color w:val="000000"/>
                <w:kern w:val="0"/>
                <w:sz w:val="22"/>
                <w:lang w:bidi="ar"/>
              </w:rPr>
              <w:t>,</w:t>
            </w:r>
            <w:r>
              <w:rPr>
                <w:rFonts w:hint="eastAsia" w:ascii="仿宋" w:hAnsi="仿宋" w:eastAsia="仿宋"/>
                <w:color w:val="000000"/>
                <w:kern w:val="0"/>
                <w:sz w:val="22"/>
                <w:lang w:bidi="ar"/>
              </w:rPr>
              <w:t>375</w:t>
            </w:r>
            <w:r>
              <w:rPr>
                <w:rFonts w:ascii="仿宋" w:hAnsi="仿宋" w:eastAsia="仿宋"/>
                <w:color w:val="000000"/>
                <w:kern w:val="0"/>
                <w:sz w:val="22"/>
                <w:lang w:bidi="ar"/>
              </w:rPr>
              <w:t>.00</w:t>
            </w:r>
          </w:p>
        </w:tc>
      </w:tr>
    </w:tbl>
    <w:p>
      <w:pPr>
        <w:spacing w:line="360" w:lineRule="auto"/>
        <w:ind w:firstLine="480" w:firstLineChars="200"/>
        <w:rPr>
          <w:rFonts w:ascii="宋体" w:hAnsi="宋体" w:eastAsia="宋体" w:cs="宋体"/>
          <w:sz w:val="24"/>
          <w:szCs w:val="2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eastAsia="宋体" w:cs="宋体"/>
          <w:b/>
          <w:sz w:val="24"/>
          <w:szCs w:val="24"/>
        </w:rPr>
      </w:pPr>
      <w:r>
        <w:rPr>
          <w:rFonts w:hint="eastAsia" w:ascii="宋体" w:hAnsi="宋体" w:eastAsia="宋体" w:cs="宋体"/>
          <w:b/>
          <w:sz w:val="24"/>
          <w:szCs w:val="24"/>
        </w:rPr>
        <w:t>重点区域道路扬尘自动监测站点运维现场检查评分表</w:t>
      </w:r>
    </w:p>
    <w:p>
      <w:pPr>
        <w:spacing w:line="360" w:lineRule="auto"/>
        <w:jc w:val="center"/>
        <w:rPr>
          <w:rFonts w:ascii="宋体" w:hAnsi="宋体" w:eastAsia="宋体" w:cs="宋体"/>
          <w:b/>
          <w:sz w:val="24"/>
          <w:szCs w:val="24"/>
        </w:rPr>
      </w:pPr>
    </w:p>
    <w:p>
      <w:pPr>
        <w:spacing w:line="360" w:lineRule="auto"/>
        <w:rPr>
          <w:rFonts w:ascii="宋体" w:hAnsi="宋体" w:eastAsia="宋体" w:cs="宋体"/>
          <w:sz w:val="24"/>
          <w:szCs w:val="24"/>
          <w:u w:val="single"/>
        </w:rPr>
      </w:pPr>
      <w:r>
        <w:rPr>
          <w:rFonts w:hint="eastAsia" w:ascii="宋体" w:hAnsi="宋体" w:eastAsia="宋体" w:cs="宋体"/>
          <w:b/>
          <w:sz w:val="24"/>
          <w:szCs w:val="24"/>
        </w:rPr>
        <w:t>站点位置</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区（县/管委会）</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街（路）                                       </w:t>
      </w:r>
      <w:r>
        <w:rPr>
          <w:rFonts w:hint="eastAsia" w:ascii="宋体" w:hAnsi="宋体" w:eastAsia="宋体" w:cs="宋体"/>
          <w:b/>
          <w:sz w:val="24"/>
          <w:szCs w:val="24"/>
        </w:rPr>
        <w:t>监测站点名称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u w:val="single"/>
        </w:rPr>
      </w:pPr>
    </w:p>
    <w:p>
      <w:pPr>
        <w:spacing w:line="360" w:lineRule="auto"/>
        <w:rPr>
          <w:rFonts w:ascii="宋体" w:hAnsi="宋体" w:eastAsia="宋体" w:cs="宋体"/>
          <w:b/>
          <w:sz w:val="24"/>
          <w:szCs w:val="24"/>
        </w:rPr>
      </w:pPr>
      <w:r>
        <w:rPr>
          <w:rFonts w:hint="eastAsia" w:ascii="宋体" w:hAnsi="宋体" w:eastAsia="宋体" w:cs="宋体"/>
          <w:b/>
          <w:sz w:val="24"/>
          <w:szCs w:val="24"/>
        </w:rPr>
        <w:t>检查日期</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p>
    <w:tbl>
      <w:tblPr>
        <w:tblStyle w:val="25"/>
        <w:tblpPr w:leftFromText="180" w:rightFromText="180" w:vertAnchor="text" w:horzAnchor="page" w:tblpXSpec="center" w:tblpY="198"/>
        <w:tblOverlap w:val="never"/>
        <w:tblW w:w="15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474"/>
        <w:gridCol w:w="4255"/>
        <w:gridCol w:w="851"/>
        <w:gridCol w:w="5824"/>
        <w:gridCol w:w="2058"/>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检查内容</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检查要点</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单项</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分值</w:t>
            </w:r>
          </w:p>
        </w:tc>
        <w:tc>
          <w:tcPr>
            <w:tcW w:w="58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评分标准</w:t>
            </w:r>
          </w:p>
        </w:tc>
        <w:tc>
          <w:tcPr>
            <w:tcW w:w="20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检查情况</w:t>
            </w:r>
          </w:p>
        </w:tc>
        <w:tc>
          <w:tcPr>
            <w:tcW w:w="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1.站点运行环境保障效果</w:t>
            </w:r>
          </w:p>
          <w:p>
            <w:pPr>
              <w:rPr>
                <w:rFonts w:ascii="宋体" w:hAnsi="宋体" w:eastAsia="宋体" w:cs="宋体"/>
                <w:b/>
                <w:sz w:val="24"/>
                <w:szCs w:val="24"/>
              </w:rPr>
            </w:pPr>
            <w:r>
              <w:rPr>
                <w:rFonts w:hint="eastAsia" w:ascii="宋体" w:hAnsi="宋体" w:eastAsia="宋体" w:cs="宋体"/>
                <w:b/>
                <w:sz w:val="24"/>
                <w:szCs w:val="24"/>
              </w:rPr>
              <w:t>（10分）</w:t>
            </w:r>
          </w:p>
          <w:p>
            <w:pPr>
              <w:spacing w:line="360" w:lineRule="auto"/>
              <w:rPr>
                <w:rFonts w:ascii="宋体" w:hAnsi="宋体" w:eastAsia="宋体" w:cs="宋体"/>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站点内部是否清洁，是否符合要求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5"/>
              </w:numPr>
              <w:jc w:val="left"/>
              <w:rPr>
                <w:rFonts w:ascii="宋体" w:hAnsi="宋体" w:eastAsia="宋体" w:cs="宋体"/>
                <w:sz w:val="24"/>
                <w:szCs w:val="24"/>
              </w:rPr>
            </w:pPr>
            <w:r>
              <w:rPr>
                <w:rFonts w:hint="eastAsia" w:ascii="宋体" w:hAnsi="宋体" w:eastAsia="宋体" w:cs="宋体"/>
                <w:sz w:val="24"/>
                <w:szCs w:val="24"/>
              </w:rPr>
              <w:t>站点内部干净，无灰尘；</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站点物品摆放整齐；无明显异味；</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仪器电源线路、气体线路规整；</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站点内部没有无关的设备及杂物。</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防护栏满足安全需求，无破损；</w:t>
            </w:r>
          </w:p>
          <w:p>
            <w:pPr>
              <w:jc w:val="left"/>
              <w:rPr>
                <w:rFonts w:ascii="宋体" w:hAnsi="宋体" w:eastAsia="宋体" w:cs="宋体"/>
                <w:sz w:val="24"/>
                <w:szCs w:val="24"/>
              </w:rPr>
            </w:pPr>
            <w:r>
              <w:rPr>
                <w:rFonts w:hint="eastAsia" w:ascii="宋体" w:hAnsi="宋体" w:eastAsia="宋体" w:cs="宋体"/>
                <w:sz w:val="24"/>
                <w:szCs w:val="24"/>
              </w:rPr>
              <w:t>备注：若①③⑤任一项不满足扣5分；其他项不满足扣除2分，扣分上限为单项分值。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360" w:lineRule="auto"/>
              <w:ind w:left="33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宋体"/>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站点箱内温度是否控制在25±5℃，相对湿度控制在80%RH以下</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站点配有温湿度计；</w:t>
            </w:r>
          </w:p>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箱内温满足25±5℃；</w:t>
            </w:r>
          </w:p>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箱内湿度满足≤80%。</w:t>
            </w:r>
          </w:p>
          <w:p>
            <w:pPr>
              <w:jc w:val="left"/>
              <w:rPr>
                <w:rFonts w:ascii="宋体" w:hAnsi="宋体" w:eastAsia="宋体" w:cs="宋体"/>
                <w:spacing w:val="-2"/>
                <w:sz w:val="24"/>
                <w:szCs w:val="24"/>
              </w:rPr>
            </w:pPr>
            <w:r>
              <w:rPr>
                <w:rFonts w:hint="eastAsia" w:ascii="宋体" w:hAnsi="宋体" w:eastAsia="宋体" w:cs="宋体"/>
                <w:sz w:val="24"/>
                <w:szCs w:val="24"/>
              </w:rPr>
              <w:t>备注：任一项不满足扣除2分，扣分上限为单项分值。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u w:val="single"/>
              </w:rPr>
            </w:pPr>
            <w:r>
              <w:rPr>
                <w:rFonts w:hint="eastAsia" w:ascii="宋体" w:hAnsi="宋体" w:eastAsia="宋体" w:cs="宋体"/>
                <w:sz w:val="24"/>
                <w:szCs w:val="24"/>
              </w:rPr>
              <w:t>温度计：</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RH</w:t>
            </w:r>
          </w:p>
          <w:p>
            <w:pPr>
              <w:rPr>
                <w:rFonts w:ascii="宋体" w:hAnsi="宋体" w:eastAsia="宋体" w:cs="宋体"/>
                <w:sz w:val="24"/>
                <w:szCs w:val="24"/>
              </w:rPr>
            </w:pPr>
            <w:r>
              <w:rPr>
                <w:rFonts w:hint="eastAsia" w:ascii="宋体" w:hAnsi="宋体" w:eastAsia="宋体" w:cs="宋体"/>
                <w:sz w:val="24"/>
                <w:szCs w:val="24"/>
              </w:rPr>
              <w:t>空调：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c>
          <w:tcPr>
            <w:tcW w:w="623" w:type="dxa"/>
            <w:tcBorders>
              <w:top w:val="single" w:color="auto" w:sz="4" w:space="0"/>
              <w:left w:val="single" w:color="auto" w:sz="4" w:space="0"/>
              <w:bottom w:val="single" w:color="auto" w:sz="4" w:space="0"/>
              <w:right w:val="single" w:color="auto" w:sz="4" w:space="0"/>
            </w:tcBorders>
            <w:vAlign w:val="center"/>
          </w:tcPr>
          <w:p>
            <w:pPr>
              <w:spacing w:line="360" w:lineRule="auto"/>
              <w:ind w:left="-315" w:leftChars="-150"/>
              <w:jc w:val="left"/>
              <w:rPr>
                <w:rFonts w:ascii="宋体" w:hAnsi="宋体" w:eastAsia="宋体" w:cs="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宋体"/>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防水、供电、监控是否满足运行要求，其他基础设施是否满足监测要求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7"/>
              </w:numPr>
              <w:jc w:val="left"/>
              <w:rPr>
                <w:rFonts w:ascii="宋体" w:hAnsi="宋体" w:eastAsia="宋体" w:cs="宋体"/>
                <w:sz w:val="24"/>
                <w:szCs w:val="24"/>
              </w:rPr>
            </w:pPr>
            <w:r>
              <w:rPr>
                <w:rFonts w:hint="eastAsia" w:ascii="宋体" w:hAnsi="宋体" w:eastAsia="宋体" w:cs="宋体"/>
                <w:sz w:val="24"/>
                <w:szCs w:val="24"/>
              </w:rPr>
              <w:t>防水满足要求，站点无漏水；</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仪器用电满足要求；</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空调运行正常，滤芯及时清理（每季度）；</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视频监控系统正常运行，平台能查看现场监控。</w:t>
            </w:r>
          </w:p>
          <w:p>
            <w:pPr>
              <w:jc w:val="left"/>
              <w:rPr>
                <w:rFonts w:ascii="宋体" w:hAnsi="宋体" w:eastAsia="宋体" w:cs="宋体"/>
                <w:sz w:val="24"/>
                <w:szCs w:val="24"/>
              </w:rPr>
            </w:pPr>
            <w:r>
              <w:rPr>
                <w:rFonts w:hint="eastAsia" w:ascii="宋体" w:hAnsi="宋体" w:eastAsia="宋体" w:cs="宋体"/>
                <w:sz w:val="24"/>
                <w:szCs w:val="24"/>
              </w:rPr>
              <w:t>备注：一项不满足扣除2分，扣分上限为单项分值。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sz w:val="24"/>
                <w:szCs w:val="24"/>
              </w:rPr>
            </w:pPr>
            <w:r>
              <w:rPr>
                <w:rFonts w:hint="eastAsia" w:ascii="宋体" w:hAnsi="宋体" w:eastAsia="宋体" w:cs="宋体"/>
                <w:b/>
                <w:sz w:val="24"/>
                <w:szCs w:val="24"/>
              </w:rPr>
              <w:t>2.采样系统维护效果（10分）</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8"/>
              </w:numPr>
              <w:jc w:val="left"/>
              <w:rPr>
                <w:rFonts w:ascii="宋体" w:hAnsi="宋体" w:eastAsia="宋体" w:cs="宋体"/>
                <w:sz w:val="24"/>
                <w:szCs w:val="24"/>
              </w:rPr>
            </w:pPr>
            <w:r>
              <w:rPr>
                <w:rFonts w:hint="eastAsia" w:ascii="宋体" w:hAnsi="宋体" w:eastAsia="宋体" w:cs="宋体"/>
                <w:spacing w:val="-10"/>
                <w:sz w:val="24"/>
                <w:szCs w:val="24"/>
              </w:rPr>
              <w:t>采样系统清洁程度：采样头、采样管道是否清洁，有无积灰、积水或障碍物，采样风机是否正常工作</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宋体" w:hAnsi="宋体" w:eastAsia="宋体" w:cs="宋体"/>
                <w:sz w:val="24"/>
                <w:szCs w:val="24"/>
              </w:rPr>
            </w:pPr>
            <w:r>
              <w:rPr>
                <w:rFonts w:hint="eastAsia" w:ascii="宋体" w:hAnsi="宋体" w:eastAsia="宋体" w:cs="宋体"/>
                <w:sz w:val="24"/>
                <w:szCs w:val="24"/>
              </w:rPr>
              <w:t>颗粒物切割头无明显积灰/积水/障碍物，颗粒物采样管定期维护；</w:t>
            </w:r>
          </w:p>
          <w:p>
            <w:pPr>
              <w:numPr>
                <w:ilvl w:val="0"/>
                <w:numId w:val="9"/>
              </w:numPr>
              <w:jc w:val="left"/>
              <w:rPr>
                <w:rFonts w:ascii="宋体" w:hAnsi="宋体" w:eastAsia="宋体" w:cs="宋体"/>
                <w:sz w:val="24"/>
                <w:szCs w:val="24"/>
              </w:rPr>
            </w:pPr>
            <w:r>
              <w:rPr>
                <w:rFonts w:hint="eastAsia" w:ascii="宋体" w:hAnsi="宋体" w:eastAsia="宋体" w:cs="宋体"/>
                <w:sz w:val="24"/>
                <w:szCs w:val="24"/>
              </w:rPr>
              <w:t>采样风机正常工作；采样管路连接规范；</w:t>
            </w:r>
          </w:p>
          <w:p>
            <w:pPr>
              <w:numPr>
                <w:ilvl w:val="0"/>
                <w:numId w:val="9"/>
              </w:numPr>
              <w:jc w:val="left"/>
              <w:rPr>
                <w:rFonts w:ascii="宋体" w:hAnsi="宋体" w:eastAsia="宋体" w:cs="宋体"/>
                <w:sz w:val="24"/>
                <w:szCs w:val="24"/>
              </w:rPr>
            </w:pPr>
            <w:r>
              <w:rPr>
                <w:rFonts w:hint="eastAsia" w:ascii="宋体" w:hAnsi="宋体" w:eastAsia="宋体" w:cs="宋体"/>
                <w:sz w:val="24"/>
                <w:szCs w:val="24"/>
              </w:rPr>
              <w:t>避免被空调直吹，是否采取措施避免影响；</w:t>
            </w:r>
          </w:p>
          <w:p>
            <w:pPr>
              <w:jc w:val="left"/>
              <w:rPr>
                <w:rFonts w:ascii="宋体" w:hAnsi="宋体" w:eastAsia="宋体" w:cs="宋体"/>
                <w:sz w:val="24"/>
                <w:szCs w:val="24"/>
              </w:rPr>
            </w:pPr>
            <w:r>
              <w:rPr>
                <w:rFonts w:hint="eastAsia" w:ascii="宋体" w:hAnsi="宋体" w:eastAsia="宋体" w:cs="宋体"/>
                <w:sz w:val="24"/>
                <w:szCs w:val="24"/>
              </w:rPr>
              <w:t>备注：任一项不满足扣除2分，扣分上限为单项分值。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Merge w:val="restart"/>
            <w:tcBorders>
              <w:top w:val="single" w:color="auto" w:sz="4" w:space="0"/>
              <w:left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3.仪器日常维护效果（15分）</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A) 仪器工作状态是否正常，是否存在报警信息</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10"/>
              </w:numPr>
              <w:jc w:val="left"/>
              <w:rPr>
                <w:rFonts w:ascii="宋体" w:hAnsi="宋体" w:eastAsia="宋体" w:cs="宋体"/>
                <w:sz w:val="24"/>
                <w:szCs w:val="24"/>
              </w:rPr>
            </w:pPr>
            <w:r>
              <w:rPr>
                <w:rFonts w:hint="eastAsia" w:ascii="宋体" w:hAnsi="宋体" w:eastAsia="宋体" w:cs="宋体"/>
                <w:sz w:val="24"/>
                <w:szCs w:val="24"/>
              </w:rPr>
              <w:t>PM10、气象、噪声等设备任一项不正常，扣3分；</w:t>
            </w:r>
          </w:p>
          <w:p>
            <w:pPr>
              <w:numPr>
                <w:ilvl w:val="0"/>
                <w:numId w:val="10"/>
              </w:numPr>
              <w:jc w:val="left"/>
              <w:rPr>
                <w:rFonts w:ascii="宋体" w:hAnsi="宋体" w:eastAsia="宋体" w:cs="宋体"/>
                <w:sz w:val="24"/>
                <w:szCs w:val="24"/>
              </w:rPr>
            </w:pPr>
            <w:r>
              <w:rPr>
                <w:rFonts w:hint="eastAsia" w:ascii="宋体" w:hAnsi="宋体" w:eastAsia="宋体" w:cs="宋体"/>
                <w:sz w:val="24"/>
                <w:szCs w:val="24"/>
              </w:rPr>
              <w:t>每存在一条报警信息扣1分。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Merge w:val="continue"/>
            <w:tcBorders>
              <w:left w:val="single" w:color="auto" w:sz="4" w:space="0"/>
              <w:right w:val="single" w:color="auto" w:sz="4" w:space="0"/>
            </w:tcBorders>
            <w:vAlign w:val="center"/>
          </w:tcPr>
          <w:p>
            <w:pPr>
              <w:widowControl/>
              <w:rPr>
                <w:rFonts w:ascii="宋体" w:hAnsi="宋体" w:eastAsia="宋体" w:cs="宋体"/>
                <w:b/>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1"/>
              </w:numPr>
              <w:jc w:val="left"/>
              <w:rPr>
                <w:rFonts w:ascii="宋体" w:hAnsi="宋体" w:eastAsia="宋体" w:cs="宋体"/>
                <w:sz w:val="24"/>
                <w:szCs w:val="24"/>
              </w:rPr>
            </w:pPr>
            <w:r>
              <w:rPr>
                <w:rFonts w:hint="eastAsia" w:ascii="宋体" w:hAnsi="宋体" w:eastAsia="宋体" w:cs="宋体"/>
                <w:sz w:val="24"/>
                <w:szCs w:val="24"/>
              </w:rPr>
              <w:t>采样管加热装置是否工作正常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12"/>
              </w:numPr>
              <w:jc w:val="left"/>
              <w:rPr>
                <w:rFonts w:ascii="宋体" w:hAnsi="宋体" w:eastAsia="宋体" w:cs="宋体"/>
                <w:sz w:val="24"/>
                <w:szCs w:val="24"/>
              </w:rPr>
            </w:pPr>
            <w:r>
              <w:rPr>
                <w:rFonts w:hint="eastAsia" w:ascii="宋体" w:hAnsi="宋体" w:eastAsia="宋体" w:cs="宋体"/>
                <w:sz w:val="24"/>
                <w:szCs w:val="24"/>
              </w:rPr>
              <w:t>颗粒物采样管加热装置、参数设置是否正常工作；</w:t>
            </w:r>
          </w:p>
          <w:p>
            <w:pPr>
              <w:numPr>
                <w:ilvl w:val="0"/>
                <w:numId w:val="12"/>
              </w:numPr>
              <w:jc w:val="left"/>
              <w:rPr>
                <w:rFonts w:ascii="宋体" w:hAnsi="宋体" w:eastAsia="宋体" w:cs="宋体"/>
                <w:sz w:val="24"/>
                <w:szCs w:val="24"/>
              </w:rPr>
            </w:pPr>
            <w:r>
              <w:rPr>
                <w:rFonts w:hint="eastAsia" w:ascii="宋体" w:hAnsi="宋体" w:eastAsia="宋体" w:cs="宋体"/>
                <w:sz w:val="24"/>
                <w:szCs w:val="24"/>
              </w:rPr>
              <w:t>加热温度小于30℃、大于50℃，扣2分；</w:t>
            </w:r>
          </w:p>
          <w:p>
            <w:pPr>
              <w:numPr>
                <w:ilvl w:val="0"/>
                <w:numId w:val="12"/>
              </w:numPr>
              <w:jc w:val="left"/>
              <w:rPr>
                <w:rFonts w:ascii="宋体" w:hAnsi="宋体" w:eastAsia="宋体" w:cs="宋体"/>
                <w:sz w:val="24"/>
                <w:szCs w:val="24"/>
              </w:rPr>
            </w:pPr>
            <w:r>
              <w:rPr>
                <w:rFonts w:hint="eastAsia" w:ascii="宋体" w:hAnsi="宋体" w:eastAsia="宋体" w:cs="宋体"/>
                <w:sz w:val="24"/>
                <w:szCs w:val="24"/>
              </w:rPr>
              <w:t>仪器散热风扇工作正常；</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jc w:val="center"/>
        </w:trPr>
        <w:tc>
          <w:tcPr>
            <w:tcW w:w="1320" w:type="dxa"/>
            <w:vMerge w:val="continue"/>
            <w:tcBorders>
              <w:left w:val="single" w:color="auto" w:sz="4" w:space="0"/>
              <w:bottom w:val="single" w:color="auto" w:sz="4" w:space="0"/>
              <w:right w:val="single" w:color="auto" w:sz="4" w:space="0"/>
            </w:tcBorders>
            <w:vAlign w:val="center"/>
          </w:tcPr>
          <w:p>
            <w:pPr>
              <w:widowControl/>
              <w:rPr>
                <w:rFonts w:ascii="宋体" w:hAnsi="宋体" w:eastAsia="宋体" w:cs="宋体"/>
                <w:b/>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1"/>
              </w:numPr>
              <w:jc w:val="left"/>
              <w:rPr>
                <w:rFonts w:ascii="宋体" w:hAnsi="宋体" w:eastAsia="宋体" w:cs="宋体"/>
                <w:sz w:val="24"/>
                <w:szCs w:val="24"/>
              </w:rPr>
            </w:pPr>
            <w:r>
              <w:rPr>
                <w:rFonts w:hint="eastAsia" w:ascii="宋体" w:hAnsi="宋体" w:eastAsia="宋体" w:cs="宋体"/>
                <w:sz w:val="24"/>
                <w:szCs w:val="24"/>
              </w:rPr>
              <w:t>采样纸带、O型圈、采样泵等相关耗材及时更换</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及时更换纸带；</w:t>
            </w:r>
          </w:p>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及时更换O型圈；</w:t>
            </w:r>
          </w:p>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及时更换采样泵相关耗材；</w:t>
            </w:r>
          </w:p>
          <w:p>
            <w:pPr>
              <w:jc w:val="left"/>
              <w:rPr>
                <w:rFonts w:ascii="宋体" w:hAnsi="宋体" w:eastAsia="宋体" w:cs="宋体"/>
                <w:sz w:val="24"/>
                <w:szCs w:val="24"/>
              </w:rPr>
            </w:pPr>
            <w:r>
              <w:rPr>
                <w:rFonts w:hint="eastAsia" w:ascii="宋体" w:hAnsi="宋体" w:eastAsia="宋体" w:cs="宋体"/>
                <w:sz w:val="24"/>
                <w:szCs w:val="24"/>
              </w:rPr>
              <w:t>备注：任一项不满足要求的扣4分，扣分上限为单项分值。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320" w:type="dxa"/>
            <w:vMerge w:val="restart"/>
            <w:tcBorders>
              <w:left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4.质控控制效果</w:t>
            </w:r>
          </w:p>
          <w:p>
            <w:pPr>
              <w:rPr>
                <w:rFonts w:ascii="宋体" w:hAnsi="宋体" w:eastAsia="宋体" w:cs="宋体"/>
                <w:b/>
                <w:sz w:val="24"/>
                <w:szCs w:val="24"/>
              </w:rPr>
            </w:pPr>
            <w:r>
              <w:rPr>
                <w:rFonts w:hint="eastAsia" w:ascii="宋体" w:hAnsi="宋体" w:eastAsia="宋体" w:cs="宋体"/>
                <w:b/>
                <w:sz w:val="24"/>
                <w:szCs w:val="24"/>
              </w:rPr>
              <w:t>（50分）</w:t>
            </w:r>
          </w:p>
        </w:tc>
        <w:tc>
          <w:tcPr>
            <w:tcW w:w="474" w:type="dxa"/>
            <w:tcBorders>
              <w:top w:val="single" w:color="auto" w:sz="4" w:space="0"/>
              <w:left w:val="single" w:color="auto" w:sz="4" w:space="0"/>
              <w:right w:val="single" w:color="auto" w:sz="4" w:space="0"/>
            </w:tcBorders>
            <w:vAlign w:val="center"/>
          </w:tcPr>
          <w:p>
            <w:pPr>
              <w:jc w:val="left"/>
              <w:rPr>
                <w:rFonts w:ascii="宋体" w:hAnsi="宋体" w:eastAsia="宋体" w:cs="宋体"/>
                <w:spacing w:val="-4"/>
                <w:sz w:val="24"/>
                <w:szCs w:val="24"/>
              </w:rPr>
            </w:pPr>
            <w:r>
              <w:rPr>
                <w:rFonts w:hint="eastAsia" w:ascii="宋体" w:hAnsi="宋体" w:eastAsia="宋体" w:cs="宋体"/>
                <w:spacing w:val="-4"/>
                <w:sz w:val="24"/>
                <w:szCs w:val="24"/>
              </w:rPr>
              <w:t>颗粒污染物</w:t>
            </w:r>
          </w:p>
        </w:tc>
        <w:tc>
          <w:tcPr>
            <w:tcW w:w="425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pacing w:val="-4"/>
                <w:sz w:val="24"/>
                <w:szCs w:val="24"/>
              </w:rPr>
            </w:pPr>
            <w:r>
              <w:rPr>
                <w:rFonts w:hint="eastAsia" w:ascii="宋体" w:hAnsi="宋体" w:eastAsia="宋体" w:cs="宋体"/>
                <w:spacing w:val="-4"/>
                <w:sz w:val="24"/>
                <w:szCs w:val="24"/>
              </w:rPr>
              <w:t>PM10</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设定流量：</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L/min，仪器示值流量：</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L/min，标准流量计测值：</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w:t>
            </w:r>
          </w:p>
          <w:p>
            <w:pPr>
              <w:jc w:val="left"/>
              <w:rPr>
                <w:rFonts w:ascii="宋体" w:hAnsi="宋体" w:eastAsia="宋体" w:cs="宋体"/>
                <w:spacing w:val="-4"/>
                <w:sz w:val="24"/>
                <w:szCs w:val="24"/>
              </w:rPr>
            </w:pPr>
            <w:r>
              <w:rPr>
                <w:rFonts w:hint="eastAsia" w:ascii="宋体" w:hAnsi="宋体" w:eastAsia="宋体" w:cs="宋体"/>
                <w:spacing w:val="-4"/>
                <w:sz w:val="24"/>
                <w:szCs w:val="24"/>
              </w:rPr>
              <w:t xml:space="preserve">  设定流量与实测流量相对误差：</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jc w:val="left"/>
              <w:rPr>
                <w:rFonts w:ascii="宋体" w:hAnsi="宋体" w:eastAsia="宋体" w:cs="宋体"/>
                <w:spacing w:val="-4"/>
                <w:sz w:val="24"/>
                <w:szCs w:val="24"/>
              </w:rPr>
            </w:pPr>
            <w:r>
              <w:rPr>
                <w:rFonts w:hint="eastAsia" w:ascii="宋体" w:hAnsi="宋体" w:eastAsia="宋体" w:cs="宋体"/>
                <w:spacing w:val="-4"/>
                <w:sz w:val="24"/>
                <w:szCs w:val="24"/>
              </w:rPr>
              <w:t xml:space="preserve">  示值流量与实测流量相对误差：</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PM10校准膜检查</w:t>
            </w:r>
            <w:r>
              <w:rPr>
                <w:rFonts w:hint="eastAsia" w:ascii="宋体" w:hAnsi="宋体" w:eastAsia="宋体" w:cs="宋体"/>
                <w:bCs/>
                <w:sz w:val="24"/>
                <w:szCs w:val="24"/>
              </w:rPr>
              <w:t xml:space="preserve"> （每季度）</w:t>
            </w:r>
            <w:r>
              <w:rPr>
                <w:rFonts w:hint="eastAsia" w:ascii="宋体" w:hAnsi="宋体" w:eastAsia="宋体" w:cs="宋体"/>
                <w:spacing w:val="-4"/>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仪器参数与说明书一致；</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气温：显示值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℃，测量值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气压：显示值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，测量值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bCs/>
                <w:sz w:val="24"/>
                <w:szCs w:val="24"/>
              </w:rPr>
              <w:t>气路检漏；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15"/>
              </w:numPr>
              <w:jc w:val="left"/>
              <w:rPr>
                <w:rFonts w:ascii="宋体" w:hAnsi="宋体" w:eastAsia="宋体" w:cs="宋体"/>
                <w:sz w:val="24"/>
                <w:szCs w:val="24"/>
              </w:rPr>
            </w:pPr>
            <w:r>
              <w:rPr>
                <w:rFonts w:hint="eastAsia" w:ascii="宋体" w:hAnsi="宋体" w:eastAsia="宋体" w:cs="宋体"/>
                <w:sz w:val="24"/>
                <w:szCs w:val="24"/>
              </w:rPr>
              <w:t>PM 10</w:t>
            </w:r>
            <w:r>
              <w:rPr>
                <w:rFonts w:hint="eastAsia" w:ascii="宋体" w:hAnsi="宋体" w:eastAsia="宋体" w:cs="宋体"/>
                <w:spacing w:val="-4"/>
                <w:sz w:val="24"/>
                <w:szCs w:val="24"/>
              </w:rPr>
              <w:t>设定流量与实测流量相对误差</w:t>
            </w:r>
            <w:r>
              <w:rPr>
                <w:rFonts w:hint="eastAsia" w:ascii="宋体" w:hAnsi="宋体" w:eastAsia="宋体" w:cs="宋体"/>
                <w:sz w:val="24"/>
                <w:szCs w:val="24"/>
              </w:rPr>
              <w:t>超出 ±5% 或</w:t>
            </w:r>
            <w:r>
              <w:rPr>
                <w:rFonts w:hint="eastAsia" w:ascii="宋体" w:hAnsi="宋体" w:eastAsia="宋体" w:cs="宋体"/>
                <w:spacing w:val="-4"/>
                <w:sz w:val="24"/>
                <w:szCs w:val="24"/>
              </w:rPr>
              <w:t>示值流量与实测流量相对误差</w:t>
            </w:r>
            <w:r>
              <w:rPr>
                <w:rFonts w:hint="eastAsia" w:ascii="宋体" w:hAnsi="宋体" w:eastAsia="宋体" w:cs="宋体"/>
                <w:sz w:val="24"/>
                <w:szCs w:val="24"/>
              </w:rPr>
              <w:t>超出 ±5% 的，扣5分；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标准膜检查结果超出 ±2% ，扣5分；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参数不符合要求，扣2分；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仪器显示温度与实测温度误差超过 ±2℃ 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仪器显示气压与实测气压误差超过 ±1千帕的扣2分；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检漏仪器示值大于1.0L/min，扣5分；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2058" w:type="dxa"/>
            <w:tcBorders>
              <w:top w:val="single" w:color="auto" w:sz="4" w:space="0"/>
              <w:left w:val="single" w:color="auto" w:sz="4" w:space="0"/>
              <w:bottom w:val="single" w:color="auto" w:sz="4" w:space="0"/>
              <w:right w:val="single" w:color="auto" w:sz="4" w:space="0"/>
            </w:tcBorders>
          </w:tcPr>
          <w:tbl>
            <w:tblPr>
              <w:tblStyle w:val="25"/>
              <w:tblW w:w="1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581"/>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p>
              </w:tc>
              <w:tc>
                <w:tcPr>
                  <w:tcW w:w="581"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测量值</w:t>
                  </w:r>
                </w:p>
              </w:tc>
              <w:tc>
                <w:tcPr>
                  <w:tcW w:w="50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显示值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581" w:type="dxa"/>
                  <w:shd w:val="clear" w:color="auto" w:fill="auto"/>
                  <w:vAlign w:val="center"/>
                </w:tcPr>
                <w:p>
                  <w:pPr>
                    <w:jc w:val="center"/>
                    <w:rPr>
                      <w:rFonts w:ascii="宋体" w:hAnsi="宋体" w:eastAsia="宋体" w:cs="宋体"/>
                      <w:sz w:val="24"/>
                      <w:szCs w:val="24"/>
                    </w:rPr>
                  </w:pPr>
                </w:p>
              </w:tc>
              <w:tc>
                <w:tcPr>
                  <w:tcW w:w="500" w:type="dxa"/>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81" w:type="dxa"/>
                  <w:shd w:val="clear" w:color="auto" w:fill="auto"/>
                  <w:vAlign w:val="center"/>
                </w:tcPr>
                <w:p>
                  <w:pPr>
                    <w:jc w:val="center"/>
                    <w:rPr>
                      <w:rFonts w:ascii="宋体" w:hAnsi="宋体" w:eastAsia="宋体" w:cs="宋体"/>
                      <w:sz w:val="24"/>
                      <w:szCs w:val="24"/>
                    </w:rPr>
                  </w:pPr>
                </w:p>
              </w:tc>
              <w:tc>
                <w:tcPr>
                  <w:tcW w:w="500" w:type="dxa"/>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81" w:type="dxa"/>
                  <w:shd w:val="clear" w:color="auto" w:fill="auto"/>
                  <w:vAlign w:val="center"/>
                </w:tcPr>
                <w:p>
                  <w:pPr>
                    <w:jc w:val="center"/>
                    <w:rPr>
                      <w:rFonts w:ascii="宋体" w:hAnsi="宋体" w:eastAsia="宋体" w:cs="宋体"/>
                      <w:sz w:val="24"/>
                      <w:szCs w:val="24"/>
                    </w:rPr>
                  </w:pPr>
                </w:p>
              </w:tc>
              <w:tc>
                <w:tcPr>
                  <w:tcW w:w="500" w:type="dxa"/>
                  <w:shd w:val="clear" w:color="auto" w:fill="auto"/>
                  <w:vAlign w:val="center"/>
                </w:tcPr>
                <w:p>
                  <w:pPr>
                    <w:jc w:val="center"/>
                    <w:rPr>
                      <w:rFonts w:ascii="宋体" w:hAnsi="宋体" w:eastAsia="宋体" w:cs="宋体"/>
                      <w:sz w:val="24"/>
                      <w:szCs w:val="24"/>
                    </w:rPr>
                  </w:pPr>
                </w:p>
              </w:tc>
            </w:tr>
          </w:tbl>
          <w:p>
            <w:pP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 w:val="24"/>
                <w:szCs w:val="24"/>
              </w:rPr>
            </w:pP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流量计有效期限：</w:t>
            </w:r>
          </w:p>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温湿度计有效期限：</w:t>
            </w:r>
          </w:p>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大气压计有效期限：</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82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用于校准的设备（流量计、温度计、大气压计）是否每年通过国家计量检定；任一项不合格扣5分。</w:t>
            </w:r>
          </w:p>
        </w:tc>
        <w:tc>
          <w:tcPr>
            <w:tcW w:w="2058"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vAlign w:val="center"/>
          </w:tcPr>
          <w:p>
            <w:pPr>
              <w:numPr>
                <w:ilvl w:val="0"/>
                <w:numId w:val="17"/>
              </w:numPr>
              <w:rPr>
                <w:rFonts w:ascii="宋体" w:hAnsi="宋体" w:eastAsia="宋体" w:cs="宋体"/>
                <w:b/>
                <w:sz w:val="24"/>
                <w:szCs w:val="24"/>
              </w:rPr>
            </w:pPr>
            <w:r>
              <w:rPr>
                <w:rFonts w:hint="eastAsia" w:ascii="宋体" w:hAnsi="宋体" w:eastAsia="宋体" w:cs="宋体"/>
                <w:b/>
                <w:sz w:val="24"/>
                <w:szCs w:val="24"/>
              </w:rPr>
              <w:t>通讯系统维护效果（3分）</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r>
              <w:rPr>
                <w:rFonts w:hint="eastAsia" w:ascii="宋体" w:hAnsi="宋体" w:eastAsia="宋体" w:cs="宋体"/>
                <w:bCs/>
                <w:sz w:val="24"/>
                <w:szCs w:val="24"/>
              </w:rPr>
              <w:t>能否正常采集数据并上传平台发布数据</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3</w:t>
            </w:r>
          </w:p>
        </w:tc>
        <w:tc>
          <w:tcPr>
            <w:tcW w:w="582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r>
              <w:rPr>
                <w:rFonts w:hint="eastAsia" w:ascii="宋体" w:hAnsi="宋体" w:eastAsia="宋体" w:cs="宋体"/>
                <w:sz w:val="24"/>
                <w:szCs w:val="24"/>
              </w:rPr>
              <w:t>功能不满足扣3分。</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numPr>
                <w:ilvl w:val="0"/>
                <w:numId w:val="17"/>
              </w:numPr>
              <w:rPr>
                <w:rFonts w:ascii="宋体" w:hAnsi="宋体" w:eastAsia="宋体" w:cs="宋体"/>
                <w:b/>
                <w:sz w:val="24"/>
                <w:szCs w:val="24"/>
              </w:rPr>
            </w:pPr>
            <w:r>
              <w:rPr>
                <w:rFonts w:hint="eastAsia" w:ascii="宋体" w:hAnsi="宋体" w:eastAsia="宋体" w:cs="宋体"/>
                <w:b/>
                <w:sz w:val="24"/>
                <w:szCs w:val="24"/>
              </w:rPr>
              <w:t>人员要求（2分）</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tabs>
                <w:tab w:val="left" w:pos="1129"/>
              </w:tabs>
              <w:jc w:val="left"/>
              <w:rPr>
                <w:rFonts w:ascii="宋体" w:hAnsi="宋体" w:eastAsia="宋体" w:cs="宋体"/>
                <w:spacing w:val="-4"/>
                <w:sz w:val="24"/>
                <w:szCs w:val="24"/>
              </w:rPr>
            </w:pPr>
            <w:r>
              <w:rPr>
                <w:rFonts w:hint="eastAsia" w:ascii="宋体" w:hAnsi="宋体" w:eastAsia="宋体" w:cs="宋体"/>
                <w:spacing w:val="-4"/>
                <w:sz w:val="24"/>
                <w:szCs w:val="24"/>
              </w:rPr>
              <w:t>运维人员是否持证上岗（具备上岗相关资格证书）</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82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运维人员未持有上岗证扣2分。</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7.运维档案记录情况（10分）</w:t>
            </w:r>
          </w:p>
        </w:tc>
        <w:tc>
          <w:tcPr>
            <w:tcW w:w="47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8"/>
              </w:numPr>
              <w:jc w:val="left"/>
              <w:rPr>
                <w:rFonts w:ascii="宋体" w:hAnsi="宋体" w:eastAsia="宋体" w:cs="宋体"/>
                <w:sz w:val="24"/>
                <w:szCs w:val="24"/>
              </w:rPr>
            </w:pPr>
            <w:r>
              <w:rPr>
                <w:rFonts w:hint="eastAsia" w:ascii="宋体" w:hAnsi="宋体" w:eastAsia="宋体" w:cs="宋体"/>
                <w:sz w:val="24"/>
                <w:szCs w:val="24"/>
              </w:rPr>
              <w:t>按照规范要求填写运维记录</w:t>
            </w:r>
          </w:p>
          <w:p>
            <w:pPr>
              <w:numPr>
                <w:ilvl w:val="0"/>
                <w:numId w:val="18"/>
              </w:numPr>
              <w:jc w:val="left"/>
              <w:rPr>
                <w:rFonts w:ascii="宋体" w:hAnsi="宋体" w:eastAsia="宋体" w:cs="宋体"/>
                <w:sz w:val="24"/>
                <w:szCs w:val="24"/>
              </w:rPr>
            </w:pPr>
            <w:r>
              <w:rPr>
                <w:rFonts w:hint="eastAsia" w:ascii="宋体" w:hAnsi="宋体" w:eastAsia="宋体" w:cs="宋体"/>
                <w:sz w:val="24"/>
                <w:szCs w:val="24"/>
              </w:rPr>
              <w:t>按照运维要求完成运维工作</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8"/>
                <w:sz w:val="24"/>
                <w:szCs w:val="24"/>
              </w:rPr>
            </w:pPr>
            <w:r>
              <w:rPr>
                <w:rFonts w:hint="eastAsia" w:ascii="宋体" w:hAnsi="宋体" w:eastAsia="宋体" w:cs="宋体"/>
                <w:spacing w:val="-8"/>
                <w:sz w:val="24"/>
                <w:szCs w:val="24"/>
              </w:rPr>
              <w:t>10</w:t>
            </w:r>
          </w:p>
        </w:tc>
        <w:tc>
          <w:tcPr>
            <w:tcW w:w="5824" w:type="dxa"/>
            <w:tcBorders>
              <w:top w:val="single" w:color="auto" w:sz="4" w:space="0"/>
              <w:left w:val="single" w:color="auto" w:sz="4" w:space="0"/>
              <w:bottom w:val="single" w:color="auto" w:sz="4" w:space="0"/>
              <w:right w:val="single" w:color="auto" w:sz="4" w:space="0"/>
            </w:tcBorders>
            <w:vAlign w:val="center"/>
          </w:tcPr>
          <w:p>
            <w:pPr>
              <w:numPr>
                <w:ilvl w:val="0"/>
                <w:numId w:val="19"/>
              </w:numPr>
              <w:jc w:val="left"/>
              <w:rPr>
                <w:rFonts w:ascii="宋体" w:hAnsi="宋体" w:eastAsia="宋体" w:cs="宋体"/>
                <w:sz w:val="24"/>
                <w:szCs w:val="24"/>
              </w:rPr>
            </w:pPr>
            <w:r>
              <w:rPr>
                <w:rFonts w:hint="eastAsia" w:ascii="宋体" w:hAnsi="宋体" w:eastAsia="宋体" w:cs="宋体"/>
                <w:sz w:val="24"/>
                <w:szCs w:val="24"/>
              </w:rPr>
              <w:t>现场档案记录规范齐全，若发现一项存在问题扣5分；</w:t>
            </w:r>
          </w:p>
          <w:p>
            <w:pPr>
              <w:numPr>
                <w:ilvl w:val="0"/>
                <w:numId w:val="19"/>
              </w:numPr>
              <w:jc w:val="left"/>
              <w:rPr>
                <w:rFonts w:ascii="宋体" w:hAnsi="宋体" w:eastAsia="宋体" w:cs="宋体"/>
                <w:sz w:val="24"/>
                <w:szCs w:val="24"/>
              </w:rPr>
            </w:pPr>
            <w:r>
              <w:rPr>
                <w:rFonts w:hint="eastAsia" w:ascii="宋体" w:hAnsi="宋体" w:eastAsia="宋体" w:cs="宋体"/>
                <w:sz w:val="24"/>
                <w:szCs w:val="24"/>
              </w:rPr>
              <w:t>检查运维内容落实情况，一项不落实扣5分；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72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
                <w:sz w:val="24"/>
                <w:szCs w:val="24"/>
              </w:rPr>
              <w:t>总分</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p>
        </w:tc>
      </w:tr>
    </w:tbl>
    <w:p>
      <w:pPr>
        <w:spacing w:line="360" w:lineRule="auto"/>
        <w:rPr>
          <w:rFonts w:ascii="宋体" w:hAnsi="宋体" w:eastAsia="宋体" w:cs="宋体"/>
          <w:vanish/>
          <w:sz w:val="24"/>
          <w:szCs w:val="24"/>
        </w:rPr>
      </w:pPr>
    </w:p>
    <w:tbl>
      <w:tblPr>
        <w:tblStyle w:val="25"/>
        <w:tblpPr w:leftFromText="180" w:rightFromText="180" w:vertAnchor="text" w:horzAnchor="margin" w:tblpXSpec="center" w:tblpY="74"/>
        <w:tblOverlap w:val="never"/>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3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1541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b/>
                <w:sz w:val="24"/>
                <w:szCs w:val="24"/>
              </w:rPr>
              <w:t>其他需要特别记录的问题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8" w:hRule="atLeast"/>
        </w:trPr>
        <w:tc>
          <w:tcPr>
            <w:tcW w:w="165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b/>
                <w:sz w:val="24"/>
                <w:szCs w:val="24"/>
              </w:rPr>
              <w:t>现场检查问题</w:t>
            </w:r>
          </w:p>
        </w:tc>
        <w:tc>
          <w:tcPr>
            <w:tcW w:w="137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p>
        </w:tc>
      </w:tr>
    </w:tbl>
    <w:p>
      <w:pPr>
        <w:spacing w:line="360" w:lineRule="auto"/>
        <w:rPr>
          <w:rFonts w:ascii="宋体" w:hAnsi="宋体" w:eastAsia="宋体" w:cs="宋体"/>
          <w:b/>
          <w:sz w:val="24"/>
          <w:szCs w:val="24"/>
        </w:rPr>
      </w:pPr>
    </w:p>
    <w:p>
      <w:pPr>
        <w:spacing w:line="360" w:lineRule="auto"/>
        <w:ind w:right="440"/>
        <w:jc w:val="center"/>
        <w:rPr>
          <w:rFonts w:ascii="宋体" w:hAnsi="宋体" w:eastAsia="宋体" w:cs="宋体"/>
          <w:b/>
          <w:sz w:val="24"/>
          <w:szCs w:val="24"/>
        </w:rPr>
      </w:pPr>
    </w:p>
    <w:p>
      <w:pPr>
        <w:spacing w:line="360" w:lineRule="auto"/>
        <w:ind w:right="440"/>
        <w:jc w:val="left"/>
        <w:rPr>
          <w:rFonts w:ascii="宋体" w:hAnsi="宋体" w:eastAsia="宋体" w:cs="宋体"/>
          <w:sz w:val="24"/>
          <w:szCs w:val="24"/>
          <w:u w:val="single"/>
        </w:rPr>
      </w:pPr>
      <w:r>
        <w:rPr>
          <w:rFonts w:hint="eastAsia" w:ascii="宋体" w:hAnsi="宋体" w:eastAsia="宋体" w:cs="宋体"/>
          <w:b/>
          <w:sz w:val="24"/>
          <w:szCs w:val="24"/>
        </w:rPr>
        <w:t>检查单位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检查人员</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ind w:right="440"/>
        <w:jc w:val="left"/>
        <w:rPr>
          <w:rFonts w:ascii="宋体" w:hAnsi="宋体" w:eastAsia="宋体" w:cs="宋体"/>
          <w:sz w:val="24"/>
          <w:szCs w:val="24"/>
          <w:u w:val="single"/>
        </w:rPr>
      </w:pPr>
    </w:p>
    <w:p>
      <w:pPr>
        <w:spacing w:line="360" w:lineRule="auto"/>
        <w:jc w:val="left"/>
        <w:rPr>
          <w:rFonts w:ascii="宋体" w:hAnsi="宋体" w:eastAsia="宋体" w:cs="宋体"/>
          <w:sz w:val="24"/>
          <w:szCs w:val="24"/>
        </w:rPr>
      </w:pPr>
      <w:r>
        <w:rPr>
          <w:rFonts w:hint="eastAsia" w:ascii="宋体" w:hAnsi="宋体" w:eastAsia="宋体" w:cs="宋体"/>
          <w:b/>
          <w:sz w:val="24"/>
          <w:szCs w:val="24"/>
        </w:rPr>
        <w:t>运维单位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运维人员</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sectPr>
          <w:pgSz w:w="16838" w:h="11906" w:orient="landscape"/>
          <w:pgMar w:top="1797" w:right="1440" w:bottom="1797" w:left="1440" w:header="851" w:footer="992" w:gutter="0"/>
          <w:cols w:space="720" w:num="1"/>
          <w:docGrid w:type="linesAndChars" w:linePitch="312" w:charSpace="0"/>
        </w:sectPr>
      </w:pPr>
    </w:p>
    <w:bookmarkEnd w:id="76"/>
    <w:p>
      <w:pPr>
        <w:spacing w:line="360" w:lineRule="auto"/>
        <w:rPr>
          <w:rFonts w:ascii="宋体" w:hAnsi="宋体" w:eastAsia="宋体" w:cs="宋体"/>
          <w:b/>
          <w:sz w:val="24"/>
          <w:szCs w:val="24"/>
        </w:rPr>
      </w:pPr>
      <w:r>
        <w:rPr>
          <w:rFonts w:hint="eastAsia" w:ascii="宋体" w:hAnsi="宋体" w:eastAsia="宋体" w:cs="宋体"/>
          <w:b/>
          <w:sz w:val="24"/>
          <w:szCs w:val="24"/>
        </w:rPr>
        <w:t>（3）运维费核算方法：</w:t>
      </w:r>
    </w:p>
    <w:p>
      <w:pPr>
        <w:spacing w:line="360" w:lineRule="auto"/>
        <w:ind w:firstLine="480" w:firstLineChars="200"/>
        <w:rPr>
          <w:rFonts w:ascii="宋体" w:hAnsi="宋体" w:eastAsia="宋体" w:cs="宋体"/>
          <w:sz w:val="24"/>
          <w:szCs w:val="24"/>
        </w:rPr>
      </w:pPr>
      <w:bookmarkStart w:id="78" w:name="_Toc13054238"/>
      <w:bookmarkStart w:id="79" w:name="_Toc8790"/>
      <w:bookmarkStart w:id="80" w:name="_Toc2081_WPSOffice_Level2"/>
      <w:r>
        <w:rPr>
          <w:rFonts w:hint="eastAsia" w:ascii="宋体" w:hAnsi="宋体" w:eastAsia="宋体" w:cs="宋体"/>
          <w:sz w:val="24"/>
          <w:szCs w:val="24"/>
        </w:rPr>
        <w:t>考核总分低于70分的，不予支付该站点当期运维费；考核得分95（含）分以上的，支付该站点全额运维费；考核得分在70（含）-95分的，该站点当期运维费=（实际考核总分/100）×单站点当期全额运维费。</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6.2 其他规定</w:t>
      </w:r>
      <w:bookmarkEnd w:id="78"/>
      <w:bookmarkEnd w:id="79"/>
      <w:bookmarkEnd w:id="8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月考核中出现10%站点未达到数据有效性要求的，给予警告；连续2次考核出现10%站点未达到，或者单次考核20%以上站点未达到数据有效性要求的，终止运维合同。同一站点连续两个月未达到数据有效性要求的，扣除该站点一个季度运维费；连续3个月未达到数据有效性要求的，扣除该站点半年年运维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运维单位须在每次考核周期结束后10个工作日内，将上一周期的绩效自核算结果及核算相关文件、资料提交至指挥中心。运维单位有下列情形之一的，将扣除相应站点当月运维费：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（1）迟报、漏报或不报审核数据的；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（2）拖延、阻碍、拒绝质量控制监督检查的；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（3）发现采样、分析、数据采集和传输等过程人为干扰，未按要求及时报告指挥中心的；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（4）因工作疏漏，未发现采样、分析、数据采集和传输等过程人为干扰的；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（5）其他不履行规定职责的情形。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在质量控制监督检查中，发现运维单位未达到指挥中心运维质控要求时，根据对数据质量造成的影响程度，扣减相应站点当季度10%～100%的运维经费；如未及时整改，加倍扣款。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指挥中心有权根据相关规定对扣除的运维费进行重新支配，用于开展其他与站点运维管理相关的工作。</w:t>
      </w:r>
    </w:p>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widowControl/>
        <w:wordWrap w:val="0"/>
        <w:spacing w:line="360" w:lineRule="auto"/>
        <w:ind w:firstLine="723" w:firstLineChars="200"/>
        <w:jc w:val="center"/>
        <w:outlineLvl w:val="0"/>
        <w:rPr>
          <w:rFonts w:ascii="宋体" w:hAnsi="宋体" w:eastAsia="宋体" w:cs="宋体"/>
          <w:b/>
          <w:bCs/>
          <w:sz w:val="36"/>
          <w:szCs w:val="36"/>
        </w:rPr>
      </w:pPr>
      <w:bookmarkStart w:id="81" w:name="_Toc8729"/>
      <w:bookmarkStart w:id="82" w:name="_Toc534657776"/>
      <w:bookmarkStart w:id="83" w:name="_Toc534192582"/>
      <w:bookmarkStart w:id="84" w:name="_Toc534192588"/>
      <w:bookmarkStart w:id="85" w:name="_Toc75507084"/>
      <w:bookmarkStart w:id="86" w:name="_Toc85037377"/>
      <w:r>
        <w:rPr>
          <w:rFonts w:hint="eastAsia" w:ascii="宋体" w:hAnsi="宋体" w:eastAsia="宋体" w:cs="宋体"/>
          <w:b/>
          <w:bCs/>
          <w:sz w:val="36"/>
          <w:szCs w:val="36"/>
        </w:rPr>
        <w:t>第四章  合同文本</w:t>
      </w:r>
      <w:bookmarkEnd w:id="81"/>
      <w:bookmarkEnd w:id="82"/>
      <w:bookmarkEnd w:id="83"/>
      <w:bookmarkEnd w:id="84"/>
      <w:bookmarkEnd w:id="85"/>
      <w:bookmarkEnd w:id="86"/>
    </w:p>
    <w:p>
      <w:pPr>
        <w:spacing w:line="360" w:lineRule="auto"/>
        <w:rPr>
          <w:rFonts w:ascii="宋体" w:hAnsi="宋体" w:eastAsia="宋体" w:cs="宋体"/>
          <w:sz w:val="24"/>
          <w:szCs w:val="24"/>
          <w:u w:val="single"/>
        </w:rPr>
      </w:pPr>
      <w:bookmarkStart w:id="87" w:name="_Toc495014922"/>
      <w:bookmarkStart w:id="88" w:name="_Toc534657777"/>
      <w:bookmarkStart w:id="89" w:name="_Toc75507085"/>
      <w:bookmarkStart w:id="90" w:name="_Toc534192583"/>
      <w:bookmarkStart w:id="91" w:name="_Toc534192589"/>
      <w:bookmarkStart w:id="92" w:name="_Toc495014587"/>
      <w:bookmarkStart w:id="93" w:name="_Toc445306495"/>
      <w:bookmarkStart w:id="94" w:name="_Toc495012823"/>
      <w:bookmarkStart w:id="95" w:name="_Toc495014651"/>
      <w:bookmarkStart w:id="96" w:name="_Toc495012773"/>
      <w:bookmarkStart w:id="97" w:name="_Toc85037378"/>
      <w:bookmarkStart w:id="98" w:name="_Toc495014613"/>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服务商（乙方）：</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spacing w:line="360" w:lineRule="auto"/>
        <w:rPr>
          <w:rFonts w:ascii="宋体" w:hAnsi="宋体" w:eastAsia="宋体" w:cs="宋体"/>
          <w:sz w:val="24"/>
          <w:szCs w:val="24"/>
        </w:rPr>
      </w:pPr>
      <w:bookmarkStart w:id="99" w:name="_Toc217446107"/>
      <w:r>
        <w:rPr>
          <w:rFonts w:hint="eastAsia" w:ascii="宋体" w:hAnsi="宋体" w:eastAsia="宋体" w:cs="宋体"/>
          <w:sz w:val="24"/>
          <w:szCs w:val="24"/>
        </w:rPr>
        <w:t>合同</w:t>
      </w:r>
      <w:bookmarkEnd w:id="99"/>
      <w:r>
        <w:rPr>
          <w:rFonts w:hint="eastAsia" w:ascii="宋体" w:hAnsi="宋体" w:eastAsia="宋体" w:cs="宋体"/>
          <w:sz w:val="24"/>
          <w:szCs w:val="24"/>
        </w:rPr>
        <w:t>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85"/>
        <w:gridCol w:w="1321"/>
        <w:gridCol w:w="1321"/>
        <w:gridCol w:w="1321"/>
        <w:gridCol w:w="124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4" w:type="dxa"/>
            <w:vAlign w:val="center"/>
          </w:tcPr>
          <w:p>
            <w:pPr>
              <w:spacing w:line="360" w:lineRule="auto"/>
              <w:jc w:val="center"/>
              <w:rPr>
                <w:rFonts w:ascii="宋体" w:hAnsi="宋体" w:eastAsia="宋体" w:cs="宋体"/>
                <w:sz w:val="24"/>
                <w:szCs w:val="24"/>
              </w:rPr>
            </w:pPr>
            <w:bookmarkStart w:id="100" w:name="_Toc217446115"/>
            <w:r>
              <w:rPr>
                <w:rFonts w:hint="eastAsia" w:ascii="宋体" w:hAnsi="宋体" w:eastAsia="宋体" w:cs="宋体"/>
                <w:sz w:val="24"/>
                <w:szCs w:val="24"/>
              </w:rPr>
              <w:t>序号</w:t>
            </w:r>
          </w:p>
        </w:tc>
        <w:tc>
          <w:tcPr>
            <w:tcW w:w="198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费用名称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12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c>
          <w:tcPr>
            <w:tcW w:w="130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3" w:type="dxa"/>
            <w:gridSpan w:val="7"/>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报价合计：元 ，       大写：</w:t>
            </w:r>
          </w:p>
        </w:tc>
      </w:tr>
    </w:tbl>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1</w:t>
      </w:r>
      <w:r>
        <w:rPr>
          <w:rFonts w:hint="eastAsia" w:ascii="宋体" w:hAnsi="宋体" w:eastAsia="宋体" w:cs="宋体"/>
          <w:sz w:val="24"/>
          <w:szCs w:val="24"/>
        </w:rPr>
        <w:t>、合同文件</w:t>
      </w:r>
      <w:r>
        <w:rPr>
          <w:rFonts w:hint="eastAsia" w:ascii="宋体" w:hAnsi="宋体" w:eastAsia="宋体" w:cs="宋体"/>
          <w:b/>
          <w:bCs/>
          <w:sz w:val="24"/>
          <w:szCs w:val="24"/>
        </w:rPr>
        <w:t xml:space="preserve">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下列文件构成本合同的组成部分，应该认为是一个整体，彼此相互解释，相互补充。为便于解释，组成合同的多个文件的优先支配地位的次序如下：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a. 本合同书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b. 中标通知书</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c. 合同特殊条款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d. 合同一般条款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e. 投标文件（含澄清文件）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f. 招标文件（含招标文件补充通知）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2</w:t>
      </w:r>
      <w:r>
        <w:rPr>
          <w:rFonts w:hint="eastAsia" w:ascii="宋体" w:hAnsi="宋体" w:eastAsia="宋体" w:cs="宋体"/>
          <w:sz w:val="24"/>
          <w:szCs w:val="24"/>
        </w:rPr>
        <w:t>、运维内容及服务要求</w:t>
      </w:r>
    </w:p>
    <w:p>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 w:val="24"/>
          <w:szCs w:val="24"/>
        </w:rPr>
        <w:t>本合同运维内容：</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服务要求：</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3</w:t>
      </w:r>
      <w:r>
        <w:rPr>
          <w:rFonts w:hint="eastAsia" w:ascii="宋体" w:hAnsi="宋体" w:eastAsia="宋体" w:cs="宋体"/>
          <w:sz w:val="24"/>
          <w:szCs w:val="24"/>
        </w:rPr>
        <w:t>、合同总价</w:t>
      </w:r>
      <w:r>
        <w:rPr>
          <w:rFonts w:hint="eastAsia" w:ascii="宋体" w:hAnsi="宋体" w:eastAsia="宋体" w:cs="宋体"/>
          <w:b/>
          <w:bCs/>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元人民币。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4</w:t>
      </w:r>
      <w:r>
        <w:rPr>
          <w:rFonts w:hint="eastAsia" w:ascii="宋体" w:hAnsi="宋体" w:eastAsia="宋体" w:cs="宋体"/>
          <w:sz w:val="24"/>
          <w:szCs w:val="24"/>
        </w:rPr>
        <w:t>、付款方式</w:t>
      </w:r>
      <w:r>
        <w:rPr>
          <w:rFonts w:hint="eastAsia" w:ascii="宋体" w:hAnsi="宋体" w:eastAsia="宋体" w:cs="宋体"/>
          <w:b/>
          <w:bCs/>
          <w:sz w:val="24"/>
          <w:szCs w:val="24"/>
        </w:rPr>
        <w:t xml:space="preserve">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本合同的付款方式为：（</w:t>
      </w:r>
      <w:r>
        <w:rPr>
          <w:rFonts w:hint="eastAsia" w:ascii="宋体" w:hAnsi="宋体" w:eastAsia="宋体" w:cs="宋体"/>
          <w:sz w:val="24"/>
          <w:szCs w:val="24"/>
          <w:u w:val="single"/>
        </w:rPr>
        <w:t xml:space="preserve">合同总价款） </w:t>
      </w:r>
      <w:r>
        <w:rPr>
          <w:rFonts w:hint="eastAsia" w:ascii="宋体" w:hAnsi="宋体" w:eastAsia="宋体" w:cs="宋体"/>
          <w:sz w:val="24"/>
          <w:szCs w:val="24"/>
        </w:rPr>
        <w:t>万元，具体付款方式</w:t>
      </w:r>
      <w:r>
        <w:rPr>
          <w:rFonts w:hint="eastAsia" w:ascii="宋体" w:hAnsi="宋体" w:eastAsia="宋体" w:cs="宋体"/>
          <w:sz w:val="24"/>
          <w:szCs w:val="24"/>
          <w:u w:val="single"/>
        </w:rPr>
        <w:t xml:space="preserve"> （按合同约定） </w:t>
      </w:r>
      <w:r>
        <w:rPr>
          <w:rFonts w:hint="eastAsia" w:ascii="宋体" w:hAnsi="宋体" w:eastAsia="宋体" w:cs="宋体"/>
          <w:sz w:val="24"/>
          <w:szCs w:val="24"/>
        </w:rPr>
        <w:t>。</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5</w:t>
      </w:r>
      <w:r>
        <w:rPr>
          <w:rFonts w:hint="eastAsia" w:ascii="宋体" w:hAnsi="宋体" w:eastAsia="宋体" w:cs="宋体"/>
          <w:sz w:val="24"/>
          <w:szCs w:val="24"/>
        </w:rPr>
        <w:t>、本合同项下的运维服务的交付时间及进度</w:t>
      </w:r>
      <w:r>
        <w:rPr>
          <w:rFonts w:hint="eastAsia" w:ascii="宋体" w:hAnsi="宋体" w:eastAsia="宋体" w:cs="宋体"/>
          <w:b/>
          <w:bCs/>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交付时间：</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交付地点：</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6</w:t>
      </w:r>
      <w:r>
        <w:rPr>
          <w:rFonts w:hint="eastAsia" w:ascii="宋体" w:hAnsi="宋体" w:eastAsia="宋体" w:cs="宋体"/>
          <w:sz w:val="24"/>
          <w:szCs w:val="24"/>
        </w:rPr>
        <w:t xml:space="preserve">、合同的生效本合同经双方全权代表签署、加盖单位印章后生效。 </w:t>
      </w: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 xml:space="preserve">名 称：（印章）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名 称：（印章）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授权代表（签字）：</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授权代表（签字）：</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地  址：</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地  址：</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邮政编码：</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电  话：</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开户银行：</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账  号：</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账  号：</w:t>
      </w:r>
      <w:r>
        <w:rPr>
          <w:rFonts w:hint="eastAsia" w:ascii="宋体" w:hAnsi="宋体" w:eastAsia="宋体" w:cs="宋体"/>
          <w:sz w:val="24"/>
          <w:szCs w:val="24"/>
          <w:u w:val="single"/>
        </w:rPr>
        <w:t xml:space="preserve">                       </w:t>
      </w:r>
    </w:p>
    <w:p>
      <w:pPr>
        <w:autoSpaceDE w:val="0"/>
        <w:autoSpaceDN w:val="0"/>
        <w:adjustRightInd w:val="0"/>
        <w:spacing w:line="360" w:lineRule="auto"/>
        <w:jc w:val="center"/>
        <w:rPr>
          <w:rFonts w:ascii="宋体" w:hAnsi="宋体" w:eastAsia="宋体" w:cs="宋体"/>
          <w:b/>
          <w:bCs/>
          <w:sz w:val="24"/>
          <w:szCs w:val="24"/>
        </w:rPr>
      </w:pP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合 同 特 殊 条 款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合同特殊条款是合同一般条款的补充和修改。如果两者之间有抵触，应以特殊条款为准。</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一、定义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1．甲方：系指与中标人签署合同的单位。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本合同甲方系指：</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2．乙方：系指根据合同约定提供相关服务的中标人 。</w:t>
      </w:r>
    </w:p>
    <w:p>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 w:val="24"/>
          <w:szCs w:val="24"/>
        </w:rPr>
        <w:t>本合同乙方系指：</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3．“合同”系指甲乙双方签署的、合同格式中载明的甲乙双方所达成的协议， 包括所有的附件、附录和构成合同的其他文件。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4．“合同价”系指根据合同约定，乙方在完全履行合同义务后甲方应付给乙方的价格。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二、付款条件：</w:t>
      </w:r>
      <w:r>
        <w:rPr>
          <w:rFonts w:hint="eastAsia" w:ascii="宋体" w:hAnsi="宋体" w:eastAsia="宋体" w:cs="宋体"/>
          <w:sz w:val="24"/>
          <w:szCs w:val="24"/>
          <w:u w:val="single"/>
        </w:rPr>
        <w:t>按合同约定</w:t>
      </w:r>
      <w:r>
        <w:rPr>
          <w:rFonts w:hint="eastAsia" w:ascii="宋体" w:hAnsi="宋体" w:eastAsia="宋体" w:cs="宋体"/>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三、监督和验收：甲方有权在乙方开发过程中进行必要的监督，并在乙方交付软件系统时组织验收。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四、违约责任：按一般条款约定。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五、不可抗力：不可抗力通知送达时间：事故发生后</w:t>
      </w:r>
      <w:r>
        <w:rPr>
          <w:rFonts w:hint="eastAsia" w:ascii="宋体" w:hAnsi="宋体" w:eastAsia="宋体" w:cs="宋体"/>
          <w:sz w:val="24"/>
          <w:szCs w:val="24"/>
          <w:u w:val="single"/>
        </w:rPr>
        <w:t xml:space="preserve">   </w:t>
      </w:r>
      <w:r>
        <w:rPr>
          <w:rFonts w:hint="eastAsia" w:ascii="宋体" w:hAnsi="宋体" w:eastAsia="宋体" w:cs="宋体"/>
          <w:sz w:val="24"/>
          <w:szCs w:val="24"/>
        </w:rPr>
        <w:t>天内。</w:t>
      </w: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 xml:space="preserve">合 同 一 般 条 款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1、定义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本合同中的下列术语应解释为：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 “合同”系指买卖双方签署的、合同格式中载明的甲乙双方所达成的协议，包括所有的附件、附录和构成合同的其他文件。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1.2 “合同价”系指根据合同约定，乙方在完全履行合同义务后甲方应付给乙方的价格。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1.3 “货物”系指乙方根据合同约定须向甲方提供的一切设备、机械、仪表、备件，包括工具、手册等其他相关资料。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1.4 “服务”系指根据合同约定乙方承担与供货有关的辅助服务，如运输、保险及安装、调试、提供技术援助、培训和其他类似的服务。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1.5 “甲方”系指与中标人签署供货合同的单位（含最终用户）。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1.6 “乙方”系指根据合同约定提供货物及相关服务的中标人。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1.7 “现场”系指合同约定货物将要运至和安装的地点。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1.8 “验收”系指合同双方依据强制性的国家技术质量规范和合同约定，确认合同项下的货物符合合同规定的活动。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2、服务规范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提交货物的技术规范应与招标文件规定的服务规范和服务规范附件（如果有的话）及其投标文件的服务规范偏差表（如果被甲方接受的话）相一致。若服务规范中无相应说明，则以国家有关部门最新颁布的相应标准及规范为准。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3、知识产权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乙方应保证甲方在使用该货物或其任何一部分时不受第三方提出的侵犯专利权、 著作权、商标权和工业设计权等的起诉。如果任何第三方提出侵权指控， 乙方须与第三方交涉并承担由此发生的一切责任、费用和经济赔偿。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4、付款条件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付款条件见第四章“合同特殊条款”。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5、服务资料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合同项下服务资料（除合同特殊条款规定外）将以下列方式交付：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合同生效后</w:t>
      </w:r>
      <w:r>
        <w:rPr>
          <w:rFonts w:hint="eastAsia" w:ascii="宋体" w:hAnsi="宋体" w:eastAsia="宋体" w:cs="宋体"/>
          <w:sz w:val="24"/>
          <w:szCs w:val="24"/>
          <w:u w:val="single"/>
        </w:rPr>
        <w:t xml:space="preserve">  15 </w:t>
      </w:r>
      <w:r>
        <w:rPr>
          <w:rFonts w:hint="eastAsia" w:ascii="宋体" w:hAnsi="宋体" w:eastAsia="宋体" w:cs="宋体"/>
          <w:sz w:val="24"/>
          <w:szCs w:val="24"/>
        </w:rPr>
        <w:t xml:space="preserve">天之内，乙方应将针对该项目的服务资料一套交付甲方。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6、延迟服务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6.1 乙方应按照“服务内容及要求”中甲方规定的时间表提供服务。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6.2 如果乙方无正当理由迟延交货，甲方有权提出违约损失赔偿或解除合同。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6.3 在履行合同过程中，如果乙方遇到不能按时提供服务的情况，应及时以书面形式将不能按时提供服务的理由、预期延误时间通知甲方。甲方收到乙方通知后，认为其理由正当的，可酌情延长提供服务时间。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7、违约赔偿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除合同第8条规定外，如果乙方没有按照合同规定的时间提供服务，甲方可要求乙方支付违约金。违约金按每周迟并未提供服务价的</w:t>
      </w:r>
      <w:r>
        <w:rPr>
          <w:rFonts w:hint="eastAsia" w:ascii="宋体" w:hAnsi="宋体" w:eastAsia="宋体" w:cs="宋体"/>
          <w:sz w:val="24"/>
          <w:szCs w:val="24"/>
          <w:u w:val="single"/>
        </w:rPr>
        <w:t xml:space="preserve">       </w:t>
      </w:r>
      <w:r>
        <w:rPr>
          <w:rFonts w:hint="eastAsia" w:ascii="宋体" w:hAnsi="宋体" w:eastAsia="宋体" w:cs="宋体"/>
          <w:sz w:val="24"/>
          <w:szCs w:val="24"/>
        </w:rPr>
        <w:t>%计收。但违约金的最高限额为没有提供服务的合同价的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%。一周按7天计算，不足7天按一周计算。如果达到最高限额，甲方有权解除合同。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8、不可抗力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8.1 如果双方中任何一方遭遇法律规定的不可抗力，致使合同履行受阻时，履行合同的期限应予延长，延长的期限应相当于不可抗力所影响的时间。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8.2 受事故影响的一方应在不可抗力的事故发生后尽快书面形式通知另一方，并在事故发生后 7 天内，将有关部门出具的证明文件送达另一方。</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8.3 不可抗力致使合同的某些内容有变更必要的，双方应通过协商在7日内达成进一步履行合同的协议，因不可抗力致使合同不能履行的，合同终止。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9、税费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与本合同有关的一切税费均适用中华人民共和国法律的相关规定。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10、合同争议的解决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买卖双方在本合同履行过程中如有争议，应协商解决。如协商不成，可由相应主管部门调解。如无法解决，向甲方所在地人民法院起诉。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11、违约解除合同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11.1 在乙方违约的情况下，甲方可向乙方发出书面通知，部分或全部终止合同。同时保留向乙方追诉的权利。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11.2 乙方未能在合同规定的限期或甲方同意延长的限期内，提供全部或部分服务，按合同第14.1的规定可以解除合同的；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11.3乙方未能履行合同规定的其他主要义务的；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11.4 在本合同履行过程中有腐败和欺诈行为的。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11.5“腐败行为”和“欺诈行为”定义如下：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11.6“腐败行为”是指提供/给予/接受或索取任何有价值的东西来影响甲方在合同签订、履行过程中的行为。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11.7“欺诈行为”是指为了影响合同签订、履行过程，以谎报事实的方法，损害甲方的利益的行为。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11.8 在甲方根据上述第11.1条规定，全部或部分解除合同之后，应当遵循诚实信用原则，全部或部分购买与未交付的货物类似的货物或服务，乙方应承担甲方购买类似服务而产生的额外支出。部分解除合同的，乙方应继续履行合同中未解除的部分。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12、破产终止合同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如果乙方破产导致合同无法履行时，甲方可以书面形式通知乙方，单方终止合同而不给乙方补偿。但甲方必须以书面形式告知同级监督管理部门。该合同的终止将不损害或不影响甲方已经采取或将要采取的任何行动或补救措施的权利。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13、转让和分包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14、合同修改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甲方和乙方都不得擅自变更本合同，但合同继续履行将损害国家和社会公共利益的除外。如必须对合同条款进行改动时，当事人双方须共同签署书面文件，作为合同的补充。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15、通知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本合同任何一方给另一方的通知，都应以书面形式发送，而另一方也应以书面形式确认并发送到对方明确的地址。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16、计量单位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除技术规范中另有规定外，计量单位均使用国家法定计量单位。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17、适用法律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本合同应按照中华人民共和国的法律进行解释。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18、合同生效和其他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六 </w:t>
      </w:r>
      <w:r>
        <w:rPr>
          <w:rFonts w:hint="eastAsia" w:ascii="宋体" w:hAnsi="宋体" w:eastAsia="宋体" w:cs="宋体"/>
          <w:sz w:val="24"/>
          <w:szCs w:val="24"/>
        </w:rPr>
        <w:t>份，具有同等法律效力。甲方</w:t>
      </w:r>
      <w:r>
        <w:rPr>
          <w:rFonts w:hint="eastAsia" w:ascii="宋体" w:hAnsi="宋体" w:eastAsia="宋体" w:cs="宋体"/>
          <w:sz w:val="24"/>
          <w:szCs w:val="24"/>
          <w:u w:val="single"/>
        </w:rPr>
        <w:t xml:space="preserve"> 四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二 </w:t>
      </w:r>
      <w:r>
        <w:rPr>
          <w:rFonts w:hint="eastAsia" w:ascii="宋体" w:hAnsi="宋体" w:eastAsia="宋体" w:cs="宋体"/>
          <w:sz w:val="24"/>
          <w:szCs w:val="24"/>
        </w:rPr>
        <w:t>份。</w:t>
      </w:r>
    </w:p>
    <w:p>
      <w:pPr>
        <w:tabs>
          <w:tab w:val="left" w:pos="2400"/>
          <w:tab w:val="left" w:pos="2700"/>
          <w:tab w:val="left" w:pos="3000"/>
          <w:tab w:val="left" w:pos="3300"/>
          <w:tab w:val="left" w:pos="3600"/>
        </w:tabs>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甲方（盖章）：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 （盖章）：</w:t>
      </w:r>
      <w:r>
        <w:rPr>
          <w:rFonts w:hint="eastAsia" w:ascii="宋体" w:hAnsi="宋体" w:eastAsia="宋体" w:cs="宋体"/>
          <w:sz w:val="24"/>
          <w:szCs w:val="24"/>
          <w:u w:val="single"/>
        </w:rPr>
        <w:t xml:space="preserve">                       </w:t>
      </w:r>
    </w:p>
    <w:p>
      <w:pPr>
        <w:tabs>
          <w:tab w:val="left" w:pos="2400"/>
          <w:tab w:val="left" w:pos="2700"/>
          <w:tab w:val="left" w:pos="3000"/>
          <w:tab w:val="left" w:pos="3300"/>
          <w:tab w:val="left" w:pos="3600"/>
        </w:tabs>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甲方代表（签章）：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乙方代表（签章）：</w:t>
      </w:r>
      <w:r>
        <w:rPr>
          <w:rFonts w:hint="eastAsia" w:ascii="宋体" w:hAnsi="宋体" w:eastAsia="宋体" w:cs="宋体"/>
          <w:sz w:val="24"/>
          <w:szCs w:val="24"/>
          <w:u w:val="single"/>
        </w:rPr>
        <w:t xml:space="preserve">                    </w:t>
      </w:r>
    </w:p>
    <w:p>
      <w:pPr>
        <w:tabs>
          <w:tab w:val="left" w:pos="2400"/>
          <w:tab w:val="left" w:pos="2700"/>
          <w:tab w:val="left" w:pos="3000"/>
          <w:tab w:val="left" w:pos="3300"/>
          <w:tab w:val="left" w:pos="36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b/>
          <w:bCs/>
          <w:sz w:val="24"/>
          <w:szCs w:val="24"/>
        </w:rPr>
      </w:pPr>
      <w:r>
        <w:rPr>
          <w:rFonts w:hint="eastAsia" w:ascii="宋体" w:hAnsi="宋体" w:eastAsia="宋体" w:cs="宋体"/>
          <w:b/>
          <w:bCs/>
          <w:sz w:val="24"/>
          <w:szCs w:val="24"/>
        </w:rPr>
        <w:br w:type="page"/>
      </w: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廉政责任书</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根据国家法律、法规以及有关工程建设、廉政建设的规定，为做好工程建设中的党风廉政建设，保证工程建设高效优质，保证建设资金的安全和有效使用以及投资效益，项目的招标人（甲方）</w:t>
      </w:r>
      <w:r>
        <w:rPr>
          <w:rFonts w:hint="eastAsia" w:ascii="宋体" w:hAnsi="宋体" w:eastAsia="宋体" w:cs="宋体"/>
          <w:sz w:val="24"/>
          <w:szCs w:val="24"/>
          <w:u w:val="single"/>
        </w:rPr>
        <w:t xml:space="preserve">                    （以下称甲方）</w:t>
      </w:r>
      <w:r>
        <w:rPr>
          <w:rFonts w:hint="eastAsia" w:ascii="宋体" w:hAnsi="宋体" w:eastAsia="宋体" w:cs="宋体"/>
          <w:sz w:val="24"/>
          <w:szCs w:val="24"/>
        </w:rPr>
        <w:t>与中标人（乙方）</w:t>
      </w:r>
      <w:r>
        <w:rPr>
          <w:rFonts w:hint="eastAsia" w:ascii="宋体" w:hAnsi="宋体" w:eastAsia="宋体" w:cs="宋体"/>
          <w:sz w:val="24"/>
          <w:szCs w:val="24"/>
          <w:u w:val="single"/>
        </w:rPr>
        <w:t xml:space="preserve">                        （以下称乙方）</w:t>
      </w:r>
      <w:r>
        <w:rPr>
          <w:rFonts w:hint="eastAsia" w:ascii="宋体" w:hAnsi="宋体" w:eastAsia="宋体" w:cs="宋体"/>
          <w:sz w:val="24"/>
          <w:szCs w:val="24"/>
        </w:rPr>
        <w:t>，特订立如下合同。</w:t>
      </w:r>
    </w:p>
    <w:p>
      <w:pPr>
        <w:spacing w:line="360" w:lineRule="auto"/>
        <w:rPr>
          <w:rFonts w:ascii="宋体" w:hAnsi="宋体" w:eastAsia="宋体" w:cs="宋体"/>
          <w:sz w:val="24"/>
          <w:szCs w:val="24"/>
        </w:rPr>
      </w:pPr>
      <w:bookmarkStart w:id="101" w:name="_Toc59900969"/>
      <w:bookmarkStart w:id="102" w:name="_Toc59896701"/>
      <w:r>
        <w:rPr>
          <w:rFonts w:hint="eastAsia" w:ascii="宋体" w:hAnsi="宋体" w:eastAsia="宋体" w:cs="宋体"/>
          <w:sz w:val="24"/>
          <w:szCs w:val="24"/>
        </w:rPr>
        <w:t>第一条：双方的权利和义务</w:t>
      </w:r>
      <w:bookmarkEnd w:id="101"/>
      <w:bookmarkEnd w:id="102"/>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1、严格遵守党和国家有关法律法规及北京市的有关规定。</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2、严格执行项目合同文件，自觉按合同办事。</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3、双方的业务活动坚持公开、公正、诚信、透明的原则（除法律认定的商业秘密和合同文件另有规定之外），不得损害国家和集体利益，违反工程建设规章制度。</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4、建立健全廉政制度，开展廉政教育，设立廉政告示牌，公布举报电话，监督并认真查处违法违纪行为。</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5、发现对方在业务活动中有违反廉政规定的行为，有及时提醒对方纠正的权利和义务。</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6、发现对方严重违反本合同义务条款的行为，有向其上级有关部门举报、建议给予处理并要求告知处理结果的权利。</w:t>
      </w:r>
    </w:p>
    <w:p>
      <w:pPr>
        <w:spacing w:line="360" w:lineRule="auto"/>
        <w:rPr>
          <w:rFonts w:ascii="宋体" w:hAnsi="宋体" w:eastAsia="宋体" w:cs="宋体"/>
          <w:sz w:val="24"/>
          <w:szCs w:val="24"/>
        </w:rPr>
      </w:pPr>
      <w:bookmarkStart w:id="103" w:name="_Toc59900970"/>
      <w:bookmarkStart w:id="104" w:name="_Toc59896702"/>
      <w:r>
        <w:rPr>
          <w:rFonts w:hint="eastAsia" w:ascii="宋体" w:hAnsi="宋体" w:eastAsia="宋体" w:cs="宋体"/>
          <w:sz w:val="24"/>
          <w:szCs w:val="24"/>
        </w:rPr>
        <w:t>第二条：甲方的义务</w:t>
      </w:r>
      <w:bookmarkEnd w:id="103"/>
      <w:bookmarkEnd w:id="104"/>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1、甲方及其工作人员不得索要或接受乙方的礼金、有价证券和贵重物品，不得在乙方报销任何应由甲方或个人支付的费用等。</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2、甲方工作人员不得参加乙方安排的超标准宴请和娱乐活动；不得接受乙方提供的通讯工具、交通工具和高档办公用品等。</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3、甲方及其工作人员不得要求或者接受乙方为其住房装修、婚丧嫁娶活动、配偶子女的工作安排以及出国出境、旅游等提供方便等。</w:t>
      </w:r>
    </w:p>
    <w:p>
      <w:pPr>
        <w:spacing w:line="360" w:lineRule="auto"/>
        <w:rPr>
          <w:rFonts w:ascii="宋体" w:hAnsi="宋体" w:eastAsia="宋体" w:cs="宋体"/>
          <w:sz w:val="24"/>
          <w:szCs w:val="24"/>
        </w:rPr>
      </w:pPr>
      <w:bookmarkStart w:id="105" w:name="_Toc59900971"/>
      <w:bookmarkStart w:id="106" w:name="_Toc59896703"/>
      <w:r>
        <w:rPr>
          <w:rFonts w:hint="eastAsia" w:ascii="宋体" w:hAnsi="宋体" w:eastAsia="宋体" w:cs="宋体"/>
          <w:sz w:val="24"/>
          <w:szCs w:val="24"/>
        </w:rPr>
        <w:t>第三条：乙方义务</w:t>
      </w:r>
      <w:bookmarkEnd w:id="105"/>
      <w:bookmarkEnd w:id="106"/>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1、乙方不得以任何理由向甲方及其工作人员行贿或馈赠礼金、有价证券、贵重礼品。</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2、乙方不得以任何名义为甲方及其工作人员报销应由甲方单位或个人支付的任何费用。</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3、乙方不得以任何理由安排甲方工作人员参加超标准宴请及娱乐活动。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4、乙方不得为甲方单位和个人购置或提供通讯工具、交通工具和高档办公用品等。</w:t>
      </w:r>
    </w:p>
    <w:p>
      <w:pPr>
        <w:spacing w:line="360" w:lineRule="auto"/>
        <w:rPr>
          <w:rFonts w:ascii="宋体" w:hAnsi="宋体" w:eastAsia="宋体" w:cs="宋体"/>
          <w:sz w:val="24"/>
          <w:szCs w:val="24"/>
        </w:rPr>
      </w:pPr>
      <w:r>
        <w:rPr>
          <w:rFonts w:hint="eastAsia" w:ascii="宋体" w:hAnsi="宋体" w:eastAsia="宋体" w:cs="宋体"/>
          <w:sz w:val="24"/>
          <w:szCs w:val="24"/>
        </w:rPr>
        <w:t>第四条：违约责任</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及其工作人员违反本合同第一、三条，按管理权限，依据有关规定，给予党纪、政纪或组织处理；给甲方单位造成经济损失的，应予以赔偿；情节严重的，甲方可以单方终止与乙方的合同，并给予乙方三年内不得对甲方组织建设的项目进行投标的处罚。</w:t>
      </w:r>
    </w:p>
    <w:p>
      <w:pPr>
        <w:spacing w:line="360" w:lineRule="auto"/>
        <w:rPr>
          <w:rFonts w:ascii="宋体" w:hAnsi="宋体" w:eastAsia="宋体" w:cs="宋体"/>
          <w:sz w:val="24"/>
          <w:szCs w:val="24"/>
        </w:rPr>
      </w:pPr>
      <w:r>
        <w:rPr>
          <w:rFonts w:hint="eastAsia" w:ascii="宋体" w:hAnsi="宋体" w:eastAsia="宋体" w:cs="宋体"/>
          <w:sz w:val="24"/>
          <w:szCs w:val="24"/>
        </w:rPr>
        <w:t>第五条：双方约定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spacing w:line="360" w:lineRule="auto"/>
        <w:rPr>
          <w:rFonts w:ascii="宋体" w:hAnsi="宋体" w:eastAsia="宋体" w:cs="宋体"/>
          <w:sz w:val="24"/>
          <w:szCs w:val="24"/>
        </w:rPr>
      </w:pPr>
      <w:r>
        <w:rPr>
          <w:rFonts w:hint="eastAsia" w:ascii="宋体" w:hAnsi="宋体" w:eastAsia="宋体" w:cs="宋体"/>
          <w:sz w:val="24"/>
          <w:szCs w:val="24"/>
        </w:rPr>
        <w:t>第六条：本合同有效期为双方签署之日起至该工程项目竣工验收合格之日止。</w:t>
      </w:r>
    </w:p>
    <w:p>
      <w:pPr>
        <w:spacing w:line="360" w:lineRule="auto"/>
        <w:rPr>
          <w:rFonts w:ascii="宋体" w:hAnsi="宋体" w:eastAsia="宋体" w:cs="宋体"/>
          <w:sz w:val="24"/>
          <w:szCs w:val="24"/>
        </w:rPr>
      </w:pPr>
      <w:r>
        <w:rPr>
          <w:rFonts w:hint="eastAsia" w:ascii="宋体" w:hAnsi="宋体" w:eastAsia="宋体" w:cs="宋体"/>
          <w:sz w:val="24"/>
          <w:szCs w:val="24"/>
        </w:rPr>
        <w:t>第七条：本合同作为项目合同的附件，与合同具有同等的法律效力，经合同双方签署立即生效。</w:t>
      </w:r>
    </w:p>
    <w:p>
      <w:pPr>
        <w:spacing w:line="360" w:lineRule="auto"/>
        <w:rPr>
          <w:rFonts w:ascii="宋体" w:hAnsi="宋体" w:eastAsia="宋体" w:cs="宋体"/>
          <w:sz w:val="24"/>
          <w:szCs w:val="24"/>
        </w:rPr>
      </w:pPr>
      <w:r>
        <w:rPr>
          <w:rFonts w:hint="eastAsia" w:ascii="宋体" w:hAnsi="宋体" w:eastAsia="宋体" w:cs="宋体"/>
          <w:sz w:val="24"/>
          <w:szCs w:val="24"/>
        </w:rPr>
        <w:t>第八条：其他</w:t>
      </w:r>
    </w:p>
    <w:p>
      <w:pPr>
        <w:spacing w:line="360" w:lineRule="auto"/>
        <w:rPr>
          <w:rFonts w:ascii="宋体" w:hAnsi="宋体" w:eastAsia="宋体" w:cs="宋体"/>
          <w:sz w:val="24"/>
          <w:szCs w:val="24"/>
        </w:rPr>
      </w:pPr>
      <w:r>
        <w:rPr>
          <w:rFonts w:hint="eastAsia" w:ascii="宋体" w:hAnsi="宋体" w:eastAsia="宋体" w:cs="宋体"/>
          <w:sz w:val="24"/>
          <w:szCs w:val="24"/>
        </w:rPr>
        <w:t>1、如有未尽事宜，由双方依法订立补充合同。</w:t>
      </w:r>
    </w:p>
    <w:p>
      <w:pPr>
        <w:spacing w:line="360" w:lineRule="auto"/>
        <w:rPr>
          <w:rFonts w:ascii="宋体" w:hAnsi="宋体" w:eastAsia="宋体" w:cs="宋体"/>
          <w:sz w:val="24"/>
          <w:szCs w:val="24"/>
        </w:rPr>
      </w:pPr>
      <w:r>
        <w:rPr>
          <w:rFonts w:hint="eastAsia" w:ascii="宋体" w:hAnsi="宋体" w:eastAsia="宋体" w:cs="宋体"/>
          <w:sz w:val="24"/>
          <w:szCs w:val="24"/>
        </w:rPr>
        <w:t>2、本合同一式六份，自双方签章之日起生效。甲方三份，乙方、政府采购管理部门、采购代理机构各一份。</w:t>
      </w:r>
    </w:p>
    <w:p>
      <w:pPr>
        <w:spacing w:line="360" w:lineRule="auto"/>
        <w:rPr>
          <w:rFonts w:ascii="宋体" w:hAnsi="宋体" w:eastAsia="宋体" w:cs="宋体"/>
          <w:sz w:val="24"/>
          <w:szCs w:val="24"/>
        </w:rPr>
      </w:pPr>
    </w:p>
    <w:bookmarkEnd w:id="100"/>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r>
        <w:rPr>
          <w:rFonts w:hint="eastAsia" w:ascii="宋体" w:hAnsi="宋体" w:eastAsia="宋体" w:cs="宋体"/>
          <w:sz w:val="24"/>
          <w:szCs w:val="24"/>
        </w:rPr>
        <w:tab/>
      </w: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签约日期：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spacing w:line="360" w:lineRule="auto"/>
        <w:rPr>
          <w:rFonts w:ascii="宋体" w:hAnsi="宋体" w:eastAsia="宋体" w:cs="宋体"/>
          <w:sz w:val="24"/>
          <w:szCs w:val="24"/>
        </w:rPr>
      </w:pPr>
    </w:p>
    <w:p>
      <w:pPr>
        <w:rPr>
          <w:rFonts w:ascii="黑体" w:hAnsi="黑体" w:eastAsia="黑体" w:cs="Calibri Light"/>
          <w:sz w:val="36"/>
          <w:szCs w:val="28"/>
        </w:rPr>
      </w:pPr>
      <w:r>
        <w:rPr>
          <w:rFonts w:ascii="黑体" w:hAnsi="黑体" w:eastAsia="黑体" w:cs="Calibri Light"/>
          <w:sz w:val="28"/>
          <w:szCs w:val="28"/>
        </w:rPr>
        <w:br w:type="page"/>
      </w:r>
    </w:p>
    <w:p>
      <w:pPr>
        <w:widowControl/>
        <w:wordWrap w:val="0"/>
        <w:spacing w:line="400" w:lineRule="exact"/>
        <w:ind w:firstLine="723" w:firstLineChars="200"/>
        <w:jc w:val="center"/>
        <w:rPr>
          <w:rFonts w:ascii="宋体" w:hAnsi="宋体" w:eastAsia="宋体" w:cs="宋体"/>
          <w:b/>
          <w:bCs/>
          <w:sz w:val="36"/>
          <w:szCs w:val="36"/>
        </w:rPr>
      </w:pPr>
    </w:p>
    <w:p>
      <w:pPr>
        <w:widowControl/>
        <w:wordWrap w:val="0"/>
        <w:spacing w:line="400" w:lineRule="exact"/>
        <w:ind w:firstLine="723" w:firstLineChars="200"/>
        <w:jc w:val="center"/>
        <w:outlineLvl w:val="0"/>
        <w:rPr>
          <w:rFonts w:ascii="宋体" w:hAnsi="宋体" w:eastAsia="宋体" w:cs="宋体"/>
          <w:b/>
          <w:bCs/>
          <w:sz w:val="36"/>
          <w:szCs w:val="36"/>
        </w:rPr>
      </w:pPr>
      <w:bookmarkStart w:id="107" w:name="_Toc25445"/>
      <w:r>
        <w:rPr>
          <w:rFonts w:hint="eastAsia" w:ascii="宋体" w:hAnsi="宋体" w:eastAsia="宋体" w:cs="宋体"/>
          <w:b/>
          <w:bCs/>
          <w:sz w:val="36"/>
          <w:szCs w:val="36"/>
        </w:rPr>
        <w:t>第五章  投标文件构成及格式</w:t>
      </w:r>
      <w:bookmarkEnd w:id="87"/>
      <w:bookmarkEnd w:id="88"/>
      <w:bookmarkEnd w:id="89"/>
      <w:bookmarkEnd w:id="90"/>
      <w:bookmarkEnd w:id="91"/>
      <w:bookmarkEnd w:id="92"/>
      <w:bookmarkEnd w:id="93"/>
      <w:bookmarkEnd w:id="94"/>
      <w:bookmarkEnd w:id="95"/>
      <w:bookmarkEnd w:id="96"/>
      <w:bookmarkEnd w:id="97"/>
      <w:bookmarkEnd w:id="98"/>
      <w:bookmarkEnd w:id="107"/>
    </w:p>
    <w:p>
      <w:pPr>
        <w:widowControl/>
        <w:ind w:firstLine="251" w:firstLineChars="70"/>
        <w:jc w:val="center"/>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jc w:val="center"/>
        <w:rPr>
          <w:rFonts w:asciiTheme="minorEastAsia" w:hAnsiTheme="minorEastAsia" w:cstheme="minorEastAsia"/>
          <w:b/>
          <w:sz w:val="44"/>
          <w:szCs w:val="44"/>
        </w:rPr>
      </w:pPr>
      <w:r>
        <w:rPr>
          <w:rFonts w:hint="eastAsia" w:asciiTheme="minorEastAsia" w:hAnsiTheme="minorEastAsia" w:cstheme="minorEastAsia"/>
          <w:b/>
          <w:sz w:val="44"/>
          <w:szCs w:val="44"/>
        </w:rPr>
        <w:t>西安市重点区域环境空气颗粒物监管能力运维项目（包2）</w:t>
      </w:r>
    </w:p>
    <w:p>
      <w:pPr>
        <w:widowControl/>
        <w:jc w:val="center"/>
        <w:rPr>
          <w:rFonts w:ascii="华文中宋" w:hAnsi="华文中宋" w:eastAsia="华文中宋" w:cs="Calibri Light"/>
          <w:sz w:val="96"/>
          <w:szCs w:val="96"/>
        </w:rPr>
      </w:pPr>
      <w:r>
        <w:rPr>
          <w:rFonts w:ascii="华文中宋" w:hAnsi="华文中宋" w:eastAsia="华文中宋" w:cs="Calibri Light"/>
          <w:spacing w:val="323"/>
          <w:kern w:val="0"/>
          <w:sz w:val="96"/>
          <w:szCs w:val="96"/>
          <w:fitText w:val="5778" w:id="-1444721663"/>
        </w:rPr>
        <w:t>投标文</w:t>
      </w:r>
      <w:r>
        <w:rPr>
          <w:rFonts w:ascii="华文中宋" w:hAnsi="华文中宋" w:eastAsia="华文中宋" w:cs="Calibri Light"/>
          <w:spacing w:val="0"/>
          <w:kern w:val="0"/>
          <w:sz w:val="96"/>
          <w:szCs w:val="96"/>
          <w:fitText w:val="5778" w:id="-1444721663"/>
        </w:rPr>
        <w:t>件</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sz w:val="36"/>
          <w:szCs w:val="36"/>
        </w:rPr>
        <w:t>SXDXYZB2023-005-02</w:t>
      </w:r>
      <w:r>
        <w:rPr>
          <w:rFonts w:ascii="Calibri Light" w:hAnsi="Calibri Light" w:eastAsia="华文仿宋" w:cs="Calibri Light"/>
          <w:sz w:val="36"/>
          <w:szCs w:val="36"/>
        </w:rPr>
        <w:t>）</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ind w:firstLine="1684" w:firstLineChars="468"/>
        <w:rPr>
          <w:rFonts w:ascii="Calibri Light" w:hAnsi="Calibri Light" w:eastAsia="华文仿宋" w:cs="Calibri Light"/>
          <w:sz w:val="36"/>
          <w:szCs w:val="28"/>
        </w:rPr>
      </w:pPr>
      <w:r>
        <w:rPr>
          <w:rFonts w:ascii="Calibri Light" w:hAnsi="Calibri Light" w:eastAsia="华文仿宋" w:cs="Calibri Light"/>
          <w:sz w:val="36"/>
          <w:szCs w:val="28"/>
        </w:rPr>
        <w:t>服务商：__________________</w:t>
      </w:r>
    </w:p>
    <w:p>
      <w:pPr>
        <w:widowControl/>
        <w:ind w:firstLine="1684"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p>
      <w:pPr>
        <w:widowControl/>
        <w:spacing w:line="400" w:lineRule="exact"/>
        <w:ind w:firstLine="200"/>
        <w:jc w:val="left"/>
        <w:rPr>
          <w:rFonts w:ascii="Calibri Light" w:hAnsi="Calibri Light" w:eastAsia="华文仿宋" w:cs="Calibri Light"/>
          <w:sz w:val="36"/>
          <w:szCs w:val="28"/>
        </w:rPr>
      </w:pPr>
      <w:r>
        <w:rPr>
          <w:rFonts w:ascii="Calibri Light" w:hAnsi="Calibri Light" w:eastAsia="华文仿宋" w:cs="Calibri Light"/>
          <w:sz w:val="36"/>
          <w:szCs w:val="28"/>
        </w:rPr>
        <w:br w:type="page"/>
      </w:r>
    </w:p>
    <w:p>
      <w:pPr>
        <w:widowControl/>
        <w:jc w:val="center"/>
        <w:rPr>
          <w:rFonts w:ascii="宋体" w:hAnsi="宋体" w:eastAsia="宋体" w:cs="宋体"/>
          <w:b/>
          <w:sz w:val="44"/>
          <w:szCs w:val="44"/>
        </w:rPr>
      </w:pPr>
      <w:r>
        <w:rPr>
          <w:rFonts w:hint="eastAsia" w:ascii="宋体" w:hAnsi="宋体" w:eastAsia="宋体" w:cs="宋体"/>
          <w:b/>
          <w:sz w:val="44"/>
          <w:szCs w:val="44"/>
        </w:rPr>
        <w:t>目  录</w:t>
      </w:r>
    </w:p>
    <w:p>
      <w:pPr>
        <w:widowControl/>
        <w:jc w:val="center"/>
        <w:rPr>
          <w:rFonts w:ascii="Calibri Light" w:hAnsi="Calibri Light" w:eastAsia="华文仿宋" w:cs="Calibri Light"/>
          <w:b/>
          <w:sz w:val="36"/>
          <w:szCs w:val="36"/>
        </w:rPr>
      </w:pP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第一部分  投标函</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第二部分  开标一览表</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第三部分  资格证明文件</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第四部分  服务商概况</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第五部分  服务商参加政府采购活动承诺书</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第六部分  投标方案</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spacing w:line="360" w:lineRule="auto"/>
        <w:jc w:val="center"/>
        <w:rPr>
          <w:rFonts w:ascii="宋体" w:hAnsi="宋体" w:eastAsia="宋体" w:cs="宋体"/>
          <w:b/>
          <w:bCs/>
          <w:sz w:val="36"/>
          <w:szCs w:val="36"/>
        </w:rPr>
      </w:pPr>
      <w:r>
        <w:rPr>
          <w:rFonts w:ascii="Calibri Light" w:hAnsi="Calibri Light" w:eastAsia="华文仿宋" w:cs="Calibri Light"/>
          <w:sz w:val="32"/>
          <w:szCs w:val="32"/>
        </w:rPr>
        <w:br w:type="page"/>
      </w:r>
      <w:r>
        <w:rPr>
          <w:rFonts w:hint="eastAsia" w:ascii="宋体" w:hAnsi="宋体" w:eastAsia="宋体" w:cs="宋体"/>
          <w:b/>
          <w:bCs/>
          <w:sz w:val="36"/>
          <w:szCs w:val="36"/>
        </w:rPr>
        <w:t>第一部分  投标函</w:t>
      </w:r>
    </w:p>
    <w:p>
      <w:pPr>
        <w:widowControl/>
        <w:spacing w:line="360" w:lineRule="auto"/>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我方收到贵单位发布的《西安市智慧环保综合指挥中心西安市重点区域环境空气颗粒物监管能力运维项目（包2）项目》（项目编号：SXDXYZB2023-005-02）招标文件，经详细研究，我方决定参加该项目的招标活动。为此，我方郑重声明以下诸点，并负法律责任。</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二、我方已悉知并关注了贵单位在政府采购信息发布媒体（详见第二章的“招标文件的修改、澄清”）上发布的关于本项目的有关变更公告（包括但不限于对招标文件作出的修改或澄清、答疑纪要，以及项目暂停、重启、延期、终止等）。</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三、我方同意向贵单位提供与本投标有关的任何证明材料，保证所提交的证明材料真实、合法、有效。我方理解最低价不是中标的唯一条件，并尊重评标委员会的评审结果。</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四、我方愿意按照招标文件中的一切要求，完成本项目的合同责任和义务。</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五、若我方中标，我方将在领取中标通知书时提交纸质投标文件正本一套、副本两套。</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六、我方的投标文件在开标之日起___个日历日（应不少于90个日历日）内有效，如中标，延长至合同执行完毕时止。</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七、所有关于此次招标活动的函电，请按下列地址联系：</w:t>
      </w:r>
    </w:p>
    <w:p>
      <w:pPr>
        <w:widowControl/>
        <w:spacing w:line="360" w:lineRule="auto"/>
        <w:ind w:firstLine="567"/>
        <w:rPr>
          <w:rFonts w:ascii="宋体" w:hAnsi="宋体" w:eastAsia="宋体" w:cs="宋体"/>
          <w:sz w:val="24"/>
          <w:szCs w:val="24"/>
        </w:rPr>
      </w:pPr>
    </w:p>
    <w:p>
      <w:pPr>
        <w:widowControl/>
        <w:spacing w:line="360" w:lineRule="auto"/>
        <w:ind w:firstLine="567"/>
        <w:rPr>
          <w:rFonts w:ascii="宋体" w:hAnsi="宋体" w:eastAsia="宋体" w:cs="宋体"/>
          <w:sz w:val="24"/>
          <w:szCs w:val="24"/>
        </w:rPr>
      </w:pP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联系地址：</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联系电话：</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传真：</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邮编：</w:t>
      </w:r>
    </w:p>
    <w:p>
      <w:pPr>
        <w:widowControl/>
        <w:spacing w:line="360" w:lineRule="auto"/>
        <w:ind w:firstLine="567"/>
        <w:rPr>
          <w:rFonts w:ascii="宋体" w:hAnsi="宋体" w:eastAsia="宋体" w:cs="宋体"/>
          <w:sz w:val="24"/>
          <w:szCs w:val="24"/>
        </w:rPr>
      </w:pPr>
      <w:r>
        <w:rPr>
          <w:rFonts w:hint="eastAsia" w:ascii="宋体" w:hAnsi="宋体" w:eastAsia="宋体" w:cs="宋体"/>
          <w:sz w:val="24"/>
          <w:szCs w:val="24"/>
        </w:rPr>
        <w:t>电子邮箱：</w:t>
      </w:r>
    </w:p>
    <w:p>
      <w:pPr>
        <w:widowControl/>
        <w:spacing w:line="360" w:lineRule="auto"/>
        <w:ind w:firstLine="567"/>
        <w:rPr>
          <w:rFonts w:ascii="宋体" w:hAnsi="宋体" w:eastAsia="宋体" w:cs="宋体"/>
          <w:sz w:val="24"/>
          <w:szCs w:val="24"/>
        </w:rPr>
        <w:sectPr>
          <w:headerReference r:id="rId10" w:type="default"/>
          <w:footerReference r:id="rId11" w:type="default"/>
          <w:footerReference r:id="rId12" w:type="even"/>
          <w:pgSz w:w="11906" w:h="16838"/>
          <w:pgMar w:top="1417" w:right="1417" w:bottom="1417" w:left="1417" w:header="851" w:footer="992" w:gutter="0"/>
          <w:cols w:space="425" w:num="1"/>
          <w:docGrid w:type="lines" w:linePitch="381" w:charSpace="704"/>
        </w:sectPr>
      </w:pPr>
      <w:r>
        <w:rPr>
          <w:rFonts w:hint="eastAsia" w:ascii="宋体" w:hAnsi="宋体" w:eastAsia="宋体" w:cs="宋体"/>
          <w:sz w:val="24"/>
          <w:szCs w:val="24"/>
        </w:rPr>
        <w:t>日期：　　年　月　</w:t>
      </w:r>
    </w:p>
    <w:p>
      <w:pPr>
        <w:numPr>
          <w:ilvl w:val="1"/>
          <w:numId w:val="0"/>
        </w:numPr>
        <w:spacing w:line="360" w:lineRule="auto"/>
        <w:jc w:val="center"/>
        <w:rPr>
          <w:rFonts w:ascii="宋体" w:hAnsi="宋体" w:eastAsia="宋体" w:cs="宋体"/>
          <w:b/>
          <w:bCs/>
          <w:sz w:val="36"/>
          <w:szCs w:val="36"/>
        </w:rPr>
      </w:pPr>
      <w:bookmarkStart w:id="108" w:name="_Toc217446085"/>
      <w:r>
        <w:rPr>
          <w:rFonts w:hint="eastAsia" w:ascii="宋体" w:hAnsi="宋体" w:eastAsia="宋体" w:cs="宋体"/>
          <w:b/>
          <w:bCs/>
          <w:sz w:val="36"/>
          <w:szCs w:val="36"/>
        </w:rPr>
        <w:t>第二部分  开标一览表</w:t>
      </w:r>
      <w:bookmarkEnd w:id="108"/>
    </w:p>
    <w:p>
      <w:pPr>
        <w:pStyle w:val="2"/>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单位：元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85"/>
        <w:gridCol w:w="1321"/>
        <w:gridCol w:w="1321"/>
        <w:gridCol w:w="1321"/>
        <w:gridCol w:w="124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4"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98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费用名称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12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c>
          <w:tcPr>
            <w:tcW w:w="130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3" w:type="dxa"/>
            <w:gridSpan w:val="7"/>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报价合计：元 ，       大写：</w:t>
            </w:r>
          </w:p>
        </w:tc>
      </w:tr>
    </w:tbl>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注：1.报价应是最终用户验收合格后的总价，包括</w:t>
      </w:r>
      <w:r>
        <w:rPr>
          <w:rFonts w:hint="eastAsia" w:ascii="宋体" w:hAnsi="宋体" w:eastAsia="宋体" w:cs="宋体"/>
          <w:sz w:val="24"/>
          <w:szCs w:val="24"/>
          <w:lang w:val="zh-CN"/>
        </w:rPr>
        <w:t>监测分析仪器及数据采集与传输设备、辅助设备、用电及网络保障、视频监控、护栏等辅助基础设施的日常维护、质量控制、故障维修、年度检修、预防性维护</w:t>
      </w:r>
      <w:r>
        <w:rPr>
          <w:rFonts w:hint="eastAsia" w:ascii="宋体" w:hAnsi="宋体" w:eastAsia="宋体" w:cs="宋体"/>
          <w:sz w:val="24"/>
          <w:szCs w:val="24"/>
        </w:rPr>
        <w:t xml:space="preserve">和招标文件规定的其他费用。 </w:t>
      </w:r>
    </w:p>
    <w:p>
      <w:pPr>
        <w:spacing w:line="360" w:lineRule="auto"/>
        <w:rPr>
          <w:rFonts w:ascii="宋体" w:hAnsi="宋体" w:eastAsia="宋体" w:cs="宋体"/>
          <w:sz w:val="24"/>
          <w:szCs w:val="24"/>
        </w:rPr>
      </w:pPr>
      <w:r>
        <w:rPr>
          <w:rFonts w:hint="eastAsia" w:ascii="宋体" w:hAnsi="宋体" w:eastAsia="宋体" w:cs="宋体"/>
          <w:sz w:val="24"/>
          <w:szCs w:val="24"/>
        </w:rPr>
        <w:t>2.“开标一览表”为多页的，每页均需由法定代表人或授权代表签字并加盖投标人印章。</w:t>
      </w:r>
    </w:p>
    <w:p>
      <w:pPr>
        <w:pStyle w:val="2"/>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投标日期：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bCs/>
          <w:sz w:val="36"/>
          <w:szCs w:val="36"/>
        </w:rPr>
        <w:t>分项报价明细表</w:t>
      </w:r>
    </w:p>
    <w:p>
      <w:pPr>
        <w:spacing w:line="360" w:lineRule="auto"/>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单位：元</w:t>
      </w:r>
    </w:p>
    <w:tbl>
      <w:tblPr>
        <w:tblStyle w:val="25"/>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946"/>
        <w:gridCol w:w="1486"/>
        <w:gridCol w:w="1486"/>
        <w:gridCol w:w="1555"/>
        <w:gridCol w:w="148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96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序号</w:t>
            </w:r>
          </w:p>
        </w:tc>
        <w:tc>
          <w:tcPr>
            <w:tcW w:w="194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费用名称</w:t>
            </w:r>
          </w:p>
        </w:tc>
        <w:tc>
          <w:tcPr>
            <w:tcW w:w="148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48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数量</w:t>
            </w:r>
          </w:p>
        </w:tc>
        <w:tc>
          <w:tcPr>
            <w:tcW w:w="1555"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投标单价</w:t>
            </w:r>
          </w:p>
        </w:tc>
        <w:tc>
          <w:tcPr>
            <w:tcW w:w="1487"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投标总价</w:t>
            </w:r>
          </w:p>
        </w:tc>
        <w:tc>
          <w:tcPr>
            <w:tcW w:w="1137"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tcBorders>
              <w:left w:val="single" w:color="auto" w:sz="4" w:space="0"/>
            </w:tcBorders>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bl>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注：投标人应按“分项报价明细表”的格式详细报出投标总价的各个组成部分的报价。</w:t>
      </w:r>
    </w:p>
    <w:p>
      <w:pPr>
        <w:spacing w:line="360" w:lineRule="auto"/>
        <w:rPr>
          <w:rFonts w:ascii="宋体" w:hAnsi="宋体" w:eastAsia="宋体" w:cs="宋体"/>
          <w:sz w:val="24"/>
          <w:szCs w:val="24"/>
        </w:rPr>
      </w:pPr>
      <w:r>
        <w:rPr>
          <w:rFonts w:hint="eastAsia" w:ascii="宋体" w:hAnsi="宋体" w:eastAsia="宋体" w:cs="宋体"/>
          <w:sz w:val="24"/>
          <w:szCs w:val="24"/>
        </w:rPr>
        <w:t xml:space="preserve">    “分项报价明细表”各分项报价合计应当与“开标一览表”报价合计相等。</w:t>
      </w:r>
    </w:p>
    <w:p>
      <w:pPr>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p>
    <w:p>
      <w:pPr>
        <w:pStyle w:val="2"/>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投标日期：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第三部分  资格证明文件</w:t>
      </w:r>
    </w:p>
    <w:p>
      <w:pPr>
        <w:widowControl/>
        <w:spacing w:line="360" w:lineRule="auto"/>
        <w:ind w:firstLine="480" w:firstLineChars="200"/>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服务商应按照《招标公告》所列“服务商资格要求”提供全部资格证明文件，缺少其中任何一项，其投标文件将被视为无效文件。</w:t>
      </w:r>
    </w:p>
    <w:p>
      <w:pPr>
        <w:widowControl/>
        <w:spacing w:line="360" w:lineRule="auto"/>
        <w:rPr>
          <w:rFonts w:ascii="宋体" w:hAnsi="宋体" w:eastAsia="宋体" w:cs="宋体"/>
          <w:sz w:val="24"/>
          <w:szCs w:val="24"/>
        </w:rPr>
      </w:pPr>
      <w:r>
        <w:rPr>
          <w:rFonts w:hint="eastAsia" w:ascii="宋体" w:hAnsi="宋体" w:eastAsia="宋体" w:cs="宋体"/>
          <w:b/>
          <w:sz w:val="24"/>
          <w:szCs w:val="24"/>
        </w:rPr>
        <w:t>一、有效的登记注册证：</w:t>
      </w:r>
    </w:p>
    <w:p>
      <w:pPr>
        <w:widowControl/>
        <w:spacing w:line="360" w:lineRule="auto"/>
        <w:rPr>
          <w:rFonts w:ascii="宋体" w:hAnsi="宋体" w:eastAsia="宋体" w:cs="宋体"/>
          <w:sz w:val="24"/>
          <w:szCs w:val="24"/>
        </w:rPr>
      </w:pPr>
      <w:r>
        <w:rPr>
          <w:rFonts w:hint="eastAsia" w:ascii="宋体" w:hAnsi="宋体" w:eastAsia="宋体" w:cs="宋体"/>
          <w:b/>
          <w:sz w:val="24"/>
          <w:szCs w:val="24"/>
        </w:rPr>
        <w:t>二、财务状况报告</w:t>
      </w:r>
      <w:r>
        <w:rPr>
          <w:rFonts w:hint="eastAsia" w:ascii="宋体" w:hAnsi="宋体" w:eastAsia="宋体" w:cs="宋体"/>
          <w:sz w:val="24"/>
          <w:szCs w:val="24"/>
        </w:rPr>
        <w:t>：</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说明：两种形式任选一种，其中采用第二种形式的须按下方给定格式填写基本存款账户信息：</w:t>
      </w:r>
    </w:p>
    <w:p>
      <w:pPr>
        <w:widowControl/>
        <w:spacing w:before="190" w:beforeLines="50" w:line="360" w:lineRule="auto"/>
        <w:jc w:val="center"/>
        <w:rPr>
          <w:rFonts w:ascii="宋体" w:hAnsi="宋体" w:eastAsia="宋体" w:cs="宋体"/>
          <w:sz w:val="24"/>
          <w:szCs w:val="24"/>
        </w:rPr>
      </w:pPr>
      <w:r>
        <w:rPr>
          <w:rFonts w:hint="eastAsia" w:ascii="宋体" w:hAnsi="宋体" w:eastAsia="宋体" w:cs="宋体"/>
          <w:sz w:val="24"/>
          <w:szCs w:val="24"/>
        </w:rPr>
        <w:t>基本存款账户信息</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账户名称：</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账户号码：</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开户银行：</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法定代表人：（签字或盖章）</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基本存款账户编号：</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after="190" w:afterLines="50" w:line="360" w:lineRule="auto"/>
        <w:ind w:firstLine="484" w:firstLineChars="202"/>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rPr>
          <w:rFonts w:ascii="宋体" w:hAnsi="宋体" w:eastAsia="宋体" w:cs="宋体"/>
          <w:sz w:val="24"/>
          <w:szCs w:val="24"/>
        </w:rPr>
      </w:pPr>
      <w:r>
        <w:rPr>
          <w:rFonts w:hint="eastAsia" w:ascii="宋体" w:hAnsi="宋体" w:eastAsia="宋体" w:cs="宋体"/>
          <w:b/>
          <w:sz w:val="24"/>
          <w:szCs w:val="24"/>
        </w:rPr>
        <w:t>三、社会保障资金缴纳证明</w:t>
      </w:r>
      <w:r>
        <w:rPr>
          <w:rFonts w:hint="eastAsia" w:ascii="宋体" w:hAnsi="宋体" w:eastAsia="宋体" w:cs="宋体"/>
          <w:sz w:val="24"/>
          <w:szCs w:val="24"/>
        </w:rPr>
        <w:t>：</w:t>
      </w:r>
    </w:p>
    <w:p>
      <w:pPr>
        <w:widowControl/>
        <w:spacing w:line="360" w:lineRule="auto"/>
        <w:rPr>
          <w:rFonts w:ascii="宋体" w:hAnsi="宋体" w:eastAsia="宋体" w:cs="宋体"/>
          <w:sz w:val="24"/>
          <w:szCs w:val="24"/>
        </w:rPr>
      </w:pPr>
      <w:r>
        <w:rPr>
          <w:rFonts w:hint="eastAsia" w:ascii="宋体" w:hAnsi="宋体" w:eastAsia="宋体" w:cs="宋体"/>
          <w:b/>
          <w:sz w:val="24"/>
          <w:szCs w:val="24"/>
        </w:rPr>
        <w:t>四、税收缴纳证明：</w:t>
      </w:r>
    </w:p>
    <w:p>
      <w:pPr>
        <w:widowControl/>
        <w:spacing w:line="360" w:lineRule="auto"/>
        <w:rPr>
          <w:rFonts w:ascii="宋体" w:hAnsi="宋体" w:eastAsia="宋体" w:cs="宋体"/>
          <w:sz w:val="24"/>
          <w:szCs w:val="24"/>
        </w:rPr>
      </w:pPr>
      <w:r>
        <w:rPr>
          <w:rFonts w:hint="eastAsia" w:ascii="宋体" w:hAnsi="宋体" w:eastAsia="宋体" w:cs="宋体"/>
          <w:b/>
          <w:sz w:val="24"/>
          <w:szCs w:val="24"/>
        </w:rPr>
        <w:t>五、无重大违法记录声明</w:t>
      </w:r>
      <w:r>
        <w:rPr>
          <w:rFonts w:hint="eastAsia" w:ascii="宋体" w:hAnsi="宋体" w:eastAsia="宋体" w:cs="宋体"/>
          <w:sz w:val="24"/>
          <w:szCs w:val="24"/>
        </w:rPr>
        <w:t>：（按下方给定格式进行填写）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示：1、服务商可通过【信用中国（www.creditchina.gov.cn）】、【中国政府采购网（www.ccgp.gov.cn）】网站对自身信用记录进行自查，并按查询结果填写下述声明。2、服务商在参加政府采购活动前三年内因违法经营被禁止在一定期限内参加政府采购活动，期限届满的，可以参加政府采购活动，但应提供期限届满的证明材料。</w:t>
      </w:r>
    </w:p>
    <w:p>
      <w:pPr>
        <w:widowControl/>
        <w:spacing w:before="190" w:beforeLines="50" w:line="360" w:lineRule="auto"/>
        <w:jc w:val="center"/>
        <w:rPr>
          <w:rFonts w:ascii="宋体" w:hAnsi="宋体" w:eastAsia="宋体" w:cs="宋体"/>
          <w:sz w:val="24"/>
          <w:szCs w:val="24"/>
        </w:rPr>
      </w:pPr>
      <w:r>
        <w:rPr>
          <w:rFonts w:hint="eastAsia" w:ascii="宋体" w:hAnsi="宋体" w:eastAsia="宋体" w:cs="宋体"/>
          <w:sz w:val="24"/>
          <w:szCs w:val="24"/>
        </w:rPr>
        <w:t>无重大违法记录声明</w:t>
      </w:r>
    </w:p>
    <w:p>
      <w:pPr>
        <w:widowControl/>
        <w:spacing w:line="360" w:lineRule="auto"/>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我方作为西安市智慧环保综合指挥中心</w:t>
      </w:r>
      <w:r>
        <w:rPr>
          <w:rFonts w:hint="eastAsia" w:ascii="宋体" w:hAnsi="宋体" w:eastAsia="宋体" w:cs="宋体"/>
          <w:sz w:val="24"/>
          <w:szCs w:val="24"/>
          <w:u w:val="single"/>
        </w:rPr>
        <w:t>西安市重点区域环境空气颗粒物监管能力运维项目（包2）项目</w:t>
      </w:r>
      <w:r>
        <w:rPr>
          <w:rFonts w:hint="eastAsia" w:ascii="宋体" w:hAnsi="宋体" w:eastAsia="宋体" w:cs="宋体"/>
          <w:sz w:val="24"/>
          <w:szCs w:val="24"/>
        </w:rPr>
        <w:t>（项目编号：SXDXYZB2023-005-02）的投标服务商，在此郑重声明：</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1、在参加本次政府采购活动前3年内的经营活动中___（填“没有”或“有”）重大违法记录。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2、我方___（填“未被列入”或“被列入”）失信被执行人名单。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3、我方___（填“未被列入”或“被列入”）重大税收违法案件当事人名单。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4、我方___（填“未被列入”或“被列入”）政府采购严重违法失信行为记录名单。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特此声明。</w:t>
      </w:r>
    </w:p>
    <w:p>
      <w:pPr>
        <w:widowControl/>
        <w:tabs>
          <w:tab w:val="center" w:pos="6663"/>
        </w:tabs>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服务商：（服务商全称并加盖公章）</w:t>
      </w:r>
    </w:p>
    <w:p>
      <w:pPr>
        <w:widowControl/>
        <w:tabs>
          <w:tab w:val="center" w:pos="6663"/>
        </w:tabs>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日　期：　　年　月　日</w:t>
      </w:r>
    </w:p>
    <w:p>
      <w:pPr>
        <w:widowControl/>
        <w:spacing w:line="360" w:lineRule="auto"/>
        <w:ind w:firstLine="480" w:firstLineChars="200"/>
        <w:rPr>
          <w:rFonts w:ascii="宋体" w:hAnsi="宋体" w:eastAsia="宋体" w:cs="宋体"/>
          <w:sz w:val="24"/>
          <w:szCs w:val="24"/>
        </w:rPr>
      </w:pPr>
    </w:p>
    <w:p>
      <w:pPr>
        <w:widowControl/>
        <w:spacing w:line="360" w:lineRule="auto"/>
        <w:rPr>
          <w:rFonts w:ascii="宋体" w:hAnsi="宋体" w:eastAsia="宋体" w:cs="宋体"/>
          <w:sz w:val="24"/>
          <w:szCs w:val="24"/>
        </w:rPr>
      </w:pPr>
      <w:r>
        <w:rPr>
          <w:rFonts w:hint="eastAsia" w:ascii="宋体" w:hAnsi="宋体" w:eastAsia="宋体" w:cs="宋体"/>
          <w:b/>
          <w:sz w:val="24"/>
          <w:szCs w:val="24"/>
        </w:rPr>
        <w:t>六、法定代表人委托授权书</w:t>
      </w:r>
      <w:r>
        <w:rPr>
          <w:rFonts w:hint="eastAsia" w:ascii="宋体" w:hAnsi="宋体" w:eastAsia="宋体" w:cs="宋体"/>
          <w:sz w:val="24"/>
          <w:szCs w:val="24"/>
        </w:rPr>
        <w:t>（按下方给定格式进行填写）：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注：法定代表人亲自参加投标的，无需提供该委托授权书，但须提供法定代表人本人身份证（正反面）复印件。</w:t>
      </w:r>
    </w:p>
    <w:p>
      <w:pPr>
        <w:widowControl/>
        <w:spacing w:before="190" w:beforeLines="50" w:line="360" w:lineRule="auto"/>
        <w:jc w:val="center"/>
        <w:rPr>
          <w:rFonts w:ascii="宋体" w:hAnsi="宋体" w:eastAsia="宋体" w:cs="宋体"/>
          <w:sz w:val="24"/>
          <w:szCs w:val="24"/>
        </w:rPr>
      </w:pPr>
      <w:r>
        <w:rPr>
          <w:rFonts w:hint="eastAsia" w:ascii="宋体" w:hAnsi="宋体" w:eastAsia="宋体" w:cs="宋体"/>
          <w:sz w:val="24"/>
          <w:szCs w:val="24"/>
        </w:rPr>
        <w:t>法定代表人委托授权书</w:t>
      </w:r>
    </w:p>
    <w:p>
      <w:pPr>
        <w:widowControl/>
        <w:snapToGrid w:val="0"/>
        <w:spacing w:line="360" w:lineRule="auto"/>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napToGrid w:val="0"/>
        <w:spacing w:after="19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（被授权人姓名）</w:t>
      </w:r>
      <w:r>
        <w:rPr>
          <w:rFonts w:hint="eastAsia" w:ascii="宋体" w:hAnsi="宋体" w:eastAsia="宋体" w:cs="宋体"/>
          <w:sz w:val="24"/>
          <w:szCs w:val="24"/>
        </w:rPr>
        <w:t>为本公司的全权代表人，参加贵单位组织的西安市智慧环保综合指挥中心</w:t>
      </w:r>
      <w:r>
        <w:rPr>
          <w:rFonts w:hint="eastAsia" w:ascii="宋体" w:hAnsi="宋体" w:eastAsia="宋体" w:cs="宋体"/>
          <w:sz w:val="24"/>
          <w:szCs w:val="24"/>
          <w:u w:val="single"/>
        </w:rPr>
        <w:t>西安市重点区域环境空气颗粒物监管能力运维项目（包2）项目</w:t>
      </w:r>
      <w:r>
        <w:rPr>
          <w:rFonts w:hint="eastAsia" w:ascii="宋体" w:hAnsi="宋体" w:eastAsia="宋体" w:cs="宋体"/>
          <w:sz w:val="24"/>
          <w:szCs w:val="24"/>
        </w:rPr>
        <w:t>（项目编号：SXDXYZB2023-005-02）政府采购活动，就本项目的投标及合同的执行和完成，以本公司的名义处理一切与之有关的事宜。本授权有效期与投标文件有效期一致。</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被授权人姓名：_______________</w:t>
      </w:r>
      <w:r>
        <w:rPr>
          <w:rFonts w:hint="eastAsia" w:ascii="宋体" w:hAnsi="宋体" w:eastAsia="宋体" w:cs="宋体"/>
          <w:sz w:val="24"/>
          <w:szCs w:val="24"/>
        </w:rPr>
        <w:tab/>
      </w:r>
      <w:r>
        <w:rPr>
          <w:rFonts w:hint="eastAsia" w:ascii="宋体" w:hAnsi="宋体" w:eastAsia="宋体" w:cs="宋体"/>
          <w:sz w:val="24"/>
          <w:szCs w:val="24"/>
        </w:rPr>
        <w:t>电话：__________________</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身份证号码：_________________</w:t>
      </w:r>
      <w:r>
        <w:rPr>
          <w:rFonts w:hint="eastAsia" w:ascii="宋体" w:hAnsi="宋体" w:eastAsia="宋体" w:cs="宋体"/>
          <w:sz w:val="24"/>
          <w:szCs w:val="24"/>
        </w:rPr>
        <w:tab/>
      </w:r>
      <w:r>
        <w:rPr>
          <w:rFonts w:hint="eastAsia" w:ascii="宋体" w:hAnsi="宋体" w:eastAsia="宋体" w:cs="宋体"/>
          <w:sz w:val="24"/>
          <w:szCs w:val="24"/>
        </w:rPr>
        <w:t>职务：__________________</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通讯地址：_________________________________________________</w:t>
      </w:r>
    </w:p>
    <w:p>
      <w:pPr>
        <w:widowControl/>
        <w:tabs>
          <w:tab w:val="left" w:pos="3815"/>
          <w:tab w:val="left" w:pos="5103"/>
          <w:tab w:val="left" w:pos="6237"/>
        </w:tabs>
        <w:snapToGrid w:val="0"/>
        <w:spacing w:after="190" w:afterLines="50" w:line="360" w:lineRule="auto"/>
        <w:ind w:left="210" w:leftChars="100"/>
        <w:rPr>
          <w:rFonts w:ascii="宋体" w:hAnsi="宋体" w:eastAsia="宋体" w:cs="宋体"/>
          <w:sz w:val="24"/>
          <w:szCs w:val="24"/>
        </w:rPr>
      </w:pPr>
      <w:r>
        <w:rPr>
          <w:rFonts w:hint="eastAsia" w:ascii="宋体" w:hAnsi="宋体" w:eastAsia="宋体" w:cs="宋体"/>
          <w:sz w:val="24"/>
          <w:szCs w:val="24"/>
        </w:rPr>
        <w:t>邮政编码：___________________</w:t>
      </w:r>
      <w:r>
        <w:rPr>
          <w:rFonts w:hint="eastAsia" w:ascii="宋体" w:hAnsi="宋体" w:eastAsia="宋体" w:cs="宋体"/>
          <w:sz w:val="24"/>
          <w:szCs w:val="24"/>
        </w:rPr>
        <w:tab/>
      </w:r>
      <w:r>
        <w:rPr>
          <w:rFonts w:hint="eastAsia" w:ascii="宋体" w:hAnsi="宋体" w:eastAsia="宋体" w:cs="宋体"/>
          <w:sz w:val="24"/>
          <w:szCs w:val="24"/>
        </w:rPr>
        <w:t>电传：__________________</w:t>
      </w:r>
    </w:p>
    <w:tbl>
      <w:tblPr>
        <w:tblStyle w:val="25"/>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9"/>
        <w:gridCol w:w="236"/>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360" w:lineRule="auto"/>
              <w:ind w:firstLine="7" w:firstLineChars="3"/>
              <w:jc w:val="center"/>
              <w:rPr>
                <w:rFonts w:ascii="宋体" w:hAnsi="宋体" w:eastAsia="宋体" w:cs="宋体"/>
                <w:sz w:val="24"/>
                <w:szCs w:val="24"/>
              </w:rPr>
            </w:pPr>
            <w:r>
              <w:rPr>
                <w:rFonts w:hint="eastAsia" w:ascii="宋体" w:hAnsi="宋体" w:eastAsia="宋体" w:cs="宋体"/>
                <w:sz w:val="24"/>
                <w:szCs w:val="24"/>
              </w:rPr>
              <w:t>附法定代表人身份证复印件</w:t>
            </w:r>
          </w:p>
        </w:tc>
        <w:tc>
          <w:tcPr>
            <w:tcW w:w="236" w:type="dxa"/>
            <w:tcBorders>
              <w:top w:val="nil"/>
              <w:left w:val="single" w:color="auto" w:sz="12" w:space="0"/>
              <w:bottom w:val="nil"/>
              <w:right w:val="single" w:color="auto" w:sz="12" w:space="0"/>
            </w:tcBorders>
          </w:tcPr>
          <w:p>
            <w:pPr>
              <w:widowControl/>
              <w:spacing w:line="360" w:lineRule="auto"/>
              <w:jc w:val="center"/>
              <w:rPr>
                <w:rFonts w:ascii="宋体" w:hAnsi="宋体" w:eastAsia="宋体" w:cs="宋体"/>
                <w:sz w:val="24"/>
                <w:szCs w:val="24"/>
              </w:rPr>
            </w:pPr>
          </w:p>
        </w:tc>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dashSmallGap" w:color="auto" w:sz="4" w:space="0"/>
              <w:left w:val="single" w:color="auto" w:sz="12" w:space="0"/>
              <w:bottom w:val="single" w:color="auto" w:sz="12" w:space="0"/>
              <w:right w:val="single" w:color="auto" w:sz="12" w:space="0"/>
            </w:tcBorders>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（正、反面）</w:t>
            </w:r>
          </w:p>
        </w:tc>
        <w:tc>
          <w:tcPr>
            <w:tcW w:w="236" w:type="dxa"/>
            <w:tcBorders>
              <w:top w:val="nil"/>
              <w:left w:val="single" w:color="auto" w:sz="12" w:space="0"/>
              <w:bottom w:val="nil"/>
              <w:right w:val="single" w:color="auto" w:sz="12" w:space="0"/>
            </w:tcBorders>
          </w:tcPr>
          <w:p>
            <w:pPr>
              <w:widowControl/>
              <w:spacing w:line="360" w:lineRule="auto"/>
              <w:jc w:val="center"/>
              <w:rPr>
                <w:rFonts w:ascii="宋体" w:hAnsi="宋体" w:eastAsia="宋体" w:cs="宋体"/>
                <w:sz w:val="24"/>
                <w:szCs w:val="24"/>
              </w:rPr>
            </w:pPr>
          </w:p>
        </w:tc>
        <w:tc>
          <w:tcPr>
            <w:tcW w:w="4859" w:type="dxa"/>
            <w:tcBorders>
              <w:top w:val="dashSmallGap" w:color="auto" w:sz="4" w:space="0"/>
              <w:left w:val="single" w:color="auto" w:sz="12" w:space="0"/>
              <w:bottom w:val="single" w:color="auto" w:sz="12" w:space="0"/>
              <w:right w:val="single" w:color="auto" w:sz="12" w:space="0"/>
            </w:tcBorders>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（正、反面）</w:t>
            </w:r>
          </w:p>
        </w:tc>
      </w:tr>
    </w:tbl>
    <w:p>
      <w:pPr>
        <w:widowControl/>
        <w:tabs>
          <w:tab w:val="right" w:pos="9070"/>
        </w:tabs>
        <w:spacing w:before="190" w:beforeLines="50" w:line="360" w:lineRule="auto"/>
        <w:rPr>
          <w:rFonts w:ascii="宋体" w:hAnsi="宋体" w:eastAsia="宋体" w:cs="宋体"/>
          <w:sz w:val="24"/>
          <w:szCs w:val="24"/>
        </w:rPr>
      </w:pPr>
      <w:r>
        <w:rPr>
          <w:rFonts w:hint="eastAsia" w:ascii="宋体" w:hAnsi="宋体" w:eastAsia="宋体" w:cs="宋体"/>
          <w:sz w:val="24"/>
          <w:szCs w:val="24"/>
        </w:rPr>
        <w:t>服务商：（服务商全称并加盖公章）</w:t>
      </w:r>
      <w:r>
        <w:rPr>
          <w:rFonts w:hint="eastAsia" w:ascii="宋体" w:hAnsi="宋体" w:eastAsia="宋体" w:cs="宋体"/>
          <w:sz w:val="24"/>
          <w:szCs w:val="24"/>
        </w:rPr>
        <w:tab/>
      </w:r>
      <w:r>
        <w:rPr>
          <w:rFonts w:hint="eastAsia" w:ascii="宋体" w:hAnsi="宋体" w:eastAsia="宋体" w:cs="宋体"/>
          <w:sz w:val="24"/>
          <w:szCs w:val="24"/>
        </w:rPr>
        <w:t>法定代表人：（签字或盖章）</w:t>
      </w:r>
    </w:p>
    <w:p>
      <w:pPr>
        <w:widowControl/>
        <w:spacing w:after="190" w:afterLines="50" w:line="360" w:lineRule="auto"/>
        <w:ind w:firstLine="5640" w:firstLineChars="2350"/>
        <w:rPr>
          <w:rFonts w:ascii="宋体" w:hAnsi="宋体" w:eastAsia="宋体" w:cs="宋体"/>
          <w:sz w:val="24"/>
          <w:szCs w:val="24"/>
        </w:rPr>
      </w:pPr>
      <w:r>
        <w:rPr>
          <w:rFonts w:hint="eastAsia" w:ascii="宋体" w:hAnsi="宋体" w:eastAsia="宋体" w:cs="宋体"/>
          <w:sz w:val="24"/>
          <w:szCs w:val="24"/>
        </w:rPr>
        <w:t>　　年　月　日</w:t>
      </w:r>
    </w:p>
    <w:p>
      <w:pPr>
        <w:widowControl/>
        <w:spacing w:after="190" w:afterLines="50" w:line="360" w:lineRule="auto"/>
        <w:ind w:firstLine="5640" w:firstLineChars="2350"/>
        <w:rPr>
          <w:rFonts w:ascii="宋体" w:hAnsi="宋体" w:eastAsia="宋体" w:cs="宋体"/>
          <w:sz w:val="24"/>
          <w:szCs w:val="24"/>
        </w:rPr>
      </w:pPr>
    </w:p>
    <w:p>
      <w:pPr>
        <w:widowControl/>
        <w:spacing w:after="190" w:afterLines="50" w:line="360" w:lineRule="auto"/>
        <w:rPr>
          <w:rFonts w:ascii="宋体" w:hAnsi="宋体" w:eastAsia="宋体" w:cs="宋体"/>
          <w:b/>
          <w:sz w:val="24"/>
          <w:szCs w:val="24"/>
        </w:rPr>
      </w:pPr>
      <w:r>
        <w:rPr>
          <w:rFonts w:hint="eastAsia" w:ascii="宋体" w:hAnsi="宋体" w:eastAsia="宋体" w:cs="宋体"/>
          <w:b/>
          <w:sz w:val="24"/>
          <w:szCs w:val="24"/>
        </w:rPr>
        <w:t>七、招标公告中要求的其他资格证明文件：</w:t>
      </w:r>
    </w:p>
    <w:p>
      <w:pPr>
        <w:widowControl/>
        <w:spacing w:after="190" w:afterLines="50" w:line="360" w:lineRule="auto"/>
        <w:rPr>
          <w:rFonts w:ascii="宋体" w:hAnsi="宋体" w:eastAsia="宋体" w:cs="宋体"/>
          <w:b/>
          <w:sz w:val="24"/>
          <w:szCs w:val="24"/>
        </w:rPr>
      </w:pPr>
    </w:p>
    <w:p>
      <w:pPr>
        <w:widowControl/>
        <w:spacing w:after="190" w:afterLines="50" w:line="360" w:lineRule="auto"/>
        <w:rPr>
          <w:rFonts w:ascii="宋体" w:hAnsi="宋体" w:eastAsia="宋体" w:cs="宋体"/>
          <w:b/>
          <w:sz w:val="24"/>
          <w:szCs w:val="24"/>
        </w:rPr>
      </w:pP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第四部分  服务商概况</w:t>
      </w:r>
    </w:p>
    <w:p>
      <w:pPr>
        <w:widowControl/>
        <w:spacing w:before="190" w:beforeLines="50" w:line="360" w:lineRule="auto"/>
        <w:rPr>
          <w:rFonts w:ascii="宋体" w:hAnsi="宋体" w:eastAsia="宋体" w:cs="宋体"/>
          <w:b/>
          <w:sz w:val="24"/>
          <w:szCs w:val="24"/>
        </w:rPr>
      </w:pPr>
      <w:r>
        <w:rPr>
          <w:rFonts w:hint="eastAsia" w:ascii="宋体" w:hAnsi="宋体" w:eastAsia="宋体" w:cs="宋体"/>
          <w:b/>
          <w:sz w:val="24"/>
          <w:szCs w:val="24"/>
        </w:rPr>
        <w:t>（一）服务商基本信息</w:t>
      </w:r>
    </w:p>
    <w:tbl>
      <w:tblPr>
        <w:tblStyle w:val="2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服务商全称</w:t>
            </w:r>
          </w:p>
        </w:tc>
        <w:tc>
          <w:tcPr>
            <w:tcW w:w="7494" w:type="dxa"/>
            <w:gridSpan w:val="5"/>
            <w:tcBorders>
              <w:top w:val="single" w:color="auto" w:sz="6" w:space="0"/>
              <w:bottom w:val="single" w:color="auto" w:sz="6"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注册地址</w:t>
            </w:r>
          </w:p>
        </w:tc>
        <w:tc>
          <w:tcPr>
            <w:tcW w:w="3119" w:type="dxa"/>
            <w:gridSpan w:val="2"/>
            <w:tcBorders>
              <w:top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tcBorders>
              <w:top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登记证号</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法定代表人</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（主要负责人）</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上年度</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营业收入</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基本存款账户</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基本存款</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账户账号</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kern w:val="0"/>
                <w:sz w:val="24"/>
                <w:szCs w:val="24"/>
              </w:rPr>
            </w:pPr>
          </w:p>
          <w:p>
            <w:pPr>
              <w:widowControl/>
              <w:autoSpaceDE w:val="0"/>
              <w:autoSpaceDN w:val="0"/>
              <w:adjustRightInd w:val="0"/>
              <w:spacing w:line="360" w:lineRule="auto"/>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33"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管理人员数量</w:t>
            </w: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60"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专业技术人员数量</w:t>
            </w:r>
          </w:p>
        </w:tc>
        <w:tc>
          <w:tcPr>
            <w:tcW w:w="1398" w:type="dxa"/>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86" w:type="dxa"/>
            <w:vMerge w:val="continue"/>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33"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残疾人人数</w:t>
            </w:r>
          </w:p>
        </w:tc>
        <w:tc>
          <w:tcPr>
            <w:tcW w:w="1417"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60"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少数民族人数</w:t>
            </w:r>
          </w:p>
        </w:tc>
        <w:tc>
          <w:tcPr>
            <w:tcW w:w="1398" w:type="dxa"/>
            <w:tcBorders>
              <w:bottom w:val="single" w:color="auto" w:sz="4"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存在直接控股、管理关系的相关服务商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服务商名称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vAlign w:val="center"/>
          </w:tcPr>
          <w:p>
            <w:pPr>
              <w:widowControl/>
              <w:spacing w:line="360" w:lineRule="auto"/>
              <w:ind w:left="360" w:hanging="360"/>
              <w:rPr>
                <w:rFonts w:ascii="宋体" w:hAnsi="宋体" w:eastAsia="宋体" w:cs="宋体"/>
                <w:sz w:val="24"/>
                <w:szCs w:val="24"/>
              </w:rPr>
            </w:pPr>
            <w:r>
              <w:rPr>
                <w:rFonts w:hint="eastAsia" w:ascii="宋体" w:hAnsi="宋体" w:eastAsia="宋体" w:cs="宋体"/>
                <w:sz w:val="24"/>
                <w:szCs w:val="24"/>
              </w:rPr>
              <w:t>1、登记证号指营业执照/事业单位法人证书/非企业专业服务机构执业许可证/民办非企业单位登记证书中的登记号，或“三证合一”改革后的统一社会信用代码。与服务商在资格证明文件中提供的登记证号码一致。</w:t>
            </w:r>
          </w:p>
          <w:p>
            <w:pPr>
              <w:widowControl/>
              <w:spacing w:line="360" w:lineRule="auto"/>
              <w:ind w:left="360" w:hanging="360"/>
              <w:rPr>
                <w:rFonts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widowControl/>
              <w:spacing w:line="360" w:lineRule="auto"/>
              <w:ind w:left="360" w:hanging="360"/>
              <w:rPr>
                <w:rFonts w:ascii="宋体" w:hAnsi="宋体" w:eastAsia="宋体" w:cs="宋体"/>
                <w:kern w:val="0"/>
                <w:sz w:val="24"/>
                <w:szCs w:val="24"/>
              </w:rPr>
            </w:pPr>
            <w:r>
              <w:rPr>
                <w:rFonts w:hint="eastAsia" w:ascii="宋体" w:hAnsi="宋体" w:eastAsia="宋体" w:cs="宋体"/>
                <w:sz w:val="24"/>
                <w:szCs w:val="24"/>
              </w:rPr>
              <w:t>3、服务商应如实填写上述信息。</w:t>
            </w:r>
          </w:p>
        </w:tc>
      </w:tr>
    </w:tbl>
    <w:p>
      <w:pPr>
        <w:widowControl/>
        <w:spacing w:line="360" w:lineRule="auto"/>
        <w:jc w:val="left"/>
        <w:rPr>
          <w:rFonts w:ascii="宋体" w:hAnsi="宋体" w:eastAsia="宋体" w:cs="宋体"/>
          <w:sz w:val="24"/>
          <w:szCs w:val="24"/>
        </w:rPr>
      </w:pPr>
      <w:r>
        <w:rPr>
          <w:rFonts w:hint="eastAsia" w:ascii="宋体" w:hAnsi="宋体" w:eastAsia="宋体" w:cs="宋体"/>
          <w:sz w:val="24"/>
          <w:szCs w:val="24"/>
        </w:rPr>
        <w:br w:type="page"/>
      </w:r>
    </w:p>
    <w:p>
      <w:pPr>
        <w:widowControl/>
        <w:spacing w:before="190" w:beforeLines="50" w:line="360" w:lineRule="auto"/>
        <w:rPr>
          <w:rFonts w:ascii="宋体" w:hAnsi="宋体" w:eastAsia="宋体" w:cs="宋体"/>
          <w:b/>
          <w:sz w:val="24"/>
          <w:szCs w:val="24"/>
        </w:rPr>
      </w:pPr>
      <w:r>
        <w:rPr>
          <w:rFonts w:hint="eastAsia" w:ascii="宋体" w:hAnsi="宋体" w:eastAsia="宋体" w:cs="宋体"/>
          <w:b/>
          <w:sz w:val="24"/>
          <w:szCs w:val="24"/>
        </w:rPr>
        <w:t>（二）服务商性质</w:t>
      </w:r>
    </w:p>
    <w:p>
      <w:pPr>
        <w:widowControl/>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rPr>
        <w:t>1、服务商为中小企业或残疾人福利性单位的，应按下文给定格式填写声明函。未提供或未按给定格式提</w:t>
      </w:r>
      <w:r>
        <w:rPr>
          <w:rFonts w:hint="eastAsia" w:ascii="宋体" w:hAnsi="宋体" w:eastAsia="宋体" w:cs="宋体"/>
          <w:sz w:val="24"/>
          <w:szCs w:val="24"/>
          <w:highlight w:val="none"/>
        </w:rPr>
        <w:t>供声明函的，其投标文件无效。</w:t>
      </w:r>
    </w:p>
    <w:p>
      <w:pPr>
        <w:widowControl/>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2、服务商为监狱企业的，应当提供由省级以上监狱管理局、戒毒管理局（含新疆生产建设兵团）出具的属于监狱企业的证明函（格式不限定）。未提供或未按给定格式提供声明函的，其投标文件无效。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特别提醒：仅当服务商属于中小微企业或残疾人福利性单位或监狱企业参与投标时才需填写相应的声明函/证明函，否则应当将其留空或直接删除。服务商性质将随成交公告一同公布，接受社会监督。</w:t>
      </w:r>
    </w:p>
    <w:p>
      <w:pPr>
        <w:widowControl/>
        <w:spacing w:line="360" w:lineRule="auto"/>
        <w:jc w:val="center"/>
        <w:rPr>
          <w:rFonts w:ascii="宋体" w:hAnsi="宋体" w:eastAsia="宋体" w:cs="宋体"/>
          <w:b/>
          <w:sz w:val="24"/>
          <w:szCs w:val="24"/>
        </w:rPr>
      </w:pPr>
    </w:p>
    <w:p>
      <w:pPr>
        <w:widowControl/>
        <w:spacing w:line="360" w:lineRule="auto"/>
        <w:jc w:val="center"/>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br w:type="page"/>
      </w:r>
    </w:p>
    <w:p>
      <w:pPr>
        <w:widowControl/>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pStyle w:val="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本公司（联合体）郑重声明，根据《政府采购促进中小 企业发展管理办法》（财库﹝2020﹞46 号）的规定，本公司 （联合体）参加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 程的施工单位全部为符合政策要求的中小企业（或者：服务 全部由符合政策要求的中小企业承接）。相关企业（含联合 体中的中小企业、签订分包意向协议的中小企业）的具体情 况如下：</w:t>
      </w:r>
    </w:p>
    <w:p>
      <w:pPr>
        <w:pStyle w:val="2"/>
        <w:numPr>
          <w:ilvl w:val="0"/>
          <w:numId w:val="20"/>
        </w:numPr>
        <w:adjustRightInd w:val="0"/>
        <w:spacing w:line="360" w:lineRule="auto"/>
        <w:ind w:left="0" w:firstLine="600" w:firstLineChars="250"/>
        <w:jc w:val="both"/>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 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pPr>
        <w:pStyle w:val="2"/>
        <w:numPr>
          <w:ilvl w:val="0"/>
          <w:numId w:val="20"/>
        </w:numPr>
        <w:spacing w:line="360" w:lineRule="auto"/>
        <w:ind w:left="0" w:firstLine="600" w:firstLineChars="250"/>
        <w:jc w:val="both"/>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pPr>
        <w:pStyle w:val="2"/>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 xml:space="preserve"> …… </w:t>
      </w:r>
    </w:p>
    <w:p>
      <w:pPr>
        <w:pStyle w:val="2"/>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pStyle w:val="2"/>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pStyle w:val="2"/>
        <w:spacing w:line="360" w:lineRule="auto"/>
        <w:ind w:firstLine="600" w:firstLineChars="250"/>
        <w:jc w:val="both"/>
        <w:rPr>
          <w:rFonts w:ascii="宋体" w:hAnsi="宋体" w:eastAsia="宋体" w:cs="宋体"/>
          <w:sz w:val="24"/>
          <w:szCs w:val="24"/>
        </w:rPr>
      </w:pPr>
    </w:p>
    <w:p>
      <w:pPr>
        <w:pStyle w:val="2"/>
        <w:spacing w:line="360" w:lineRule="auto"/>
        <w:ind w:left="600"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pStyle w:val="2"/>
        <w:spacing w:line="360" w:lineRule="auto"/>
        <w:ind w:left="600"/>
        <w:rPr>
          <w:rFonts w:ascii="宋体" w:hAnsi="宋体" w:eastAsia="宋体" w:cs="宋体"/>
          <w:sz w:val="24"/>
          <w:szCs w:val="24"/>
        </w:rPr>
      </w:pPr>
    </w:p>
    <w:p>
      <w:pPr>
        <w:pStyle w:val="2"/>
        <w:spacing w:line="360" w:lineRule="auto"/>
        <w:ind w:firstLine="4560" w:firstLineChars="1900"/>
        <w:rPr>
          <w:rFonts w:ascii="宋体" w:hAnsi="宋体" w:eastAsia="宋体" w:cs="宋体"/>
          <w:sz w:val="24"/>
          <w:szCs w:val="24"/>
        </w:rPr>
      </w:pPr>
      <w:r>
        <w:rPr>
          <w:rFonts w:hint="eastAsia" w:ascii="宋体" w:hAnsi="宋体" w:eastAsia="宋体" w:cs="宋体"/>
          <w:sz w:val="24"/>
          <w:szCs w:val="24"/>
        </w:rPr>
        <w:t>日 期：</w:t>
      </w:r>
    </w:p>
    <w:p>
      <w:pPr>
        <w:pStyle w:val="2"/>
        <w:spacing w:line="360" w:lineRule="auto"/>
        <w:ind w:left="600"/>
        <w:rPr>
          <w:rFonts w:ascii="宋体" w:hAnsi="宋体" w:eastAsia="宋体" w:cs="宋体"/>
          <w:sz w:val="24"/>
          <w:szCs w:val="24"/>
        </w:rPr>
      </w:pPr>
    </w:p>
    <w:p>
      <w:pPr>
        <w:pStyle w:val="2"/>
        <w:spacing w:line="360" w:lineRule="auto"/>
        <w:ind w:left="600"/>
        <w:rPr>
          <w:rFonts w:ascii="宋体" w:hAnsi="宋体" w:eastAsia="宋体" w:cs="宋体"/>
          <w:b/>
          <w:sz w:val="24"/>
          <w:szCs w:val="24"/>
        </w:rPr>
      </w:pPr>
      <w:r>
        <w:rPr>
          <w:rFonts w:hint="eastAsia" w:ascii="宋体" w:hAnsi="宋体" w:eastAsia="宋体" w:cs="宋体"/>
          <w:sz w:val="24"/>
          <w:szCs w:val="24"/>
        </w:rPr>
        <w:t>从业人员、营业收入、资产总额填报上一年度数据，无上一年度数据的新成立企业可不填报。</w:t>
      </w:r>
    </w:p>
    <w:p>
      <w:pPr>
        <w:spacing w:line="360" w:lineRule="auto"/>
        <w:rPr>
          <w:rFonts w:ascii="宋体" w:hAnsi="宋体" w:eastAsia="宋体" w:cs="宋体"/>
          <w:sz w:val="24"/>
          <w:szCs w:val="24"/>
        </w:rPr>
      </w:pPr>
    </w:p>
    <w:p>
      <w:pPr>
        <w:widowControl/>
        <w:spacing w:line="360" w:lineRule="auto"/>
        <w:jc w:val="center"/>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br w:type="page"/>
      </w:r>
    </w:p>
    <w:p>
      <w:pPr>
        <w:widowControl/>
        <w:spacing w:line="360" w:lineRule="auto"/>
        <w:jc w:val="center"/>
        <w:rPr>
          <w:rFonts w:ascii="宋体" w:hAnsi="宋体" w:eastAsia="宋体" w:cs="宋体"/>
          <w:b/>
          <w:sz w:val="24"/>
          <w:szCs w:val="24"/>
        </w:rPr>
      </w:pPr>
      <w:r>
        <w:rPr>
          <w:rFonts w:hint="eastAsia" w:ascii="宋体" w:hAnsi="宋体" w:eastAsia="宋体" w:cs="宋体"/>
          <w:b/>
          <w:sz w:val="24"/>
          <w:szCs w:val="24"/>
        </w:rPr>
        <w:t>残疾人福利性单位声明函（格式）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西安市智慧环保综合指挥中心西安市重点区域环境空气颗粒物监管能力运维项目（包2）项目</w:t>
      </w:r>
      <w:r>
        <w:rPr>
          <w:rFonts w:hint="eastAsia" w:ascii="宋体" w:hAnsi="宋体" w:eastAsia="宋体" w:cs="宋体"/>
          <w:sz w:val="24"/>
          <w:szCs w:val="24"/>
        </w:rPr>
        <w:t>（项目编号：SXDXYZB2023-005-02）采购活动提供本单位制造的货物（由本单位承担工程/提供服务），或者提供其他残疾人福利性单位制造的货物（不包括使用非残疾人福利性单位注册商标的货物）。</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widowControl/>
        <w:spacing w:line="360" w:lineRule="auto"/>
        <w:ind w:firstLine="480" w:firstLineChars="200"/>
        <w:jc w:val="left"/>
        <w:rPr>
          <w:rFonts w:ascii="宋体" w:hAnsi="宋体" w:eastAsia="宋体" w:cs="宋体"/>
          <w:sz w:val="24"/>
          <w:szCs w:val="24"/>
        </w:rPr>
      </w:pPr>
    </w:p>
    <w:p>
      <w:pPr>
        <w:widowControl/>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tabs>
          <w:tab w:val="left" w:pos="5670"/>
        </w:tabs>
        <w:spacing w:line="360" w:lineRule="auto"/>
        <w:ind w:firstLine="3120" w:firstLineChars="1300"/>
        <w:jc w:val="left"/>
        <w:rPr>
          <w:rFonts w:ascii="宋体" w:hAnsi="宋体" w:eastAsia="宋体" w:cs="宋体"/>
          <w:sz w:val="24"/>
          <w:szCs w:val="24"/>
        </w:rPr>
      </w:pPr>
      <w:r>
        <w:rPr>
          <w:rFonts w:hint="eastAsia" w:ascii="宋体" w:hAnsi="宋体" w:eastAsia="宋体" w:cs="宋体"/>
          <w:sz w:val="24"/>
          <w:szCs w:val="24"/>
        </w:rPr>
        <w:t>日　期：　　年　月　日</w:t>
      </w:r>
    </w:p>
    <w:p>
      <w:pPr>
        <w:widowControl/>
        <w:tabs>
          <w:tab w:val="left" w:pos="5670"/>
        </w:tabs>
        <w:spacing w:line="360" w:lineRule="auto"/>
        <w:ind w:firstLine="480" w:firstLineChars="200"/>
        <w:jc w:val="left"/>
        <w:rPr>
          <w:rFonts w:ascii="宋体" w:hAnsi="宋体" w:eastAsia="宋体" w:cs="宋体"/>
          <w:sz w:val="24"/>
          <w:szCs w:val="24"/>
        </w:rPr>
      </w:pPr>
    </w:p>
    <w:p>
      <w:pPr>
        <w:widowControl/>
        <w:tabs>
          <w:tab w:val="left" w:pos="567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说明：服务商在填报前请认真阅读《财政部、民政部、中国残疾人联合会关于促进残疾人就业政府采购政策的通知》。符合条件的服务商未按上述要求提供、填写的，评审时不予认可。</w:t>
      </w:r>
    </w:p>
    <w:p>
      <w:pPr>
        <w:widowControl/>
        <w:spacing w:line="360" w:lineRule="auto"/>
        <w:jc w:val="center"/>
        <w:rPr>
          <w:rFonts w:ascii="宋体" w:hAnsi="宋体" w:eastAsia="宋体" w:cs="宋体"/>
          <w:sz w:val="24"/>
          <w:szCs w:val="24"/>
        </w:rPr>
      </w:pPr>
    </w:p>
    <w:p>
      <w:pPr>
        <w:widowControl/>
        <w:spacing w:line="360" w:lineRule="auto"/>
        <w:jc w:val="center"/>
        <w:rPr>
          <w:rFonts w:ascii="宋体" w:hAnsi="宋体" w:eastAsia="宋体" w:cs="宋体"/>
          <w:b/>
          <w:sz w:val="24"/>
          <w:szCs w:val="24"/>
        </w:rPr>
      </w:pPr>
      <w:r>
        <w:rPr>
          <w:rFonts w:hint="eastAsia" w:ascii="宋体" w:hAnsi="宋体" w:eastAsia="宋体" w:cs="宋体"/>
          <w:b/>
          <w:sz w:val="24"/>
          <w:szCs w:val="24"/>
        </w:rPr>
        <w:t>监狱企业证明函</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第五部分  服务商参加政府采购活动承诺书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未签署下列承诺书的，其责任由服务商自行承担。</w:t>
      </w:r>
    </w:p>
    <w:p>
      <w:pPr>
        <w:widowControl/>
        <w:spacing w:before="190" w:beforeLines="50" w:line="360" w:lineRule="auto"/>
        <w:rPr>
          <w:rFonts w:ascii="宋体" w:hAnsi="宋体" w:eastAsia="宋体" w:cs="宋体"/>
          <w:b/>
          <w:sz w:val="24"/>
          <w:szCs w:val="24"/>
        </w:rPr>
      </w:pPr>
      <w:r>
        <w:rPr>
          <w:rFonts w:hint="eastAsia" w:ascii="宋体" w:hAnsi="宋体" w:eastAsia="宋体" w:cs="宋体"/>
          <w:b/>
          <w:color w:val="000000"/>
          <w:sz w:val="24"/>
          <w:szCs w:val="24"/>
        </w:rPr>
        <w:t>（一）</w:t>
      </w:r>
      <w:r>
        <w:rPr>
          <w:rFonts w:hint="eastAsia" w:ascii="宋体" w:hAnsi="宋体" w:eastAsia="宋体" w:cs="宋体"/>
          <w:b/>
          <w:sz w:val="24"/>
          <w:szCs w:val="24"/>
        </w:rPr>
        <w:t>质量安全责任承诺书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为保证本采购项目顺利进行，作为投标服务商，现郑重承诺：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1、我方投标产品的生产（包括设计、制造、安装、改造、维修等）、投入使用的材料等均完全符合国家现行质量、安全、环保标准和要求。</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2、我方将严格按照国家现行相关储存、运输、安装调试技术标准及规范、服务标准及规范、施工标准及规范，在规定的时限内，保质、保量完成项目全部内容，并向采购人交付合格产品。</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3、对于因产品生产质量以及储存、运输、安装调试、服务、施工等过程中产生的任何安全事故，我方承担全部责任。</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4、我方提供的货物、工程、服务等符合现行的国家、行业、地区、企业标准及要求，标准不一致的，以更为严格的为准，我方对提供的货物、工程、服务等的质量、安全、环保等承担全部责任。</w:t>
      </w:r>
    </w:p>
    <w:p>
      <w:pPr>
        <w:widowControl/>
        <w:spacing w:line="360" w:lineRule="auto"/>
        <w:ind w:firstLine="480" w:firstLineChars="200"/>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rPr>
          <w:rFonts w:ascii="宋体" w:hAnsi="宋体" w:eastAsia="宋体" w:cs="宋体"/>
          <w:color w:val="000000"/>
          <w:sz w:val="24"/>
          <w:szCs w:val="24"/>
        </w:rPr>
      </w:pPr>
    </w:p>
    <w:p>
      <w:pPr>
        <w:widowControl/>
        <w:spacing w:before="190" w:beforeLines="50" w:line="360" w:lineRule="auto"/>
        <w:rPr>
          <w:rFonts w:ascii="宋体" w:hAnsi="宋体" w:eastAsia="宋体" w:cs="宋体"/>
          <w:b/>
          <w:color w:val="000000"/>
          <w:sz w:val="24"/>
          <w:szCs w:val="24"/>
        </w:rPr>
      </w:pPr>
      <w:r>
        <w:rPr>
          <w:rFonts w:hint="eastAsia" w:ascii="宋体" w:hAnsi="宋体" w:eastAsia="宋体" w:cs="宋体"/>
          <w:b/>
          <w:color w:val="000000"/>
          <w:sz w:val="24"/>
          <w:szCs w:val="24"/>
        </w:rPr>
        <w:t>（二）参加政府采购活动行为自律承诺书</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作为参加本次政府采购项目的服务商，我方郑重承诺在参与政府采购活动中遵纪守法、公平竞争、诚实守信，如有违反愿承担一切责任及后果：</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1、不与采购人、采购代理、政府采购评审专家恶意串通，不向其行贿或提供其他不正当利益；</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2、不与其他服务商恶意串通，采取“围标、串标、陪标”等商业欺诈手段谋取中标、成交；</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3、不提供虚假或无效证明文件（包括但不限于资格证明文件、合同及验收文件、检验检测报告、从业人员资格证书、机构或所投产品的各类认证证书等）或虚假材料谋取中标、成交；</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4、不采取不正当手段诋毁、排挤其他服务商；</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5、不以不正当理由拒不与采购人签订政府采购合同，或逾期签订政府采购合同，或不按照采购文件确定的事项签订政府采购合同；</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6、不以不正当理由拒绝履行合同义务，不会擅自变更、中止或者终止政府采购合同或将政府采购合同转包；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7、不在提供商品、服务或工程施工过程中提供假冒伪劣产品，损害采</w:t>
      </w:r>
      <w:r>
        <w:rPr>
          <w:rFonts w:hint="eastAsia" w:ascii="宋体" w:hAnsi="宋体" w:eastAsia="宋体" w:cs="宋体"/>
          <w:sz w:val="24"/>
          <w:szCs w:val="24"/>
        </w:rPr>
        <w:t>购人的合法权益或公共利益；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8、不采取捏造事实、提供虚假材料或者以非法手段取得证明材料进行质疑和投诉；</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10、尊重和接受政府采购监督管理部门的监督和采购人、采购代理的政府采购工作要求，愿意承担因违约行为给采购人造成的损失。</w:t>
      </w:r>
    </w:p>
    <w:p>
      <w:pPr>
        <w:widowControl/>
        <w:spacing w:line="360" w:lineRule="auto"/>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第六部分  投标方案</w:t>
      </w:r>
    </w:p>
    <w:p>
      <w:pPr>
        <w:widowControl/>
        <w:spacing w:line="360" w:lineRule="auto"/>
        <w:rPr>
          <w:rFonts w:ascii="宋体" w:hAnsi="宋体" w:eastAsia="宋体" w:cs="宋体"/>
          <w:b/>
          <w:sz w:val="24"/>
          <w:szCs w:val="24"/>
        </w:rPr>
      </w:pPr>
      <w:r>
        <w:rPr>
          <w:rFonts w:hint="eastAsia" w:ascii="宋体" w:hAnsi="宋体" w:eastAsia="宋体" w:cs="宋体"/>
          <w:b/>
          <w:sz w:val="24"/>
          <w:szCs w:val="24"/>
        </w:rPr>
        <w:t>一、服务商可结合第三章《招标内容及要求》相关要求及第二章《评审要素及分值一览表》中各评审要素编制投标方案。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（一）总体方案；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（二）服务标准及承诺；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（三）主要业绩证明；</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（四）其他</w:t>
      </w:r>
    </w:p>
    <w:p>
      <w:pPr>
        <w:widowControl/>
        <w:spacing w:line="360" w:lineRule="auto"/>
        <w:ind w:firstLine="480" w:firstLineChars="200"/>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p>
    <w:p>
      <w:pPr>
        <w:widowControl/>
        <w:autoSpaceDE w:val="0"/>
        <w:autoSpaceDN w:val="0"/>
        <w:adjustRightInd w:val="0"/>
        <w:spacing w:line="360" w:lineRule="auto"/>
        <w:rPr>
          <w:rFonts w:ascii="宋体" w:hAnsi="宋体" w:eastAsia="宋体" w:cs="宋体"/>
          <w:b/>
          <w:sz w:val="24"/>
          <w:szCs w:val="24"/>
        </w:rPr>
      </w:pPr>
      <w:r>
        <w:rPr>
          <w:rFonts w:hint="eastAsia" w:ascii="宋体" w:hAnsi="宋体" w:eastAsia="宋体" w:cs="宋体"/>
          <w:b/>
          <w:sz w:val="24"/>
          <w:szCs w:val="24"/>
        </w:rPr>
        <w:t>二、服务商认为有利于本次招标的其他情况说明。</w:t>
      </w:r>
    </w:p>
    <w:p>
      <w:pPr>
        <w:widowControl/>
        <w:spacing w:line="360" w:lineRule="auto"/>
        <w:jc w:val="left"/>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sectPr>
      <w:footerReference r:id="rId15" w:type="first"/>
      <w:footerReference r:id="rId13" w:type="default"/>
      <w:footerReference r:id="rId14"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jc w:val="center"/>
      <w:rPr>
        <w:rFonts w:ascii="宋体" w:hAnsi="宋体" w:eastAsia="宋体"/>
      </w:rPr>
    </w:pPr>
    <w:r>
      <w:rPr>
        <w:rFonts w:ascii="宋体" w:hAnsi="宋体" w:eastAsia="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rFonts w:hint="eastAsia" w:ascii="宋体" w:hAnsi="宋体" w:eastAsia="宋体"/>
        <w:sz w:val="18"/>
        <w:szCs w:val="28"/>
      </w:rPr>
      <w:t>陕西德欣源项目管理有限公司</w:t>
    </w:r>
    <w:r>
      <w:rPr>
        <w:rFonts w:ascii="宋体" w:hAnsi="宋体" w:eastAsia="宋体"/>
        <w:sz w:val="18"/>
        <w:szCs w:val="28"/>
      </w:rPr>
      <w:tab/>
    </w:r>
    <w:r>
      <w:rPr>
        <w:rFonts w:ascii="宋体" w:hAnsi="宋体" w:eastAsia="宋体"/>
        <w:sz w:val="18"/>
        <w:szCs w:val="28"/>
      </w:rPr>
      <w:t>第</w:t>
    </w:r>
    <w:r>
      <w:rPr>
        <w:rFonts w:ascii="宋体" w:hAnsi="宋体" w:eastAsia="宋体"/>
        <w:sz w:val="18"/>
        <w:szCs w:val="28"/>
      </w:rPr>
      <w:fldChar w:fldCharType="begin"/>
    </w:r>
    <w:r>
      <w:rPr>
        <w:rFonts w:ascii="宋体" w:hAnsi="宋体" w:eastAsia="宋体"/>
        <w:sz w:val="18"/>
        <w:szCs w:val="28"/>
      </w:rPr>
      <w:instrText xml:space="preserve"> PAGE  \* MERGEFORMAT </w:instrText>
    </w:r>
    <w:r>
      <w:rPr>
        <w:rFonts w:ascii="宋体" w:hAnsi="宋体" w:eastAsia="宋体"/>
        <w:sz w:val="18"/>
        <w:szCs w:val="28"/>
      </w:rPr>
      <w:fldChar w:fldCharType="separate"/>
    </w:r>
    <w:r>
      <w:rPr>
        <w:rFonts w:ascii="宋体" w:hAnsi="宋体" w:eastAsia="宋体"/>
        <w:sz w:val="18"/>
        <w:szCs w:val="28"/>
      </w:rPr>
      <w:t>58</w:t>
    </w:r>
    <w:r>
      <w:rPr>
        <w:rFonts w:ascii="宋体" w:hAnsi="宋体" w:eastAsia="宋体"/>
        <w:sz w:val="18"/>
        <w:szCs w:val="28"/>
      </w:rPr>
      <w:fldChar w:fldCharType="end"/>
    </w:r>
    <w:r>
      <w:rPr>
        <w:rFonts w:ascii="宋体" w:hAnsi="宋体" w:eastAsia="宋体"/>
        <w:sz w:val="18"/>
        <w:szCs w:val="28"/>
      </w:rPr>
      <w:t>页　共</w:t>
    </w:r>
    <w:r>
      <w:rPr>
        <w:rFonts w:ascii="宋体" w:hAnsi="宋体" w:eastAsia="宋体"/>
        <w:sz w:val="18"/>
        <w:szCs w:val="28"/>
      </w:rPr>
      <w:fldChar w:fldCharType="begin"/>
    </w:r>
    <w:r>
      <w:rPr>
        <w:rFonts w:ascii="宋体" w:hAnsi="宋体" w:eastAsia="宋体"/>
        <w:sz w:val="18"/>
        <w:szCs w:val="28"/>
      </w:rPr>
      <w:instrText xml:space="preserve"> =</w:instrText>
    </w:r>
    <w:r>
      <w:rPr>
        <w:rFonts w:ascii="宋体" w:hAnsi="宋体" w:eastAsia="宋体"/>
        <w:sz w:val="18"/>
        <w:szCs w:val="28"/>
      </w:rPr>
      <w:fldChar w:fldCharType="begin"/>
    </w:r>
    <w:r>
      <w:rPr>
        <w:rFonts w:ascii="宋体" w:hAnsi="宋体" w:eastAsia="宋体"/>
        <w:sz w:val="18"/>
        <w:szCs w:val="28"/>
      </w:rPr>
      <w:instrText xml:space="preserve"> NUMPAGES  \* MERGEFORMAT </w:instrText>
    </w:r>
    <w:r>
      <w:rPr>
        <w:rFonts w:ascii="宋体" w:hAnsi="宋体" w:eastAsia="宋体"/>
        <w:sz w:val="18"/>
        <w:szCs w:val="28"/>
      </w:rPr>
      <w:fldChar w:fldCharType="separate"/>
    </w:r>
    <w:r>
      <w:rPr>
        <w:rFonts w:ascii="宋体" w:hAnsi="宋体" w:eastAsia="宋体"/>
        <w:sz w:val="18"/>
        <w:szCs w:val="28"/>
      </w:rPr>
      <w:instrText xml:space="preserve">60</w:instrText>
    </w:r>
    <w:r>
      <w:rPr>
        <w:rFonts w:ascii="宋体" w:hAnsi="宋体" w:eastAsia="宋体"/>
        <w:sz w:val="18"/>
        <w:szCs w:val="28"/>
      </w:rPr>
      <w:fldChar w:fldCharType="end"/>
    </w:r>
    <w:r>
      <w:rPr>
        <w:rFonts w:ascii="宋体" w:hAnsi="宋体" w:eastAsia="宋体"/>
        <w:sz w:val="18"/>
        <w:szCs w:val="28"/>
      </w:rPr>
      <w:instrText xml:space="preserve">-2 \* MERGEFORMAT </w:instrText>
    </w:r>
    <w:r>
      <w:rPr>
        <w:rFonts w:ascii="宋体" w:hAnsi="宋体" w:eastAsia="宋体"/>
        <w:sz w:val="18"/>
        <w:szCs w:val="28"/>
      </w:rPr>
      <w:fldChar w:fldCharType="separate"/>
    </w:r>
    <w:r>
      <w:rPr>
        <w:rFonts w:ascii="宋体" w:hAnsi="宋体" w:eastAsia="宋体"/>
        <w:sz w:val="18"/>
        <w:szCs w:val="28"/>
      </w:rPr>
      <w:t>58</w:t>
    </w:r>
    <w:r>
      <w:rPr>
        <w:rFonts w:ascii="宋体" w:hAnsi="宋体" w:eastAsia="宋体"/>
        <w:sz w:val="18"/>
        <w:szCs w:val="28"/>
      </w:rPr>
      <w:fldChar w:fldCharType="end"/>
    </w:r>
    <w:r>
      <w:rPr>
        <w:rFonts w:ascii="宋体" w:hAnsi="宋体" w:eastAsia="宋体"/>
        <w:sz w:val="18"/>
        <w:szCs w:val="2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rFonts w:hint="eastAsia" w:ascii="宋体" w:hAnsi="宋体" w:eastAsia="宋体"/>
        <w:sz w:val="18"/>
        <w:szCs w:val="28"/>
      </w:rPr>
      <w:t>陕西德欣源项目管理有限公司</w:t>
    </w:r>
    <w:r>
      <w:rPr>
        <w:rFonts w:ascii="宋体" w:hAnsi="宋体" w:eastAsia="宋体"/>
        <w:sz w:val="18"/>
        <w:szCs w:val="28"/>
      </w:rPr>
      <w:tab/>
    </w:r>
    <w:r>
      <w:rPr>
        <w:rFonts w:ascii="宋体" w:hAnsi="宋体" w:eastAsia="宋体"/>
        <w:sz w:val="18"/>
        <w:szCs w:val="28"/>
      </w:rPr>
      <w:t>第</w:t>
    </w:r>
    <w:r>
      <w:rPr>
        <w:rFonts w:ascii="宋体" w:hAnsi="宋体" w:eastAsia="宋体"/>
        <w:sz w:val="18"/>
        <w:szCs w:val="28"/>
      </w:rPr>
      <w:fldChar w:fldCharType="begin"/>
    </w:r>
    <w:r>
      <w:rPr>
        <w:rFonts w:ascii="宋体" w:hAnsi="宋体" w:eastAsia="宋体"/>
        <w:sz w:val="18"/>
        <w:szCs w:val="28"/>
      </w:rPr>
      <w:instrText xml:space="preserve"> PAGE  \* MERGEFORMAT </w:instrText>
    </w:r>
    <w:r>
      <w:rPr>
        <w:rFonts w:ascii="宋体" w:hAnsi="宋体" w:eastAsia="宋体"/>
        <w:sz w:val="18"/>
        <w:szCs w:val="28"/>
      </w:rPr>
      <w:fldChar w:fldCharType="separate"/>
    </w:r>
    <w:r>
      <w:rPr>
        <w:rFonts w:ascii="宋体" w:hAnsi="宋体" w:eastAsia="宋体"/>
        <w:sz w:val="18"/>
        <w:szCs w:val="28"/>
      </w:rPr>
      <w:t>72</w:t>
    </w:r>
    <w:r>
      <w:rPr>
        <w:rFonts w:ascii="宋体" w:hAnsi="宋体" w:eastAsia="宋体"/>
        <w:sz w:val="18"/>
        <w:szCs w:val="28"/>
      </w:rPr>
      <w:fldChar w:fldCharType="end"/>
    </w:r>
    <w:r>
      <w:rPr>
        <w:rFonts w:ascii="宋体" w:hAnsi="宋体" w:eastAsia="宋体"/>
        <w:sz w:val="18"/>
        <w:szCs w:val="28"/>
      </w:rPr>
      <w:t>页　共</w:t>
    </w:r>
    <w:r>
      <w:rPr>
        <w:rFonts w:ascii="宋体" w:hAnsi="宋体" w:eastAsia="宋体"/>
        <w:sz w:val="18"/>
        <w:szCs w:val="28"/>
      </w:rPr>
      <w:fldChar w:fldCharType="begin"/>
    </w:r>
    <w:r>
      <w:rPr>
        <w:rFonts w:ascii="宋体" w:hAnsi="宋体" w:eastAsia="宋体"/>
        <w:sz w:val="18"/>
        <w:szCs w:val="28"/>
      </w:rPr>
      <w:instrText xml:space="preserve"> =</w:instrText>
    </w:r>
    <w:r>
      <w:rPr>
        <w:rFonts w:ascii="宋体" w:hAnsi="宋体" w:eastAsia="宋体"/>
        <w:sz w:val="18"/>
        <w:szCs w:val="28"/>
      </w:rPr>
      <w:fldChar w:fldCharType="begin"/>
    </w:r>
    <w:r>
      <w:rPr>
        <w:rFonts w:ascii="宋体" w:hAnsi="宋体" w:eastAsia="宋体"/>
        <w:sz w:val="18"/>
        <w:szCs w:val="28"/>
      </w:rPr>
      <w:instrText xml:space="preserve"> NUMPAGES  \* MERGEFORMAT </w:instrText>
    </w:r>
    <w:r>
      <w:rPr>
        <w:rFonts w:ascii="宋体" w:hAnsi="宋体" w:eastAsia="宋体"/>
        <w:sz w:val="18"/>
        <w:szCs w:val="28"/>
      </w:rPr>
      <w:fldChar w:fldCharType="separate"/>
    </w:r>
    <w:r>
      <w:rPr>
        <w:rFonts w:ascii="宋体" w:hAnsi="宋体" w:eastAsia="宋体"/>
        <w:sz w:val="18"/>
        <w:szCs w:val="28"/>
      </w:rPr>
      <w:instrText xml:space="preserve">74</w:instrText>
    </w:r>
    <w:r>
      <w:rPr>
        <w:rFonts w:ascii="宋体" w:hAnsi="宋体" w:eastAsia="宋体"/>
        <w:sz w:val="18"/>
        <w:szCs w:val="28"/>
      </w:rPr>
      <w:fldChar w:fldCharType="end"/>
    </w:r>
    <w:r>
      <w:rPr>
        <w:rFonts w:ascii="宋体" w:hAnsi="宋体" w:eastAsia="宋体"/>
        <w:sz w:val="18"/>
        <w:szCs w:val="28"/>
      </w:rPr>
      <w:instrText xml:space="preserve">-2 \* MERGEFORMAT </w:instrText>
    </w:r>
    <w:r>
      <w:rPr>
        <w:rFonts w:ascii="宋体" w:hAnsi="宋体" w:eastAsia="宋体"/>
        <w:sz w:val="18"/>
        <w:szCs w:val="28"/>
      </w:rPr>
      <w:fldChar w:fldCharType="separate"/>
    </w:r>
    <w:r>
      <w:rPr>
        <w:rFonts w:ascii="宋体" w:hAnsi="宋体" w:eastAsia="宋体"/>
        <w:sz w:val="18"/>
        <w:szCs w:val="28"/>
      </w:rPr>
      <w:t>72</w:t>
    </w:r>
    <w:r>
      <w:rPr>
        <w:rFonts w:ascii="宋体" w:hAnsi="宋体" w:eastAsia="宋体"/>
        <w:sz w:val="18"/>
        <w:szCs w:val="28"/>
      </w:rPr>
      <w:fldChar w:fldCharType="end"/>
    </w:r>
    <w:r>
      <w:rPr>
        <w:rFonts w:ascii="宋体" w:hAnsi="宋体" w:eastAsia="宋体"/>
        <w:sz w:val="18"/>
        <w:szCs w:val="2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enter" w:pos="4536"/>
        <w:tab w:val="right" w:pos="9070"/>
        <w:tab w:val="clear" w:pos="4153"/>
        <w:tab w:val="clear" w:pos="8306"/>
      </w:tabs>
    </w:pPr>
    <w:r>
      <w:rPr>
        <w:rFonts w:hint="eastAsia" w:ascii="宋体" w:hAnsi="宋体" w:eastAsia="宋体"/>
      </w:rPr>
      <w:t>陕西德欣源项目管理有限公司</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Bdr>
        <w:bottom w:val="none" w:color="auto" w:sz="0" w:space="0"/>
      </w:pBdr>
      <w:tabs>
        <w:tab w:val="clear" w:pos="4153"/>
        <w:tab w:val="clear" w:pos="8306"/>
      </w:tabs>
      <w:jc w:val="both"/>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tabs>
        <w:tab w:val="clear" w:pos="4153"/>
        <w:tab w:val="clear" w:pos="8306"/>
      </w:tabs>
      <w:jc w:val="left"/>
      <w:rPr>
        <w:rFonts w:ascii="宋体" w:hAnsi="宋体" w:eastAsia="宋体"/>
      </w:rPr>
    </w:pPr>
    <w:r>
      <w:rPr>
        <w:rFonts w:hint="eastAsia" w:ascii="宋体" w:hAnsi="宋体" w:eastAsia="宋体"/>
      </w:rPr>
      <w:t>西安市重点区域环境空气颗粒物监管能力项目（包2）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right"/>
      <w:rPr>
        <w:rFonts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2AE54"/>
    <w:multiLevelType w:val="singleLevel"/>
    <w:tmpl w:val="A422AE54"/>
    <w:lvl w:ilvl="0" w:tentative="0">
      <w:start w:val="1"/>
      <w:numFmt w:val="upperLetter"/>
      <w:suff w:val="space"/>
      <w:lvlText w:val="%1)"/>
      <w:lvlJc w:val="left"/>
      <w:pPr>
        <w:ind w:left="0" w:firstLine="0"/>
      </w:pPr>
    </w:lvl>
  </w:abstractNum>
  <w:abstractNum w:abstractNumId="1">
    <w:nsid w:val="AB817738"/>
    <w:multiLevelType w:val="singleLevel"/>
    <w:tmpl w:val="AB817738"/>
    <w:lvl w:ilvl="0" w:tentative="0">
      <w:start w:val="2"/>
      <w:numFmt w:val="upperLetter"/>
      <w:suff w:val="space"/>
      <w:lvlText w:val="%1)"/>
      <w:lvlJc w:val="left"/>
      <w:pPr>
        <w:ind w:left="0" w:firstLine="0"/>
      </w:pPr>
    </w:lvl>
  </w:abstractNum>
  <w:abstractNum w:abstractNumId="2">
    <w:nsid w:val="B6B4892C"/>
    <w:multiLevelType w:val="singleLevel"/>
    <w:tmpl w:val="B6B4892C"/>
    <w:lvl w:ilvl="0" w:tentative="0">
      <w:start w:val="1"/>
      <w:numFmt w:val="decimalEnclosedCircleChinese"/>
      <w:suff w:val="space"/>
      <w:lvlText w:val="%1"/>
      <w:lvlJc w:val="left"/>
      <w:pPr>
        <w:ind w:left="0" w:firstLine="0"/>
      </w:pPr>
    </w:lvl>
  </w:abstractNum>
  <w:abstractNum w:abstractNumId="3">
    <w:nsid w:val="C7EAE9EF"/>
    <w:multiLevelType w:val="singleLevel"/>
    <w:tmpl w:val="C7EAE9EF"/>
    <w:lvl w:ilvl="0" w:tentative="0">
      <w:start w:val="1"/>
      <w:numFmt w:val="decimalEnclosedCircleChinese"/>
      <w:suff w:val="space"/>
      <w:lvlText w:val="%1"/>
      <w:lvlJc w:val="left"/>
      <w:pPr>
        <w:ind w:left="0" w:firstLine="0"/>
      </w:pPr>
    </w:lvl>
  </w:abstractNum>
  <w:abstractNum w:abstractNumId="4">
    <w:nsid w:val="D3F638DD"/>
    <w:multiLevelType w:val="singleLevel"/>
    <w:tmpl w:val="D3F638DD"/>
    <w:lvl w:ilvl="0" w:tentative="0">
      <w:start w:val="1"/>
      <w:numFmt w:val="decimalEnclosedCircleChinese"/>
      <w:suff w:val="space"/>
      <w:lvlText w:val="%1"/>
      <w:lvlJc w:val="left"/>
      <w:pPr>
        <w:ind w:left="0" w:firstLine="0"/>
      </w:pPr>
    </w:lvl>
  </w:abstractNum>
  <w:abstractNum w:abstractNumId="5">
    <w:nsid w:val="EE99886A"/>
    <w:multiLevelType w:val="singleLevel"/>
    <w:tmpl w:val="EE99886A"/>
    <w:lvl w:ilvl="0" w:tentative="0">
      <w:start w:val="1"/>
      <w:numFmt w:val="decimalEnclosedCircleChinese"/>
      <w:suff w:val="space"/>
      <w:lvlText w:val="%1"/>
      <w:lvlJc w:val="left"/>
      <w:pPr>
        <w:ind w:left="0" w:firstLine="0"/>
      </w:pPr>
    </w:lvl>
  </w:abstractNum>
  <w:abstractNum w:abstractNumId="6">
    <w:nsid w:val="F88D51B7"/>
    <w:multiLevelType w:val="singleLevel"/>
    <w:tmpl w:val="F88D51B7"/>
    <w:lvl w:ilvl="0" w:tentative="0">
      <w:start w:val="1"/>
      <w:numFmt w:val="decimalEnclosedCircleChinese"/>
      <w:suff w:val="space"/>
      <w:lvlText w:val="%1"/>
      <w:lvlJc w:val="left"/>
      <w:pPr>
        <w:ind w:left="0" w:firstLine="0"/>
      </w:pPr>
    </w:lvl>
  </w:abstractNum>
  <w:abstractNum w:abstractNumId="7">
    <w:nsid w:val="1201CA94"/>
    <w:multiLevelType w:val="singleLevel"/>
    <w:tmpl w:val="1201CA94"/>
    <w:lvl w:ilvl="0" w:tentative="0">
      <w:start w:val="1"/>
      <w:numFmt w:val="upperLetter"/>
      <w:suff w:val="space"/>
      <w:lvlText w:val="%1)"/>
      <w:lvlJc w:val="left"/>
      <w:pPr>
        <w:ind w:left="0" w:firstLine="0"/>
      </w:pPr>
    </w:lvl>
  </w:abstractNum>
  <w:abstractNum w:abstractNumId="8">
    <w:nsid w:val="30291BA8"/>
    <w:multiLevelType w:val="singleLevel"/>
    <w:tmpl w:val="30291BA8"/>
    <w:lvl w:ilvl="0" w:tentative="0">
      <w:start w:val="1"/>
      <w:numFmt w:val="decimalEnclosedCircleChinese"/>
      <w:suff w:val="space"/>
      <w:lvlText w:val="%1"/>
      <w:lvlJc w:val="left"/>
      <w:pPr>
        <w:ind w:left="0" w:firstLine="0"/>
      </w:pPr>
      <w:rPr>
        <w:sz w:val="22"/>
        <w:szCs w:val="22"/>
      </w:rPr>
    </w:lvl>
  </w:abstractNum>
  <w:abstractNum w:abstractNumId="9">
    <w:nsid w:val="3C839884"/>
    <w:multiLevelType w:val="singleLevel"/>
    <w:tmpl w:val="3C839884"/>
    <w:lvl w:ilvl="0" w:tentative="0">
      <w:start w:val="1"/>
      <w:numFmt w:val="decimalEnclosedCircleChinese"/>
      <w:suff w:val="space"/>
      <w:lvlText w:val="%1"/>
      <w:lvlJc w:val="left"/>
      <w:pPr>
        <w:ind w:left="0" w:firstLine="0"/>
      </w:pPr>
    </w:lvl>
  </w:abstractNum>
  <w:abstractNum w:abstractNumId="1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AE0BAC"/>
    <w:multiLevelType w:val="singleLevel"/>
    <w:tmpl w:val="55AE0BAC"/>
    <w:lvl w:ilvl="0" w:tentative="0">
      <w:start w:val="1"/>
      <w:numFmt w:val="upperLetter"/>
      <w:suff w:val="space"/>
      <w:lvlText w:val="%1)"/>
      <w:lvlJc w:val="left"/>
    </w:lvl>
  </w:abstractNum>
  <w:abstractNum w:abstractNumId="12">
    <w:nsid w:val="5931270D"/>
    <w:multiLevelType w:val="singleLevel"/>
    <w:tmpl w:val="5931270D"/>
    <w:lvl w:ilvl="0" w:tentative="0">
      <w:start w:val="5"/>
      <w:numFmt w:val="decimal"/>
      <w:suff w:val="nothing"/>
      <w:lvlText w:val="%1."/>
      <w:lvlJc w:val="left"/>
      <w:pPr>
        <w:ind w:left="0" w:firstLine="0"/>
      </w:pPr>
    </w:lvl>
  </w:abstractNum>
  <w:abstractNum w:abstractNumId="13">
    <w:nsid w:val="5ADD6F4D"/>
    <w:multiLevelType w:val="singleLevel"/>
    <w:tmpl w:val="5ADD6F4D"/>
    <w:lvl w:ilvl="0" w:tentative="0">
      <w:start w:val="1"/>
      <w:numFmt w:val="decimal"/>
      <w:suff w:val="space"/>
      <w:lvlText w:val="%1."/>
      <w:lvlJc w:val="left"/>
      <w:pPr>
        <w:ind w:left="600" w:firstLine="0"/>
      </w:pPr>
    </w:lvl>
  </w:abstractNum>
  <w:abstractNum w:abstractNumId="14">
    <w:nsid w:val="5B077A6E"/>
    <w:multiLevelType w:val="singleLevel"/>
    <w:tmpl w:val="5B077A6E"/>
    <w:lvl w:ilvl="0" w:tentative="0">
      <w:start w:val="1"/>
      <w:numFmt w:val="upperLetter"/>
      <w:suff w:val="space"/>
      <w:lvlText w:val="%1)"/>
      <w:lvlJc w:val="left"/>
      <w:pPr>
        <w:ind w:left="0" w:firstLine="0"/>
      </w:pPr>
    </w:lvl>
  </w:abstractNum>
  <w:abstractNum w:abstractNumId="15">
    <w:nsid w:val="5CAB5927"/>
    <w:multiLevelType w:val="singleLevel"/>
    <w:tmpl w:val="5CAB5927"/>
    <w:lvl w:ilvl="0" w:tentative="0">
      <w:start w:val="3"/>
      <w:numFmt w:val="chineseCounting"/>
      <w:suff w:val="space"/>
      <w:lvlText w:val="第%1章"/>
      <w:lvlJc w:val="left"/>
      <w:rPr>
        <w:rFonts w:hint="eastAsia"/>
      </w:rPr>
    </w:lvl>
  </w:abstractNum>
  <w:abstractNum w:abstractNumId="16">
    <w:nsid w:val="6CA172B0"/>
    <w:multiLevelType w:val="singleLevel"/>
    <w:tmpl w:val="6CA172B0"/>
    <w:lvl w:ilvl="0" w:tentative="0">
      <w:start w:val="1"/>
      <w:numFmt w:val="decimalEnclosedCircleChinese"/>
      <w:suff w:val="space"/>
      <w:lvlText w:val="%1"/>
      <w:lvlJc w:val="left"/>
      <w:pPr>
        <w:ind w:left="0" w:firstLine="0"/>
      </w:pPr>
    </w:lvl>
  </w:abstractNum>
  <w:abstractNum w:abstractNumId="17">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8">
    <w:nsid w:val="7217632B"/>
    <w:multiLevelType w:val="singleLevel"/>
    <w:tmpl w:val="7217632B"/>
    <w:lvl w:ilvl="0" w:tentative="0">
      <w:start w:val="2"/>
      <w:numFmt w:val="upperLetter"/>
      <w:suff w:val="space"/>
      <w:lvlText w:val="%1)"/>
      <w:lvlJc w:val="left"/>
      <w:pPr>
        <w:ind w:left="0" w:firstLine="0"/>
      </w:pPr>
    </w:lvl>
  </w:abstractNum>
  <w:abstractNum w:abstractNumId="19">
    <w:nsid w:val="7CA7541A"/>
    <w:multiLevelType w:val="singleLevel"/>
    <w:tmpl w:val="7CA7541A"/>
    <w:lvl w:ilvl="0" w:tentative="0">
      <w:start w:val="1"/>
      <w:numFmt w:val="decimalEnclosedCircleChinese"/>
      <w:suff w:val="space"/>
      <w:lvlText w:val="%1"/>
      <w:lvlJc w:val="left"/>
      <w:pPr>
        <w:ind w:left="0" w:firstLine="0"/>
      </w:pPr>
    </w:lvl>
  </w:abstractNum>
  <w:num w:numId="1">
    <w:abstractNumId w:val="17"/>
  </w:num>
  <w:num w:numId="2">
    <w:abstractNumId w:val="10"/>
  </w:num>
  <w:num w:numId="3">
    <w:abstractNumId w:val="15"/>
  </w:num>
  <w:num w:numId="4">
    <w:abstractNumId w:val="14"/>
    <w:lvlOverride w:ilvl="0">
      <w:startOverride w:val="1"/>
    </w:lvlOverride>
  </w:num>
  <w:num w:numId="5">
    <w:abstractNumId w:val="16"/>
    <w:lvlOverride w:ilvl="0">
      <w:startOverride w:val="1"/>
    </w:lvlOverride>
  </w:num>
  <w:num w:numId="6">
    <w:abstractNumId w:val="9"/>
    <w:lvlOverride w:ilvl="0">
      <w:startOverride w:val="1"/>
    </w:lvlOverride>
  </w:num>
  <w:num w:numId="7">
    <w:abstractNumId w:val="5"/>
    <w:lvlOverride w:ilvl="0">
      <w:startOverride w:val="1"/>
    </w:lvlOverride>
  </w:num>
  <w:num w:numId="8">
    <w:abstractNumId w:val="18"/>
    <w:lvlOverride w:ilvl="0">
      <w:startOverride w:val="2"/>
    </w:lvlOverride>
  </w:num>
  <w:num w:numId="9">
    <w:abstractNumId w:val="3"/>
    <w:lvlOverride w:ilvl="0">
      <w:startOverride w:val="1"/>
    </w:lvlOverride>
  </w:num>
  <w:num w:numId="10">
    <w:abstractNumId w:val="19"/>
    <w:lvlOverride w:ilvl="0">
      <w:startOverride w:val="1"/>
    </w:lvlOverride>
  </w:num>
  <w:num w:numId="11">
    <w:abstractNumId w:val="1"/>
    <w:lvlOverride w:ilvl="0">
      <w:startOverride w:val="2"/>
    </w:lvlOverride>
  </w:num>
  <w:num w:numId="12">
    <w:abstractNumId w:val="8"/>
    <w:lvlOverride w:ilvl="0">
      <w:startOverride w:val="1"/>
    </w:lvlOverride>
  </w:num>
  <w:num w:numId="13">
    <w:abstractNumId w:val="4"/>
    <w:lvlOverride w:ilvl="0">
      <w:startOverride w:val="1"/>
    </w:lvlOverride>
  </w:num>
  <w:num w:numId="14">
    <w:abstractNumId w:val="7"/>
    <w:lvlOverride w:ilvl="0">
      <w:startOverride w:val="1"/>
    </w:lvlOverride>
  </w:num>
  <w:num w:numId="15">
    <w:abstractNumId w:val="2"/>
    <w:lvlOverride w:ilvl="0">
      <w:startOverride w:val="1"/>
    </w:lvlOverride>
  </w:num>
  <w:num w:numId="16">
    <w:abstractNumId w:val="11"/>
  </w:num>
  <w:num w:numId="17">
    <w:abstractNumId w:val="12"/>
    <w:lvlOverride w:ilvl="0">
      <w:startOverride w:val="5"/>
    </w:lvlOverride>
  </w:num>
  <w:num w:numId="18">
    <w:abstractNumId w:val="0"/>
    <w:lvlOverride w:ilvl="0">
      <w:startOverride w:val="1"/>
    </w:lvlOverride>
  </w:num>
  <w:num w:numId="19">
    <w:abstractNumId w:val="6"/>
    <w:lvlOverride w:ilvl="0">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Nzk5YjI2NTEzYzhhZTA1MjY1M2JmYjFjZTIxOGYifQ=="/>
  </w:docVars>
  <w:rsids>
    <w:rsidRoot w:val="007A3B80"/>
    <w:rsid w:val="0000159C"/>
    <w:rsid w:val="000019FA"/>
    <w:rsid w:val="00002491"/>
    <w:rsid w:val="00002BB3"/>
    <w:rsid w:val="00003F53"/>
    <w:rsid w:val="00004601"/>
    <w:rsid w:val="00004F9A"/>
    <w:rsid w:val="0000599C"/>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35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266"/>
    <w:rsid w:val="000F66FE"/>
    <w:rsid w:val="000F6831"/>
    <w:rsid w:val="000F6A10"/>
    <w:rsid w:val="000F735B"/>
    <w:rsid w:val="000F7456"/>
    <w:rsid w:val="000F7DA6"/>
    <w:rsid w:val="00100C1B"/>
    <w:rsid w:val="00103379"/>
    <w:rsid w:val="00103D6B"/>
    <w:rsid w:val="00104D98"/>
    <w:rsid w:val="001059A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0DD5"/>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6A1C"/>
    <w:rsid w:val="001A2103"/>
    <w:rsid w:val="001A396C"/>
    <w:rsid w:val="001A4690"/>
    <w:rsid w:val="001A5309"/>
    <w:rsid w:val="001A5764"/>
    <w:rsid w:val="001B0699"/>
    <w:rsid w:val="001B0C7B"/>
    <w:rsid w:val="001B2019"/>
    <w:rsid w:val="001B49FD"/>
    <w:rsid w:val="001B5135"/>
    <w:rsid w:val="001B5302"/>
    <w:rsid w:val="001C0BA3"/>
    <w:rsid w:val="001C0BBD"/>
    <w:rsid w:val="001C25ED"/>
    <w:rsid w:val="001C41E7"/>
    <w:rsid w:val="001D1BCB"/>
    <w:rsid w:val="001D22C0"/>
    <w:rsid w:val="001D26AB"/>
    <w:rsid w:val="001D2CE5"/>
    <w:rsid w:val="001D4171"/>
    <w:rsid w:val="001D576E"/>
    <w:rsid w:val="001D5B8C"/>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384E"/>
    <w:rsid w:val="00294428"/>
    <w:rsid w:val="002961E2"/>
    <w:rsid w:val="00296372"/>
    <w:rsid w:val="00297703"/>
    <w:rsid w:val="00297866"/>
    <w:rsid w:val="002A3B25"/>
    <w:rsid w:val="002A6815"/>
    <w:rsid w:val="002A703D"/>
    <w:rsid w:val="002B35C4"/>
    <w:rsid w:val="002B36C2"/>
    <w:rsid w:val="002B59BE"/>
    <w:rsid w:val="002B65AB"/>
    <w:rsid w:val="002B696D"/>
    <w:rsid w:val="002C05A3"/>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A6B"/>
    <w:rsid w:val="00330EA4"/>
    <w:rsid w:val="00332A7C"/>
    <w:rsid w:val="00332DCD"/>
    <w:rsid w:val="00333581"/>
    <w:rsid w:val="00335C58"/>
    <w:rsid w:val="00337CFC"/>
    <w:rsid w:val="0034052E"/>
    <w:rsid w:val="003406B1"/>
    <w:rsid w:val="00343305"/>
    <w:rsid w:val="003443D3"/>
    <w:rsid w:val="003450CD"/>
    <w:rsid w:val="00345F35"/>
    <w:rsid w:val="00346A88"/>
    <w:rsid w:val="0035057F"/>
    <w:rsid w:val="003509CA"/>
    <w:rsid w:val="00351734"/>
    <w:rsid w:val="00354FCF"/>
    <w:rsid w:val="003551E0"/>
    <w:rsid w:val="0035572B"/>
    <w:rsid w:val="00356181"/>
    <w:rsid w:val="00357EC3"/>
    <w:rsid w:val="00360830"/>
    <w:rsid w:val="00360CC5"/>
    <w:rsid w:val="00364896"/>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0AD"/>
    <w:rsid w:val="0039216D"/>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D81"/>
    <w:rsid w:val="003E2F34"/>
    <w:rsid w:val="003E36EC"/>
    <w:rsid w:val="003E5CDB"/>
    <w:rsid w:val="003E7874"/>
    <w:rsid w:val="003F0185"/>
    <w:rsid w:val="003F3882"/>
    <w:rsid w:val="003F60A3"/>
    <w:rsid w:val="004001BE"/>
    <w:rsid w:val="0040124D"/>
    <w:rsid w:val="004017C8"/>
    <w:rsid w:val="0040181A"/>
    <w:rsid w:val="004024C2"/>
    <w:rsid w:val="004068A7"/>
    <w:rsid w:val="00406C11"/>
    <w:rsid w:val="00407BBB"/>
    <w:rsid w:val="004106B2"/>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54666"/>
    <w:rsid w:val="004547F6"/>
    <w:rsid w:val="004574A4"/>
    <w:rsid w:val="00463236"/>
    <w:rsid w:val="004657D3"/>
    <w:rsid w:val="00465DEF"/>
    <w:rsid w:val="0046690A"/>
    <w:rsid w:val="00466ADF"/>
    <w:rsid w:val="0046782F"/>
    <w:rsid w:val="004713C0"/>
    <w:rsid w:val="00471E1E"/>
    <w:rsid w:val="0047278F"/>
    <w:rsid w:val="00473462"/>
    <w:rsid w:val="00473CE1"/>
    <w:rsid w:val="0047590B"/>
    <w:rsid w:val="004846F1"/>
    <w:rsid w:val="00490F98"/>
    <w:rsid w:val="00491349"/>
    <w:rsid w:val="00493684"/>
    <w:rsid w:val="00493E48"/>
    <w:rsid w:val="00494EAD"/>
    <w:rsid w:val="00496ACE"/>
    <w:rsid w:val="00497530"/>
    <w:rsid w:val="004A00FD"/>
    <w:rsid w:val="004A5CFF"/>
    <w:rsid w:val="004A61D7"/>
    <w:rsid w:val="004A6B5A"/>
    <w:rsid w:val="004B1011"/>
    <w:rsid w:val="004B1026"/>
    <w:rsid w:val="004B13F6"/>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82A"/>
    <w:rsid w:val="00501CED"/>
    <w:rsid w:val="005024F4"/>
    <w:rsid w:val="0050264E"/>
    <w:rsid w:val="005029A7"/>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75AE7"/>
    <w:rsid w:val="005801CF"/>
    <w:rsid w:val="00581DBA"/>
    <w:rsid w:val="00581F60"/>
    <w:rsid w:val="005829C2"/>
    <w:rsid w:val="00582A46"/>
    <w:rsid w:val="0058322B"/>
    <w:rsid w:val="00583A5C"/>
    <w:rsid w:val="0058471F"/>
    <w:rsid w:val="0058487A"/>
    <w:rsid w:val="00585342"/>
    <w:rsid w:val="00592CFD"/>
    <w:rsid w:val="00593C8A"/>
    <w:rsid w:val="00594467"/>
    <w:rsid w:val="00594F66"/>
    <w:rsid w:val="005960B9"/>
    <w:rsid w:val="005A1806"/>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7216"/>
    <w:rsid w:val="005E12F7"/>
    <w:rsid w:val="005E37E1"/>
    <w:rsid w:val="005E4CB5"/>
    <w:rsid w:val="005E548A"/>
    <w:rsid w:val="005E5BCC"/>
    <w:rsid w:val="005E5CCE"/>
    <w:rsid w:val="005E6CCC"/>
    <w:rsid w:val="005F19BB"/>
    <w:rsid w:val="005F369D"/>
    <w:rsid w:val="005F3B5B"/>
    <w:rsid w:val="005F6909"/>
    <w:rsid w:val="005F6C88"/>
    <w:rsid w:val="006022C0"/>
    <w:rsid w:val="006029C0"/>
    <w:rsid w:val="00602E42"/>
    <w:rsid w:val="00603657"/>
    <w:rsid w:val="00603BB4"/>
    <w:rsid w:val="0060479B"/>
    <w:rsid w:val="00606A55"/>
    <w:rsid w:val="00611AC2"/>
    <w:rsid w:val="00611FFE"/>
    <w:rsid w:val="00613BB6"/>
    <w:rsid w:val="006146CD"/>
    <w:rsid w:val="0061777B"/>
    <w:rsid w:val="00622907"/>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961"/>
    <w:rsid w:val="006F7A75"/>
    <w:rsid w:val="00703F7A"/>
    <w:rsid w:val="00704214"/>
    <w:rsid w:val="00704218"/>
    <w:rsid w:val="007043D2"/>
    <w:rsid w:val="00706102"/>
    <w:rsid w:val="00711356"/>
    <w:rsid w:val="00715BE8"/>
    <w:rsid w:val="00716375"/>
    <w:rsid w:val="00717B21"/>
    <w:rsid w:val="007233D6"/>
    <w:rsid w:val="007240F9"/>
    <w:rsid w:val="00724763"/>
    <w:rsid w:val="0073139F"/>
    <w:rsid w:val="007326D4"/>
    <w:rsid w:val="00732BD3"/>
    <w:rsid w:val="00733D26"/>
    <w:rsid w:val="00733E9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7F1"/>
    <w:rsid w:val="00772BFA"/>
    <w:rsid w:val="007732E5"/>
    <w:rsid w:val="00773A1F"/>
    <w:rsid w:val="007750D4"/>
    <w:rsid w:val="00775725"/>
    <w:rsid w:val="00775864"/>
    <w:rsid w:val="00781A2A"/>
    <w:rsid w:val="007833C3"/>
    <w:rsid w:val="0079003B"/>
    <w:rsid w:val="007947D0"/>
    <w:rsid w:val="00794E68"/>
    <w:rsid w:val="007960C1"/>
    <w:rsid w:val="00797959"/>
    <w:rsid w:val="007A0298"/>
    <w:rsid w:val="007A0EED"/>
    <w:rsid w:val="007A1F61"/>
    <w:rsid w:val="007A2D00"/>
    <w:rsid w:val="007A3433"/>
    <w:rsid w:val="007A3B80"/>
    <w:rsid w:val="007A5B38"/>
    <w:rsid w:val="007A7AC5"/>
    <w:rsid w:val="007B1707"/>
    <w:rsid w:val="007B1F48"/>
    <w:rsid w:val="007B4190"/>
    <w:rsid w:val="007B4ADB"/>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214A"/>
    <w:rsid w:val="007F5493"/>
    <w:rsid w:val="007F5B53"/>
    <w:rsid w:val="007F60D5"/>
    <w:rsid w:val="007F6C34"/>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46C"/>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7E7"/>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CC3"/>
    <w:rsid w:val="00886362"/>
    <w:rsid w:val="008876A3"/>
    <w:rsid w:val="00887DFB"/>
    <w:rsid w:val="00891AEF"/>
    <w:rsid w:val="00892349"/>
    <w:rsid w:val="0089283A"/>
    <w:rsid w:val="00892ADC"/>
    <w:rsid w:val="00893813"/>
    <w:rsid w:val="0089658C"/>
    <w:rsid w:val="00897000"/>
    <w:rsid w:val="008A2458"/>
    <w:rsid w:val="008A66B8"/>
    <w:rsid w:val="008A7EED"/>
    <w:rsid w:val="008B2B1D"/>
    <w:rsid w:val="008B5009"/>
    <w:rsid w:val="008B6248"/>
    <w:rsid w:val="008B6410"/>
    <w:rsid w:val="008B7E45"/>
    <w:rsid w:val="008C1237"/>
    <w:rsid w:val="008C64FB"/>
    <w:rsid w:val="008C771B"/>
    <w:rsid w:val="008C77A4"/>
    <w:rsid w:val="008D0DB7"/>
    <w:rsid w:val="008D2DAF"/>
    <w:rsid w:val="008D4EEC"/>
    <w:rsid w:val="008D5074"/>
    <w:rsid w:val="008D5BFC"/>
    <w:rsid w:val="008E1C91"/>
    <w:rsid w:val="008E2EFF"/>
    <w:rsid w:val="008E3B9E"/>
    <w:rsid w:val="008E4E0F"/>
    <w:rsid w:val="008E5935"/>
    <w:rsid w:val="008E738E"/>
    <w:rsid w:val="008F0A84"/>
    <w:rsid w:val="008F0CC3"/>
    <w:rsid w:val="008F0D70"/>
    <w:rsid w:val="008F44C7"/>
    <w:rsid w:val="008F4FBE"/>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0052"/>
    <w:rsid w:val="00951071"/>
    <w:rsid w:val="0095333C"/>
    <w:rsid w:val="009544D9"/>
    <w:rsid w:val="00954CD4"/>
    <w:rsid w:val="00955186"/>
    <w:rsid w:val="00955282"/>
    <w:rsid w:val="00956990"/>
    <w:rsid w:val="00956EE8"/>
    <w:rsid w:val="009570F6"/>
    <w:rsid w:val="0096151F"/>
    <w:rsid w:val="00965C09"/>
    <w:rsid w:val="00966B6A"/>
    <w:rsid w:val="00967206"/>
    <w:rsid w:val="0097057C"/>
    <w:rsid w:val="009715C5"/>
    <w:rsid w:val="009718CC"/>
    <w:rsid w:val="00971AF2"/>
    <w:rsid w:val="009723B8"/>
    <w:rsid w:val="00980246"/>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1C8B"/>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6CE2"/>
    <w:rsid w:val="00A17B52"/>
    <w:rsid w:val="00A2141C"/>
    <w:rsid w:val="00A21B16"/>
    <w:rsid w:val="00A22D76"/>
    <w:rsid w:val="00A22FB2"/>
    <w:rsid w:val="00A2438C"/>
    <w:rsid w:val="00A24D47"/>
    <w:rsid w:val="00A30370"/>
    <w:rsid w:val="00A32017"/>
    <w:rsid w:val="00A3527C"/>
    <w:rsid w:val="00A36E1D"/>
    <w:rsid w:val="00A37E7E"/>
    <w:rsid w:val="00A404FE"/>
    <w:rsid w:val="00A4098F"/>
    <w:rsid w:val="00A4193A"/>
    <w:rsid w:val="00A42D4A"/>
    <w:rsid w:val="00A43CEB"/>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064C"/>
    <w:rsid w:val="00A72C38"/>
    <w:rsid w:val="00A72FD2"/>
    <w:rsid w:val="00A7420A"/>
    <w:rsid w:val="00A74D3C"/>
    <w:rsid w:val="00A75DB1"/>
    <w:rsid w:val="00A760CB"/>
    <w:rsid w:val="00A761C2"/>
    <w:rsid w:val="00A76BBD"/>
    <w:rsid w:val="00A76D29"/>
    <w:rsid w:val="00A81335"/>
    <w:rsid w:val="00A816E2"/>
    <w:rsid w:val="00A81ADF"/>
    <w:rsid w:val="00A86383"/>
    <w:rsid w:val="00A86484"/>
    <w:rsid w:val="00A86960"/>
    <w:rsid w:val="00A91A54"/>
    <w:rsid w:val="00A91B7E"/>
    <w:rsid w:val="00A96F13"/>
    <w:rsid w:val="00AA1080"/>
    <w:rsid w:val="00AA16D3"/>
    <w:rsid w:val="00AA18CA"/>
    <w:rsid w:val="00AA3063"/>
    <w:rsid w:val="00AA3BFA"/>
    <w:rsid w:val="00AA5A0A"/>
    <w:rsid w:val="00AA5E84"/>
    <w:rsid w:val="00AA6937"/>
    <w:rsid w:val="00AA725C"/>
    <w:rsid w:val="00AB1AC2"/>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997"/>
    <w:rsid w:val="00AE0CFD"/>
    <w:rsid w:val="00AE1DA8"/>
    <w:rsid w:val="00AE4D94"/>
    <w:rsid w:val="00AE54B3"/>
    <w:rsid w:val="00AE5612"/>
    <w:rsid w:val="00AE6664"/>
    <w:rsid w:val="00AE6EED"/>
    <w:rsid w:val="00AE74AC"/>
    <w:rsid w:val="00AF464E"/>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1EA"/>
    <w:rsid w:val="00B30526"/>
    <w:rsid w:val="00B3125B"/>
    <w:rsid w:val="00B32204"/>
    <w:rsid w:val="00B32F9A"/>
    <w:rsid w:val="00B32FCD"/>
    <w:rsid w:val="00B34577"/>
    <w:rsid w:val="00B34DF0"/>
    <w:rsid w:val="00B34E07"/>
    <w:rsid w:val="00B40788"/>
    <w:rsid w:val="00B4080E"/>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948"/>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432F"/>
    <w:rsid w:val="00B96111"/>
    <w:rsid w:val="00B975ED"/>
    <w:rsid w:val="00B979E2"/>
    <w:rsid w:val="00B97D1F"/>
    <w:rsid w:val="00B97E9D"/>
    <w:rsid w:val="00BA1047"/>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762F"/>
    <w:rsid w:val="00BB7E90"/>
    <w:rsid w:val="00BC03CC"/>
    <w:rsid w:val="00BC11D7"/>
    <w:rsid w:val="00BC1B9C"/>
    <w:rsid w:val="00BC2C14"/>
    <w:rsid w:val="00BC31EE"/>
    <w:rsid w:val="00BC346D"/>
    <w:rsid w:val="00BC3C19"/>
    <w:rsid w:val="00BC4B27"/>
    <w:rsid w:val="00BC5C23"/>
    <w:rsid w:val="00BD15BE"/>
    <w:rsid w:val="00BD1A67"/>
    <w:rsid w:val="00BD2E19"/>
    <w:rsid w:val="00BD3BF3"/>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4E15"/>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0F38"/>
    <w:rsid w:val="00C72246"/>
    <w:rsid w:val="00C726F1"/>
    <w:rsid w:val="00C72DBC"/>
    <w:rsid w:val="00C75178"/>
    <w:rsid w:val="00C76B39"/>
    <w:rsid w:val="00C77891"/>
    <w:rsid w:val="00C8081E"/>
    <w:rsid w:val="00C8194B"/>
    <w:rsid w:val="00C8510F"/>
    <w:rsid w:val="00C85285"/>
    <w:rsid w:val="00C856C4"/>
    <w:rsid w:val="00C8634C"/>
    <w:rsid w:val="00C86F92"/>
    <w:rsid w:val="00C90072"/>
    <w:rsid w:val="00C9533B"/>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177A"/>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979D2"/>
    <w:rsid w:val="00DA02CE"/>
    <w:rsid w:val="00DA0DFD"/>
    <w:rsid w:val="00DA26D1"/>
    <w:rsid w:val="00DB18FC"/>
    <w:rsid w:val="00DB2769"/>
    <w:rsid w:val="00DB4762"/>
    <w:rsid w:val="00DB630A"/>
    <w:rsid w:val="00DB6473"/>
    <w:rsid w:val="00DC343B"/>
    <w:rsid w:val="00DC4AE1"/>
    <w:rsid w:val="00DC6B38"/>
    <w:rsid w:val="00DC767D"/>
    <w:rsid w:val="00DC7A15"/>
    <w:rsid w:val="00DD0CDD"/>
    <w:rsid w:val="00DD26EA"/>
    <w:rsid w:val="00DD35BB"/>
    <w:rsid w:val="00DD5EDD"/>
    <w:rsid w:val="00DD6B34"/>
    <w:rsid w:val="00DD7198"/>
    <w:rsid w:val="00DE3B48"/>
    <w:rsid w:val="00DE3CE0"/>
    <w:rsid w:val="00DE50CE"/>
    <w:rsid w:val="00DF0FF1"/>
    <w:rsid w:val="00DF1557"/>
    <w:rsid w:val="00DF49C5"/>
    <w:rsid w:val="00DF5C06"/>
    <w:rsid w:val="00DF60A4"/>
    <w:rsid w:val="00DF6B72"/>
    <w:rsid w:val="00DF7223"/>
    <w:rsid w:val="00DF749E"/>
    <w:rsid w:val="00DF7988"/>
    <w:rsid w:val="00E0112E"/>
    <w:rsid w:val="00E02056"/>
    <w:rsid w:val="00E037D5"/>
    <w:rsid w:val="00E05BA3"/>
    <w:rsid w:val="00E07564"/>
    <w:rsid w:val="00E07EB9"/>
    <w:rsid w:val="00E10A87"/>
    <w:rsid w:val="00E114BC"/>
    <w:rsid w:val="00E11D50"/>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1BF1"/>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EE8"/>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266"/>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B83"/>
    <w:rsid w:val="00F564CD"/>
    <w:rsid w:val="00F61629"/>
    <w:rsid w:val="00F61702"/>
    <w:rsid w:val="00F62E71"/>
    <w:rsid w:val="00F630C8"/>
    <w:rsid w:val="00F64C12"/>
    <w:rsid w:val="00F6552D"/>
    <w:rsid w:val="00F667F5"/>
    <w:rsid w:val="00F67278"/>
    <w:rsid w:val="00F710E9"/>
    <w:rsid w:val="00F72DE1"/>
    <w:rsid w:val="00F733F0"/>
    <w:rsid w:val="00F76A72"/>
    <w:rsid w:val="00F77340"/>
    <w:rsid w:val="00F8042D"/>
    <w:rsid w:val="00F84E1A"/>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E7AF2"/>
    <w:rsid w:val="00FF2E19"/>
    <w:rsid w:val="00FF361C"/>
    <w:rsid w:val="00FF756F"/>
    <w:rsid w:val="00FF7A53"/>
    <w:rsid w:val="011E7841"/>
    <w:rsid w:val="01B841E6"/>
    <w:rsid w:val="025C3112"/>
    <w:rsid w:val="028218B8"/>
    <w:rsid w:val="03433F84"/>
    <w:rsid w:val="039B791C"/>
    <w:rsid w:val="03E97470"/>
    <w:rsid w:val="04C609C8"/>
    <w:rsid w:val="05015EA4"/>
    <w:rsid w:val="05087233"/>
    <w:rsid w:val="057514C6"/>
    <w:rsid w:val="05987E04"/>
    <w:rsid w:val="061816F7"/>
    <w:rsid w:val="06A765D7"/>
    <w:rsid w:val="06EB0BBA"/>
    <w:rsid w:val="07126147"/>
    <w:rsid w:val="0748635C"/>
    <w:rsid w:val="08624EAC"/>
    <w:rsid w:val="08D12C20"/>
    <w:rsid w:val="08F8136C"/>
    <w:rsid w:val="09F064E7"/>
    <w:rsid w:val="0A1C790E"/>
    <w:rsid w:val="0A2D47D4"/>
    <w:rsid w:val="0AFF2E86"/>
    <w:rsid w:val="0B745622"/>
    <w:rsid w:val="0C0540C0"/>
    <w:rsid w:val="0C465063"/>
    <w:rsid w:val="0FB31E5E"/>
    <w:rsid w:val="104C6160"/>
    <w:rsid w:val="105D73AE"/>
    <w:rsid w:val="10CA4BEE"/>
    <w:rsid w:val="11885980"/>
    <w:rsid w:val="11BC387F"/>
    <w:rsid w:val="12064AFA"/>
    <w:rsid w:val="120C50A7"/>
    <w:rsid w:val="12942106"/>
    <w:rsid w:val="13177301"/>
    <w:rsid w:val="131E13CC"/>
    <w:rsid w:val="13BA3DEE"/>
    <w:rsid w:val="14964BE5"/>
    <w:rsid w:val="14AC117B"/>
    <w:rsid w:val="14C96626"/>
    <w:rsid w:val="16B03286"/>
    <w:rsid w:val="17435EA8"/>
    <w:rsid w:val="1782529E"/>
    <w:rsid w:val="191C10A7"/>
    <w:rsid w:val="192C3C0C"/>
    <w:rsid w:val="196A2073"/>
    <w:rsid w:val="19DE635C"/>
    <w:rsid w:val="19E91541"/>
    <w:rsid w:val="1A352420"/>
    <w:rsid w:val="1A9F5AEC"/>
    <w:rsid w:val="1ADA6B24"/>
    <w:rsid w:val="1B59213E"/>
    <w:rsid w:val="1B8D1DE8"/>
    <w:rsid w:val="1BB11F7A"/>
    <w:rsid w:val="1BB27AA1"/>
    <w:rsid w:val="1C435672"/>
    <w:rsid w:val="1CCE60FE"/>
    <w:rsid w:val="1D6D766C"/>
    <w:rsid w:val="1D81683F"/>
    <w:rsid w:val="1EB458DE"/>
    <w:rsid w:val="1EDA5344"/>
    <w:rsid w:val="205E5502"/>
    <w:rsid w:val="21105CE5"/>
    <w:rsid w:val="21A97250"/>
    <w:rsid w:val="21AB746C"/>
    <w:rsid w:val="221C2118"/>
    <w:rsid w:val="2268280C"/>
    <w:rsid w:val="23CF23CE"/>
    <w:rsid w:val="24466FD8"/>
    <w:rsid w:val="2551032A"/>
    <w:rsid w:val="25AB3597"/>
    <w:rsid w:val="262F241A"/>
    <w:rsid w:val="26AA2DE6"/>
    <w:rsid w:val="26F64CE5"/>
    <w:rsid w:val="27A079B8"/>
    <w:rsid w:val="27CB7096"/>
    <w:rsid w:val="28665E9B"/>
    <w:rsid w:val="2890116A"/>
    <w:rsid w:val="28B74156"/>
    <w:rsid w:val="28E60D8A"/>
    <w:rsid w:val="292E69D7"/>
    <w:rsid w:val="29693E94"/>
    <w:rsid w:val="29780A96"/>
    <w:rsid w:val="299B1431"/>
    <w:rsid w:val="29D15596"/>
    <w:rsid w:val="2A495A74"/>
    <w:rsid w:val="2A612DBE"/>
    <w:rsid w:val="2AB078A1"/>
    <w:rsid w:val="2B053749"/>
    <w:rsid w:val="2B074480"/>
    <w:rsid w:val="2B140666"/>
    <w:rsid w:val="2B42499D"/>
    <w:rsid w:val="2B6761B2"/>
    <w:rsid w:val="2B921232"/>
    <w:rsid w:val="2C2422F5"/>
    <w:rsid w:val="2CD86462"/>
    <w:rsid w:val="2D1660E1"/>
    <w:rsid w:val="2DF33D2D"/>
    <w:rsid w:val="2EC70009"/>
    <w:rsid w:val="2F407445"/>
    <w:rsid w:val="2F881167"/>
    <w:rsid w:val="2FB43990"/>
    <w:rsid w:val="2FBC45F2"/>
    <w:rsid w:val="30872E52"/>
    <w:rsid w:val="30C92562"/>
    <w:rsid w:val="31024CD3"/>
    <w:rsid w:val="311C359A"/>
    <w:rsid w:val="311F12DD"/>
    <w:rsid w:val="312132A7"/>
    <w:rsid w:val="329B0E37"/>
    <w:rsid w:val="32A01FA9"/>
    <w:rsid w:val="32C043F9"/>
    <w:rsid w:val="32EC479C"/>
    <w:rsid w:val="332A0C92"/>
    <w:rsid w:val="335334BF"/>
    <w:rsid w:val="33A65CE5"/>
    <w:rsid w:val="347C5D06"/>
    <w:rsid w:val="349618B6"/>
    <w:rsid w:val="349A75F8"/>
    <w:rsid w:val="36415851"/>
    <w:rsid w:val="36E94DEA"/>
    <w:rsid w:val="37647A49"/>
    <w:rsid w:val="383E64EC"/>
    <w:rsid w:val="396957EB"/>
    <w:rsid w:val="39BF1759"/>
    <w:rsid w:val="39D569DC"/>
    <w:rsid w:val="39F96B6F"/>
    <w:rsid w:val="3A541FF7"/>
    <w:rsid w:val="3AA27206"/>
    <w:rsid w:val="3B225C51"/>
    <w:rsid w:val="3BA75C9E"/>
    <w:rsid w:val="3BF05D4F"/>
    <w:rsid w:val="3C1F4118"/>
    <w:rsid w:val="3C4C78C5"/>
    <w:rsid w:val="3C6978B0"/>
    <w:rsid w:val="3C77021F"/>
    <w:rsid w:val="3D2739F3"/>
    <w:rsid w:val="3D4E71D1"/>
    <w:rsid w:val="3D540560"/>
    <w:rsid w:val="3D5B18EE"/>
    <w:rsid w:val="3D8B76B6"/>
    <w:rsid w:val="3E012496"/>
    <w:rsid w:val="3EB02721"/>
    <w:rsid w:val="3F8A2017"/>
    <w:rsid w:val="400B13AA"/>
    <w:rsid w:val="40DF6392"/>
    <w:rsid w:val="41230975"/>
    <w:rsid w:val="415907BD"/>
    <w:rsid w:val="41760AA5"/>
    <w:rsid w:val="421D4B67"/>
    <w:rsid w:val="422B7AE1"/>
    <w:rsid w:val="42301174"/>
    <w:rsid w:val="42864D18"/>
    <w:rsid w:val="42A653BA"/>
    <w:rsid w:val="439B0C97"/>
    <w:rsid w:val="43E02B4D"/>
    <w:rsid w:val="44145E6F"/>
    <w:rsid w:val="4455739D"/>
    <w:rsid w:val="44672EBE"/>
    <w:rsid w:val="44F543D6"/>
    <w:rsid w:val="44F83605"/>
    <w:rsid w:val="45390C50"/>
    <w:rsid w:val="45F91CA4"/>
    <w:rsid w:val="464078D3"/>
    <w:rsid w:val="46CC54EC"/>
    <w:rsid w:val="479E0D55"/>
    <w:rsid w:val="48390A7E"/>
    <w:rsid w:val="484713ED"/>
    <w:rsid w:val="494006A9"/>
    <w:rsid w:val="4A5625D5"/>
    <w:rsid w:val="4AC53F2D"/>
    <w:rsid w:val="4B335C59"/>
    <w:rsid w:val="4B5D4A84"/>
    <w:rsid w:val="4C0D0258"/>
    <w:rsid w:val="4CB04E98"/>
    <w:rsid w:val="4CF3744D"/>
    <w:rsid w:val="4E7740AE"/>
    <w:rsid w:val="4E7B76FB"/>
    <w:rsid w:val="4ED137BE"/>
    <w:rsid w:val="4F866C0C"/>
    <w:rsid w:val="4FAF30FB"/>
    <w:rsid w:val="4FD35314"/>
    <w:rsid w:val="4FFA6D45"/>
    <w:rsid w:val="501778F7"/>
    <w:rsid w:val="501E2A33"/>
    <w:rsid w:val="50EC0D83"/>
    <w:rsid w:val="50ED0658"/>
    <w:rsid w:val="518014CC"/>
    <w:rsid w:val="51ED6B61"/>
    <w:rsid w:val="51FE5D44"/>
    <w:rsid w:val="52091B85"/>
    <w:rsid w:val="52592449"/>
    <w:rsid w:val="53347D9F"/>
    <w:rsid w:val="535B7AFB"/>
    <w:rsid w:val="545A5988"/>
    <w:rsid w:val="549459BA"/>
    <w:rsid w:val="54C6683B"/>
    <w:rsid w:val="54D933CD"/>
    <w:rsid w:val="55384597"/>
    <w:rsid w:val="553B5E36"/>
    <w:rsid w:val="55886BA1"/>
    <w:rsid w:val="55F61D5C"/>
    <w:rsid w:val="56310FE7"/>
    <w:rsid w:val="568070A4"/>
    <w:rsid w:val="57454D4A"/>
    <w:rsid w:val="577D21A7"/>
    <w:rsid w:val="580B4D23"/>
    <w:rsid w:val="589201D8"/>
    <w:rsid w:val="58BC728D"/>
    <w:rsid w:val="58DC7930"/>
    <w:rsid w:val="58FA7DB6"/>
    <w:rsid w:val="59126328"/>
    <w:rsid w:val="5B092532"/>
    <w:rsid w:val="5BEA3F28"/>
    <w:rsid w:val="5CD65962"/>
    <w:rsid w:val="5E272791"/>
    <w:rsid w:val="5F693F19"/>
    <w:rsid w:val="5F8D54E0"/>
    <w:rsid w:val="5FEB65A4"/>
    <w:rsid w:val="60095220"/>
    <w:rsid w:val="60A26D69"/>
    <w:rsid w:val="60AF76D8"/>
    <w:rsid w:val="614B7400"/>
    <w:rsid w:val="61B53D80"/>
    <w:rsid w:val="61FA202F"/>
    <w:rsid w:val="622B0FE0"/>
    <w:rsid w:val="6232236E"/>
    <w:rsid w:val="62403DC9"/>
    <w:rsid w:val="62FA7D96"/>
    <w:rsid w:val="633A772C"/>
    <w:rsid w:val="63405FE2"/>
    <w:rsid w:val="66735E8D"/>
    <w:rsid w:val="67332E10"/>
    <w:rsid w:val="67C223E6"/>
    <w:rsid w:val="67D143D7"/>
    <w:rsid w:val="682B0169"/>
    <w:rsid w:val="686E1C26"/>
    <w:rsid w:val="690F3409"/>
    <w:rsid w:val="694921C5"/>
    <w:rsid w:val="695B21AB"/>
    <w:rsid w:val="699B2EEF"/>
    <w:rsid w:val="6AA858C3"/>
    <w:rsid w:val="6BC54253"/>
    <w:rsid w:val="6BCB7ABB"/>
    <w:rsid w:val="6BD3071E"/>
    <w:rsid w:val="6BDB3A77"/>
    <w:rsid w:val="6C562E2F"/>
    <w:rsid w:val="6C8E0DCB"/>
    <w:rsid w:val="6D057D89"/>
    <w:rsid w:val="6E69533E"/>
    <w:rsid w:val="6EA840E4"/>
    <w:rsid w:val="6F343BCA"/>
    <w:rsid w:val="6F38163E"/>
    <w:rsid w:val="6FA8094A"/>
    <w:rsid w:val="6FC32117"/>
    <w:rsid w:val="70807CC7"/>
    <w:rsid w:val="70C04FE9"/>
    <w:rsid w:val="716E6A0F"/>
    <w:rsid w:val="71946BA2"/>
    <w:rsid w:val="71C11019"/>
    <w:rsid w:val="71DB657E"/>
    <w:rsid w:val="726C71D7"/>
    <w:rsid w:val="728E2BBF"/>
    <w:rsid w:val="72FB5DAA"/>
    <w:rsid w:val="73BC5F3C"/>
    <w:rsid w:val="75CA2B92"/>
    <w:rsid w:val="76226DFD"/>
    <w:rsid w:val="76EC2FDC"/>
    <w:rsid w:val="77083846"/>
    <w:rsid w:val="77185723"/>
    <w:rsid w:val="78B95140"/>
    <w:rsid w:val="79B1577C"/>
    <w:rsid w:val="7B6273C9"/>
    <w:rsid w:val="7C324FED"/>
    <w:rsid w:val="7C8617DD"/>
    <w:rsid w:val="7CD73DE6"/>
    <w:rsid w:val="7D384885"/>
    <w:rsid w:val="7DA50CFA"/>
    <w:rsid w:val="7DF54524"/>
    <w:rsid w:val="7DFD6B5A"/>
    <w:rsid w:val="7E5C579F"/>
    <w:rsid w:val="7F6820BF"/>
    <w:rsid w:val="7FA36202"/>
    <w:rsid w:val="7FBB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4"/>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4">
    <w:name w:val="heading 2"/>
    <w:basedOn w:val="1"/>
    <w:next w:val="1"/>
    <w:link w:val="55"/>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5">
    <w:name w:val="heading 3"/>
    <w:basedOn w:val="1"/>
    <w:next w:val="1"/>
    <w:link w:val="56"/>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paragraph" w:styleId="6">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7">
    <w:name w:val="heading 6"/>
    <w:basedOn w:val="1"/>
    <w:next w:val="1"/>
    <w:semiHidden/>
    <w:unhideWhenUsed/>
    <w:qFormat/>
    <w:uiPriority w:val="9"/>
    <w:pPr>
      <w:spacing w:beforeAutospacing="1" w:afterAutospacing="1"/>
      <w:jc w:val="left"/>
      <w:outlineLvl w:val="5"/>
    </w:pPr>
    <w:rPr>
      <w:rFonts w:hint="eastAsia" w:ascii="宋体" w:hAnsi="宋体" w:eastAsia="宋体" w:cs="Times New Roman"/>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7"/>
    <w:unhideWhenUsed/>
    <w:qFormat/>
    <w:uiPriority w:val="0"/>
    <w:pPr>
      <w:tabs>
        <w:tab w:val="center" w:pos="4153"/>
        <w:tab w:val="right" w:pos="8306"/>
      </w:tabs>
      <w:snapToGrid w:val="0"/>
      <w:jc w:val="left"/>
    </w:pPr>
    <w:rPr>
      <w:sz w:val="18"/>
    </w:rPr>
  </w:style>
  <w:style w:type="paragraph" w:styleId="8">
    <w:name w:val="Normal Indent"/>
    <w:basedOn w:val="1"/>
    <w:qFormat/>
    <w:uiPriority w:val="0"/>
    <w:pPr>
      <w:ind w:firstLine="200" w:firstLineChars="200"/>
    </w:pPr>
  </w:style>
  <w:style w:type="paragraph" w:styleId="9">
    <w:name w:val="Document Map"/>
    <w:basedOn w:val="1"/>
    <w:link w:val="74"/>
    <w:semiHidden/>
    <w:unhideWhenUsed/>
    <w:qFormat/>
    <w:uiPriority w:val="99"/>
    <w:pPr>
      <w:widowControl/>
      <w:spacing w:line="400" w:lineRule="exact"/>
    </w:pPr>
    <w:rPr>
      <w:rFonts w:ascii="宋体" w:hAnsi="Calibri Light" w:eastAsia="宋体" w:cs="Calibri Light"/>
      <w:sz w:val="18"/>
      <w:szCs w:val="18"/>
    </w:rPr>
  </w:style>
  <w:style w:type="paragraph" w:styleId="10">
    <w:name w:val="annotation text"/>
    <w:basedOn w:val="1"/>
    <w:link w:val="72"/>
    <w:unhideWhenUsed/>
    <w:qFormat/>
    <w:uiPriority w:val="99"/>
    <w:pPr>
      <w:widowControl/>
      <w:spacing w:line="400" w:lineRule="exact"/>
      <w:jc w:val="left"/>
    </w:pPr>
    <w:rPr>
      <w:rFonts w:ascii="Calibri Light" w:hAnsi="Calibri Light" w:eastAsia="华文仿宋" w:cs="Calibri Light"/>
      <w:sz w:val="28"/>
      <w:szCs w:val="28"/>
    </w:rPr>
  </w:style>
  <w:style w:type="paragraph" w:styleId="11">
    <w:name w:val="Body Text 3"/>
    <w:basedOn w:val="1"/>
    <w:link w:val="89"/>
    <w:unhideWhenUsed/>
    <w:qFormat/>
    <w:uiPriority w:val="0"/>
    <w:pPr>
      <w:spacing w:after="120"/>
    </w:pPr>
    <w:rPr>
      <w:rFonts w:ascii="Times New Roman" w:hAnsi="Times New Roman" w:eastAsia="宋体" w:cs="Times New Roman"/>
      <w:sz w:val="16"/>
      <w:szCs w:val="16"/>
    </w:rPr>
  </w:style>
  <w:style w:type="paragraph" w:styleId="12">
    <w:name w:val="Body Text"/>
    <w:basedOn w:val="1"/>
    <w:next w:val="1"/>
    <w:link w:val="81"/>
    <w:qFormat/>
    <w:uiPriority w:val="1"/>
    <w:rPr>
      <w:rFonts w:ascii="宋体" w:hAnsi="宋体" w:eastAsia="宋体" w:cs="宋体"/>
      <w:szCs w:val="21"/>
      <w:lang w:val="zh-CN" w:bidi="zh-CN"/>
    </w:rPr>
  </w:style>
  <w:style w:type="paragraph" w:styleId="13">
    <w:name w:val="Body Text Indent"/>
    <w:basedOn w:val="1"/>
    <w:next w:val="14"/>
    <w:link w:val="82"/>
    <w:unhideWhenUsed/>
    <w:qFormat/>
    <w:uiPriority w:val="0"/>
    <w:pPr>
      <w:widowControl/>
      <w:spacing w:after="120" w:line="400" w:lineRule="exact"/>
      <w:ind w:left="420" w:leftChars="200"/>
    </w:pPr>
    <w:rPr>
      <w:rFonts w:ascii="Calibri Light" w:hAnsi="Calibri Light" w:eastAsia="华文仿宋" w:cs="Calibri Light"/>
      <w:sz w:val="28"/>
      <w:szCs w:val="28"/>
    </w:rPr>
  </w:style>
  <w:style w:type="paragraph" w:styleId="14">
    <w:name w:val="header"/>
    <w:basedOn w:val="1"/>
    <w:next w:val="1"/>
    <w:link w:val="64"/>
    <w:unhideWhenUsed/>
    <w:qFormat/>
    <w:uiPriority w:val="0"/>
    <w:pPr>
      <w:pBdr>
        <w:bottom w:val="single" w:color="auto" w:sz="6" w:space="1"/>
      </w:pBdr>
      <w:tabs>
        <w:tab w:val="center" w:pos="4153"/>
        <w:tab w:val="right" w:pos="8306"/>
      </w:tabs>
      <w:snapToGrid w:val="0"/>
      <w:jc w:val="center"/>
    </w:pPr>
    <w:rPr>
      <w:sz w:val="18"/>
    </w:rPr>
  </w:style>
  <w:style w:type="paragraph" w:styleId="15">
    <w:name w:val="Plain Text"/>
    <w:basedOn w:val="1"/>
    <w:qFormat/>
    <w:uiPriority w:val="0"/>
    <w:pPr>
      <w:ind w:firstLine="200" w:firstLineChars="200"/>
    </w:pPr>
    <w:rPr>
      <w:rFonts w:ascii="宋体" w:hAnsi="Courier New" w:eastAsia="Calibri"/>
      <w:szCs w:val="20"/>
    </w:rPr>
  </w:style>
  <w:style w:type="paragraph" w:styleId="16">
    <w:name w:val="Date"/>
    <w:basedOn w:val="1"/>
    <w:next w:val="1"/>
    <w:link w:val="62"/>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17">
    <w:name w:val="Balloon Text"/>
    <w:basedOn w:val="1"/>
    <w:link w:val="63"/>
    <w:semiHidden/>
    <w:unhideWhenUsed/>
    <w:qFormat/>
    <w:uiPriority w:val="99"/>
    <w:pPr>
      <w:widowControl/>
    </w:pPr>
    <w:rPr>
      <w:rFonts w:ascii="Calibri Light" w:hAnsi="Calibri Light" w:eastAsia="华文仿宋" w:cs="Calibri Light"/>
      <w:sz w:val="18"/>
      <w:szCs w:val="18"/>
    </w:rPr>
  </w:style>
  <w:style w:type="paragraph" w:styleId="18">
    <w:name w:val="toc 1"/>
    <w:basedOn w:val="1"/>
    <w:next w:val="1"/>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19">
    <w:name w:val="Subtitle"/>
    <w:basedOn w:val="1"/>
    <w:next w:val="1"/>
    <w:link w:val="57"/>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20">
    <w:name w:val="Body Text 2"/>
    <w:basedOn w:val="1"/>
    <w:qFormat/>
    <w:uiPriority w:val="0"/>
    <w:rPr>
      <w:rFonts w:eastAsia="宋体"/>
      <w:sz w:val="3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73"/>
    <w:semiHidden/>
    <w:unhideWhenUsed/>
    <w:qFormat/>
    <w:uiPriority w:val="99"/>
    <w:rPr>
      <w:b/>
      <w:bCs/>
    </w:rPr>
  </w:style>
  <w:style w:type="paragraph" w:styleId="23">
    <w:name w:val="Body Text First Indent"/>
    <w:basedOn w:val="12"/>
    <w:qFormat/>
    <w:uiPriority w:val="0"/>
    <w:pPr>
      <w:spacing w:after="120"/>
      <w:ind w:firstLine="420" w:firstLineChars="100"/>
    </w:pPr>
    <w:rPr>
      <w:rFonts w:ascii="Calibri" w:hAnsi="Calibri"/>
      <w:sz w:val="18"/>
      <w:szCs w:val="18"/>
    </w:rPr>
  </w:style>
  <w:style w:type="paragraph" w:styleId="24">
    <w:name w:val="Body Text First Indent 2"/>
    <w:basedOn w:val="13"/>
    <w:next w:val="1"/>
    <w:link w:val="86"/>
    <w:unhideWhenUsed/>
    <w:qFormat/>
    <w:uiPriority w:val="0"/>
    <w:pPr>
      <w:widowControl w:val="0"/>
      <w:spacing w:line="240" w:lineRule="auto"/>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Hyperlink"/>
    <w:qFormat/>
    <w:uiPriority w:val="99"/>
    <w:rPr>
      <w:color w:val="000000"/>
      <w:sz w:val="18"/>
      <w:szCs w:val="18"/>
      <w:u w:val="none"/>
    </w:rPr>
  </w:style>
  <w:style w:type="character" w:styleId="32">
    <w:name w:val="annotation reference"/>
    <w:basedOn w:val="27"/>
    <w:semiHidden/>
    <w:unhideWhenUsed/>
    <w:qFormat/>
    <w:uiPriority w:val="99"/>
    <w:rPr>
      <w:sz w:val="21"/>
      <w:szCs w:val="21"/>
    </w:rPr>
  </w:style>
  <w:style w:type="paragraph" w:customStyle="1" w:styleId="33">
    <w:name w:val="样式1"/>
    <w:basedOn w:val="14"/>
    <w:next w:val="1"/>
    <w:qFormat/>
    <w:uiPriority w:val="0"/>
    <w:pPr>
      <w:ind w:firstLine="200" w:firstLineChars="200"/>
      <w:jc w:val="both"/>
    </w:pPr>
    <w:rPr>
      <w:rFonts w:ascii="仿宋_GB2312" w:hAnsi="Times New Roman" w:eastAsia="仿宋_GB2312" w:cs="Times New Roman"/>
      <w:sz w:val="28"/>
      <w:szCs w:val="28"/>
    </w:rPr>
  </w:style>
  <w:style w:type="paragraph" w:customStyle="1" w:styleId="34">
    <w:name w:val="※封面大标题"/>
    <w:basedOn w:val="1"/>
    <w:next w:val="1"/>
    <w:qFormat/>
    <w:uiPriority w:val="0"/>
    <w:pPr>
      <w:widowControl/>
      <w:jc w:val="center"/>
    </w:pPr>
    <w:rPr>
      <w:rFonts w:ascii="华文中宋" w:hAnsi="华文中宋" w:eastAsia="华文中宋"/>
      <w:sz w:val="96"/>
      <w:szCs w:val="96"/>
    </w:rPr>
  </w:style>
  <w:style w:type="paragraph" w:customStyle="1" w:styleId="35">
    <w:name w:val="※封面题颌"/>
    <w:basedOn w:val="1"/>
    <w:next w:val="1"/>
    <w:qFormat/>
    <w:uiPriority w:val="0"/>
    <w:pPr>
      <w:widowControl/>
      <w:jc w:val="center"/>
    </w:pPr>
    <w:rPr>
      <w:rFonts w:ascii="Calibri Light" w:hAnsi="Calibri Light" w:eastAsia="华文仿宋"/>
      <w:sz w:val="36"/>
      <w:szCs w:val="36"/>
    </w:rPr>
  </w:style>
  <w:style w:type="paragraph" w:customStyle="1" w:styleId="36">
    <w:name w:val="※封面题眉"/>
    <w:basedOn w:val="1"/>
    <w:next w:val="34"/>
    <w:qFormat/>
    <w:uiPriority w:val="0"/>
    <w:pPr>
      <w:widowControl/>
      <w:jc w:val="center"/>
    </w:pPr>
    <w:rPr>
      <w:rFonts w:ascii="华文仿宋" w:hAnsi="华文仿宋" w:eastAsia="华文仿宋"/>
      <w:sz w:val="52"/>
      <w:szCs w:val="28"/>
    </w:rPr>
  </w:style>
  <w:style w:type="paragraph" w:customStyle="1" w:styleId="3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3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39">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46">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标题 1 字符"/>
    <w:basedOn w:val="27"/>
    <w:link w:val="3"/>
    <w:qFormat/>
    <w:uiPriority w:val="9"/>
    <w:rPr>
      <w:rFonts w:ascii="Calibri" w:hAnsi="Calibri" w:eastAsia="黑体"/>
      <w:bCs/>
      <w:kern w:val="36"/>
      <w:sz w:val="36"/>
      <w:szCs w:val="32"/>
    </w:rPr>
  </w:style>
  <w:style w:type="character" w:customStyle="1" w:styleId="55">
    <w:name w:val="标题 2 字符"/>
    <w:basedOn w:val="27"/>
    <w:link w:val="4"/>
    <w:qFormat/>
    <w:uiPriority w:val="9"/>
    <w:rPr>
      <w:rFonts w:ascii="Calibri" w:hAnsi="Calibri" w:eastAsia="黑体" w:cstheme="majorBidi"/>
      <w:bCs/>
      <w:iCs/>
      <w:kern w:val="32"/>
      <w:sz w:val="28"/>
      <w:szCs w:val="28"/>
    </w:rPr>
  </w:style>
  <w:style w:type="character" w:customStyle="1" w:styleId="56">
    <w:name w:val="标题 3 字符"/>
    <w:basedOn w:val="27"/>
    <w:link w:val="5"/>
    <w:qFormat/>
    <w:uiPriority w:val="9"/>
    <w:rPr>
      <w:rFonts w:ascii="Calibri Light" w:hAnsi="Calibri Light" w:eastAsia="宋体"/>
      <w:b/>
      <w:bCs/>
      <w:kern w:val="30"/>
      <w:sz w:val="24"/>
      <w:szCs w:val="26"/>
    </w:rPr>
  </w:style>
  <w:style w:type="character" w:customStyle="1" w:styleId="57">
    <w:name w:val="副标题 字符"/>
    <w:basedOn w:val="27"/>
    <w:link w:val="19"/>
    <w:qFormat/>
    <w:uiPriority w:val="11"/>
    <w:rPr>
      <w:rFonts w:ascii="Calibri" w:hAnsi="Calibri" w:eastAsia="黑体" w:cstheme="majorBidi"/>
      <w:sz w:val="32"/>
      <w:szCs w:val="24"/>
    </w:rPr>
  </w:style>
  <w:style w:type="paragraph" w:customStyle="1" w:styleId="58">
    <w:name w:val="@新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9">
    <w:name w:val="@一级小标题"/>
    <w:basedOn w:val="1"/>
    <w:next w:val="58"/>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60">
    <w:name w:val="@标题"/>
    <w:basedOn w:val="1"/>
    <w:next w:val="58"/>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61">
    <w:name w:val="@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2">
    <w:name w:val="日期 字符"/>
    <w:basedOn w:val="27"/>
    <w:link w:val="16"/>
    <w:semiHidden/>
    <w:qFormat/>
    <w:uiPriority w:val="99"/>
    <w:rPr>
      <w:rFonts w:ascii="Calibri Light" w:hAnsi="Calibri Light" w:eastAsia="华文仿宋" w:cs="Calibri Light"/>
      <w:sz w:val="28"/>
      <w:szCs w:val="28"/>
    </w:rPr>
  </w:style>
  <w:style w:type="character" w:customStyle="1" w:styleId="63">
    <w:name w:val="批注框文本 字符"/>
    <w:basedOn w:val="27"/>
    <w:link w:val="17"/>
    <w:semiHidden/>
    <w:qFormat/>
    <w:uiPriority w:val="99"/>
    <w:rPr>
      <w:rFonts w:ascii="Calibri Light" w:hAnsi="Calibri Light" w:eastAsia="华文仿宋" w:cs="Calibri Light"/>
      <w:sz w:val="18"/>
      <w:szCs w:val="18"/>
    </w:rPr>
  </w:style>
  <w:style w:type="character" w:customStyle="1" w:styleId="64">
    <w:name w:val="页眉 字符"/>
    <w:link w:val="14"/>
    <w:qFormat/>
    <w:uiPriority w:val="0"/>
    <w:rPr>
      <w:sz w:val="18"/>
    </w:rPr>
  </w:style>
  <w:style w:type="paragraph" w:customStyle="1" w:styleId="65">
    <w:name w:val="页眉1"/>
    <w:basedOn w:val="1"/>
    <w:next w:val="14"/>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66">
    <w:name w:val="页眉 Char1"/>
    <w:basedOn w:val="27"/>
    <w:semiHidden/>
    <w:qFormat/>
    <w:uiPriority w:val="99"/>
    <w:rPr>
      <w:rFonts w:cs="Calibri Light"/>
      <w:sz w:val="18"/>
      <w:szCs w:val="18"/>
    </w:rPr>
  </w:style>
  <w:style w:type="character" w:customStyle="1" w:styleId="67">
    <w:name w:val="页脚 字符"/>
    <w:link w:val="2"/>
    <w:qFormat/>
    <w:uiPriority w:val="0"/>
    <w:rPr>
      <w:sz w:val="18"/>
    </w:rPr>
  </w:style>
  <w:style w:type="paragraph" w:customStyle="1" w:styleId="68">
    <w:name w:val="页脚1"/>
    <w:basedOn w:val="1"/>
    <w:next w:val="2"/>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69">
    <w:name w:val="页脚 Char1"/>
    <w:basedOn w:val="27"/>
    <w:semiHidden/>
    <w:qFormat/>
    <w:uiPriority w:val="99"/>
    <w:rPr>
      <w:rFonts w:cs="Calibri Light"/>
      <w:sz w:val="18"/>
      <w:szCs w:val="18"/>
    </w:rPr>
  </w:style>
  <w:style w:type="paragraph" w:styleId="70">
    <w:name w:val="List Paragraph"/>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71">
    <w:name w:val="网格型1"/>
    <w:basedOn w:val="25"/>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批注文字 字符"/>
    <w:basedOn w:val="27"/>
    <w:link w:val="10"/>
    <w:qFormat/>
    <w:uiPriority w:val="99"/>
    <w:rPr>
      <w:rFonts w:ascii="Calibri Light" w:hAnsi="Calibri Light" w:eastAsia="华文仿宋" w:cs="Calibri Light"/>
      <w:sz w:val="28"/>
      <w:szCs w:val="28"/>
    </w:rPr>
  </w:style>
  <w:style w:type="character" w:customStyle="1" w:styleId="73">
    <w:name w:val="批注主题 字符"/>
    <w:basedOn w:val="72"/>
    <w:link w:val="22"/>
    <w:semiHidden/>
    <w:qFormat/>
    <w:uiPriority w:val="99"/>
    <w:rPr>
      <w:rFonts w:ascii="Calibri Light" w:hAnsi="Calibri Light" w:eastAsia="华文仿宋" w:cs="Calibri Light"/>
      <w:b/>
      <w:bCs/>
      <w:sz w:val="28"/>
      <w:szCs w:val="28"/>
    </w:rPr>
  </w:style>
  <w:style w:type="character" w:customStyle="1" w:styleId="74">
    <w:name w:val="文档结构图 字符"/>
    <w:basedOn w:val="27"/>
    <w:link w:val="9"/>
    <w:semiHidden/>
    <w:qFormat/>
    <w:uiPriority w:val="99"/>
    <w:rPr>
      <w:rFonts w:ascii="宋体" w:hAnsi="Calibri Light" w:eastAsia="宋体" w:cs="Calibri Light"/>
      <w:sz w:val="18"/>
      <w:szCs w:val="18"/>
    </w:rPr>
  </w:style>
  <w:style w:type="character" w:styleId="75">
    <w:name w:val="Placeholder Text"/>
    <w:basedOn w:val="27"/>
    <w:semiHidden/>
    <w:qFormat/>
    <w:uiPriority w:val="99"/>
    <w:rPr>
      <w:color w:val="808080"/>
    </w:rPr>
  </w:style>
  <w:style w:type="table" w:customStyle="1" w:styleId="76">
    <w:name w:val="网格型11"/>
    <w:basedOn w:val="2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78">
    <w:name w:val="访问过的超链接1"/>
    <w:basedOn w:val="27"/>
    <w:semiHidden/>
    <w:unhideWhenUsed/>
    <w:qFormat/>
    <w:uiPriority w:val="99"/>
    <w:rPr>
      <w:color w:val="954F72"/>
      <w:u w:val="single"/>
    </w:rPr>
  </w:style>
  <w:style w:type="character" w:customStyle="1" w:styleId="79">
    <w:name w:val="页眉 Char2"/>
    <w:basedOn w:val="27"/>
    <w:semiHidden/>
    <w:qFormat/>
    <w:uiPriority w:val="99"/>
    <w:rPr>
      <w:sz w:val="18"/>
      <w:szCs w:val="18"/>
    </w:rPr>
  </w:style>
  <w:style w:type="character" w:customStyle="1" w:styleId="80">
    <w:name w:val="页脚 Char2"/>
    <w:basedOn w:val="27"/>
    <w:semiHidden/>
    <w:qFormat/>
    <w:uiPriority w:val="99"/>
    <w:rPr>
      <w:sz w:val="18"/>
      <w:szCs w:val="18"/>
    </w:rPr>
  </w:style>
  <w:style w:type="character" w:customStyle="1" w:styleId="81">
    <w:name w:val="正文文本 字符"/>
    <w:basedOn w:val="27"/>
    <w:link w:val="12"/>
    <w:qFormat/>
    <w:uiPriority w:val="1"/>
    <w:rPr>
      <w:rFonts w:ascii="宋体" w:hAnsi="宋体" w:eastAsia="宋体" w:cs="宋体"/>
      <w:szCs w:val="21"/>
      <w:lang w:val="zh-CN" w:bidi="zh-CN"/>
    </w:rPr>
  </w:style>
  <w:style w:type="character" w:customStyle="1" w:styleId="82">
    <w:name w:val="正文文本缩进 字符"/>
    <w:basedOn w:val="27"/>
    <w:link w:val="13"/>
    <w:qFormat/>
    <w:uiPriority w:val="0"/>
    <w:rPr>
      <w:rFonts w:ascii="Calibri Light" w:hAnsi="Calibri Light" w:eastAsia="华文仿宋" w:cs="Calibri Light"/>
      <w:sz w:val="28"/>
      <w:szCs w:val="28"/>
    </w:rPr>
  </w:style>
  <w:style w:type="character" w:customStyle="1" w:styleId="83">
    <w:name w:val="正文首行缩进 2 Char"/>
    <w:basedOn w:val="82"/>
    <w:link w:val="84"/>
    <w:semiHidden/>
    <w:qFormat/>
    <w:uiPriority w:val="99"/>
    <w:rPr>
      <w:rFonts w:ascii="Calibri Light" w:hAnsi="Calibri Light" w:eastAsia="华文仿宋" w:cs="Calibri Light"/>
      <w:sz w:val="28"/>
      <w:szCs w:val="28"/>
    </w:rPr>
  </w:style>
  <w:style w:type="paragraph" w:customStyle="1" w:styleId="84">
    <w:name w:val="正文首行缩进 21"/>
    <w:basedOn w:val="13"/>
    <w:next w:val="24"/>
    <w:link w:val="83"/>
    <w:semiHidden/>
    <w:unhideWhenUsed/>
    <w:qFormat/>
    <w:uiPriority w:val="99"/>
    <w:pPr>
      <w:widowControl w:val="0"/>
      <w:spacing w:line="240" w:lineRule="auto"/>
      <w:ind w:firstLine="420" w:firstLineChars="200"/>
      <w:jc w:val="left"/>
    </w:pPr>
  </w:style>
  <w:style w:type="character" w:customStyle="1" w:styleId="85">
    <w:name w:val="font01"/>
    <w:basedOn w:val="27"/>
    <w:qFormat/>
    <w:uiPriority w:val="0"/>
    <w:rPr>
      <w:rFonts w:hint="eastAsia" w:ascii="宋体" w:hAnsi="宋体" w:eastAsia="宋体" w:cs="宋体"/>
      <w:color w:val="000000"/>
      <w:sz w:val="22"/>
      <w:szCs w:val="22"/>
      <w:u w:val="none"/>
    </w:rPr>
  </w:style>
  <w:style w:type="character" w:customStyle="1" w:styleId="86">
    <w:name w:val="正文首行缩进 2 字符"/>
    <w:basedOn w:val="82"/>
    <w:link w:val="24"/>
    <w:qFormat/>
    <w:uiPriority w:val="0"/>
    <w:rPr>
      <w:rFonts w:ascii="Calibri Light" w:hAnsi="Calibri Light" w:eastAsia="华文仿宋" w:cs="Calibri Light"/>
      <w:sz w:val="28"/>
      <w:szCs w:val="28"/>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BodyText1I"/>
    <w:basedOn w:val="1"/>
    <w:qFormat/>
    <w:uiPriority w:val="0"/>
    <w:pPr>
      <w:widowControl/>
      <w:adjustRightInd w:val="0"/>
      <w:spacing w:after="120"/>
      <w:ind w:firstLine="420" w:firstLineChars="100"/>
    </w:pPr>
    <w:rPr>
      <w:rFonts w:ascii="Times New Roman" w:hAnsi="Times New Roman" w:eastAsia="宋体" w:cs="Arial"/>
      <w:spacing w:val="-5"/>
      <w:szCs w:val="24"/>
    </w:rPr>
  </w:style>
  <w:style w:type="character" w:customStyle="1" w:styleId="89">
    <w:name w:val="正文文本 3 字符"/>
    <w:basedOn w:val="27"/>
    <w:link w:val="11"/>
    <w:qFormat/>
    <w:uiPriority w:val="0"/>
    <w:rPr>
      <w:rFonts w:ascii="Times New Roman" w:hAnsi="Times New Roman" w:eastAsia="宋体" w:cs="Times New Roman"/>
      <w:sz w:val="16"/>
      <w:szCs w:val="16"/>
    </w:rPr>
  </w:style>
  <w:style w:type="paragraph" w:customStyle="1" w:styleId="90">
    <w:name w:val="正文缩进1"/>
    <w:basedOn w:val="1"/>
    <w:qFormat/>
    <w:uiPriority w:val="0"/>
    <w:pPr>
      <w:ind w:firstLine="420" w:firstLineChars="200"/>
    </w:pPr>
    <w:rPr>
      <w:rFonts w:ascii="Times New Roman" w:hAnsi="Times New Roman" w:eastAsia="宋体" w:cs="Times New Roman"/>
      <w:szCs w:val="21"/>
    </w:rPr>
  </w:style>
  <w:style w:type="paragraph" w:customStyle="1" w:styleId="91">
    <w:name w:val="【正文】"/>
    <w:basedOn w:val="20"/>
    <w:qFormat/>
    <w:uiPriority w:val="0"/>
    <w:pPr>
      <w:spacing w:line="360" w:lineRule="auto"/>
      <w:ind w:firstLine="420" w:firstLineChars="200"/>
      <w:jc w:val="left"/>
    </w:pPr>
    <w:rPr>
      <w:rFonts w:ascii="宋体" w:hAnsi="宋体"/>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83</Pages>
  <Words>38052</Words>
  <Characters>40800</Characters>
  <Lines>311</Lines>
  <Paragraphs>87</Paragraphs>
  <TotalTime>6</TotalTime>
  <ScaleCrop>false</ScaleCrop>
  <LinksUpToDate>false</LinksUpToDate>
  <CharactersWithSpaces>43178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2023-02-17T07:53:00Z</dcterms:created>
  <dc:creator>lenovo</dc:creator>
  <cp:lastModifiedBy>！</cp:lastModifiedBy>
  <cp:lastPrinted>2023-02-14T00:28:00Z</cp:lastPrinted>
  <dcterms:modified xsi:type="dcterms:W3CDTF">2023-03-15T09:13:03Z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09FC321ADC6743C883AB2968AA04BF78</vt:lpwstr>
  </property>
</Properties>
</file>