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30"/>
        </w:rPr>
      </w:pPr>
      <w:bookmarkStart w:id="0" w:name="OLE_LINK9"/>
      <w:r>
        <w:rPr>
          <w:rFonts w:hint="eastAsia" w:ascii="宋体" w:hAnsi="宋体" w:cs="宋体"/>
          <w:b/>
          <w:sz w:val="30"/>
        </w:rPr>
        <w:t>政府采购项目</w:t>
      </w:r>
    </w:p>
    <w:p>
      <w:pPr>
        <w:adjustRightInd w:val="0"/>
        <w:snapToGrid w:val="0"/>
        <w:spacing w:line="360" w:lineRule="auto"/>
        <w:jc w:val="left"/>
        <w:rPr>
          <w:rFonts w:ascii="宋体" w:hAnsi="宋体" w:cs="宋体"/>
          <w:b/>
          <w:bCs/>
          <w:sz w:val="30"/>
        </w:rPr>
      </w:pPr>
      <w:r>
        <w:rPr>
          <w:rFonts w:hint="eastAsia" w:ascii="宋体" w:hAnsi="宋体" w:cs="宋体"/>
          <w:b/>
          <w:sz w:val="30"/>
        </w:rPr>
        <w:t>项目编号：</w:t>
      </w:r>
      <w:r>
        <w:rPr>
          <w:rFonts w:hint="eastAsia" w:ascii="宋体" w:hAnsi="宋体" w:cs="宋体"/>
          <w:b/>
          <w:bCs/>
          <w:kern w:val="0"/>
          <w:sz w:val="24"/>
          <w:szCs w:val="24"/>
        </w:rPr>
        <w:t>SXWZ2022ZB-ETYY-293</w:t>
      </w:r>
    </w:p>
    <w:p>
      <w:pPr>
        <w:adjustRightInd w:val="0"/>
        <w:snapToGrid w:val="0"/>
        <w:spacing w:line="360" w:lineRule="auto"/>
        <w:rPr>
          <w:rFonts w:ascii="宋体" w:hAnsi="宋体" w:cs="宋体"/>
          <w:b/>
          <w:sz w:val="44"/>
          <w:szCs w:val="44"/>
        </w:rPr>
      </w:pPr>
    </w:p>
    <w:p>
      <w:pPr>
        <w:pStyle w:val="6"/>
        <w:jc w:val="center"/>
        <w:rPr>
          <w:sz w:val="52"/>
          <w:szCs w:val="52"/>
        </w:rPr>
      </w:pPr>
      <w:r>
        <w:rPr>
          <w:rFonts w:hint="eastAsia" w:ascii="宋体" w:hAnsi="宋体" w:cs="宋体"/>
          <w:b/>
          <w:sz w:val="52"/>
          <w:szCs w:val="52"/>
        </w:rPr>
        <w:t>西安市儿童医院软件维保项目</w:t>
      </w:r>
    </w:p>
    <w:p>
      <w:pPr>
        <w:adjustRightInd w:val="0"/>
        <w:snapToGrid w:val="0"/>
        <w:spacing w:line="360" w:lineRule="auto"/>
        <w:jc w:val="left"/>
        <w:rPr>
          <w:rFonts w:ascii="宋体" w:hAnsi="宋体" w:cs="宋体"/>
          <w:b/>
          <w:sz w:val="52"/>
          <w:szCs w:val="52"/>
        </w:rPr>
      </w:pPr>
      <w:r>
        <w:rPr>
          <w:rFonts w:hint="eastAsia" w:ascii="宋体" w:hAnsi="宋体" w:cs="宋体"/>
          <w:sz w:val="52"/>
          <w:szCs w:val="52"/>
        </w:rPr>
        <w:drawing>
          <wp:anchor distT="0" distB="0" distL="114300" distR="114300" simplePos="0" relativeHeight="251661312" behindDoc="1" locked="0" layoutInCell="1" allowOverlap="1">
            <wp:simplePos x="0" y="0"/>
            <wp:positionH relativeFrom="column">
              <wp:posOffset>1549400</wp:posOffset>
            </wp:positionH>
            <wp:positionV relativeFrom="paragraph">
              <wp:posOffset>619760</wp:posOffset>
            </wp:positionV>
            <wp:extent cx="2312670" cy="1447800"/>
            <wp:effectExtent l="19050" t="0" r="0" b="0"/>
            <wp:wrapTight wrapText="bothSides">
              <wp:wrapPolygon>
                <wp:start x="-178" y="0"/>
                <wp:lineTo x="-178" y="21316"/>
                <wp:lineTo x="21529" y="21316"/>
                <wp:lineTo x="21529" y="0"/>
                <wp:lineTo x="-178" y="0"/>
              </wp:wrapPolygon>
            </wp:wrapTight>
            <wp:docPr id="6"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图标"/>
                    <pic:cNvPicPr>
                      <a:picLocks noChangeAspect="1" noChangeArrowheads="1"/>
                    </pic:cNvPicPr>
                  </pic:nvPicPr>
                  <pic:blipFill>
                    <a:blip r:embed="rId17" cstate="print"/>
                    <a:srcRect/>
                    <a:stretch>
                      <a:fillRect/>
                    </a:stretch>
                  </pic:blipFill>
                  <pic:spPr>
                    <a:xfrm>
                      <a:off x="0" y="0"/>
                      <a:ext cx="2312670" cy="1447800"/>
                    </a:xfrm>
                    <a:prstGeom prst="rect">
                      <a:avLst/>
                    </a:prstGeom>
                    <a:noFill/>
                    <a:ln w="9525" cmpd="sng">
                      <a:noFill/>
                      <a:miter lim="800000"/>
                      <a:headEnd/>
                      <a:tailEnd/>
                    </a:ln>
                  </pic:spPr>
                </pic:pic>
              </a:graphicData>
            </a:graphic>
          </wp:anchor>
        </w:drawing>
      </w:r>
    </w:p>
    <w:p>
      <w:pPr>
        <w:adjustRightInd w:val="0"/>
        <w:snapToGrid w:val="0"/>
        <w:spacing w:line="360" w:lineRule="auto"/>
        <w:jc w:val="left"/>
        <w:rPr>
          <w:rFonts w:ascii="宋体" w:hAnsi="宋体" w:cs="宋体"/>
          <w:b/>
          <w:sz w:val="52"/>
          <w:szCs w:val="52"/>
        </w:rPr>
      </w:pPr>
    </w:p>
    <w:p>
      <w:pPr>
        <w:adjustRightInd w:val="0"/>
        <w:snapToGrid w:val="0"/>
        <w:spacing w:line="360" w:lineRule="auto"/>
        <w:jc w:val="left"/>
        <w:rPr>
          <w:rFonts w:ascii="宋体" w:hAnsi="宋体" w:cs="宋体"/>
          <w:b/>
          <w:sz w:val="52"/>
          <w:szCs w:val="52"/>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 w:val="30"/>
        </w:rPr>
      </w:pPr>
      <w:r>
        <w:rPr>
          <w:rFonts w:hint="eastAsia" w:ascii="宋体" w:hAnsi="宋体" w:cs="宋体"/>
          <w:b/>
          <w:sz w:val="72"/>
          <w:szCs w:val="72"/>
        </w:rPr>
        <w:t>竞争性磋商文件</w:t>
      </w:r>
    </w:p>
    <w:p>
      <w:pPr>
        <w:adjustRightInd w:val="0"/>
        <w:snapToGrid w:val="0"/>
        <w:spacing w:line="360" w:lineRule="auto"/>
        <w:rPr>
          <w:rFonts w:ascii="宋体" w:hAnsi="宋体" w:cs="宋体"/>
          <w:b/>
          <w:sz w:val="30"/>
        </w:rPr>
      </w:pPr>
    </w:p>
    <w:p>
      <w:pPr>
        <w:adjustRightInd w:val="0"/>
        <w:snapToGrid w:val="0"/>
        <w:spacing w:line="360" w:lineRule="auto"/>
        <w:rPr>
          <w:rFonts w:ascii="宋体" w:hAnsi="宋体" w:cs="宋体"/>
          <w:b/>
          <w:sz w:val="32"/>
          <w:szCs w:val="32"/>
        </w:rPr>
      </w:pPr>
    </w:p>
    <w:p>
      <w:p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采   购  人 ：西安市儿童医院</w:t>
      </w:r>
    </w:p>
    <w:p>
      <w:pPr>
        <w:adjustRightInd w:val="0"/>
        <w:snapToGrid w:val="0"/>
        <w:spacing w:line="360" w:lineRule="auto"/>
        <w:jc w:val="center"/>
        <w:rPr>
          <w:rFonts w:ascii="宋体" w:hAnsi="宋体" w:cs="宋体"/>
          <w:b/>
          <w:sz w:val="32"/>
          <w:szCs w:val="32"/>
        </w:rPr>
      </w:pPr>
      <w:r>
        <w:rPr>
          <w:rFonts w:hint="eastAsia" w:ascii="宋体" w:hAnsi="宋体" w:cs="宋体"/>
          <w:b/>
          <w:sz w:val="32"/>
          <w:szCs w:val="32"/>
        </w:rPr>
        <w:t>采购代理机构：陕西万泽招标有限公司</w:t>
      </w:r>
    </w:p>
    <w:p>
      <w:pPr>
        <w:adjustRightInd w:val="0"/>
        <w:snapToGrid w:val="0"/>
        <w:spacing w:line="360" w:lineRule="auto"/>
        <w:jc w:val="center"/>
        <w:rPr>
          <w:rFonts w:ascii="宋体" w:hAnsi="宋体" w:cs="宋体"/>
          <w:b/>
          <w:color w:val="FF0000"/>
          <w:sz w:val="32"/>
          <w:szCs w:val="32"/>
        </w:rPr>
      </w:pPr>
      <w:r>
        <w:rPr>
          <w:rFonts w:hint="eastAsia" w:ascii="宋体" w:hAnsi="宋体" w:cs="宋体"/>
          <w:b/>
          <w:sz w:val="32"/>
          <w:szCs w:val="32"/>
        </w:rPr>
        <w:t>二〇二二年十二月</w:t>
      </w:r>
    </w:p>
    <w:p>
      <w:pPr>
        <w:adjustRightInd w:val="0"/>
        <w:snapToGrid w:val="0"/>
        <w:spacing w:line="600" w:lineRule="auto"/>
        <w:rPr>
          <w:rFonts w:ascii="宋体" w:hAnsi="宋体" w:cs="宋体"/>
          <w:b/>
          <w:sz w:val="36"/>
          <w:szCs w:val="36"/>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p>
    <w:p>
      <w:pPr>
        <w:pStyle w:val="17"/>
        <w:tabs>
          <w:tab w:val="right" w:leader="dot" w:pos="8306"/>
        </w:tabs>
        <w:spacing w:line="360" w:lineRule="auto"/>
        <w:jc w:val="center"/>
        <w:rPr>
          <w:rFonts w:ascii="宋体" w:hAnsi="宋体" w:cs="宋体"/>
          <w:b/>
          <w:bCs/>
          <w:sz w:val="40"/>
          <w:szCs w:val="40"/>
        </w:rPr>
      </w:pPr>
      <w:r>
        <w:rPr>
          <w:rFonts w:hint="eastAsia" w:ascii="宋体" w:hAnsi="宋体" w:cs="宋体"/>
          <w:b/>
          <w:bCs/>
          <w:sz w:val="40"/>
          <w:szCs w:val="40"/>
        </w:rPr>
        <w:t>目  录</w:t>
      </w:r>
    </w:p>
    <w:p>
      <w:pPr>
        <w:pStyle w:val="17"/>
        <w:tabs>
          <w:tab w:val="right" w:leader="dot" w:pos="8306"/>
        </w:tabs>
      </w:pPr>
      <w:r>
        <w:rPr>
          <w:sz w:val="24"/>
          <w:szCs w:val="24"/>
        </w:rPr>
        <w:fldChar w:fldCharType="begin"/>
      </w:r>
      <w:r>
        <w:rPr>
          <w:sz w:val="24"/>
          <w:szCs w:val="24"/>
        </w:rPr>
        <w:instrText xml:space="preserve">TOC \o "1-2" \h \u </w:instrText>
      </w:r>
      <w:r>
        <w:rPr>
          <w:sz w:val="24"/>
          <w:szCs w:val="24"/>
        </w:rPr>
        <w:fldChar w:fldCharType="separate"/>
      </w:r>
      <w:r>
        <w:fldChar w:fldCharType="begin"/>
      </w:r>
      <w:r>
        <w:instrText xml:space="preserve"> HYPERLINK \l "_Toc13602" </w:instrText>
      </w:r>
      <w:r>
        <w:fldChar w:fldCharType="separate"/>
      </w:r>
      <w:r>
        <w:rPr>
          <w:rFonts w:hint="eastAsia" w:ascii="宋体" w:hAnsi="宋体" w:cs="宋体"/>
        </w:rPr>
        <w:t>第一部分 竞争性磋商公告</w:t>
      </w:r>
      <w:r>
        <w:tab/>
      </w:r>
      <w:r>
        <w:fldChar w:fldCharType="begin"/>
      </w:r>
      <w:r>
        <w:instrText xml:space="preserve"> PAGEREF _Toc13602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"_Toc3978" </w:instrText>
      </w:r>
      <w:r>
        <w:fldChar w:fldCharType="separate"/>
      </w:r>
      <w:r>
        <w:rPr>
          <w:rFonts w:hint="eastAsia" w:ascii="宋体" w:hAnsi="宋体" w:cs="宋体"/>
        </w:rPr>
        <w:t>第二部分 供应商须知前附表</w:t>
      </w:r>
      <w:r>
        <w:tab/>
      </w:r>
      <w:r>
        <w:fldChar w:fldCharType="begin"/>
      </w:r>
      <w:r>
        <w:instrText xml:space="preserve"> PAGEREF _Toc3978 \h </w:instrText>
      </w:r>
      <w:r>
        <w:fldChar w:fldCharType="separate"/>
      </w:r>
      <w:r>
        <w:t>6</w:t>
      </w:r>
      <w:r>
        <w:fldChar w:fldCharType="end"/>
      </w:r>
      <w:r>
        <w:fldChar w:fldCharType="end"/>
      </w:r>
    </w:p>
    <w:p>
      <w:pPr>
        <w:pStyle w:val="17"/>
        <w:tabs>
          <w:tab w:val="right" w:leader="dot" w:pos="8306"/>
        </w:tabs>
      </w:pPr>
      <w:r>
        <w:fldChar w:fldCharType="begin"/>
      </w:r>
      <w:r>
        <w:instrText xml:space="preserve"> HYPERLINK \l "_Toc19076" </w:instrText>
      </w:r>
      <w:r>
        <w:fldChar w:fldCharType="separate"/>
      </w:r>
      <w:r>
        <w:rPr>
          <w:rFonts w:hint="eastAsia" w:ascii="宋体" w:hAnsi="宋体" w:cs="宋体"/>
        </w:rPr>
        <w:t>第三部分 供应商须知</w:t>
      </w:r>
      <w:r>
        <w:tab/>
      </w:r>
      <w:r>
        <w:fldChar w:fldCharType="begin"/>
      </w:r>
      <w:r>
        <w:instrText xml:space="preserve"> PAGEREF _Toc19076 \h </w:instrText>
      </w:r>
      <w:r>
        <w:fldChar w:fldCharType="separate"/>
      </w:r>
      <w:r>
        <w:t>9</w:t>
      </w:r>
      <w:r>
        <w:fldChar w:fldCharType="end"/>
      </w:r>
      <w:r>
        <w:fldChar w:fldCharType="end"/>
      </w:r>
    </w:p>
    <w:p>
      <w:pPr>
        <w:pStyle w:val="18"/>
        <w:tabs>
          <w:tab w:val="right" w:leader="dot" w:pos="8306"/>
        </w:tabs>
      </w:pPr>
      <w:r>
        <w:fldChar w:fldCharType="begin"/>
      </w:r>
      <w:r>
        <w:instrText xml:space="preserve"> HYPERLINK \l "_Toc18804" </w:instrText>
      </w:r>
      <w:r>
        <w:fldChar w:fldCharType="separate"/>
      </w:r>
      <w:r>
        <w:rPr>
          <w:rFonts w:hint="eastAsia" w:ascii="宋体" w:hAnsi="宋体"/>
          <w:bCs/>
          <w:kern w:val="0"/>
          <w:szCs w:val="28"/>
        </w:rPr>
        <w:t xml:space="preserve">一、 </w:t>
      </w:r>
      <w:r>
        <w:rPr>
          <w:rFonts w:hint="eastAsia" w:ascii="宋体" w:hAnsi="宋体" w:cs="宋体"/>
          <w:bCs/>
          <w:kern w:val="0"/>
          <w:szCs w:val="28"/>
        </w:rPr>
        <w:t>总则</w:t>
      </w:r>
      <w:r>
        <w:tab/>
      </w:r>
      <w:r>
        <w:fldChar w:fldCharType="begin"/>
      </w:r>
      <w:r>
        <w:instrText xml:space="preserve"> PAGEREF _Toc18804 \h </w:instrText>
      </w:r>
      <w:r>
        <w:fldChar w:fldCharType="separate"/>
      </w:r>
      <w:r>
        <w:t>9</w:t>
      </w:r>
      <w:r>
        <w:fldChar w:fldCharType="end"/>
      </w:r>
      <w:r>
        <w:fldChar w:fldCharType="end"/>
      </w:r>
    </w:p>
    <w:p>
      <w:pPr>
        <w:pStyle w:val="18"/>
        <w:tabs>
          <w:tab w:val="right" w:leader="dot" w:pos="8306"/>
        </w:tabs>
      </w:pPr>
      <w:r>
        <w:fldChar w:fldCharType="begin"/>
      </w:r>
      <w:r>
        <w:instrText xml:space="preserve"> HYPERLINK \l "_Toc20922" </w:instrText>
      </w:r>
      <w:r>
        <w:fldChar w:fldCharType="separate"/>
      </w:r>
      <w:r>
        <w:rPr>
          <w:rFonts w:hint="eastAsia" w:ascii="宋体" w:hAnsi="宋体"/>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_Toc20922 \h </w:instrText>
      </w:r>
      <w:r>
        <w:fldChar w:fldCharType="separate"/>
      </w:r>
      <w:r>
        <w:t>12</w:t>
      </w:r>
      <w:r>
        <w:fldChar w:fldCharType="end"/>
      </w:r>
      <w:r>
        <w:fldChar w:fldCharType="end"/>
      </w:r>
    </w:p>
    <w:p>
      <w:pPr>
        <w:pStyle w:val="18"/>
        <w:tabs>
          <w:tab w:val="right" w:leader="dot" w:pos="8306"/>
        </w:tabs>
      </w:pPr>
      <w:r>
        <w:fldChar w:fldCharType="begin"/>
      </w:r>
      <w:r>
        <w:instrText xml:space="preserve"> HYPERLINK \l "_Toc67" </w:instrText>
      </w:r>
      <w:r>
        <w:fldChar w:fldCharType="separate"/>
      </w:r>
      <w:r>
        <w:rPr>
          <w:rFonts w:hint="eastAsia" w:ascii="宋体" w:hAnsi="宋体"/>
          <w:bCs/>
          <w:kern w:val="0"/>
          <w:szCs w:val="28"/>
        </w:rPr>
        <w:t xml:space="preserve">三、 </w:t>
      </w:r>
      <w:r>
        <w:rPr>
          <w:rFonts w:hint="eastAsia" w:ascii="宋体" w:hAnsi="宋体" w:cs="宋体"/>
          <w:bCs/>
          <w:kern w:val="0"/>
          <w:szCs w:val="28"/>
        </w:rPr>
        <w:t>磋商响应文件</w:t>
      </w:r>
      <w:r>
        <w:tab/>
      </w:r>
      <w:r>
        <w:fldChar w:fldCharType="begin"/>
      </w:r>
      <w:r>
        <w:instrText xml:space="preserve"> PAGEREF _Toc67 \h </w:instrText>
      </w:r>
      <w:r>
        <w:fldChar w:fldCharType="separate"/>
      </w:r>
      <w:r>
        <w:t>14</w:t>
      </w:r>
      <w:r>
        <w:fldChar w:fldCharType="end"/>
      </w:r>
      <w:r>
        <w:fldChar w:fldCharType="end"/>
      </w:r>
    </w:p>
    <w:p>
      <w:pPr>
        <w:pStyle w:val="18"/>
        <w:tabs>
          <w:tab w:val="right" w:leader="dot" w:pos="8306"/>
        </w:tabs>
      </w:pPr>
      <w:r>
        <w:fldChar w:fldCharType="begin"/>
      </w:r>
      <w:r>
        <w:instrText xml:space="preserve"> HYPERLINK \l "_Toc27900" </w:instrText>
      </w:r>
      <w:r>
        <w:fldChar w:fldCharType="separate"/>
      </w:r>
      <w:r>
        <w:rPr>
          <w:rFonts w:hint="eastAsia" w:ascii="宋体" w:hAnsi="宋体"/>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_Toc27900 \h </w:instrText>
      </w:r>
      <w:r>
        <w:fldChar w:fldCharType="separate"/>
      </w:r>
      <w:r>
        <w:t>17</w:t>
      </w:r>
      <w:r>
        <w:fldChar w:fldCharType="end"/>
      </w:r>
      <w:r>
        <w:fldChar w:fldCharType="end"/>
      </w:r>
    </w:p>
    <w:p>
      <w:pPr>
        <w:pStyle w:val="18"/>
        <w:tabs>
          <w:tab w:val="right" w:leader="dot" w:pos="8306"/>
        </w:tabs>
      </w:pPr>
      <w:r>
        <w:fldChar w:fldCharType="begin"/>
      </w:r>
      <w:r>
        <w:instrText xml:space="preserve"> HYPERLINK \l "_Toc29204" </w:instrText>
      </w:r>
      <w:r>
        <w:fldChar w:fldCharType="separate"/>
      </w:r>
      <w:r>
        <w:rPr>
          <w:rFonts w:hint="eastAsia" w:ascii="宋体" w:hAnsi="宋体"/>
          <w:bCs/>
          <w:kern w:val="0"/>
          <w:szCs w:val="28"/>
        </w:rPr>
        <w:t xml:space="preserve">五、 </w:t>
      </w:r>
      <w:r>
        <w:rPr>
          <w:rFonts w:hint="eastAsia" w:ascii="宋体" w:hAnsi="宋体" w:cs="宋体"/>
          <w:bCs/>
          <w:kern w:val="0"/>
          <w:szCs w:val="28"/>
        </w:rPr>
        <w:t>磋商、评审、定标</w:t>
      </w:r>
      <w:r>
        <w:tab/>
      </w:r>
      <w:r>
        <w:fldChar w:fldCharType="begin"/>
      </w:r>
      <w:r>
        <w:instrText xml:space="preserve"> PAGEREF _Toc29204 \h </w:instrText>
      </w:r>
      <w:r>
        <w:fldChar w:fldCharType="separate"/>
      </w:r>
      <w:r>
        <w:t>17</w:t>
      </w:r>
      <w:r>
        <w:fldChar w:fldCharType="end"/>
      </w:r>
      <w:r>
        <w:fldChar w:fldCharType="end"/>
      </w:r>
    </w:p>
    <w:p>
      <w:pPr>
        <w:pStyle w:val="18"/>
        <w:tabs>
          <w:tab w:val="right" w:leader="dot" w:pos="8306"/>
        </w:tabs>
      </w:pPr>
      <w:r>
        <w:fldChar w:fldCharType="begin"/>
      </w:r>
      <w:r>
        <w:instrText xml:space="preserve"> HYPERLINK \l "_Toc7667" </w:instrText>
      </w:r>
      <w:r>
        <w:fldChar w:fldCharType="separate"/>
      </w:r>
      <w:r>
        <w:rPr>
          <w:rFonts w:hint="eastAsia"/>
        </w:rPr>
        <w:t>六、 履约验收</w:t>
      </w:r>
      <w:r>
        <w:tab/>
      </w:r>
      <w:r>
        <w:fldChar w:fldCharType="begin"/>
      </w:r>
      <w:r>
        <w:instrText xml:space="preserve"> PAGEREF _Toc7667 \h </w:instrText>
      </w:r>
      <w:r>
        <w:fldChar w:fldCharType="separate"/>
      </w:r>
      <w:r>
        <w:t>21</w:t>
      </w:r>
      <w:r>
        <w:fldChar w:fldCharType="end"/>
      </w:r>
      <w:r>
        <w:fldChar w:fldCharType="end"/>
      </w:r>
    </w:p>
    <w:p>
      <w:pPr>
        <w:pStyle w:val="18"/>
        <w:tabs>
          <w:tab w:val="right" w:leader="dot" w:pos="8306"/>
        </w:tabs>
      </w:pPr>
      <w:r>
        <w:fldChar w:fldCharType="begin"/>
      </w:r>
      <w:r>
        <w:instrText xml:space="preserve"> HYPERLINK \l "_Toc21006" </w:instrText>
      </w:r>
      <w:r>
        <w:fldChar w:fldCharType="separate"/>
      </w:r>
      <w:r>
        <w:rPr>
          <w:rFonts w:hint="eastAsia" w:ascii="宋体" w:hAnsi="宋体" w:cs="宋体"/>
          <w:bCs/>
          <w:kern w:val="0"/>
          <w:szCs w:val="28"/>
        </w:rPr>
        <w:t>七、签订合同</w:t>
      </w:r>
      <w:r>
        <w:tab/>
      </w:r>
      <w:r>
        <w:fldChar w:fldCharType="begin"/>
      </w:r>
      <w:r>
        <w:instrText xml:space="preserve"> PAGEREF _Toc21006 \h </w:instrText>
      </w:r>
      <w:r>
        <w:fldChar w:fldCharType="separate"/>
      </w:r>
      <w:r>
        <w:t>21</w:t>
      </w:r>
      <w:r>
        <w:fldChar w:fldCharType="end"/>
      </w:r>
      <w:r>
        <w:fldChar w:fldCharType="end"/>
      </w:r>
    </w:p>
    <w:p>
      <w:pPr>
        <w:pStyle w:val="18"/>
        <w:tabs>
          <w:tab w:val="right" w:leader="dot" w:pos="8306"/>
        </w:tabs>
      </w:pPr>
      <w:r>
        <w:fldChar w:fldCharType="begin"/>
      </w:r>
      <w:r>
        <w:instrText xml:space="preserve"> HYPERLINK \l "_Toc4873" </w:instrText>
      </w:r>
      <w:r>
        <w:fldChar w:fldCharType="separate"/>
      </w:r>
      <w:r>
        <w:rPr>
          <w:rFonts w:hint="eastAsia" w:ascii="宋体" w:hAnsi="宋体" w:cs="宋体"/>
          <w:bCs/>
          <w:kern w:val="0"/>
          <w:szCs w:val="28"/>
        </w:rPr>
        <w:t>八、代理服务费</w:t>
      </w:r>
      <w:r>
        <w:tab/>
      </w:r>
      <w:r>
        <w:fldChar w:fldCharType="begin"/>
      </w:r>
      <w:r>
        <w:instrText xml:space="preserve"> PAGEREF _Toc4873 \h </w:instrText>
      </w:r>
      <w:r>
        <w:fldChar w:fldCharType="separate"/>
      </w:r>
      <w:r>
        <w:t>22</w:t>
      </w:r>
      <w:r>
        <w:fldChar w:fldCharType="end"/>
      </w:r>
      <w:r>
        <w:fldChar w:fldCharType="end"/>
      </w:r>
    </w:p>
    <w:p>
      <w:pPr>
        <w:pStyle w:val="18"/>
        <w:tabs>
          <w:tab w:val="right" w:leader="dot" w:pos="8306"/>
        </w:tabs>
      </w:pPr>
      <w:r>
        <w:fldChar w:fldCharType="begin"/>
      </w:r>
      <w:r>
        <w:instrText xml:space="preserve"> HYPERLINK \l "_Toc27361" </w:instrText>
      </w:r>
      <w:r>
        <w:fldChar w:fldCharType="separate"/>
      </w:r>
      <w:r>
        <w:rPr>
          <w:rFonts w:hint="eastAsia" w:ascii="宋体" w:hAnsi="宋体" w:cs="宋体"/>
          <w:bCs/>
          <w:kern w:val="0"/>
          <w:szCs w:val="28"/>
        </w:rPr>
        <w:t>九、质疑和投诉</w:t>
      </w:r>
      <w:r>
        <w:tab/>
      </w:r>
      <w:r>
        <w:fldChar w:fldCharType="begin"/>
      </w:r>
      <w:r>
        <w:instrText xml:space="preserve"> PAGEREF _Toc27361 \h </w:instrText>
      </w:r>
      <w:r>
        <w:fldChar w:fldCharType="separate"/>
      </w:r>
      <w:r>
        <w:t>22</w:t>
      </w:r>
      <w:r>
        <w:fldChar w:fldCharType="end"/>
      </w:r>
      <w:r>
        <w:fldChar w:fldCharType="end"/>
      </w:r>
    </w:p>
    <w:p>
      <w:pPr>
        <w:pStyle w:val="17"/>
        <w:tabs>
          <w:tab w:val="right" w:leader="dot" w:pos="8306"/>
        </w:tabs>
      </w:pPr>
      <w:r>
        <w:fldChar w:fldCharType="begin"/>
      </w:r>
      <w:r>
        <w:instrText xml:space="preserve"> HYPERLINK \l "_Toc15087" </w:instrText>
      </w:r>
      <w:r>
        <w:fldChar w:fldCharType="separate"/>
      </w:r>
      <w:r>
        <w:rPr>
          <w:rFonts w:hint="eastAsia"/>
        </w:rPr>
        <w:t>第四部分 评审标准</w:t>
      </w:r>
      <w:r>
        <w:tab/>
      </w:r>
      <w:r>
        <w:fldChar w:fldCharType="begin"/>
      </w:r>
      <w:r>
        <w:instrText xml:space="preserve"> PAGEREF _Toc15087 \h </w:instrText>
      </w:r>
      <w:r>
        <w:fldChar w:fldCharType="separate"/>
      </w:r>
      <w:r>
        <w:t>24</w:t>
      </w:r>
      <w:r>
        <w:fldChar w:fldCharType="end"/>
      </w:r>
      <w:r>
        <w:fldChar w:fldCharType="end"/>
      </w:r>
    </w:p>
    <w:p>
      <w:pPr>
        <w:pStyle w:val="17"/>
        <w:tabs>
          <w:tab w:val="right" w:leader="dot" w:pos="8306"/>
        </w:tabs>
      </w:pPr>
      <w:r>
        <w:fldChar w:fldCharType="begin"/>
      </w:r>
      <w:r>
        <w:instrText xml:space="preserve"> HYPERLINK \l "_Toc3127" </w:instrText>
      </w:r>
      <w:r>
        <w:fldChar w:fldCharType="separate"/>
      </w:r>
      <w:r>
        <w:rPr>
          <w:rFonts w:ascii="宋体" w:hAnsi="宋体" w:cs="宋体"/>
        </w:rPr>
        <w:t>第五部</w:t>
      </w:r>
      <w:r>
        <w:rPr>
          <w:rFonts w:hint="eastAsia" w:ascii="宋体" w:hAnsi="宋体" w:cs="宋体"/>
        </w:rPr>
        <w:t>分 采购要求</w:t>
      </w:r>
      <w:r>
        <w:tab/>
      </w:r>
      <w:r>
        <w:fldChar w:fldCharType="begin"/>
      </w:r>
      <w:r>
        <w:instrText xml:space="preserve"> PAGEREF _Toc3127 \h </w:instrText>
      </w:r>
      <w:r>
        <w:fldChar w:fldCharType="separate"/>
      </w:r>
      <w:r>
        <w:t>27</w:t>
      </w:r>
      <w:r>
        <w:fldChar w:fldCharType="end"/>
      </w:r>
      <w:r>
        <w:fldChar w:fldCharType="end"/>
      </w:r>
    </w:p>
    <w:p>
      <w:pPr>
        <w:pStyle w:val="17"/>
        <w:tabs>
          <w:tab w:val="right" w:leader="dot" w:pos="8306"/>
        </w:tabs>
      </w:pPr>
      <w:r>
        <w:fldChar w:fldCharType="begin"/>
      </w:r>
      <w:r>
        <w:instrText xml:space="preserve"> HYPERLINK \l "_Toc15220" </w:instrText>
      </w:r>
      <w:r>
        <w:fldChar w:fldCharType="separate"/>
      </w:r>
      <w:r>
        <w:rPr>
          <w:rFonts w:hint="eastAsia"/>
        </w:rPr>
        <w:t xml:space="preserve">第六部分 </w:t>
      </w:r>
      <w:r>
        <w:t>合同条款</w:t>
      </w:r>
      <w:r>
        <w:rPr>
          <w:rFonts w:hint="eastAsia"/>
        </w:rPr>
        <w:t>（参考合同）</w:t>
      </w:r>
      <w:r>
        <w:tab/>
      </w:r>
      <w:r>
        <w:fldChar w:fldCharType="begin"/>
      </w:r>
      <w:r>
        <w:instrText xml:space="preserve"> PAGEREF _Toc15220 \h </w:instrText>
      </w:r>
      <w:r>
        <w:fldChar w:fldCharType="separate"/>
      </w:r>
      <w:r>
        <w:t>30</w:t>
      </w:r>
      <w:r>
        <w:fldChar w:fldCharType="end"/>
      </w:r>
      <w:r>
        <w:fldChar w:fldCharType="end"/>
      </w:r>
    </w:p>
    <w:p>
      <w:pPr>
        <w:pStyle w:val="18"/>
        <w:tabs>
          <w:tab w:val="right" w:leader="dot" w:pos="8306"/>
        </w:tabs>
        <w:ind w:firstLine="420" w:firstLineChars="200"/>
      </w:pPr>
      <w:r>
        <w:fldChar w:fldCharType="begin"/>
      </w:r>
      <w:r>
        <w:instrText xml:space="preserve"> HYPERLINK \l "_Toc20010" </w:instrText>
      </w:r>
      <w:r>
        <w:fldChar w:fldCharType="separate"/>
      </w:r>
      <w:r>
        <w:rPr>
          <w:rFonts w:hint="eastAsia" w:ascii="宋体" w:hAnsi="宋体" w:cs="宋体"/>
          <w:szCs w:val="28"/>
        </w:rPr>
        <w:t>合同条款</w:t>
      </w:r>
      <w:r>
        <w:tab/>
      </w:r>
      <w:r>
        <w:fldChar w:fldCharType="begin"/>
      </w:r>
      <w:r>
        <w:instrText xml:space="preserve"> PAGEREF _Toc20010 \h </w:instrText>
      </w:r>
      <w:r>
        <w:fldChar w:fldCharType="separate"/>
      </w:r>
      <w:r>
        <w:t>31</w:t>
      </w:r>
      <w:r>
        <w:fldChar w:fldCharType="end"/>
      </w:r>
      <w:r>
        <w:fldChar w:fldCharType="end"/>
      </w:r>
    </w:p>
    <w:p>
      <w:pPr>
        <w:pStyle w:val="17"/>
        <w:tabs>
          <w:tab w:val="right" w:leader="dot" w:pos="8306"/>
        </w:tabs>
      </w:pPr>
      <w:r>
        <w:fldChar w:fldCharType="begin"/>
      </w:r>
      <w:r>
        <w:instrText xml:space="preserve"> HYPERLINK \l "_Toc22453" </w:instrText>
      </w:r>
      <w:r>
        <w:fldChar w:fldCharType="separate"/>
      </w:r>
      <w:r>
        <w:rPr>
          <w:rFonts w:hint="eastAsia" w:ascii="宋体" w:hAnsi="宋体" w:cs="宋体"/>
        </w:rPr>
        <w:t>第七部分 磋商响应文件格式</w:t>
      </w:r>
      <w:r>
        <w:tab/>
      </w:r>
      <w:r>
        <w:fldChar w:fldCharType="begin"/>
      </w:r>
      <w:r>
        <w:instrText xml:space="preserve"> PAGEREF _Toc22453 \h </w:instrText>
      </w:r>
      <w:r>
        <w:fldChar w:fldCharType="separate"/>
      </w:r>
      <w:r>
        <w:t>39</w:t>
      </w:r>
      <w:r>
        <w:fldChar w:fldCharType="end"/>
      </w:r>
      <w:r>
        <w:fldChar w:fldCharType="end"/>
      </w:r>
    </w:p>
    <w:p>
      <w:pPr>
        <w:pStyle w:val="18"/>
        <w:tabs>
          <w:tab w:val="right" w:leader="dot" w:pos="8306"/>
        </w:tabs>
      </w:pPr>
      <w:r>
        <w:fldChar w:fldCharType="begin"/>
      </w:r>
      <w:r>
        <w:instrText xml:space="preserve"> HYPERLINK \l "_Toc19775" </w:instrText>
      </w:r>
      <w:r>
        <w:fldChar w:fldCharType="separate"/>
      </w:r>
      <w:r>
        <w:rPr>
          <w:rFonts w:hint="eastAsia"/>
        </w:rPr>
        <w:t>第一章  响应函</w:t>
      </w:r>
      <w:r>
        <w:tab/>
      </w:r>
      <w:r>
        <w:fldChar w:fldCharType="begin"/>
      </w:r>
      <w:r>
        <w:instrText xml:space="preserve"> PAGEREF _Toc19775 \h </w:instrText>
      </w:r>
      <w:r>
        <w:fldChar w:fldCharType="separate"/>
      </w:r>
      <w:r>
        <w:t>41</w:t>
      </w:r>
      <w:r>
        <w:fldChar w:fldCharType="end"/>
      </w:r>
      <w:r>
        <w:fldChar w:fldCharType="end"/>
      </w:r>
    </w:p>
    <w:p>
      <w:pPr>
        <w:pStyle w:val="18"/>
        <w:tabs>
          <w:tab w:val="right" w:leader="dot" w:pos="8306"/>
        </w:tabs>
      </w:pPr>
      <w:r>
        <w:fldChar w:fldCharType="begin"/>
      </w:r>
      <w:r>
        <w:instrText xml:space="preserve"> HYPERLINK \l "_Toc28815" </w:instrText>
      </w:r>
      <w:r>
        <w:fldChar w:fldCharType="separate"/>
      </w:r>
      <w:r>
        <w:rPr>
          <w:rFonts w:hint="eastAsia" w:ascii="宋体" w:hAnsi="宋体" w:cs="宋体"/>
        </w:rPr>
        <w:t>第二</w:t>
      </w:r>
      <w:r>
        <w:rPr>
          <w:rFonts w:hint="eastAsia"/>
        </w:rPr>
        <w:t xml:space="preserve">章  </w:t>
      </w:r>
      <w:r>
        <w:rPr>
          <w:rFonts w:hint="eastAsia" w:ascii="宋体" w:hAnsi="宋体" w:cs="宋体"/>
        </w:rPr>
        <w:t>磋商一览表</w:t>
      </w:r>
      <w:r>
        <w:tab/>
      </w:r>
      <w:r>
        <w:fldChar w:fldCharType="begin"/>
      </w:r>
      <w:r>
        <w:instrText xml:space="preserve"> PAGEREF _Toc28815 \h </w:instrText>
      </w:r>
      <w:r>
        <w:fldChar w:fldCharType="separate"/>
      </w:r>
      <w:r>
        <w:t>42</w:t>
      </w:r>
      <w:r>
        <w:fldChar w:fldCharType="end"/>
      </w:r>
      <w:r>
        <w:fldChar w:fldCharType="end"/>
      </w:r>
    </w:p>
    <w:p>
      <w:pPr>
        <w:pStyle w:val="18"/>
        <w:tabs>
          <w:tab w:val="right" w:leader="dot" w:pos="8306"/>
        </w:tabs>
      </w:pPr>
      <w:r>
        <w:fldChar w:fldCharType="begin"/>
      </w:r>
      <w:r>
        <w:instrText xml:space="preserve"> HYPERLINK \l "_Toc2953" </w:instrText>
      </w:r>
      <w:r>
        <w:fldChar w:fldCharType="separate"/>
      </w:r>
      <w:r>
        <w:rPr>
          <w:rFonts w:hint="eastAsia" w:hAnsi="宋体" w:cs="宋体"/>
        </w:rPr>
        <w:t>第三章</w:t>
      </w:r>
      <w:r>
        <w:rPr>
          <w:rFonts w:hint="eastAsia"/>
        </w:rPr>
        <w:t xml:space="preserve">  </w:t>
      </w:r>
      <w:r>
        <w:rPr>
          <w:rFonts w:hint="eastAsia"/>
          <w:szCs w:val="36"/>
        </w:rPr>
        <w:t>分项报价表</w:t>
      </w:r>
      <w:r>
        <w:tab/>
      </w:r>
      <w:r>
        <w:fldChar w:fldCharType="begin"/>
      </w:r>
      <w:r>
        <w:instrText xml:space="preserve"> PAGEREF _Toc2953 \h </w:instrText>
      </w:r>
      <w:r>
        <w:fldChar w:fldCharType="separate"/>
      </w:r>
      <w:r>
        <w:t>43</w:t>
      </w:r>
      <w:r>
        <w:fldChar w:fldCharType="end"/>
      </w:r>
      <w:r>
        <w:fldChar w:fldCharType="end"/>
      </w:r>
    </w:p>
    <w:p>
      <w:pPr>
        <w:pStyle w:val="18"/>
        <w:tabs>
          <w:tab w:val="right" w:leader="dot" w:pos="8306"/>
        </w:tabs>
      </w:pPr>
      <w:r>
        <w:fldChar w:fldCharType="begin"/>
      </w:r>
      <w:r>
        <w:instrText xml:space="preserve"> HYPERLINK \l "_Toc14796" </w:instrText>
      </w:r>
      <w:r>
        <w:fldChar w:fldCharType="separate"/>
      </w:r>
      <w:r>
        <w:rPr>
          <w:rFonts w:hint="eastAsia"/>
        </w:rPr>
        <w:t>第四章  供应商资质证明资料</w:t>
      </w:r>
      <w:r>
        <w:tab/>
      </w:r>
      <w:r>
        <w:fldChar w:fldCharType="begin"/>
      </w:r>
      <w:r>
        <w:instrText xml:space="preserve"> PAGEREF _Toc14796 \h </w:instrText>
      </w:r>
      <w:r>
        <w:fldChar w:fldCharType="separate"/>
      </w:r>
      <w:r>
        <w:t>44</w:t>
      </w:r>
      <w:r>
        <w:fldChar w:fldCharType="end"/>
      </w:r>
      <w:r>
        <w:fldChar w:fldCharType="end"/>
      </w:r>
    </w:p>
    <w:p>
      <w:pPr>
        <w:pStyle w:val="18"/>
        <w:tabs>
          <w:tab w:val="right" w:leader="dot" w:pos="8306"/>
        </w:tabs>
      </w:pPr>
      <w:r>
        <w:fldChar w:fldCharType="begin"/>
      </w:r>
      <w:r>
        <w:instrText xml:space="preserve"> HYPERLINK \l "_Toc18339" </w:instrText>
      </w:r>
      <w:r>
        <w:fldChar w:fldCharType="separate"/>
      </w:r>
      <w:r>
        <w:rPr>
          <w:rFonts w:hint="eastAsia"/>
        </w:rPr>
        <w:t>第五章  商务和技术响应偏离表</w:t>
      </w:r>
      <w:r>
        <w:tab/>
      </w:r>
      <w:r>
        <w:fldChar w:fldCharType="begin"/>
      </w:r>
      <w:r>
        <w:instrText xml:space="preserve"> PAGEREF _Toc18339 \h </w:instrText>
      </w:r>
      <w:r>
        <w:fldChar w:fldCharType="separate"/>
      </w:r>
      <w:r>
        <w:t>51</w:t>
      </w:r>
      <w:r>
        <w:fldChar w:fldCharType="end"/>
      </w:r>
      <w:r>
        <w:fldChar w:fldCharType="end"/>
      </w:r>
    </w:p>
    <w:p>
      <w:pPr>
        <w:pStyle w:val="18"/>
        <w:tabs>
          <w:tab w:val="right" w:leader="dot" w:pos="8306"/>
        </w:tabs>
      </w:pPr>
      <w:r>
        <w:fldChar w:fldCharType="begin"/>
      </w:r>
      <w:r>
        <w:instrText xml:space="preserve"> HYPERLINK \l "_Toc20907" </w:instrText>
      </w:r>
      <w:r>
        <w:fldChar w:fldCharType="separate"/>
      </w:r>
      <w:r>
        <w:rPr>
          <w:rFonts w:hint="eastAsia" w:ascii="宋体" w:hAnsi="宋体" w:cs="宋体"/>
          <w:szCs w:val="36"/>
        </w:rPr>
        <w:t>第六章  技术支持资料</w:t>
      </w:r>
      <w:r>
        <w:tab/>
      </w:r>
      <w:r>
        <w:fldChar w:fldCharType="begin"/>
      </w:r>
      <w:r>
        <w:instrText xml:space="preserve"> PAGEREF _Toc20907 \h </w:instrText>
      </w:r>
      <w:r>
        <w:fldChar w:fldCharType="separate"/>
      </w:r>
      <w:r>
        <w:t>53</w:t>
      </w:r>
      <w:r>
        <w:fldChar w:fldCharType="end"/>
      </w:r>
      <w:r>
        <w:fldChar w:fldCharType="end"/>
      </w:r>
    </w:p>
    <w:p>
      <w:pPr>
        <w:pStyle w:val="18"/>
        <w:tabs>
          <w:tab w:val="right" w:leader="dot" w:pos="8306"/>
        </w:tabs>
      </w:pPr>
      <w:r>
        <w:fldChar w:fldCharType="begin"/>
      </w:r>
      <w:r>
        <w:instrText xml:space="preserve"> HYPERLINK \l "_Toc24728" </w:instrText>
      </w:r>
      <w:r>
        <w:fldChar w:fldCharType="separate"/>
      </w:r>
      <w:r>
        <w:rPr>
          <w:rFonts w:hint="eastAsia"/>
        </w:rPr>
        <w:t>第七章  供应商业绩一览表</w:t>
      </w:r>
      <w:r>
        <w:tab/>
      </w:r>
      <w:r>
        <w:fldChar w:fldCharType="begin"/>
      </w:r>
      <w:r>
        <w:instrText xml:space="preserve"> PAGEREF _Toc24728 \h </w:instrText>
      </w:r>
      <w:r>
        <w:fldChar w:fldCharType="separate"/>
      </w:r>
      <w:r>
        <w:t>54</w:t>
      </w:r>
      <w:r>
        <w:fldChar w:fldCharType="end"/>
      </w:r>
      <w:r>
        <w:fldChar w:fldCharType="end"/>
      </w:r>
    </w:p>
    <w:p>
      <w:pPr>
        <w:pStyle w:val="18"/>
        <w:tabs>
          <w:tab w:val="right" w:leader="dot" w:pos="8306"/>
        </w:tabs>
      </w:pPr>
      <w:r>
        <w:fldChar w:fldCharType="begin"/>
      </w:r>
      <w:r>
        <w:instrText xml:space="preserve"> HYPERLINK \l "_Toc5553" </w:instrText>
      </w:r>
      <w:r>
        <w:fldChar w:fldCharType="separate"/>
      </w:r>
      <w:r>
        <w:rPr>
          <w:rFonts w:hint="eastAsia"/>
        </w:rPr>
        <w:t>第八章  供应商认为有必要说明的其他问题</w:t>
      </w:r>
      <w:r>
        <w:tab/>
      </w:r>
      <w:r>
        <w:fldChar w:fldCharType="begin"/>
      </w:r>
      <w:r>
        <w:instrText xml:space="preserve"> PAGEREF _Toc5553 \h </w:instrText>
      </w:r>
      <w:r>
        <w:fldChar w:fldCharType="separate"/>
      </w:r>
      <w:r>
        <w:t>55</w:t>
      </w:r>
      <w:r>
        <w:fldChar w:fldCharType="end"/>
      </w:r>
      <w:r>
        <w:fldChar w:fldCharType="end"/>
      </w:r>
    </w:p>
    <w:p>
      <w:pPr>
        <w:pStyle w:val="18"/>
        <w:tabs>
          <w:tab w:val="right" w:leader="dot" w:pos="8306"/>
        </w:tabs>
      </w:pPr>
      <w:r>
        <w:fldChar w:fldCharType="begin"/>
      </w:r>
      <w:r>
        <w:instrText xml:space="preserve"> HYPERLINK \l "_Toc22008" </w:instrText>
      </w:r>
      <w:r>
        <w:fldChar w:fldCharType="separate"/>
      </w:r>
      <w:r>
        <w:rPr>
          <w:rFonts w:hint="eastAsia" w:ascii="宋体" w:hAnsi="宋体" w:cs="宋体"/>
        </w:rPr>
        <w:t xml:space="preserve">第九章  </w:t>
      </w:r>
      <w:r>
        <w:rPr>
          <w:rFonts w:hint="eastAsia"/>
          <w:szCs w:val="30"/>
        </w:rPr>
        <w:t>供应商承诺书</w:t>
      </w:r>
      <w:r>
        <w:tab/>
      </w:r>
      <w:r>
        <w:fldChar w:fldCharType="begin"/>
      </w:r>
      <w:r>
        <w:instrText xml:space="preserve"> PAGEREF _Toc22008 \h </w:instrText>
      </w:r>
      <w:r>
        <w:fldChar w:fldCharType="separate"/>
      </w:r>
      <w:r>
        <w:t>56</w:t>
      </w:r>
      <w:r>
        <w:fldChar w:fldCharType="end"/>
      </w:r>
      <w:r>
        <w:fldChar w:fldCharType="end"/>
      </w:r>
    </w:p>
    <w:p>
      <w:pPr>
        <w:pStyle w:val="18"/>
        <w:tabs>
          <w:tab w:val="right" w:leader="dot" w:pos="8306"/>
        </w:tabs>
      </w:pPr>
      <w:r>
        <w:fldChar w:fldCharType="begin"/>
      </w:r>
      <w:r>
        <w:instrText xml:space="preserve"> HYPERLINK \l "_Toc9950" </w:instrText>
      </w:r>
      <w:r>
        <w:fldChar w:fldCharType="separate"/>
      </w:r>
      <w:r>
        <w:rPr>
          <w:rFonts w:hint="eastAsia" w:ascii="宋体" w:hAnsi="宋体" w:cs="宋体"/>
        </w:rPr>
        <w:t>附件一：封袋正面标识式样</w:t>
      </w:r>
      <w:r>
        <w:tab/>
      </w:r>
      <w:r>
        <w:fldChar w:fldCharType="begin"/>
      </w:r>
      <w:r>
        <w:instrText xml:space="preserve"> PAGEREF _Toc9950 \h </w:instrText>
      </w:r>
      <w:r>
        <w:fldChar w:fldCharType="separate"/>
      </w:r>
      <w:r>
        <w:t>59</w:t>
      </w:r>
      <w:r>
        <w:fldChar w:fldCharType="end"/>
      </w:r>
      <w:r>
        <w:fldChar w:fldCharType="end"/>
      </w:r>
    </w:p>
    <w:p>
      <w:pPr>
        <w:pStyle w:val="18"/>
        <w:tabs>
          <w:tab w:val="right" w:leader="dot" w:pos="8306"/>
        </w:tabs>
      </w:pPr>
      <w:r>
        <w:fldChar w:fldCharType="begin"/>
      </w:r>
      <w:r>
        <w:instrText xml:space="preserve"> HYPERLINK \l "_Toc11690" </w:instrText>
      </w:r>
      <w:r>
        <w:fldChar w:fldCharType="separate"/>
      </w:r>
      <w:r>
        <w:rPr>
          <w:rFonts w:hint="eastAsia" w:ascii="宋体" w:hAnsi="宋体" w:cs="宋体"/>
        </w:rPr>
        <w:t>附件二、中小企业申明</w:t>
      </w:r>
      <w:r>
        <w:tab/>
      </w:r>
      <w:r>
        <w:fldChar w:fldCharType="begin"/>
      </w:r>
      <w:r>
        <w:instrText xml:space="preserve"> PAGEREF _Toc11690 \h </w:instrText>
      </w:r>
      <w:r>
        <w:fldChar w:fldCharType="separate"/>
      </w:r>
      <w:r>
        <w:t>61</w:t>
      </w:r>
      <w:r>
        <w:fldChar w:fldCharType="end"/>
      </w:r>
      <w:r>
        <w:fldChar w:fldCharType="end"/>
      </w:r>
    </w:p>
    <w:p>
      <w:pPr>
        <w:pStyle w:val="18"/>
        <w:tabs>
          <w:tab w:val="right" w:leader="dot" w:pos="8306"/>
        </w:tabs>
      </w:pPr>
      <w:r>
        <w:fldChar w:fldCharType="begin"/>
      </w:r>
      <w:r>
        <w:instrText xml:space="preserve"> HYPERLINK \l "_Toc24769" </w:instrText>
      </w:r>
      <w:r>
        <w:fldChar w:fldCharType="separate"/>
      </w:r>
      <w:r>
        <w:rPr>
          <w:rFonts w:hint="eastAsia"/>
        </w:rPr>
        <w:t>附件三、残疾人福利性单位声明</w:t>
      </w:r>
      <w:r>
        <w:tab/>
      </w:r>
      <w:r>
        <w:fldChar w:fldCharType="begin"/>
      </w:r>
      <w:r>
        <w:instrText xml:space="preserve"> PAGEREF _Toc24769 \h </w:instrText>
      </w:r>
      <w:r>
        <w:fldChar w:fldCharType="separate"/>
      </w:r>
      <w:r>
        <w:t>62</w:t>
      </w:r>
      <w:r>
        <w:fldChar w:fldCharType="end"/>
      </w:r>
      <w:r>
        <w:fldChar w:fldCharType="end"/>
      </w:r>
    </w:p>
    <w:p>
      <w:pPr>
        <w:pStyle w:val="18"/>
        <w:tabs>
          <w:tab w:val="right" w:leader="dot" w:pos="8306"/>
        </w:tabs>
      </w:pPr>
      <w:r>
        <w:fldChar w:fldCharType="begin"/>
      </w:r>
      <w:r>
        <w:instrText xml:space="preserve"> HYPERLINK \l "_Toc5434" </w:instrText>
      </w:r>
      <w:r>
        <w:fldChar w:fldCharType="separate"/>
      </w:r>
      <w:r>
        <w:rPr>
          <w:rFonts w:hint="eastAsia"/>
        </w:rPr>
        <w:t>附件四、监狱企业证明文件</w:t>
      </w:r>
      <w:r>
        <w:tab/>
      </w:r>
      <w:r>
        <w:fldChar w:fldCharType="begin"/>
      </w:r>
      <w:r>
        <w:instrText xml:space="preserve"> PAGEREF _Toc5434 \h </w:instrText>
      </w:r>
      <w:r>
        <w:fldChar w:fldCharType="separate"/>
      </w:r>
      <w:r>
        <w:t>63</w:t>
      </w:r>
      <w:r>
        <w:fldChar w:fldCharType="end"/>
      </w:r>
      <w:r>
        <w:fldChar w:fldCharType="end"/>
      </w:r>
    </w:p>
    <w:p>
      <w:pPr>
        <w:pStyle w:val="18"/>
        <w:tabs>
          <w:tab w:val="right" w:leader="dot" w:pos="8306"/>
        </w:tabs>
      </w:pPr>
      <w:r>
        <w:fldChar w:fldCharType="begin"/>
      </w:r>
      <w:r>
        <w:instrText xml:space="preserve"> HYPERLINK \l "_Toc25091" </w:instrText>
      </w:r>
      <w:r>
        <w:fldChar w:fldCharType="separate"/>
      </w:r>
      <w:r>
        <w:rPr>
          <w:rFonts w:hint="eastAsia" w:ascii="宋体" w:hAnsi="宋体" w:cs="宋体"/>
        </w:rPr>
        <w:t>附件五、“节能产品”，“环境标志产品”证明材料</w:t>
      </w:r>
      <w:r>
        <w:tab/>
      </w:r>
      <w:r>
        <w:fldChar w:fldCharType="begin"/>
      </w:r>
      <w:r>
        <w:instrText xml:space="preserve"> PAGEREF _Toc25091 \h </w:instrText>
      </w:r>
      <w:r>
        <w:fldChar w:fldCharType="separate"/>
      </w:r>
      <w:r>
        <w:t>63</w:t>
      </w:r>
      <w:r>
        <w:fldChar w:fldCharType="end"/>
      </w:r>
      <w:r>
        <w:fldChar w:fldCharType="end"/>
      </w:r>
    </w:p>
    <w:p>
      <w:pPr>
        <w:rPr>
          <w:sz w:val="24"/>
          <w:szCs w:val="24"/>
        </w:rPr>
        <w:sectPr>
          <w:footerReference r:id="rId6" w:type="default"/>
          <w:pgSz w:w="11906" w:h="16838"/>
          <w:pgMar w:top="1440" w:right="1800" w:bottom="1440" w:left="1800" w:header="851" w:footer="992" w:gutter="0"/>
          <w:cols w:space="720" w:num="1"/>
          <w:docGrid w:type="lines" w:linePitch="312" w:charSpace="0"/>
        </w:sectPr>
      </w:pPr>
      <w:r>
        <w:rPr>
          <w:szCs w:val="24"/>
        </w:rPr>
        <w:fldChar w:fldCharType="end"/>
      </w:r>
    </w:p>
    <w:p>
      <w:pPr>
        <w:pStyle w:val="3"/>
        <w:rPr>
          <w:rFonts w:ascii="宋体" w:hAnsi="宋体" w:cs="宋体"/>
        </w:rPr>
      </w:pPr>
      <w:bookmarkStart w:id="1" w:name="_Toc27507"/>
      <w:bookmarkStart w:id="2" w:name="_Toc13602"/>
      <w:bookmarkStart w:id="3" w:name="_Toc27511"/>
      <w:bookmarkStart w:id="4" w:name="_Toc26575"/>
      <w:r>
        <w:rPr>
          <w:rFonts w:hint="eastAsia" w:ascii="宋体" w:hAnsi="宋体" w:cs="宋体"/>
        </w:rPr>
        <w:t>第一部分 竞争性磋商公告</w:t>
      </w:r>
      <w:bookmarkEnd w:id="1"/>
      <w:bookmarkEnd w:id="2"/>
      <w:bookmarkEnd w:id="3"/>
      <w:bookmarkEnd w:id="4"/>
    </w:p>
    <w:p>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陕西万泽招标有限公司受西安市儿童医院的委托，经政府采购管理部门批准，就西安市儿童医院软件维保项目进行竞争性磋商，欢迎符合资格条件的、有能力提供本次项目所需货物和服务的供应商参加磋商。</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项目名称：西安市儿童医院软件维保项目</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项目编号：SXWZ2022ZB-ETYY-293</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bookmarkStart w:id="5" w:name="OLE_LINK2"/>
      <w:r>
        <w:rPr>
          <w:rFonts w:hint="eastAsia" w:ascii="宋体" w:hAnsi="宋体" w:cs="宋体"/>
          <w:kern w:val="0"/>
          <w:sz w:val="24"/>
          <w:szCs w:val="24"/>
        </w:rPr>
        <w:t>采购人名称：西安市儿童医院</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    址：西安市西举院巷69号</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联系方式：029-87692082</w:t>
      </w:r>
    </w:p>
    <w:bookmarkEnd w:id="5"/>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地    址：西安市莲湖区西关正街英达大厦1507室</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联系方式：029-88319689</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tbl>
      <w:tblPr>
        <w:tblStyle w:val="24"/>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35"/>
        <w:gridCol w:w="1575"/>
        <w:gridCol w:w="2605"/>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006"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93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采购内容</w:t>
            </w:r>
          </w:p>
        </w:tc>
        <w:tc>
          <w:tcPr>
            <w:tcW w:w="157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采购预算金额</w:t>
            </w:r>
          </w:p>
        </w:tc>
        <w:tc>
          <w:tcPr>
            <w:tcW w:w="260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项目用途</w:t>
            </w:r>
          </w:p>
        </w:tc>
        <w:tc>
          <w:tcPr>
            <w:tcW w:w="1513"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项目性质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6"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93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软件维保</w:t>
            </w:r>
          </w:p>
        </w:tc>
        <w:tc>
          <w:tcPr>
            <w:tcW w:w="157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600000</w:t>
            </w:r>
          </w:p>
        </w:tc>
        <w:tc>
          <w:tcPr>
            <w:tcW w:w="260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自用</w:t>
            </w:r>
          </w:p>
        </w:tc>
        <w:tc>
          <w:tcPr>
            <w:tcW w:w="1513"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财政资金</w:t>
            </w:r>
          </w:p>
        </w:tc>
      </w:tr>
    </w:tbl>
    <w:p>
      <w:pPr>
        <w:pStyle w:val="6"/>
        <w:spacing w:line="360" w:lineRule="auto"/>
        <w:ind w:firstLine="960" w:firstLineChars="400"/>
        <w:rPr>
          <w:rFonts w:ascii="宋体" w:hAnsi="宋体" w:cs="宋体"/>
          <w:kern w:val="0"/>
          <w:sz w:val="24"/>
          <w:szCs w:val="24"/>
        </w:rPr>
      </w:pP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2022年1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税收缴纳证明：提供2022年1月至今已缴纳的至少一个月的纳税证明或完税证明；依法免税的单位应提供相关证明材料；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财务状况证明：提供经会计师事务所审计的2020年或2021年财务审计报告，或在开标日期前六个月内其基本开户银行出具的资信证明及基本账户开户许可证；</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pStyle w:val="6"/>
        <w:spacing w:line="360" w:lineRule="auto"/>
        <w:ind w:firstLine="480" w:firstLineChars="200"/>
      </w:pPr>
      <w:r>
        <w:rPr>
          <w:rFonts w:hint="eastAsia" w:ascii="宋体" w:hAnsi="宋体" w:cs="宋体"/>
          <w:bCs/>
          <w:kern w:val="0"/>
          <w:sz w:val="24"/>
          <w:szCs w:val="24"/>
        </w:rPr>
        <w:t>6、非法定代表人参加磋商的，须提供法定代表人授权委托书及被授权人身份证原件；法定代表人参加磋商时,只须提供法定代表人身份证原件；</w:t>
      </w:r>
    </w:p>
    <w:p>
      <w:pPr>
        <w:widowControl/>
        <w:tabs>
          <w:tab w:val="left" w:pos="1620"/>
        </w:tabs>
        <w:wordWrap w:val="0"/>
        <w:snapToGrid w:val="0"/>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7、本项目专门面向中小企业采购，供应商应提供中小企业声明函；</w:t>
      </w:r>
    </w:p>
    <w:p>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bCs/>
          <w:kern w:val="0"/>
          <w:sz w:val="24"/>
          <w:szCs w:val="24"/>
        </w:rPr>
        <w:t>8、本项目不接受联合体磋商。</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snapToGrid w:val="0"/>
        <w:spacing w:line="300" w:lineRule="auto"/>
        <w:ind w:firstLine="480" w:firstLineChars="200"/>
        <w:rPr>
          <w:rFonts w:ascii="宋体" w:hAnsi="宋体" w:cs="宋体"/>
          <w:sz w:val="24"/>
        </w:rPr>
      </w:pPr>
      <w:r>
        <w:rPr>
          <w:rFonts w:hint="eastAsia" w:ascii="宋体" w:hAnsi="宋体" w:cs="宋体"/>
          <w:sz w:val="24"/>
        </w:rPr>
        <w:t>依据</w:t>
      </w:r>
      <w:r>
        <w:rPr>
          <w:rFonts w:hint="eastAsia" w:ascii="宋体" w:hAnsi="宋体" w:cs="宋体"/>
          <w:bCs/>
          <w:kern w:val="0"/>
          <w:sz w:val="24"/>
          <w:szCs w:val="24"/>
        </w:rPr>
        <w:t>《中华人民共和国政府采购法》和《中华人民共和国政府采购实施条例》的有关规定，落实政府采购“优先购买节能环保产品、扶持小微企业、监狱企业、福利企业”等相关政</w:t>
      </w:r>
      <w:r>
        <w:rPr>
          <w:rFonts w:hint="eastAsia" w:ascii="宋体" w:hAnsi="宋体" w:cs="宋体"/>
          <w:sz w:val="24"/>
        </w:rPr>
        <w:t>策。</w:t>
      </w:r>
    </w:p>
    <w:p>
      <w:pPr>
        <w:snapToGrid w:val="0"/>
        <w:spacing w:line="300" w:lineRule="auto"/>
        <w:ind w:firstLine="480" w:firstLineChars="200"/>
        <w:rPr>
          <w:rFonts w:ascii="宋体" w:hAnsi="宋体" w:cs="宋体"/>
          <w:sz w:val="24"/>
        </w:rPr>
      </w:pPr>
      <w:r>
        <w:rPr>
          <w:rFonts w:hint="eastAsia" w:ascii="宋体" w:hAnsi="宋体" w:cs="宋体"/>
          <w:sz w:val="24"/>
        </w:rPr>
        <w:t>1、</w:t>
      </w:r>
      <w:r>
        <w:rPr>
          <w:rFonts w:hint="eastAsia" w:ascii="宋体" w:hAnsi="宋体"/>
          <w:color w:val="000000"/>
          <w:spacing w:val="6"/>
          <w:sz w:val="24"/>
        </w:rPr>
        <w:t>《政府采购促进中小企业发展管理办法》（财库[2020]46号）</w:t>
      </w:r>
      <w:r>
        <w:rPr>
          <w:rFonts w:hint="eastAsia" w:ascii="宋体" w:hAnsi="宋体" w:cs="宋体"/>
          <w:sz w:val="24"/>
        </w:rPr>
        <w:t>；</w:t>
      </w:r>
    </w:p>
    <w:p>
      <w:pPr>
        <w:snapToGrid w:val="0"/>
        <w:spacing w:line="300" w:lineRule="auto"/>
        <w:ind w:firstLine="480" w:firstLineChars="200"/>
        <w:rPr>
          <w:rFonts w:ascii="宋体" w:hAnsi="宋体" w:cs="宋体"/>
          <w:sz w:val="24"/>
        </w:rPr>
      </w:pPr>
      <w:r>
        <w:rPr>
          <w:rFonts w:hint="eastAsia" w:ascii="宋体" w:hAnsi="宋体" w:cs="宋体"/>
          <w:sz w:val="24"/>
        </w:rPr>
        <w:t>2、 《财政部司法部关于政府采购支持监狱企业发展有关问题的通知》（财库〔2014〕68号）；</w:t>
      </w:r>
    </w:p>
    <w:p>
      <w:pPr>
        <w:snapToGrid w:val="0"/>
        <w:spacing w:line="30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pPr>
        <w:snapToGrid w:val="0"/>
        <w:spacing w:line="300" w:lineRule="auto"/>
        <w:ind w:firstLine="480" w:firstLineChars="200"/>
        <w:rPr>
          <w:rFonts w:ascii="宋体" w:hAnsi="宋体" w:cs="宋体"/>
          <w:sz w:val="24"/>
        </w:rPr>
      </w:pPr>
      <w:r>
        <w:rPr>
          <w:rFonts w:hint="eastAsia" w:ascii="宋体" w:hAnsi="宋体" w:cs="宋体"/>
          <w:sz w:val="24"/>
        </w:rPr>
        <w:t>4、《节能产品政府采购实施意见》（财库[2004]185号）；</w:t>
      </w:r>
    </w:p>
    <w:p>
      <w:pPr>
        <w:snapToGrid w:val="0"/>
        <w:spacing w:line="30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pPr>
        <w:snapToGrid w:val="0"/>
        <w:spacing w:line="30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、《三部门联合发布关于促进残疾人就业政府采购政策的通知》（财库〔2017〕141号）。</w:t>
      </w:r>
    </w:p>
    <w:p>
      <w:pPr>
        <w:ind w:firstLine="480"/>
        <w:rPr>
          <w:rFonts w:hint="eastAsia"/>
          <w:bCs/>
          <w:sz w:val="24"/>
          <w:szCs w:val="24"/>
        </w:rPr>
      </w:pPr>
      <w:r>
        <w:rPr>
          <w:rFonts w:hint="eastAsia"/>
          <w:bCs/>
          <w:sz w:val="24"/>
          <w:szCs w:val="24"/>
        </w:rPr>
        <w:t>7、《西安市政府采购信用担保及信用融资工作实施方案（试行）》（市财发〔2014〕167号）。</w:t>
      </w:r>
    </w:p>
    <w:p>
      <w:pPr>
        <w:bidi w:val="0"/>
        <w:ind w:firstLine="480" w:firstLineChars="200"/>
        <w:rPr>
          <w:rFonts w:hint="eastAsia" w:eastAsia="宋体"/>
          <w:sz w:val="24"/>
          <w:szCs w:val="24"/>
          <w:lang w:val="en-US" w:eastAsia="zh-CN"/>
        </w:rPr>
      </w:pPr>
      <w:r>
        <w:rPr>
          <w:rFonts w:hint="eastAsia"/>
          <w:sz w:val="24"/>
          <w:szCs w:val="24"/>
          <w:lang w:val="en-US" w:eastAsia="zh-CN"/>
        </w:rPr>
        <w:t>8、其他需要落实的政府采购政策。</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竞争性磋商文件领取：</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1、领取</w:t>
      </w:r>
      <w:r>
        <w:rPr>
          <w:rFonts w:hint="eastAsia" w:ascii="宋体" w:hAnsi="宋体" w:cs="宋体"/>
          <w:sz w:val="24"/>
          <w:highlight w:val="none"/>
        </w:rPr>
        <w:t>时间：</w:t>
      </w:r>
      <w:r>
        <w:rPr>
          <w:rFonts w:hint="eastAsia" w:ascii="宋体" w:hAnsi="宋体" w:cs="宋体"/>
          <w:b/>
          <w:bCs/>
          <w:sz w:val="24"/>
          <w:highlight w:val="none"/>
        </w:rPr>
        <w:t>202</w:t>
      </w:r>
      <w:r>
        <w:rPr>
          <w:rFonts w:hint="eastAsia" w:ascii="宋体" w:hAnsi="宋体" w:cs="宋体"/>
          <w:b/>
          <w:bCs/>
          <w:sz w:val="24"/>
          <w:highlight w:val="none"/>
          <w:lang w:val="en-US" w:eastAsia="zh-CN"/>
        </w:rPr>
        <w:t>3</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20日</w:t>
      </w:r>
      <w:r>
        <w:rPr>
          <w:rFonts w:hint="eastAsia" w:ascii="宋体" w:hAnsi="宋体" w:cs="宋体"/>
          <w:b/>
          <w:bCs/>
          <w:sz w:val="24"/>
          <w:highlight w:val="none"/>
        </w:rPr>
        <w:t>至202</w:t>
      </w:r>
      <w:r>
        <w:rPr>
          <w:rFonts w:hint="eastAsia" w:ascii="宋体" w:hAnsi="宋体" w:cs="宋体"/>
          <w:b/>
          <w:bCs/>
          <w:sz w:val="24"/>
          <w:highlight w:val="none"/>
          <w:lang w:val="en-US" w:eastAsia="zh-CN"/>
        </w:rPr>
        <w:t>3</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27</w:t>
      </w:r>
      <w:r>
        <w:rPr>
          <w:rFonts w:hint="eastAsia" w:ascii="宋体" w:hAnsi="宋体" w:cs="宋体"/>
          <w:b/>
          <w:bCs/>
          <w:sz w:val="24"/>
          <w:highlight w:val="none"/>
        </w:rPr>
        <w:t>日</w:t>
      </w:r>
      <w:r>
        <w:rPr>
          <w:rFonts w:hint="eastAsia" w:ascii="宋体" w:hAnsi="宋体" w:cs="宋体"/>
          <w:sz w:val="24"/>
          <w:highlight w:val="none"/>
        </w:rPr>
        <w:t>止</w:t>
      </w:r>
      <w:r>
        <w:rPr>
          <w:rFonts w:hint="eastAsia" w:ascii="宋体" w:hAnsi="宋体" w:cs="宋体"/>
          <w:sz w:val="24"/>
          <w:szCs w:val="24"/>
          <w:highlight w:val="none"/>
        </w:rPr>
        <w:t>。</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（上午09:00～12:00，下午14:00～17:00发售,法定节假日除外）。</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2、领取地点：西安市莲湖区西关正街英达大厦1507室。</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3、文件售价：¥0元/套，谢绝邮寄。</w:t>
      </w:r>
    </w:p>
    <w:p>
      <w:pPr>
        <w:widowControl/>
        <w:wordWrap w:val="0"/>
        <w:snapToGrid w:val="0"/>
        <w:spacing w:line="300" w:lineRule="auto"/>
        <w:ind w:right="-199" w:rightChars="-95"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注：供应商领取磋商文件时，请携带单位介绍信及经办人身份证原件及复印件加盖公章。</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磋商响应文件递交截止时间及磋商时间和地点：</w:t>
      </w:r>
    </w:p>
    <w:p>
      <w:pPr>
        <w:widowControl/>
        <w:tabs>
          <w:tab w:val="left" w:pos="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1、磋商响应文件递交截止时间：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年</w:t>
      </w:r>
      <w:r>
        <w:rPr>
          <w:rFonts w:hint="eastAsia" w:ascii="宋体" w:hAnsi="宋体" w:cs="宋体"/>
          <w:b/>
          <w:bCs/>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31</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sz w:val="24"/>
          <w:szCs w:val="24"/>
          <w:highlight w:val="none"/>
        </w:rPr>
        <w:t>:30</w:t>
      </w:r>
    </w:p>
    <w:p>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2、磋商时间：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31</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:30</w:t>
      </w:r>
    </w:p>
    <w:p>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3、磋商地点：西安市莲湖区西关正街英达大厦1503会议室。</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其它应说明的事项： </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1、采购项目联系人：崔方明   许芳芳</w:t>
      </w:r>
    </w:p>
    <w:p>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联系方式（电话/传真）：029-88319689-804/811</w:t>
      </w:r>
    </w:p>
    <w:p>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2、采购代理机构开户名称：陕西万泽招标有限公司</w:t>
      </w:r>
    </w:p>
    <w:p>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 xml:space="preserve">开户行名称：西安银行朝阳门支行 </w:t>
      </w:r>
    </w:p>
    <w:p>
      <w:pPr>
        <w:widowControl/>
        <w:tabs>
          <w:tab w:val="left" w:pos="0"/>
        </w:tabs>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账      号：211011580000015489</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竞争性磋商公告的公告期限为5个工作日。</w:t>
      </w:r>
    </w:p>
    <w:p>
      <w:pPr>
        <w:rPr>
          <w:highlight w:val="none"/>
        </w:rPr>
      </w:pPr>
    </w:p>
    <w:p>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 xml:space="preserve"> 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rPr>
        <w:t>日</w:t>
      </w:r>
    </w:p>
    <w:p>
      <w:pPr>
        <w:pStyle w:val="3"/>
        <w:keepLines w:val="0"/>
        <w:spacing w:line="312" w:lineRule="auto"/>
        <w:ind w:firstLine="562" w:firstLineChars="175"/>
        <w:rPr>
          <w:rFonts w:ascii="宋体" w:hAnsi="宋体" w:cs="宋体"/>
          <w:highlight w:val="none"/>
        </w:rPr>
        <w:sectPr>
          <w:footerReference r:id="rId7" w:type="default"/>
          <w:pgSz w:w="11906" w:h="16838"/>
          <w:pgMar w:top="1440" w:right="1286" w:bottom="1440" w:left="1800" w:header="851" w:footer="992" w:gutter="0"/>
          <w:cols w:space="720" w:num="1"/>
          <w:docGrid w:type="lines" w:linePitch="312" w:charSpace="0"/>
        </w:sectPr>
      </w:pPr>
    </w:p>
    <w:p>
      <w:pPr>
        <w:pStyle w:val="3"/>
        <w:rPr>
          <w:rFonts w:ascii="宋体" w:hAnsi="宋体" w:cs="宋体"/>
        </w:rPr>
      </w:pPr>
      <w:bookmarkStart w:id="6" w:name="_Toc3978"/>
      <w:bookmarkStart w:id="7" w:name="_Toc2880"/>
      <w:bookmarkStart w:id="8" w:name="_Toc438048787"/>
      <w:bookmarkStart w:id="9" w:name="_Toc30089"/>
      <w:bookmarkStart w:id="10" w:name="_Toc31083"/>
      <w:r>
        <w:rPr>
          <w:rFonts w:hint="eastAsia" w:ascii="宋体" w:hAnsi="宋体" w:cs="宋体"/>
        </w:rPr>
        <w:t>第二部分 供应商须知前附表</w:t>
      </w:r>
      <w:bookmarkEnd w:id="6"/>
      <w:bookmarkEnd w:id="7"/>
      <w:bookmarkEnd w:id="8"/>
      <w:bookmarkEnd w:id="9"/>
      <w:bookmarkEnd w:id="10"/>
    </w:p>
    <w:tbl>
      <w:tblPr>
        <w:tblStyle w:val="23"/>
        <w:tblpPr w:leftFromText="180" w:rightFromText="180" w:vertAnchor="text" w:horzAnchor="page" w:tblpX="1582" w:tblpY="309"/>
        <w:tblOverlap w:val="never"/>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99"/>
        <w:gridCol w:w="780"/>
        <w:gridCol w:w="7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 w:hRule="atLeast"/>
        </w:trPr>
        <w:tc>
          <w:tcPr>
            <w:tcW w:w="499" w:type="dxa"/>
          </w:tcPr>
          <w:p>
            <w:pPr>
              <w:spacing w:before="156" w:beforeLines="50"/>
              <w:jc w:val="center"/>
              <w:rPr>
                <w:rFonts w:ascii="宋体" w:hAnsi="宋体" w:cs="宋体"/>
                <w:b/>
                <w:szCs w:val="21"/>
              </w:rPr>
            </w:pPr>
            <w:r>
              <w:rPr>
                <w:rFonts w:hint="eastAsia" w:ascii="宋体" w:hAnsi="宋体" w:cs="宋体"/>
                <w:b/>
                <w:szCs w:val="21"/>
              </w:rPr>
              <w:t>序号</w:t>
            </w:r>
          </w:p>
        </w:tc>
        <w:tc>
          <w:tcPr>
            <w:tcW w:w="780" w:type="dxa"/>
            <w:vAlign w:val="center"/>
          </w:tcPr>
          <w:p>
            <w:pPr>
              <w:spacing w:before="156" w:beforeLines="50"/>
              <w:jc w:val="center"/>
              <w:rPr>
                <w:rFonts w:ascii="宋体" w:hAnsi="宋体" w:cs="宋体"/>
                <w:b/>
                <w:szCs w:val="21"/>
              </w:rPr>
            </w:pPr>
            <w:r>
              <w:rPr>
                <w:rFonts w:hint="eastAsia" w:ascii="宋体" w:hAnsi="宋体" w:cs="宋体"/>
                <w:b/>
                <w:szCs w:val="21"/>
              </w:rPr>
              <w:t>条款</w:t>
            </w:r>
          </w:p>
        </w:tc>
        <w:tc>
          <w:tcPr>
            <w:tcW w:w="7641" w:type="dxa"/>
          </w:tcPr>
          <w:p>
            <w:pPr>
              <w:spacing w:before="156" w:beforeLines="50"/>
              <w:jc w:val="center"/>
              <w:rPr>
                <w:rFonts w:ascii="宋体" w:hAnsi="宋体" w:cs="宋体"/>
                <w:b/>
                <w:szCs w:val="21"/>
              </w:rPr>
            </w:pPr>
            <w:r>
              <w:rPr>
                <w:rFonts w:hint="eastAsia" w:ascii="宋体" w:hAnsi="宋体" w:cs="宋体"/>
                <w:b/>
                <w:szCs w:val="21"/>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499" w:type="dxa"/>
          </w:tcPr>
          <w:p>
            <w:pPr>
              <w:spacing w:before="156" w:beforeLines="50"/>
              <w:jc w:val="center"/>
              <w:rPr>
                <w:rFonts w:ascii="宋体" w:hAnsi="宋体" w:cs="宋体"/>
                <w:b/>
                <w:szCs w:val="21"/>
              </w:rPr>
            </w:pPr>
            <w:r>
              <w:rPr>
                <w:rFonts w:hint="eastAsia" w:ascii="宋体" w:hAnsi="宋体" w:cs="宋体"/>
                <w:b/>
                <w:szCs w:val="21"/>
              </w:rPr>
              <w:t>1</w:t>
            </w:r>
          </w:p>
        </w:tc>
        <w:tc>
          <w:tcPr>
            <w:tcW w:w="780" w:type="dxa"/>
            <w:vAlign w:val="center"/>
          </w:tcPr>
          <w:p>
            <w:pPr>
              <w:spacing w:line="360" w:lineRule="auto"/>
              <w:rPr>
                <w:rFonts w:ascii="宋体" w:hAnsi="宋体" w:cs="宋体"/>
                <w:szCs w:val="21"/>
              </w:rPr>
            </w:pPr>
            <w:r>
              <w:rPr>
                <w:rFonts w:hint="eastAsia" w:ascii="宋体" w:hAnsi="宋体" w:cs="宋体"/>
                <w:szCs w:val="21"/>
              </w:rPr>
              <w:t>项 目</w:t>
            </w:r>
          </w:p>
          <w:p>
            <w:pPr>
              <w:spacing w:line="360" w:lineRule="auto"/>
              <w:rPr>
                <w:rFonts w:ascii="宋体" w:hAnsi="宋体" w:cs="宋体"/>
                <w:szCs w:val="21"/>
              </w:rPr>
            </w:pPr>
            <w:r>
              <w:rPr>
                <w:rFonts w:hint="eastAsia" w:ascii="宋体" w:hAnsi="宋体" w:cs="宋体"/>
                <w:szCs w:val="21"/>
              </w:rPr>
              <w:t>名 称</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西安市儿童医院软件维保项目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tcPr>
          <w:p>
            <w:pPr>
              <w:spacing w:before="156" w:beforeLines="50"/>
              <w:jc w:val="center"/>
              <w:rPr>
                <w:rFonts w:ascii="宋体" w:hAnsi="宋体" w:cs="宋体"/>
                <w:b/>
                <w:szCs w:val="21"/>
              </w:rPr>
            </w:pPr>
            <w:r>
              <w:rPr>
                <w:rFonts w:hint="eastAsia" w:ascii="宋体" w:hAnsi="宋体" w:cs="宋体"/>
                <w:b/>
                <w:szCs w:val="21"/>
              </w:rPr>
              <w:t>2</w:t>
            </w:r>
          </w:p>
        </w:tc>
        <w:tc>
          <w:tcPr>
            <w:tcW w:w="780" w:type="dxa"/>
            <w:vAlign w:val="center"/>
          </w:tcPr>
          <w:p>
            <w:pPr>
              <w:widowControl/>
              <w:wordWrap w:val="0"/>
              <w:spacing w:line="360" w:lineRule="auto"/>
              <w:jc w:val="left"/>
              <w:rPr>
                <w:rFonts w:ascii="宋体" w:hAnsi="宋体" w:cs="宋体"/>
                <w:szCs w:val="21"/>
              </w:rPr>
            </w:pPr>
            <w:r>
              <w:rPr>
                <w:rFonts w:hint="eastAsia" w:ascii="宋体" w:hAnsi="宋体" w:cs="宋体"/>
                <w:szCs w:val="21"/>
              </w:rPr>
              <w:t>采 购人</w:t>
            </w:r>
          </w:p>
        </w:tc>
        <w:tc>
          <w:tcPr>
            <w:tcW w:w="7641" w:type="dxa"/>
            <w:vAlign w:val="center"/>
          </w:tcPr>
          <w:p>
            <w:pPr>
              <w:widowControl/>
              <w:wordWrap w:val="0"/>
              <w:spacing w:line="360" w:lineRule="auto"/>
              <w:jc w:val="left"/>
              <w:rPr>
                <w:rFonts w:ascii="宋体" w:hAnsi="宋体" w:cs="宋体"/>
                <w:szCs w:val="21"/>
              </w:rPr>
            </w:pPr>
            <w:r>
              <w:rPr>
                <w:rFonts w:hint="eastAsia" w:ascii="宋体" w:hAnsi="宋体" w:cs="宋体"/>
                <w:szCs w:val="21"/>
              </w:rPr>
              <w:t>采购人名称：西安市儿童医院</w:t>
            </w:r>
          </w:p>
          <w:p>
            <w:pPr>
              <w:widowControl/>
              <w:wordWrap w:val="0"/>
              <w:spacing w:line="360" w:lineRule="auto"/>
              <w:jc w:val="left"/>
              <w:rPr>
                <w:rFonts w:ascii="宋体" w:hAnsi="宋体" w:cs="宋体"/>
                <w:szCs w:val="21"/>
              </w:rPr>
            </w:pPr>
            <w:r>
              <w:rPr>
                <w:rFonts w:hint="eastAsia" w:ascii="宋体" w:hAnsi="宋体" w:cs="宋体"/>
                <w:szCs w:val="21"/>
              </w:rPr>
              <w:t>联系地址：西安市西举院巷69号</w:t>
            </w:r>
          </w:p>
          <w:p>
            <w:pPr>
              <w:widowControl/>
              <w:wordWrap w:val="0"/>
              <w:spacing w:line="360" w:lineRule="auto"/>
              <w:jc w:val="left"/>
              <w:rPr>
                <w:rFonts w:ascii="宋体" w:hAnsi="宋体" w:cs="宋体"/>
                <w:szCs w:val="21"/>
              </w:rPr>
            </w:pPr>
            <w:r>
              <w:rPr>
                <w:rFonts w:hint="eastAsia" w:ascii="宋体" w:hAnsi="宋体" w:cs="宋体"/>
                <w:szCs w:val="21"/>
              </w:rPr>
              <w:t>联系人：乌老师</w:t>
            </w:r>
          </w:p>
          <w:p>
            <w:pPr>
              <w:widowControl/>
              <w:wordWrap w:val="0"/>
              <w:spacing w:line="360" w:lineRule="auto"/>
              <w:jc w:val="left"/>
              <w:rPr>
                <w:rFonts w:ascii="宋体" w:hAnsi="宋体" w:cs="宋体"/>
                <w:szCs w:val="21"/>
              </w:rPr>
            </w:pPr>
            <w:r>
              <w:rPr>
                <w:rFonts w:hint="eastAsia" w:ascii="宋体" w:hAnsi="宋体" w:cs="宋体"/>
                <w:szCs w:val="21"/>
              </w:rPr>
              <w:t>联系方式：029-87692082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499" w:type="dxa"/>
            <w:tcBorders>
              <w:top w:val="single" w:color="auto" w:sz="4" w:space="0"/>
            </w:tcBorders>
          </w:tcPr>
          <w:p>
            <w:pPr>
              <w:spacing w:before="156" w:beforeLines="50"/>
              <w:jc w:val="center"/>
              <w:rPr>
                <w:rFonts w:ascii="宋体" w:hAnsi="宋体" w:cs="宋体"/>
                <w:b/>
                <w:szCs w:val="21"/>
              </w:rPr>
            </w:pPr>
            <w:r>
              <w:rPr>
                <w:rFonts w:hint="eastAsia" w:ascii="宋体" w:hAnsi="宋体" w:cs="宋体"/>
                <w:b/>
                <w:szCs w:val="21"/>
              </w:rPr>
              <w:t>3</w:t>
            </w:r>
          </w:p>
        </w:tc>
        <w:tc>
          <w:tcPr>
            <w:tcW w:w="780" w:type="dxa"/>
            <w:tcBorders>
              <w:top w:val="single" w:color="auto" w:sz="4" w:space="0"/>
            </w:tcBorders>
            <w:vAlign w:val="center"/>
          </w:tcPr>
          <w:p>
            <w:pPr>
              <w:spacing w:line="360" w:lineRule="auto"/>
              <w:rPr>
                <w:rFonts w:ascii="宋体" w:hAnsi="宋体" w:cs="宋体"/>
                <w:szCs w:val="21"/>
              </w:rPr>
            </w:pPr>
            <w:r>
              <w:rPr>
                <w:rFonts w:hint="eastAsia" w:ascii="宋体" w:hAnsi="宋体" w:cs="宋体"/>
                <w:szCs w:val="21"/>
              </w:rPr>
              <w:t>采 购</w:t>
            </w:r>
          </w:p>
          <w:p>
            <w:pPr>
              <w:spacing w:line="360" w:lineRule="auto"/>
              <w:rPr>
                <w:rFonts w:ascii="宋体" w:hAnsi="宋体" w:cs="宋体"/>
                <w:szCs w:val="21"/>
              </w:rPr>
            </w:pPr>
            <w:r>
              <w:rPr>
                <w:rFonts w:hint="eastAsia" w:ascii="宋体" w:hAnsi="宋体" w:cs="宋体"/>
                <w:szCs w:val="21"/>
              </w:rPr>
              <w:t>代理机 构</w:t>
            </w:r>
          </w:p>
        </w:tc>
        <w:tc>
          <w:tcPr>
            <w:tcW w:w="7641" w:type="dxa"/>
            <w:tcBorders>
              <w:top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采购代理机构：陕西万泽招标有限公司</w:t>
            </w:r>
          </w:p>
          <w:p>
            <w:pPr>
              <w:spacing w:line="360" w:lineRule="auto"/>
              <w:jc w:val="left"/>
              <w:rPr>
                <w:rFonts w:ascii="宋体" w:hAnsi="宋体" w:cs="宋体"/>
                <w:szCs w:val="21"/>
              </w:rPr>
            </w:pPr>
            <w:r>
              <w:rPr>
                <w:rFonts w:hint="eastAsia" w:ascii="宋体" w:hAnsi="宋体" w:cs="宋体"/>
                <w:szCs w:val="21"/>
              </w:rPr>
              <w:t>地        址：西安市莲湖区西关正街英达大厦1507室</w:t>
            </w:r>
          </w:p>
          <w:p>
            <w:pPr>
              <w:spacing w:line="360" w:lineRule="auto"/>
              <w:jc w:val="left"/>
              <w:rPr>
                <w:rFonts w:ascii="宋体" w:hAnsi="宋体" w:cs="宋体"/>
                <w:szCs w:val="21"/>
              </w:rPr>
            </w:pPr>
            <w:r>
              <w:rPr>
                <w:rFonts w:hint="eastAsia" w:ascii="宋体" w:hAnsi="宋体" w:cs="宋体"/>
                <w:szCs w:val="21"/>
              </w:rPr>
              <w:t>联   系   人：崔方明    许芳芳</w:t>
            </w:r>
          </w:p>
          <w:p>
            <w:pPr>
              <w:spacing w:line="360" w:lineRule="auto"/>
              <w:jc w:val="left"/>
              <w:rPr>
                <w:rFonts w:ascii="宋体" w:hAnsi="宋体" w:cs="宋体"/>
                <w:szCs w:val="21"/>
              </w:rPr>
            </w:pPr>
            <w:r>
              <w:rPr>
                <w:rFonts w:hint="eastAsia" w:ascii="宋体" w:hAnsi="宋体" w:cs="宋体"/>
                <w:szCs w:val="21"/>
              </w:rPr>
              <w:t>电        话：029-88319689-811</w:t>
            </w:r>
          </w:p>
          <w:p>
            <w:pPr>
              <w:spacing w:line="360" w:lineRule="auto"/>
              <w:jc w:val="left"/>
              <w:rPr>
                <w:rFonts w:ascii="宋体" w:hAnsi="宋体" w:cs="宋体"/>
                <w:szCs w:val="21"/>
              </w:rPr>
            </w:pPr>
            <w:r>
              <w:rPr>
                <w:rFonts w:hint="eastAsia" w:ascii="宋体" w:hAnsi="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4</w:t>
            </w:r>
          </w:p>
        </w:tc>
        <w:tc>
          <w:tcPr>
            <w:tcW w:w="780" w:type="dxa"/>
            <w:vAlign w:val="center"/>
          </w:tcPr>
          <w:p>
            <w:pPr>
              <w:spacing w:line="360" w:lineRule="auto"/>
              <w:rPr>
                <w:rFonts w:ascii="宋体" w:hAnsi="宋体" w:cs="宋体"/>
                <w:szCs w:val="21"/>
              </w:rPr>
            </w:pPr>
            <w:r>
              <w:rPr>
                <w:rFonts w:hint="eastAsia" w:ascii="宋体" w:hAnsi="宋体" w:cs="宋体"/>
                <w:szCs w:val="21"/>
              </w:rPr>
              <w:t>联合体形式</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 xml:space="preserve">不接受联合体磋商。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5</w:t>
            </w:r>
          </w:p>
        </w:tc>
        <w:tc>
          <w:tcPr>
            <w:tcW w:w="780" w:type="dxa"/>
            <w:vAlign w:val="center"/>
          </w:tcPr>
          <w:p>
            <w:pPr>
              <w:spacing w:line="360" w:lineRule="auto"/>
              <w:rPr>
                <w:rFonts w:ascii="宋体" w:hAnsi="宋体" w:cs="宋体"/>
                <w:szCs w:val="21"/>
              </w:rPr>
            </w:pPr>
            <w:r>
              <w:rPr>
                <w:rFonts w:hint="eastAsia" w:ascii="宋体" w:hAnsi="宋体" w:cs="宋体"/>
                <w:szCs w:val="21"/>
              </w:rPr>
              <w:t>备 选</w:t>
            </w:r>
          </w:p>
          <w:p>
            <w:pPr>
              <w:spacing w:line="360" w:lineRule="auto"/>
              <w:rPr>
                <w:rFonts w:ascii="宋体" w:hAnsi="宋体" w:cs="宋体"/>
                <w:szCs w:val="21"/>
              </w:rPr>
            </w:pPr>
            <w:r>
              <w:rPr>
                <w:rFonts w:hint="eastAsia" w:ascii="宋体" w:hAnsi="宋体" w:cs="宋体"/>
                <w:szCs w:val="21"/>
              </w:rPr>
              <w:t>方 案</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trPr>
        <w:tc>
          <w:tcPr>
            <w:tcW w:w="499" w:type="dxa"/>
            <w:vAlign w:val="center"/>
          </w:tcPr>
          <w:p>
            <w:pPr>
              <w:jc w:val="center"/>
              <w:rPr>
                <w:rFonts w:ascii="宋体" w:hAnsi="宋体" w:cs="宋体"/>
                <w:szCs w:val="21"/>
              </w:rPr>
            </w:pPr>
            <w:r>
              <w:rPr>
                <w:rFonts w:hint="eastAsia" w:ascii="宋体" w:hAnsi="宋体" w:cs="宋体"/>
                <w:szCs w:val="21"/>
              </w:rPr>
              <w:t>6</w:t>
            </w:r>
          </w:p>
        </w:tc>
        <w:tc>
          <w:tcPr>
            <w:tcW w:w="780" w:type="dxa"/>
            <w:vAlign w:val="center"/>
          </w:tcPr>
          <w:p>
            <w:pPr>
              <w:spacing w:line="360" w:lineRule="auto"/>
              <w:rPr>
                <w:rFonts w:ascii="宋体" w:hAnsi="宋体" w:cs="宋体"/>
                <w:szCs w:val="21"/>
              </w:rPr>
            </w:pPr>
            <w:r>
              <w:rPr>
                <w:rFonts w:hint="eastAsia" w:ascii="宋体" w:hAnsi="宋体" w:cs="宋体"/>
                <w:szCs w:val="21"/>
              </w:rPr>
              <w:t>打 包</w:t>
            </w:r>
          </w:p>
        </w:tc>
        <w:tc>
          <w:tcPr>
            <w:tcW w:w="7641" w:type="dxa"/>
            <w:vAlign w:val="center"/>
          </w:tcPr>
          <w:p>
            <w:pPr>
              <w:spacing w:line="360" w:lineRule="auto"/>
              <w:jc w:val="left"/>
              <w:rPr>
                <w:rFonts w:ascii="宋体" w:hAnsi="宋体" w:cs="宋体"/>
                <w:szCs w:val="21"/>
              </w:rPr>
            </w:pPr>
            <w:r>
              <w:rPr>
                <w:rFonts w:hint="eastAsia" w:ascii="宋体" w:hAnsi="宋体" w:cs="宋体"/>
                <w:szCs w:val="21"/>
              </w:rPr>
              <w:t>本次采购不分标段，供应商可根据自身的资质情况和经营范围对本项目进行磋商，不得自行分解或只对本次项目中的品目进行不完全磋商，任何不完全的磋商将按无效磋商处理。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0" w:hRule="atLeast"/>
        </w:trPr>
        <w:tc>
          <w:tcPr>
            <w:tcW w:w="499" w:type="dxa"/>
            <w:vAlign w:val="center"/>
          </w:tcPr>
          <w:p>
            <w:pPr>
              <w:jc w:val="center"/>
              <w:rPr>
                <w:rFonts w:ascii="宋体" w:hAnsi="宋体" w:cs="宋体"/>
                <w:szCs w:val="21"/>
              </w:rPr>
            </w:pPr>
            <w:r>
              <w:rPr>
                <w:rFonts w:hint="eastAsia" w:ascii="宋体" w:hAnsi="宋体" w:cs="宋体"/>
                <w:szCs w:val="21"/>
              </w:rPr>
              <w:t>7</w:t>
            </w:r>
          </w:p>
        </w:tc>
        <w:tc>
          <w:tcPr>
            <w:tcW w:w="780" w:type="dxa"/>
            <w:vAlign w:val="center"/>
          </w:tcPr>
          <w:p>
            <w:pPr>
              <w:spacing w:line="360" w:lineRule="auto"/>
              <w:rPr>
                <w:rFonts w:ascii="宋体" w:hAnsi="宋体" w:cs="宋体"/>
                <w:szCs w:val="21"/>
              </w:rPr>
            </w:pPr>
            <w:r>
              <w:rPr>
                <w:rFonts w:hint="eastAsia" w:ascii="宋体" w:hAnsi="宋体" w:cs="宋体"/>
                <w:szCs w:val="21"/>
              </w:rPr>
              <w:t>磋 商</w:t>
            </w:r>
          </w:p>
          <w:p>
            <w:pPr>
              <w:spacing w:line="360" w:lineRule="auto"/>
              <w:rPr>
                <w:rFonts w:ascii="宋体" w:hAnsi="宋体" w:cs="宋体"/>
                <w:szCs w:val="21"/>
              </w:rPr>
            </w:pPr>
            <w:r>
              <w:rPr>
                <w:rFonts w:hint="eastAsia" w:ascii="宋体" w:hAnsi="宋体" w:cs="宋体"/>
                <w:szCs w:val="21"/>
              </w:rPr>
              <w:t>有效期</w:t>
            </w:r>
          </w:p>
        </w:tc>
        <w:tc>
          <w:tcPr>
            <w:tcW w:w="7641"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自磋商响应文件递交截止之日起90日历日。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8" w:hRule="atLeast"/>
        </w:trPr>
        <w:tc>
          <w:tcPr>
            <w:tcW w:w="499" w:type="dxa"/>
            <w:vAlign w:val="center"/>
          </w:tcPr>
          <w:p>
            <w:pPr>
              <w:jc w:val="center"/>
              <w:rPr>
                <w:rFonts w:ascii="宋体" w:hAnsi="宋体" w:cs="宋体"/>
                <w:szCs w:val="21"/>
              </w:rPr>
            </w:pPr>
            <w:r>
              <w:rPr>
                <w:rFonts w:hint="eastAsia" w:ascii="宋体" w:hAnsi="宋体" w:cs="宋体"/>
                <w:szCs w:val="21"/>
              </w:rPr>
              <w:t>8</w:t>
            </w:r>
          </w:p>
        </w:tc>
        <w:tc>
          <w:tcPr>
            <w:tcW w:w="780" w:type="dxa"/>
            <w:vAlign w:val="center"/>
          </w:tcPr>
          <w:p>
            <w:pPr>
              <w:jc w:val="center"/>
              <w:rPr>
                <w:rFonts w:ascii="宋体" w:hAnsi="宋体" w:cs="宋体"/>
                <w:szCs w:val="21"/>
              </w:rPr>
            </w:pPr>
            <w:r>
              <w:rPr>
                <w:rFonts w:hint="eastAsia" w:ascii="宋体" w:hAnsi="宋体" w:cs="宋体"/>
                <w:szCs w:val="21"/>
              </w:rPr>
              <w:t>资 格</w:t>
            </w:r>
          </w:p>
          <w:p>
            <w:pPr>
              <w:jc w:val="center"/>
              <w:rPr>
                <w:rFonts w:ascii="宋体" w:hAnsi="宋体" w:cs="宋体"/>
                <w:szCs w:val="21"/>
              </w:rPr>
            </w:pPr>
            <w:r>
              <w:rPr>
                <w:rFonts w:hint="eastAsia" w:ascii="宋体" w:hAnsi="宋体" w:cs="宋体"/>
                <w:szCs w:val="21"/>
              </w:rPr>
              <w:t>要 求</w:t>
            </w:r>
          </w:p>
        </w:tc>
        <w:tc>
          <w:tcPr>
            <w:tcW w:w="7641" w:type="dxa"/>
          </w:tcPr>
          <w:p>
            <w:pPr>
              <w:spacing w:line="360" w:lineRule="auto"/>
              <w:jc w:val="left"/>
              <w:rPr>
                <w:szCs w:val="21"/>
              </w:rPr>
            </w:pPr>
            <w:r>
              <w:rPr>
                <w:rFonts w:hint="eastAsia"/>
              </w:rPr>
              <w:t>符</w:t>
            </w:r>
            <w:r>
              <w:rPr>
                <w:rFonts w:hint="eastAsia" w:ascii="宋体" w:hAnsi="宋体" w:cs="宋体"/>
                <w:szCs w:val="21"/>
              </w:rPr>
              <w:t>合《</w:t>
            </w:r>
            <w:r>
              <w:rPr>
                <w:rFonts w:hint="eastAsia"/>
                <w:szCs w:val="21"/>
              </w:rPr>
              <w:t>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w:t>
            </w:r>
            <w:r>
              <w:rPr>
                <w:rFonts w:hint="eastAsia"/>
                <w:szCs w:val="21"/>
              </w:rPr>
              <w:t>有效的法人或其他组织的营业执照等证明文件，自然人参与的提供其身份证原件；</w:t>
            </w:r>
            <w:r>
              <w:rPr>
                <w:rFonts w:hint="eastAsia"/>
                <w:b/>
                <w:bCs/>
                <w:szCs w:val="21"/>
              </w:rPr>
              <w:t>证明文件提供复印件加盖供应商鲜章。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2022年1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3、税收缴纳证明：提供2022年1月至今已缴纳的至少一个月的纳税证明或完税证明；依法免税的单位应提供相关证明材料；</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4、财务状况证明：提供经会计师事务所审计的2020年或2021年财务审计报告，或在开标日期前六个月内其基本开户银行出具的资信证明及基本账户开户许可证；</w:t>
            </w:r>
            <w:r>
              <w:rPr>
                <w:rFonts w:hint="eastAsia"/>
                <w:b/>
                <w:bCs/>
                <w:szCs w:val="21"/>
              </w:rPr>
              <w:t>提供复印件加盖供应商鲜章。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5、供应商信誉证明：提供在参加政府采购活动前3年内在经营活动中没有重大违法记录，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b/>
                <w:bCs/>
                <w:szCs w:val="21"/>
              </w:rPr>
              <w:t xml:space="preserve"> 提供声明原件，格式可参考招标文件第七部分。</w:t>
            </w:r>
          </w:p>
          <w:p>
            <w:pPr>
              <w:widowControl/>
              <w:tabs>
                <w:tab w:val="left" w:pos="1620"/>
              </w:tabs>
              <w:wordWrap w:val="0"/>
              <w:snapToGrid w:val="0"/>
              <w:spacing w:line="300" w:lineRule="auto"/>
              <w:ind w:firstLine="422" w:firstLineChars="200"/>
              <w:jc w:val="left"/>
              <w:rPr>
                <w:rFonts w:ascii="宋体" w:hAnsi="宋体" w:cs="宋体"/>
                <w:bCs/>
                <w:kern w:val="0"/>
                <w:szCs w:val="21"/>
              </w:rPr>
            </w:pPr>
            <w:r>
              <w:rPr>
                <w:rFonts w:hint="eastAsia" w:ascii="宋体" w:hAnsi="宋体" w:cs="宋体"/>
                <w:b/>
                <w:kern w:val="0"/>
                <w:szCs w:val="21"/>
              </w:rPr>
              <w:t>6、非法定代表人参加磋商的，须提供法定代表人授权委托书及被授权人身份证原件；法定代表人参加磋商时,只须提供法定代表人身份证原件；</w:t>
            </w:r>
          </w:p>
          <w:p>
            <w:pPr>
              <w:widowControl/>
              <w:tabs>
                <w:tab w:val="left" w:pos="1620"/>
              </w:tabs>
              <w:wordWrap w:val="0"/>
              <w:snapToGrid w:val="0"/>
              <w:spacing w:line="300" w:lineRule="auto"/>
              <w:jc w:val="left"/>
              <w:rPr>
                <w:rFonts w:ascii="宋体" w:hAnsi="宋体" w:cs="宋体"/>
                <w:bCs/>
                <w:kern w:val="0"/>
                <w:szCs w:val="21"/>
              </w:rPr>
            </w:pPr>
          </w:p>
          <w:p>
            <w:pPr>
              <w:widowControl/>
              <w:tabs>
                <w:tab w:val="left" w:pos="1620"/>
              </w:tabs>
              <w:wordWrap w:val="0"/>
              <w:snapToGrid w:val="0"/>
              <w:spacing w:line="300" w:lineRule="auto"/>
              <w:ind w:firstLine="420" w:firstLineChars="200"/>
              <w:jc w:val="left"/>
              <w:rPr>
                <w:rFonts w:ascii="宋体" w:hAnsi="宋体" w:cs="宋体"/>
                <w:bCs/>
                <w:kern w:val="0"/>
                <w:szCs w:val="21"/>
              </w:rPr>
            </w:pPr>
            <w:r>
              <w:rPr>
                <w:rFonts w:hint="eastAsia" w:ascii="宋体" w:hAnsi="宋体" w:cs="宋体"/>
                <w:bCs/>
                <w:kern w:val="0"/>
                <w:szCs w:val="21"/>
              </w:rPr>
              <w:t>7、本项目专门面向中小企业采购，供应商应提供中小企业声明函；格式详见附件二；</w:t>
            </w:r>
          </w:p>
          <w:p>
            <w:pPr>
              <w:widowControl/>
              <w:tabs>
                <w:tab w:val="left" w:pos="1620"/>
              </w:tabs>
              <w:wordWrap w:val="0"/>
              <w:snapToGrid w:val="0"/>
              <w:spacing w:line="300" w:lineRule="auto"/>
              <w:ind w:firstLine="420" w:firstLineChars="200"/>
              <w:jc w:val="left"/>
              <w:rPr>
                <w:rFonts w:ascii="宋体" w:hAnsi="宋体" w:cs="宋体"/>
                <w:kern w:val="0"/>
                <w:szCs w:val="21"/>
              </w:rPr>
            </w:pPr>
            <w:r>
              <w:rPr>
                <w:rFonts w:hint="eastAsia" w:ascii="宋体" w:hAnsi="宋体" w:cs="宋体"/>
                <w:bCs/>
                <w:kern w:val="0"/>
                <w:szCs w:val="21"/>
              </w:rPr>
              <w:t xml:space="preserve">8、本项目不接受联合体磋商。 </w:t>
            </w:r>
          </w:p>
          <w:p>
            <w:pPr>
              <w:adjustRightInd w:val="0"/>
              <w:snapToGrid w:val="0"/>
              <w:spacing w:line="360" w:lineRule="auto"/>
              <w:rPr>
                <w:rFonts w:ascii="宋体" w:hAnsi="宋体" w:cs="宋体"/>
                <w:b/>
                <w:bCs/>
                <w:szCs w:val="21"/>
              </w:rPr>
            </w:pPr>
            <w:r>
              <w:rPr>
                <w:rFonts w:hint="eastAsia" w:ascii="宋体" w:hAnsi="宋体"/>
                <w:b/>
                <w:bCs/>
                <w:sz w:val="22"/>
              </w:rPr>
              <w:t>注</w:t>
            </w:r>
            <w:r>
              <w:rPr>
                <w:rFonts w:hint="eastAsia" w:ascii="宋体" w:hAnsi="宋体" w:cs="宋体"/>
                <w:b/>
                <w:bCs/>
                <w:szCs w:val="21"/>
              </w:rPr>
              <w:t>：</w:t>
            </w:r>
          </w:p>
          <w:p>
            <w:pPr>
              <w:pStyle w:val="6"/>
              <w:spacing w:line="360" w:lineRule="auto"/>
              <w:ind w:firstLine="422" w:firstLineChars="200"/>
              <w:rPr>
                <w:rFonts w:ascii="宋体" w:hAnsi="宋体" w:cs="宋体"/>
                <w:b/>
                <w:bCs/>
                <w:szCs w:val="21"/>
              </w:rPr>
            </w:pPr>
            <w:r>
              <w:rPr>
                <w:rFonts w:cs="Calibri"/>
                <w:b/>
                <w:bCs/>
                <w:szCs w:val="21"/>
              </w:rPr>
              <w:t>①</w:t>
            </w:r>
            <w:r>
              <w:rPr>
                <w:rFonts w:hint="eastAsia" w:ascii="宋体" w:hAnsi="宋体" w:cs="宋体"/>
                <w:b/>
                <w:bCs/>
                <w:szCs w:val="21"/>
              </w:rPr>
              <w:t>供应商应在响应文件正本中附按照上述要求须提供的资格证明文件（身份证原件除外），作为资格审查的依据，资审时凡有一项不合格者，均按无效磋商处理。</w:t>
            </w:r>
          </w:p>
          <w:p>
            <w:pPr>
              <w:pStyle w:val="6"/>
              <w:spacing w:line="360" w:lineRule="auto"/>
              <w:ind w:firstLine="422" w:firstLineChars="200"/>
            </w:pPr>
            <w:r>
              <w:rPr>
                <w:rFonts w:cs="Calibri"/>
                <w:b/>
                <w:bCs/>
                <w:szCs w:val="21"/>
              </w:rPr>
              <w:t>②</w:t>
            </w:r>
            <w:r>
              <w:rPr>
                <w:rFonts w:hint="eastAsia" w:ascii="宋体" w:hAnsi="宋体" w:cs="宋体"/>
                <w:b/>
                <w:bCs/>
                <w:szCs w:val="21"/>
              </w:rPr>
              <w:t>供应商自行承担所提供原件及其复印件的真实性、合法性及有效性，由于供应商未在响应文件中提供或所提供证明材料不合格的，将按无效响应处理。（如供应商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499" w:type="dxa"/>
            <w:vAlign w:val="center"/>
          </w:tcPr>
          <w:p>
            <w:pPr>
              <w:jc w:val="center"/>
              <w:rPr>
                <w:rFonts w:ascii="宋体" w:hAnsi="宋体" w:cs="宋体"/>
                <w:szCs w:val="21"/>
              </w:rPr>
            </w:pPr>
            <w:r>
              <w:rPr>
                <w:rFonts w:hint="eastAsia" w:ascii="宋体" w:hAnsi="宋体" w:cs="宋体"/>
                <w:szCs w:val="21"/>
              </w:rPr>
              <w:t>9</w:t>
            </w:r>
          </w:p>
        </w:tc>
        <w:tc>
          <w:tcPr>
            <w:tcW w:w="780" w:type="dxa"/>
            <w:vAlign w:val="center"/>
          </w:tcPr>
          <w:p>
            <w:pPr>
              <w:jc w:val="center"/>
              <w:rPr>
                <w:rFonts w:ascii="宋体" w:hAnsi="宋体" w:cs="宋体"/>
                <w:color w:val="000000"/>
                <w:szCs w:val="21"/>
              </w:rPr>
            </w:pPr>
            <w:r>
              <w:rPr>
                <w:rFonts w:hint="eastAsia" w:ascii="宋体" w:hAnsi="宋体" w:cs="宋体"/>
                <w:color w:val="000000"/>
                <w:szCs w:val="21"/>
              </w:rPr>
              <w:t>磋商</w:t>
            </w:r>
          </w:p>
          <w:p>
            <w:pPr>
              <w:jc w:val="center"/>
              <w:rPr>
                <w:rFonts w:ascii="宋体" w:hAnsi="宋体" w:cs="宋体"/>
                <w:szCs w:val="21"/>
              </w:rPr>
            </w:pPr>
            <w:r>
              <w:rPr>
                <w:rFonts w:hint="eastAsia" w:ascii="宋体" w:hAnsi="宋体" w:cs="宋体"/>
                <w:color w:val="000000"/>
                <w:szCs w:val="21"/>
              </w:rPr>
              <w:t>保证金</w:t>
            </w:r>
          </w:p>
        </w:tc>
        <w:tc>
          <w:tcPr>
            <w:tcW w:w="7641" w:type="dxa"/>
          </w:tcPr>
          <w:p>
            <w:pPr>
              <w:spacing w:line="500" w:lineRule="exact"/>
              <w:jc w:val="left"/>
              <w:rPr>
                <w:rFonts w:ascii="宋体" w:hAnsi="宋体" w:cs="宋体"/>
                <w:szCs w:val="21"/>
              </w:rPr>
            </w:pPr>
            <w:r>
              <w:rPr>
                <w:rFonts w:hint="eastAsia" w:ascii="宋体" w:hAnsi="宋体" w:cs="宋体"/>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99" w:type="dxa"/>
            <w:vAlign w:val="center"/>
          </w:tcPr>
          <w:p>
            <w:pPr>
              <w:jc w:val="center"/>
              <w:rPr>
                <w:rFonts w:ascii="宋体" w:hAnsi="宋体" w:cs="宋体"/>
                <w:szCs w:val="21"/>
              </w:rPr>
            </w:pPr>
            <w:r>
              <w:rPr>
                <w:rFonts w:hint="eastAsia" w:ascii="宋体" w:hAnsi="宋体" w:cs="宋体"/>
                <w:szCs w:val="21"/>
              </w:rPr>
              <w:t>10</w:t>
            </w:r>
          </w:p>
        </w:tc>
        <w:tc>
          <w:tcPr>
            <w:tcW w:w="780" w:type="dxa"/>
            <w:vAlign w:val="center"/>
          </w:tcPr>
          <w:p>
            <w:pPr>
              <w:jc w:val="center"/>
              <w:rPr>
                <w:rFonts w:ascii="宋体" w:hAnsi="宋体" w:cs="宋体"/>
                <w:szCs w:val="21"/>
              </w:rPr>
            </w:pPr>
            <w:r>
              <w:rPr>
                <w:rFonts w:hint="eastAsia" w:ascii="宋体" w:hAnsi="宋体" w:cs="宋体"/>
                <w:szCs w:val="21"/>
              </w:rPr>
              <w:t>磋商</w:t>
            </w:r>
          </w:p>
          <w:p>
            <w:pPr>
              <w:jc w:val="center"/>
              <w:rPr>
                <w:rFonts w:ascii="宋体" w:hAnsi="宋体" w:cs="宋体"/>
                <w:szCs w:val="21"/>
              </w:rPr>
            </w:pPr>
            <w:r>
              <w:rPr>
                <w:rFonts w:hint="eastAsia" w:ascii="宋体" w:hAnsi="宋体" w:cs="宋体"/>
                <w:szCs w:val="21"/>
              </w:rPr>
              <w:t>响应</w:t>
            </w:r>
          </w:p>
          <w:p>
            <w:pPr>
              <w:jc w:val="center"/>
              <w:rPr>
                <w:rFonts w:ascii="宋体" w:hAnsi="宋体" w:cs="宋体"/>
                <w:szCs w:val="21"/>
              </w:rPr>
            </w:pPr>
            <w:r>
              <w:rPr>
                <w:rFonts w:hint="eastAsia" w:ascii="宋体" w:hAnsi="宋体" w:cs="宋体"/>
                <w:szCs w:val="21"/>
              </w:rPr>
              <w:t>文件</w:t>
            </w:r>
          </w:p>
        </w:tc>
        <w:tc>
          <w:tcPr>
            <w:tcW w:w="7641"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磋商响应文件</w:t>
            </w:r>
            <w:r>
              <w:rPr>
                <w:rFonts w:hint="eastAsia" w:ascii="宋体" w:hAnsi="宋体" w:cs="宋体"/>
                <w:b/>
                <w:bCs/>
                <w:szCs w:val="21"/>
              </w:rPr>
              <w:t>正本壹份、副本叁份</w:t>
            </w:r>
            <w:r>
              <w:rPr>
                <w:rFonts w:hint="eastAsia" w:ascii="宋体" w:hAnsi="宋体" w:cs="宋体"/>
                <w:szCs w:val="21"/>
              </w:rPr>
              <w:t>，分别胶装装订成册，且封面须清楚地标明“正本”或“副本”；若正本和副本不符，以正本书面文件为准；</w:t>
            </w:r>
            <w:r>
              <w:rPr>
                <w:rFonts w:hint="eastAsia" w:ascii="宋体" w:hAnsi="宋体"/>
                <w:szCs w:val="21"/>
              </w:rPr>
              <w:t>同时提供与正本内容一致的电子版（</w:t>
            </w:r>
            <w:r>
              <w:rPr>
                <w:rFonts w:ascii="宋体" w:hAnsi="宋体"/>
                <w:b/>
                <w:bCs/>
                <w:szCs w:val="21"/>
              </w:rPr>
              <w:t>U</w:t>
            </w:r>
            <w:r>
              <w:rPr>
                <w:rFonts w:hint="eastAsia" w:ascii="宋体" w:hAnsi="宋体"/>
                <w:b/>
                <w:bCs/>
                <w:szCs w:val="21"/>
              </w:rPr>
              <w:t>盘</w:t>
            </w:r>
            <w:r>
              <w:rPr>
                <w:rFonts w:hint="eastAsia" w:ascii="宋体" w:hAnsi="宋体"/>
                <w:szCs w:val="21"/>
              </w:rPr>
              <w:t>、</w:t>
            </w:r>
            <w:r>
              <w:rPr>
                <w:rFonts w:hint="eastAsia" w:ascii="宋体" w:hAnsi="宋体" w:cs="宋体"/>
                <w:b/>
                <w:bCs/>
                <w:szCs w:val="21"/>
              </w:rPr>
              <w:t>电子文档应为</w:t>
            </w:r>
            <w:r>
              <w:rPr>
                <w:rFonts w:ascii="宋体" w:hAnsi="宋体" w:cs="宋体"/>
                <w:b/>
                <w:bCs/>
                <w:szCs w:val="21"/>
              </w:rPr>
              <w:t>PDF</w:t>
            </w:r>
            <w:r>
              <w:rPr>
                <w:rFonts w:hint="eastAsia" w:ascii="宋体" w:hAnsi="宋体" w:cs="宋体"/>
                <w:b/>
                <w:bCs/>
                <w:szCs w:val="21"/>
              </w:rPr>
              <w:t>格式WORD格式各一份</w:t>
            </w:r>
            <w:r>
              <w:rPr>
                <w:rFonts w:hint="eastAsia" w:ascii="宋体" w:hAnsi="宋体"/>
                <w:szCs w:val="21"/>
              </w:rPr>
              <w:t>）、磋商一览表壹份</w:t>
            </w:r>
            <w:r>
              <w:rPr>
                <w:rFonts w:hint="eastAsia" w:ascii="宋体" w:hAnsi="宋体" w:cs="宋体"/>
                <w:b/>
                <w:bCs/>
                <w:szCs w:val="21"/>
              </w:rPr>
              <w:t>（</w:t>
            </w:r>
            <w:r>
              <w:rPr>
                <w:rFonts w:hint="eastAsia" w:ascii="宋体" w:hAnsi="宋体" w:cs="宋体"/>
                <w:szCs w:val="21"/>
              </w:rPr>
              <w:t>用于磋商唱标单独提交的“磋商一览表”应为原件</w:t>
            </w:r>
            <w:r>
              <w:rPr>
                <w:rFonts w:hint="eastAsia" w:ascii="宋体" w:hAnsi="宋体" w:cs="宋体"/>
                <w:b/>
                <w:bCs/>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9" w:hRule="atLeast"/>
        </w:trPr>
        <w:tc>
          <w:tcPr>
            <w:tcW w:w="499" w:type="dxa"/>
            <w:vAlign w:val="center"/>
          </w:tcPr>
          <w:p>
            <w:pPr>
              <w:jc w:val="center"/>
              <w:rPr>
                <w:rFonts w:ascii="宋体" w:hAnsi="宋体" w:cs="宋体"/>
                <w:szCs w:val="21"/>
              </w:rPr>
            </w:pPr>
            <w:r>
              <w:rPr>
                <w:rFonts w:hint="eastAsia" w:ascii="宋体" w:hAnsi="宋体" w:cs="宋体"/>
                <w:szCs w:val="21"/>
              </w:rPr>
              <w:t>11</w:t>
            </w:r>
          </w:p>
        </w:tc>
        <w:tc>
          <w:tcPr>
            <w:tcW w:w="780" w:type="dxa"/>
            <w:vAlign w:val="center"/>
          </w:tcPr>
          <w:p>
            <w:pPr>
              <w:jc w:val="center"/>
              <w:rPr>
                <w:rFonts w:ascii="宋体" w:hAnsi="宋体" w:cs="宋体"/>
                <w:szCs w:val="21"/>
              </w:rPr>
            </w:pPr>
            <w:r>
              <w:rPr>
                <w:rFonts w:hint="eastAsia" w:ascii="宋体" w:hAnsi="宋体" w:cs="宋体"/>
                <w:szCs w:val="21"/>
              </w:rPr>
              <w:t>包装</w:t>
            </w:r>
          </w:p>
          <w:p>
            <w:pPr>
              <w:jc w:val="center"/>
              <w:rPr>
                <w:rFonts w:ascii="宋体" w:hAnsi="宋体" w:cs="宋体"/>
                <w:szCs w:val="21"/>
              </w:rPr>
            </w:pPr>
            <w:r>
              <w:rPr>
                <w:rFonts w:hint="eastAsia" w:ascii="宋体" w:hAnsi="宋体" w:cs="宋体"/>
                <w:szCs w:val="21"/>
              </w:rPr>
              <w:t>密封</w:t>
            </w:r>
          </w:p>
        </w:tc>
        <w:tc>
          <w:tcPr>
            <w:tcW w:w="7641" w:type="dxa"/>
            <w:vAlign w:val="center"/>
          </w:tcPr>
          <w:p>
            <w:pPr>
              <w:spacing w:line="360" w:lineRule="auto"/>
              <w:ind w:firstLine="420" w:firstLineChars="200"/>
              <w:jc w:val="left"/>
              <w:rPr>
                <w:rFonts w:ascii="宋体" w:hAnsi="宋体" w:cs="宋体"/>
                <w:kern w:val="0"/>
                <w:szCs w:val="21"/>
              </w:rPr>
            </w:pPr>
            <w:r>
              <w:rPr>
                <w:rFonts w:hint="eastAsia" w:ascii="宋体" w:hAnsi="宋体" w:cs="宋体"/>
                <w:szCs w:val="21"/>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Cs w:val="21"/>
              </w:rPr>
              <w:t>磋商响应文件袋上应加盖供应商公章（</w:t>
            </w:r>
            <w:r>
              <w:rPr>
                <w:rFonts w:hint="eastAsia" w:ascii="宋体" w:hAnsi="宋体" w:cs="宋体"/>
                <w:szCs w:val="21"/>
              </w:rPr>
              <w:t>封面标识见竞争性磋商文件</w:t>
            </w:r>
            <w:r>
              <w:rPr>
                <w:rFonts w:hint="eastAsia" w:ascii="宋体" w:hAnsi="宋体" w:cs="宋体"/>
                <w:b/>
                <w:bCs/>
                <w:szCs w:val="21"/>
              </w:rPr>
              <w:t>附件一</w:t>
            </w:r>
            <w:r>
              <w:rPr>
                <w:rFonts w:hint="eastAsia" w:ascii="宋体" w:hAnsi="宋体" w:cs="宋体"/>
                <w:szCs w:val="21"/>
              </w:rPr>
              <w:t>）</w:t>
            </w:r>
            <w:r>
              <w:rPr>
                <w:rFonts w:hint="eastAsia" w:ascii="宋体" w:hAnsi="宋体" w:cs="宋体"/>
                <w:kern w:val="0"/>
                <w:szCs w:val="21"/>
              </w:rPr>
              <w:t>如果未按上述规定进行密封，供应商的磋商响应文件有权被拒绝</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如果供应商未按上述要求密封及加写标记，误投或过早启封的磋商响应文件，将自行承担其磋商响应文件被视为无效磋商响应文件的风险。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9" w:hRule="atLeast"/>
        </w:trPr>
        <w:tc>
          <w:tcPr>
            <w:tcW w:w="499" w:type="dxa"/>
            <w:vAlign w:val="center"/>
          </w:tcPr>
          <w:p>
            <w:pPr>
              <w:jc w:val="center"/>
              <w:rPr>
                <w:rFonts w:ascii="宋体" w:hAnsi="宋体" w:cs="宋体"/>
                <w:szCs w:val="21"/>
              </w:rPr>
            </w:pPr>
            <w:r>
              <w:rPr>
                <w:rFonts w:hint="eastAsia" w:ascii="宋体" w:hAnsi="宋体" w:cs="宋体"/>
                <w:szCs w:val="21"/>
              </w:rPr>
              <w:t>12</w:t>
            </w:r>
          </w:p>
        </w:tc>
        <w:tc>
          <w:tcPr>
            <w:tcW w:w="780" w:type="dxa"/>
            <w:vAlign w:val="center"/>
          </w:tcPr>
          <w:p>
            <w:pPr>
              <w:jc w:val="center"/>
              <w:rPr>
                <w:rFonts w:ascii="宋体" w:hAnsi="宋体" w:cs="宋体"/>
                <w:color w:val="000000"/>
                <w:szCs w:val="21"/>
              </w:rPr>
            </w:pPr>
            <w:r>
              <w:rPr>
                <w:rFonts w:hint="eastAsia" w:ascii="宋体" w:hAnsi="宋体" w:cs="宋体"/>
                <w:color w:val="000000"/>
                <w:szCs w:val="21"/>
              </w:rPr>
              <w:t>评分</w:t>
            </w:r>
          </w:p>
          <w:p>
            <w:pPr>
              <w:jc w:val="center"/>
              <w:rPr>
                <w:rFonts w:ascii="宋体" w:hAnsi="宋体" w:cs="宋体"/>
                <w:szCs w:val="21"/>
              </w:rPr>
            </w:pPr>
            <w:r>
              <w:rPr>
                <w:rFonts w:hint="eastAsia" w:ascii="宋体" w:hAnsi="宋体" w:cs="宋体"/>
                <w:color w:val="000000"/>
                <w:szCs w:val="21"/>
              </w:rPr>
              <w:t>标准</w:t>
            </w:r>
          </w:p>
        </w:tc>
        <w:tc>
          <w:tcPr>
            <w:tcW w:w="7641" w:type="dxa"/>
            <w:vAlign w:val="center"/>
          </w:tcPr>
          <w:p>
            <w:pPr>
              <w:ind w:firstLine="420" w:firstLineChars="200"/>
              <w:jc w:val="left"/>
              <w:rPr>
                <w:rFonts w:ascii="宋体" w:hAnsi="宋体" w:cs="宋体"/>
                <w:b/>
                <w:bCs/>
                <w:color w:val="000000"/>
                <w:szCs w:val="21"/>
              </w:rPr>
            </w:pPr>
            <w:r>
              <w:rPr>
                <w:rFonts w:hint="eastAsia" w:ascii="宋体" w:hAnsi="宋体" w:cs="宋体"/>
                <w:szCs w:val="21"/>
              </w:rPr>
              <w:t>磋商多轮报价，综合评分（详见第四部分）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4" w:hRule="atLeast"/>
        </w:trPr>
        <w:tc>
          <w:tcPr>
            <w:tcW w:w="499"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780" w:type="dxa"/>
            <w:vAlign w:val="center"/>
          </w:tcPr>
          <w:p>
            <w:pPr>
              <w:spacing w:line="360" w:lineRule="auto"/>
              <w:jc w:val="center"/>
              <w:rPr>
                <w:rFonts w:ascii="宋体" w:hAnsi="宋体" w:cs="宋体"/>
                <w:color w:val="000000"/>
                <w:szCs w:val="21"/>
              </w:rPr>
            </w:pPr>
            <w:r>
              <w:rPr>
                <w:rFonts w:hint="eastAsia" w:ascii="宋体" w:hAnsi="宋体" w:cs="宋体"/>
                <w:szCs w:val="21"/>
              </w:rPr>
              <w:t>履约保证金</w:t>
            </w:r>
          </w:p>
        </w:tc>
        <w:tc>
          <w:tcPr>
            <w:tcW w:w="7641" w:type="dxa"/>
            <w:vAlign w:val="center"/>
          </w:tcPr>
          <w:p>
            <w:pPr>
              <w:spacing w:line="360" w:lineRule="auto"/>
              <w:jc w:val="left"/>
              <w:rPr>
                <w:rFonts w:ascii="宋体" w:hAnsi="宋体" w:cs="宋体"/>
                <w:szCs w:val="21"/>
              </w:rPr>
            </w:pPr>
            <w:r>
              <w:rPr>
                <w:rFonts w:hint="eastAsia" w:ascii="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4" w:hRule="atLeast"/>
        </w:trPr>
        <w:tc>
          <w:tcPr>
            <w:tcW w:w="499"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780" w:type="dxa"/>
            <w:vAlign w:val="center"/>
          </w:tcPr>
          <w:p>
            <w:pPr>
              <w:spacing w:line="360" w:lineRule="auto"/>
              <w:jc w:val="left"/>
              <w:textAlignment w:val="baseline"/>
              <w:rPr>
                <w:rFonts w:ascii="宋体" w:hAnsi="宋体" w:cs="宋体"/>
                <w:color w:val="000000"/>
                <w:szCs w:val="21"/>
              </w:rPr>
            </w:pPr>
            <w:r>
              <w:rPr>
                <w:rFonts w:hint="eastAsia" w:ascii="宋体" w:hAnsi="宋体" w:cs="宋体"/>
                <w:szCs w:val="21"/>
              </w:rPr>
              <w:t>履约验收</w:t>
            </w:r>
          </w:p>
        </w:tc>
        <w:tc>
          <w:tcPr>
            <w:tcW w:w="7641" w:type="dxa"/>
            <w:vAlign w:val="center"/>
          </w:tcPr>
          <w:p>
            <w:pPr>
              <w:spacing w:line="360" w:lineRule="auto"/>
              <w:jc w:val="left"/>
              <w:textAlignment w:val="baseline"/>
              <w:rPr>
                <w:rFonts w:ascii="宋体" w:hAnsi="宋体" w:cs="宋体"/>
                <w:szCs w:val="21"/>
              </w:rPr>
            </w:pPr>
            <w:r>
              <w:rPr>
                <w:rFonts w:hint="eastAsia" w:ascii="宋体" w:hAnsi="宋体" w:cs="宋体"/>
                <w:szCs w:val="21"/>
              </w:rPr>
              <w:t>是否委托招标代理机构组织履约验收：否。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9" w:hRule="atLeast"/>
        </w:trPr>
        <w:tc>
          <w:tcPr>
            <w:tcW w:w="499" w:type="dxa"/>
            <w:vAlign w:val="center"/>
          </w:tcPr>
          <w:p>
            <w:pPr>
              <w:spacing w:line="360" w:lineRule="auto"/>
              <w:jc w:val="center"/>
              <w:rPr>
                <w:rFonts w:ascii="宋体" w:hAnsi="宋体" w:cs="宋体"/>
                <w:szCs w:val="21"/>
              </w:rPr>
            </w:pPr>
            <w:r>
              <w:rPr>
                <w:rFonts w:hint="eastAsia" w:asciiTheme="minorEastAsia" w:hAnsiTheme="minorEastAsia" w:cstheme="minorEastAsia"/>
                <w:szCs w:val="21"/>
              </w:rPr>
              <w:t>15</w:t>
            </w:r>
          </w:p>
        </w:tc>
        <w:tc>
          <w:tcPr>
            <w:tcW w:w="780" w:type="dxa"/>
            <w:vAlign w:val="center"/>
          </w:tcPr>
          <w:p>
            <w:pPr>
              <w:spacing w:line="360" w:lineRule="auto"/>
              <w:rPr>
                <w:rFonts w:ascii="宋体" w:hAnsi="宋体" w:cs="宋体"/>
                <w:color w:val="000000"/>
                <w:szCs w:val="21"/>
              </w:rPr>
            </w:pPr>
            <w:r>
              <w:rPr>
                <w:rFonts w:hint="eastAsia" w:ascii="宋体" w:hAnsi="宋体" w:cs="宋体"/>
                <w:szCs w:val="21"/>
              </w:rPr>
              <w:t>项目性质</w:t>
            </w:r>
          </w:p>
        </w:tc>
        <w:tc>
          <w:tcPr>
            <w:tcW w:w="7641" w:type="dxa"/>
            <w:vAlign w:val="center"/>
          </w:tcPr>
          <w:p>
            <w:pPr>
              <w:spacing w:line="360" w:lineRule="auto"/>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非专门面向中小企业采购</w:t>
            </w:r>
          </w:p>
          <w:p>
            <w:pPr>
              <w:spacing w:line="360" w:lineRule="auto"/>
              <w:rPr>
                <w:rFonts w:ascii="宋体" w:hAnsi="宋体" w:cs="宋体"/>
                <w:szCs w:val="21"/>
              </w:rPr>
            </w:pPr>
            <w:r>
              <w:rPr>
                <w:rFonts w:hint="eastAsia" w:ascii="宋体" w:hAnsi="宋体" w:cs="宋体"/>
                <w:szCs w:val="21"/>
              </w:rPr>
              <w:t>对符合《政府采购促进中小企业发展管理办法》(财库{2020}46号)规定的小微企业(监狱企业视同小型、微型企业)的报价给予</w:t>
            </w:r>
            <w:r>
              <w:rPr>
                <w:rFonts w:hint="eastAsia" w:ascii="宋体" w:hAnsi="宋体" w:cs="宋体"/>
                <w:szCs w:val="21"/>
                <w:u w:val="single"/>
              </w:rPr>
              <w:t xml:space="preserve"> 10</w:t>
            </w:r>
            <w:r>
              <w:rPr>
                <w:rFonts w:hint="eastAsia" w:ascii="宋体" w:hAnsi="宋体" w:cs="宋体"/>
                <w:szCs w:val="21"/>
              </w:rPr>
              <w:t>％(6％-10％)的扣除,用扣除后的价格参加评审。</w:t>
            </w:r>
          </w:p>
          <w:p>
            <w:pPr>
              <w:spacing w:line="360" w:lineRule="auto"/>
              <w:jc w:val="left"/>
              <w:rPr>
                <w:rFonts w:ascii="宋体" w:hAnsi="宋体" w:cs="宋体"/>
                <w:szCs w:val="21"/>
              </w:rPr>
            </w:pPr>
            <w:r>
              <w:rPr>
                <w:rFonts w:hint="eastAsia" w:ascii="宋体" w:hAnsi="宋体" w:cs="宋体"/>
                <w:szCs w:val="21"/>
              </w:rPr>
              <w:t>根据《政府采购促进中小企业发展暂行办法》，投标人提供的《中小企业声明函》</w:t>
            </w:r>
            <w:r>
              <w:rPr>
                <w:rFonts w:hint="eastAsia" w:ascii="宋体" w:hAnsi="宋体" w:cs="宋体"/>
                <w:b/>
                <w:bCs/>
                <w:szCs w:val="21"/>
              </w:rPr>
              <w:t>（附件二）</w:t>
            </w:r>
            <w:r>
              <w:rPr>
                <w:rFonts w:hint="eastAsia" w:ascii="宋体" w:hAnsi="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专门面向中小企业采购</w:t>
            </w:r>
          </w:p>
          <w:p>
            <w:pPr>
              <w:spacing w:line="360" w:lineRule="auto"/>
              <w:jc w:val="left"/>
              <w:rPr>
                <w:rFonts w:ascii="宋体" w:hAnsi="宋体" w:cs="宋体"/>
                <w:szCs w:val="21"/>
              </w:rPr>
            </w:pPr>
            <w:r>
              <w:rPr>
                <w:rFonts w:hint="eastAsia" w:ascii="宋体" w:hAnsi="宋体" w:cs="宋体"/>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9" w:hRule="atLeast"/>
        </w:trPr>
        <w:tc>
          <w:tcPr>
            <w:tcW w:w="499" w:type="dxa"/>
            <w:vAlign w:val="center"/>
          </w:tcPr>
          <w:p>
            <w:pPr>
              <w:spacing w:line="360" w:lineRule="auto"/>
              <w:jc w:val="center"/>
              <w:rPr>
                <w:rFonts w:ascii="宋体"/>
                <w:szCs w:val="21"/>
              </w:rPr>
            </w:pPr>
            <w:r>
              <w:rPr>
                <w:rFonts w:hint="eastAsia" w:asciiTheme="minorEastAsia" w:hAnsiTheme="minorEastAsia" w:cstheme="minorEastAsia"/>
                <w:szCs w:val="21"/>
              </w:rPr>
              <w:t>16</w:t>
            </w:r>
          </w:p>
        </w:tc>
        <w:tc>
          <w:tcPr>
            <w:tcW w:w="780" w:type="dxa"/>
            <w:vAlign w:val="center"/>
          </w:tcPr>
          <w:p>
            <w:pPr>
              <w:spacing w:line="360" w:lineRule="auto"/>
              <w:jc w:val="center"/>
              <w:rPr>
                <w:rFonts w:ascii="宋体" w:hAnsi="宋体" w:cs="宋体"/>
                <w:color w:val="000000"/>
                <w:szCs w:val="21"/>
              </w:rPr>
            </w:pPr>
            <w:r>
              <w:rPr>
                <w:rFonts w:hint="eastAsia" w:ascii="宋体" w:hAnsi="宋体" w:cs="宋体"/>
                <w:b/>
                <w:bCs/>
                <w:color w:val="000000"/>
                <w:szCs w:val="21"/>
              </w:rPr>
              <w:t>弃标须知</w:t>
            </w:r>
          </w:p>
        </w:tc>
        <w:tc>
          <w:tcPr>
            <w:tcW w:w="7641" w:type="dxa"/>
            <w:vAlign w:val="center"/>
          </w:tcPr>
          <w:p>
            <w:pPr>
              <w:spacing w:line="360" w:lineRule="auto"/>
              <w:ind w:firstLine="422" w:firstLineChars="200"/>
              <w:jc w:val="left"/>
              <w:rPr>
                <w:rFonts w:ascii="宋体" w:hAnsi="宋体" w:cs="宋体"/>
                <w:szCs w:val="21"/>
              </w:rPr>
            </w:pPr>
            <w:r>
              <w:rPr>
                <w:rFonts w:hint="eastAsia" w:ascii="宋体" w:hAnsi="宋体" w:cs="宋体"/>
                <w:b/>
                <w:bCs/>
                <w:szCs w:val="21"/>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pPr>
        <w:pStyle w:val="3"/>
        <w:keepLines w:val="0"/>
        <w:jc w:val="both"/>
        <w:rPr>
          <w:rFonts w:ascii="宋体" w:hAnsi="宋体" w:cs="宋体"/>
        </w:rPr>
        <w:sectPr>
          <w:footerReference r:id="rId8" w:type="default"/>
          <w:pgSz w:w="11906" w:h="16838"/>
          <w:pgMar w:top="1440" w:right="1706" w:bottom="1440" w:left="1800" w:header="851" w:footer="992" w:gutter="0"/>
          <w:cols w:space="720" w:num="1"/>
          <w:docGrid w:type="lines" w:linePitch="312" w:charSpace="0"/>
        </w:sectPr>
      </w:pPr>
    </w:p>
    <w:p>
      <w:pPr>
        <w:pStyle w:val="3"/>
        <w:keepLines w:val="0"/>
        <w:ind w:firstLine="643" w:firstLineChars="200"/>
        <w:rPr>
          <w:rFonts w:ascii="宋体" w:hAnsi="宋体" w:cs="宋体"/>
        </w:rPr>
      </w:pPr>
      <w:bookmarkStart w:id="11" w:name="_Toc19272"/>
      <w:bookmarkStart w:id="12" w:name="_Toc26164"/>
      <w:bookmarkStart w:id="13" w:name="_Toc19076"/>
      <w:bookmarkStart w:id="14" w:name="_Toc25094"/>
      <w:r>
        <w:rPr>
          <w:rFonts w:hint="eastAsia" w:ascii="宋体" w:hAnsi="宋体" w:cs="宋体"/>
        </w:rPr>
        <w:t>第三部分 供应商须知</w:t>
      </w:r>
      <w:bookmarkEnd w:id="11"/>
      <w:bookmarkEnd w:id="12"/>
      <w:bookmarkEnd w:id="13"/>
      <w:bookmarkEnd w:id="14"/>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15" w:name="_Toc12064"/>
      <w:bookmarkStart w:id="16" w:name="_Toc26739"/>
      <w:bookmarkStart w:id="17" w:name="_Toc18804"/>
      <w:bookmarkStart w:id="18" w:name="_Toc10909"/>
      <w:r>
        <w:rPr>
          <w:rFonts w:hint="eastAsia" w:ascii="宋体" w:hAnsi="宋体" w:cs="宋体"/>
          <w:b/>
          <w:bCs/>
          <w:kern w:val="0"/>
          <w:sz w:val="32"/>
          <w:szCs w:val="28"/>
        </w:rPr>
        <w:t>总则</w:t>
      </w:r>
      <w:bookmarkEnd w:id="15"/>
      <w:bookmarkEnd w:id="16"/>
      <w:bookmarkEnd w:id="17"/>
      <w:bookmarkEnd w:id="18"/>
    </w:p>
    <w:p>
      <w:pPr>
        <w:pStyle w:val="5"/>
        <w:numPr>
          <w:ilvl w:val="0"/>
          <w:numId w:val="4"/>
        </w:numPr>
        <w:ind w:firstLine="562" w:firstLineChars="200"/>
        <w:rPr>
          <w:rFonts w:ascii="宋体" w:hAnsi="宋体" w:cs="宋体"/>
        </w:rPr>
      </w:pPr>
      <w:bookmarkStart w:id="19" w:name="_Toc9257"/>
      <w:bookmarkStart w:id="20" w:name="_Toc358364319"/>
      <w:bookmarkStart w:id="21" w:name="_Toc380336725"/>
      <w:bookmarkStart w:id="22" w:name="_Toc6742"/>
      <w:r>
        <w:rPr>
          <w:rFonts w:hint="eastAsia" w:ascii="宋体" w:hAnsi="宋体" w:cs="宋体"/>
        </w:rPr>
        <w:t>适用范围</w:t>
      </w:r>
      <w:bookmarkEnd w:id="19"/>
      <w:bookmarkEnd w:id="20"/>
      <w:bookmarkEnd w:id="21"/>
      <w:bookmarkEnd w:id="22"/>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本磋商文件适用于本次采购活动的全过程。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4"/>
        </w:numPr>
        <w:ind w:firstLine="562" w:firstLineChars="200"/>
        <w:rPr>
          <w:rFonts w:ascii="宋体" w:hAnsi="宋体" w:cs="宋体"/>
        </w:rPr>
      </w:pPr>
      <w:bookmarkStart w:id="23" w:name="_Toc7922"/>
      <w:bookmarkStart w:id="24" w:name="_Toc11287"/>
      <w:bookmarkStart w:id="25" w:name="_Toc358364320"/>
      <w:bookmarkStart w:id="26" w:name="_Toc380336726"/>
      <w:r>
        <w:rPr>
          <w:rFonts w:hint="eastAsia" w:ascii="宋体" w:hAnsi="宋体" w:cs="宋体"/>
        </w:rPr>
        <w:t>定义</w:t>
      </w:r>
      <w:bookmarkEnd w:id="23"/>
      <w:bookmarkEnd w:id="24"/>
      <w:bookmarkEnd w:id="25"/>
      <w:bookmarkEnd w:id="26"/>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产品、产品等。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pStyle w:val="5"/>
        <w:numPr>
          <w:ilvl w:val="0"/>
          <w:numId w:val="4"/>
        </w:numPr>
        <w:spacing w:line="500" w:lineRule="exact"/>
        <w:ind w:firstLine="562" w:firstLineChars="200"/>
        <w:rPr>
          <w:rFonts w:ascii="宋体" w:hAnsi="宋体" w:cs="宋体"/>
          <w:szCs w:val="28"/>
        </w:rPr>
      </w:pPr>
      <w:bookmarkStart w:id="27" w:name="_Toc17676"/>
      <w:bookmarkStart w:id="28" w:name="_Toc23781"/>
      <w:bookmarkStart w:id="29" w:name="_Toc380336727"/>
      <w:bookmarkStart w:id="30" w:name="_Toc358364321"/>
      <w:r>
        <w:rPr>
          <w:rFonts w:hint="eastAsia" w:ascii="宋体" w:hAnsi="宋体" w:cs="宋体"/>
          <w:szCs w:val="28"/>
        </w:rPr>
        <w:t>合格的</w:t>
      </w:r>
      <w:bookmarkEnd w:id="27"/>
      <w:bookmarkEnd w:id="28"/>
      <w:bookmarkEnd w:id="29"/>
      <w:bookmarkEnd w:id="30"/>
      <w:r>
        <w:rPr>
          <w:rFonts w:hint="eastAsia" w:ascii="宋体" w:hAnsi="宋体" w:cs="宋体"/>
          <w:szCs w:val="28"/>
        </w:rPr>
        <w:t>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3.1具有本项目生产、制造、加工、供应或实施能力，符合、承认并承诺履行本磋商文件各项规定的国内供应商。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具有履行合同所必需的产品和专业技术能力；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6" w:firstLine="499" w:firstLineChars="208"/>
        <w:rPr>
          <w:rFonts w:ascii="宋体" w:hAnsi="宋体" w:cs="宋体"/>
          <w:sz w:val="24"/>
          <w:szCs w:val="24"/>
        </w:rPr>
      </w:pPr>
      <w:r>
        <w:rPr>
          <w:rFonts w:hint="eastAsia" w:ascii="宋体" w:hAnsi="宋体" w:cs="宋体"/>
          <w:sz w:val="24"/>
          <w:szCs w:val="24"/>
        </w:rPr>
        <w:t>3.3供应商购买磋商文件时应登记备案，并提供有效联系方式。</w:t>
      </w:r>
    </w:p>
    <w:p>
      <w:pPr>
        <w:tabs>
          <w:tab w:val="left" w:pos="0"/>
        </w:tabs>
        <w:spacing w:line="500" w:lineRule="exact"/>
        <w:ind w:left="5" w:firstLine="518" w:firstLineChars="216"/>
        <w:rPr>
          <w:rFonts w:ascii="宋体" w:hAnsi="宋体" w:cs="宋体"/>
          <w:sz w:val="24"/>
          <w:szCs w:val="24"/>
        </w:rPr>
      </w:pPr>
      <w:r>
        <w:rPr>
          <w:rFonts w:hint="eastAsia" w:ascii="宋体" w:hAnsi="宋体" w:cs="宋体"/>
          <w:sz w:val="24"/>
          <w:szCs w:val="24"/>
        </w:rPr>
        <w:t>3.4如供应商代表不是法定代表人，须持有《法定代表人授权委托书》 (按磋商文件提供的格式填写)。</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sz w:val="24"/>
          <w:szCs w:val="24"/>
        </w:rPr>
        <w:t>3.5供应商应独立于采购人，不得直接或间接地与采购人为采购本次招标的货物进行设计、编制技术规格和其它文件所委托的咨询公司或其附属机构有任何关联。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kern w:val="0"/>
          <w:sz w:val="24"/>
          <w:szCs w:val="24"/>
        </w:rPr>
        <w:t>3.6供应商不得存在下列情形之一</w:t>
      </w:r>
      <w:r>
        <w:rPr>
          <w:rFonts w:hint="eastAsia" w:ascii="宋体" w:hAnsi="宋体" w:cs="宋体"/>
          <w:sz w:val="24"/>
          <w:szCs w:val="24"/>
        </w:rPr>
        <w:t>：</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5" w:firstLine="444" w:firstLineChars="185"/>
        <w:rPr>
          <w:rFonts w:ascii="宋体" w:hAnsi="宋体" w:cs="宋体"/>
          <w:b/>
          <w:bCs/>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t>
      </w:r>
      <w:r>
        <w:rPr>
          <w:rFonts w:hint="eastAsia" w:ascii="宋体" w:hAnsi="宋体" w:cs="宋体"/>
          <w:b/>
          <w:bCs/>
          <w:kern w:val="0"/>
          <w:sz w:val="24"/>
          <w:szCs w:val="24"/>
        </w:rPr>
        <w:drawing>
          <wp:inline distT="0" distB="0" distL="0" distR="0">
            <wp:extent cx="190500" cy="142875"/>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8" cstate="print"/>
                    <a:srcRect/>
                    <a:stretch>
                      <a:fillRect/>
                    </a:stretch>
                  </pic:blipFill>
                  <pic:spPr>
                    <a:xfrm>
                      <a:off x="0" y="0"/>
                      <a:ext cx="190500" cy="142875"/>
                    </a:xfrm>
                    <a:prstGeom prst="rect">
                      <a:avLst/>
                    </a:prstGeom>
                    <a:noFill/>
                    <a:ln w="9525" cmpd="sng">
                      <a:noFill/>
                      <a:miter lim="800000"/>
                      <a:headEnd/>
                      <a:tailEnd/>
                    </a:ln>
                  </pic:spPr>
                </pic:pic>
              </a:graphicData>
            </a:graphic>
          </wp:inline>
        </w:drawing>
      </w:r>
      <w:r>
        <w:rPr>
          <w:rFonts w:hint="eastAsia" w:ascii="宋体" w:hAnsi="宋体" w:cs="宋体"/>
          <w:b/>
          <w:bCs/>
          <w:kern w:val="0"/>
          <w:sz w:val="24"/>
          <w:szCs w:val="24"/>
        </w:rPr>
        <w:t>www.creditchina.gov.cn）、中国政府采购网（</w:t>
      </w:r>
      <w:r>
        <w:rPr>
          <w:rFonts w:hint="eastAsia" w:ascii="宋体" w:hAnsi="宋体" w:cs="宋体"/>
          <w:b/>
          <w:bCs/>
          <w:kern w:val="0"/>
          <w:sz w:val="24"/>
          <w:szCs w:val="24"/>
        </w:rPr>
        <w:drawing>
          <wp:inline distT="0" distB="0" distL="0" distR="0">
            <wp:extent cx="190500" cy="142875"/>
            <wp:effectExtent l="1905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noChangeArrowheads="1"/>
                    </pic:cNvPicPr>
                  </pic:nvPicPr>
                  <pic:blipFill>
                    <a:blip r:embed="rId18" cstate="print"/>
                    <a:srcRect/>
                    <a:stretch>
                      <a:fillRect/>
                    </a:stretch>
                  </pic:blipFill>
                  <pic:spPr>
                    <a:xfrm>
                      <a:off x="0" y="0"/>
                      <a:ext cx="190500" cy="142875"/>
                    </a:xfrm>
                    <a:prstGeom prst="rect">
                      <a:avLst/>
                    </a:prstGeom>
                    <a:noFill/>
                    <a:ln w="9525" cmpd="sng">
                      <a:noFill/>
                      <a:miter lim="800000"/>
                      <a:headEnd/>
                      <a:tailEnd/>
                    </a:ln>
                  </pic:spPr>
                </pic:pic>
              </a:graphicData>
            </a:graphic>
          </wp:inline>
        </w:drawing>
      </w:r>
      <w:r>
        <w:rPr>
          <w:rFonts w:hint="eastAsia" w:ascii="宋体" w:hAnsi="宋体" w:cs="宋体"/>
          <w:b/>
          <w:bCs/>
          <w:kern w:val="0"/>
          <w:sz w:val="24"/>
          <w:szCs w:val="24"/>
        </w:rPr>
        <w:t>www.ccgp.gov.cn）查询结果为准、如相关失信记录已失效，供应商需提供相关证明资料）。</w:t>
      </w:r>
    </w:p>
    <w:p>
      <w:pPr>
        <w:pStyle w:val="5"/>
        <w:numPr>
          <w:ilvl w:val="0"/>
          <w:numId w:val="4"/>
        </w:numPr>
        <w:spacing w:line="500" w:lineRule="exact"/>
        <w:ind w:firstLine="562" w:firstLineChars="200"/>
        <w:rPr>
          <w:rFonts w:ascii="宋体" w:hAnsi="宋体" w:cs="宋体"/>
          <w:szCs w:val="28"/>
        </w:rPr>
      </w:pPr>
      <w:bookmarkStart w:id="31" w:name="_Toc22444"/>
      <w:bookmarkStart w:id="32" w:name="_Toc540"/>
      <w:bookmarkStart w:id="33" w:name="_Toc358364322"/>
      <w:bookmarkStart w:id="34" w:name="_Toc380336728"/>
      <w:r>
        <w:rPr>
          <w:rFonts w:hint="eastAsia" w:ascii="宋体" w:hAnsi="宋体" w:cs="宋体"/>
          <w:szCs w:val="28"/>
        </w:rPr>
        <w:t>费用</w:t>
      </w:r>
      <w:bookmarkEnd w:id="31"/>
      <w:bookmarkEnd w:id="32"/>
      <w:bookmarkEnd w:id="33"/>
      <w:bookmarkEnd w:id="34"/>
    </w:p>
    <w:p>
      <w:pPr>
        <w:widowControl/>
        <w:wordWrap w:val="0"/>
        <w:snapToGrid w:val="0"/>
        <w:spacing w:before="156" w:beforeLines="50" w:line="360" w:lineRule="auto"/>
        <w:ind w:right="-90" w:rightChars="-43" w:firstLine="480" w:firstLineChars="200"/>
        <w:jc w:val="left"/>
        <w:rPr>
          <w:rFonts w:ascii="宋体" w:hAnsi="宋体" w:cs="宋体"/>
          <w:kern w:val="0"/>
          <w:sz w:val="24"/>
          <w:szCs w:val="24"/>
        </w:rPr>
      </w:pPr>
      <w:r>
        <w:rPr>
          <w:rFonts w:hint="eastAsia" w:ascii="宋体" w:hAnsi="宋体" w:cs="宋体"/>
          <w:kern w:val="0"/>
          <w:sz w:val="24"/>
          <w:szCs w:val="24"/>
        </w:rPr>
        <w:t>供应商应承担所有与准备和参加投标有关的费用，采购代理机构（或采购人)在任何情况下均无义务和责任承担这些费用。</w:t>
      </w:r>
    </w:p>
    <w:p>
      <w:pPr>
        <w:pStyle w:val="5"/>
        <w:numPr>
          <w:ilvl w:val="0"/>
          <w:numId w:val="4"/>
        </w:numPr>
        <w:spacing w:line="500" w:lineRule="exact"/>
        <w:ind w:firstLine="562" w:firstLineChars="200"/>
        <w:rPr>
          <w:rFonts w:ascii="宋体" w:hAnsi="宋体" w:cs="宋体"/>
          <w:szCs w:val="28"/>
        </w:rPr>
      </w:pPr>
      <w:r>
        <w:rPr>
          <w:rFonts w:hint="eastAsia" w:ascii="宋体" w:hAnsi="宋体" w:cs="宋体"/>
          <w:szCs w:val="28"/>
        </w:rPr>
        <w:t>采购进口产品</w:t>
      </w:r>
    </w:p>
    <w:p>
      <w:pPr>
        <w:widowControl/>
        <w:wordWrap w:val="0"/>
        <w:snapToGrid w:val="0"/>
        <w:spacing w:before="156" w:beforeLines="50" w:line="360" w:lineRule="auto"/>
        <w:ind w:right="-90" w:rightChars="-43" w:firstLine="480" w:firstLineChars="200"/>
        <w:jc w:val="left"/>
        <w:rPr>
          <w:rFonts w:ascii="宋体" w:hAnsi="宋体" w:cs="宋体"/>
          <w:sz w:val="24"/>
          <w:szCs w:val="24"/>
        </w:rPr>
      </w:pPr>
      <w:r>
        <w:rPr>
          <w:rFonts w:hint="eastAsia" w:ascii="宋体" w:hAnsi="宋体" w:cs="宋体"/>
          <w:sz w:val="24"/>
          <w:szCs w:val="24"/>
        </w:rPr>
        <w:t>5.1 除公告或第五部分采购要求标明允许采购进口产品外，本项目拒绝进口产品参加采购活动。</w:t>
      </w:r>
    </w:p>
    <w:p>
      <w:pPr>
        <w:widowControl/>
        <w:wordWrap w:val="0"/>
        <w:snapToGrid w:val="0"/>
        <w:spacing w:line="360" w:lineRule="auto"/>
        <w:ind w:right="-92" w:rightChars="-44" w:firstLine="480" w:firstLineChars="200"/>
        <w:jc w:val="left"/>
        <w:rPr>
          <w:rFonts w:ascii="宋体" w:hAnsi="宋体" w:cs="宋体"/>
          <w:sz w:val="24"/>
          <w:szCs w:val="24"/>
        </w:rPr>
      </w:pPr>
      <w:r>
        <w:rPr>
          <w:rFonts w:hint="eastAsia" w:ascii="宋体" w:hAnsi="宋体" w:cs="宋体"/>
          <w:sz w:val="24"/>
          <w:szCs w:val="24"/>
        </w:rPr>
        <w:t>5.2 本项目第五部分采购要求中同意购买进口产品的，采购活动不限制满足磋商文件要求的国产产品参与本次采购。</w:t>
      </w:r>
    </w:p>
    <w:p>
      <w:pPr>
        <w:pStyle w:val="5"/>
        <w:numPr>
          <w:ilvl w:val="0"/>
          <w:numId w:val="4"/>
        </w:numPr>
        <w:spacing w:after="312" w:afterLines="100" w:line="500" w:lineRule="exact"/>
        <w:ind w:firstLine="562" w:firstLineChars="200"/>
        <w:rPr>
          <w:rFonts w:ascii="宋体" w:hAnsi="宋体" w:cs="宋体"/>
          <w:szCs w:val="28"/>
        </w:rPr>
      </w:pPr>
      <w:r>
        <w:rPr>
          <w:rFonts w:hint="eastAsia" w:ascii="宋体" w:hAnsi="宋体" w:cs="宋体"/>
          <w:szCs w:val="28"/>
        </w:rPr>
        <w:t>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6.1 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6.2 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6.3 产品同时属于“非强制采购节能产品”、环境标志产品的，评审时只有其中一项能享受优先待遇（供应商自行选择，并在报价文件中填写相关信息及数据）。</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6.4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w:t>
      </w:r>
      <w:r>
        <w:fldChar w:fldCharType="begin"/>
      </w:r>
      <w:r>
        <w:instrText xml:space="preserve"> HYPERLINK "http://www.xaczj.gov.cn/info/6/27730.htm中《西安市财政局关于进一步做好政府采购信用担保及信用融资工作有关事宜的通知》）。" </w:instrText>
      </w:r>
      <w:r>
        <w:fldChar w:fldCharType="separate"/>
      </w:r>
      <w:r>
        <w:rPr>
          <w:rFonts w:hint="eastAsia" w:ascii="宋体" w:hAnsi="宋体" w:cs="宋体"/>
          <w:kern w:val="0"/>
          <w:sz w:val="24"/>
          <w:szCs w:val="24"/>
        </w:rPr>
        <w:t>http://xaczj.xa.gov.cn/zfcg/cgfg/5db9054565cbd804f69e97e0.html中《西安市财政局关于进一步做好政府采购信用担保及信用融资工作有关事宜的通知》）。</w:t>
      </w:r>
      <w:r>
        <w:rPr>
          <w:rFonts w:hint="eastAsia" w:ascii="宋体" w:hAnsi="宋体" w:cs="宋体"/>
          <w:kern w:val="0"/>
          <w:sz w:val="24"/>
          <w:szCs w:val="24"/>
        </w:rPr>
        <w:fldChar w:fldCharType="end"/>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投标供应商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市财政局网站(http://xaczj.xa.gov.cn)政府采购专栏中查询了解。</w:t>
      </w:r>
    </w:p>
    <w:p>
      <w:pPr>
        <w:widowControl/>
        <w:wordWrap w:val="0"/>
        <w:snapToGrid w:val="0"/>
        <w:spacing w:line="360" w:lineRule="auto"/>
        <w:ind w:right="-92" w:rightChars="-44" w:firstLine="480" w:firstLineChars="200"/>
        <w:jc w:val="left"/>
        <w:rPr>
          <w:rFonts w:ascii="宋体" w:hAnsi="宋体" w:cs="宋体"/>
          <w:kern w:val="0"/>
          <w:sz w:val="24"/>
          <w:szCs w:val="24"/>
        </w:rPr>
      </w:pPr>
    </w:p>
    <w:p>
      <w:pPr>
        <w:widowControl/>
        <w:wordWrap w:val="0"/>
        <w:snapToGrid w:val="0"/>
        <w:spacing w:line="360" w:lineRule="auto"/>
        <w:ind w:right="-90" w:rightChars="-43" w:firstLine="480" w:firstLineChars="200"/>
        <w:jc w:val="left"/>
        <w:rPr>
          <w:rFonts w:ascii="宋体" w:hAnsi="宋体" w:cs="宋体"/>
          <w:kern w:val="0"/>
          <w:sz w:val="24"/>
          <w:szCs w:val="24"/>
        </w:rPr>
      </w:pPr>
    </w:p>
    <w:p>
      <w:pPr>
        <w:widowControl/>
        <w:spacing w:line="360" w:lineRule="auto"/>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35" w:name="_Toc20922"/>
      <w:bookmarkStart w:id="36" w:name="_Toc1811"/>
      <w:bookmarkStart w:id="37" w:name="_Toc24962"/>
      <w:r>
        <w:rPr>
          <w:rFonts w:hint="eastAsia" w:ascii="宋体" w:hAnsi="宋体" w:cs="宋体"/>
          <w:b/>
          <w:bCs/>
          <w:kern w:val="0"/>
          <w:sz w:val="32"/>
          <w:szCs w:val="28"/>
        </w:rPr>
        <w:t>竞争性磋商文件</w:t>
      </w:r>
      <w:bookmarkEnd w:id="35"/>
      <w:bookmarkEnd w:id="36"/>
      <w:bookmarkEnd w:id="37"/>
    </w:p>
    <w:p>
      <w:pPr>
        <w:pStyle w:val="5"/>
        <w:numPr>
          <w:ilvl w:val="0"/>
          <w:numId w:val="6"/>
        </w:numPr>
        <w:rPr>
          <w:rFonts w:ascii="宋体" w:hAnsi="宋体" w:cs="宋体"/>
        </w:rPr>
      </w:pPr>
      <w:bookmarkStart w:id="38" w:name="_Toc5801"/>
      <w:r>
        <w:rPr>
          <w:rFonts w:hint="eastAsia" w:ascii="宋体" w:hAnsi="宋体" w:cs="宋体"/>
        </w:rPr>
        <w:t>竞争性磋商文件的构成</w:t>
      </w:r>
      <w:bookmarkEnd w:id="38"/>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合同条款；</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6"/>
        </w:numPr>
        <w:rPr>
          <w:rFonts w:ascii="宋体" w:hAnsi="宋体" w:cs="宋体"/>
        </w:rPr>
      </w:pPr>
      <w:bookmarkStart w:id="39" w:name="_Toc19797"/>
      <w:r>
        <w:rPr>
          <w:rFonts w:hint="eastAsia" w:ascii="宋体" w:hAnsi="宋体" w:cs="宋体"/>
        </w:rPr>
        <w:t>竞争性磋商文件的澄清</w:t>
      </w:r>
      <w:bookmarkEnd w:id="39"/>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6"/>
        </w:numPr>
        <w:rPr>
          <w:rFonts w:ascii="宋体" w:hAnsi="宋体" w:cs="宋体"/>
        </w:rPr>
      </w:pPr>
      <w:bookmarkStart w:id="40" w:name="_Toc6390"/>
      <w:r>
        <w:rPr>
          <w:rFonts w:hint="eastAsia" w:ascii="宋体" w:hAnsi="宋体" w:cs="宋体"/>
        </w:rPr>
        <w:t>竞争性磋商文件的修改</w:t>
      </w:r>
      <w:bookmarkEnd w:id="40"/>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6"/>
        </w:numPr>
        <w:rPr>
          <w:rFonts w:ascii="宋体" w:hAnsi="宋体" w:cs="宋体"/>
        </w:rPr>
      </w:pPr>
      <w:bookmarkStart w:id="41" w:name="_Toc31188"/>
      <w:r>
        <w:rPr>
          <w:rFonts w:hint="eastAsia" w:ascii="宋体" w:hAnsi="宋体" w:cs="宋体"/>
        </w:rPr>
        <w:t>竞争性磋商文件的获取</w:t>
      </w:r>
      <w:bookmarkEnd w:id="41"/>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pPr>
        <w:pStyle w:val="5"/>
        <w:numPr>
          <w:ilvl w:val="0"/>
          <w:numId w:val="6"/>
        </w:numPr>
        <w:rPr>
          <w:rFonts w:ascii="宋体" w:hAnsi="宋体" w:cs="宋体"/>
        </w:rPr>
      </w:pPr>
      <w:bookmarkStart w:id="42" w:name="_Toc5095"/>
      <w:r>
        <w:rPr>
          <w:rFonts w:hint="eastAsia" w:ascii="宋体" w:hAnsi="宋体" w:cs="宋体"/>
        </w:rPr>
        <w:t>竞争性磋商文件的解释权归代理机构。</w:t>
      </w:r>
      <w:bookmarkEnd w:id="42"/>
    </w:p>
    <w:p>
      <w:pPr>
        <w:widowControl/>
        <w:numPr>
          <w:ilvl w:val="0"/>
          <w:numId w:val="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43" w:name="_Toc23299"/>
      <w:bookmarkStart w:id="44" w:name="_Toc67"/>
      <w:bookmarkStart w:id="45" w:name="_Toc25919"/>
      <w:r>
        <w:rPr>
          <w:rFonts w:hint="eastAsia" w:ascii="宋体" w:hAnsi="宋体" w:cs="宋体"/>
          <w:b/>
          <w:bCs/>
          <w:kern w:val="0"/>
          <w:sz w:val="32"/>
          <w:szCs w:val="28"/>
        </w:rPr>
        <w:t>磋商响应文件</w:t>
      </w:r>
      <w:bookmarkEnd w:id="43"/>
      <w:bookmarkEnd w:id="44"/>
      <w:bookmarkEnd w:id="45"/>
    </w:p>
    <w:p>
      <w:pPr>
        <w:pStyle w:val="5"/>
        <w:numPr>
          <w:ilvl w:val="0"/>
          <w:numId w:val="8"/>
        </w:numPr>
        <w:rPr>
          <w:rFonts w:ascii="宋体" w:hAnsi="宋体" w:cs="宋体"/>
        </w:rPr>
      </w:pPr>
      <w:bookmarkStart w:id="46" w:name="_Toc17549"/>
      <w:r>
        <w:rPr>
          <w:rFonts w:hint="eastAsia" w:ascii="宋体" w:hAnsi="宋体" w:cs="宋体"/>
        </w:rPr>
        <w:t>磋商响应文件的编制</w:t>
      </w:r>
      <w:bookmarkEnd w:id="46"/>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磋商响应文件必须根据代理机构发售的竞争性磋商文件格式和顺序认真编制。具体内容包括：</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（1）响应函</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（2）磋商一览表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（3）分项报价表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（4）供应商资质证明资料</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（5）商务和技术响应偏离表</w:t>
      </w:r>
    </w:p>
    <w:p>
      <w:pPr>
        <w:pStyle w:val="11"/>
        <w:snapToGrid w:val="0"/>
        <w:spacing w:line="360" w:lineRule="auto"/>
        <w:ind w:firstLine="480" w:firstLineChars="200"/>
        <w:jc w:val="left"/>
        <w:rPr>
          <w:rFonts w:hAnsi="宋体" w:cs="宋体"/>
          <w:sz w:val="24"/>
          <w:szCs w:val="24"/>
        </w:rPr>
      </w:pPr>
      <w:r>
        <w:rPr>
          <w:rFonts w:hint="eastAsia" w:hAnsi="宋体" w:cs="宋体"/>
          <w:sz w:val="24"/>
          <w:szCs w:val="24"/>
        </w:rPr>
        <w:t>（6）技术支持资料</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（7）供应商业绩一览表</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（8）供应商认为有必要说明的其他问题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（9）供应商承诺书</w:t>
      </w:r>
    </w:p>
    <w:p>
      <w:pPr>
        <w:pStyle w:val="5"/>
        <w:numPr>
          <w:ilvl w:val="0"/>
          <w:numId w:val="8"/>
        </w:numPr>
        <w:rPr>
          <w:rFonts w:ascii="宋体" w:hAnsi="宋体" w:cs="宋体"/>
        </w:rPr>
      </w:pPr>
      <w:r>
        <w:rPr>
          <w:rFonts w:hint="eastAsia" w:ascii="宋体" w:hAnsi="宋体" w:cs="宋体"/>
        </w:rPr>
        <w:t>响应报价</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2.1供应商应在响应报价表中标明本次招标所要求的货物、工程、服务且验收合格的所有费用，包括总报价、货物服务报价、技术培训费（如果有）、检测费、人工费、税金及进口产品（如果有）国家按现行税收政策征收的一切税费等。在合同实施期间，响应报价表中标明本项目所需的总价，不受市场价变化的影响，不受实际数量变化的影响。任何有选择的报价将不予接受，否则按无效响应处理。</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2.3响应报价表成交的价格，在合同执行过程中，不得以任何理由变更。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cs="宋体"/>
          <w:color w:val="0000FF"/>
          <w:sz w:val="24"/>
          <w:szCs w:val="24"/>
        </w:rPr>
      </w:pPr>
      <w:r>
        <w:rPr>
          <w:rFonts w:hint="eastAsia" w:ascii="宋体" w:hAnsi="宋体" w:cs="宋体"/>
          <w:sz w:val="24"/>
          <w:szCs w:val="24"/>
        </w:rPr>
        <w:t>2.4供应商应在磋商响应文件中的磋商一览表上，标明总报价、服务期等磋商文件要求的其他内容；任何有选择的报价不予接受。</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2.5最低报价不是成交的唯一依据。</w:t>
      </w:r>
    </w:p>
    <w:p>
      <w:pPr>
        <w:pStyle w:val="5"/>
        <w:numPr>
          <w:ilvl w:val="0"/>
          <w:numId w:val="8"/>
        </w:numPr>
        <w:rPr>
          <w:rFonts w:ascii="宋体" w:hAnsi="宋体" w:cs="宋体"/>
        </w:rPr>
      </w:pPr>
      <w:bookmarkStart w:id="47" w:name="_Toc29200"/>
      <w:bookmarkStart w:id="48" w:name="_Toc3736"/>
      <w:r>
        <w:rPr>
          <w:rFonts w:hint="eastAsia" w:ascii="宋体" w:hAnsi="宋体" w:cs="宋体"/>
        </w:rPr>
        <w:t>磋商货币</w:t>
      </w:r>
      <w:bookmarkEnd w:id="47"/>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采购人只接受人民币作为唯一磋商货币。</w:t>
      </w:r>
    </w:p>
    <w:p>
      <w:pPr>
        <w:tabs>
          <w:tab w:val="left" w:pos="0"/>
        </w:tabs>
        <w:adjustRightInd w:val="0"/>
        <w:snapToGrid w:val="0"/>
        <w:spacing w:line="360" w:lineRule="auto"/>
        <w:ind w:firstLine="480" w:firstLineChars="200"/>
        <w:rPr>
          <w:rFonts w:ascii="宋体" w:hAnsi="宋体" w:cs="宋体"/>
          <w:sz w:val="24"/>
          <w:szCs w:val="24"/>
        </w:rPr>
      </w:pPr>
    </w:p>
    <w:p>
      <w:pPr>
        <w:pStyle w:val="5"/>
        <w:numPr>
          <w:ilvl w:val="0"/>
          <w:numId w:val="8"/>
        </w:numPr>
        <w:rPr>
          <w:rFonts w:ascii="宋体" w:hAnsi="宋体" w:cs="宋体"/>
        </w:rPr>
      </w:pPr>
      <w:bookmarkStart w:id="49" w:name="_Toc19668"/>
      <w:r>
        <w:rPr>
          <w:rFonts w:hint="eastAsia" w:ascii="宋体" w:hAnsi="宋体" w:cs="宋体"/>
        </w:rPr>
        <w:t>磋商有效期</w:t>
      </w:r>
      <w:bookmarkEnd w:id="49"/>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pPr>
        <w:pStyle w:val="5"/>
        <w:numPr>
          <w:ilvl w:val="0"/>
          <w:numId w:val="8"/>
        </w:numPr>
        <w:rPr>
          <w:rFonts w:ascii="宋体" w:hAnsi="宋体" w:cs="宋体"/>
          <w:szCs w:val="32"/>
        </w:rPr>
      </w:pPr>
      <w:bookmarkStart w:id="50" w:name="_Toc24827"/>
      <w:r>
        <w:rPr>
          <w:rFonts w:hint="eastAsia" w:ascii="宋体" w:hAnsi="宋体" w:cs="宋体"/>
        </w:rPr>
        <w:t>磋商响应文件的格式、装订、密封和签署</w:t>
      </w:r>
      <w:bookmarkEnd w:id="50"/>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5.1供应商须依据竞争性磋商文件内容和磋商响应文件格式的要求编制磋商响应文件；</w:t>
      </w:r>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并在每一页的正下方清楚标明第几页、共几页等字样。</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5.2磋商响应文件的装订</w:t>
      </w:r>
    </w:p>
    <w:p>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51" w:name="OLE_LINK13"/>
      <w:r>
        <w:rPr>
          <w:rFonts w:hint="eastAsia" w:ascii="宋体" w:hAnsi="宋体" w:cs="宋体"/>
          <w:sz w:val="24"/>
          <w:szCs w:val="24"/>
        </w:rPr>
        <w:t>电子版</w:t>
      </w:r>
      <w:bookmarkEnd w:id="51"/>
      <w:r>
        <w:rPr>
          <w:rFonts w:hint="eastAsia" w:ascii="宋体" w:hAnsi="宋体" w:cs="宋体"/>
          <w:sz w:val="24"/>
          <w:szCs w:val="24"/>
        </w:rPr>
        <w:t>（</w:t>
      </w:r>
      <w:r>
        <w:rPr>
          <w:rFonts w:hint="eastAsia" w:ascii="宋体" w:hAnsi="宋体" w:cs="宋体"/>
          <w:b/>
          <w:bCs/>
          <w:sz w:val="24"/>
          <w:szCs w:val="24"/>
        </w:rPr>
        <w:t>U盘</w:t>
      </w:r>
      <w:r>
        <w:rPr>
          <w:rFonts w:hint="eastAsia" w:ascii="宋体" w:hAnsi="宋体" w:cs="宋体"/>
          <w:sz w:val="24"/>
          <w:szCs w:val="24"/>
        </w:rPr>
        <w:t>、</w:t>
      </w:r>
      <w:r>
        <w:rPr>
          <w:rFonts w:hint="eastAsia" w:ascii="宋体" w:hAnsi="宋体" w:cs="宋体"/>
          <w:b/>
          <w:bCs/>
          <w:sz w:val="24"/>
          <w:szCs w:val="24"/>
        </w:rPr>
        <w:t>电子文档应为PDF与WORD格式各一份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5.3磋商响应文件的签署</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供应商在磋商响应文件中指定的页面的落款处，按竞争性磋商文件要求由供应商的法定代表人或其授权代表在规定的签章处签字或盖章。</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供应商应按照磋商文件要求，在每一份磋商响应文件的正本和副本封面下方以及其他磋商文件要求的位置填写供应商全称并加盖公章。</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磋商响应文件应字迹清楚、内容齐全、不得涂改或增删。如有修改和增删，必须有供应商公章及法定代表人或其授权代表签字。</w:t>
      </w:r>
    </w:p>
    <w:p>
      <w:pPr>
        <w:numPr>
          <w:ilvl w:val="0"/>
          <w:numId w:val="9"/>
        </w:numPr>
        <w:spacing w:line="360" w:lineRule="auto"/>
        <w:jc w:val="left"/>
        <w:rPr>
          <w:rFonts w:ascii="宋体" w:hAnsi="宋体" w:cs="宋体"/>
          <w:sz w:val="24"/>
          <w:szCs w:val="24"/>
        </w:rPr>
      </w:pPr>
      <w:r>
        <w:rPr>
          <w:rFonts w:hint="eastAsia" w:ascii="宋体" w:hAnsi="宋体" w:cs="宋体"/>
          <w:sz w:val="24"/>
          <w:szCs w:val="24"/>
        </w:rPr>
        <w:t>因磋商响应文件字迹潦草或表达不清所引起的不利后果由供应商承担。</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5.4磋商响应文件的密封</w:t>
      </w:r>
    </w:p>
    <w:p>
      <w:pPr>
        <w:spacing w:line="360" w:lineRule="auto"/>
        <w:ind w:firstLine="480" w:firstLineChars="200"/>
        <w:jc w:val="left"/>
        <w:rPr>
          <w:rFonts w:ascii="宋体" w:hAnsi="宋体" w:cs="宋体"/>
          <w:kern w:val="0"/>
          <w:sz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rPr>
        <w:t>如果未按上述规定进行密封，供应商的磋商响应文件有权被拒绝</w:t>
      </w:r>
      <w:r>
        <w:rPr>
          <w:rFonts w:hint="eastAsia" w:ascii="宋体" w:hAnsi="宋体" w:cs="宋体"/>
          <w:sz w:val="24"/>
          <w:szCs w:val="24"/>
        </w:rPr>
        <w:t>。</w:t>
      </w:r>
    </w:p>
    <w:p>
      <w:pPr>
        <w:spacing w:line="360" w:lineRule="auto"/>
        <w:ind w:firstLine="480" w:firstLineChars="200"/>
        <w:jc w:val="left"/>
        <w:rPr>
          <w:rFonts w:ascii="宋体" w:hAnsi="宋体" w:cs="宋体"/>
          <w:kern w:val="0"/>
          <w:sz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p>
      <w:pPr>
        <w:spacing w:line="360" w:lineRule="auto"/>
        <w:ind w:firstLine="480" w:firstLineChars="200"/>
        <w:rPr>
          <w:rFonts w:ascii="宋体" w:hAnsi="宋体" w:cs="宋体"/>
          <w:sz w:val="24"/>
          <w:szCs w:val="24"/>
        </w:rPr>
      </w:pPr>
      <w:r>
        <w:rPr>
          <w:rFonts w:hint="eastAsia" w:ascii="宋体" w:hAnsi="宋体" w:cs="宋体"/>
          <w:sz w:val="24"/>
          <w:szCs w:val="24"/>
        </w:rPr>
        <w:t>5.5本次磋商只接受简体中文文字的磋商响应文件；如磋商响应文件中出现外文资料，必须配以中文译文。否则，由此引发的一切责任由供应商自负。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5.6拒绝接受以电话、传真、电子邮件形式的磋商。</w:t>
      </w:r>
    </w:p>
    <w:p>
      <w:pPr>
        <w:pStyle w:val="5"/>
        <w:numPr>
          <w:ilvl w:val="0"/>
          <w:numId w:val="8"/>
        </w:numPr>
        <w:rPr>
          <w:rFonts w:ascii="宋体" w:hAnsi="宋体" w:cs="宋体"/>
        </w:rPr>
      </w:pPr>
      <w:bookmarkStart w:id="52" w:name="_Toc22752"/>
      <w:r>
        <w:rPr>
          <w:rFonts w:hint="eastAsia" w:ascii="宋体" w:hAnsi="宋体" w:cs="宋体"/>
        </w:rPr>
        <w:t>知识产权</w:t>
      </w:r>
      <w:bookmarkEnd w:id="52"/>
    </w:p>
    <w:p>
      <w:pPr>
        <w:spacing w:line="360" w:lineRule="auto"/>
        <w:ind w:firstLine="480" w:firstLineChars="200"/>
        <w:jc w:val="left"/>
        <w:rPr>
          <w:rFonts w:ascii="宋体" w:hAnsi="宋体" w:cs="宋体"/>
          <w:sz w:val="24"/>
          <w:szCs w:val="24"/>
        </w:rPr>
      </w:pPr>
      <w:r>
        <w:rPr>
          <w:rFonts w:hint="eastAsia" w:ascii="宋体" w:hAnsi="宋体" w:cs="宋体"/>
          <w:sz w:val="24"/>
          <w:szCs w:val="24"/>
        </w:rPr>
        <w:t>6.1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6.2采购人享有本项目在实施过程中产生的知识成果及知识产权。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spacing w:line="360" w:lineRule="auto"/>
        <w:ind w:firstLine="480" w:firstLineChars="200"/>
        <w:jc w:val="left"/>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r>
        <w:rPr>
          <w:rFonts w:hint="eastAsia" w:ascii="宋体" w:hAnsi="宋体" w:cs="宋体"/>
          <w:sz w:val="24"/>
          <w:szCs w:val="24"/>
        </w:rPr>
        <w:t>6.4如供应商所不拥有的知识产权，则在响应报价中必须包括合法获取该知识产权的相关费用。</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53" w:name="_Toc27900"/>
      <w:bookmarkStart w:id="54" w:name="_Toc2312"/>
      <w:bookmarkStart w:id="55" w:name="_Toc7624"/>
      <w:bookmarkStart w:id="56" w:name="_Toc3565"/>
      <w:r>
        <w:rPr>
          <w:rFonts w:hint="eastAsia" w:ascii="宋体" w:hAnsi="宋体" w:cs="宋体"/>
          <w:b/>
          <w:bCs/>
          <w:kern w:val="0"/>
          <w:sz w:val="32"/>
          <w:szCs w:val="28"/>
        </w:rPr>
        <w:t>磋商响应文件的递交</w:t>
      </w:r>
      <w:bookmarkEnd w:id="53"/>
      <w:bookmarkEnd w:id="54"/>
      <w:bookmarkEnd w:id="55"/>
      <w:bookmarkEnd w:id="56"/>
    </w:p>
    <w:bookmarkEnd w:id="48"/>
    <w:p>
      <w:pPr>
        <w:pStyle w:val="5"/>
        <w:numPr>
          <w:ilvl w:val="0"/>
          <w:numId w:val="10"/>
        </w:numPr>
        <w:ind w:firstLine="562" w:firstLineChars="200"/>
        <w:rPr>
          <w:rFonts w:ascii="宋体" w:hAnsi="宋体" w:cs="宋体"/>
        </w:rPr>
      </w:pPr>
      <w:bookmarkStart w:id="57" w:name="_Toc3685"/>
      <w:r>
        <w:rPr>
          <w:rFonts w:hint="eastAsia" w:ascii="宋体" w:hAnsi="宋体" w:cs="宋体"/>
        </w:rPr>
        <w:t>磋商响应文件递交</w:t>
      </w:r>
      <w:bookmarkEnd w:id="57"/>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pPr>
        <w:pStyle w:val="5"/>
        <w:numPr>
          <w:ilvl w:val="0"/>
          <w:numId w:val="10"/>
        </w:numPr>
        <w:ind w:firstLine="562" w:firstLineChars="200"/>
        <w:rPr>
          <w:rFonts w:ascii="宋体" w:hAnsi="宋体" w:cs="宋体"/>
        </w:rPr>
      </w:pPr>
      <w:bookmarkStart w:id="58" w:name="_Toc12741"/>
      <w:r>
        <w:rPr>
          <w:rFonts w:hint="eastAsia" w:ascii="宋体" w:hAnsi="宋体" w:cs="宋体"/>
        </w:rPr>
        <w:t>磋商响应文件的修改和撤回</w:t>
      </w:r>
      <w:bookmarkEnd w:id="58"/>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在磋商截止时间之后，供应商不得对其递交的磋商响应文件做任何修改或撤回。</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59" w:name="_Toc30333"/>
      <w:bookmarkStart w:id="60" w:name="_Toc14415"/>
      <w:bookmarkStart w:id="61" w:name="_Toc29204"/>
      <w:bookmarkStart w:id="62" w:name="_Toc27217"/>
      <w:bookmarkStart w:id="63" w:name="_Toc27066"/>
      <w:r>
        <w:rPr>
          <w:rFonts w:hint="eastAsia" w:ascii="宋体" w:hAnsi="宋体" w:cs="宋体"/>
          <w:b/>
          <w:bCs/>
          <w:kern w:val="0"/>
          <w:sz w:val="32"/>
          <w:szCs w:val="28"/>
        </w:rPr>
        <w:t>磋商、评审、定标</w:t>
      </w:r>
      <w:bookmarkEnd w:id="59"/>
      <w:bookmarkEnd w:id="60"/>
      <w:bookmarkEnd w:id="61"/>
      <w:bookmarkEnd w:id="62"/>
      <w:bookmarkEnd w:id="63"/>
    </w:p>
    <w:p>
      <w:pPr>
        <w:pStyle w:val="5"/>
        <w:numPr>
          <w:ilvl w:val="0"/>
          <w:numId w:val="11"/>
        </w:numPr>
        <w:ind w:firstLine="562" w:firstLineChars="200"/>
        <w:rPr>
          <w:rFonts w:ascii="宋体" w:hAnsi="宋体" w:cs="宋体"/>
        </w:rPr>
      </w:pPr>
      <w:r>
        <w:rPr>
          <w:rFonts w:hint="eastAsia" w:ascii="宋体" w:hAnsi="宋体" w:cs="宋体"/>
        </w:rPr>
        <w:t>磋商</w:t>
      </w:r>
    </w:p>
    <w:p>
      <w:pPr>
        <w:widowControl/>
        <w:tabs>
          <w:tab w:val="left" w:pos="0"/>
        </w:tabs>
        <w:spacing w:line="500" w:lineRule="exact"/>
        <w:ind w:firstLine="480" w:firstLineChars="200"/>
        <w:jc w:val="left"/>
        <w:rPr>
          <w:rFonts w:ascii="宋体"/>
          <w:sz w:val="24"/>
          <w:szCs w:val="24"/>
        </w:rPr>
      </w:pPr>
      <w:r>
        <w:rPr>
          <w:rFonts w:hint="eastAsia" w:ascii="宋体" w:hAnsi="宋体" w:cs="宋体"/>
          <w:sz w:val="24"/>
          <w:szCs w:val="24"/>
        </w:rPr>
        <w:t>1.1采购代理机构按磋商公告中规定的时间和地点接收供应商递交的响应文件，主持磋商会议，邀请供应商代表参加。</w:t>
      </w:r>
    </w:p>
    <w:p>
      <w:pPr>
        <w:widowControl/>
        <w:tabs>
          <w:tab w:val="left" w:pos="0"/>
        </w:tabs>
        <w:spacing w:line="500" w:lineRule="exact"/>
        <w:ind w:firstLine="480" w:firstLineChars="200"/>
        <w:jc w:val="left"/>
        <w:rPr>
          <w:rFonts w:ascii="宋体" w:hAnsi="宋体" w:cs="宋体"/>
          <w:color w:val="000000"/>
          <w:sz w:val="24"/>
        </w:rPr>
      </w:pPr>
      <w:r>
        <w:rPr>
          <w:rFonts w:ascii="宋体" w:hAnsi="宋体" w:cs="宋体"/>
          <w:sz w:val="24"/>
          <w:szCs w:val="24"/>
        </w:rPr>
        <w:t xml:space="preserve">1.2 </w:t>
      </w:r>
      <w:r>
        <w:rPr>
          <w:rFonts w:hint="eastAsia" w:ascii="宋体" w:hAnsi="宋体" w:cs="宋体"/>
          <w:sz w:val="24"/>
          <w:szCs w:val="24"/>
        </w:rPr>
        <w:t>磋商时，由供应商或者其推选的代表检查响应文件的密封情况；经确认无误后，由采购代理机构工作人员拆封。代理机构指定专人负责将供应商的名称、项目名称、响应价格等进行记录，并存档备案。</w:t>
      </w:r>
    </w:p>
    <w:p>
      <w:pPr>
        <w:tabs>
          <w:tab w:val="left" w:pos="0"/>
        </w:tabs>
        <w:spacing w:line="360" w:lineRule="auto"/>
        <w:ind w:firstLine="480" w:firstLineChars="200"/>
        <w:jc w:val="left"/>
        <w:rPr>
          <w:rFonts w:ascii="宋体" w:hAnsi="宋体" w:cs="宋体"/>
          <w:kern w:val="0"/>
          <w:sz w:val="24"/>
        </w:rPr>
      </w:pPr>
      <w:r>
        <w:rPr>
          <w:rFonts w:hint="eastAsia" w:ascii="宋体" w:hAnsi="宋体" w:cs="宋体"/>
          <w:kern w:val="0"/>
          <w:sz w:val="24"/>
        </w:rPr>
        <w:t>1.3磋商时，磋商响应文件中出现下列情况，修正原则为：</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磋商文件中磋商一览表（报价表）内容与响应文件中相应内容不一致的，以磋商一览表（报价表）为准；报价精确到小数点后两位，不进行四舍五入；</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单价金额小数点或者百分比有明显错位的，以磋商一览表的总价为准，并修改单价；</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响应文件正本与副本不一致的，以正本为准；</w:t>
      </w:r>
    </w:p>
    <w:p>
      <w:pPr>
        <w:widowControl/>
        <w:numPr>
          <w:ilvl w:val="0"/>
          <w:numId w:val="12"/>
        </w:numPr>
        <w:tabs>
          <w:tab w:val="left" w:pos="0"/>
        </w:tabs>
        <w:spacing w:line="500" w:lineRule="exact"/>
        <w:jc w:val="left"/>
        <w:rPr>
          <w:rFonts w:ascii="宋体" w:hAnsi="宋体" w:cs="宋体"/>
          <w:sz w:val="24"/>
          <w:szCs w:val="24"/>
        </w:rPr>
      </w:pPr>
      <w:r>
        <w:rPr>
          <w:rFonts w:hint="eastAsia" w:ascii="宋体" w:hAnsi="宋体" w:cs="宋体"/>
          <w:sz w:val="24"/>
          <w:szCs w:val="24"/>
        </w:rPr>
        <w:t>磋商响应文件中单独密封递交的磋商一览表内容与磋商响应文件中明细表内容与正本不一致的，以单独密封递交的磋商一览表为准。</w:t>
      </w:r>
    </w:p>
    <w:p>
      <w:pPr>
        <w:spacing w:line="500" w:lineRule="exact"/>
        <w:ind w:firstLine="480" w:firstLineChars="200"/>
        <w:jc w:val="left"/>
        <w:rPr>
          <w:rFonts w:ascii="宋体" w:hAnsi="宋体" w:cs="宋体"/>
          <w:sz w:val="24"/>
          <w:szCs w:val="24"/>
        </w:rPr>
      </w:pPr>
      <w:r>
        <w:rPr>
          <w:rFonts w:hint="eastAsia" w:ascii="宋体" w:hAnsi="宋体" w:cs="宋体"/>
          <w:kern w:val="0"/>
          <w:sz w:val="24"/>
          <w:szCs w:val="24"/>
        </w:rPr>
        <w:t>同时出现两种以上不一致的，按照前款规定的顺序修正。修正后的报价按照</w:t>
      </w:r>
      <w:r>
        <w:rPr>
          <w:rFonts w:hint="eastAsia" w:ascii="宋体" w:hAnsi="宋体" w:cs="宋体"/>
          <w:sz w:val="24"/>
        </w:rPr>
        <w:t>《政府采购竞争性磋商采购方式管理暂行办法》</w:t>
      </w:r>
      <w:r>
        <w:rPr>
          <w:rFonts w:hint="eastAsia" w:ascii="宋体" w:hAnsi="宋体" w:cs="宋体"/>
          <w:kern w:val="0"/>
          <w:sz w:val="24"/>
          <w:szCs w:val="24"/>
        </w:rPr>
        <w:t>的规定经供应商确认后产生约束力，供应商不确认的，其响应无效。</w:t>
      </w:r>
    </w:p>
    <w:p>
      <w:pPr>
        <w:pStyle w:val="5"/>
        <w:numPr>
          <w:ilvl w:val="0"/>
          <w:numId w:val="11"/>
        </w:numPr>
        <w:rPr>
          <w:rFonts w:ascii="宋体" w:hAnsi="宋体" w:cs="宋体"/>
        </w:rPr>
      </w:pPr>
      <w:r>
        <w:rPr>
          <w:rFonts w:hint="eastAsia" w:ascii="宋体" w:hAnsi="宋体" w:cs="宋体"/>
        </w:rPr>
        <w:t>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2.1采购人将根据本次采购项目的特点，参照《中华人民共和国政府采购法》及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2.2磋商小组由采购人代表和有关技术、经济等方面的专家组成，磋商小组产生方式符合国家和地方有关评审专家产生方式的规定。磋商小组负责评审活动。</w:t>
      </w:r>
    </w:p>
    <w:p>
      <w:pPr>
        <w:widowControl/>
        <w:spacing w:line="360" w:lineRule="auto"/>
        <w:ind w:firstLine="480" w:firstLineChars="200"/>
        <w:rPr>
          <w:rFonts w:ascii="宋体" w:hAnsi="宋体" w:cs="宋体"/>
          <w:b/>
          <w:sz w:val="24"/>
          <w:szCs w:val="24"/>
        </w:rPr>
      </w:pPr>
      <w:r>
        <w:rPr>
          <w:rFonts w:hint="eastAsia" w:ascii="宋体" w:hAnsi="宋体" w:cs="宋体"/>
          <w:kern w:val="0"/>
          <w:sz w:val="24"/>
        </w:rPr>
        <w:t>2.3磋商小组对各供应商的磋商响应文件进行审查、评估和比较，并推荐出成交候选人。</w:t>
      </w:r>
    </w:p>
    <w:p>
      <w:pPr>
        <w:pStyle w:val="5"/>
        <w:numPr>
          <w:ilvl w:val="0"/>
          <w:numId w:val="11"/>
        </w:numPr>
        <w:rPr>
          <w:rFonts w:ascii="宋体" w:hAnsi="宋体" w:cs="宋体"/>
        </w:rPr>
      </w:pPr>
      <w:bookmarkStart w:id="64" w:name="_Toc386129876"/>
      <w:bookmarkStart w:id="65" w:name="_Toc27940"/>
      <w:bookmarkStart w:id="66" w:name="_Toc385958808"/>
      <w:bookmarkStart w:id="67" w:name="_Toc28085"/>
      <w:r>
        <w:rPr>
          <w:rFonts w:hint="eastAsia" w:ascii="宋体" w:hAnsi="宋体" w:cs="宋体"/>
        </w:rPr>
        <w:t>磋商响应文件初审</w:t>
      </w:r>
      <w:bookmarkEnd w:id="64"/>
      <w:bookmarkEnd w:id="65"/>
      <w:bookmarkEnd w:id="66"/>
      <w:bookmarkEnd w:id="67"/>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3.1磋商响应文件的资格性审查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rPr>
        <w:t>依据法律法规和竞争性磋商文件的规定，资格审查由磋商小组对响应文件中的资格证明文件等进行审查，</w:t>
      </w:r>
      <w:r>
        <w:rPr>
          <w:rFonts w:hint="eastAsia" w:ascii="宋体" w:hAnsi="宋体" w:cs="宋体"/>
          <w:b/>
          <w:bCs/>
          <w:kern w:val="0"/>
          <w:sz w:val="24"/>
          <w:szCs w:val="24"/>
        </w:rPr>
        <w:t>供应商应按照磋商文件第二部分供应商须知前附表8、资格要求提交资格证明材料，以确保供应商是否具备相应资格。</w:t>
      </w:r>
      <w:r>
        <w:rPr>
          <w:rFonts w:hint="eastAsia" w:ascii="宋体" w:hAnsi="宋体" w:cs="宋体"/>
          <w:kern w:val="0"/>
          <w:sz w:val="24"/>
          <w:szCs w:val="24"/>
        </w:rPr>
        <w:t>未通过资格审查的供应商不得进入评审，其响应将被认定为无效。</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3.2磋商响应文件符合性审查 </w:t>
      </w:r>
    </w:p>
    <w:p>
      <w:pPr>
        <w:overflowPunct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依据竞争性磋商文件的规定，从磋商响应文件的有效性、完整性和对竞争性磋商文件的响应程度进行审查，以确定是否对竞争性磋商文件的实质性内容作出响应，下列情况有一项不</w:t>
      </w:r>
      <w:r>
        <w:rPr>
          <w:rFonts w:hint="eastAsia" w:ascii="宋体" w:hAnsi="宋体" w:cs="宋体"/>
          <w:kern w:val="0"/>
          <w:sz w:val="24"/>
          <w:szCs w:val="24"/>
        </w:rPr>
        <w:t>满足者（但不限于）不得进入下一轮评审：</w:t>
      </w:r>
    </w:p>
    <w:tbl>
      <w:tblPr>
        <w:tblStyle w:val="24"/>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7"/>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restart"/>
            <w:vAlign w:val="center"/>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符合性</w:t>
            </w:r>
          </w:p>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审查</w:t>
            </w: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1</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供应商名称是否与营业执照、资质证书一致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2</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3</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响应文件签字、盖章是否满足招标文件要求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4</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磋商有效期是否满足磋商文件要求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5</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szCs w:val="21"/>
              </w:rPr>
              <w:t>与磋商文件商务要求条款不一致或增加了采购人难以接受的条款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6</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是否符合法律法规和磋商文件规定的其他实质性要求</w:t>
            </w:r>
          </w:p>
        </w:tc>
      </w:tr>
    </w:tbl>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3.3经过对供应商及磋商响应文件审查，出现下列情况者（但不限于），视为未响应磋商文件实质性条款，其响应文件按无效处理。</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供应商的响应报价超过采购预算或最高限价；</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供应商未经过正常渠道购买竞争性磋商文件，或供应商名称与购买竞争性磋商文件时登记的供应商名称不符的；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磋商响应文件的签署、盖章不符合竞争性磋商文件要求；无磋商有效期或有效期达不到竞争性磋商文件要求的；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供应商未按竞争性磋商文件要求提供产品的技术参数及产品供货渠道不明确的；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响应报价出现漏项或与采购要求不符的；</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经磋商小组一致认定响应产品的技术参数、性能指标与竞争性磋商文件要求出现重大负偏差的；或者提供虚假证明（包括第三方的虚假证明），除按无效文件处理外，还将按照政府采购法的有关规定进行处罚；</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磋商响应文件在商务响应方面（付款方式、服务期、服务承诺、验收条件等）与竞争性磋商文件要求不一致或附加了采购单位难以接受的条件或条款的；</w:t>
      </w:r>
    </w:p>
    <w:p>
      <w:pPr>
        <w:numPr>
          <w:ilvl w:val="0"/>
          <w:numId w:val="13"/>
        </w:numPr>
        <w:spacing w:line="360" w:lineRule="auto"/>
        <w:ind w:firstLine="480" w:firstLineChars="200"/>
        <w:rPr>
          <w:rFonts w:ascii="宋体" w:hAnsi="宋体" w:cs="宋体"/>
          <w:kern w:val="0"/>
          <w:sz w:val="24"/>
        </w:rPr>
      </w:pPr>
      <w:r>
        <w:rPr>
          <w:rFonts w:hint="eastAsia" w:ascii="宋体" w:hAnsi="宋体" w:cs="宋体"/>
          <w:sz w:val="24"/>
        </w:rPr>
        <w:t>如澄清、补正、说明的内容与磋商响应文件内容有重大相悖或矛盾，将被认定为无效磋商。</w:t>
      </w:r>
    </w:p>
    <w:p>
      <w:pPr>
        <w:pStyle w:val="5"/>
        <w:numPr>
          <w:ilvl w:val="0"/>
          <w:numId w:val="11"/>
        </w:numPr>
        <w:rPr>
          <w:rFonts w:ascii="宋体" w:hAnsi="宋体" w:cs="宋体"/>
        </w:rPr>
      </w:pPr>
      <w:bookmarkStart w:id="68" w:name="_Toc17705"/>
      <w:r>
        <w:rPr>
          <w:rFonts w:hint="eastAsia" w:ascii="宋体" w:hAnsi="宋体" w:cs="宋体"/>
        </w:rPr>
        <w:t>磋商响应文件澄清</w:t>
      </w:r>
      <w:bookmarkEnd w:id="68"/>
    </w:p>
    <w:p>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pPr>
        <w:pStyle w:val="5"/>
        <w:numPr>
          <w:ilvl w:val="0"/>
          <w:numId w:val="11"/>
        </w:numPr>
        <w:rPr>
          <w:rFonts w:ascii="宋体" w:hAnsi="宋体" w:cs="宋体"/>
        </w:rPr>
      </w:pPr>
      <w:r>
        <w:rPr>
          <w:rFonts w:hint="eastAsia" w:ascii="宋体" w:hAnsi="宋体" w:cs="宋体"/>
        </w:rPr>
        <w:t>评审</w:t>
      </w:r>
    </w:p>
    <w:p>
      <w:pPr>
        <w:spacing w:line="360" w:lineRule="auto"/>
        <w:ind w:firstLine="480" w:firstLineChars="200"/>
        <w:rPr>
          <w:rFonts w:ascii="宋体" w:hAnsi="宋体" w:cs="宋体"/>
          <w:sz w:val="24"/>
        </w:rPr>
      </w:pPr>
      <w:bookmarkStart w:id="69" w:name="_Toc12947"/>
      <w:r>
        <w:rPr>
          <w:rFonts w:hint="eastAsia" w:ascii="宋体" w:hAnsi="宋体" w:cs="宋体"/>
          <w:sz w:val="24"/>
        </w:rPr>
        <w:t xml:space="preserve">5.1磋商小组有权对在磋商、评审过程中出现的一切问题，根据《中华人民共和国政府采购法》和《政府采购竞争性磋商采购方式管理暂行办法》的条款，本着公开、公平、公正的原则进行处理。 </w:t>
      </w:r>
    </w:p>
    <w:p>
      <w:pPr>
        <w:spacing w:line="360" w:lineRule="auto"/>
        <w:ind w:firstLine="480" w:firstLineChars="200"/>
        <w:rPr>
          <w:rFonts w:ascii="宋体" w:hAnsi="宋体" w:cs="宋体"/>
          <w:sz w:val="24"/>
        </w:rPr>
      </w:pPr>
      <w:r>
        <w:rPr>
          <w:rFonts w:hint="eastAsia" w:ascii="宋体" w:hAnsi="宋体" w:cs="宋体"/>
          <w:sz w:val="24"/>
        </w:rPr>
        <w:t>5.2磋商流程</w:t>
      </w:r>
    </w:p>
    <w:p>
      <w:pPr>
        <w:numPr>
          <w:ilvl w:val="0"/>
          <w:numId w:val="14"/>
        </w:numPr>
        <w:spacing w:line="360" w:lineRule="auto"/>
        <w:rPr>
          <w:rFonts w:ascii="宋体" w:hAnsi="宋体" w:cs="宋体"/>
          <w:sz w:val="24"/>
        </w:rPr>
      </w:pPr>
      <w:r>
        <w:rPr>
          <w:rFonts w:hint="eastAsia" w:ascii="宋体" w:hAnsi="宋体" w:cs="宋体"/>
          <w:sz w:val="24"/>
        </w:rPr>
        <w:t>磋商小组先对供应商作资格性/符合性审查，只有通过资格性/符合性审查的供应商，才能进入第二阶段的磋商，否则被淘汰。</w:t>
      </w:r>
    </w:p>
    <w:p>
      <w:pPr>
        <w:numPr>
          <w:ilvl w:val="0"/>
          <w:numId w:val="14"/>
        </w:numPr>
        <w:spacing w:line="360" w:lineRule="auto"/>
        <w:rPr>
          <w:rFonts w:ascii="宋体" w:hAnsi="宋体" w:cs="宋体"/>
          <w:sz w:val="24"/>
        </w:rPr>
      </w:pPr>
      <w:r>
        <w:rPr>
          <w:rFonts w:hint="eastAsia" w:ascii="宋体" w:hAnsi="宋体" w:cs="宋体"/>
          <w:sz w:val="24"/>
        </w:rPr>
        <w:t>磋商小组所有成员集中与单一供应商分别进行磋商（磋商轮次为二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14"/>
        </w:numPr>
        <w:spacing w:line="360" w:lineRule="auto"/>
        <w:rPr>
          <w:rFonts w:ascii="宋体" w:hAnsi="宋体" w:cs="宋体"/>
          <w:sz w:val="24"/>
        </w:rPr>
      </w:pPr>
      <w:r>
        <w:rPr>
          <w:rFonts w:hint="eastAsia" w:ascii="宋体" w:hAnsi="宋体" w:cs="宋体"/>
          <w:kern w:val="0"/>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投标。</w:t>
      </w:r>
    </w:p>
    <w:p>
      <w:pPr>
        <w:numPr>
          <w:ilvl w:val="0"/>
          <w:numId w:val="14"/>
        </w:numPr>
        <w:spacing w:line="360" w:lineRule="auto"/>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numPr>
          <w:ilvl w:val="0"/>
          <w:numId w:val="14"/>
        </w:numPr>
        <w:spacing w:line="360" w:lineRule="auto"/>
        <w:rPr>
          <w:rFonts w:ascii="宋体" w:hAns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pPr>
        <w:widowControl/>
        <w:numPr>
          <w:ilvl w:val="0"/>
          <w:numId w:val="14"/>
        </w:numPr>
        <w:spacing w:line="360" w:lineRule="auto"/>
        <w:jc w:val="left"/>
        <w:rPr>
          <w:rFonts w:ascii="宋体" w:hAns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磋商小组第四部分评分标准规定的各项因素进行比较、自主打分、综合评审。磋商小组将评审得分汇总后，按评审总得分由高到低汇总排序，推荐1～3名成交候选人；</w:t>
      </w:r>
      <w:r>
        <w:rPr>
          <w:rFonts w:hint="eastAsia" w:ascii="宋体" w:hAnsi="宋体" w:cs="宋体"/>
          <w:sz w:val="24"/>
          <w:szCs w:val="24"/>
        </w:rPr>
        <w:t>评审得分相同的，按照最后报价由低到高的顺序推荐。评审得分且最后报价相同的，按照技术指标优劣顺序推荐。</w:t>
      </w:r>
    </w:p>
    <w:p>
      <w:pPr>
        <w:pStyle w:val="5"/>
        <w:numPr>
          <w:ilvl w:val="0"/>
          <w:numId w:val="11"/>
        </w:numPr>
        <w:rPr>
          <w:rFonts w:ascii="宋体" w:hAnsi="宋体" w:cs="宋体"/>
        </w:rPr>
      </w:pPr>
      <w:r>
        <w:rPr>
          <w:rFonts w:hint="eastAsia" w:ascii="宋体" w:hAnsi="宋体" w:cs="宋体"/>
        </w:rPr>
        <w:t>定标</w:t>
      </w:r>
      <w:bookmarkEnd w:id="69"/>
    </w:p>
    <w:p>
      <w:pPr>
        <w:spacing w:line="360" w:lineRule="auto"/>
        <w:ind w:left="420"/>
        <w:jc w:val="left"/>
        <w:rPr>
          <w:rFonts w:ascii="宋体" w:hAnsi="宋体" w:cs="宋体"/>
          <w:sz w:val="24"/>
        </w:rPr>
      </w:pPr>
      <w:r>
        <w:rPr>
          <w:rFonts w:hint="eastAsia" w:ascii="宋体" w:hAnsi="宋体" w:cs="宋体"/>
          <w:sz w:val="24"/>
        </w:rPr>
        <w:t>6.1代理机构在评审结束后1个工作日内将评审报告送达采购单位，采购单</w:t>
      </w:r>
    </w:p>
    <w:p>
      <w:pPr>
        <w:spacing w:line="360" w:lineRule="auto"/>
        <w:jc w:val="left"/>
        <w:rPr>
          <w:rFonts w:ascii="宋体" w:hAnsi="宋体" w:cs="宋体"/>
          <w:sz w:val="24"/>
        </w:rPr>
      </w:pPr>
      <w:r>
        <w:rPr>
          <w:rFonts w:hint="eastAsia" w:ascii="宋体" w:hAnsi="宋体" w:cs="宋体"/>
          <w:sz w:val="24"/>
        </w:rPr>
        <w:t>位在收到评审报告后4个工作日内，按照评审报告中推荐的成交候选人顺序确认第一成交候选人为成交单位，同时书面复函代理机构；</w:t>
      </w:r>
    </w:p>
    <w:p>
      <w:pPr>
        <w:spacing w:line="360" w:lineRule="auto"/>
        <w:ind w:firstLine="420" w:firstLineChars="175"/>
        <w:rPr>
          <w:rFonts w:ascii="宋体" w:hAnsi="宋体" w:cs="宋体"/>
          <w:sz w:val="24"/>
        </w:rPr>
      </w:pPr>
      <w:r>
        <w:rPr>
          <w:rFonts w:hint="eastAsia" w:ascii="宋体" w:hAnsi="宋体" w:cs="宋体"/>
          <w:sz w:val="24"/>
        </w:rPr>
        <w:t>6.2代理机构收到采购单位“成交复函”后1个工作日内，在财政部门指定的政府采购信息媒体上发布公告，并向成交供应商发出“成交通知书”。</w:t>
      </w:r>
    </w:p>
    <w:p>
      <w:pPr>
        <w:pStyle w:val="5"/>
        <w:ind w:left="420"/>
        <w:rPr>
          <w:rFonts w:eastAsiaTheme="minorEastAsia"/>
        </w:rPr>
      </w:pPr>
      <w:r>
        <w:rPr>
          <w:rFonts w:hint="eastAsia"/>
        </w:rPr>
        <w:t>7、政府采购信用融资</w:t>
      </w:r>
    </w:p>
    <w:p>
      <w:pPr>
        <w:spacing w:line="360" w:lineRule="auto"/>
        <w:ind w:firstLine="480" w:firstLineChars="200"/>
        <w:jc w:val="left"/>
        <w:rPr>
          <w:rFonts w:ascii="宋体" w:hAnsi="宋体" w:cs="宋体"/>
          <w:sz w:val="24"/>
        </w:rPr>
      </w:pPr>
      <w:r>
        <w:rPr>
          <w:rFonts w:hint="eastAsia" w:ascii="宋体" w:hAnsi="宋体" w:cs="宋体"/>
          <w:sz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w:t>
      </w:r>
      <w:r>
        <w:rPr>
          <w:rFonts w:hint="eastAsia" w:ascii="宋体" w:hAnsi="宋体" w:cs="宋体"/>
          <w:sz w:val="24"/>
        </w:rPr>
        <w:drawing>
          <wp:inline distT="0" distB="0" distL="114300" distR="114300">
            <wp:extent cx="190500" cy="142875"/>
            <wp:effectExtent l="0" t="0" r="7620" b="9525"/>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18"/>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sz w:val="24"/>
        </w:rPr>
        <w:t>http://xaczj.xa.gov.cn/zfcg/cgfg/5db9054565cbd804f69e97e0.html中《西安市财政局关于进一步做好政府采购信用担保及信用融资工作有关事宜的通知》）。投标供应商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市财政局网站(</w:t>
      </w:r>
      <w:r>
        <w:rPr>
          <w:rFonts w:hint="eastAsia" w:ascii="宋体" w:hAnsi="宋体" w:cs="宋体"/>
          <w:sz w:val="24"/>
        </w:rPr>
        <w:drawing>
          <wp:inline distT="0" distB="0" distL="114300" distR="114300">
            <wp:extent cx="190500" cy="142875"/>
            <wp:effectExtent l="0" t="0" r="7620" b="9525"/>
            <wp:docPr id="1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IMG_257"/>
                    <pic:cNvPicPr>
                      <a:picLocks noChangeAspect="1"/>
                    </pic:cNvPicPr>
                  </pic:nvPicPr>
                  <pic:blipFill>
                    <a:blip r:embed="rId18"/>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sz w:val="24"/>
        </w:rPr>
        <w:t>http://xaczj.xa.gov.cn/)政府采购专栏中查询了解。</w:t>
      </w:r>
    </w:p>
    <w:p>
      <w:pPr>
        <w:pStyle w:val="4"/>
        <w:numPr>
          <w:ilvl w:val="0"/>
          <w:numId w:val="15"/>
        </w:numPr>
      </w:pPr>
      <w:bookmarkStart w:id="70" w:name="_Toc7667"/>
      <w:bookmarkStart w:id="71" w:name="_Toc3314"/>
      <w:r>
        <w:rPr>
          <w:rFonts w:hint="eastAsia"/>
        </w:rPr>
        <w:t>履约验收</w:t>
      </w:r>
      <w:bookmarkEnd w:id="70"/>
      <w:bookmarkEnd w:id="71"/>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pPr>
      <w:r>
        <w:rPr>
          <w:rFonts w:hint="eastAsia" w:asciiTheme="minorEastAsia" w:hAnsiTheme="minorEastAsia" w:cstheme="minorEastAsia"/>
          <w:sz w:val="24"/>
          <w:szCs w:val="24"/>
        </w:rPr>
        <w:t>2、履约验收的费用及要求详见“供应商须知前附表”。</w:t>
      </w:r>
    </w:p>
    <w:p/>
    <w:p>
      <w:pPr>
        <w:widowControl/>
        <w:spacing w:line="360" w:lineRule="auto"/>
        <w:jc w:val="center"/>
        <w:outlineLvl w:val="1"/>
        <w:rPr>
          <w:rFonts w:ascii="宋体" w:hAnsi="宋体" w:cs="宋体"/>
          <w:b/>
          <w:bCs/>
          <w:kern w:val="0"/>
          <w:sz w:val="32"/>
          <w:szCs w:val="28"/>
        </w:rPr>
      </w:pPr>
      <w:bookmarkStart w:id="72" w:name="_Toc13067"/>
      <w:bookmarkStart w:id="73" w:name="_Toc21006"/>
      <w:r>
        <w:rPr>
          <w:rFonts w:hint="eastAsia" w:ascii="宋体" w:hAnsi="宋体" w:cs="宋体"/>
          <w:b/>
          <w:bCs/>
          <w:kern w:val="0"/>
          <w:sz w:val="32"/>
          <w:szCs w:val="28"/>
        </w:rPr>
        <w:t>七、签订合同</w:t>
      </w:r>
      <w:bookmarkEnd w:id="72"/>
      <w:bookmarkEnd w:id="73"/>
    </w:p>
    <w:p>
      <w:pPr>
        <w:spacing w:line="360" w:lineRule="auto"/>
        <w:ind w:firstLine="480" w:firstLineChars="200"/>
        <w:jc w:val="left"/>
        <w:rPr>
          <w:rFonts w:ascii="宋体" w:hAnsi="宋体" w:cs="宋体"/>
          <w:sz w:val="24"/>
        </w:rPr>
      </w:pPr>
      <w:r>
        <w:rPr>
          <w:rFonts w:hint="eastAsia" w:ascii="宋体" w:hAnsi="宋体" w:cs="宋体"/>
          <w:sz w:val="24"/>
        </w:rPr>
        <w:t>1、成交后，成交供应商与采购人洽谈合同条款，并签订供货合同，同时送</w:t>
      </w:r>
    </w:p>
    <w:p>
      <w:pPr>
        <w:spacing w:line="360" w:lineRule="auto"/>
        <w:jc w:val="left"/>
        <w:rPr>
          <w:rFonts w:ascii="宋体" w:hAnsi="宋体" w:cs="宋体"/>
          <w:sz w:val="24"/>
        </w:rPr>
      </w:pPr>
      <w:r>
        <w:rPr>
          <w:rFonts w:hint="eastAsia" w:ascii="宋体" w:hAnsi="宋体" w:cs="宋体"/>
          <w:sz w:val="24"/>
        </w:rPr>
        <w:t>代理机构归档，竞争性磋商文件及成交供应商的磋商响应文件均作为合同的组成部分。</w:t>
      </w:r>
    </w:p>
    <w:p>
      <w:pPr>
        <w:spacing w:line="360" w:lineRule="auto"/>
        <w:ind w:firstLine="480" w:firstLineChars="200"/>
        <w:jc w:val="left"/>
        <w:rPr>
          <w:rFonts w:ascii="宋体" w:hAnsi="宋体" w:cs="宋体"/>
          <w:sz w:val="24"/>
        </w:rPr>
      </w:pPr>
      <w:r>
        <w:rPr>
          <w:rFonts w:hint="eastAsia" w:ascii="宋体" w:hAnsi="宋体" w:cs="宋体"/>
          <w:sz w:val="24"/>
        </w:rPr>
        <w:t>2、根据需要，代理机构应协助采购人监督、协调和处理履约过程中出现的</w:t>
      </w:r>
    </w:p>
    <w:p>
      <w:pPr>
        <w:spacing w:line="360" w:lineRule="auto"/>
        <w:jc w:val="left"/>
        <w:rPr>
          <w:rFonts w:ascii="宋体" w:hAnsi="宋体" w:cs="宋体"/>
          <w:sz w:val="24"/>
        </w:rPr>
      </w:pPr>
      <w:r>
        <w:rPr>
          <w:rFonts w:hint="eastAsia" w:ascii="宋体" w:hAnsi="宋体" w:cs="宋体"/>
          <w:sz w:val="24"/>
        </w:rPr>
        <w:t>问题。</w:t>
      </w:r>
    </w:p>
    <w:p>
      <w:pPr>
        <w:spacing w:line="360" w:lineRule="auto"/>
        <w:ind w:firstLine="480" w:firstLineChars="200"/>
        <w:jc w:val="left"/>
        <w:rPr>
          <w:rFonts w:ascii="宋体" w:hAnsi="宋体" w:cs="宋体"/>
          <w:sz w:val="24"/>
        </w:rPr>
      </w:pPr>
      <w:r>
        <w:rPr>
          <w:rFonts w:hint="eastAsia" w:ascii="宋体" w:hAnsi="宋体" w:cs="宋体"/>
          <w:sz w:val="24"/>
        </w:rPr>
        <w:t>3、西安市财政局采购处在合同履行期间以及履行期后，可以随时检查项目的执行情况，对采购标准、采购内容进行调查核实，并对发现的问题进行处理。</w:t>
      </w:r>
    </w:p>
    <w:p>
      <w:pPr>
        <w:widowControl/>
        <w:spacing w:line="360" w:lineRule="auto"/>
        <w:jc w:val="center"/>
        <w:outlineLvl w:val="1"/>
        <w:rPr>
          <w:rFonts w:ascii="宋体" w:hAnsi="宋体" w:cs="宋体"/>
          <w:b/>
          <w:bCs/>
          <w:kern w:val="0"/>
          <w:sz w:val="32"/>
          <w:szCs w:val="28"/>
        </w:rPr>
      </w:pPr>
      <w:bookmarkStart w:id="74" w:name="_Toc4873"/>
      <w:bookmarkStart w:id="75" w:name="_Toc31379"/>
      <w:r>
        <w:rPr>
          <w:rFonts w:hint="eastAsia" w:ascii="宋体" w:hAnsi="宋体" w:cs="宋体"/>
          <w:b/>
          <w:bCs/>
          <w:kern w:val="0"/>
          <w:sz w:val="32"/>
          <w:szCs w:val="28"/>
        </w:rPr>
        <w:t>八、代理服务费</w:t>
      </w:r>
      <w:bookmarkEnd w:id="74"/>
      <w:bookmarkEnd w:id="75"/>
    </w:p>
    <w:p>
      <w:pPr>
        <w:spacing w:line="560" w:lineRule="exact"/>
        <w:ind w:firstLine="480" w:firstLineChars="200"/>
        <w:jc w:val="left"/>
        <w:rPr>
          <w:rFonts w:ascii="宋体" w:hAnsi="宋体" w:cs="宋体"/>
          <w:sz w:val="24"/>
          <w:szCs w:val="24"/>
        </w:rPr>
      </w:pPr>
      <w:r>
        <w:rPr>
          <w:rFonts w:hint="eastAsia" w:ascii="宋体" w:hAnsi="宋体" w:cs="宋体"/>
          <w:sz w:val="24"/>
          <w:szCs w:val="24"/>
        </w:rPr>
        <w:t>1、以本采购项目中标价为基数，参照国家计委关于印发《招标代理服务收费管理暂行办法》的通知（计价格[2002]1980号）和发改办价格[2003]857号规定收取；</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widowControl/>
        <w:spacing w:line="360" w:lineRule="auto"/>
        <w:jc w:val="center"/>
        <w:outlineLvl w:val="1"/>
        <w:rPr>
          <w:rFonts w:ascii="宋体" w:hAnsi="宋体" w:cs="宋体"/>
          <w:b/>
          <w:bCs/>
          <w:kern w:val="0"/>
          <w:sz w:val="32"/>
          <w:szCs w:val="28"/>
        </w:rPr>
      </w:pPr>
      <w:bookmarkStart w:id="76" w:name="_Toc27361"/>
      <w:bookmarkStart w:id="77" w:name="_Toc6000"/>
      <w:bookmarkStart w:id="78" w:name="_Toc13674"/>
      <w:bookmarkStart w:id="79" w:name="_Toc14280"/>
      <w:bookmarkStart w:id="80" w:name="_Toc11862"/>
      <w:bookmarkStart w:id="81" w:name="_Toc13048"/>
      <w:r>
        <w:rPr>
          <w:rFonts w:hint="eastAsia" w:ascii="宋体" w:hAnsi="宋体" w:cs="宋体"/>
          <w:b/>
          <w:bCs/>
          <w:kern w:val="0"/>
          <w:sz w:val="32"/>
          <w:szCs w:val="28"/>
        </w:rPr>
        <w:t>九、质疑和投诉</w:t>
      </w:r>
      <w:bookmarkEnd w:id="76"/>
      <w:bookmarkEnd w:id="77"/>
      <w:bookmarkEnd w:id="78"/>
      <w:bookmarkEnd w:id="79"/>
      <w:bookmarkEnd w:id="80"/>
      <w:bookmarkEnd w:id="81"/>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2、质疑文件应当包括下列主要内容：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4）提出质疑的日期。</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3、 质疑函应当署名。质疑供应商为自然人的，应当由本人签字；质疑供应商为法人或者其他组织的，应当由法定代表人或者主要负责人签字盖章并加盖公章。</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4、 供应商质疑应当有明确的请求和必要的证明材料。</w:t>
      </w:r>
      <w:r>
        <w:rPr>
          <w:rFonts w:hint="eastAsia" w:asciiTheme="minorEastAsia" w:hAnsiTheme="minorEastAsia" w:cstheme="minorEastAsia"/>
          <w:color w:val="000000" w:themeColor="text1"/>
          <w:sz w:val="24"/>
          <w:szCs w:val="24"/>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Theme="minorEastAsia" w:hAnsiTheme="minorEastAsia" w:cstheme="minorEastAsia"/>
          <w:sz w:val="24"/>
          <w:szCs w:val="24"/>
        </w:rPr>
        <w:t>其作出解释说明。对捏造事实、滥用维权扰乱采购秩序的恶意质疑者，将依法处理。</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 xml:space="preserve">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19" w:leftChars="9" w:firstLine="458" w:firstLineChars="191"/>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7、质疑受理部门：陕西万泽招标有限公司。</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 提交质疑文件地点：西安市西关正街英达大厦1507室。</w:t>
      </w:r>
    </w:p>
    <w:p>
      <w:pPr>
        <w:tabs>
          <w:tab w:val="left" w:pos="0"/>
          <w:tab w:val="left" w:pos="600"/>
          <w:tab w:val="left" w:pos="4700"/>
        </w:tabs>
        <w:autoSpaceDE w:val="0"/>
        <w:autoSpaceDN w:val="0"/>
        <w:spacing w:line="360" w:lineRule="auto"/>
        <w:ind w:left="599" w:leftChars="228" w:hanging="120" w:hangingChars="50"/>
        <w:textAlignment w:val="bottom"/>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 本次采购活动中，采购代理机构对质疑回复等文件的送达方式为现场取件。</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10、 质疑函应当使用中文。质疑函范本详见财政部制定的范本即招标文件附件六</w:t>
      </w:r>
      <w:r>
        <w:rPr>
          <w:rFonts w:hint="eastAsia" w:asciiTheme="minorEastAsia" w:hAnsiTheme="minorEastAsia" w:cstheme="minorEastAsia"/>
          <w:sz w:val="24"/>
          <w:szCs w:val="24"/>
        </w:rPr>
        <w:t>。</w:t>
      </w:r>
    </w:p>
    <w:p>
      <w:r>
        <w:rPr>
          <w:rFonts w:hint="eastAsia"/>
        </w:rPr>
        <w:br w:type="page"/>
      </w:r>
    </w:p>
    <w:p/>
    <w:p>
      <w:pPr>
        <w:pStyle w:val="3"/>
        <w:keepLines w:val="0"/>
        <w:ind w:firstLine="643" w:firstLineChars="200"/>
      </w:pPr>
      <w:bookmarkStart w:id="82" w:name="_Toc19588"/>
      <w:bookmarkStart w:id="83" w:name="_Toc15087"/>
      <w:bookmarkStart w:id="84" w:name="_Toc10430"/>
      <w:bookmarkStart w:id="85" w:name="_Toc8030"/>
      <w:r>
        <w:rPr>
          <w:rFonts w:hint="eastAsia"/>
        </w:rPr>
        <w:t>第四部分 评审标准</w:t>
      </w:r>
      <w:bookmarkEnd w:id="82"/>
      <w:bookmarkEnd w:id="83"/>
      <w:bookmarkEnd w:id="84"/>
      <w:bookmarkEnd w:id="85"/>
    </w:p>
    <w:p>
      <w:pPr>
        <w:spacing w:line="500" w:lineRule="exact"/>
        <w:ind w:firstLine="480" w:firstLineChars="200"/>
        <w:rPr>
          <w:rFonts w:ascii="宋体" w:hAnsi="宋体" w:cs="宋体"/>
          <w:sz w:val="24"/>
          <w:szCs w:val="24"/>
        </w:rPr>
      </w:pPr>
      <w:r>
        <w:rPr>
          <w:rFonts w:hint="eastAsia" w:ascii="宋体" w:hAnsi="宋体" w:cs="宋体"/>
          <w:sz w:val="24"/>
          <w:szCs w:val="24"/>
        </w:rPr>
        <w:t>本次评标采用综合评分法，综合评分因素的主要因素为价格、技术、业绩、服务等以及对竞争性磋商文件的响应程度。每一供应商的最终得分为所有评委评分的算数平均值。</w:t>
      </w:r>
    </w:p>
    <w:tbl>
      <w:tblPr>
        <w:tblStyle w:val="2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08"/>
        <w:gridCol w:w="1349"/>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内容</w:t>
            </w:r>
          </w:p>
        </w:tc>
        <w:tc>
          <w:tcPr>
            <w:tcW w:w="6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分值</w:t>
            </w:r>
          </w:p>
        </w:tc>
        <w:tc>
          <w:tcPr>
            <w:tcW w:w="13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评分因素</w:t>
            </w:r>
          </w:p>
        </w:tc>
        <w:tc>
          <w:tcPr>
            <w:tcW w:w="5713" w:type="dxa"/>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响应报价</w:t>
            </w:r>
          </w:p>
          <w:p>
            <w:pPr>
              <w:rPr>
                <w:rFonts w:ascii="宋体" w:hAnsi="宋体" w:cs="宋体"/>
                <w:szCs w:val="21"/>
              </w:rPr>
            </w:pPr>
          </w:p>
        </w:tc>
        <w:tc>
          <w:tcPr>
            <w:tcW w:w="6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10分</w:t>
            </w:r>
          </w:p>
        </w:tc>
        <w:tc>
          <w:tcPr>
            <w:tcW w:w="13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评审价格（10分）</w:t>
            </w:r>
          </w:p>
        </w:tc>
        <w:tc>
          <w:tcPr>
            <w:tcW w:w="5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有效响应最低报价为基准价得10分；其他各供应商的报价得分按下列公式计算：（基准价/响应报价）×10%×100。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9" w:type="dxa"/>
            <w:vMerge w:val="restart"/>
            <w:tcBorders>
              <w:top w:val="single" w:color="auto" w:sz="4" w:space="0"/>
              <w:left w:val="single" w:color="auto" w:sz="4" w:space="0"/>
              <w:right w:val="single" w:color="auto" w:sz="4" w:space="0"/>
            </w:tcBorders>
            <w:vAlign w:val="center"/>
          </w:tcPr>
          <w:p>
            <w:pPr>
              <w:ind w:firstLine="480"/>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技术部分</w:t>
            </w:r>
          </w:p>
        </w:tc>
        <w:tc>
          <w:tcPr>
            <w:tcW w:w="608"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69分</w:t>
            </w:r>
          </w:p>
        </w:tc>
        <w:tc>
          <w:tcPr>
            <w:tcW w:w="13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项目需求分析（1</w:t>
            </w:r>
            <w:r>
              <w:rPr>
                <w:rFonts w:ascii="宋体" w:hAnsi="宋体" w:cs="宋体"/>
                <w:szCs w:val="21"/>
              </w:rPr>
              <w:t>5</w:t>
            </w:r>
            <w:r>
              <w:rPr>
                <w:rFonts w:hint="eastAsia" w:ascii="宋体" w:hAnsi="宋体" w:cs="宋体"/>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针对本项目需求进行分析，内容完整详细、理解透彻、全面得</w:t>
            </w:r>
            <w:r>
              <w:rPr>
                <w:rFonts w:ascii="宋体" w:hAnsi="宋体" w:cs="宋体"/>
                <w:szCs w:val="21"/>
              </w:rPr>
              <w:t>10</w:t>
            </w:r>
            <w:r>
              <w:rPr>
                <w:rFonts w:hint="eastAsia" w:ascii="宋体" w:hAnsi="宋体" w:cs="宋体"/>
                <w:szCs w:val="21"/>
              </w:rPr>
              <w:t>.1-1</w:t>
            </w:r>
            <w:r>
              <w:rPr>
                <w:rFonts w:ascii="宋体" w:hAnsi="宋体" w:cs="宋体"/>
                <w:szCs w:val="21"/>
              </w:rPr>
              <w:t>5</w:t>
            </w:r>
            <w:r>
              <w:rPr>
                <w:rFonts w:hint="eastAsia" w:ascii="宋体" w:hAnsi="宋体" w:cs="宋体"/>
                <w:szCs w:val="21"/>
              </w:rPr>
              <w:t>分；内容完整详细、全面得</w:t>
            </w:r>
            <w:r>
              <w:rPr>
                <w:rFonts w:ascii="宋体" w:hAnsi="宋体" w:cs="宋体"/>
                <w:szCs w:val="21"/>
              </w:rPr>
              <w:t>5</w:t>
            </w:r>
            <w:r>
              <w:rPr>
                <w:rFonts w:hint="eastAsia" w:ascii="宋体" w:hAnsi="宋体" w:cs="宋体"/>
                <w:szCs w:val="21"/>
              </w:rPr>
              <w:t>.1-</w:t>
            </w:r>
            <w:r>
              <w:rPr>
                <w:rFonts w:ascii="宋体" w:hAnsi="宋体" w:cs="宋体"/>
                <w:szCs w:val="21"/>
              </w:rPr>
              <w:t>10</w:t>
            </w:r>
            <w:r>
              <w:rPr>
                <w:rFonts w:hint="eastAsia" w:ascii="宋体" w:hAnsi="宋体" w:cs="宋体"/>
                <w:szCs w:val="21"/>
              </w:rPr>
              <w:t>分；不全得0-</w:t>
            </w:r>
            <w:r>
              <w:rPr>
                <w:rFonts w:ascii="宋体" w:hAnsi="宋体" w:cs="宋体"/>
                <w:szCs w:val="21"/>
              </w:rPr>
              <w:t>5</w:t>
            </w:r>
            <w:r>
              <w:rPr>
                <w:rFonts w:hint="eastAsia" w:ascii="宋体" w:hAnsi="宋体" w:cs="宋体"/>
                <w:szCs w:val="21"/>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left w:val="single" w:color="auto" w:sz="4" w:space="0"/>
              <w:right w:val="single" w:color="auto" w:sz="4" w:space="0"/>
            </w:tcBorders>
            <w:vAlign w:val="center"/>
          </w:tcPr>
          <w:p>
            <w:pPr>
              <w:rPr>
                <w:rFonts w:ascii="宋体" w:hAnsi="宋体" w:cs="宋体"/>
                <w:szCs w:val="21"/>
              </w:rPr>
            </w:pPr>
          </w:p>
        </w:tc>
        <w:tc>
          <w:tcPr>
            <w:tcW w:w="608" w:type="dxa"/>
            <w:vMerge w:val="continue"/>
            <w:tcBorders>
              <w:left w:val="single" w:color="auto" w:sz="4" w:space="0"/>
              <w:right w:val="single" w:color="auto" w:sz="4" w:space="0"/>
            </w:tcBorders>
            <w:vAlign w:val="center"/>
          </w:tcPr>
          <w:p>
            <w:pPr>
              <w:ind w:firstLine="480"/>
              <w:rPr>
                <w:rFonts w:ascii="宋体" w:hAnsi="宋体" w:cs="宋体"/>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维护管理体系设计方案（20）</w:t>
            </w:r>
          </w:p>
        </w:tc>
        <w:tc>
          <w:tcPr>
            <w:tcW w:w="5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针对本项目应建立完善的维护管理体系，提供强大的维护管理工具和手段，能够确保平台运行可靠、稳定，性能充分发挥的计16.1-20分；服务实施方案能够基本满足平台正常运行要求的计8.1-16分；服务实施方案不健全或无具体实施方案的计0-8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49" w:type="dxa"/>
            <w:vMerge w:val="continue"/>
            <w:tcBorders>
              <w:left w:val="single" w:color="auto" w:sz="4" w:space="0"/>
              <w:right w:val="single" w:color="auto" w:sz="4" w:space="0"/>
            </w:tcBorders>
            <w:vAlign w:val="center"/>
          </w:tcPr>
          <w:p>
            <w:pPr>
              <w:rPr>
                <w:rFonts w:ascii="宋体" w:hAnsi="宋体" w:cs="宋体"/>
                <w:szCs w:val="21"/>
              </w:rPr>
            </w:pPr>
          </w:p>
        </w:tc>
        <w:tc>
          <w:tcPr>
            <w:tcW w:w="608" w:type="dxa"/>
            <w:vMerge w:val="continue"/>
            <w:tcBorders>
              <w:left w:val="single" w:color="auto" w:sz="4" w:space="0"/>
              <w:right w:val="single" w:color="auto" w:sz="4" w:space="0"/>
            </w:tcBorders>
            <w:vAlign w:val="center"/>
          </w:tcPr>
          <w:p>
            <w:pPr>
              <w:ind w:firstLine="480"/>
              <w:rPr>
                <w:rFonts w:ascii="宋体" w:hAnsi="宋体" w:cs="宋体"/>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应急方案</w:t>
            </w:r>
          </w:p>
          <w:p>
            <w:pP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分）</w:t>
            </w:r>
          </w:p>
        </w:tc>
        <w:tc>
          <w:tcPr>
            <w:tcW w:w="5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为确保信息系统的正常良好运行，投标人对服务范围内订制应急处置方案，要评估可能发生的突然状况，并制定行之有效、详细具体的故障处理方案及故障响应时间，视方案描述情况方案合理清晰、全面，部署响应速度快，可行性强得</w:t>
            </w:r>
            <w:r>
              <w:rPr>
                <w:rFonts w:ascii="宋体" w:hAnsi="宋体" w:cs="宋体"/>
                <w:szCs w:val="21"/>
              </w:rPr>
              <w:t>8</w:t>
            </w:r>
            <w:r>
              <w:rPr>
                <w:rFonts w:hint="eastAsia" w:ascii="宋体" w:hAnsi="宋体" w:cs="宋体"/>
                <w:szCs w:val="21"/>
              </w:rPr>
              <w:t>.1-1</w:t>
            </w:r>
            <w:r>
              <w:rPr>
                <w:rFonts w:ascii="宋体" w:hAnsi="宋体" w:cs="宋体"/>
                <w:szCs w:val="21"/>
              </w:rPr>
              <w:t>2</w:t>
            </w:r>
            <w:r>
              <w:rPr>
                <w:rFonts w:hint="eastAsia" w:ascii="宋体" w:hAnsi="宋体" w:cs="宋体"/>
                <w:szCs w:val="21"/>
              </w:rPr>
              <w:t>分，方案较合理，不全，响应速度及可行性一般得4.1-</w:t>
            </w:r>
            <w:r>
              <w:rPr>
                <w:rFonts w:ascii="宋体" w:hAnsi="宋体" w:cs="宋体"/>
                <w:szCs w:val="21"/>
              </w:rPr>
              <w:t>8</w:t>
            </w:r>
            <w:r>
              <w:rPr>
                <w:rFonts w:hint="eastAsia" w:ascii="宋体" w:hAnsi="宋体" w:cs="宋体"/>
                <w:szCs w:val="21"/>
              </w:rPr>
              <w:t>分，不全得0-4分； 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49" w:type="dxa"/>
            <w:vMerge w:val="continue"/>
            <w:tcBorders>
              <w:left w:val="single" w:color="auto" w:sz="4" w:space="0"/>
              <w:right w:val="single" w:color="auto" w:sz="4" w:space="0"/>
            </w:tcBorders>
            <w:vAlign w:val="center"/>
          </w:tcPr>
          <w:p>
            <w:pPr>
              <w:rPr>
                <w:rFonts w:ascii="宋体" w:hAnsi="宋体" w:cs="宋体"/>
                <w:szCs w:val="21"/>
              </w:rPr>
            </w:pPr>
          </w:p>
        </w:tc>
        <w:tc>
          <w:tcPr>
            <w:tcW w:w="608" w:type="dxa"/>
            <w:vMerge w:val="continue"/>
            <w:tcBorders>
              <w:left w:val="single" w:color="auto" w:sz="4" w:space="0"/>
              <w:right w:val="single" w:color="auto" w:sz="4" w:space="0"/>
            </w:tcBorders>
            <w:vAlign w:val="center"/>
          </w:tcPr>
          <w:p>
            <w:pPr>
              <w:rPr>
                <w:rFonts w:ascii="宋体" w:hAnsi="宋体" w:cs="宋体"/>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项目人员配备</w:t>
            </w:r>
          </w:p>
          <w:p>
            <w:pPr>
              <w:rPr>
                <w:rFonts w:ascii="宋体" w:hAnsi="宋体" w:cs="宋体"/>
                <w:color w:val="auto"/>
                <w:szCs w:val="21"/>
                <w:highlight w:val="none"/>
              </w:rPr>
            </w:pPr>
            <w:r>
              <w:rPr>
                <w:rFonts w:hint="eastAsia" w:ascii="宋体" w:hAnsi="宋体" w:cs="宋体"/>
                <w:color w:val="auto"/>
                <w:szCs w:val="21"/>
                <w:highlight w:val="none"/>
              </w:rPr>
              <w:t>（10分）</w:t>
            </w:r>
          </w:p>
        </w:tc>
        <w:tc>
          <w:tcPr>
            <w:tcW w:w="5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为保障运维服务质量，需提供科学、详细、可行的项目人员配备计划，并提供项目经理及团队人员在本单位就职的证明材料</w:t>
            </w:r>
            <w:r>
              <w:rPr>
                <w:rFonts w:hint="eastAsia" w:ascii="宋体" w:hAnsi="宋体" w:cs="宋体"/>
                <w:color w:val="auto"/>
                <w:szCs w:val="21"/>
                <w:highlight w:val="none"/>
                <w:lang w:eastAsia="zh-CN"/>
              </w:rPr>
              <w:t>及与本项目相关证书</w:t>
            </w:r>
            <w:r>
              <w:rPr>
                <w:rFonts w:hint="eastAsia" w:ascii="宋体" w:hAnsi="宋体" w:cs="宋体"/>
                <w:color w:val="auto"/>
                <w:szCs w:val="21"/>
                <w:highlight w:val="none"/>
              </w:rPr>
              <w:t>，根据提供资料的完善程度自主赋0-10分。</w:t>
            </w:r>
          </w:p>
          <w:p>
            <w:pPr>
              <w:rPr>
                <w:rFonts w:ascii="宋体" w:hAnsi="宋体" w:cs="宋体"/>
                <w:color w:val="auto"/>
                <w:szCs w:val="21"/>
                <w:highlight w:val="none"/>
              </w:rPr>
            </w:pPr>
            <w:r>
              <w:rPr>
                <w:rFonts w:hint="eastAsia" w:ascii="宋体" w:hAnsi="宋体" w:cs="宋体"/>
                <w:b/>
                <w:bCs/>
                <w:color w:val="auto"/>
                <w:szCs w:val="21"/>
                <w:highlight w:val="none"/>
              </w:rPr>
              <w:t>评审依据：</w:t>
            </w:r>
            <w:r>
              <w:rPr>
                <w:rFonts w:hint="eastAsia" w:ascii="宋体" w:hAnsi="宋体" w:cs="宋体"/>
                <w:color w:val="auto"/>
                <w:szCs w:val="21"/>
                <w:highlight w:val="none"/>
              </w:rPr>
              <w:t>以上人员须提供在本单位就职的证明材料复印件</w:t>
            </w:r>
            <w:r>
              <w:rPr>
                <w:rFonts w:hint="eastAsia" w:ascii="宋体" w:hAnsi="宋体" w:cs="宋体"/>
                <w:color w:val="auto"/>
                <w:szCs w:val="21"/>
                <w:highlight w:val="none"/>
                <w:lang w:eastAsia="zh-CN"/>
              </w:rPr>
              <w:t>及与本项目相关证书</w:t>
            </w:r>
            <w:r>
              <w:rPr>
                <w:rFonts w:hint="eastAsia" w:ascii="宋体" w:hAnsi="宋体" w:cs="宋体"/>
                <w:color w:val="auto"/>
                <w:szCs w:val="21"/>
                <w:highlight w:val="none"/>
              </w:rPr>
              <w:t>加盖公章</w:t>
            </w:r>
            <w:r>
              <w:rPr>
                <w:rFonts w:hint="eastAsia" w:ascii="宋体" w:hAnsi="宋体" w:cs="宋体"/>
                <w:color w:val="auto"/>
                <w:szCs w:val="21"/>
                <w:highlight w:val="none"/>
                <w:lang w:val="en-US" w:eastAsia="zh-CN"/>
              </w:rPr>
              <w:t>(</w:t>
            </w:r>
            <w:bookmarkStart w:id="205" w:name="_GoBack"/>
            <w:bookmarkEnd w:id="205"/>
            <w:r>
              <w:rPr>
                <w:rFonts w:hint="eastAsia" w:ascii="宋体" w:hAnsi="宋体" w:cs="宋体"/>
                <w:color w:val="auto"/>
                <w:szCs w:val="21"/>
                <w:highlight w:val="none"/>
              </w:rPr>
              <w:t>劳务合同或社保证明为准）。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49" w:type="dxa"/>
            <w:vMerge w:val="continue"/>
            <w:tcBorders>
              <w:left w:val="single" w:color="auto" w:sz="4" w:space="0"/>
              <w:bottom w:val="single" w:color="auto" w:sz="4" w:space="0"/>
              <w:right w:val="single" w:color="auto" w:sz="4" w:space="0"/>
            </w:tcBorders>
            <w:vAlign w:val="center"/>
          </w:tcPr>
          <w:p>
            <w:pPr>
              <w:rPr>
                <w:rFonts w:ascii="宋体" w:hAnsi="宋体" w:cs="宋体"/>
                <w:szCs w:val="21"/>
              </w:rPr>
            </w:pPr>
          </w:p>
        </w:tc>
        <w:tc>
          <w:tcPr>
            <w:tcW w:w="608" w:type="dxa"/>
            <w:vMerge w:val="continue"/>
            <w:tcBorders>
              <w:left w:val="single" w:color="auto" w:sz="4" w:space="0"/>
              <w:bottom w:val="single" w:color="auto" w:sz="4" w:space="0"/>
              <w:right w:val="single" w:color="auto" w:sz="4" w:space="0"/>
            </w:tcBorders>
          </w:tcPr>
          <w:p>
            <w:pPr>
              <w:rPr>
                <w:rFonts w:ascii="宋体" w:hAnsi="宋体" w:cs="宋体"/>
                <w:szCs w:val="21"/>
              </w:rPr>
            </w:pPr>
          </w:p>
        </w:tc>
        <w:tc>
          <w:tcPr>
            <w:tcW w:w="134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项目实施方案  （12分）</w:t>
            </w:r>
          </w:p>
        </w:tc>
        <w:tc>
          <w:tcPr>
            <w:tcW w:w="571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提供项目实施内容，实施计划，实施周期，项目管理方案、项目培训方案等相关内容。内容完整详细、全面、响应速度快，可行性强得8.1-12分，方案较合理，不全，响应速度及可行性一般得4.1-8分，方案描述粗略，不全得0-4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49" w:type="dxa"/>
            <w:tcBorders>
              <w:top w:val="single" w:color="auto" w:sz="4" w:space="0"/>
              <w:left w:val="single" w:color="auto" w:sz="4" w:space="0"/>
              <w:right w:val="single" w:color="auto" w:sz="4" w:space="0"/>
            </w:tcBorders>
            <w:vAlign w:val="center"/>
          </w:tcPr>
          <w:p>
            <w:pPr>
              <w:rPr>
                <w:rFonts w:ascii="宋体" w:hAnsi="宋体" w:cs="宋体"/>
                <w:szCs w:val="21"/>
              </w:rPr>
            </w:pPr>
          </w:p>
          <w:p>
            <w:pPr>
              <w:jc w:val="left"/>
              <w:rPr>
                <w:rFonts w:ascii="宋体" w:hAnsi="宋体" w:cs="宋体"/>
                <w:szCs w:val="21"/>
              </w:rPr>
            </w:pPr>
            <w:r>
              <w:rPr>
                <w:rFonts w:hint="eastAsia" w:ascii="宋体" w:hAnsi="宋体" w:cs="宋体"/>
                <w:szCs w:val="21"/>
              </w:rPr>
              <w:t>售后服务</w:t>
            </w:r>
          </w:p>
        </w:tc>
        <w:tc>
          <w:tcPr>
            <w:tcW w:w="608" w:type="dxa"/>
            <w:tcBorders>
              <w:top w:val="single" w:color="auto" w:sz="4" w:space="0"/>
              <w:left w:val="single" w:color="auto" w:sz="4" w:space="0"/>
              <w:right w:val="single" w:color="auto" w:sz="4" w:space="0"/>
            </w:tcBorders>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15分</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highlight w:val="yellow"/>
              </w:rPr>
            </w:pPr>
          </w:p>
          <w:p>
            <w:pPr>
              <w:jc w:val="center"/>
              <w:rPr>
                <w:rFonts w:ascii="宋体" w:hAnsi="宋体" w:cs="宋体"/>
                <w:szCs w:val="21"/>
                <w:highlight w:val="yellow"/>
              </w:rPr>
            </w:pPr>
          </w:p>
          <w:p>
            <w:pPr>
              <w:jc w:val="center"/>
              <w:rPr>
                <w:rFonts w:ascii="宋体" w:hAnsi="宋体" w:cs="宋体"/>
                <w:szCs w:val="21"/>
              </w:rPr>
            </w:pPr>
            <w:r>
              <w:rPr>
                <w:rFonts w:hint="eastAsia" w:ascii="宋体" w:hAnsi="宋体" w:cs="宋体"/>
                <w:szCs w:val="21"/>
              </w:rPr>
              <w:t>售后服务方案</w:t>
            </w:r>
          </w:p>
          <w:p>
            <w:pPr>
              <w:jc w:val="center"/>
              <w:rPr>
                <w:rFonts w:ascii="宋体" w:hAnsi="宋体" w:cs="宋体"/>
                <w:szCs w:val="21"/>
                <w:highlight w:val="yellow"/>
              </w:rPr>
            </w:pPr>
            <w:r>
              <w:rPr>
                <w:rFonts w:hint="eastAsia" w:ascii="宋体" w:hAnsi="宋体" w:cs="宋体"/>
                <w:szCs w:val="21"/>
              </w:rPr>
              <w:t>（15分）</w:t>
            </w:r>
          </w:p>
        </w:tc>
        <w:tc>
          <w:tcPr>
            <w:tcW w:w="5713" w:type="dxa"/>
            <w:tcBorders>
              <w:top w:val="single" w:color="auto" w:sz="4" w:space="0"/>
              <w:left w:val="single" w:color="auto" w:sz="4" w:space="0"/>
              <w:bottom w:val="single" w:color="auto" w:sz="4" w:space="0"/>
              <w:right w:val="single" w:color="auto" w:sz="4" w:space="0"/>
            </w:tcBorders>
          </w:tcPr>
          <w:p>
            <w:pPr>
              <w:pStyle w:val="2"/>
              <w:ind w:firstLine="210" w:firstLineChars="100"/>
              <w:rPr>
                <w:rFonts w:hint="default" w:ascii="宋体" w:hAnsi="宋体" w:cs="宋体"/>
                <w:b w:val="0"/>
                <w:sz w:val="21"/>
                <w:szCs w:val="21"/>
              </w:rPr>
            </w:pPr>
            <w:r>
              <w:rPr>
                <w:rFonts w:ascii="宋体" w:hAnsi="宋体" w:cs="宋体"/>
                <w:b w:val="0"/>
                <w:sz w:val="21"/>
                <w:szCs w:val="21"/>
              </w:rPr>
              <w:t>负责为使用单位培训操作维护人员，并有完整的培训方案，列出详细的培训内容、培训方式等说明，由专家综合比较，方案满足采购要求、详细、可行得5.1-7分，方案基本满足要求得3.1-5分，方案描述粗略得0-3分，未提供不得分。</w:t>
            </w:r>
          </w:p>
          <w:p>
            <w:pPr>
              <w:pStyle w:val="2"/>
              <w:ind w:firstLine="210" w:firstLineChars="100"/>
              <w:rPr>
                <w:rFonts w:hint="default" w:ascii="宋体" w:hAnsi="宋体" w:cs="宋体"/>
                <w:sz w:val="21"/>
                <w:szCs w:val="21"/>
                <w:highlight w:val="yellow"/>
              </w:rPr>
            </w:pPr>
            <w:r>
              <w:rPr>
                <w:rFonts w:ascii="宋体" w:hAnsi="宋体" w:cs="宋体"/>
                <w:b w:val="0"/>
                <w:sz w:val="21"/>
                <w:szCs w:val="21"/>
              </w:rPr>
              <w:t>提供完善的继续服务措施方案并有西安本地的驻场式服务能力和经验，能有效保障本地化技术服务及服务协调及时性，确保对重大事件提供技术保障、安全保障：提供相关证明材料复印件，加盖供应商公章。方案满足采购要求、详细、可行得6.1-8分，方案基本满足要求得3.1-6分，方案描述粗略得0-3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商务部分</w:t>
            </w:r>
          </w:p>
        </w:tc>
        <w:tc>
          <w:tcPr>
            <w:tcW w:w="6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pStyle w:val="2"/>
              <w:rPr>
                <w:rFonts w:hint="default" w:ascii="宋体" w:hAnsi="宋体" w:cs="宋体"/>
                <w:sz w:val="21"/>
                <w:szCs w:val="21"/>
              </w:rPr>
            </w:pPr>
          </w:p>
          <w:p>
            <w:pPr>
              <w:rPr>
                <w:rFonts w:ascii="宋体" w:hAnsi="宋体" w:cs="宋体"/>
                <w:szCs w:val="21"/>
              </w:rPr>
            </w:pPr>
            <w:r>
              <w:rPr>
                <w:rFonts w:hint="eastAsia" w:ascii="宋体" w:hAnsi="宋体" w:cs="宋体"/>
                <w:szCs w:val="21"/>
              </w:rPr>
              <w:t>6分</w:t>
            </w:r>
          </w:p>
        </w:tc>
        <w:tc>
          <w:tcPr>
            <w:tcW w:w="134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业绩（6分）</w:t>
            </w:r>
          </w:p>
        </w:tc>
        <w:tc>
          <w:tcPr>
            <w:tcW w:w="571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供应商提供2019年11月1日至今同类项目合同，每提供一个得1分，满分6分。（提供合同复印件加盖单位公章。）</w:t>
            </w:r>
          </w:p>
          <w:p>
            <w:pPr>
              <w:rPr>
                <w:rFonts w:ascii="宋体" w:hAnsi="宋体" w:cs="宋体"/>
                <w:szCs w:val="21"/>
              </w:rPr>
            </w:pPr>
            <w:r>
              <w:rPr>
                <w:rFonts w:hint="eastAsia" w:ascii="宋体" w:hAnsi="宋体" w:cs="宋体"/>
                <w:b/>
                <w:bCs/>
                <w:szCs w:val="21"/>
              </w:rPr>
              <w:t>评审依据：</w:t>
            </w:r>
            <w:r>
              <w:rPr>
                <w:rFonts w:hint="eastAsia" w:ascii="宋体" w:hAnsi="宋体" w:cs="宋体"/>
                <w:szCs w:val="21"/>
              </w:rPr>
              <w:t>以业绩合同的复印件（加盖供应商公章）为计分依据（合同须体现运维内容、签订时间及签字盖章页等关键页），合同提供不全或未提供的证明文件在计分时不予认可。</w:t>
            </w:r>
          </w:p>
          <w:p>
            <w:pPr>
              <w:rPr>
                <w:rFonts w:ascii="宋体" w:hAnsi="宋体" w:cs="宋体"/>
                <w:szCs w:val="21"/>
              </w:rPr>
            </w:pPr>
          </w:p>
        </w:tc>
      </w:tr>
    </w:tbl>
    <w:p>
      <w:pPr>
        <w:spacing w:line="360" w:lineRule="auto"/>
        <w:rPr>
          <w:rFonts w:ascii="宋体" w:cs="宋体"/>
          <w:b/>
          <w:bCs/>
          <w:sz w:val="24"/>
          <w:szCs w:val="24"/>
        </w:rPr>
      </w:pPr>
      <w:r>
        <w:rPr>
          <w:rFonts w:hint="eastAsia" w:ascii="宋体" w:hAnsi="宋体" w:cs="宋体"/>
          <w:b/>
          <w:bCs/>
          <w:sz w:val="24"/>
        </w:rPr>
        <w:t>备注：</w:t>
      </w: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cs="宋体"/>
          <w:sz w:val="24"/>
          <w:szCs w:val="24"/>
        </w:rPr>
      </w:pPr>
      <w:r>
        <w:rPr>
          <w:rFonts w:hint="eastAsia" w:ascii="宋体" w:hAnsi="宋体" w:cs="宋体"/>
          <w:sz w:val="24"/>
          <w:szCs w:val="24"/>
        </w:rPr>
        <w:t>根据《政府采购促进中小企业发展暂行办法》（</w:t>
      </w:r>
      <w:r>
        <w:rPr>
          <w:rFonts w:hint="eastAsia" w:ascii="宋体" w:hAnsi="宋体"/>
          <w:color w:val="000000"/>
          <w:spacing w:val="6"/>
          <w:sz w:val="24"/>
        </w:rPr>
        <w:t>财库[2020]46号</w:t>
      </w:r>
      <w:r>
        <w:rPr>
          <w:rFonts w:hint="eastAsia" w:ascii="宋体" w:hAnsi="宋体" w:cs="宋体"/>
          <w:sz w:val="24"/>
          <w:szCs w:val="24"/>
        </w:rPr>
        <w:t>）的规定，对于非专门面向中小企业的项目，对小型和微型企业产品的价格给予10</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cs="宋体"/>
          <w:b/>
          <w:bCs/>
          <w:sz w:val="24"/>
          <w:szCs w:val="24"/>
        </w:rPr>
      </w:pPr>
      <w:r>
        <w:rPr>
          <w:rFonts w:hint="eastAsia" w:ascii="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rPr>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spacing w:line="360" w:lineRule="auto"/>
        <w:rPr>
          <w:rFonts w:ascii="宋体" w:hAnsi="宋体" w:cs="宋体"/>
          <w:sz w:val="24"/>
        </w:rPr>
        <w:sectPr>
          <w:headerReference r:id="rId9" w:type="default"/>
          <w:footerReference r:id="rId10" w:type="default"/>
          <w:pgSz w:w="11906" w:h="16838"/>
          <w:pgMar w:top="1440" w:right="1803" w:bottom="1440" w:left="1803" w:header="851" w:footer="992" w:gutter="0"/>
          <w:cols w:space="720" w:num="1"/>
          <w:docGrid w:type="lines" w:linePitch="319" w:charSpace="0"/>
        </w:sectPr>
      </w:pPr>
      <w:r>
        <w:rPr>
          <w:rFonts w:hint="eastAsia" w:ascii="宋体" w:hAnsi="宋体" w:cs="宋体"/>
          <w:sz w:val="24"/>
        </w:rPr>
        <w:t xml:space="preserve">  </w:t>
      </w:r>
    </w:p>
    <w:p>
      <w:pPr>
        <w:pStyle w:val="3"/>
        <w:pageBreakBefore/>
        <w:numPr>
          <w:ilvl w:val="0"/>
          <w:numId w:val="16"/>
        </w:numPr>
        <w:rPr>
          <w:rFonts w:ascii="宋体" w:hAnsi="宋体" w:cs="宋体"/>
        </w:rPr>
      </w:pPr>
      <w:bookmarkStart w:id="86" w:name="_Toc262"/>
      <w:bookmarkStart w:id="87" w:name="_Toc3021"/>
      <w:bookmarkStart w:id="88" w:name="_Toc26757"/>
      <w:bookmarkStart w:id="89" w:name="_Toc3127"/>
      <w:r>
        <w:rPr>
          <w:rFonts w:hint="eastAsia" w:ascii="宋体" w:hAnsi="宋体" w:cs="宋体"/>
        </w:rPr>
        <w:t>分</w:t>
      </w:r>
      <w:bookmarkEnd w:id="86"/>
      <w:bookmarkStart w:id="90" w:name="_Toc15647"/>
      <w:bookmarkStart w:id="91" w:name="_Toc6835"/>
      <w:r>
        <w:rPr>
          <w:rFonts w:hint="eastAsia" w:ascii="宋体" w:hAnsi="宋体" w:cs="宋体"/>
        </w:rPr>
        <w:t xml:space="preserve"> 采购要求</w:t>
      </w:r>
      <w:bookmarkEnd w:id="87"/>
      <w:bookmarkEnd w:id="88"/>
      <w:bookmarkEnd w:id="89"/>
    </w:p>
    <w:p>
      <w:pPr>
        <w:spacing w:line="360" w:lineRule="auto"/>
        <w:rPr>
          <w:rFonts w:ascii="宋体" w:hAnsi="宋体" w:cs="宋体"/>
          <w:b/>
          <w:sz w:val="24"/>
          <w:szCs w:val="24"/>
        </w:rPr>
      </w:pPr>
      <w:r>
        <w:rPr>
          <w:rFonts w:hint="eastAsia" w:ascii="宋体" w:hAnsi="宋体" w:cs="宋体"/>
          <w:b/>
          <w:sz w:val="24"/>
          <w:szCs w:val="24"/>
        </w:rPr>
        <w:t>一、商务要求</w:t>
      </w:r>
    </w:p>
    <w:p>
      <w:pPr>
        <w:tabs>
          <w:tab w:val="left" w:pos="420"/>
        </w:tabs>
        <w:spacing w:line="360" w:lineRule="auto"/>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、项目名称：西安市儿童医院软件维保项目</w:t>
      </w:r>
    </w:p>
    <w:p>
      <w:pPr>
        <w:spacing w:line="360" w:lineRule="auto"/>
        <w:ind w:firstLine="480" w:firstLineChars="200"/>
      </w:pPr>
      <w:r>
        <w:rPr>
          <w:rFonts w:hint="eastAsia" w:ascii="宋体" w:hAnsi="宋体" w:cs="宋体"/>
          <w:sz w:val="24"/>
          <w:szCs w:val="24"/>
        </w:rPr>
        <w:t xml:space="preserve">2、服务期：自合同签订之日起1年 </w:t>
      </w:r>
      <w:r>
        <w:rPr>
          <w:rFonts w:hint="eastAsia"/>
        </w:rPr>
        <w:t xml:space="preserve">               </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3、服务地点：西安市儿童医院指定地点；</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4、其他商务要求：详见第六部分合同条款</w:t>
      </w:r>
    </w:p>
    <w:p>
      <w:pPr>
        <w:rPr>
          <w:rFonts w:ascii="宋体" w:hAnsi="宋体" w:cs="宋体"/>
          <w:b/>
          <w:sz w:val="24"/>
          <w:szCs w:val="24"/>
        </w:rPr>
      </w:pPr>
      <w:r>
        <w:rPr>
          <w:rFonts w:hint="eastAsia" w:ascii="宋体" w:hAnsi="宋体" w:cs="宋体"/>
          <w:b/>
          <w:sz w:val="24"/>
          <w:szCs w:val="24"/>
        </w:rPr>
        <w:t>二、采购内容</w:t>
      </w:r>
    </w:p>
    <w:tbl>
      <w:tblPr>
        <w:tblStyle w:val="24"/>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35"/>
        <w:gridCol w:w="1575"/>
        <w:gridCol w:w="233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006"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93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采购内容</w:t>
            </w:r>
          </w:p>
        </w:tc>
        <w:tc>
          <w:tcPr>
            <w:tcW w:w="157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采购预算金额</w:t>
            </w:r>
          </w:p>
        </w:tc>
        <w:tc>
          <w:tcPr>
            <w:tcW w:w="2334"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项目用途</w:t>
            </w:r>
          </w:p>
        </w:tc>
        <w:tc>
          <w:tcPr>
            <w:tcW w:w="1594"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项目性质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6"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93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软件维保</w:t>
            </w:r>
          </w:p>
        </w:tc>
        <w:tc>
          <w:tcPr>
            <w:tcW w:w="1575"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600000</w:t>
            </w:r>
          </w:p>
        </w:tc>
        <w:tc>
          <w:tcPr>
            <w:tcW w:w="2334"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自用</w:t>
            </w:r>
          </w:p>
        </w:tc>
        <w:tc>
          <w:tcPr>
            <w:tcW w:w="1594" w:type="dxa"/>
            <w:vAlign w:val="center"/>
          </w:tcPr>
          <w:p>
            <w:pPr>
              <w:widowControl/>
              <w:tabs>
                <w:tab w:val="left" w:pos="1620"/>
              </w:tabs>
              <w:wordWrap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财政资金</w:t>
            </w:r>
          </w:p>
        </w:tc>
      </w:tr>
    </w:tbl>
    <w:p>
      <w:r>
        <w:rPr>
          <w:rFonts w:hint="eastAsia"/>
        </w:rPr>
        <w:t xml:space="preserve"> </w:t>
      </w:r>
    </w:p>
    <w:p>
      <w:pPr>
        <w:pStyle w:val="66"/>
        <w:numPr>
          <w:ilvl w:val="0"/>
          <w:numId w:val="17"/>
        </w:numPr>
        <w:spacing w:line="360" w:lineRule="auto"/>
        <w:ind w:firstLine="0" w:firstLineChars="0"/>
        <w:rPr>
          <w:rFonts w:ascii="宋体" w:hAnsi="宋体" w:cs="宋体"/>
          <w:b/>
          <w:bCs/>
          <w:sz w:val="24"/>
          <w:szCs w:val="24"/>
        </w:rPr>
      </w:pPr>
      <w:r>
        <w:rPr>
          <w:rFonts w:hint="eastAsia" w:ascii="宋体" w:hAnsi="宋体" w:cs="宋体"/>
          <w:b/>
          <w:bCs/>
          <w:sz w:val="24"/>
          <w:szCs w:val="24"/>
        </w:rPr>
        <w:t>技术要求：</w:t>
      </w:r>
    </w:p>
    <w:bookmarkEnd w:id="90"/>
    <w:bookmarkEnd w:id="91"/>
    <w:p>
      <w:pPr>
        <w:numPr>
          <w:ilvl w:val="0"/>
          <w:numId w:val="18"/>
        </w:numPr>
        <w:spacing w:line="360" w:lineRule="auto"/>
        <w:rPr>
          <w:rFonts w:ascii="宋体" w:hAnsi="宋体" w:cs="宋体"/>
          <w:sz w:val="24"/>
          <w:szCs w:val="24"/>
        </w:rPr>
      </w:pPr>
      <w:bookmarkStart w:id="92" w:name="OLE_LINK285"/>
      <w:bookmarkStart w:id="93" w:name="OLE_LINK286"/>
      <w:bookmarkStart w:id="94" w:name="_Toc23741"/>
      <w:bookmarkStart w:id="95" w:name="_Toc2234"/>
      <w:bookmarkStart w:id="96" w:name="_Toc26312"/>
      <w:r>
        <w:rPr>
          <w:rFonts w:hint="eastAsia" w:ascii="宋体" w:hAnsi="宋体" w:cs="宋体"/>
          <w:sz w:val="24"/>
          <w:szCs w:val="24"/>
        </w:rPr>
        <w:t>项目概况：</w:t>
      </w:r>
    </w:p>
    <w:p>
      <w:pPr>
        <w:pStyle w:val="8"/>
        <w:spacing w:line="360" w:lineRule="auto"/>
        <w:ind w:firstLine="480" w:firstLineChars="200"/>
        <w:rPr>
          <w:rFonts w:ascii="宋体" w:hAnsi="宋体" w:cs="宋体"/>
          <w:sz w:val="24"/>
          <w:szCs w:val="24"/>
        </w:rPr>
      </w:pPr>
      <w:r>
        <w:rPr>
          <w:rFonts w:ascii="宋体" w:hAnsi="宋体" w:cs="宋体"/>
          <w:sz w:val="24"/>
          <w:szCs w:val="24"/>
        </w:rPr>
        <w:t>西安市儿童医院医疗信息系统售后支持维护服务项目，为顺应国家医疗政策的调整、医院自身业务重组和优化管理的需要，使HIS系统在运行使用过程中保持高效、高质、稳定的运行，进行本项目的维保服务招标。</w:t>
      </w:r>
    </w:p>
    <w:p>
      <w:pPr>
        <w:numPr>
          <w:ilvl w:val="0"/>
          <w:numId w:val="18"/>
        </w:numPr>
        <w:spacing w:line="360" w:lineRule="auto"/>
        <w:rPr>
          <w:rFonts w:ascii="宋体" w:hAnsi="宋体" w:cs="宋体"/>
          <w:sz w:val="24"/>
          <w:szCs w:val="24"/>
        </w:rPr>
      </w:pPr>
      <w:r>
        <w:rPr>
          <w:rFonts w:hint="eastAsia" w:ascii="宋体" w:hAnsi="宋体" w:cs="宋体"/>
          <w:sz w:val="24"/>
          <w:szCs w:val="24"/>
        </w:rPr>
        <w:t>服务内容：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维保内容包含医院院区内H</w:t>
      </w:r>
      <w:r>
        <w:rPr>
          <w:rFonts w:ascii="宋体" w:hAnsi="宋体" w:cs="宋体"/>
          <w:sz w:val="24"/>
          <w:szCs w:val="24"/>
        </w:rPr>
        <w:t>IS</w:t>
      </w:r>
      <w:r>
        <w:rPr>
          <w:rFonts w:hint="eastAsia" w:ascii="宋体" w:hAnsi="宋体" w:cs="宋体"/>
          <w:sz w:val="24"/>
          <w:szCs w:val="24"/>
        </w:rPr>
        <w:t>系统维护、L</w:t>
      </w:r>
      <w:r>
        <w:rPr>
          <w:rFonts w:ascii="宋体" w:hAnsi="宋体" w:cs="宋体"/>
          <w:sz w:val="24"/>
          <w:szCs w:val="24"/>
        </w:rPr>
        <w:t>IS</w:t>
      </w:r>
      <w:r>
        <w:rPr>
          <w:rFonts w:hint="eastAsia" w:ascii="宋体" w:hAnsi="宋体" w:cs="宋体"/>
          <w:sz w:val="24"/>
          <w:szCs w:val="24"/>
        </w:rPr>
        <w:t>系统维护、P</w:t>
      </w:r>
      <w:r>
        <w:rPr>
          <w:rFonts w:ascii="宋体" w:hAnsi="宋体" w:cs="宋体"/>
          <w:sz w:val="24"/>
          <w:szCs w:val="24"/>
        </w:rPr>
        <w:t>ACS</w:t>
      </w:r>
      <w:r>
        <w:rPr>
          <w:rFonts w:hint="eastAsia" w:ascii="宋体" w:hAnsi="宋体" w:cs="宋体"/>
          <w:sz w:val="24"/>
          <w:szCs w:val="24"/>
        </w:rPr>
        <w:t>系统维护、E</w:t>
      </w:r>
      <w:r>
        <w:rPr>
          <w:rFonts w:ascii="宋体" w:hAnsi="宋体" w:cs="宋体"/>
          <w:sz w:val="24"/>
          <w:szCs w:val="24"/>
        </w:rPr>
        <w:t>MR</w:t>
      </w:r>
      <w:r>
        <w:rPr>
          <w:rFonts w:hint="eastAsia" w:ascii="宋体" w:hAnsi="宋体" w:cs="宋体"/>
          <w:sz w:val="24"/>
          <w:szCs w:val="24"/>
        </w:rPr>
        <w:t>系统维护、医保接口及其他相关系统维护。维保内容如下：</w:t>
      </w:r>
    </w:p>
    <w:p>
      <w:pPr>
        <w:pStyle w:val="66"/>
        <w:numPr>
          <w:ilvl w:val="0"/>
          <w:numId w:val="19"/>
        </w:numPr>
        <w:spacing w:line="360" w:lineRule="auto"/>
        <w:ind w:right="-181" w:firstLineChars="0"/>
        <w:jc w:val="left"/>
        <w:rPr>
          <w:rFonts w:ascii="宋体" w:hAnsi="宋体" w:cs="宋体"/>
          <w:sz w:val="24"/>
          <w:szCs w:val="24"/>
        </w:rPr>
      </w:pPr>
      <w:r>
        <w:rPr>
          <w:rFonts w:hint="eastAsia" w:ascii="宋体" w:hAnsi="宋体" w:cs="宋体"/>
          <w:sz w:val="24"/>
          <w:szCs w:val="24"/>
        </w:rPr>
        <w:t>H</w:t>
      </w:r>
      <w:r>
        <w:rPr>
          <w:rFonts w:ascii="宋体" w:hAnsi="宋体" w:cs="宋体"/>
          <w:sz w:val="24"/>
          <w:szCs w:val="24"/>
        </w:rPr>
        <w:t>IS\LIS\PACS\EMR</w:t>
      </w:r>
      <w:r>
        <w:rPr>
          <w:rFonts w:hint="eastAsia" w:ascii="宋体" w:hAnsi="宋体" w:cs="宋体"/>
          <w:sz w:val="24"/>
          <w:szCs w:val="24"/>
        </w:rPr>
        <w:t>系统优化、运维，故障排除、隐患排查；</w:t>
      </w:r>
    </w:p>
    <w:p>
      <w:pPr>
        <w:pStyle w:val="66"/>
        <w:numPr>
          <w:ilvl w:val="0"/>
          <w:numId w:val="19"/>
        </w:numPr>
        <w:spacing w:line="360" w:lineRule="auto"/>
        <w:ind w:right="-181" w:firstLineChars="0"/>
        <w:jc w:val="left"/>
        <w:rPr>
          <w:rFonts w:ascii="宋体" w:hAnsi="宋体" w:cs="宋体"/>
          <w:sz w:val="24"/>
          <w:szCs w:val="24"/>
        </w:rPr>
      </w:pPr>
      <w:r>
        <w:rPr>
          <w:rFonts w:hint="eastAsia" w:ascii="宋体" w:hAnsi="宋体" w:cs="宋体"/>
          <w:sz w:val="24"/>
          <w:szCs w:val="24"/>
        </w:rPr>
        <w:t>因医保、医联、医政等政策变化而引起的系统修改和接口开发。</w:t>
      </w:r>
    </w:p>
    <w:p>
      <w:pPr>
        <w:pStyle w:val="66"/>
        <w:numPr>
          <w:ilvl w:val="0"/>
          <w:numId w:val="19"/>
        </w:numPr>
        <w:spacing w:line="360" w:lineRule="auto"/>
        <w:ind w:right="-181" w:firstLineChars="0"/>
        <w:jc w:val="left"/>
        <w:rPr>
          <w:rFonts w:ascii="宋体" w:hAnsi="宋体" w:cs="宋体"/>
          <w:sz w:val="24"/>
          <w:szCs w:val="24"/>
        </w:rPr>
      </w:pPr>
      <w:r>
        <w:rPr>
          <w:rFonts w:hint="eastAsia" w:ascii="宋体" w:hAnsi="宋体" w:cs="宋体"/>
          <w:sz w:val="24"/>
          <w:szCs w:val="24"/>
        </w:rPr>
        <w:t>院方在遇到各种上级检查时，应按时到场配合。</w:t>
      </w:r>
    </w:p>
    <w:p>
      <w:pPr>
        <w:pStyle w:val="66"/>
        <w:numPr>
          <w:ilvl w:val="0"/>
          <w:numId w:val="19"/>
        </w:numPr>
        <w:spacing w:line="360" w:lineRule="auto"/>
        <w:ind w:right="-181" w:firstLineChars="0"/>
        <w:jc w:val="left"/>
        <w:rPr>
          <w:rFonts w:ascii="宋体" w:hAnsi="宋体" w:cs="宋体"/>
          <w:sz w:val="24"/>
          <w:szCs w:val="24"/>
        </w:rPr>
      </w:pPr>
      <w:r>
        <w:rPr>
          <w:rFonts w:hint="eastAsia" w:ascii="宋体" w:hAnsi="宋体" w:cs="宋体"/>
          <w:sz w:val="24"/>
          <w:szCs w:val="24"/>
        </w:rPr>
        <w:t>系统故障和系统漏洞。</w:t>
      </w:r>
    </w:p>
    <w:p>
      <w:pPr>
        <w:pStyle w:val="66"/>
        <w:numPr>
          <w:ilvl w:val="0"/>
          <w:numId w:val="19"/>
        </w:numPr>
        <w:spacing w:line="360" w:lineRule="auto"/>
        <w:ind w:right="-181" w:firstLineChars="0"/>
        <w:jc w:val="left"/>
        <w:rPr>
          <w:rFonts w:ascii="新宋体" w:hAnsi="新宋体" w:eastAsia="新宋体" w:cs="新宋体"/>
          <w:kern w:val="0"/>
          <w:sz w:val="24"/>
          <w:szCs w:val="24"/>
        </w:rPr>
      </w:pPr>
      <w:r>
        <w:rPr>
          <w:rFonts w:hint="eastAsia" w:ascii="宋体" w:hAnsi="宋体" w:cs="宋体"/>
          <w:sz w:val="24"/>
          <w:szCs w:val="24"/>
        </w:rPr>
        <w:t>小版本的升级服务。</w:t>
      </w:r>
    </w:p>
    <w:p>
      <w:pPr>
        <w:pStyle w:val="66"/>
        <w:numPr>
          <w:ilvl w:val="0"/>
          <w:numId w:val="18"/>
        </w:numPr>
        <w:spacing w:line="360" w:lineRule="auto"/>
        <w:ind w:right="-181" w:firstLine="0" w:firstLineChars="0"/>
        <w:jc w:val="left"/>
        <w:rPr>
          <w:rFonts w:ascii="宋体" w:hAnsi="宋体" w:cs="宋体"/>
          <w:sz w:val="24"/>
          <w:szCs w:val="24"/>
        </w:rPr>
      </w:pPr>
      <w:r>
        <w:rPr>
          <w:rFonts w:hint="eastAsia" w:ascii="宋体" w:hAnsi="宋体" w:cs="宋体"/>
          <w:sz w:val="24"/>
          <w:szCs w:val="24"/>
        </w:rPr>
        <w:t>技术要求：</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1、</w:t>
      </w:r>
      <w:r>
        <w:rPr>
          <w:rFonts w:ascii="宋体" w:hAnsi="宋体" w:cs="宋体"/>
          <w:sz w:val="24"/>
          <w:szCs w:val="24"/>
        </w:rPr>
        <w:t>HIS、LIS、PACS系统服务范围：</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门诊挂号管理、门诊收费管理、门诊医生工作站、住院医生工作站、住院护士 工作站、护理记录、临床路径管理系统、血库管理系统、检验管理系统、 自助查询系统、自助打印系统、病案管理系统、医技工作站、院内一卡通系统、银医 通系统、自定义报表系统、PACS仪器接口、合理用药接口、院感系统接口、手麻系统接口、心电系统接口、LIS 仪器接口、临床危急值系统、</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单病种管理系统接口、病案直报系统、医保接口、异地就医结算接口抗生素专项统计分析接口等现有 HIS 系统模块；</w:t>
      </w:r>
    </w:p>
    <w:p>
      <w:pPr>
        <w:pStyle w:val="66"/>
        <w:spacing w:line="360" w:lineRule="auto"/>
        <w:ind w:right="-181" w:firstLine="0" w:firstLineChars="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电子病历系统服务范围：</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门诊电子病历系统、住院电子病历系统、病历质 控系统、 电子病案系统、护理病历。</w:t>
      </w:r>
    </w:p>
    <w:p>
      <w:pPr>
        <w:pStyle w:val="66"/>
        <w:numPr>
          <w:ilvl w:val="0"/>
          <w:numId w:val="18"/>
        </w:numPr>
        <w:spacing w:line="360" w:lineRule="auto"/>
        <w:ind w:right="-181" w:firstLine="0" w:firstLineChars="0"/>
        <w:jc w:val="left"/>
        <w:rPr>
          <w:rFonts w:ascii="宋体" w:hAnsi="宋体" w:cs="宋体"/>
          <w:sz w:val="24"/>
          <w:szCs w:val="24"/>
        </w:rPr>
      </w:pPr>
      <w:r>
        <w:rPr>
          <w:rFonts w:hint="eastAsia" w:ascii="宋体" w:hAnsi="宋体" w:cs="宋体"/>
          <w:sz w:val="24"/>
          <w:szCs w:val="24"/>
        </w:rPr>
        <w:t>服务要求：</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1.要求配备计算机相关专业驻场工程师 1 人以上，提供 7*24 小时服务；</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2.保证服务范围内的产品的稳定运行，在维保期内，对服务范围内所使用的 产品有新版本免费升级；</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3.驻场服务工程师提供 7×24 小时服务,即时电话响应，1 小时现场响应；</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4.排除软件故障的期限不得超过 2 小时。否则甲方有权指定第三方维修，维修费用由乙方承担；</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5.每季度进行一次数据完整性及安全性验证并提供验证报告；</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6.每季度进行一次进行数据库优化，提高访问数据速度；</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7.协助医疗设备进行调试，保证系统完整安全应用；</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8.响应开始后，提出解决方案，积极解决问题；</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9.提供维保期间的文档 (如升级方案、解决问题方案、数据库巡检记录等)；</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10.对采购人进行解决技术问题的业务培训；</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11.发现采购人提供的技术资料、数据及工作条件不符合约定的，应及时通 知甲方补充、修改或更换；</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12.在工作期间，发现继续工作对设备有损害危险时，应及时采购人提出建 议；</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13.签订保密协议书，约束其员工遵守保密规定；</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14.在采购人 (医院) 发生不可抗拒的系统故障 (如地震、火灾、雷击等) ， 投标方有义务帮助甲方尽快恢复正常运行；</w:t>
      </w:r>
    </w:p>
    <w:p>
      <w:pPr>
        <w:pStyle w:val="66"/>
        <w:spacing w:line="360" w:lineRule="auto"/>
        <w:ind w:right="-181" w:firstLine="0" w:firstLineChars="0"/>
        <w:jc w:val="left"/>
        <w:rPr>
          <w:rFonts w:ascii="宋体" w:hAnsi="宋体" w:cs="宋体"/>
          <w:sz w:val="24"/>
          <w:szCs w:val="24"/>
        </w:rPr>
      </w:pPr>
      <w:r>
        <w:rPr>
          <w:rFonts w:ascii="宋体" w:hAnsi="宋体" w:cs="宋体"/>
          <w:sz w:val="24"/>
          <w:szCs w:val="24"/>
        </w:rPr>
        <w:t>15.HIS、EMR、LIS、PACS软件系统维保服务期：一年；</w:t>
      </w:r>
    </w:p>
    <w:p>
      <w:pPr>
        <w:pStyle w:val="66"/>
        <w:spacing w:line="360" w:lineRule="auto"/>
        <w:ind w:right="-181" w:firstLine="0" w:firstLineChars="0"/>
        <w:jc w:val="left"/>
        <w:rPr>
          <w:rFonts w:ascii="宋体" w:hAnsi="宋体" w:cs="宋体"/>
          <w:sz w:val="24"/>
          <w:szCs w:val="24"/>
        </w:rPr>
      </w:pPr>
      <w:r>
        <w:rPr>
          <w:rFonts w:hint="eastAsia" w:ascii="宋体" w:hAnsi="宋体" w:cs="宋体"/>
          <w:sz w:val="24"/>
          <w:szCs w:val="24"/>
        </w:rPr>
        <w:t>（五）其他要求：</w:t>
      </w:r>
    </w:p>
    <w:p>
      <w:pPr>
        <w:autoSpaceDE w:val="0"/>
        <w:autoSpaceDN w:val="0"/>
        <w:adjustRightInd w:val="0"/>
        <w:spacing w:line="360" w:lineRule="auto"/>
        <w:rPr>
          <w:rFonts w:ascii="新宋体" w:hAnsi="新宋体" w:eastAsia="新宋体" w:cs="新宋体"/>
          <w:kern w:val="0"/>
          <w:sz w:val="24"/>
          <w:szCs w:val="24"/>
        </w:rPr>
      </w:pPr>
      <w:r>
        <w:rPr>
          <w:rFonts w:hint="eastAsia" w:ascii="新宋体" w:hAnsi="新宋体" w:eastAsia="新宋体" w:cs="新宋体"/>
          <w:kern w:val="0"/>
          <w:sz w:val="24"/>
          <w:szCs w:val="24"/>
        </w:rPr>
        <w:t>1、成果交付要求：设备运行正常，维护资料齐全，设备运行状况记录完善。</w:t>
      </w:r>
    </w:p>
    <w:p>
      <w:pPr>
        <w:autoSpaceDE w:val="0"/>
        <w:autoSpaceDN w:val="0"/>
        <w:adjustRightInd w:val="0"/>
        <w:spacing w:line="360" w:lineRule="auto"/>
        <w:rPr>
          <w:rFonts w:ascii="新宋体" w:hAnsi="新宋体" w:eastAsia="新宋体" w:cs="新宋体"/>
          <w:kern w:val="0"/>
          <w:sz w:val="24"/>
          <w:szCs w:val="24"/>
        </w:rPr>
      </w:pPr>
      <w:r>
        <w:rPr>
          <w:rFonts w:hint="eastAsia" w:ascii="新宋体" w:hAnsi="新宋体" w:eastAsia="新宋体" w:cs="新宋体"/>
          <w:kern w:val="0"/>
          <w:sz w:val="24"/>
          <w:szCs w:val="24"/>
        </w:rPr>
        <w:t>2、验收标准或规范：《安全防范工程通用规范》GB 50348-2018中第6章系统运行与维护相关内容执行。</w:t>
      </w:r>
    </w:p>
    <w:p>
      <w:pPr>
        <w:pStyle w:val="66"/>
        <w:spacing w:line="360" w:lineRule="auto"/>
        <w:ind w:right="-181" w:firstLine="0" w:firstLineChars="0"/>
        <w:jc w:val="left"/>
        <w:rPr>
          <w:rFonts w:ascii="宋体" w:hAnsi="宋体" w:cs="宋体"/>
          <w:sz w:val="24"/>
          <w:szCs w:val="24"/>
        </w:rPr>
      </w:pPr>
    </w:p>
    <w:p>
      <w:pPr>
        <w:pStyle w:val="8"/>
      </w:pPr>
    </w:p>
    <w:p>
      <w:r>
        <w:rPr>
          <w:rFonts w:hint="eastAsia"/>
        </w:rPr>
        <w:br w:type="page"/>
      </w:r>
    </w:p>
    <w:p>
      <w:pPr>
        <w:spacing w:line="360" w:lineRule="auto"/>
        <w:rPr>
          <w:rFonts w:ascii="宋体" w:hAnsi="宋体" w:cs="宋体"/>
          <w:sz w:val="24"/>
          <w:szCs w:val="24"/>
        </w:rPr>
      </w:pPr>
      <w:r>
        <w:rPr>
          <w:rFonts w:hint="eastAsia"/>
        </w:rPr>
        <w:t xml:space="preserve">  </w:t>
      </w:r>
    </w:p>
    <w:p>
      <w:pPr>
        <w:pStyle w:val="3"/>
        <w:numPr>
          <w:ilvl w:val="0"/>
          <w:numId w:val="20"/>
        </w:numPr>
      </w:pPr>
      <w:r>
        <w:rPr>
          <w:rFonts w:hint="eastAsia"/>
        </w:rPr>
        <w:t xml:space="preserve"> </w:t>
      </w:r>
      <w:bookmarkStart w:id="97" w:name="_Toc15220"/>
      <w:r>
        <w:t>合同条款</w:t>
      </w:r>
      <w:bookmarkEnd w:id="92"/>
      <w:bookmarkEnd w:id="93"/>
      <w:r>
        <w:rPr>
          <w:rFonts w:hint="eastAsia"/>
        </w:rPr>
        <w:t>（参考合同）</w:t>
      </w:r>
      <w:bookmarkEnd w:id="97"/>
    </w:p>
    <w:p/>
    <w:p/>
    <w:p/>
    <w:p>
      <w:pPr>
        <w:ind w:left="883" w:hanging="883" w:hangingChars="200"/>
        <w:rPr>
          <w:rFonts w:ascii="宋体" w:hAnsi="宋体" w:cs="宋体"/>
          <w:b/>
          <w:sz w:val="44"/>
          <w:szCs w:val="44"/>
        </w:rPr>
      </w:pPr>
    </w:p>
    <w:p>
      <w:pPr>
        <w:snapToGrid w:val="0"/>
        <w:spacing w:line="360" w:lineRule="auto"/>
        <w:ind w:firstLine="480"/>
        <w:jc w:val="center"/>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t>____________</w:t>
      </w:r>
      <w:r>
        <w:rPr>
          <w:rFonts w:hint="eastAsia" w:ascii="宋体"/>
          <w:color w:val="000000" w:themeColor="text1"/>
          <w:sz w:val="24"/>
          <w:szCs w:val="24"/>
          <w14:textFill>
            <w14:solidFill>
              <w14:schemeClr w14:val="tx1"/>
            </w14:solidFill>
          </w14:textFill>
        </w:rPr>
        <w:t>项目</w:t>
      </w: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合同编号：</w:t>
      </w:r>
      <w:r>
        <w:rPr>
          <w:rFonts w:ascii="宋体"/>
          <w:color w:val="000000" w:themeColor="text1"/>
          <w:sz w:val="24"/>
          <w:szCs w:val="24"/>
          <w14:textFill>
            <w14:solidFill>
              <w14:schemeClr w14:val="tx1"/>
            </w14:solidFill>
          </w14:textFill>
        </w:rPr>
        <w:t>____________________</w:t>
      </w: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bookmarkStart w:id="98" w:name="_Toc11122_WPSOffice_Level2"/>
      <w:r>
        <w:rPr>
          <w:rFonts w:hint="eastAsia" w:ascii="宋体"/>
          <w:color w:val="000000" w:themeColor="text1"/>
          <w:sz w:val="24"/>
          <w:szCs w:val="24"/>
          <w14:textFill>
            <w14:solidFill>
              <w14:schemeClr w14:val="tx1"/>
            </w14:solidFill>
          </w14:textFill>
        </w:rPr>
        <w:t>甲　　方：</w:t>
      </w:r>
      <w:r>
        <w:rPr>
          <w:rFonts w:ascii="宋体"/>
          <w:color w:val="000000" w:themeColor="text1"/>
          <w:sz w:val="24"/>
          <w:szCs w:val="24"/>
          <w14:textFill>
            <w14:solidFill>
              <w14:schemeClr w14:val="tx1"/>
            </w14:solidFill>
          </w14:textFill>
        </w:rPr>
        <w:t>____________________(</w:t>
      </w:r>
      <w:r>
        <w:rPr>
          <w:rFonts w:hint="eastAsia" w:ascii="宋体"/>
          <w:color w:val="000000" w:themeColor="text1"/>
          <w:sz w:val="24"/>
          <w:szCs w:val="24"/>
          <w14:textFill>
            <w14:solidFill>
              <w14:schemeClr w14:val="tx1"/>
            </w14:solidFill>
          </w14:textFill>
        </w:rPr>
        <w:t>采购人名称</w:t>
      </w:r>
      <w:r>
        <w:rPr>
          <w:rFonts w:ascii="宋体"/>
          <w:color w:val="000000" w:themeColor="text1"/>
          <w:sz w:val="24"/>
          <w:szCs w:val="24"/>
          <w14:textFill>
            <w14:solidFill>
              <w14:schemeClr w14:val="tx1"/>
            </w14:solidFill>
          </w14:textFill>
        </w:rPr>
        <w:t>)</w:t>
      </w:r>
      <w:bookmarkEnd w:id="98"/>
    </w:p>
    <w:p>
      <w:pPr>
        <w:snapToGrid w:val="0"/>
        <w:spacing w:line="360" w:lineRule="auto"/>
        <w:ind w:firstLine="480"/>
        <w:jc w:val="center"/>
        <w:rPr>
          <w:rFonts w:ascii="宋体"/>
          <w:color w:val="000000" w:themeColor="text1"/>
          <w:sz w:val="24"/>
          <w:szCs w:val="24"/>
          <w14:textFill>
            <w14:solidFill>
              <w14:schemeClr w14:val="tx1"/>
            </w14:solidFill>
          </w14:textFill>
        </w:rPr>
      </w:pPr>
    </w:p>
    <w:p>
      <w:pPr>
        <w:snapToGrid w:val="0"/>
        <w:spacing w:line="360" w:lineRule="auto"/>
        <w:ind w:firstLine="480"/>
        <w:jc w:val="center"/>
        <w:rPr>
          <w:rFonts w:ascii="宋体"/>
          <w:color w:val="000000" w:themeColor="text1"/>
          <w:sz w:val="24"/>
          <w:szCs w:val="24"/>
          <w14:textFill>
            <w14:solidFill>
              <w14:schemeClr w14:val="tx1"/>
            </w14:solidFill>
          </w14:textFill>
        </w:rPr>
      </w:pPr>
      <w:bookmarkStart w:id="99" w:name="_Toc8919_WPSOffice_Level2"/>
      <w:r>
        <w:rPr>
          <w:rFonts w:hint="eastAsia" w:ascii="宋体"/>
          <w:color w:val="000000" w:themeColor="text1"/>
          <w:sz w:val="24"/>
          <w:szCs w:val="24"/>
          <w14:textFill>
            <w14:solidFill>
              <w14:schemeClr w14:val="tx1"/>
            </w14:solidFill>
          </w14:textFill>
        </w:rPr>
        <w:t>乙　　方：</w:t>
      </w:r>
      <w:r>
        <w:rPr>
          <w:rFonts w:ascii="宋体"/>
          <w:color w:val="000000" w:themeColor="text1"/>
          <w:sz w:val="24"/>
          <w:szCs w:val="24"/>
          <w14:textFill>
            <w14:solidFill>
              <w14:schemeClr w14:val="tx1"/>
            </w14:solidFill>
          </w14:textFill>
        </w:rPr>
        <w:t>____________________(</w:t>
      </w:r>
      <w:r>
        <w:rPr>
          <w:rFonts w:hint="eastAsia" w:ascii="宋体"/>
          <w:color w:val="000000" w:themeColor="text1"/>
          <w:sz w:val="24"/>
          <w:szCs w:val="24"/>
          <w14:textFill>
            <w14:solidFill>
              <w14:schemeClr w14:val="tx1"/>
            </w14:solidFill>
          </w14:textFill>
        </w:rPr>
        <w:t>供应商名称</w:t>
      </w:r>
      <w:r>
        <w:rPr>
          <w:rFonts w:ascii="宋体"/>
          <w:color w:val="000000" w:themeColor="text1"/>
          <w:sz w:val="24"/>
          <w:szCs w:val="24"/>
          <w14:textFill>
            <w14:solidFill>
              <w14:schemeClr w14:val="tx1"/>
            </w14:solidFill>
          </w14:textFill>
        </w:rPr>
        <w:t>)</w:t>
      </w:r>
      <w:bookmarkEnd w:id="99"/>
    </w:p>
    <w:p>
      <w:pPr>
        <w:pStyle w:val="4"/>
        <w:adjustRightInd w:val="0"/>
        <w:snapToGrid w:val="0"/>
        <w:spacing w:line="240" w:lineRule="auto"/>
        <w:jc w:val="left"/>
        <w:rPr>
          <w:rFonts w:ascii="仿宋_GB2312" w:hAnsi="仿宋_GB2312" w:eastAsia="仿宋_GB2312" w:cs="仿宋_GB2312"/>
          <w:szCs w:val="28"/>
        </w:rPr>
      </w:pPr>
      <w:r>
        <w:rPr>
          <w:rFonts w:ascii="宋体"/>
          <w:color w:val="000000" w:themeColor="text1"/>
          <w:sz w:val="24"/>
          <w:szCs w:val="24"/>
          <w14:textFill>
            <w14:solidFill>
              <w14:schemeClr w14:val="tx1"/>
            </w14:solidFill>
          </w14:textFill>
        </w:rPr>
        <w:br w:type="page"/>
      </w:r>
      <w:bookmarkStart w:id="100" w:name="_Toc20010"/>
      <w:bookmarkStart w:id="101" w:name="_Toc23704_WPSOffice_Level1"/>
      <w:bookmarkStart w:id="102" w:name="_Toc4616"/>
      <w:bookmarkStart w:id="103" w:name="_Toc30465"/>
      <w:bookmarkStart w:id="104" w:name="_Toc7078"/>
      <w:r>
        <w:rPr>
          <w:rFonts w:hint="eastAsia" w:ascii="宋体" w:hAnsi="宋体" w:cs="宋体"/>
          <w:szCs w:val="28"/>
        </w:rPr>
        <w:t>合同条款</w:t>
      </w:r>
      <w:bookmarkEnd w:id="100"/>
      <w:bookmarkEnd w:id="101"/>
      <w:bookmarkEnd w:id="102"/>
      <w:bookmarkEnd w:id="103"/>
      <w:bookmarkEnd w:id="104"/>
      <w:r>
        <w:rPr>
          <w:rFonts w:hint="eastAsia" w:ascii="仿宋_GB2312" w:hAnsi="仿宋_GB2312" w:eastAsia="仿宋_GB2312" w:cs="仿宋_GB2312"/>
          <w:szCs w:val="28"/>
        </w:rPr>
        <w:t xml:space="preserve">                    </w:t>
      </w:r>
    </w:p>
    <w:p>
      <w:pPr>
        <w:spacing w:before="319" w:beforeLines="100" w:after="319" w:afterLines="100" w:line="480" w:lineRule="exact"/>
        <w:jc w:val="center"/>
        <w:rPr>
          <w:rFonts w:ascii="仿宋_GB2312" w:hAnsi="仿宋_GB2312" w:eastAsia="仿宋_GB2312" w:cs="仿宋_GB2312"/>
          <w:b/>
          <w:sz w:val="44"/>
          <w:szCs w:val="44"/>
        </w:rPr>
      </w:pPr>
      <w:bookmarkStart w:id="105" w:name="_Toc30224_WPSOffice_Level1"/>
      <w:r>
        <w:rPr>
          <w:rFonts w:hint="eastAsia" w:ascii="仿宋_GB2312" w:hAnsi="仿宋_GB2312" w:eastAsia="仿宋_GB2312" w:cs="仿宋_GB2312"/>
          <w:b/>
          <w:sz w:val="44"/>
          <w:szCs w:val="44"/>
        </w:rPr>
        <w:t>政府采购合同条款</w:t>
      </w:r>
      <w:bookmarkEnd w:id="105"/>
    </w:p>
    <w:p>
      <w:pPr>
        <w:rPr>
          <w:rFonts w:asciiTheme="majorEastAsia" w:hAnsiTheme="majorEastAsia" w:eastAsiaTheme="majorEastAsia" w:cstheme="majorEastAsia"/>
          <w:sz w:val="24"/>
          <w:szCs w:val="24"/>
        </w:rPr>
      </w:pPr>
    </w:p>
    <w:p>
      <w:pPr>
        <w:numPr>
          <w:ilvl w:val="0"/>
          <w:numId w:val="21"/>
        </w:numPr>
        <w:adjustRightInd w:val="0"/>
        <w:snapToGrid w:val="0"/>
        <w:spacing w:line="360" w:lineRule="auto"/>
        <w:rPr>
          <w:rFonts w:asciiTheme="majorEastAsia" w:hAnsiTheme="majorEastAsia" w:eastAsiaTheme="majorEastAsia" w:cstheme="majorEastAsia"/>
          <w:b/>
          <w:sz w:val="24"/>
          <w:szCs w:val="24"/>
        </w:rPr>
      </w:pPr>
      <w:bookmarkStart w:id="106" w:name="_Toc10297_WPSOffice_Level2"/>
      <w:r>
        <w:rPr>
          <w:rFonts w:hint="eastAsia" w:asciiTheme="majorEastAsia" w:hAnsiTheme="majorEastAsia" w:eastAsiaTheme="majorEastAsia" w:cstheme="majorEastAsia"/>
          <w:b/>
          <w:sz w:val="24"/>
          <w:szCs w:val="24"/>
        </w:rPr>
        <w:t>术语定义</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本政府采购合同下列术语应解释为：</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2 “政府采购合同价”指根据合同约定供方在正确地完全履行政府采购合同义务后需方应支付给供方的价格。</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3 “服务”指政府采购合同服务清单（同投标文件中开标一览表及其附表，下同）所约定的服务内容。</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5 “需方”指项目基本内容及要求中所述取得产品和服务的采购单位。</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6 “供方”指项目基本内容及要求中所述提供产品和服务的中标投标人。</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7 “检验”指需方按照政府采购合同约定的标准对供方所提供服务进行的检测和查验。</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8 “验收书”指采购单位或采购代理机构根据合同履约验收意见书形成反映采购单位和组织验收机构意见的文件。</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1.9“天”指日历天数（如无特别说明）。</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10“第三人”是指本政府采购合同双方以外的任何中国境内外的自然人、法人或其它经济组织。</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11“法律、法规”是指由中国各级政府及有关部门制定的法律、行政法规、地方性法规、规章及其它规范性文件的有关规定。</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12“招标文件”指采购人或采购代理机构发布的招标文件。</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13“投标文件”指供方按照采购代理机构招标文件的要求编制和递交，并最终被评标委员会接受的投标文件。</w:t>
      </w:r>
    </w:p>
    <w:p>
      <w:pPr>
        <w:adjustRightInd w:val="0"/>
        <w:snapToGrid w:val="0"/>
        <w:spacing w:line="360" w:lineRule="auto"/>
        <w:ind w:firstLine="479" w:firstLineChars="199"/>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2.技术规范与服务内容</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2.1投标服务的技术规范应与招标文件规定的技术规范（如果有的话）相一致。若无相应说明，则以国家有关部门最新颁布的相应标识及规范为准。</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 投标服务的服务内容应与招标文件规定服务内容及投标文件中的项目要求及投标响应表一致。</w:t>
      </w:r>
    </w:p>
    <w:p>
      <w:pPr>
        <w:adjustRightInd w:val="0"/>
        <w:snapToGrid w:val="0"/>
        <w:spacing w:line="360" w:lineRule="auto"/>
        <w:ind w:firstLine="479" w:firstLineChars="199"/>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3.知识产权</w:t>
      </w:r>
    </w:p>
    <w:p>
      <w:pPr>
        <w:adjustRightInd w:val="0"/>
        <w:snapToGrid w:val="0"/>
        <w:spacing w:line="360" w:lineRule="auto"/>
        <w:ind w:firstLine="470" w:firstLineChars="196"/>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adjustRightInd w:val="0"/>
        <w:snapToGrid w:val="0"/>
        <w:spacing w:line="360" w:lineRule="auto"/>
        <w:ind w:firstLine="470" w:firstLineChars="196"/>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3.2供方应保证所供服务符合国家的有关规定。</w:t>
      </w:r>
    </w:p>
    <w:p>
      <w:pPr>
        <w:tabs>
          <w:tab w:val="left" w:pos="360"/>
        </w:tabs>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adjustRightInd w:val="0"/>
        <w:snapToGrid w:val="0"/>
        <w:spacing w:line="360" w:lineRule="auto"/>
        <w:ind w:firstLine="479" w:firstLineChars="199"/>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4.完成方式</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供方按照合同约定的时间、地点完成服务。</w:t>
      </w:r>
    </w:p>
    <w:p>
      <w:pPr>
        <w:adjustRightInd w:val="0"/>
        <w:snapToGrid w:val="0"/>
        <w:spacing w:line="360" w:lineRule="auto"/>
        <w:ind w:firstLine="479" w:firstLineChars="199"/>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5.付款</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5.1政府采购合同以人民币付款。</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5.2在供方按照政府采购合同的规定履行服务后，需方按照合同约定的方式和条件付款。</w:t>
      </w:r>
    </w:p>
    <w:p>
      <w:pPr>
        <w:adjustRightInd w:val="0"/>
        <w:snapToGrid w:val="0"/>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6.服务质量</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6.1供方应保证政府采购合同项下所供服务是由供方提供的，并完全符合强制性的国家技术质量规范和政府采购合同规定的质量、性能和技术规范等要求。</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6.2供方提供的服务质量应满足行业一般标准，符合合同约定。</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6.3需方有权对供方的服务质量进行监督，发现服务存在不符合合同标准的情形的，可以要求供方改正服务方式、替换服务人员等补救方式，供方应按需方要求改正，并赔偿需方实际损失。</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7.技术服务和保修责任</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7.1本条适用于委托开发等最终以产品形式交付需方使用的服务。</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7.2供方对交付的产品的保修期，以招标文件中的规定为准，如果投标文件中的承诺优于招标文件规定，则以投标文件为准。</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7.3投标人应按如下内容提供售后服务承诺书：</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7.2.4保修期内，供方提供电话、电子邮件、Web、现场服务等方式的技术支持，对用户的现场服务要求，供方必须按投标文件做出的承诺进行响应。</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7.2.5保修期内，供方应对出现故障无法修复的产品或无法正常运行的系统，提供替代产品以保证系统的正常工作。</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7.2.6保修期内，供方应投标时的承诺提供相关服务。</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9" w:firstLineChars="199"/>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8.检验和验收</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8.1完成服务后，需方或采购代理机构（由具体项目决定）应在政府采购合同规定的时间内组织验收，并在“验收书”上签字。“验收书”将作为申请付款文件的一部分。</w:t>
      </w:r>
    </w:p>
    <w:p>
      <w:pPr>
        <w:adjustRightInd w:val="0"/>
        <w:snapToGrid w:val="0"/>
        <w:spacing w:line="360" w:lineRule="auto"/>
        <w:ind w:firstLine="477" w:firstLineChars="199"/>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8.2对于委托开发等最终以产品形式交付需方使用的服务，保修期自验收书签署之日起计算。</w:t>
      </w:r>
    </w:p>
    <w:p>
      <w:pPr>
        <w:tabs>
          <w:tab w:val="left" w:pos="360"/>
        </w:tabs>
        <w:adjustRightInd w:val="0"/>
        <w:snapToGrid w:val="0"/>
        <w:spacing w:line="360" w:lineRule="auto"/>
        <w:ind w:firstLine="525" w:firstLineChars="218"/>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9.违约责任</w:t>
      </w:r>
    </w:p>
    <w:p>
      <w:pPr>
        <w:adjustRightInd w:val="0"/>
        <w:snapToGrid w:val="0"/>
        <w:spacing w:line="360" w:lineRule="auto"/>
        <w:ind w:firstLine="523" w:firstLineChars="218"/>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9.1.1在需方同意延长的期限内提供服务并承担由此给需方造成的一切损失；</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9.1.2在需方规定的时间内，用符合政府采购合同规定的服务以达到政府采购合同规定的要求，供方应承担由此发生的一切费用和风险。此时，相关服务的期限也应相应延长；</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9.1.3需方有权部分或全部解除政府采购合同并要求供方赔偿由此造成的损失。此时需方可采取必要的补救措施，相关费用由供方承担。</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9.3延期服务的违约责任</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9.4以上各项交付的违约金并不影响违约方履行政府采购合同的各项义务。</w:t>
      </w:r>
    </w:p>
    <w:p>
      <w:pPr>
        <w:adjustRightInd w:val="0"/>
        <w:snapToGrid w:val="0"/>
        <w:spacing w:line="360" w:lineRule="auto"/>
        <w:ind w:left="42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10.不可抗力</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11.争端的解决</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11.1需方和供方应通过友好协商，解决在执行本政府采购合同过程中所发生的或与本政府采购合同有关的一切争端。</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11.2如果协商不成，双方中的任何一方可向需方所在地的人民法院提起诉讼。</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11.3因政府采购合同部分履行引发诉讼的，在诉讼期间，除正在进行诉讼的部分外，本政府采购合同的其它部分应继续执行。</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12.违约终止政府采购合同</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12.1在需方因供方违约而按政府采购合同约定采取的任何补救措施不起作用的情况下，需方可在下列情况下向供方发出书面通知，提出终止部分或全部政府采购合同。</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12.1.1如果供方未能在政府采购合同规定的限期或需方同意延长的限期内提供部分或全部服务；</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12.1.2如果供方未能履行政府采购合同规定的其它任何义务。</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12.1.3未经需方事先书面同意，供方部分转让和分包或全部转让和分包其应履行的政府采购合同义务。</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13.政府采购法对政府采购合同变更终止的规定</w:t>
      </w:r>
    </w:p>
    <w:p>
      <w:pPr>
        <w:adjustRightInd w:val="0"/>
        <w:snapToGrid w:val="0"/>
        <w:spacing w:line="360" w:lineRule="auto"/>
        <w:ind w:firstLine="470"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14.政府采购合同转让和分包</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除招标文件规定,并经需方事先书面同意外，供方不得部分转让和分包或全部转让和分包其应履行的政府采购合同义务。</w:t>
      </w:r>
    </w:p>
    <w:p>
      <w:pPr>
        <w:adjustRightInd w:val="0"/>
        <w:snapToGrid w:val="0"/>
        <w:spacing w:line="360" w:lineRule="auto"/>
        <w:ind w:firstLine="472"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15.适用法律：</w:t>
      </w:r>
      <w:r>
        <w:rPr>
          <w:rFonts w:hint="eastAsia" w:asciiTheme="majorEastAsia" w:hAnsiTheme="majorEastAsia" w:eastAsiaTheme="majorEastAsia" w:cstheme="majorEastAsia"/>
          <w:sz w:val="24"/>
          <w:szCs w:val="24"/>
        </w:rPr>
        <w:t>本政府采购合同按照中华人民共和国的现行法律进行解释。</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16.政府采购合同生效</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16.1本政府采购合同在工序双方法定代表人或其授权代理人签字和加盖公章后生效。</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16.2本政府采购合同一式五份，需方执二份，供方、采购代理机构、财政部门各执一份。 </w:t>
      </w:r>
    </w:p>
    <w:p>
      <w:pPr>
        <w:adjustRightInd w:val="0"/>
        <w:snapToGrid w:val="0"/>
        <w:spacing w:line="360" w:lineRule="auto"/>
        <w:ind w:firstLine="472" w:firstLineChars="196"/>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17.政府采购合同附件</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下列文件构成本政府采购合同不可分割的组成部分，与本政府采购合同具有同等法律效力：</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17.1招标文件；</w:t>
      </w:r>
    </w:p>
    <w:p>
      <w:pPr>
        <w:adjustRightInd w:val="0"/>
        <w:snapToGrid w:val="0"/>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17.2招标文件的更正公告、变更公告；</w:t>
      </w:r>
    </w:p>
    <w:p>
      <w:pPr>
        <w:adjustRightInd w:val="0"/>
        <w:snapToGrid w:val="0"/>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17.3中标投标人提交的投标文件；        </w:t>
      </w:r>
    </w:p>
    <w:p>
      <w:pPr>
        <w:adjustRightInd w:val="0"/>
        <w:snapToGrid w:val="0"/>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17.4政府采购合同条款；</w:t>
      </w:r>
    </w:p>
    <w:p>
      <w:pPr>
        <w:adjustRightInd w:val="0"/>
        <w:snapToGrid w:val="0"/>
        <w:spacing w:line="360" w:lineRule="auto"/>
        <w:ind w:firstLine="470" w:firstLineChars="19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17.5中标通知书；</w:t>
      </w:r>
    </w:p>
    <w:p>
      <w:pPr>
        <w:adjustRightInd w:val="0"/>
        <w:snapToGrid w:val="0"/>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17.6政府采购合同的其它附件。</w:t>
      </w:r>
      <w:bookmarkEnd w:id="106"/>
    </w:p>
    <w:p>
      <w:pPr>
        <w:ind w:firstLine="470" w:firstLineChars="196"/>
        <w:rPr>
          <w:rFonts w:asciiTheme="majorEastAsia" w:hAnsiTheme="majorEastAsia" w:eastAsiaTheme="majorEastAsia" w:cstheme="majorEastAsia"/>
          <w:sz w:val="24"/>
          <w:szCs w:val="24"/>
        </w:rPr>
      </w:pPr>
    </w:p>
    <w:p>
      <w:pPr>
        <w:ind w:firstLine="470" w:firstLineChars="196"/>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adjustRightInd w:val="0"/>
        <w:snapToGrid w:val="0"/>
        <w:spacing w:line="360" w:lineRule="auto"/>
        <w:jc w:val="center"/>
        <w:rPr>
          <w:rFonts w:ascii="宋体" w:hAnsi="宋体" w:cs="宋体"/>
          <w:b/>
          <w:bCs/>
          <w:sz w:val="24"/>
          <w:szCs w:val="24"/>
        </w:rPr>
      </w:pPr>
      <w:bookmarkStart w:id="107" w:name="_Toc7832_WPSOffice_Level1"/>
      <w:bookmarkStart w:id="108" w:name="_Toc11644_WPSOffice_Level1"/>
      <w:r>
        <w:rPr>
          <w:rFonts w:hint="eastAsia" w:ascii="宋体" w:hAnsi="宋体" w:cs="宋体"/>
          <w:b/>
          <w:bCs/>
          <w:sz w:val="24"/>
          <w:szCs w:val="24"/>
        </w:rPr>
        <w:t>政府采购合同格式</w:t>
      </w:r>
      <w:bookmarkEnd w:id="107"/>
      <w:bookmarkEnd w:id="108"/>
      <w:r>
        <w:rPr>
          <w:rFonts w:hint="eastAsia" w:ascii="宋体" w:hAnsi="宋体" w:cs="宋体"/>
          <w:b/>
          <w:bCs/>
          <w:sz w:val="24"/>
          <w:szCs w:val="24"/>
        </w:rPr>
        <w:t>（参考合同）</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政府采购合同编号：</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签订地点：</w:t>
      </w:r>
    </w:p>
    <w:p>
      <w:pPr>
        <w:adjustRightInd w:val="0"/>
        <w:snapToGrid w:val="0"/>
        <w:spacing w:line="360" w:lineRule="auto"/>
        <w:ind w:firstLine="640"/>
        <w:jc w:val="left"/>
        <w:rPr>
          <w:rFonts w:ascii="宋体" w:hAnsi="宋体" w:cs="宋体"/>
          <w:sz w:val="24"/>
          <w:szCs w:val="24"/>
        </w:rPr>
      </w:pPr>
      <w:r>
        <w:rPr>
          <w:rFonts w:hint="eastAsia" w:ascii="宋体" w:hAnsi="宋体" w:cs="宋体"/>
          <w:sz w:val="24"/>
          <w:szCs w:val="24"/>
          <w:u w:val="single"/>
        </w:rPr>
        <w:t xml:space="preserve">    (需方名称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（以下简称需方）和</w:t>
      </w:r>
      <w:r>
        <w:rPr>
          <w:rFonts w:hint="eastAsia" w:ascii="宋体" w:hAnsi="宋体" w:cs="宋体"/>
          <w:sz w:val="24"/>
          <w:szCs w:val="24"/>
          <w:u w:val="single"/>
        </w:rPr>
        <w:t xml:space="preserve">   (供方名称)    </w:t>
      </w:r>
      <w:r>
        <w:rPr>
          <w:rFonts w:hint="eastAsia" w:ascii="宋体" w:hAnsi="宋体" w:cs="宋体"/>
          <w:sz w:val="24"/>
          <w:szCs w:val="24"/>
        </w:rPr>
        <w:t xml:space="preserve"> （以下简称供方）根据《中华人民共和国民法典》和有关法律法规，遵循平等、自愿、公平和诚实信用原则，同意按照下面的条款和条件订立本政府采购合同，共同信守。</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一、政府采购合同文件</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本政府采购合同所附下列文件是构成本政府采购合同不可分割的部分：</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1.招标文件（招标文件编号</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2.招标文件的更正公告、变更公告；</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3.中标供应商提交的投标文件；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4.政府采购合同条款；</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5.中标通知书；</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6.政府采购合同的其它附件。</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二、政府采购合同范围和条件</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本政府采购合同的范围和条件与上述政府采购合同文件的规定相一致。</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三、政府采购合同标的</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本政府采购合同的标的为政府采购合同服务清单(同投标文件中投标服务价格明细表)中所列相关服务。</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四、政府采购合同金额</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根据上述政府采购合同文件要求，政府采购合同的总金额为人民币</w:t>
      </w:r>
      <w:r>
        <w:rPr>
          <w:rFonts w:hint="eastAsia" w:ascii="宋体" w:hAnsi="宋体" w:cs="宋体"/>
          <w:sz w:val="24"/>
          <w:szCs w:val="24"/>
          <w:u w:val="single"/>
        </w:rPr>
        <w:t xml:space="preserve">  （大写）                </w:t>
      </w:r>
      <w:r>
        <w:rPr>
          <w:rFonts w:hint="eastAsia" w:ascii="宋体" w:hAnsi="宋体" w:cs="宋体"/>
          <w:sz w:val="24"/>
          <w:szCs w:val="24"/>
        </w:rPr>
        <w:t xml:space="preserve"> 元。</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五、付款方式及条件</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 xml:space="preserve">    1.付款时间：</w:t>
      </w:r>
      <w:r>
        <w:rPr>
          <w:rFonts w:hint="eastAsia" w:ascii="宋体" w:hAnsi="宋体" w:cs="宋体"/>
          <w:sz w:val="24"/>
          <w:szCs w:val="24"/>
          <w:u w:val="single"/>
        </w:rPr>
        <w:t xml:space="preserve">        </w:t>
      </w:r>
    </w:p>
    <w:p>
      <w:pPr>
        <w:adjustRightInd w:val="0"/>
        <w:snapToGrid w:val="0"/>
        <w:spacing w:line="360" w:lineRule="auto"/>
        <w:ind w:firstLine="480"/>
        <w:jc w:val="left"/>
        <w:rPr>
          <w:rFonts w:ascii="宋体" w:hAnsi="宋体" w:cs="宋体"/>
          <w:sz w:val="24"/>
          <w:szCs w:val="24"/>
          <w:u w:val="single"/>
        </w:rPr>
      </w:pPr>
      <w:r>
        <w:rPr>
          <w:rFonts w:hint="eastAsia" w:ascii="宋体" w:hAnsi="宋体" w:cs="宋体"/>
          <w:sz w:val="24"/>
          <w:szCs w:val="24"/>
        </w:rPr>
        <w:t>2.付款方式：</w:t>
      </w:r>
      <w:r>
        <w:rPr>
          <w:rFonts w:hint="eastAsia" w:ascii="宋体" w:hAnsi="宋体" w:cs="宋体"/>
          <w:sz w:val="24"/>
          <w:szCs w:val="24"/>
          <w:u w:val="single"/>
        </w:rPr>
        <w:t xml:space="preserve"> 半年期分批支付。</w:t>
      </w:r>
    </w:p>
    <w:p>
      <w:pPr>
        <w:adjustRightInd w:val="0"/>
        <w:snapToGrid w:val="0"/>
        <w:spacing w:line="360" w:lineRule="auto"/>
        <w:ind w:firstLine="480"/>
        <w:jc w:val="left"/>
        <w:rPr>
          <w:rFonts w:ascii="宋体" w:hAnsi="宋体" w:cs="宋体"/>
          <w:sz w:val="24"/>
          <w:szCs w:val="24"/>
          <w:u w:val="single"/>
        </w:rPr>
      </w:pPr>
      <w:r>
        <w:rPr>
          <w:rFonts w:hint="eastAsia" w:ascii="宋体" w:hAnsi="宋体" w:cs="宋体"/>
          <w:sz w:val="24"/>
          <w:szCs w:val="24"/>
          <w:u w:val="single"/>
        </w:rPr>
        <w:t xml:space="preserve">从合同签订后开始日期计算到第6月后、第12月后，准备齐全本阶段六个月的各项服务维护单据（日常维修记录、定期巡查记录、故障排查记录等）、设备运行状况统计清单等装订成册进行核查，核查无误后，申请支付款项。30个工作日内向供货单位支付本期服务合同总价的50%。       </w:t>
      </w:r>
    </w:p>
    <w:p>
      <w:pPr>
        <w:adjustRightInd w:val="0"/>
        <w:snapToGrid w:val="0"/>
        <w:spacing w:line="360" w:lineRule="auto"/>
        <w:ind w:firstLine="480"/>
        <w:jc w:val="left"/>
        <w:rPr>
          <w:rFonts w:ascii="宋体" w:hAnsi="宋体" w:cs="宋体"/>
          <w:sz w:val="24"/>
          <w:szCs w:val="24"/>
          <w:u w:val="single"/>
        </w:rPr>
      </w:pPr>
      <w:r>
        <w:rPr>
          <w:rFonts w:hint="eastAsia" w:ascii="宋体" w:hAnsi="宋体" w:cs="宋体"/>
          <w:sz w:val="24"/>
          <w:szCs w:val="24"/>
        </w:rPr>
        <w:t>3.付款条件：</w:t>
      </w:r>
      <w:r>
        <w:rPr>
          <w:rFonts w:hint="eastAsia" w:ascii="宋体" w:hAnsi="宋体" w:cs="宋体"/>
          <w:sz w:val="24"/>
          <w:szCs w:val="24"/>
          <w:u w:val="single"/>
        </w:rPr>
        <w:t xml:space="preserve">        </w:t>
      </w:r>
    </w:p>
    <w:p>
      <w:pPr>
        <w:adjustRightInd w:val="0"/>
        <w:snapToGrid w:val="0"/>
        <w:spacing w:line="360" w:lineRule="auto"/>
        <w:jc w:val="left"/>
        <w:rPr>
          <w:rFonts w:ascii="宋体" w:hAnsi="宋体" w:cs="宋体"/>
          <w:sz w:val="24"/>
          <w:szCs w:val="24"/>
        </w:rPr>
      </w:pPr>
      <w:r>
        <w:rPr>
          <w:rFonts w:hint="eastAsia" w:ascii="宋体" w:hAnsi="宋体" w:cs="宋体"/>
          <w:b/>
          <w:sz w:val="24"/>
          <w:szCs w:val="24"/>
        </w:rPr>
        <w:t>　　六、服务时间和服务地点</w:t>
      </w:r>
      <w:r>
        <w:rPr>
          <w:rFonts w:hint="eastAsia" w:ascii="宋体" w:hAnsi="宋体" w:cs="宋体"/>
          <w:sz w:val="24"/>
          <w:szCs w:val="24"/>
        </w:rPr>
        <w:t xml:space="preserve">   </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 xml:space="preserve">    1.服务时间：</w:t>
      </w:r>
      <w:r>
        <w:rPr>
          <w:rFonts w:hint="eastAsia" w:ascii="宋体" w:hAnsi="宋体" w:cs="宋体"/>
          <w:sz w:val="24"/>
          <w:szCs w:val="24"/>
          <w:u w:val="single"/>
        </w:rPr>
        <w:t xml:space="preserve">        </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 xml:space="preserve">    2.服务地点：</w:t>
      </w:r>
      <w:r>
        <w:rPr>
          <w:rFonts w:hint="eastAsia" w:ascii="宋体" w:hAnsi="宋体" w:cs="宋体"/>
          <w:sz w:val="24"/>
          <w:szCs w:val="24"/>
          <w:u w:val="single"/>
        </w:rPr>
        <w:t xml:space="preserve"> 西安市儿童医院指定地点  </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七、验收要求</w:t>
      </w:r>
    </w:p>
    <w:p>
      <w:pPr>
        <w:adjustRightInd w:val="0"/>
        <w:snapToGrid w:val="0"/>
        <w:spacing w:line="360" w:lineRule="auto"/>
        <w:jc w:val="left"/>
        <w:rPr>
          <w:rFonts w:ascii="宋体" w:hAnsi="宋体" w:cs="宋体"/>
          <w:sz w:val="24"/>
          <w:szCs w:val="24"/>
          <w:u w:val="single"/>
        </w:rPr>
      </w:pPr>
      <w:r>
        <w:rPr>
          <w:rFonts w:hint="eastAsia" w:ascii="宋体" w:hAnsi="宋体" w:cs="宋体"/>
          <w:b/>
          <w:sz w:val="24"/>
          <w:szCs w:val="24"/>
        </w:rPr>
        <w:t xml:space="preserve">    </w:t>
      </w:r>
      <w:r>
        <w:rPr>
          <w:rFonts w:hint="eastAsia" w:ascii="宋体" w:hAnsi="宋体" w:cs="宋体"/>
          <w:sz w:val="24"/>
          <w:szCs w:val="24"/>
        </w:rPr>
        <w:t>供方完全履行合同义务后，需方或需方的最终用户按照上述政府采购合同文件列明的标准进行验收，验收不合格的，供方需按照第八条的约定承担相应违约责任。</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xml:space="preserve">    八、违约责任</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1.供方逾期提供服务的，每逾期一天向需方支付合同金额</w:t>
      </w:r>
      <w:r>
        <w:rPr>
          <w:rFonts w:hint="eastAsia" w:ascii="宋体" w:hAnsi="宋体" w:cs="宋体"/>
          <w:sz w:val="24"/>
          <w:szCs w:val="24"/>
          <w:u w:val="single"/>
        </w:rPr>
        <w:t xml:space="preserve">  </w:t>
      </w:r>
      <w:r>
        <w:rPr>
          <w:rFonts w:hint="eastAsia" w:ascii="宋体" w:hAnsi="宋体" w:cs="宋体"/>
          <w:sz w:val="24"/>
          <w:szCs w:val="24"/>
        </w:rPr>
        <w:t>%的违约金，逾期</w:t>
      </w:r>
      <w:r>
        <w:rPr>
          <w:rFonts w:hint="eastAsia" w:ascii="宋体" w:hAnsi="宋体" w:cs="宋体"/>
          <w:sz w:val="24"/>
          <w:szCs w:val="24"/>
          <w:u w:val="single"/>
        </w:rPr>
        <w:t xml:space="preserve">  </w:t>
      </w:r>
      <w:r>
        <w:rPr>
          <w:rFonts w:hint="eastAsia" w:ascii="宋体" w:hAnsi="宋体" w:cs="宋体"/>
          <w:sz w:val="24"/>
          <w:szCs w:val="24"/>
        </w:rPr>
        <w:t>日的，需方有权单方面解除本协议。</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2.供方提供的服务不符合约定的，需方有权向供方书面提出整改意见，供方需无条件整改至符合约定，自需方向供方提出书面意见之日起</w:t>
      </w:r>
      <w:r>
        <w:rPr>
          <w:rFonts w:hint="eastAsia" w:ascii="宋体" w:hAnsi="宋体" w:cs="宋体"/>
          <w:sz w:val="24"/>
          <w:szCs w:val="24"/>
          <w:u w:val="single"/>
        </w:rPr>
        <w:t xml:space="preserve">  </w:t>
      </w:r>
      <w:r>
        <w:rPr>
          <w:rFonts w:hint="eastAsia" w:ascii="宋体" w:hAnsi="宋体" w:cs="宋体"/>
          <w:sz w:val="24"/>
          <w:szCs w:val="24"/>
        </w:rPr>
        <w:t>日内，供方仍未整改或整改后服务仍不符合约定的，需方有权单方面解除本协议。</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3.需方逾期付款的，每逾期一天向供方支付逾期金额</w:t>
      </w:r>
      <w:r>
        <w:rPr>
          <w:rFonts w:hint="eastAsia" w:ascii="宋体" w:hAnsi="宋体" w:cs="宋体"/>
          <w:sz w:val="24"/>
          <w:szCs w:val="24"/>
          <w:u w:val="single"/>
        </w:rPr>
        <w:t xml:space="preserve">  </w:t>
      </w:r>
      <w:r>
        <w:rPr>
          <w:rFonts w:hint="eastAsia" w:ascii="宋体" w:hAnsi="宋体" w:cs="宋体"/>
          <w:sz w:val="24"/>
          <w:szCs w:val="24"/>
        </w:rPr>
        <w:t>%的违约金，逾期</w:t>
      </w:r>
      <w:r>
        <w:rPr>
          <w:rFonts w:hint="eastAsia" w:ascii="宋体" w:hAnsi="宋体" w:cs="宋体"/>
          <w:sz w:val="24"/>
          <w:szCs w:val="24"/>
          <w:u w:val="single"/>
        </w:rPr>
        <w:t xml:space="preserve">  </w:t>
      </w:r>
      <w:r>
        <w:rPr>
          <w:rFonts w:hint="eastAsia" w:ascii="宋体" w:hAnsi="宋体" w:cs="宋体"/>
          <w:sz w:val="24"/>
          <w:szCs w:val="24"/>
        </w:rPr>
        <w:t>日的，供方有权单方面解除本协议。</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xml:space="preserve">    九、争议解决</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 xml:space="preserve">    十、合同生效</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 xml:space="preserve">    本政府采购合同经双方授权代表签字盖章后生效。</w:t>
      </w:r>
    </w:p>
    <w:p>
      <w:pPr>
        <w:adjustRightInd w:val="0"/>
        <w:snapToGrid w:val="0"/>
        <w:spacing w:line="360" w:lineRule="auto"/>
        <w:jc w:val="left"/>
        <w:rPr>
          <w:rFonts w:ascii="宋体" w:hAnsi="宋体" w:cs="宋体"/>
          <w:sz w:val="24"/>
          <w:szCs w:val="24"/>
        </w:rPr>
      </w:pP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需方（公章）:                       供方(公章):</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法定代表人或授权代表人(签字):       法定代表人或授权代表人(签字):</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 xml:space="preserve">      地址：</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 xml:space="preserve">      联系人：</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邮编：</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年      月      日</w:t>
      </w:r>
      <w:r>
        <w:rPr>
          <w:rFonts w:hint="eastAsia" w:ascii="宋体" w:hAnsi="宋体" w:cs="宋体"/>
          <w:sz w:val="24"/>
          <w:szCs w:val="24"/>
        </w:rPr>
        <w:t xml:space="preserve">      日期：</w:t>
      </w:r>
      <w:r>
        <w:rPr>
          <w:rFonts w:hint="eastAsia" w:ascii="宋体" w:hAnsi="宋体" w:cs="宋体"/>
          <w:sz w:val="24"/>
          <w:szCs w:val="24"/>
          <w:u w:val="single"/>
        </w:rPr>
        <w:t xml:space="preserve">       年      月     日</w:t>
      </w:r>
    </w:p>
    <w:p>
      <w:pPr>
        <w:pStyle w:val="3"/>
        <w:keepNext w:val="0"/>
        <w:pageBreakBefore/>
        <w:rPr>
          <w:rFonts w:ascii="宋体" w:hAnsi="宋体" w:cs="宋体"/>
        </w:rPr>
      </w:pPr>
      <w:bookmarkStart w:id="109" w:name="_Toc22453"/>
      <w:r>
        <w:rPr>
          <w:rFonts w:hint="eastAsia" w:ascii="宋体" w:hAnsi="宋体" w:cs="宋体"/>
        </w:rPr>
        <w:t>第七部分 磋商响应文件格式</w:t>
      </w:r>
      <w:bookmarkEnd w:id="94"/>
      <w:bookmarkEnd w:id="95"/>
      <w:bookmarkEnd w:id="96"/>
      <w:bookmarkEnd w:id="109"/>
    </w:p>
    <w:p>
      <w:pPr>
        <w:adjustRightInd w:val="0"/>
        <w:snapToGrid w:val="0"/>
        <w:spacing w:line="400" w:lineRule="exact"/>
        <w:jc w:val="left"/>
        <w:rPr>
          <w:rFonts w:ascii="宋体" w:hAnsi="宋体" w:cs="宋体"/>
          <w:b/>
          <w:w w:val="120"/>
          <w:sz w:val="28"/>
          <w:szCs w:val="28"/>
        </w:rPr>
      </w:pPr>
      <w:bookmarkStart w:id="110" w:name="_Toc7459"/>
      <w:bookmarkStart w:id="111" w:name="_Toc24239"/>
      <w:r>
        <w:rPr>
          <w:rFonts w:hint="eastAsia" w:ascii="宋体" w:hAnsi="宋体" w:cs="宋体"/>
          <w:b/>
          <w:w w:val="120"/>
          <w:sz w:val="28"/>
          <w:szCs w:val="28"/>
        </w:rPr>
        <w:t>项目编号：SXWZ2022ZB-ETYY-293     （正本或副本）</w:t>
      </w:r>
    </w:p>
    <w:p>
      <w:pPr>
        <w:adjustRightInd w:val="0"/>
        <w:snapToGrid w:val="0"/>
        <w:spacing w:line="480" w:lineRule="auto"/>
        <w:rPr>
          <w:rFonts w:ascii="宋体" w:hAnsi="宋体" w:cs="宋体"/>
          <w:b/>
          <w:sz w:val="44"/>
          <w:szCs w:val="44"/>
        </w:rPr>
      </w:pPr>
    </w:p>
    <w:p>
      <w:pPr>
        <w:adjustRightInd w:val="0"/>
        <w:snapToGrid w:val="0"/>
        <w:spacing w:line="480" w:lineRule="auto"/>
        <w:jc w:val="center"/>
        <w:rPr>
          <w:rFonts w:ascii="宋体" w:hAnsi="宋体" w:cs="宋体"/>
          <w:b/>
          <w:sz w:val="40"/>
          <w:szCs w:val="40"/>
        </w:rPr>
      </w:pPr>
      <w:r>
        <w:rPr>
          <w:rFonts w:hint="eastAsia" w:ascii="宋体" w:hAnsi="宋体" w:cs="宋体"/>
          <w:b/>
          <w:sz w:val="40"/>
          <w:szCs w:val="40"/>
        </w:rPr>
        <w:t>西安市儿童医院软件维保项目</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响</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应</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文</w:t>
      </w:r>
    </w:p>
    <w:p>
      <w:pPr>
        <w:adjustRightInd w:val="0"/>
        <w:snapToGrid w:val="0"/>
        <w:spacing w:line="480" w:lineRule="auto"/>
        <w:jc w:val="center"/>
        <w:rPr>
          <w:rFonts w:ascii="宋体" w:hAnsi="宋体" w:cs="宋体"/>
          <w:sz w:val="52"/>
          <w:szCs w:val="52"/>
        </w:rPr>
      </w:pPr>
      <w:r>
        <w:rPr>
          <w:rFonts w:hint="eastAsia" w:ascii="宋体" w:hAnsi="宋体" w:cs="宋体"/>
          <w:b/>
          <w:sz w:val="52"/>
          <w:szCs w:val="52"/>
        </w:rPr>
        <w:t>件</w:t>
      </w:r>
    </w:p>
    <w:p>
      <w:pPr>
        <w:snapToGrid w:val="0"/>
        <w:spacing w:line="480" w:lineRule="auto"/>
        <w:ind w:firstLine="640" w:firstLineChars="200"/>
        <w:jc w:val="left"/>
        <w:rPr>
          <w:rFonts w:ascii="宋体" w:hAnsi="宋体" w:cs="宋体"/>
          <w:sz w:val="32"/>
          <w:szCs w:val="32"/>
          <w:lang w:val="zh-CN"/>
        </w:rPr>
      </w:pPr>
    </w:p>
    <w:p>
      <w:pPr>
        <w:snapToGrid w:val="0"/>
        <w:spacing w:line="480" w:lineRule="auto"/>
        <w:ind w:firstLine="640" w:firstLineChars="200"/>
        <w:jc w:val="left"/>
        <w:rPr>
          <w:rFonts w:ascii="宋体" w:hAnsi="宋体" w:cs="宋体"/>
          <w:sz w:val="32"/>
          <w:szCs w:val="32"/>
          <w:u w:val="single"/>
        </w:rPr>
      </w:pPr>
      <w:r>
        <w:rPr>
          <w:rFonts w:hint="eastAsia" w:ascii="宋体" w:hAnsi="宋体" w:cs="宋体"/>
          <w:sz w:val="32"/>
          <w:szCs w:val="32"/>
          <w:lang w:val="zh-CN"/>
        </w:rPr>
        <w:t>供应商（单位名称及公章）：</w:t>
      </w:r>
    </w:p>
    <w:p>
      <w:pPr>
        <w:snapToGrid w:val="0"/>
        <w:spacing w:line="480" w:lineRule="auto"/>
        <w:ind w:left="638" w:leftChars="304"/>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p>
    <w:p>
      <w:pPr>
        <w:pageBreakBefore/>
        <w:ind w:firstLine="1004" w:firstLineChars="200"/>
        <w:jc w:val="center"/>
        <w:rPr>
          <w:rFonts w:ascii="宋体" w:cs="宋体"/>
          <w:b/>
          <w:color w:val="000000"/>
          <w:sz w:val="50"/>
        </w:rPr>
      </w:pPr>
      <w:bookmarkStart w:id="112" w:name="_Toc17527_WPSOffice_Level1"/>
      <w:r>
        <w:rPr>
          <w:rFonts w:hint="eastAsia" w:ascii="宋体" w:hAnsi="宋体" w:cs="宋体"/>
          <w:b/>
          <w:color w:val="000000"/>
          <w:sz w:val="50"/>
        </w:rPr>
        <w:t>目录</w:t>
      </w:r>
      <w:bookmarkEnd w:id="112"/>
    </w:p>
    <w:p>
      <w:pPr>
        <w:ind w:firstLine="1004" w:firstLineChars="200"/>
        <w:jc w:val="left"/>
        <w:rPr>
          <w:rFonts w:ascii="宋体" w:cs="宋体"/>
          <w:b/>
          <w:color w:val="000000"/>
          <w:sz w:val="50"/>
        </w:rPr>
      </w:pPr>
    </w:p>
    <w:p>
      <w:pPr>
        <w:pStyle w:val="11"/>
        <w:snapToGrid w:val="0"/>
        <w:spacing w:line="480" w:lineRule="auto"/>
        <w:ind w:firstLine="562" w:firstLineChars="200"/>
        <w:jc w:val="left"/>
        <w:rPr>
          <w:rFonts w:hAnsi="宋体" w:cs="宋体"/>
          <w:b/>
          <w:bCs/>
          <w:color w:val="000000"/>
          <w:sz w:val="28"/>
          <w:szCs w:val="28"/>
        </w:rPr>
      </w:pPr>
      <w:bookmarkStart w:id="113" w:name="_Toc3727_WPSOffice_Level1"/>
      <w:bookmarkStart w:id="114" w:name="_Toc2536"/>
      <w:bookmarkStart w:id="115" w:name="_Toc27653"/>
      <w:bookmarkStart w:id="116" w:name="_Toc2272"/>
      <w:r>
        <w:rPr>
          <w:rFonts w:hint="eastAsia" w:hAnsi="宋体" w:cs="宋体"/>
          <w:b/>
          <w:bCs/>
          <w:color w:val="000000"/>
          <w:sz w:val="28"/>
          <w:szCs w:val="28"/>
        </w:rPr>
        <w:t>第一章  响应函</w:t>
      </w:r>
      <w:bookmarkEnd w:id="113"/>
    </w:p>
    <w:p>
      <w:pPr>
        <w:snapToGrid w:val="0"/>
        <w:spacing w:line="480" w:lineRule="auto"/>
        <w:ind w:firstLine="562" w:firstLineChars="200"/>
        <w:jc w:val="left"/>
        <w:rPr>
          <w:rFonts w:hAnsi="宋体" w:cs="宋体"/>
          <w:b/>
          <w:color w:val="000000"/>
          <w:sz w:val="28"/>
          <w:szCs w:val="28"/>
        </w:rPr>
      </w:pPr>
      <w:bookmarkStart w:id="117" w:name="_Toc23436_WPSOffice_Level1"/>
      <w:r>
        <w:rPr>
          <w:rFonts w:hint="eastAsia" w:ascii="宋体" w:hAnsi="宋体" w:cs="宋体"/>
          <w:b/>
          <w:color w:val="000000"/>
          <w:sz w:val="28"/>
          <w:szCs w:val="28"/>
        </w:rPr>
        <w:t>第二</w:t>
      </w:r>
      <w:r>
        <w:rPr>
          <w:rFonts w:hint="eastAsia" w:hAnsi="宋体" w:cs="宋体"/>
          <w:b/>
          <w:bCs/>
          <w:color w:val="000000"/>
          <w:sz w:val="28"/>
          <w:szCs w:val="28"/>
        </w:rPr>
        <w:t xml:space="preserve">章  </w:t>
      </w:r>
      <w:r>
        <w:rPr>
          <w:rFonts w:hint="eastAsia" w:ascii="宋体" w:hAnsi="宋体" w:cs="宋体"/>
          <w:b/>
          <w:color w:val="000000"/>
          <w:sz w:val="28"/>
          <w:szCs w:val="28"/>
        </w:rPr>
        <w:t>磋商一览表</w:t>
      </w:r>
      <w:bookmarkEnd w:id="117"/>
    </w:p>
    <w:p>
      <w:pPr>
        <w:pStyle w:val="11"/>
        <w:snapToGrid w:val="0"/>
        <w:spacing w:line="480" w:lineRule="auto"/>
        <w:ind w:firstLine="562" w:firstLineChars="200"/>
        <w:jc w:val="left"/>
        <w:rPr>
          <w:rFonts w:hAnsi="宋体" w:cs="宋体"/>
          <w:b/>
          <w:color w:val="000000"/>
          <w:kern w:val="0"/>
          <w:sz w:val="28"/>
          <w:szCs w:val="28"/>
        </w:rPr>
      </w:pPr>
      <w:bookmarkStart w:id="118" w:name="_Toc11444_WPSOffice_Level1"/>
      <w:r>
        <w:rPr>
          <w:rFonts w:hint="eastAsia" w:hAnsi="宋体" w:cs="宋体"/>
          <w:b/>
          <w:color w:val="000000"/>
          <w:sz w:val="28"/>
          <w:szCs w:val="28"/>
        </w:rPr>
        <w:t>第三</w:t>
      </w:r>
      <w:r>
        <w:rPr>
          <w:rFonts w:hint="eastAsia" w:hAnsi="宋体" w:cs="宋体"/>
          <w:b/>
          <w:bCs/>
          <w:color w:val="000000"/>
          <w:sz w:val="28"/>
          <w:szCs w:val="28"/>
        </w:rPr>
        <w:t>章  分项报价表</w:t>
      </w:r>
      <w:bookmarkEnd w:id="118"/>
    </w:p>
    <w:p>
      <w:pPr>
        <w:pStyle w:val="11"/>
        <w:snapToGrid w:val="0"/>
        <w:spacing w:line="480" w:lineRule="auto"/>
        <w:ind w:firstLine="562" w:firstLineChars="200"/>
        <w:jc w:val="left"/>
        <w:rPr>
          <w:rFonts w:hAnsi="宋体" w:cs="宋体"/>
          <w:b/>
          <w:color w:val="000000"/>
          <w:kern w:val="0"/>
          <w:sz w:val="28"/>
          <w:szCs w:val="28"/>
        </w:rPr>
      </w:pPr>
      <w:r>
        <w:rPr>
          <w:rFonts w:hint="eastAsia" w:hAnsi="宋体" w:cs="宋体"/>
          <w:b/>
          <w:color w:val="000000"/>
          <w:sz w:val="28"/>
          <w:szCs w:val="28"/>
        </w:rPr>
        <w:t>第四</w:t>
      </w:r>
      <w:r>
        <w:rPr>
          <w:rFonts w:hint="eastAsia" w:hAnsi="宋体" w:cs="宋体"/>
          <w:b/>
          <w:bCs/>
          <w:color w:val="000000"/>
          <w:sz w:val="28"/>
          <w:szCs w:val="28"/>
        </w:rPr>
        <w:t xml:space="preserve">章  </w:t>
      </w:r>
      <w:r>
        <w:rPr>
          <w:rFonts w:hint="eastAsia" w:hAnsi="宋体" w:cs="宋体"/>
          <w:b/>
          <w:color w:val="000000"/>
          <w:kern w:val="0"/>
          <w:sz w:val="28"/>
          <w:szCs w:val="28"/>
        </w:rPr>
        <w:t>供应商资质证明资料</w:t>
      </w:r>
    </w:p>
    <w:p>
      <w:pPr>
        <w:pStyle w:val="11"/>
        <w:snapToGrid w:val="0"/>
        <w:spacing w:line="480" w:lineRule="auto"/>
        <w:ind w:firstLine="562" w:firstLineChars="200"/>
        <w:jc w:val="left"/>
        <w:rPr>
          <w:rFonts w:hAnsi="宋体" w:cs="宋体"/>
          <w:b/>
          <w:bCs/>
          <w:color w:val="000000"/>
          <w:sz w:val="28"/>
          <w:szCs w:val="28"/>
        </w:rPr>
      </w:pPr>
      <w:bookmarkStart w:id="119" w:name="_Toc5905_WPSOffice_Level1"/>
      <w:r>
        <w:rPr>
          <w:rFonts w:hint="eastAsia" w:hAnsi="宋体" w:cs="宋体"/>
          <w:b/>
          <w:color w:val="000000"/>
          <w:sz w:val="28"/>
          <w:szCs w:val="28"/>
        </w:rPr>
        <w:t>第五</w:t>
      </w:r>
      <w:r>
        <w:rPr>
          <w:rFonts w:hint="eastAsia" w:hAnsi="宋体" w:cs="宋体"/>
          <w:b/>
          <w:bCs/>
          <w:color w:val="000000"/>
          <w:sz w:val="28"/>
          <w:szCs w:val="28"/>
        </w:rPr>
        <w:t>章  商务和技术响应偏离表</w:t>
      </w:r>
    </w:p>
    <w:p>
      <w:pPr>
        <w:pStyle w:val="11"/>
        <w:snapToGrid w:val="0"/>
        <w:spacing w:line="480" w:lineRule="auto"/>
        <w:ind w:firstLine="562" w:firstLineChars="200"/>
        <w:jc w:val="left"/>
        <w:rPr>
          <w:rFonts w:hAnsi="宋体" w:cs="宋体"/>
          <w:b/>
          <w:color w:val="000000"/>
          <w:sz w:val="28"/>
          <w:szCs w:val="28"/>
        </w:rPr>
      </w:pPr>
      <w:r>
        <w:rPr>
          <w:rFonts w:hint="eastAsia" w:hAnsi="宋体" w:cs="宋体"/>
          <w:b/>
          <w:color w:val="000000"/>
          <w:sz w:val="28"/>
          <w:szCs w:val="28"/>
        </w:rPr>
        <w:t>第</w:t>
      </w:r>
      <w:bookmarkEnd w:id="119"/>
      <w:r>
        <w:rPr>
          <w:rFonts w:hint="eastAsia" w:hAnsi="宋体" w:cs="宋体"/>
          <w:b/>
          <w:color w:val="000000"/>
          <w:sz w:val="28"/>
          <w:szCs w:val="28"/>
        </w:rPr>
        <w:t>六</w:t>
      </w:r>
      <w:r>
        <w:rPr>
          <w:rFonts w:hint="eastAsia" w:hAnsi="宋体" w:cs="宋体"/>
          <w:b/>
          <w:bCs/>
          <w:color w:val="000000"/>
          <w:sz w:val="28"/>
          <w:szCs w:val="28"/>
        </w:rPr>
        <w:t xml:space="preserve">章  </w:t>
      </w:r>
      <w:r>
        <w:rPr>
          <w:rFonts w:hint="eastAsia" w:hAnsi="宋体" w:cs="宋体"/>
          <w:b/>
          <w:color w:val="000000"/>
          <w:sz w:val="28"/>
          <w:szCs w:val="28"/>
        </w:rPr>
        <w:t>技术支持资料</w:t>
      </w:r>
    </w:p>
    <w:p>
      <w:pPr>
        <w:snapToGrid w:val="0"/>
        <w:spacing w:line="480" w:lineRule="auto"/>
        <w:ind w:firstLine="562" w:firstLineChars="200"/>
        <w:jc w:val="left"/>
        <w:rPr>
          <w:rFonts w:ascii="宋体" w:cs="宋体"/>
          <w:b/>
          <w:bCs/>
          <w:color w:val="000000"/>
          <w:sz w:val="28"/>
          <w:szCs w:val="28"/>
        </w:rPr>
      </w:pPr>
      <w:bookmarkStart w:id="120" w:name="_Toc1523_WPSOffice_Level1"/>
      <w:r>
        <w:rPr>
          <w:rFonts w:hint="eastAsia" w:ascii="宋体" w:hAnsi="宋体" w:cs="宋体"/>
          <w:b/>
          <w:bCs/>
          <w:color w:val="000000"/>
          <w:sz w:val="28"/>
          <w:szCs w:val="28"/>
        </w:rPr>
        <w:t>第七</w:t>
      </w:r>
      <w:r>
        <w:rPr>
          <w:rFonts w:hint="eastAsia" w:hAnsi="宋体" w:cs="宋体"/>
          <w:b/>
          <w:bCs/>
          <w:color w:val="000000"/>
          <w:sz w:val="28"/>
          <w:szCs w:val="28"/>
        </w:rPr>
        <w:t xml:space="preserve">章  </w:t>
      </w:r>
      <w:r>
        <w:rPr>
          <w:rFonts w:hint="eastAsia" w:ascii="宋体" w:hAnsi="宋体" w:cs="宋体"/>
          <w:b/>
          <w:bCs/>
          <w:color w:val="000000"/>
          <w:sz w:val="28"/>
          <w:szCs w:val="28"/>
        </w:rPr>
        <w:t>供应商业绩一览表</w:t>
      </w:r>
      <w:bookmarkEnd w:id="120"/>
    </w:p>
    <w:p>
      <w:pPr>
        <w:snapToGrid w:val="0"/>
        <w:spacing w:line="480" w:lineRule="auto"/>
        <w:ind w:firstLine="562" w:firstLineChars="200"/>
        <w:jc w:val="left"/>
        <w:rPr>
          <w:rFonts w:ascii="宋体" w:cs="宋体"/>
          <w:b/>
          <w:bCs/>
          <w:color w:val="000000"/>
          <w:sz w:val="28"/>
          <w:szCs w:val="28"/>
        </w:rPr>
      </w:pPr>
      <w:bookmarkStart w:id="121" w:name="_Toc13214_WPSOffice_Level1"/>
      <w:r>
        <w:rPr>
          <w:rFonts w:hint="eastAsia" w:ascii="宋体" w:hAnsi="宋体" w:cs="宋体"/>
          <w:b/>
          <w:bCs/>
          <w:color w:val="000000"/>
          <w:sz w:val="28"/>
          <w:szCs w:val="28"/>
        </w:rPr>
        <w:t>第八</w:t>
      </w:r>
      <w:r>
        <w:rPr>
          <w:rFonts w:hint="eastAsia" w:hAnsi="宋体" w:cs="宋体"/>
          <w:b/>
          <w:bCs/>
          <w:color w:val="000000"/>
          <w:sz w:val="28"/>
          <w:szCs w:val="28"/>
        </w:rPr>
        <w:t xml:space="preserve">章  </w:t>
      </w:r>
      <w:r>
        <w:rPr>
          <w:rFonts w:hint="eastAsia" w:ascii="宋体" w:hAnsi="宋体" w:cs="宋体"/>
          <w:b/>
          <w:bCs/>
          <w:color w:val="000000"/>
          <w:sz w:val="28"/>
          <w:szCs w:val="28"/>
        </w:rPr>
        <w:t>供应商认为有必要说明的其他问题</w:t>
      </w:r>
      <w:bookmarkEnd w:id="121"/>
    </w:p>
    <w:p>
      <w:pPr>
        <w:snapToGrid w:val="0"/>
        <w:spacing w:line="480" w:lineRule="auto"/>
        <w:ind w:firstLine="562" w:firstLineChars="200"/>
        <w:jc w:val="left"/>
        <w:rPr>
          <w:rFonts w:ascii="宋体" w:cs="宋体"/>
          <w:b/>
          <w:bCs/>
          <w:color w:val="000000"/>
          <w:sz w:val="28"/>
          <w:szCs w:val="28"/>
        </w:rPr>
      </w:pPr>
      <w:bookmarkStart w:id="122" w:name="_Toc1621_WPSOffice_Level1"/>
      <w:r>
        <w:rPr>
          <w:rFonts w:hint="eastAsia" w:ascii="宋体" w:hAnsi="宋体" w:cs="宋体"/>
          <w:b/>
          <w:bCs/>
          <w:color w:val="000000"/>
          <w:sz w:val="28"/>
          <w:szCs w:val="28"/>
        </w:rPr>
        <w:t>第九</w:t>
      </w:r>
      <w:r>
        <w:rPr>
          <w:rFonts w:hint="eastAsia" w:hAnsi="宋体" w:cs="宋体"/>
          <w:b/>
          <w:bCs/>
          <w:color w:val="000000"/>
          <w:sz w:val="28"/>
          <w:szCs w:val="28"/>
        </w:rPr>
        <w:t xml:space="preserve">章  </w:t>
      </w:r>
      <w:r>
        <w:rPr>
          <w:rFonts w:hint="eastAsia" w:ascii="宋体" w:hAnsi="宋体" w:cs="宋体"/>
          <w:b/>
          <w:bCs/>
          <w:color w:val="000000"/>
          <w:sz w:val="28"/>
          <w:szCs w:val="28"/>
        </w:rPr>
        <w:t>供应商承诺书</w:t>
      </w:r>
      <w:bookmarkEnd w:id="122"/>
    </w:p>
    <w:p>
      <w:pPr>
        <w:pStyle w:val="4"/>
        <w:rPr>
          <w:color w:val="000000"/>
        </w:rPr>
      </w:pPr>
      <w:bookmarkStart w:id="123" w:name="_Toc25438"/>
      <w:bookmarkStart w:id="124" w:name="_Toc4950"/>
      <w:bookmarkStart w:id="125" w:name="_Toc32244"/>
      <w:bookmarkStart w:id="126" w:name="_Toc27215"/>
      <w:bookmarkStart w:id="127" w:name="_Toc31486"/>
      <w:r>
        <w:rPr>
          <w:rFonts w:hint="eastAsia"/>
          <w:color w:val="000000"/>
        </w:rPr>
        <w:br w:type="page"/>
      </w:r>
      <w:bookmarkStart w:id="128" w:name="_Toc19775"/>
      <w:bookmarkStart w:id="129" w:name="_Toc14707"/>
      <w:r>
        <w:rPr>
          <w:rFonts w:hint="eastAsia"/>
          <w:color w:val="000000"/>
        </w:rPr>
        <w:t>第一</w:t>
      </w:r>
      <w:bookmarkEnd w:id="114"/>
      <w:r>
        <w:rPr>
          <w:rFonts w:hint="eastAsia"/>
          <w:color w:val="000000"/>
        </w:rPr>
        <w:t>章  响应函</w:t>
      </w:r>
      <w:bookmarkEnd w:id="115"/>
      <w:bookmarkEnd w:id="116"/>
      <w:bookmarkEnd w:id="123"/>
      <w:bookmarkEnd w:id="124"/>
      <w:bookmarkEnd w:id="125"/>
      <w:bookmarkEnd w:id="126"/>
      <w:bookmarkEnd w:id="127"/>
      <w:bookmarkEnd w:id="128"/>
      <w:bookmarkEnd w:id="129"/>
    </w:p>
    <w:p>
      <w:pPr>
        <w:adjustRightInd w:val="0"/>
        <w:snapToGrid w:val="0"/>
        <w:spacing w:line="276" w:lineRule="auto"/>
        <w:jc w:val="left"/>
        <w:rPr>
          <w:rFonts w:ascii="宋体" w:cs="宋体"/>
          <w:bCs/>
          <w:color w:val="000000"/>
          <w:sz w:val="32"/>
          <w:szCs w:val="32"/>
        </w:rPr>
      </w:pPr>
      <w:r>
        <w:rPr>
          <w:rFonts w:hint="eastAsia" w:ascii="宋体" w:hAnsi="宋体" w:cs="宋体"/>
          <w:b/>
          <w:bCs/>
          <w:color w:val="000000"/>
          <w:sz w:val="28"/>
          <w:szCs w:val="28"/>
        </w:rPr>
        <w:t>陕西万泽招标有限公司</w:t>
      </w:r>
      <w:r>
        <w:rPr>
          <w:rFonts w:hint="eastAsia" w:ascii="宋体" w:hAnsi="宋体" w:cs="宋体"/>
          <w:bCs/>
          <w:color w:val="000000"/>
          <w:sz w:val="32"/>
          <w:szCs w:val="32"/>
        </w:rPr>
        <w:t>：</w:t>
      </w:r>
    </w:p>
    <w:p>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我单位收到项目名称</w:t>
      </w:r>
      <w:r>
        <w:rPr>
          <w:rFonts w:hint="eastAsia" w:ascii="宋体" w:hAnsi="宋体" w:cs="宋体"/>
          <w:color w:val="000000"/>
          <w:sz w:val="24"/>
          <w:u w:val="single"/>
        </w:rPr>
        <w:t xml:space="preserve">：    </w:t>
      </w:r>
      <w:r>
        <w:rPr>
          <w:rFonts w:hint="eastAsia" w:ascii="宋体" w:hAnsi="宋体" w:cs="宋体"/>
          <w:color w:val="000000"/>
          <w:sz w:val="24"/>
        </w:rPr>
        <w:t>编号为</w:t>
      </w:r>
      <w:r>
        <w:rPr>
          <w:rFonts w:hint="eastAsia" w:ascii="宋体" w:hAnsi="宋体" w:cs="宋体"/>
          <w:color w:val="000000"/>
          <w:sz w:val="24"/>
          <w:u w:val="single"/>
        </w:rPr>
        <w:t xml:space="preserve">    ：</w:t>
      </w:r>
      <w:r>
        <w:rPr>
          <w:rFonts w:hint="eastAsia" w:ascii="宋体" w:hAnsi="宋体" w:cs="宋体"/>
          <w:color w:val="000000"/>
          <w:sz w:val="24"/>
        </w:rPr>
        <w:t>的竞争性磋商文件，经详细研究，我公司决定参加本次磋商活动。为此，我方郑重承诺以下诸点，并负法律责任。</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、愿意按照竞争性磋商文件中的全部要求，提供合格的产品及完善的技术服务，履行合同的责任和义务。</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、按照竞争性磋商文件的规定，我公司的响应总报价为：</w:t>
      </w:r>
    </w:p>
    <w:p>
      <w:pPr>
        <w:adjustRightInd w:val="0"/>
        <w:snapToGrid w:val="0"/>
        <w:spacing w:line="360" w:lineRule="auto"/>
        <w:ind w:firstLine="480" w:firstLineChars="200"/>
        <w:jc w:val="left"/>
        <w:rPr>
          <w:rFonts w:ascii="宋体" w:cs="宋体"/>
          <w:color w:val="000000"/>
          <w:sz w:val="24"/>
          <w:szCs w:val="24"/>
        </w:rPr>
      </w:pPr>
      <w:r>
        <w:rPr>
          <w:rFonts w:hint="eastAsia" w:ascii="宋体" w:hAnsi="宋体" w:cs="宋体"/>
          <w:color w:val="000000"/>
          <w:sz w:val="24"/>
        </w:rPr>
        <w:t>人民币（大</w:t>
      </w:r>
      <w:r>
        <w:rPr>
          <w:rFonts w:hint="eastAsia" w:ascii="宋体" w:hAnsi="宋体" w:cs="宋体"/>
          <w:color w:val="000000"/>
          <w:sz w:val="24"/>
          <w:szCs w:val="24"/>
        </w:rPr>
        <w:t>写）</w:t>
      </w:r>
      <w:r>
        <w:rPr>
          <w:rFonts w:hint="eastAsia" w:ascii="宋体" w:hAnsi="宋体" w:cs="宋体"/>
          <w:color w:val="000000"/>
          <w:sz w:val="24"/>
          <w:szCs w:val="24"/>
          <w:u w:val="single"/>
        </w:rPr>
        <w:t>：    元</w:t>
      </w:r>
      <w:r>
        <w:rPr>
          <w:rFonts w:hint="eastAsia" w:ascii="宋体" w:hAnsi="宋体" w:cs="宋体"/>
          <w:color w:val="000000"/>
          <w:sz w:val="24"/>
          <w:szCs w:val="24"/>
        </w:rPr>
        <w:t>；（小写）</w:t>
      </w:r>
      <w:r>
        <w:rPr>
          <w:rFonts w:hint="eastAsia" w:ascii="宋体" w:cs="宋体"/>
          <w:color w:val="000000"/>
          <w:sz w:val="24"/>
          <w:szCs w:val="24"/>
        </w:rPr>
        <w:t>￥</w:t>
      </w:r>
      <w:r>
        <w:rPr>
          <w:rFonts w:hint="eastAsia" w:ascii="宋体" w:hAnsi="宋体" w:cs="宋体"/>
          <w:color w:val="000000"/>
          <w:sz w:val="24"/>
          <w:szCs w:val="24"/>
          <w:u w:val="single"/>
        </w:rPr>
        <w:t>：     元</w:t>
      </w:r>
      <w:r>
        <w:rPr>
          <w:rFonts w:hint="eastAsia" w:ascii="宋体" w:hAnsi="宋体" w:cs="宋体"/>
          <w:color w:val="000000"/>
          <w:sz w:val="24"/>
          <w:szCs w:val="24"/>
        </w:rPr>
        <w:t>；</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、我方提交的磋商响应文件正本壹份、副本叁份，电子文档壹份、</w:t>
      </w:r>
      <w:r>
        <w:rPr>
          <w:rFonts w:hint="eastAsia" w:ascii="宋体" w:hAnsi="宋体" w:cs="宋体"/>
          <w:color w:val="000000"/>
          <w:sz w:val="24"/>
          <w:szCs w:val="24"/>
        </w:rPr>
        <w:t>磋商一览表壹份</w:t>
      </w:r>
      <w:r>
        <w:rPr>
          <w:rFonts w:hint="eastAsia" w:ascii="宋体" w:hAnsi="宋体" w:cs="宋体"/>
          <w:color w:val="000000"/>
          <w:sz w:val="24"/>
        </w:rPr>
        <w:t>。</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、我们已详细阅读了竞争性磋商文件，完全理解并同意放弃提出含糊不清和误解问题的权力。</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、如果我方在磋商后到规定的磋商有效期内撤回磋商响应文件及承诺，我们的保证金将被对方没收。</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、同意向贵方提供贵方可能要求的、与本次磋商有关的任何证据资料。</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7</w:t>
      </w:r>
      <w:r>
        <w:rPr>
          <w:rFonts w:hint="eastAsia" w:ascii="宋体" w:hAnsi="宋体" w:cs="宋体"/>
          <w:color w:val="000000"/>
          <w:sz w:val="24"/>
        </w:rPr>
        <w:t>、我方承诺磋商有效期为磋商后</w:t>
      </w:r>
      <w:r>
        <w:rPr>
          <w:rFonts w:ascii="宋体" w:hAnsi="宋体" w:cs="宋体"/>
          <w:color w:val="000000"/>
          <w:sz w:val="24"/>
          <w:u w:val="single"/>
        </w:rPr>
        <w:t xml:space="preserve"> </w:t>
      </w:r>
      <w:r>
        <w:rPr>
          <w:rFonts w:hint="eastAsia" w:ascii="宋体" w:hAnsi="宋体" w:cs="宋体"/>
          <w:color w:val="000000"/>
          <w:sz w:val="24"/>
          <w:u w:val="single"/>
        </w:rPr>
        <w:t>90</w:t>
      </w:r>
      <w:r>
        <w:rPr>
          <w:rFonts w:ascii="宋体" w:hAnsi="宋体" w:cs="宋体"/>
          <w:color w:val="000000"/>
          <w:sz w:val="24"/>
          <w:u w:val="single"/>
        </w:rPr>
        <w:t xml:space="preserve">  </w:t>
      </w:r>
      <w:r>
        <w:rPr>
          <w:rFonts w:hint="eastAsia" w:ascii="宋体" w:hAnsi="宋体" w:cs="宋体"/>
          <w:color w:val="000000"/>
          <w:sz w:val="24"/>
        </w:rPr>
        <w:t>日历日内有效。</w:t>
      </w:r>
    </w:p>
    <w:p>
      <w:pPr>
        <w:adjustRightInd w:val="0"/>
        <w:snapToGrid w:val="0"/>
        <w:spacing w:line="360" w:lineRule="auto"/>
        <w:ind w:firstLine="480" w:firstLineChars="200"/>
        <w:jc w:val="left"/>
        <w:rPr>
          <w:rFonts w:ascii="宋体" w:cs="宋体"/>
          <w:color w:val="000000"/>
          <w:sz w:val="24"/>
        </w:rPr>
      </w:pPr>
      <w:r>
        <w:rPr>
          <w:rFonts w:ascii="宋体" w:hAnsi="宋体" w:cs="宋体"/>
          <w:color w:val="000000"/>
          <w:sz w:val="24"/>
        </w:rPr>
        <w:t>8</w:t>
      </w:r>
      <w:r>
        <w:rPr>
          <w:rFonts w:hint="eastAsia" w:ascii="宋体" w:hAnsi="宋体" w:cs="宋体"/>
          <w:color w:val="000000"/>
          <w:sz w:val="24"/>
        </w:rPr>
        <w:t>、所有关于本次磋商的函电，请按下列地址联系：</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供应商（单位名称及公章）：</w:t>
      </w:r>
    </w:p>
    <w:p>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被授权人（签字或盖章）：</w:t>
      </w:r>
    </w:p>
    <w:p>
      <w:pPr>
        <w:adjustRightInd w:val="0"/>
        <w:snapToGrid w:val="0"/>
        <w:spacing w:line="360" w:lineRule="auto"/>
        <w:ind w:firstLine="480" w:firstLineChars="200"/>
        <w:jc w:val="left"/>
        <w:rPr>
          <w:rFonts w:ascii="宋体" w:cs="宋体"/>
          <w:color w:val="000000"/>
          <w:sz w:val="24"/>
        </w:rPr>
      </w:pPr>
      <w:r>
        <w:rPr>
          <w:rFonts w:hint="eastAsia" w:ascii="宋体" w:hAnsi="宋体" w:cs="宋体"/>
          <w:color w:val="000000"/>
          <w:sz w:val="24"/>
        </w:rPr>
        <w:t>地址：</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开户银行：</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帐号：</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电话：</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传真：</w:t>
      </w:r>
    </w:p>
    <w:p>
      <w:pPr>
        <w:adjustRightInd w:val="0"/>
        <w:snapToGrid w:val="0"/>
        <w:spacing w:line="360" w:lineRule="auto"/>
        <w:ind w:firstLine="480" w:firstLineChars="200"/>
        <w:jc w:val="left"/>
        <w:rPr>
          <w:rFonts w:ascii="宋体" w:cs="宋体"/>
          <w:color w:val="000000"/>
          <w:sz w:val="24"/>
          <w:u w:val="single"/>
        </w:rPr>
      </w:pPr>
      <w:r>
        <w:rPr>
          <w:rFonts w:hint="eastAsia" w:ascii="宋体" w:hAnsi="宋体" w:cs="宋体"/>
          <w:color w:val="000000"/>
          <w:sz w:val="24"/>
        </w:rPr>
        <w:t>邮编：</w:t>
      </w:r>
    </w:p>
    <w:p>
      <w:pPr>
        <w:adjustRightInd w:val="0"/>
        <w:snapToGrid w:val="0"/>
        <w:spacing w:line="360" w:lineRule="auto"/>
        <w:ind w:firstLine="480" w:firstLineChars="200"/>
        <w:rPr>
          <w:rFonts w:ascii="宋体" w:cs="宋体"/>
          <w:color w:val="000000"/>
          <w:sz w:val="24"/>
        </w:rPr>
      </w:pPr>
      <w:r>
        <w:rPr>
          <w:rFonts w:hint="eastAsia" w:ascii="宋体" w:hAnsi="宋体" w:cs="宋体"/>
          <w:color w:val="000000"/>
          <w:sz w:val="24"/>
        </w:rPr>
        <w:t>日期：年  月  日</w:t>
      </w:r>
    </w:p>
    <w:p>
      <w:pPr>
        <w:widowControl/>
        <w:spacing w:line="460" w:lineRule="exact"/>
        <w:ind w:firstLine="720" w:firstLineChars="200"/>
        <w:jc w:val="left"/>
        <w:rPr>
          <w:rFonts w:ascii="宋体" w:cs="宋体"/>
          <w:color w:val="000000"/>
          <w:sz w:val="36"/>
          <w:szCs w:val="36"/>
          <w:u w:val="single"/>
        </w:rPr>
      </w:pPr>
    </w:p>
    <w:p>
      <w:pPr>
        <w:widowControl/>
        <w:spacing w:line="460" w:lineRule="exact"/>
        <w:ind w:firstLine="720" w:firstLineChars="200"/>
        <w:jc w:val="left"/>
        <w:rPr>
          <w:rFonts w:ascii="宋体" w:cs="宋体"/>
          <w:color w:val="000000"/>
          <w:sz w:val="36"/>
          <w:szCs w:val="36"/>
          <w:u w:val="single"/>
        </w:rPr>
      </w:pPr>
    </w:p>
    <w:p>
      <w:pPr>
        <w:pStyle w:val="4"/>
        <w:rPr>
          <w:rFonts w:ascii="宋体" w:cs="宋体"/>
          <w:color w:val="000000"/>
        </w:rPr>
        <w:sectPr>
          <w:headerReference r:id="rId11" w:type="default"/>
          <w:footerReference r:id="rId12" w:type="default"/>
          <w:pgSz w:w="11906" w:h="16838"/>
          <w:pgMar w:top="1440" w:right="1803" w:bottom="1440" w:left="1803" w:header="851" w:footer="992" w:gutter="0"/>
          <w:cols w:space="720" w:num="1"/>
          <w:docGrid w:type="lines" w:linePitch="319" w:charSpace="0"/>
        </w:sectPr>
      </w:pPr>
      <w:bookmarkStart w:id="130" w:name="_Toc28494"/>
    </w:p>
    <w:p>
      <w:pPr>
        <w:pStyle w:val="4"/>
        <w:rPr>
          <w:rFonts w:ascii="宋体" w:cs="宋体"/>
          <w:color w:val="000000"/>
        </w:rPr>
      </w:pPr>
      <w:bookmarkStart w:id="131" w:name="_Toc31150"/>
      <w:bookmarkStart w:id="132" w:name="_Toc28815"/>
      <w:bookmarkStart w:id="133" w:name="_Toc19624"/>
      <w:bookmarkStart w:id="134" w:name="_Toc23295"/>
      <w:bookmarkStart w:id="135" w:name="_Toc6333"/>
      <w:bookmarkStart w:id="136" w:name="_Toc26486"/>
      <w:bookmarkStart w:id="137" w:name="_Toc23678"/>
      <w:bookmarkStart w:id="138" w:name="_Toc25695"/>
      <w:bookmarkStart w:id="139" w:name="_Toc26259"/>
      <w:r>
        <w:rPr>
          <w:rFonts w:hint="eastAsia" w:ascii="宋体" w:hAnsi="宋体" w:cs="宋体"/>
          <w:color w:val="000000"/>
        </w:rPr>
        <w:t>第二</w:t>
      </w:r>
      <w:bookmarkEnd w:id="130"/>
      <w:r>
        <w:rPr>
          <w:rFonts w:hint="eastAsia"/>
          <w:color w:val="000000"/>
        </w:rPr>
        <w:t xml:space="preserve">章  </w:t>
      </w:r>
      <w:r>
        <w:rPr>
          <w:rFonts w:hint="eastAsia" w:ascii="宋体" w:hAnsi="宋体" w:cs="宋体"/>
          <w:color w:val="000000"/>
        </w:rPr>
        <w:t>磋商一览表</w:t>
      </w:r>
      <w:bookmarkEnd w:id="131"/>
      <w:bookmarkEnd w:id="132"/>
      <w:bookmarkEnd w:id="133"/>
      <w:bookmarkEnd w:id="134"/>
      <w:bookmarkEnd w:id="135"/>
      <w:bookmarkEnd w:id="136"/>
      <w:bookmarkEnd w:id="137"/>
      <w:bookmarkEnd w:id="138"/>
      <w:bookmarkEnd w:id="139"/>
    </w:p>
    <w:p>
      <w:pPr>
        <w:widowControl/>
        <w:wordWrap w:val="0"/>
        <w:spacing w:line="360" w:lineRule="auto"/>
        <w:jc w:val="left"/>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：西安市儿童医院软件维保项目 </w:t>
      </w:r>
    </w:p>
    <w:p>
      <w:pPr>
        <w:pStyle w:val="6"/>
        <w:ind w:firstLine="0"/>
        <w:rPr>
          <w:rFonts w:asci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SXWZ2022ZB-ETYY-293</w:t>
      </w:r>
    </w:p>
    <w:p>
      <w:pPr>
        <w:kinsoku w:val="0"/>
        <w:spacing w:line="360" w:lineRule="auto"/>
        <w:jc w:val="left"/>
        <w:rPr>
          <w:rFonts w:ascii="宋体" w:cs="宋体"/>
          <w:color w:val="000000"/>
          <w:sz w:val="24"/>
        </w:rPr>
      </w:pPr>
      <w:r>
        <w:rPr>
          <w:rFonts w:hint="eastAsia" w:ascii="宋体" w:hAnsi="宋体" w:cs="宋体"/>
          <w:color w:val="000000"/>
          <w:sz w:val="24"/>
        </w:rPr>
        <w:t>单位：</w:t>
      </w:r>
      <w:r>
        <w:rPr>
          <w:rFonts w:hint="eastAsia" w:ascii="宋体" w:hAnsi="宋体" w:cs="宋体"/>
          <w:color w:val="000000"/>
          <w:sz w:val="24"/>
          <w:szCs w:val="24"/>
        </w:rPr>
        <w:t>元</w:t>
      </w:r>
    </w:p>
    <w:tbl>
      <w:tblPr>
        <w:tblStyle w:val="23"/>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3434"/>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326" w:type="dxa"/>
            <w:tcBorders>
              <w:tl2br w:val="single" w:color="auto" w:sz="4" w:space="0"/>
            </w:tcBorders>
          </w:tcPr>
          <w:p>
            <w:pPr>
              <w:kinsoku w:val="0"/>
              <w:spacing w:line="480" w:lineRule="auto"/>
              <w:ind w:firstLine="1050" w:firstLineChars="500"/>
              <w:jc w:val="left"/>
              <w:rPr>
                <w:rFonts w:ascii="宋体" w:cs="宋体"/>
                <w:color w:val="000000"/>
                <w:szCs w:val="21"/>
              </w:rPr>
            </w:pPr>
            <w:r>
              <w:rPr>
                <w:rFonts w:hint="eastAsia" w:ascii="宋体" w:hAnsi="宋体" w:cs="宋体"/>
                <w:color w:val="000000"/>
                <w:szCs w:val="21"/>
              </w:rPr>
              <w:t>报价内容</w:t>
            </w:r>
          </w:p>
          <w:p>
            <w:pPr>
              <w:kinsoku w:val="0"/>
              <w:spacing w:line="480" w:lineRule="auto"/>
              <w:jc w:val="left"/>
              <w:rPr>
                <w:rFonts w:ascii="宋体" w:cs="宋体"/>
                <w:color w:val="000000"/>
                <w:szCs w:val="21"/>
              </w:rPr>
            </w:pPr>
            <w:r>
              <w:rPr>
                <w:rFonts w:hint="eastAsia" w:ascii="宋体" w:hAnsi="宋体" w:cs="宋体"/>
                <w:color w:val="000000"/>
                <w:szCs w:val="21"/>
              </w:rPr>
              <w:t>响应内容</w:t>
            </w:r>
          </w:p>
        </w:tc>
        <w:tc>
          <w:tcPr>
            <w:tcW w:w="3434" w:type="dxa"/>
            <w:vAlign w:val="bottom"/>
          </w:tcPr>
          <w:p>
            <w:pPr>
              <w:kinsoku w:val="0"/>
              <w:spacing w:line="480" w:lineRule="auto"/>
              <w:jc w:val="center"/>
              <w:rPr>
                <w:rFonts w:ascii="宋体" w:cs="宋体"/>
                <w:color w:val="000000"/>
                <w:szCs w:val="21"/>
              </w:rPr>
            </w:pPr>
            <w:r>
              <w:rPr>
                <w:rFonts w:hint="eastAsia" w:ascii="宋体" w:hAnsi="宋体" w:cs="宋体"/>
                <w:color w:val="000000"/>
                <w:szCs w:val="21"/>
              </w:rPr>
              <w:t>磋商总报价（元 ）</w:t>
            </w:r>
          </w:p>
          <w:p>
            <w:pPr>
              <w:kinsoku w:val="0"/>
              <w:jc w:val="center"/>
              <w:rPr>
                <w:rFonts w:ascii="宋体" w:cs="宋体"/>
                <w:color w:val="000000"/>
                <w:szCs w:val="21"/>
              </w:rPr>
            </w:pPr>
          </w:p>
        </w:tc>
        <w:tc>
          <w:tcPr>
            <w:tcW w:w="2738" w:type="dxa"/>
            <w:vAlign w:val="center"/>
          </w:tcPr>
          <w:p>
            <w:pPr>
              <w:kinsoku w:val="0"/>
              <w:ind w:firstLine="840" w:firstLineChars="400"/>
              <w:rPr>
                <w:rFonts w:ascii="宋体" w:hAnsi="宋体" w:cs="宋体"/>
                <w:color w:val="000000"/>
                <w:szCs w:val="21"/>
              </w:rPr>
            </w:pPr>
            <w:r>
              <w:rPr>
                <w:rFonts w:hint="eastAsia" w:ascii="宋体" w:hAnsi="宋体" w:cs="宋体"/>
                <w:color w:val="000000"/>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326" w:type="dxa"/>
            <w:vAlign w:val="center"/>
          </w:tcPr>
          <w:p>
            <w:pPr>
              <w:pStyle w:val="6"/>
              <w:ind w:firstLine="0"/>
              <w:jc w:val="center"/>
              <w:rPr>
                <w:color w:val="000000"/>
              </w:rPr>
            </w:pPr>
            <w:r>
              <w:rPr>
                <w:rFonts w:hint="eastAsia"/>
                <w:color w:val="000000"/>
              </w:rPr>
              <w:t xml:space="preserve">西安市儿童医院软件维保项目 </w:t>
            </w:r>
          </w:p>
        </w:tc>
        <w:tc>
          <w:tcPr>
            <w:tcW w:w="3434" w:type="dxa"/>
            <w:vAlign w:val="center"/>
          </w:tcPr>
          <w:p>
            <w:pPr>
              <w:kinsoku w:val="0"/>
              <w:spacing w:line="480" w:lineRule="auto"/>
              <w:ind w:firstLine="420" w:firstLineChars="200"/>
              <w:jc w:val="left"/>
              <w:rPr>
                <w:rFonts w:ascii="宋体" w:cs="宋体"/>
                <w:color w:val="000000"/>
                <w:szCs w:val="21"/>
              </w:rPr>
            </w:pPr>
          </w:p>
        </w:tc>
        <w:tc>
          <w:tcPr>
            <w:tcW w:w="2738" w:type="dxa"/>
            <w:vAlign w:val="center"/>
          </w:tcPr>
          <w:p>
            <w:pPr>
              <w:kinsoku w:val="0"/>
              <w:spacing w:line="480" w:lineRule="auto"/>
              <w:ind w:firstLine="420" w:firstLineChars="200"/>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98" w:type="dxa"/>
            <w:gridSpan w:val="3"/>
            <w:vAlign w:val="center"/>
          </w:tcPr>
          <w:p>
            <w:pPr>
              <w:kinsoku w:val="0"/>
              <w:spacing w:line="480" w:lineRule="auto"/>
              <w:ind w:firstLine="420" w:firstLineChars="200"/>
              <w:jc w:val="left"/>
              <w:rPr>
                <w:rFonts w:ascii="宋体" w:hAnsi="宋体" w:cs="宋体"/>
                <w:color w:val="000000"/>
                <w:szCs w:val="21"/>
              </w:rPr>
            </w:pPr>
            <w:r>
              <w:rPr>
                <w:rFonts w:hint="eastAsia" w:ascii="宋体" w:hAnsi="宋体" w:cs="宋体"/>
                <w:color w:val="000000"/>
                <w:szCs w:val="21"/>
              </w:rPr>
              <w:t>总报价：人民币（大写）</w:t>
            </w:r>
            <w:r>
              <w:rPr>
                <w:rFonts w:hint="eastAsia" w:ascii="宋体" w:hAnsi="宋体" w:cs="宋体"/>
                <w:color w:val="000000"/>
                <w:sz w:val="24"/>
              </w:rPr>
              <w:t>（小写）</w:t>
            </w:r>
            <w:r>
              <w:rPr>
                <w:rFonts w:hint="eastAsia" w:ascii="宋体" w:cs="宋体"/>
                <w:color w:val="000000"/>
                <w:szCs w:val="21"/>
              </w:rPr>
              <w:t xml:space="preserve">￥  </w:t>
            </w:r>
            <w:r>
              <w:rPr>
                <w:rFonts w:hint="eastAsia" w:ascii="宋体" w:hAnsi="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498" w:type="dxa"/>
            <w:gridSpan w:val="3"/>
            <w:vAlign w:val="center"/>
          </w:tcPr>
          <w:p>
            <w:pPr>
              <w:kinsoku w:val="0"/>
              <w:spacing w:line="480" w:lineRule="auto"/>
              <w:ind w:firstLine="420" w:firstLineChars="200"/>
              <w:jc w:val="left"/>
              <w:rPr>
                <w:rFonts w:ascii="宋体" w:cs="宋体"/>
                <w:color w:val="000000"/>
                <w:szCs w:val="21"/>
              </w:rPr>
            </w:pPr>
            <w:r>
              <w:rPr>
                <w:rFonts w:hint="eastAsia" w:ascii="宋体" w:hAnsi="宋体" w:cs="宋体"/>
                <w:color w:val="000000"/>
                <w:szCs w:val="21"/>
              </w:rPr>
              <w:t>备注：</w:t>
            </w:r>
            <w:r>
              <w:rPr>
                <w:rFonts w:ascii="宋体" w:hAnsi="宋体" w:cs="宋体"/>
                <w:color w:val="000000"/>
                <w:szCs w:val="21"/>
              </w:rPr>
              <w:t>1.</w:t>
            </w:r>
            <w:r>
              <w:rPr>
                <w:rFonts w:hint="eastAsia" w:ascii="宋体" w:hAnsi="宋体" w:cs="宋体"/>
                <w:color w:val="000000"/>
                <w:szCs w:val="21"/>
              </w:rPr>
              <w:t>表内报价内容以元为单位，精确到小数点后两位；</w:t>
            </w:r>
          </w:p>
          <w:p>
            <w:pPr>
              <w:kinsoku w:val="0"/>
              <w:spacing w:line="480" w:lineRule="auto"/>
              <w:ind w:firstLine="1050" w:firstLineChars="5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服务期详见第五部分采购要求。</w:t>
            </w:r>
          </w:p>
        </w:tc>
      </w:tr>
    </w:tbl>
    <w:p>
      <w:pPr>
        <w:kinsoku w:val="0"/>
        <w:spacing w:line="360" w:lineRule="auto"/>
        <w:jc w:val="left"/>
        <w:rPr>
          <w:rFonts w:ascii="宋体" w:cs="宋体"/>
          <w:b/>
          <w:bCs/>
          <w:color w:val="000000"/>
          <w:sz w:val="28"/>
          <w:szCs w:val="24"/>
        </w:rPr>
      </w:pPr>
      <w:r>
        <w:rPr>
          <w:rFonts w:hint="eastAsia" w:ascii="宋体" w:hAnsi="宋体" w:cs="宋体"/>
          <w:b/>
          <w:bCs/>
          <w:color w:val="000000"/>
          <w:sz w:val="28"/>
          <w:szCs w:val="24"/>
        </w:rPr>
        <w:t>此表应再制作一份，单独密封递交。</w:t>
      </w:r>
    </w:p>
    <w:p>
      <w:pPr>
        <w:adjustRightInd w:val="0"/>
        <w:snapToGrid w:val="0"/>
        <w:spacing w:line="480" w:lineRule="auto"/>
        <w:jc w:val="left"/>
        <w:rPr>
          <w:rFonts w:ascii="宋体" w:cs="宋体"/>
          <w:color w:val="000000"/>
          <w:sz w:val="24"/>
        </w:rPr>
      </w:pPr>
    </w:p>
    <w:p>
      <w:pPr>
        <w:adjustRightInd w:val="0"/>
        <w:snapToGrid w:val="0"/>
        <w:spacing w:line="480" w:lineRule="auto"/>
        <w:jc w:val="left"/>
        <w:rPr>
          <w:rFonts w:ascii="宋体" w:cs="宋体"/>
          <w:color w:val="000000"/>
          <w:sz w:val="24"/>
          <w:u w:val="single"/>
        </w:rPr>
      </w:pPr>
      <w:r>
        <w:rPr>
          <w:rFonts w:hint="eastAsia" w:ascii="宋体" w:hAnsi="宋体" w:cs="宋体"/>
          <w:color w:val="000000"/>
          <w:sz w:val="24"/>
        </w:rPr>
        <w:t>供应商（单位名称及公章）：</w:t>
      </w:r>
    </w:p>
    <w:p>
      <w:pPr>
        <w:adjustRightInd w:val="0"/>
        <w:snapToGrid w:val="0"/>
        <w:spacing w:line="480" w:lineRule="auto"/>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被授权人（签字或盖章）：</w:t>
      </w:r>
    </w:p>
    <w:p>
      <w:pPr>
        <w:adjustRightInd w:val="0"/>
        <w:snapToGrid w:val="0"/>
        <w:spacing w:line="480" w:lineRule="auto"/>
        <w:rPr>
          <w:rFonts w:ascii="宋体" w:cs="宋体"/>
          <w:color w:val="000000"/>
          <w:sz w:val="24"/>
        </w:rPr>
      </w:pPr>
      <w:r>
        <w:rPr>
          <w:rFonts w:hint="eastAsia" w:ascii="宋体" w:hAnsi="宋体" w:cs="宋体"/>
          <w:color w:val="000000"/>
          <w:sz w:val="24"/>
        </w:rPr>
        <w:t>日期：年月日</w:t>
      </w:r>
    </w:p>
    <w:p>
      <w:pPr>
        <w:kinsoku w:val="0"/>
        <w:spacing w:line="480" w:lineRule="auto"/>
        <w:jc w:val="left"/>
        <w:rPr>
          <w:rFonts w:ascii="宋体" w:cs="宋体"/>
          <w:color w:val="000000"/>
          <w:sz w:val="24"/>
        </w:rPr>
      </w:pPr>
    </w:p>
    <w:p>
      <w:pPr>
        <w:pStyle w:val="4"/>
        <w:rPr>
          <w:color w:val="000000"/>
          <w:sz w:val="36"/>
          <w:szCs w:val="36"/>
        </w:rPr>
      </w:pPr>
      <w:r>
        <w:rPr>
          <w:rFonts w:hAnsi="宋体" w:cs="宋体"/>
          <w:color w:val="000000"/>
          <w:sz w:val="32"/>
        </w:rPr>
        <w:br w:type="page"/>
      </w:r>
      <w:bookmarkStart w:id="140" w:name="_Toc2953"/>
      <w:bookmarkStart w:id="141" w:name="_Toc27277"/>
      <w:bookmarkStart w:id="142" w:name="_Toc10234"/>
      <w:bookmarkStart w:id="143" w:name="_Toc1789"/>
      <w:bookmarkStart w:id="144" w:name="_Toc9868"/>
      <w:bookmarkStart w:id="145" w:name="_Toc20625"/>
      <w:bookmarkStart w:id="146" w:name="_Toc25886"/>
      <w:bookmarkStart w:id="147" w:name="_Toc9034"/>
      <w:bookmarkStart w:id="148" w:name="_Toc17641"/>
      <w:bookmarkStart w:id="149" w:name="_Toc9863"/>
      <w:bookmarkStart w:id="150" w:name="_Toc10126"/>
      <w:bookmarkStart w:id="151" w:name="_Toc6753"/>
      <w:r>
        <w:rPr>
          <w:rFonts w:hint="eastAsia" w:hAnsi="宋体" w:cs="宋体"/>
          <w:color w:val="000000"/>
          <w:sz w:val="32"/>
        </w:rPr>
        <w:t>第三章</w:t>
      </w:r>
      <w:r>
        <w:rPr>
          <w:rFonts w:hint="eastAsia"/>
          <w:color w:val="000000"/>
        </w:rPr>
        <w:t xml:space="preserve">  </w:t>
      </w:r>
      <w:r>
        <w:rPr>
          <w:rFonts w:hint="eastAsia"/>
          <w:color w:val="000000"/>
          <w:sz w:val="36"/>
          <w:szCs w:val="36"/>
        </w:rPr>
        <w:t>分项报价表</w:t>
      </w:r>
      <w:bookmarkEnd w:id="140"/>
      <w:bookmarkEnd w:id="141"/>
      <w:bookmarkEnd w:id="142"/>
      <w:bookmarkEnd w:id="143"/>
      <w:bookmarkEnd w:id="144"/>
      <w:bookmarkEnd w:id="145"/>
      <w:bookmarkEnd w:id="146"/>
    </w:p>
    <w:p>
      <w:pPr>
        <w:pStyle w:val="6"/>
        <w:ind w:firstLine="0"/>
        <w:rPr>
          <w:color w:val="000000"/>
        </w:rPr>
      </w:pPr>
    </w:p>
    <w:p>
      <w:pPr>
        <w:widowControl/>
        <w:wordWrap w:val="0"/>
        <w:spacing w:line="360" w:lineRule="auto"/>
        <w:jc w:val="left"/>
        <w:rPr>
          <w:rFonts w:ascii="宋体" w:hAnsi="宋体" w:cs="宋体"/>
          <w:color w:val="000000"/>
          <w:sz w:val="24"/>
          <w:u w:val="single"/>
        </w:rPr>
      </w:pPr>
      <w:r>
        <w:rPr>
          <w:rFonts w:hint="eastAsia" w:ascii="宋体" w:hAnsi="宋体" w:cs="宋体"/>
          <w:color w:val="000000"/>
          <w:sz w:val="24"/>
        </w:rPr>
        <w:t xml:space="preserve">项目名称：西安市儿童医院软件维保项目 </w:t>
      </w:r>
    </w:p>
    <w:p>
      <w:pPr>
        <w:pStyle w:val="6"/>
        <w:ind w:firstLine="0"/>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SXWZ2022ZB-ETYY-293</w:t>
      </w:r>
    </w:p>
    <w:p>
      <w:pPr>
        <w:widowControl/>
        <w:wordWrap w:val="0"/>
        <w:spacing w:line="360" w:lineRule="auto"/>
        <w:jc w:val="left"/>
        <w:rPr>
          <w:rFonts w:ascii="宋体" w:cs="宋体"/>
          <w:b/>
          <w:color w:val="000000"/>
          <w:sz w:val="36"/>
          <w:szCs w:val="36"/>
        </w:rPr>
      </w:pPr>
      <w:r>
        <w:rPr>
          <w:rFonts w:hint="eastAsia" w:ascii="宋体" w:hAnsi="宋体" w:cs="宋体"/>
          <w:color w:val="000000"/>
          <w:sz w:val="24"/>
        </w:rPr>
        <w:t>共  页，第  页</w:t>
      </w:r>
    </w:p>
    <w:tbl>
      <w:tblPr>
        <w:tblStyle w:val="23"/>
        <w:tblpPr w:leftFromText="180" w:rightFromText="180" w:vertAnchor="text" w:horzAnchor="page" w:tblpX="1534" w:tblpY="373"/>
        <w:tblOverlap w:val="never"/>
        <w:tblW w:w="8940" w:type="dxa"/>
        <w:tblInd w:w="0" w:type="dxa"/>
        <w:tblLayout w:type="fixed"/>
        <w:tblCellMar>
          <w:top w:w="0" w:type="dxa"/>
          <w:left w:w="28" w:type="dxa"/>
          <w:bottom w:w="0" w:type="dxa"/>
          <w:right w:w="28" w:type="dxa"/>
        </w:tblCellMar>
      </w:tblPr>
      <w:tblGrid>
        <w:gridCol w:w="1133"/>
        <w:gridCol w:w="523"/>
        <w:gridCol w:w="778"/>
        <w:gridCol w:w="1531"/>
        <w:gridCol w:w="1549"/>
        <w:gridCol w:w="1115"/>
        <w:gridCol w:w="1173"/>
        <w:gridCol w:w="1138"/>
      </w:tblGrid>
      <w:tr>
        <w:tblPrEx>
          <w:tblCellMar>
            <w:top w:w="0" w:type="dxa"/>
            <w:left w:w="28" w:type="dxa"/>
            <w:bottom w:w="0" w:type="dxa"/>
            <w:right w:w="28" w:type="dxa"/>
          </w:tblCellMar>
        </w:tblPrEx>
        <w:trPr>
          <w:trHeight w:val="832" w:hRule="atLeast"/>
        </w:trPr>
        <w:tc>
          <w:tcPr>
            <w:tcW w:w="1133" w:type="dxa"/>
            <w:vMerge w:val="restart"/>
            <w:tcBorders>
              <w:top w:val="single" w:color="auto" w:sz="6" w:space="0"/>
              <w:left w:val="single" w:color="auto" w:sz="6" w:space="0"/>
              <w:right w:val="single" w:color="auto" w:sz="4" w:space="0"/>
            </w:tcBorders>
            <w:vAlign w:val="center"/>
          </w:tcPr>
          <w:p>
            <w:pPr>
              <w:jc w:val="left"/>
              <w:rPr>
                <w:rFonts w:ascii="宋体"/>
                <w:sz w:val="22"/>
              </w:rPr>
            </w:pPr>
            <w:r>
              <w:rPr>
                <w:rFonts w:hint="eastAsia" w:ascii="宋体" w:hAnsi="宋体"/>
                <w:sz w:val="22"/>
              </w:rPr>
              <w:t>服务费用</w:t>
            </w:r>
          </w:p>
        </w:tc>
        <w:tc>
          <w:tcPr>
            <w:tcW w:w="523" w:type="dxa"/>
            <w:tcBorders>
              <w:top w:val="single" w:color="auto" w:sz="6" w:space="0"/>
              <w:left w:val="single" w:color="auto" w:sz="4" w:space="0"/>
              <w:bottom w:val="single" w:color="auto" w:sz="6" w:space="0"/>
            </w:tcBorders>
            <w:vAlign w:val="center"/>
          </w:tcPr>
          <w:p>
            <w:pPr>
              <w:spacing w:after="120"/>
              <w:jc w:val="center"/>
              <w:rPr>
                <w:rFonts w:ascii="宋体"/>
                <w:sz w:val="22"/>
              </w:rPr>
            </w:pPr>
            <w:r>
              <w:rPr>
                <w:rFonts w:hint="eastAsia" w:ascii="宋体" w:hAnsi="宋体"/>
                <w:sz w:val="22"/>
              </w:rPr>
              <w:t>序号</w:t>
            </w:r>
          </w:p>
        </w:tc>
        <w:tc>
          <w:tcPr>
            <w:tcW w:w="7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名称</w:t>
            </w:r>
          </w:p>
        </w:tc>
        <w:tc>
          <w:tcPr>
            <w:tcW w:w="153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服务</w:t>
            </w:r>
            <w:r>
              <w:rPr>
                <w:rFonts w:ascii="宋体" w:hAnsi="宋体"/>
                <w:sz w:val="22"/>
              </w:rPr>
              <w:t>/</w:t>
            </w:r>
            <w:r>
              <w:rPr>
                <w:rFonts w:hint="eastAsia" w:ascii="宋体" w:hAnsi="宋体"/>
                <w:sz w:val="22"/>
              </w:rPr>
              <w:t>费用类型</w:t>
            </w:r>
          </w:p>
        </w:tc>
        <w:tc>
          <w:tcPr>
            <w:tcW w:w="1549" w:type="dxa"/>
            <w:tcBorders>
              <w:top w:val="single" w:color="auto" w:sz="6" w:space="0"/>
              <w:left w:val="single" w:color="auto" w:sz="6" w:space="0"/>
              <w:bottom w:val="single" w:color="auto" w:sz="6" w:space="0"/>
              <w:right w:val="single" w:color="auto" w:sz="6" w:space="0"/>
            </w:tcBorders>
            <w:vAlign w:val="center"/>
          </w:tcPr>
          <w:p>
            <w:pPr>
              <w:spacing w:before="159" w:beforeLines="50" w:after="120"/>
              <w:ind w:firstLine="440" w:firstLineChars="200"/>
              <w:rPr>
                <w:rFonts w:ascii="宋体"/>
                <w:sz w:val="22"/>
              </w:rPr>
            </w:pPr>
            <w:r>
              <w:rPr>
                <w:rFonts w:hint="eastAsia" w:ascii="宋体" w:hAnsi="宋体"/>
                <w:sz w:val="22"/>
              </w:rPr>
              <w:t>服务商</w:t>
            </w:r>
          </w:p>
        </w:tc>
        <w:tc>
          <w:tcPr>
            <w:tcW w:w="111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数量/单位</w:t>
            </w:r>
          </w:p>
        </w:tc>
        <w:tc>
          <w:tcPr>
            <w:tcW w:w="117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sz w:val="22"/>
              </w:rPr>
            </w:pPr>
            <w:r>
              <w:rPr>
                <w:rFonts w:hint="eastAsia" w:ascii="宋体" w:hAnsi="宋体"/>
                <w:sz w:val="22"/>
              </w:rPr>
              <w:t>单价</w:t>
            </w:r>
          </w:p>
          <w:p>
            <w:pPr>
              <w:spacing w:after="120"/>
              <w:jc w:val="center"/>
              <w:rPr>
                <w:rFonts w:ascii="宋体"/>
                <w:bCs/>
                <w:sz w:val="22"/>
              </w:rPr>
            </w:pPr>
            <w:r>
              <w:rPr>
                <w:rFonts w:hint="eastAsia" w:ascii="宋体" w:hAnsi="宋体"/>
                <w:sz w:val="22"/>
              </w:rPr>
              <w:t>（元）</w:t>
            </w:r>
          </w:p>
        </w:tc>
        <w:tc>
          <w:tcPr>
            <w:tcW w:w="113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bCs/>
                <w:sz w:val="22"/>
              </w:rPr>
            </w:pPr>
            <w:r>
              <w:rPr>
                <w:rFonts w:hint="eastAsia" w:ascii="宋体" w:hAnsi="宋体"/>
                <w:bCs/>
                <w:sz w:val="22"/>
              </w:rPr>
              <w:t>总价</w:t>
            </w:r>
          </w:p>
          <w:p>
            <w:pPr>
              <w:spacing w:after="120"/>
              <w:jc w:val="center"/>
              <w:rPr>
                <w:rFonts w:asci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96" w:hRule="atLeast"/>
        </w:trPr>
        <w:tc>
          <w:tcPr>
            <w:tcW w:w="1133"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23" w:type="dxa"/>
            <w:tcBorders>
              <w:top w:val="single" w:color="auto" w:sz="6" w:space="0"/>
              <w:left w:val="single" w:color="auto" w:sz="4" w:space="0"/>
              <w:bottom w:val="single" w:color="auto" w:sz="4" w:space="0"/>
            </w:tcBorders>
            <w:vAlign w:val="center"/>
          </w:tcPr>
          <w:p>
            <w:pPr>
              <w:spacing w:before="319" w:beforeLines="100"/>
              <w:jc w:val="center"/>
              <w:rPr>
                <w:rFonts w:ascii="宋体"/>
                <w:sz w:val="22"/>
              </w:rPr>
            </w:pPr>
            <w:r>
              <w:rPr>
                <w:rFonts w:ascii="宋体" w:hAnsi="宋体"/>
                <w:sz w:val="22"/>
              </w:rPr>
              <w:t>1</w:t>
            </w:r>
          </w:p>
        </w:tc>
        <w:tc>
          <w:tcPr>
            <w:tcW w:w="778"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531" w:type="dxa"/>
            <w:tcBorders>
              <w:top w:val="single" w:color="auto" w:sz="6" w:space="0"/>
              <w:left w:val="single" w:color="auto" w:sz="6" w:space="0"/>
              <w:bottom w:val="single" w:color="auto" w:sz="4" w:space="0"/>
              <w:right w:val="single" w:color="auto" w:sz="6" w:space="0"/>
            </w:tcBorders>
            <w:vAlign w:val="center"/>
          </w:tcPr>
          <w:p>
            <w:pPr>
              <w:jc w:val="center"/>
              <w:rPr>
                <w:rFonts w:ascii="宋体"/>
                <w:sz w:val="22"/>
              </w:rPr>
            </w:pPr>
          </w:p>
        </w:tc>
        <w:tc>
          <w:tcPr>
            <w:tcW w:w="1549"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115"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17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c>
          <w:tcPr>
            <w:tcW w:w="1138"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691" w:hRule="atLeast"/>
        </w:trPr>
        <w:tc>
          <w:tcPr>
            <w:tcW w:w="1133"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ascii="宋体" w:hAnsi="宋体"/>
                <w:sz w:val="22"/>
              </w:rPr>
              <w:t>2</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696" w:hRule="atLeast"/>
        </w:trPr>
        <w:tc>
          <w:tcPr>
            <w:tcW w:w="1133"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ascii="宋体" w:hAnsi="宋体"/>
                <w:sz w:val="22"/>
              </w:rPr>
              <w:t>3</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894" w:hRule="atLeast"/>
        </w:trPr>
        <w:tc>
          <w:tcPr>
            <w:tcW w:w="1133" w:type="dxa"/>
            <w:vMerge w:val="continue"/>
            <w:tcBorders>
              <w:left w:val="single" w:color="auto" w:sz="6" w:space="0"/>
              <w:right w:val="single" w:color="auto" w:sz="4" w:space="0"/>
            </w:tcBorders>
            <w:vAlign w:val="center"/>
          </w:tcPr>
          <w:p>
            <w:pPr>
              <w:spacing w:before="319"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ascii="宋体" w:hAnsi="宋体"/>
                <w:sz w:val="22"/>
              </w:rPr>
              <w:t>4</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894" w:hRule="atLeast"/>
        </w:trPr>
        <w:tc>
          <w:tcPr>
            <w:tcW w:w="1133" w:type="dxa"/>
            <w:vMerge w:val="continue"/>
            <w:tcBorders>
              <w:left w:val="single" w:color="auto" w:sz="6" w:space="0"/>
              <w:bottom w:val="single" w:color="auto" w:sz="6" w:space="0"/>
              <w:right w:val="single" w:color="auto" w:sz="4" w:space="0"/>
            </w:tcBorders>
            <w:vAlign w:val="center"/>
          </w:tcPr>
          <w:p>
            <w:pPr>
              <w:spacing w:before="319" w:beforeLines="100"/>
              <w:jc w:val="center"/>
              <w:rPr>
                <w:rFonts w:ascii="宋体"/>
                <w:sz w:val="22"/>
              </w:rPr>
            </w:pPr>
          </w:p>
        </w:tc>
        <w:tc>
          <w:tcPr>
            <w:tcW w:w="523" w:type="dxa"/>
            <w:tcBorders>
              <w:top w:val="single" w:color="auto" w:sz="4" w:space="0"/>
              <w:left w:val="single" w:color="auto" w:sz="4" w:space="0"/>
              <w:bottom w:val="single" w:color="auto" w:sz="6" w:space="0"/>
            </w:tcBorders>
            <w:vAlign w:val="center"/>
          </w:tcPr>
          <w:p>
            <w:pPr>
              <w:spacing w:before="319" w:beforeLines="100"/>
              <w:jc w:val="center"/>
              <w:rPr>
                <w:rFonts w:ascii="宋体"/>
                <w:sz w:val="22"/>
              </w:rPr>
            </w:pPr>
            <w:r>
              <w:rPr>
                <w:rFonts w:hint="eastAsia" w:ascii="宋体" w:hAnsi="宋体"/>
                <w:sz w:val="22"/>
              </w:rPr>
              <w:t>……</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r>
              <w:rPr>
                <w:rFonts w:ascii="宋体" w:hAnsi="宋体"/>
                <w:sz w:val="22"/>
              </w:rPr>
              <w:t xml:space="preserve"> </w:t>
            </w: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微软雅黑" w:eastAsia="微软雅黑" w:cs="宋体"/>
                <w:sz w:val="24"/>
                <w:szCs w:val="24"/>
              </w:rPr>
            </w:pPr>
            <w:r>
              <w:rPr>
                <w:rFonts w:hint="eastAsia" w:ascii="宋体" w:hAnsi="宋体"/>
                <w:sz w:val="22"/>
              </w:rPr>
              <w:t>……</w:t>
            </w:r>
          </w:p>
        </w:tc>
        <w:tc>
          <w:tcPr>
            <w:tcW w:w="1549"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p>
        </w:tc>
      </w:tr>
      <w:tr>
        <w:tblPrEx>
          <w:tblCellMar>
            <w:top w:w="0" w:type="dxa"/>
            <w:left w:w="28" w:type="dxa"/>
            <w:bottom w:w="0" w:type="dxa"/>
            <w:right w:w="28" w:type="dxa"/>
          </w:tblCellMar>
        </w:tblPrEx>
        <w:trPr>
          <w:trHeight w:val="565" w:hRule="atLeast"/>
        </w:trPr>
        <w:tc>
          <w:tcPr>
            <w:tcW w:w="2434"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r>
              <w:rPr>
                <w:rFonts w:hint="eastAsia" w:ascii="宋体" w:hAnsi="宋体"/>
                <w:sz w:val="22"/>
              </w:rPr>
              <w:t>其他费用</w:t>
            </w:r>
          </w:p>
        </w:tc>
        <w:tc>
          <w:tcPr>
            <w:tcW w:w="1531" w:type="dxa"/>
            <w:tcBorders>
              <w:top w:val="single" w:color="auto" w:sz="4" w:space="0"/>
              <w:left w:val="single" w:color="auto" w:sz="6" w:space="0"/>
              <w:bottom w:val="single" w:color="auto" w:sz="6" w:space="0"/>
              <w:right w:val="single" w:color="auto" w:sz="6" w:space="0"/>
            </w:tcBorders>
            <w:vAlign w:val="center"/>
          </w:tcPr>
          <w:p>
            <w:pPr>
              <w:jc w:val="center"/>
              <w:rPr>
                <w:rFonts w:ascii="宋体"/>
                <w:sz w:val="22"/>
              </w:rPr>
            </w:pPr>
          </w:p>
        </w:tc>
        <w:tc>
          <w:tcPr>
            <w:tcW w:w="4975" w:type="dxa"/>
            <w:gridSpan w:val="4"/>
            <w:tcBorders>
              <w:top w:val="single" w:color="auto" w:sz="4" w:space="0"/>
              <w:left w:val="single" w:color="auto" w:sz="6" w:space="0"/>
              <w:bottom w:val="single" w:color="auto" w:sz="6" w:space="0"/>
              <w:right w:val="single" w:color="auto" w:sz="6" w:space="0"/>
            </w:tcBorders>
            <w:vAlign w:val="center"/>
          </w:tcPr>
          <w:p>
            <w:pPr>
              <w:jc w:val="center"/>
            </w:pPr>
          </w:p>
        </w:tc>
      </w:tr>
      <w:tr>
        <w:tblPrEx>
          <w:tblCellMar>
            <w:top w:w="0" w:type="dxa"/>
            <w:left w:w="28" w:type="dxa"/>
            <w:bottom w:w="0" w:type="dxa"/>
            <w:right w:w="28" w:type="dxa"/>
          </w:tblCellMar>
        </w:tblPrEx>
        <w:trPr>
          <w:trHeight w:val="565" w:hRule="atLeast"/>
        </w:trPr>
        <w:tc>
          <w:tcPr>
            <w:tcW w:w="1656" w:type="dxa"/>
            <w:gridSpan w:val="2"/>
            <w:tcBorders>
              <w:top w:val="single" w:color="auto" w:sz="4" w:space="0"/>
              <w:left w:val="single" w:color="auto" w:sz="6" w:space="0"/>
              <w:bottom w:val="single" w:color="auto" w:sz="6" w:space="0"/>
            </w:tcBorders>
            <w:vAlign w:val="center"/>
          </w:tcPr>
          <w:p>
            <w:pPr>
              <w:rPr>
                <w:rFonts w:ascii="宋体"/>
                <w:sz w:val="22"/>
              </w:rPr>
            </w:pPr>
            <w:r>
              <w:rPr>
                <w:rFonts w:hint="eastAsia" w:ascii="宋体" w:hAnsi="宋体"/>
                <w:sz w:val="22"/>
              </w:rPr>
              <w:t>总报价</w:t>
            </w:r>
          </w:p>
        </w:tc>
        <w:tc>
          <w:tcPr>
            <w:tcW w:w="778" w:type="dxa"/>
            <w:tcBorders>
              <w:top w:val="single" w:color="auto" w:sz="4" w:space="0"/>
              <w:left w:val="single" w:color="auto" w:sz="6" w:space="0"/>
              <w:bottom w:val="single" w:color="auto" w:sz="6" w:space="0"/>
              <w:right w:val="single" w:color="auto" w:sz="6" w:space="0"/>
            </w:tcBorders>
            <w:vAlign w:val="center"/>
          </w:tcPr>
          <w:p>
            <w:pPr>
              <w:spacing w:before="159" w:beforeLines="50"/>
              <w:jc w:val="left"/>
              <w:rPr>
                <w:rFonts w:ascii="宋体"/>
                <w:sz w:val="22"/>
              </w:rPr>
            </w:pPr>
            <w:r>
              <w:rPr>
                <w:rFonts w:hint="eastAsia" w:ascii="宋体" w:hAnsi="宋体"/>
                <w:sz w:val="22"/>
              </w:rPr>
              <w:t>大写：</w:t>
            </w:r>
            <w:r>
              <w:rPr>
                <w:rFonts w:ascii="宋体" w:hAnsi="宋体"/>
                <w:sz w:val="22"/>
              </w:rPr>
              <w:t xml:space="preserve">                       </w:t>
            </w:r>
            <w:r>
              <w:rPr>
                <w:rFonts w:hint="eastAsia" w:ascii="宋体" w:hAnsi="宋体"/>
                <w:sz w:val="22"/>
              </w:rPr>
              <w:t>小写：元</w:t>
            </w:r>
          </w:p>
        </w:tc>
        <w:tc>
          <w:tcPr>
            <w:tcW w:w="6506" w:type="dxa"/>
            <w:gridSpan w:val="5"/>
            <w:tcBorders>
              <w:top w:val="single" w:color="auto" w:sz="4" w:space="0"/>
              <w:left w:val="single" w:color="auto" w:sz="6" w:space="0"/>
              <w:bottom w:val="single" w:color="auto" w:sz="6" w:space="0"/>
              <w:right w:val="single" w:color="auto" w:sz="6" w:space="0"/>
            </w:tcBorders>
            <w:vAlign w:val="center"/>
          </w:tcPr>
          <w:p>
            <w:pPr>
              <w:spacing w:before="159" w:beforeLines="50"/>
              <w:jc w:val="left"/>
            </w:pPr>
          </w:p>
        </w:tc>
      </w:tr>
      <w:tr>
        <w:tblPrEx>
          <w:tblCellMar>
            <w:top w:w="0" w:type="dxa"/>
            <w:left w:w="28" w:type="dxa"/>
            <w:bottom w:w="0" w:type="dxa"/>
            <w:right w:w="28" w:type="dxa"/>
          </w:tblCellMar>
        </w:tblPrEx>
        <w:trPr>
          <w:trHeight w:val="647" w:hRule="atLeast"/>
        </w:trPr>
        <w:tc>
          <w:tcPr>
            <w:tcW w:w="1656" w:type="dxa"/>
            <w:gridSpan w:val="2"/>
            <w:tcBorders>
              <w:top w:val="single" w:color="auto" w:sz="4" w:space="0"/>
              <w:left w:val="single" w:color="auto" w:sz="6" w:space="0"/>
              <w:bottom w:val="single" w:color="auto" w:sz="6" w:space="0"/>
            </w:tcBorders>
            <w:vAlign w:val="center"/>
          </w:tcPr>
          <w:p>
            <w:pPr>
              <w:jc w:val="center"/>
              <w:rPr>
                <w:rFonts w:ascii="宋体"/>
                <w:sz w:val="22"/>
              </w:rPr>
            </w:pPr>
            <w:r>
              <w:rPr>
                <w:rFonts w:hint="eastAsia" w:ascii="宋体" w:hAnsi="宋体"/>
                <w:sz w:val="22"/>
              </w:rPr>
              <w:t>备注</w:t>
            </w:r>
          </w:p>
        </w:tc>
        <w:tc>
          <w:tcPr>
            <w:tcW w:w="7284" w:type="dxa"/>
            <w:gridSpan w:val="6"/>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sz w:val="22"/>
              </w:rPr>
            </w:pPr>
            <w:r>
              <w:rPr>
                <w:rFonts w:hint="eastAsia" w:ascii="宋体" w:hAnsi="宋体"/>
                <w:spacing w:val="-6"/>
                <w:sz w:val="22"/>
              </w:rPr>
              <w:t>保留小数点后两位。</w:t>
            </w:r>
          </w:p>
        </w:tc>
      </w:tr>
    </w:tbl>
    <w:p>
      <w:pPr>
        <w:widowControl/>
        <w:wordWrap w:val="0"/>
        <w:spacing w:line="360" w:lineRule="auto"/>
        <w:jc w:val="left"/>
        <w:rPr>
          <w:rFonts w:ascii="宋体" w:cs="宋体"/>
          <w:b/>
          <w:color w:val="000000"/>
          <w:sz w:val="36"/>
          <w:szCs w:val="36"/>
        </w:rPr>
      </w:pPr>
    </w:p>
    <w:p>
      <w:pPr>
        <w:adjustRightInd w:val="0"/>
        <w:snapToGrid w:val="0"/>
        <w:spacing w:line="480" w:lineRule="auto"/>
        <w:rPr>
          <w:rFonts w:ascii="宋体"/>
          <w:color w:val="000000"/>
          <w:sz w:val="24"/>
          <w:szCs w:val="24"/>
        </w:rPr>
      </w:pPr>
      <w:r>
        <w:rPr>
          <w:rFonts w:hint="eastAsia" w:ascii="宋体" w:hAnsi="宋体"/>
          <w:color w:val="000000"/>
          <w:sz w:val="24"/>
          <w:szCs w:val="24"/>
        </w:rPr>
        <w:t>供应商（单位名称及公章）：</w:t>
      </w:r>
    </w:p>
    <w:p>
      <w:pPr>
        <w:adjustRightInd w:val="0"/>
        <w:snapToGrid w:val="0"/>
        <w:spacing w:line="480" w:lineRule="auto"/>
        <w:rPr>
          <w:rFonts w:ascii="宋体"/>
          <w:color w:val="000000"/>
          <w:sz w:val="24"/>
          <w:szCs w:val="24"/>
        </w:rPr>
      </w:pPr>
      <w:r>
        <w:rPr>
          <w:rFonts w:hint="eastAsia" w:ascii="宋体" w:hAnsi="宋体"/>
          <w:color w:val="000000"/>
          <w:sz w:val="24"/>
          <w:szCs w:val="24"/>
        </w:rPr>
        <w:t>法定代表人</w:t>
      </w:r>
      <w:r>
        <w:rPr>
          <w:rFonts w:ascii="宋体" w:hAnsi="宋体"/>
          <w:color w:val="000000"/>
          <w:sz w:val="24"/>
          <w:szCs w:val="24"/>
        </w:rPr>
        <w:t>/</w:t>
      </w:r>
      <w:r>
        <w:rPr>
          <w:rFonts w:hint="eastAsia" w:ascii="宋体" w:hAnsi="宋体"/>
          <w:color w:val="000000"/>
          <w:sz w:val="24"/>
          <w:szCs w:val="24"/>
        </w:rPr>
        <w:t>被授权人（签字或盖章）：</w:t>
      </w:r>
    </w:p>
    <w:p>
      <w:pPr>
        <w:adjustRightInd w:val="0"/>
        <w:snapToGrid w:val="0"/>
        <w:spacing w:line="480" w:lineRule="auto"/>
        <w:rPr>
          <w:color w:val="000000"/>
          <w:sz w:val="36"/>
          <w:szCs w:val="36"/>
        </w:rPr>
        <w:sectPr>
          <w:pgSz w:w="11906" w:h="16838"/>
          <w:pgMar w:top="1440" w:right="1803" w:bottom="1440" w:left="1803" w:header="851" w:footer="992" w:gutter="0"/>
          <w:cols w:space="720" w:num="1"/>
          <w:docGrid w:type="lines" w:linePitch="319" w:charSpace="0"/>
        </w:sectPr>
      </w:pPr>
      <w:r>
        <w:rPr>
          <w:rFonts w:hint="eastAsia" w:ascii="宋体" w:hAnsi="宋体"/>
          <w:color w:val="000000"/>
          <w:sz w:val="24"/>
          <w:szCs w:val="24"/>
        </w:rPr>
        <w:t>日期：年  月  日</w:t>
      </w:r>
    </w:p>
    <w:bookmarkEnd w:id="147"/>
    <w:bookmarkEnd w:id="148"/>
    <w:bookmarkEnd w:id="149"/>
    <w:bookmarkEnd w:id="150"/>
    <w:bookmarkEnd w:id="151"/>
    <w:p>
      <w:pPr>
        <w:pStyle w:val="4"/>
        <w:rPr>
          <w:color w:val="000000"/>
        </w:rPr>
      </w:pPr>
      <w:bookmarkStart w:id="152" w:name="_Toc25889"/>
      <w:bookmarkStart w:id="153" w:name="_Toc3301"/>
      <w:bookmarkStart w:id="154" w:name="_Toc14796"/>
      <w:bookmarkStart w:id="155" w:name="_Toc32440"/>
      <w:bookmarkStart w:id="156" w:name="_Toc23078"/>
      <w:r>
        <w:rPr>
          <w:rFonts w:hint="eastAsia"/>
          <w:color w:val="000000"/>
        </w:rPr>
        <w:t>第四章  供应商资质证明资料</w:t>
      </w:r>
      <w:bookmarkEnd w:id="152"/>
      <w:bookmarkEnd w:id="153"/>
      <w:bookmarkEnd w:id="154"/>
    </w:p>
    <w:p>
      <w:pPr>
        <w:pStyle w:val="6"/>
        <w:rPr>
          <w:rFonts w:ascii="宋体" w:hAnsi="宋体" w:cs="宋体"/>
          <w:b/>
          <w:bCs/>
          <w:color w:val="000000"/>
          <w:sz w:val="28"/>
          <w:szCs w:val="24"/>
        </w:rPr>
      </w:pPr>
    </w:p>
    <w:p>
      <w:pPr>
        <w:pStyle w:val="6"/>
        <w:rPr>
          <w:rFonts w:ascii="宋体" w:hAnsi="宋体" w:cs="宋体"/>
          <w:b/>
          <w:bCs/>
          <w:color w:val="000000"/>
          <w:sz w:val="28"/>
          <w:szCs w:val="24"/>
        </w:rPr>
      </w:pPr>
    </w:p>
    <w:p>
      <w:pPr>
        <w:pStyle w:val="6"/>
        <w:rPr>
          <w:b/>
          <w:bCs/>
          <w:color w:val="000000"/>
          <w:sz w:val="28"/>
          <w:szCs w:val="24"/>
        </w:rPr>
      </w:pPr>
      <w:r>
        <w:rPr>
          <w:rFonts w:hint="eastAsia" w:ascii="宋体" w:hAnsi="宋体" w:cs="宋体"/>
          <w:b/>
          <w:bCs/>
          <w:color w:val="000000"/>
          <w:sz w:val="28"/>
          <w:szCs w:val="24"/>
        </w:rPr>
        <w:t>供应商需在此页附磋商公告或磋商文件中要求的资质证明文件，响应文件附资质复印件或扫描件加盖供应商公章。格式参考见下页。</w:t>
      </w:r>
    </w:p>
    <w:p>
      <w:pPr>
        <w:rPr>
          <w:color w:val="000000"/>
        </w:rPr>
      </w:pPr>
    </w:p>
    <w:p>
      <w:pPr>
        <w:pStyle w:val="6"/>
        <w:rPr>
          <w:color w:val="000000"/>
          <w:sz w:val="24"/>
          <w:szCs w:val="24"/>
        </w:rPr>
      </w:pPr>
    </w:p>
    <w:p>
      <w:pPr>
        <w:pStyle w:val="6"/>
        <w:ind w:firstLine="0"/>
        <w:rPr>
          <w:b/>
          <w:bCs/>
          <w:color w:val="000000"/>
          <w:sz w:val="28"/>
          <w:szCs w:val="28"/>
        </w:rPr>
        <w:sectPr>
          <w:pgSz w:w="11906" w:h="16838"/>
          <w:pgMar w:top="1440" w:right="1803" w:bottom="1440" w:left="1803" w:header="851" w:footer="992" w:gutter="0"/>
          <w:cols w:space="720" w:num="1"/>
          <w:docGrid w:type="lines" w:linePitch="319" w:charSpace="0"/>
        </w:sectPr>
      </w:pPr>
    </w:p>
    <w:p>
      <w:pPr>
        <w:pStyle w:val="6"/>
        <w:ind w:firstLine="0"/>
        <w:rPr>
          <w:b/>
          <w:bCs/>
          <w:color w:val="000000"/>
          <w:sz w:val="32"/>
          <w:szCs w:val="28"/>
        </w:rPr>
      </w:pPr>
      <w:r>
        <w:rPr>
          <w:rFonts w:hint="eastAsia"/>
          <w:b/>
          <w:bCs/>
          <w:color w:val="000000"/>
          <w:sz w:val="32"/>
          <w:szCs w:val="28"/>
        </w:rPr>
        <w:t>附：资质证明文件格式：</w:t>
      </w:r>
    </w:p>
    <w:p>
      <w:pPr>
        <w:rPr>
          <w:rFonts w:ascii="宋体"/>
          <w:color w:val="000000"/>
        </w:rPr>
      </w:pPr>
      <w:r>
        <w:rPr>
          <w:rFonts w:hint="eastAsia" w:ascii="宋体" w:hAnsi="宋体" w:cs="宋体"/>
          <w:color w:val="000000"/>
          <w:sz w:val="24"/>
          <w:szCs w:val="24"/>
        </w:rPr>
        <w:t>1、供应商符合《政府采购法》第二十二条规定条件的承诺函</w:t>
      </w:r>
    </w:p>
    <w:p>
      <w:pPr>
        <w:pStyle w:val="9"/>
        <w:spacing w:line="360" w:lineRule="auto"/>
        <w:ind w:left="0" w:leftChars="0"/>
        <w:rPr>
          <w:rFonts w:ascii="宋体"/>
          <w:color w:val="000000"/>
          <w:sz w:val="24"/>
          <w:szCs w:val="24"/>
        </w:rPr>
      </w:pPr>
      <w:r>
        <w:rPr>
          <w:rFonts w:hint="eastAsia" w:ascii="宋体" w:hAnsi="宋体" w:cs="宋体"/>
          <w:color w:val="000000"/>
          <w:sz w:val="24"/>
          <w:szCs w:val="24"/>
        </w:rPr>
        <w:t>致陕西万泽招标有限公司：</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本公司</w:t>
      </w:r>
      <w:r>
        <w:rPr>
          <w:rFonts w:hint="eastAsia" w:ascii="宋体" w:hAnsi="宋体" w:cs="宋体"/>
          <w:color w:val="000000"/>
          <w:sz w:val="24"/>
          <w:szCs w:val="24"/>
          <w:u w:val="single"/>
        </w:rPr>
        <w:t>（公司名称）</w:t>
      </w:r>
      <w:r>
        <w:rPr>
          <w:rFonts w:hint="eastAsia" w:ascii="宋体" w:hAnsi="宋体" w:cs="宋体"/>
          <w:color w:val="000000"/>
          <w:sz w:val="24"/>
          <w:szCs w:val="24"/>
        </w:rPr>
        <w:t>参加的投标活动，现承诺：</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我公司满足政府采购法第二十二条关于供应商的资格要求：</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（一）具有独立承担民事责任的能力；</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（二）具有良好的商业信誉和健全的财务会计制度；</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（三）具有履行合同所必需的设备和专业技术能力；</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（四）有依法缴纳税收的良好记录；</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（五）参加政府采购活动前三年内，在经营活动中没有重大违法记录；</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（六）法律、行政法规规定的其他条件。</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ascii="宋体"/>
          <w:color w:val="000000"/>
          <w:sz w:val="24"/>
          <w:szCs w:val="24"/>
        </w:rPr>
      </w:pPr>
      <w:r>
        <w:rPr>
          <w:rFonts w:hint="eastAsia" w:ascii="宋体" w:hAnsi="宋体" w:cs="宋体"/>
          <w:color w:val="000000"/>
          <w:sz w:val="24"/>
          <w:szCs w:val="24"/>
        </w:rPr>
        <w:t>如违反以上承诺，本公司愿承担一切法律责任。</w:t>
      </w:r>
    </w:p>
    <w:p>
      <w:pPr>
        <w:pStyle w:val="9"/>
        <w:spacing w:line="360" w:lineRule="auto"/>
        <w:ind w:left="0" w:leftChars="0"/>
        <w:rPr>
          <w:rFonts w:ascii="宋体"/>
          <w:color w:val="000000"/>
          <w:sz w:val="24"/>
          <w:szCs w:val="24"/>
        </w:rPr>
      </w:pPr>
    </w:p>
    <w:p>
      <w:pPr>
        <w:spacing w:line="360" w:lineRule="auto"/>
        <w:rPr>
          <w:rFonts w:ascii="宋体"/>
          <w:color w:val="000000"/>
          <w:sz w:val="24"/>
          <w:szCs w:val="24"/>
          <w:u w:val="single"/>
        </w:rPr>
      </w:pP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（名称及盖章）</w:t>
      </w:r>
    </w:p>
    <w:p>
      <w:pPr>
        <w:spacing w:line="360" w:lineRule="auto"/>
        <w:rPr>
          <w:rFonts w:ascii="宋体"/>
          <w:color w:val="000000"/>
          <w:sz w:val="24"/>
          <w:szCs w:val="24"/>
        </w:rPr>
      </w:pPr>
    </w:p>
    <w:p>
      <w:pPr>
        <w:spacing w:line="360" w:lineRule="auto"/>
        <w:rPr>
          <w:rFonts w:ascii="宋体"/>
          <w:color w:val="000000"/>
          <w:sz w:val="24"/>
          <w:szCs w:val="24"/>
        </w:rPr>
      </w:pPr>
      <w:r>
        <w:rPr>
          <w:rFonts w:hint="eastAsia" w:ascii="宋体" w:hAnsi="宋体" w:cs="宋体"/>
          <w:color w:val="000000"/>
          <w:sz w:val="24"/>
          <w:szCs w:val="24"/>
        </w:rPr>
        <w:t>法定代表人或委托代理人（签字或盖章）：</w:t>
      </w:r>
    </w:p>
    <w:p>
      <w:pPr>
        <w:spacing w:line="360" w:lineRule="auto"/>
        <w:rPr>
          <w:rFonts w:ascii="宋体"/>
          <w:color w:val="000000"/>
          <w:sz w:val="24"/>
          <w:szCs w:val="24"/>
        </w:rPr>
      </w:pPr>
    </w:p>
    <w:p>
      <w:pPr>
        <w:spacing w:line="360" w:lineRule="auto"/>
        <w:rPr>
          <w:rFonts w:ascii="宋体"/>
          <w:color w:val="000000"/>
          <w:sz w:val="24"/>
          <w:szCs w:val="24"/>
        </w:rPr>
      </w:pPr>
      <w:r>
        <w:rPr>
          <w:rFonts w:hint="eastAsia" w:ascii="宋体" w:hAnsi="宋体" w:cs="宋体"/>
          <w:color w:val="000000"/>
          <w:sz w:val="24"/>
          <w:szCs w:val="24"/>
        </w:rPr>
        <w:t>日期：</w:t>
      </w:r>
    </w:p>
    <w:p>
      <w:pPr>
        <w:pStyle w:val="6"/>
        <w:ind w:firstLine="0"/>
        <w:rPr>
          <w:color w:val="000000"/>
        </w:rPr>
      </w:pPr>
    </w:p>
    <w:p>
      <w:pPr>
        <w:rPr>
          <w:color w:val="000000"/>
        </w:rPr>
      </w:pPr>
      <w:bookmarkStart w:id="157" w:name="_Toc1408"/>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sectPr>
          <w:pgSz w:w="11906" w:h="16838"/>
          <w:pgMar w:top="1440" w:right="1803" w:bottom="1440" w:left="1803" w:header="851" w:footer="992" w:gutter="0"/>
          <w:cols w:space="720" w:num="1"/>
          <w:docGrid w:type="lines" w:linePitch="319" w:charSpace="0"/>
        </w:sectPr>
      </w:pPr>
    </w:p>
    <w:p>
      <w:pPr>
        <w:ind w:firstLine="2240" w:firstLineChars="700"/>
        <w:rPr>
          <w:color w:val="000000"/>
          <w:sz w:val="32"/>
          <w:szCs w:val="36"/>
        </w:rPr>
      </w:pPr>
      <w:r>
        <w:rPr>
          <w:rFonts w:hint="eastAsia"/>
          <w:color w:val="000000"/>
          <w:sz w:val="32"/>
          <w:szCs w:val="36"/>
        </w:rPr>
        <w:t>2、供应商基本情况一览表</w:t>
      </w:r>
    </w:p>
    <w:p>
      <w:pPr>
        <w:rPr>
          <w:color w:val="000000"/>
          <w:sz w:val="28"/>
          <w:szCs w:val="32"/>
        </w:rPr>
      </w:pPr>
      <w:r>
        <w:rPr>
          <w:rFonts w:hint="eastAsia"/>
          <w:color w:val="000000"/>
          <w:sz w:val="24"/>
          <w:szCs w:val="28"/>
        </w:rPr>
        <w:t>2-1供应商基本情况一览表</w:t>
      </w:r>
    </w:p>
    <w:tbl>
      <w:tblPr>
        <w:tblStyle w:val="23"/>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color w:val="000000"/>
              </w:rPr>
            </w:pPr>
            <w:r>
              <w:rPr>
                <w:rFonts w:hint="eastAsia"/>
                <w:color w:val="000000"/>
              </w:rPr>
              <w:t>供应商名称</w:t>
            </w:r>
          </w:p>
        </w:tc>
        <w:tc>
          <w:tcPr>
            <w:tcW w:w="7105" w:type="dxa"/>
            <w:gridSpan w:val="7"/>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color w:val="000000"/>
              </w:rPr>
            </w:pPr>
            <w:r>
              <w:rPr>
                <w:rFonts w:hint="eastAsia"/>
                <w:color w:val="000000"/>
              </w:rPr>
              <w:t>注册地址</w:t>
            </w:r>
          </w:p>
        </w:tc>
        <w:tc>
          <w:tcPr>
            <w:tcW w:w="3655" w:type="dxa"/>
            <w:gridSpan w:val="3"/>
            <w:vAlign w:val="center"/>
          </w:tcPr>
          <w:p>
            <w:pPr>
              <w:rPr>
                <w:color w:val="000000"/>
              </w:rPr>
            </w:pPr>
          </w:p>
        </w:tc>
        <w:tc>
          <w:tcPr>
            <w:tcW w:w="1401" w:type="dxa"/>
            <w:vAlign w:val="center"/>
          </w:tcPr>
          <w:p>
            <w:pPr>
              <w:rPr>
                <w:color w:val="000000"/>
              </w:rPr>
            </w:pPr>
            <w:r>
              <w:rPr>
                <w:rFonts w:hint="eastAsia"/>
                <w:color w:val="000000"/>
              </w:rPr>
              <w:t>邮政编码</w:t>
            </w:r>
          </w:p>
        </w:tc>
        <w:tc>
          <w:tcPr>
            <w:tcW w:w="2049" w:type="dxa"/>
            <w:gridSpan w:val="3"/>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rPr>
            </w:pPr>
            <w:r>
              <w:rPr>
                <w:rFonts w:hint="eastAsia"/>
                <w:color w:val="000000"/>
              </w:rPr>
              <w:t>联系方式</w:t>
            </w:r>
          </w:p>
        </w:tc>
        <w:tc>
          <w:tcPr>
            <w:tcW w:w="1016" w:type="dxa"/>
            <w:vAlign w:val="center"/>
          </w:tcPr>
          <w:p>
            <w:pPr>
              <w:rPr>
                <w:color w:val="000000"/>
              </w:rPr>
            </w:pPr>
            <w:r>
              <w:rPr>
                <w:rFonts w:hint="eastAsia"/>
                <w:color w:val="000000"/>
              </w:rPr>
              <w:t>联系人</w:t>
            </w:r>
          </w:p>
        </w:tc>
        <w:tc>
          <w:tcPr>
            <w:tcW w:w="2639" w:type="dxa"/>
            <w:gridSpan w:val="2"/>
            <w:vAlign w:val="center"/>
          </w:tcPr>
          <w:p>
            <w:pPr>
              <w:rPr>
                <w:color w:val="000000"/>
              </w:rPr>
            </w:pPr>
          </w:p>
        </w:tc>
        <w:tc>
          <w:tcPr>
            <w:tcW w:w="1401" w:type="dxa"/>
            <w:vAlign w:val="center"/>
          </w:tcPr>
          <w:p>
            <w:pPr>
              <w:rPr>
                <w:color w:val="000000"/>
              </w:rPr>
            </w:pPr>
            <w:r>
              <w:rPr>
                <w:rFonts w:hint="eastAsia"/>
                <w:color w:val="000000"/>
              </w:rPr>
              <w:t>电话</w:t>
            </w:r>
          </w:p>
        </w:tc>
        <w:tc>
          <w:tcPr>
            <w:tcW w:w="2049" w:type="dxa"/>
            <w:gridSpan w:val="3"/>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rPr>
            </w:pPr>
            <w:r>
              <w:rPr>
                <w:rFonts w:hint="eastAsia"/>
                <w:color w:val="000000"/>
              </w:rPr>
              <w:t>组织结构</w:t>
            </w:r>
          </w:p>
        </w:tc>
        <w:tc>
          <w:tcPr>
            <w:tcW w:w="7105" w:type="dxa"/>
            <w:gridSpan w:val="7"/>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color w:val="000000"/>
              </w:rPr>
            </w:pPr>
            <w:r>
              <w:rPr>
                <w:rFonts w:hint="eastAsia"/>
                <w:color w:val="000000"/>
              </w:rPr>
              <w:t>法定代表人</w:t>
            </w:r>
          </w:p>
        </w:tc>
        <w:tc>
          <w:tcPr>
            <w:tcW w:w="1016" w:type="dxa"/>
            <w:vAlign w:val="center"/>
          </w:tcPr>
          <w:p>
            <w:pPr>
              <w:rPr>
                <w:color w:val="000000"/>
              </w:rPr>
            </w:pPr>
            <w:r>
              <w:rPr>
                <w:rFonts w:hint="eastAsia"/>
                <w:color w:val="000000"/>
              </w:rPr>
              <w:t>姓名</w:t>
            </w:r>
          </w:p>
        </w:tc>
        <w:tc>
          <w:tcPr>
            <w:tcW w:w="1315" w:type="dxa"/>
            <w:vAlign w:val="center"/>
          </w:tcPr>
          <w:p>
            <w:pPr>
              <w:rPr>
                <w:color w:val="000000"/>
              </w:rPr>
            </w:pPr>
          </w:p>
        </w:tc>
        <w:tc>
          <w:tcPr>
            <w:tcW w:w="1324" w:type="dxa"/>
            <w:vAlign w:val="center"/>
          </w:tcPr>
          <w:p>
            <w:pPr>
              <w:rPr>
                <w:color w:val="000000"/>
              </w:rPr>
            </w:pPr>
            <w:r>
              <w:rPr>
                <w:rFonts w:hint="eastAsia"/>
                <w:color w:val="000000"/>
              </w:rPr>
              <w:t>技术职称</w:t>
            </w:r>
          </w:p>
        </w:tc>
        <w:tc>
          <w:tcPr>
            <w:tcW w:w="1401" w:type="dxa"/>
            <w:vAlign w:val="center"/>
          </w:tcPr>
          <w:p>
            <w:pPr>
              <w:rPr>
                <w:color w:val="000000"/>
              </w:rPr>
            </w:pPr>
          </w:p>
        </w:tc>
        <w:tc>
          <w:tcPr>
            <w:tcW w:w="902" w:type="dxa"/>
            <w:gridSpan w:val="2"/>
            <w:vAlign w:val="center"/>
          </w:tcPr>
          <w:p>
            <w:pPr>
              <w:rPr>
                <w:color w:val="000000"/>
              </w:rPr>
            </w:pPr>
            <w:r>
              <w:rPr>
                <w:rFonts w:hint="eastAsia"/>
                <w:color w:val="000000"/>
              </w:rPr>
              <w:t>电话</w:t>
            </w:r>
          </w:p>
        </w:tc>
        <w:tc>
          <w:tcPr>
            <w:tcW w:w="1147" w:type="dxa"/>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color w:val="000000"/>
              </w:rPr>
            </w:pPr>
            <w:r>
              <w:rPr>
                <w:rFonts w:hint="eastAsia"/>
                <w:color w:val="000000"/>
              </w:rPr>
              <w:t>技术负责人</w:t>
            </w:r>
          </w:p>
        </w:tc>
        <w:tc>
          <w:tcPr>
            <w:tcW w:w="1016" w:type="dxa"/>
            <w:vAlign w:val="center"/>
          </w:tcPr>
          <w:p>
            <w:pPr>
              <w:rPr>
                <w:color w:val="000000"/>
              </w:rPr>
            </w:pPr>
            <w:r>
              <w:rPr>
                <w:rFonts w:hint="eastAsia"/>
                <w:color w:val="000000"/>
              </w:rPr>
              <w:t>姓名</w:t>
            </w:r>
          </w:p>
        </w:tc>
        <w:tc>
          <w:tcPr>
            <w:tcW w:w="1315" w:type="dxa"/>
            <w:vAlign w:val="center"/>
          </w:tcPr>
          <w:p>
            <w:pPr>
              <w:rPr>
                <w:color w:val="000000"/>
              </w:rPr>
            </w:pPr>
          </w:p>
        </w:tc>
        <w:tc>
          <w:tcPr>
            <w:tcW w:w="1324" w:type="dxa"/>
            <w:vAlign w:val="center"/>
          </w:tcPr>
          <w:p>
            <w:pPr>
              <w:rPr>
                <w:color w:val="000000"/>
              </w:rPr>
            </w:pPr>
            <w:r>
              <w:rPr>
                <w:rFonts w:hint="eastAsia"/>
                <w:color w:val="000000"/>
              </w:rPr>
              <w:t>技术职称</w:t>
            </w:r>
          </w:p>
        </w:tc>
        <w:tc>
          <w:tcPr>
            <w:tcW w:w="1401" w:type="dxa"/>
            <w:vAlign w:val="center"/>
          </w:tcPr>
          <w:p>
            <w:pPr>
              <w:rPr>
                <w:color w:val="000000"/>
              </w:rPr>
            </w:pPr>
          </w:p>
        </w:tc>
        <w:tc>
          <w:tcPr>
            <w:tcW w:w="902" w:type="dxa"/>
            <w:gridSpan w:val="2"/>
            <w:vAlign w:val="center"/>
          </w:tcPr>
          <w:p>
            <w:pPr>
              <w:rPr>
                <w:color w:val="000000"/>
              </w:rPr>
            </w:pPr>
            <w:r>
              <w:rPr>
                <w:rFonts w:hint="eastAsia"/>
                <w:color w:val="000000"/>
              </w:rPr>
              <w:t>电话</w:t>
            </w:r>
          </w:p>
        </w:tc>
        <w:tc>
          <w:tcPr>
            <w:tcW w:w="1147" w:type="dxa"/>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rPr>
            </w:pPr>
            <w:r>
              <w:rPr>
                <w:rFonts w:hint="eastAsia"/>
                <w:color w:val="000000"/>
              </w:rPr>
              <w:t>成立时间</w:t>
            </w:r>
          </w:p>
        </w:tc>
        <w:tc>
          <w:tcPr>
            <w:tcW w:w="2331" w:type="dxa"/>
            <w:gridSpan w:val="2"/>
            <w:vAlign w:val="center"/>
          </w:tcPr>
          <w:p>
            <w:pPr>
              <w:rPr>
                <w:color w:val="000000"/>
              </w:rPr>
            </w:pPr>
          </w:p>
        </w:tc>
        <w:tc>
          <w:tcPr>
            <w:tcW w:w="4774" w:type="dxa"/>
            <w:gridSpan w:val="5"/>
            <w:vAlign w:val="center"/>
          </w:tcPr>
          <w:p>
            <w:pPr>
              <w:rPr>
                <w:color w:val="000000"/>
              </w:rPr>
            </w:pPr>
            <w:r>
              <w:rPr>
                <w:rFonts w:hint="eastAsia"/>
                <w:color w:val="00000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rPr>
            </w:pPr>
            <w:r>
              <w:rPr>
                <w:rFonts w:hint="eastAsia"/>
                <w:color w:val="000000"/>
              </w:rPr>
              <w:t>营业执照号</w:t>
            </w:r>
          </w:p>
        </w:tc>
        <w:tc>
          <w:tcPr>
            <w:tcW w:w="2331" w:type="dxa"/>
            <w:gridSpan w:val="2"/>
            <w:vAlign w:val="center"/>
          </w:tcPr>
          <w:p>
            <w:pPr>
              <w:rPr>
                <w:color w:val="000000"/>
              </w:rPr>
            </w:pPr>
          </w:p>
        </w:tc>
        <w:tc>
          <w:tcPr>
            <w:tcW w:w="1324" w:type="dxa"/>
            <w:vMerge w:val="restart"/>
            <w:vAlign w:val="center"/>
          </w:tcPr>
          <w:p>
            <w:pPr>
              <w:rPr>
                <w:color w:val="000000"/>
              </w:rPr>
            </w:pPr>
            <w:r>
              <w:rPr>
                <w:rFonts w:hint="eastAsia"/>
                <w:color w:val="000000"/>
              </w:rPr>
              <w:t>其中</w:t>
            </w:r>
          </w:p>
        </w:tc>
        <w:tc>
          <w:tcPr>
            <w:tcW w:w="1569" w:type="dxa"/>
            <w:gridSpan w:val="2"/>
            <w:vAlign w:val="center"/>
          </w:tcPr>
          <w:p>
            <w:pPr>
              <w:rPr>
                <w:color w:val="000000"/>
              </w:rPr>
            </w:pPr>
            <w:r>
              <w:rPr>
                <w:rFonts w:hint="eastAsia"/>
                <w:color w:val="000000"/>
              </w:rPr>
              <w:t>高级职称人员</w:t>
            </w:r>
          </w:p>
        </w:tc>
        <w:tc>
          <w:tcPr>
            <w:tcW w:w="1881"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rPr>
            </w:pPr>
            <w:r>
              <w:rPr>
                <w:rFonts w:hint="eastAsia"/>
                <w:color w:val="000000"/>
              </w:rPr>
              <w:t>注册资金</w:t>
            </w:r>
          </w:p>
        </w:tc>
        <w:tc>
          <w:tcPr>
            <w:tcW w:w="2331" w:type="dxa"/>
            <w:gridSpan w:val="2"/>
            <w:vAlign w:val="center"/>
          </w:tcPr>
          <w:p>
            <w:pPr>
              <w:rPr>
                <w:color w:val="000000"/>
              </w:rPr>
            </w:pPr>
          </w:p>
        </w:tc>
        <w:tc>
          <w:tcPr>
            <w:tcW w:w="1324" w:type="dxa"/>
            <w:vMerge w:val="continue"/>
            <w:vAlign w:val="center"/>
          </w:tcPr>
          <w:p>
            <w:pPr>
              <w:rPr>
                <w:color w:val="000000"/>
              </w:rPr>
            </w:pPr>
          </w:p>
        </w:tc>
        <w:tc>
          <w:tcPr>
            <w:tcW w:w="1569" w:type="dxa"/>
            <w:gridSpan w:val="2"/>
            <w:vAlign w:val="center"/>
          </w:tcPr>
          <w:p>
            <w:pPr>
              <w:rPr>
                <w:color w:val="000000"/>
              </w:rPr>
            </w:pPr>
            <w:r>
              <w:rPr>
                <w:rFonts w:hint="eastAsia"/>
                <w:color w:val="000000"/>
              </w:rPr>
              <w:t>中级职称人员</w:t>
            </w:r>
          </w:p>
        </w:tc>
        <w:tc>
          <w:tcPr>
            <w:tcW w:w="1881"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rPr>
            </w:pPr>
            <w:r>
              <w:rPr>
                <w:rFonts w:hint="eastAsia"/>
                <w:color w:val="000000"/>
              </w:rPr>
              <w:t>开户银行</w:t>
            </w:r>
          </w:p>
        </w:tc>
        <w:tc>
          <w:tcPr>
            <w:tcW w:w="2331" w:type="dxa"/>
            <w:gridSpan w:val="2"/>
            <w:vAlign w:val="center"/>
          </w:tcPr>
          <w:p>
            <w:pPr>
              <w:rPr>
                <w:color w:val="000000"/>
              </w:rPr>
            </w:pPr>
          </w:p>
        </w:tc>
        <w:tc>
          <w:tcPr>
            <w:tcW w:w="1324" w:type="dxa"/>
            <w:vMerge w:val="continue"/>
            <w:vAlign w:val="center"/>
          </w:tcPr>
          <w:p>
            <w:pPr>
              <w:rPr>
                <w:color w:val="000000"/>
              </w:rPr>
            </w:pPr>
          </w:p>
        </w:tc>
        <w:tc>
          <w:tcPr>
            <w:tcW w:w="1569" w:type="dxa"/>
            <w:gridSpan w:val="2"/>
            <w:vAlign w:val="center"/>
          </w:tcPr>
          <w:p>
            <w:pPr>
              <w:rPr>
                <w:color w:val="000000"/>
              </w:rPr>
            </w:pPr>
            <w:r>
              <w:rPr>
                <w:rFonts w:hint="eastAsia"/>
                <w:color w:val="000000"/>
              </w:rPr>
              <w:t>初级职称人员</w:t>
            </w:r>
          </w:p>
        </w:tc>
        <w:tc>
          <w:tcPr>
            <w:tcW w:w="1881"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color w:val="000000"/>
              </w:rPr>
            </w:pPr>
            <w:r>
              <w:rPr>
                <w:rFonts w:hint="eastAsia"/>
                <w:color w:val="000000"/>
              </w:rPr>
              <w:t>账号</w:t>
            </w:r>
          </w:p>
        </w:tc>
        <w:tc>
          <w:tcPr>
            <w:tcW w:w="2331" w:type="dxa"/>
            <w:gridSpan w:val="2"/>
            <w:vAlign w:val="center"/>
          </w:tcPr>
          <w:p>
            <w:pPr>
              <w:rPr>
                <w:color w:val="000000"/>
              </w:rPr>
            </w:pPr>
          </w:p>
        </w:tc>
        <w:tc>
          <w:tcPr>
            <w:tcW w:w="1324" w:type="dxa"/>
            <w:vMerge w:val="continue"/>
            <w:vAlign w:val="center"/>
          </w:tcPr>
          <w:p>
            <w:pPr>
              <w:rPr>
                <w:color w:val="000000"/>
              </w:rPr>
            </w:pPr>
          </w:p>
        </w:tc>
        <w:tc>
          <w:tcPr>
            <w:tcW w:w="1569" w:type="dxa"/>
            <w:gridSpan w:val="2"/>
            <w:vAlign w:val="center"/>
          </w:tcPr>
          <w:p>
            <w:pPr>
              <w:rPr>
                <w:color w:val="000000"/>
              </w:rPr>
            </w:pPr>
            <w:r>
              <w:rPr>
                <w:rFonts w:hint="eastAsia"/>
                <w:color w:val="000000"/>
              </w:rPr>
              <w:t>技工</w:t>
            </w:r>
          </w:p>
        </w:tc>
        <w:tc>
          <w:tcPr>
            <w:tcW w:w="1881" w:type="dxa"/>
            <w:gridSpan w:val="2"/>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color w:val="000000"/>
              </w:rPr>
            </w:pPr>
            <w:r>
              <w:rPr>
                <w:rFonts w:hint="eastAsia"/>
                <w:color w:val="000000"/>
              </w:rPr>
              <w:t>经营范围</w:t>
            </w:r>
          </w:p>
        </w:tc>
        <w:tc>
          <w:tcPr>
            <w:tcW w:w="7105" w:type="dxa"/>
            <w:gridSpan w:val="7"/>
            <w:vAlign w:val="center"/>
          </w:tcPr>
          <w:p>
            <w:pPr>
              <w:rPr>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color w:val="000000"/>
              </w:rPr>
            </w:pPr>
            <w:r>
              <w:rPr>
                <w:rFonts w:hint="eastAsia"/>
                <w:color w:val="000000"/>
              </w:rPr>
              <w:t>备注</w:t>
            </w:r>
          </w:p>
        </w:tc>
        <w:tc>
          <w:tcPr>
            <w:tcW w:w="7105" w:type="dxa"/>
            <w:gridSpan w:val="7"/>
          </w:tcPr>
          <w:p>
            <w:pPr>
              <w:rPr>
                <w:color w:val="000000"/>
              </w:rPr>
            </w:pPr>
          </w:p>
        </w:tc>
      </w:tr>
    </w:tbl>
    <w:p>
      <w:pPr>
        <w:rPr>
          <w:color w:val="000000"/>
        </w:rPr>
      </w:pPr>
    </w:p>
    <w:p>
      <w:pPr>
        <w:spacing w:line="360" w:lineRule="auto"/>
        <w:rPr>
          <w:rFonts w:ascii="宋体" w:hAnsi="宋体" w:cs="宋体"/>
          <w:color w:val="000000"/>
          <w:sz w:val="24"/>
          <w:szCs w:val="24"/>
        </w:rPr>
      </w:pPr>
    </w:p>
    <w:p>
      <w:pPr>
        <w:spacing w:line="360" w:lineRule="auto"/>
        <w:rPr>
          <w:rFonts w:hAnsi="宋体"/>
          <w:color w:val="000000"/>
          <w:sz w:val="24"/>
          <w:szCs w:val="24"/>
          <w:u w:val="single"/>
        </w:rPr>
      </w:pPr>
    </w:p>
    <w:p>
      <w:pPr>
        <w:spacing w:line="360" w:lineRule="auto"/>
        <w:rPr>
          <w:b/>
          <w:bCs/>
          <w:color w:val="000000"/>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sz w:val="24"/>
          <w:szCs w:val="24"/>
        </w:rPr>
        <w:t>2-2供应商营业执照等资质证明材料</w:t>
      </w:r>
      <w:r>
        <w:rPr>
          <w:rFonts w:hint="eastAsia"/>
          <w:b/>
          <w:bCs/>
          <w:color w:val="000000"/>
        </w:rPr>
        <w:t>。</w:t>
      </w:r>
    </w:p>
    <w:p>
      <w:pPr>
        <w:rPr>
          <w:color w:val="000000"/>
          <w:sz w:val="32"/>
          <w:szCs w:val="36"/>
        </w:rPr>
      </w:pPr>
      <w:r>
        <w:rPr>
          <w:rFonts w:hint="eastAsia"/>
          <w:color w:val="000000"/>
          <w:sz w:val="32"/>
          <w:szCs w:val="36"/>
        </w:rPr>
        <w:t>3、法定代表人证明书及法定代表人授权书</w:t>
      </w:r>
    </w:p>
    <w:p>
      <w:pPr>
        <w:rPr>
          <w:color w:val="000000"/>
          <w:sz w:val="28"/>
          <w:szCs w:val="32"/>
        </w:rPr>
      </w:pPr>
      <w:r>
        <w:rPr>
          <w:rFonts w:hint="eastAsia"/>
          <w:color w:val="000000"/>
          <w:sz w:val="28"/>
          <w:szCs w:val="32"/>
        </w:rPr>
        <w:t>3-1法定代表人证明书</w:t>
      </w:r>
    </w:p>
    <w:tbl>
      <w:tblPr>
        <w:tblStyle w:val="2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30"/>
        <w:gridCol w:w="1851"/>
        <w:gridCol w:w="215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940" w:type="dxa"/>
            <w:gridSpan w:val="5"/>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企业法人</w:t>
            </w: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注册资金</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法定代表人</w:t>
            </w: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1851"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w:t>
            </w:r>
          </w:p>
        </w:tc>
        <w:tc>
          <w:tcPr>
            <w:tcW w:w="2157"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1851" w:type="dxa"/>
            <w:vAlign w:val="center"/>
          </w:tcPr>
          <w:p>
            <w:pPr>
              <w:tabs>
                <w:tab w:val="left" w:pos="210"/>
              </w:tabs>
              <w:spacing w:line="360" w:lineRule="auto"/>
              <w:jc w:val="left"/>
              <w:rPr>
                <w:rFonts w:ascii="宋体" w:hAnsi="宋体" w:cs="宋体"/>
                <w:kern w:val="0"/>
                <w:szCs w:val="21"/>
              </w:rPr>
            </w:pPr>
          </w:p>
        </w:tc>
        <w:tc>
          <w:tcPr>
            <w:tcW w:w="2157"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1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193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5696" w:type="dxa"/>
            <w:gridSpan w:val="3"/>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131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法定代表人身份证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3781"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3845" w:type="dxa"/>
            <w:gridSpan w:val="2"/>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131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3781"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3845" w:type="dxa"/>
            <w:gridSpan w:val="2"/>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（供应商公章）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年  月 日</w:t>
            </w:r>
          </w:p>
        </w:tc>
      </w:tr>
    </w:tbl>
    <w:p>
      <w:pPr>
        <w:pStyle w:val="2"/>
        <w:rPr>
          <w:rFonts w:hint="default"/>
          <w:color w:val="000000"/>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color w:val="000000"/>
          <w:kern w:val="0"/>
          <w:sz w:val="24"/>
          <w:szCs w:val="24"/>
        </w:rPr>
      </w:pPr>
      <w:r>
        <w:rPr>
          <w:rFonts w:hint="eastAsia" w:ascii="宋体" w:hAnsi="宋体" w:cs="宋体"/>
          <w:b/>
          <w:color w:val="000000"/>
          <w:kern w:val="0"/>
          <w:sz w:val="24"/>
          <w:szCs w:val="24"/>
        </w:rPr>
        <w:t>3-2法定代表人授权书</w:t>
      </w:r>
    </w:p>
    <w:p>
      <w:pPr>
        <w:pStyle w:val="11"/>
        <w:spacing w:line="500" w:lineRule="exact"/>
        <w:jc w:val="center"/>
        <w:rPr>
          <w:rFonts w:hAnsi="宋体" w:cs="宋体"/>
          <w:sz w:val="24"/>
          <w:szCs w:val="24"/>
        </w:rPr>
      </w:pPr>
      <w:r>
        <w:rPr>
          <w:rFonts w:hint="eastAsia" w:hAnsi="宋体" w:cs="宋体"/>
          <w:b/>
          <w:kern w:val="0"/>
          <w:sz w:val="24"/>
          <w:szCs w:val="24"/>
        </w:rPr>
        <w:t>法定代表人授权委托书</w:t>
      </w:r>
    </w:p>
    <w:p>
      <w:pPr>
        <w:pStyle w:val="11"/>
        <w:spacing w:line="500" w:lineRule="exact"/>
        <w:jc w:val="left"/>
        <w:rPr>
          <w:rFonts w:hAnsi="宋体" w:cs="宋体"/>
          <w:sz w:val="24"/>
          <w:szCs w:val="24"/>
        </w:rPr>
      </w:pPr>
      <w:r>
        <w:rPr>
          <w:rFonts w:hint="eastAsia" w:hAnsi="宋体" w:cs="宋体"/>
          <w:sz w:val="24"/>
          <w:szCs w:val="24"/>
        </w:rPr>
        <w:t>陕西万泽招标有限公司：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（项目名称）</w:t>
      </w:r>
      <w:r>
        <w:rPr>
          <w:rFonts w:hint="eastAsia" w:ascii="宋体" w:hAnsi="宋体" w:cs="宋体"/>
          <w:sz w:val="24"/>
          <w:u w:val="single"/>
        </w:rPr>
        <w:t xml:space="preserve"> </w:t>
      </w:r>
      <w:r>
        <w:rPr>
          <w:rFonts w:hint="eastAsia" w:ascii="宋体" w:hAnsi="宋体" w:cs="宋体"/>
          <w:sz w:val="24"/>
        </w:rPr>
        <w:t>采购项目编号</w:t>
      </w:r>
      <w:r>
        <w:rPr>
          <w:rFonts w:hint="eastAsia" w:ascii="宋体" w:hAnsi="宋体" w:cs="宋体"/>
          <w:sz w:val="24"/>
          <w:u w:val="single"/>
        </w:rPr>
        <w:t>为      的</w:t>
      </w:r>
      <w:r>
        <w:rPr>
          <w:rFonts w:hint="eastAsia" w:ascii="宋体" w:hAnsi="宋体" w:cs="宋体"/>
          <w:sz w:val="24"/>
        </w:rPr>
        <w:t>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本授权书有效期自投标文件递交截止之日</w:t>
      </w:r>
      <w:r>
        <w:rPr>
          <w:rFonts w:hint="eastAsia" w:ascii="宋体" w:hAnsi="宋体" w:cs="宋体"/>
          <w:sz w:val="24"/>
          <w:u w:val="single"/>
        </w:rPr>
        <w:t>起90 日历天</w:t>
      </w:r>
      <w:r>
        <w:rPr>
          <w:rFonts w:hint="eastAsia" w:ascii="宋体" w:hAnsi="宋体" w:cs="宋体"/>
          <w:sz w:val="24"/>
        </w:rPr>
        <w:t>，特此声明。</w:t>
      </w:r>
    </w:p>
    <w:p>
      <w:pPr>
        <w:pStyle w:val="11"/>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r>
        <w:rPr>
          <w:rFonts w:hint="eastAsia" w:hAnsi="宋体" w:cs="宋体"/>
          <w:sz w:val="24"/>
          <w:szCs w:val="24"/>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被授权人（签字或盖章）</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被授权人身份证号码</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附：法定代表人及被授权人身份证复印件</w:t>
      </w:r>
    </w:p>
    <w:tbl>
      <w:tblPr>
        <w:tblStyle w:val="23"/>
        <w:tblW w:w="79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6" w:hRule="atLeast"/>
        </w:trPr>
        <w:tc>
          <w:tcPr>
            <w:tcW w:w="4139" w:type="dxa"/>
            <w:shd w:val="clear" w:color="auto" w:fill="D9D9D9"/>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tc>
        <w:tc>
          <w:tcPr>
            <w:tcW w:w="3781" w:type="dxa"/>
            <w:shd w:val="clear" w:color="auto" w:fill="D9D9D9"/>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tc>
      </w:tr>
    </w:tbl>
    <w:p>
      <w:pPr>
        <w:pStyle w:val="11"/>
        <w:spacing w:line="500" w:lineRule="exact"/>
        <w:jc w:val="left"/>
        <w:rPr>
          <w:rFonts w:hAnsi="宋体" w:cs="宋体"/>
          <w:sz w:val="24"/>
          <w:szCs w:val="24"/>
        </w:rPr>
      </w:pPr>
      <w:r>
        <w:rPr>
          <w:rFonts w:hint="eastAsia" w:hAnsi="宋体" w:cs="宋体"/>
          <w:sz w:val="24"/>
          <w:szCs w:val="24"/>
        </w:rPr>
        <w:t>说明：</w:t>
      </w:r>
    </w:p>
    <w:p>
      <w:pPr>
        <w:pStyle w:val="11"/>
        <w:spacing w:line="500" w:lineRule="exact"/>
        <w:jc w:val="left"/>
        <w:rPr>
          <w:rFonts w:hAnsi="宋体" w:cs="宋体"/>
          <w:sz w:val="24"/>
          <w:szCs w:val="24"/>
        </w:rPr>
      </w:pPr>
      <w:r>
        <w:rPr>
          <w:rFonts w:hint="eastAsia" w:hAnsi="宋体" w:cs="宋体"/>
          <w:sz w:val="24"/>
          <w:szCs w:val="24"/>
        </w:rPr>
        <w:t>1．本授权书有效期自开标会议之日计算不得少于90日历天。</w:t>
      </w:r>
    </w:p>
    <w:p>
      <w:pPr>
        <w:rPr>
          <w:color w:val="000000"/>
        </w:rPr>
        <w:sectPr>
          <w:pgSz w:w="11906" w:h="16838"/>
          <w:pgMar w:top="1440" w:right="1803" w:bottom="1440" w:left="1803" w:header="851" w:footer="992" w:gutter="0"/>
          <w:cols w:space="720" w:num="1"/>
          <w:docGrid w:type="lines" w:linePitch="319" w:charSpace="0"/>
        </w:sectPr>
      </w:pPr>
      <w:r>
        <w:rPr>
          <w:rFonts w:hint="eastAsia" w:hAnsi="宋体" w:cs="宋体"/>
          <w:sz w:val="24"/>
          <w:szCs w:val="24"/>
        </w:rPr>
        <w:t>2．授权书内容填写要明确，文字要工整清楚，涂改无效。</w:t>
      </w:r>
    </w:p>
    <w:p>
      <w:pPr>
        <w:rPr>
          <w:color w:val="000000"/>
          <w:sz w:val="24"/>
          <w:szCs w:val="28"/>
        </w:rPr>
      </w:pPr>
      <w:r>
        <w:rPr>
          <w:rFonts w:hint="eastAsia"/>
          <w:color w:val="000000"/>
          <w:sz w:val="24"/>
          <w:szCs w:val="28"/>
        </w:rPr>
        <w:t>4、无重大违法记录声明</w:t>
      </w:r>
    </w:p>
    <w:p>
      <w:pPr>
        <w:widowControl/>
        <w:snapToGrid w:val="0"/>
        <w:spacing w:line="480" w:lineRule="auto"/>
        <w:ind w:firstLine="480" w:firstLineChars="200"/>
        <w:jc w:val="left"/>
        <w:rPr>
          <w:rFonts w:ascii="宋体" w:hAnsi="宋体" w:cs="宋体"/>
          <w:color w:val="000000"/>
          <w:kern w:val="0"/>
          <w:sz w:val="24"/>
        </w:rPr>
      </w:pPr>
    </w:p>
    <w:p>
      <w:pPr>
        <w:widowControl/>
        <w:snapToGrid w:val="0"/>
        <w:spacing w:line="48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陕西万泽招标有限公司 </w:t>
      </w:r>
      <w:r>
        <w:rPr>
          <w:rFonts w:hint="eastAsia" w:ascii="宋体" w:hAnsi="宋体" w:cs="宋体"/>
          <w:color w:val="000000"/>
          <w:kern w:val="0"/>
          <w:sz w:val="24"/>
        </w:rPr>
        <w:t>组织的</w:t>
      </w:r>
      <w:r>
        <w:rPr>
          <w:rFonts w:hint="eastAsia" w:ascii="宋体" w:hAnsi="宋体" w:cs="宋体"/>
          <w:color w:val="000000"/>
          <w:kern w:val="0"/>
          <w:sz w:val="24"/>
          <w:u w:val="single"/>
        </w:rPr>
        <w:t xml:space="preserve">             （项目名称）              </w:t>
      </w:r>
      <w:r>
        <w:rPr>
          <w:rFonts w:hint="eastAsia" w:ascii="宋体" w:hAnsi="宋体" w:cs="宋体"/>
          <w:color w:val="000000"/>
          <w:kern w:val="0"/>
          <w:sz w:val="24"/>
        </w:rPr>
        <w:t>竞争性磋商，我单位郑重声明：我方参加本项目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特此声明。</w:t>
      </w:r>
    </w:p>
    <w:p>
      <w:pPr>
        <w:widowControl/>
        <w:spacing w:line="460" w:lineRule="exact"/>
        <w:ind w:firstLine="480" w:firstLineChars="200"/>
        <w:jc w:val="left"/>
        <w:rPr>
          <w:rFonts w:ascii="宋体" w:hAnsi="宋体" w:cs="宋体"/>
          <w:color w:val="000000"/>
          <w:kern w:val="0"/>
          <w:sz w:val="24"/>
        </w:rPr>
      </w:pPr>
    </w:p>
    <w:p>
      <w:pPr>
        <w:pStyle w:val="11"/>
        <w:spacing w:line="480" w:lineRule="auto"/>
        <w:jc w:val="left"/>
        <w:rPr>
          <w:rFonts w:hAnsi="宋体" w:cs="宋体"/>
          <w:color w:val="000000"/>
          <w:kern w:val="0"/>
          <w:sz w:val="24"/>
        </w:rPr>
      </w:pPr>
    </w:p>
    <w:p>
      <w:pPr>
        <w:pStyle w:val="11"/>
        <w:spacing w:line="480" w:lineRule="auto"/>
        <w:jc w:val="left"/>
        <w:rPr>
          <w:rFonts w:hAnsi="宋体" w:cs="宋体"/>
          <w:color w:val="000000"/>
          <w:kern w:val="0"/>
          <w:sz w:val="24"/>
        </w:rPr>
      </w:pPr>
      <w:r>
        <w:rPr>
          <w:rFonts w:hint="eastAsia" w:hAnsi="宋体" w:cs="宋体"/>
          <w:color w:val="000000"/>
          <w:kern w:val="0"/>
          <w:sz w:val="24"/>
        </w:rPr>
        <w:t>供应商（单位名称及公章）：</w:t>
      </w:r>
    </w:p>
    <w:p>
      <w:pPr>
        <w:pStyle w:val="11"/>
        <w:spacing w:line="480" w:lineRule="auto"/>
        <w:jc w:val="left"/>
        <w:rPr>
          <w:rFonts w:hAnsi="宋体" w:cs="宋体"/>
          <w:color w:val="000000"/>
          <w:kern w:val="0"/>
          <w:sz w:val="24"/>
        </w:rPr>
      </w:pPr>
      <w:r>
        <w:rPr>
          <w:rFonts w:hint="eastAsia" w:hAnsi="宋体" w:cs="宋体"/>
          <w:color w:val="000000"/>
          <w:kern w:val="0"/>
          <w:sz w:val="24"/>
        </w:rPr>
        <w:t>法定代表人/被授权人（签字或盖章）：</w:t>
      </w:r>
    </w:p>
    <w:p>
      <w:pPr>
        <w:spacing w:line="600" w:lineRule="auto"/>
        <w:rPr>
          <w:rFonts w:hAnsi="宋体" w:cs="宋体"/>
          <w:color w:val="000000"/>
          <w:kern w:val="0"/>
          <w:sz w:val="24"/>
          <w:u w:val="single"/>
        </w:rPr>
      </w:pPr>
      <w:r>
        <w:rPr>
          <w:rFonts w:hint="eastAsia" w:hAnsi="宋体" w:cs="宋体"/>
          <w:color w:val="000000"/>
          <w:kern w:val="0"/>
          <w:sz w:val="24"/>
        </w:rPr>
        <w:t>日    期</w:t>
      </w:r>
      <w:r>
        <w:rPr>
          <w:rFonts w:hint="eastAsia" w:hAnsi="宋体" w:cs="宋体"/>
          <w:color w:val="000000"/>
          <w:kern w:val="0"/>
          <w:sz w:val="24"/>
          <w:u w:val="single"/>
        </w:rPr>
        <w:t xml:space="preserve">：             </w:t>
      </w:r>
    </w:p>
    <w:p>
      <w:pPr>
        <w:pStyle w:val="2"/>
        <w:rPr>
          <w:rFonts w:hint="default"/>
        </w:rPr>
        <w:sectPr>
          <w:pgSz w:w="11906" w:h="16838"/>
          <w:pgMar w:top="1440" w:right="1803" w:bottom="1440" w:left="1803" w:header="851" w:footer="992" w:gutter="0"/>
          <w:cols w:space="720" w:num="1"/>
          <w:docGrid w:type="lines" w:linePitch="319" w:charSpace="0"/>
        </w:sectPr>
      </w:pPr>
    </w:p>
    <w:bookmarkEnd w:id="157"/>
    <w:p>
      <w:pPr>
        <w:spacing w:line="480" w:lineRule="auto"/>
        <w:rPr>
          <w:sz w:val="24"/>
          <w:szCs w:val="28"/>
        </w:rPr>
      </w:pPr>
      <w:bookmarkStart w:id="158" w:name="_Toc30568"/>
      <w:bookmarkStart w:id="159" w:name="_Toc28294"/>
      <w:r>
        <w:rPr>
          <w:rFonts w:hint="eastAsia"/>
          <w:sz w:val="24"/>
          <w:szCs w:val="28"/>
        </w:rPr>
        <w:t>5、社保资金缴纳证明材料；</w:t>
      </w:r>
    </w:p>
    <w:p>
      <w:pPr>
        <w:spacing w:line="480" w:lineRule="auto"/>
        <w:rPr>
          <w:sz w:val="24"/>
          <w:szCs w:val="28"/>
        </w:rPr>
      </w:pPr>
      <w:r>
        <w:rPr>
          <w:rFonts w:hint="eastAsia"/>
          <w:sz w:val="24"/>
          <w:szCs w:val="28"/>
        </w:rPr>
        <w:t xml:space="preserve">6、税收缴纳证明材料： </w:t>
      </w:r>
    </w:p>
    <w:p>
      <w:pPr>
        <w:spacing w:line="480" w:lineRule="auto"/>
        <w:rPr>
          <w:sz w:val="24"/>
          <w:szCs w:val="28"/>
        </w:rPr>
      </w:pPr>
      <w:r>
        <w:rPr>
          <w:rFonts w:hint="eastAsia"/>
          <w:sz w:val="24"/>
          <w:szCs w:val="28"/>
        </w:rPr>
        <w:t xml:space="preserve">7、财务状况证明材料： </w:t>
      </w:r>
    </w:p>
    <w:p>
      <w:pPr>
        <w:pStyle w:val="6"/>
        <w:spacing w:line="480" w:lineRule="auto"/>
        <w:ind w:firstLine="0"/>
        <w:jc w:val="left"/>
        <w:rPr>
          <w:rFonts w:ascii="宋体" w:hAnsi="宋体" w:cs="宋体"/>
          <w:bCs/>
          <w:kern w:val="0"/>
          <w:sz w:val="24"/>
          <w:szCs w:val="24"/>
        </w:rPr>
      </w:pPr>
      <w:r>
        <w:rPr>
          <w:rFonts w:hint="eastAsia" w:ascii="宋体" w:hAnsi="宋体" w:cs="宋体"/>
          <w:bCs/>
          <w:kern w:val="0"/>
          <w:sz w:val="24"/>
          <w:szCs w:val="24"/>
        </w:rPr>
        <w:t>8、供应商为非联合体磋商的声明（格式自拟）；</w:t>
      </w:r>
    </w:p>
    <w:p>
      <w:pPr>
        <w:spacing w:line="480" w:lineRule="auto"/>
        <w:rPr>
          <w:color w:val="000000" w:themeColor="text1"/>
          <w:sz w:val="24"/>
          <w:szCs w:val="28"/>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sz w:val="24"/>
          <w:szCs w:val="28"/>
        </w:rPr>
        <w:t>9、供应商认为应该提交的其他证明材料。</w:t>
      </w:r>
    </w:p>
    <w:p>
      <w:pPr>
        <w:pStyle w:val="4"/>
        <w:rPr>
          <w:color w:val="000000"/>
        </w:rPr>
      </w:pPr>
      <w:bookmarkStart w:id="160" w:name="_Toc18339"/>
      <w:r>
        <w:rPr>
          <w:rFonts w:hint="eastAsia"/>
          <w:color w:val="000000"/>
        </w:rPr>
        <w:t>第五章  商务和技术响应偏离表</w:t>
      </w:r>
      <w:bookmarkEnd w:id="158"/>
      <w:bookmarkEnd w:id="159"/>
      <w:bookmarkEnd w:id="160"/>
    </w:p>
    <w:p>
      <w:pPr>
        <w:kinsoku w:val="0"/>
        <w:spacing w:line="480" w:lineRule="auto"/>
        <w:ind w:left="1232" w:hanging="1232" w:hangingChars="440"/>
        <w:jc w:val="left"/>
        <w:rPr>
          <w:rFonts w:ascii="宋体" w:hAnsi="宋体" w:cs="宋体"/>
          <w:color w:val="000000"/>
          <w:sz w:val="28"/>
          <w:szCs w:val="28"/>
        </w:rPr>
      </w:pPr>
      <w:r>
        <w:rPr>
          <w:rFonts w:hint="eastAsia" w:ascii="宋体" w:hAnsi="宋体" w:cs="宋体"/>
          <w:color w:val="000000"/>
          <w:sz w:val="28"/>
          <w:szCs w:val="28"/>
        </w:rPr>
        <w:t>表1、商务响应偏差表</w:t>
      </w:r>
    </w:p>
    <w:tbl>
      <w:tblPr>
        <w:tblStyle w:val="23"/>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1"/>
              <w:spacing w:line="480" w:lineRule="auto"/>
              <w:jc w:val="center"/>
              <w:rPr>
                <w:rFonts w:hAnsi="宋体" w:cs="宋体"/>
                <w:color w:val="000000"/>
                <w:sz w:val="24"/>
                <w:szCs w:val="24"/>
              </w:rPr>
            </w:pPr>
            <w:r>
              <w:rPr>
                <w:rFonts w:hint="eastAsia" w:hAnsi="宋体" w:cs="宋体"/>
                <w:color w:val="000000"/>
              </w:rPr>
              <w:t xml:space="preserve"> 序号</w:t>
            </w:r>
          </w:p>
        </w:tc>
        <w:tc>
          <w:tcPr>
            <w:tcW w:w="1614" w:type="dxa"/>
            <w:vAlign w:val="center"/>
          </w:tcPr>
          <w:p>
            <w:pPr>
              <w:pStyle w:val="11"/>
              <w:spacing w:line="480" w:lineRule="auto"/>
              <w:jc w:val="left"/>
              <w:rPr>
                <w:rFonts w:hAnsi="宋体" w:cs="宋体"/>
                <w:color w:val="000000"/>
                <w:sz w:val="24"/>
                <w:szCs w:val="24"/>
              </w:rPr>
            </w:pPr>
            <w:r>
              <w:rPr>
                <w:rFonts w:hint="eastAsia" w:hAnsi="宋体" w:cs="宋体"/>
                <w:color w:val="000000"/>
              </w:rPr>
              <w:t xml:space="preserve"> 商务条款</w:t>
            </w:r>
          </w:p>
        </w:tc>
        <w:tc>
          <w:tcPr>
            <w:tcW w:w="1680" w:type="dxa"/>
            <w:vAlign w:val="center"/>
          </w:tcPr>
          <w:p>
            <w:pPr>
              <w:pStyle w:val="11"/>
              <w:spacing w:line="480" w:lineRule="auto"/>
              <w:jc w:val="left"/>
              <w:rPr>
                <w:rFonts w:hAnsi="宋体" w:cs="宋体"/>
                <w:color w:val="000000"/>
                <w:sz w:val="24"/>
                <w:szCs w:val="24"/>
              </w:rPr>
            </w:pPr>
            <w:r>
              <w:rPr>
                <w:rFonts w:hint="eastAsia" w:hAnsi="宋体" w:cs="宋体"/>
                <w:color w:val="000000"/>
              </w:rPr>
              <w:t>商务要求内容</w:t>
            </w:r>
          </w:p>
        </w:tc>
        <w:tc>
          <w:tcPr>
            <w:tcW w:w="2448" w:type="dxa"/>
            <w:vAlign w:val="center"/>
          </w:tcPr>
          <w:p>
            <w:pPr>
              <w:pStyle w:val="11"/>
              <w:spacing w:line="480" w:lineRule="auto"/>
              <w:rPr>
                <w:rFonts w:hAnsi="宋体" w:cs="宋体"/>
                <w:color w:val="000000"/>
                <w:sz w:val="24"/>
                <w:szCs w:val="24"/>
              </w:rPr>
            </w:pPr>
            <w:r>
              <w:rPr>
                <w:rFonts w:hint="eastAsia" w:hAnsi="宋体" w:cs="宋体"/>
                <w:color w:val="000000"/>
              </w:rPr>
              <w:t>响应文件响应商务内容</w:t>
            </w:r>
          </w:p>
        </w:tc>
        <w:tc>
          <w:tcPr>
            <w:tcW w:w="2042" w:type="dxa"/>
            <w:vAlign w:val="center"/>
          </w:tcPr>
          <w:p>
            <w:pPr>
              <w:pStyle w:val="11"/>
              <w:spacing w:line="480" w:lineRule="auto"/>
              <w:jc w:val="center"/>
              <w:rPr>
                <w:rFonts w:hAnsi="宋体" w:cs="宋体"/>
                <w:color w:val="000000"/>
                <w:sz w:val="24"/>
                <w:szCs w:val="24"/>
              </w:rPr>
            </w:pPr>
            <w:r>
              <w:rPr>
                <w:rFonts w:hint="eastAsia" w:hAnsi="宋体" w:cs="宋体"/>
                <w:color w:val="00000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vAlign w:val="center"/>
          </w:tcPr>
          <w:p>
            <w:pPr>
              <w:pStyle w:val="11"/>
              <w:spacing w:line="480" w:lineRule="auto"/>
              <w:ind w:firstLine="480" w:firstLineChars="200"/>
              <w:jc w:val="left"/>
              <w:rPr>
                <w:rFonts w:hAnsi="宋体" w:cs="宋体"/>
                <w:color w:val="000000"/>
                <w:sz w:val="24"/>
                <w:szCs w:val="24"/>
              </w:rPr>
            </w:pPr>
          </w:p>
        </w:tc>
        <w:tc>
          <w:tcPr>
            <w:tcW w:w="2448" w:type="dxa"/>
            <w:vAlign w:val="center"/>
          </w:tcPr>
          <w:p>
            <w:pPr>
              <w:pStyle w:val="11"/>
              <w:spacing w:line="480" w:lineRule="auto"/>
              <w:ind w:firstLine="480" w:firstLineChars="200"/>
              <w:jc w:val="left"/>
              <w:rPr>
                <w:rFonts w:hAnsi="宋体" w:cs="宋体"/>
                <w:color w:val="000000"/>
                <w:sz w:val="24"/>
                <w:szCs w:val="24"/>
              </w:rPr>
            </w:pPr>
          </w:p>
        </w:tc>
        <w:tc>
          <w:tcPr>
            <w:tcW w:w="2042" w:type="dxa"/>
            <w:vAlign w:val="center"/>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c>
          <w:tcPr>
            <w:tcW w:w="1680" w:type="dxa"/>
          </w:tcPr>
          <w:p>
            <w:pPr>
              <w:pStyle w:val="11"/>
              <w:spacing w:line="480" w:lineRule="auto"/>
              <w:ind w:firstLine="480" w:firstLineChars="200"/>
              <w:jc w:val="left"/>
              <w:rPr>
                <w:rFonts w:hAnsi="宋体" w:cs="宋体"/>
                <w:color w:val="000000"/>
                <w:sz w:val="24"/>
                <w:szCs w:val="24"/>
              </w:rPr>
            </w:pPr>
          </w:p>
        </w:tc>
        <w:tc>
          <w:tcPr>
            <w:tcW w:w="2448" w:type="dxa"/>
          </w:tcPr>
          <w:p>
            <w:pPr>
              <w:pStyle w:val="11"/>
              <w:spacing w:line="480" w:lineRule="auto"/>
              <w:ind w:firstLine="480" w:firstLineChars="200"/>
              <w:jc w:val="left"/>
              <w:rPr>
                <w:rFonts w:hAnsi="宋体" w:cs="宋体"/>
                <w:color w:val="000000"/>
                <w:sz w:val="24"/>
                <w:szCs w:val="24"/>
              </w:rPr>
            </w:pPr>
          </w:p>
        </w:tc>
        <w:tc>
          <w:tcPr>
            <w:tcW w:w="2042" w:type="dxa"/>
          </w:tcPr>
          <w:p>
            <w:pPr>
              <w:pStyle w:val="11"/>
              <w:spacing w:line="480" w:lineRule="auto"/>
              <w:ind w:firstLine="480" w:firstLineChars="200"/>
              <w:jc w:val="left"/>
              <w:rPr>
                <w:rFonts w:hAnsi="宋体" w:cs="宋体"/>
                <w:color w:val="000000"/>
                <w:sz w:val="24"/>
                <w:szCs w:val="24"/>
              </w:rPr>
            </w:pPr>
          </w:p>
        </w:tc>
      </w:tr>
    </w:tbl>
    <w:p>
      <w:pPr>
        <w:pStyle w:val="6"/>
        <w:ind w:firstLine="0"/>
        <w:rPr>
          <w:rFonts w:ascii="宋体" w:hAnsi="宋体"/>
          <w:b/>
          <w:bCs/>
          <w:color w:val="000000"/>
          <w:sz w:val="28"/>
          <w:szCs w:val="28"/>
        </w:rPr>
      </w:pPr>
      <w:r>
        <w:rPr>
          <w:rFonts w:hint="eastAsia" w:ascii="宋体" w:hAnsi="宋体"/>
          <w:b/>
          <w:bCs/>
          <w:color w:val="000000"/>
          <w:sz w:val="28"/>
          <w:szCs w:val="28"/>
        </w:rPr>
        <w:t>填写说明：供应商对本项目付款、服务期、履约验收等商务方面进行响应说明，并保证响应的真实性。</w:t>
      </w:r>
    </w:p>
    <w:p>
      <w:pPr>
        <w:pStyle w:val="6"/>
        <w:ind w:firstLine="0"/>
        <w:rPr>
          <w:rFonts w:ascii="宋体" w:hAnsi="宋体"/>
          <w:b/>
          <w:bCs/>
          <w:color w:val="000000"/>
          <w:sz w:val="28"/>
          <w:szCs w:val="28"/>
        </w:rPr>
      </w:pPr>
      <w:r>
        <w:rPr>
          <w:rFonts w:hint="eastAsia" w:ascii="宋体" w:hAnsi="宋体"/>
          <w:b/>
          <w:bCs/>
          <w:color w:val="000000"/>
          <w:sz w:val="28"/>
          <w:szCs w:val="28"/>
        </w:rPr>
        <w:t>偏差说明填写：正偏离（标明正偏离内容）、符合。</w:t>
      </w:r>
    </w:p>
    <w:p>
      <w:pPr>
        <w:pStyle w:val="6"/>
        <w:ind w:firstLine="0"/>
        <w:rPr>
          <w:rFonts w:ascii="宋体" w:hAnsi="宋体"/>
          <w:color w:val="000000"/>
          <w:sz w:val="28"/>
          <w:szCs w:val="28"/>
        </w:rPr>
      </w:pPr>
      <w:r>
        <w:rPr>
          <w:rFonts w:hint="eastAsia" w:ascii="宋体" w:hAnsi="宋体"/>
          <w:b/>
          <w:bCs/>
          <w:color w:val="000000"/>
          <w:sz w:val="28"/>
          <w:szCs w:val="28"/>
        </w:rPr>
        <w:t>商务条款不允许负偏离；</w:t>
      </w:r>
    </w:p>
    <w:p>
      <w:pPr>
        <w:adjustRightInd w:val="0"/>
        <w:snapToGrid w:val="0"/>
        <w:spacing w:line="480" w:lineRule="auto"/>
        <w:jc w:val="left"/>
        <w:rPr>
          <w:rFonts w:ascii="宋体" w:hAnsi="宋体" w:cs="宋体"/>
          <w:color w:val="000000"/>
          <w:sz w:val="28"/>
          <w:szCs w:val="28"/>
        </w:rPr>
      </w:pPr>
    </w:p>
    <w:p>
      <w:pPr>
        <w:adjustRightInd w:val="0"/>
        <w:snapToGrid w:val="0"/>
        <w:spacing w:line="480" w:lineRule="auto"/>
        <w:jc w:val="left"/>
        <w:rPr>
          <w:rFonts w:ascii="宋体" w:hAnsi="宋体" w:cs="宋体"/>
          <w:color w:val="000000"/>
          <w:sz w:val="28"/>
          <w:szCs w:val="28"/>
          <w:u w:val="single"/>
        </w:rPr>
      </w:pPr>
      <w:r>
        <w:rPr>
          <w:rFonts w:hint="eastAsia" w:ascii="宋体" w:hAnsi="宋体" w:cs="宋体"/>
          <w:color w:val="000000"/>
          <w:sz w:val="28"/>
          <w:szCs w:val="28"/>
        </w:rPr>
        <w:t>供应商（单位名称及公章）：</w:t>
      </w:r>
    </w:p>
    <w:p>
      <w:pPr>
        <w:adjustRightInd w:val="0"/>
        <w:snapToGrid w:val="0"/>
        <w:spacing w:line="480" w:lineRule="auto"/>
        <w:rPr>
          <w:rFonts w:ascii="宋体" w:hAnsi="宋体" w:cs="宋体"/>
          <w:color w:val="000000"/>
          <w:sz w:val="28"/>
          <w:szCs w:val="28"/>
        </w:rPr>
      </w:pPr>
      <w:r>
        <w:rPr>
          <w:rFonts w:hint="eastAsia" w:ascii="宋体" w:hAnsi="宋体" w:cs="宋体"/>
          <w:color w:val="000000"/>
          <w:sz w:val="28"/>
          <w:szCs w:val="28"/>
        </w:rPr>
        <w:t>法定代表人/被授权人（签字或盖章）：</w:t>
      </w:r>
    </w:p>
    <w:p>
      <w:pPr>
        <w:adjustRightInd w:val="0"/>
        <w:snapToGrid w:val="0"/>
        <w:spacing w:line="480" w:lineRule="auto"/>
        <w:rPr>
          <w:rFonts w:ascii="宋体" w:hAnsi="宋体"/>
          <w:color w:val="000000"/>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8"/>
          <w:szCs w:val="28"/>
        </w:rPr>
        <w:t>日    期：年月日</w:t>
      </w:r>
    </w:p>
    <w:p>
      <w:pPr>
        <w:pStyle w:val="22"/>
        <w:ind w:firstLine="280"/>
        <w:rPr>
          <w:rFonts w:ascii="宋体" w:hAnsi="宋体" w:cs="宋体"/>
          <w:color w:val="000000"/>
          <w:sz w:val="28"/>
          <w:szCs w:val="28"/>
        </w:rPr>
      </w:pPr>
      <w:r>
        <w:rPr>
          <w:rFonts w:hint="eastAsia" w:ascii="宋体" w:hAnsi="宋体" w:cs="宋体"/>
          <w:color w:val="000000"/>
          <w:sz w:val="28"/>
          <w:szCs w:val="28"/>
        </w:rPr>
        <w:t>表2、技术响应偏差表</w:t>
      </w:r>
    </w:p>
    <w:tbl>
      <w:tblPr>
        <w:tblStyle w:val="2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序号</w:t>
            </w:r>
          </w:p>
        </w:tc>
        <w:tc>
          <w:tcPr>
            <w:tcW w:w="2864" w:type="dxa"/>
            <w:vAlign w:val="center"/>
          </w:tcPr>
          <w:p>
            <w:pPr>
              <w:pStyle w:val="11"/>
              <w:spacing w:line="480" w:lineRule="auto"/>
              <w:ind w:firstLine="480" w:firstLineChars="200"/>
              <w:jc w:val="left"/>
              <w:rPr>
                <w:rFonts w:hAnsi="宋体" w:cs="宋体"/>
                <w:color w:val="000000"/>
                <w:sz w:val="24"/>
                <w:szCs w:val="24"/>
              </w:rPr>
            </w:pPr>
            <w:r>
              <w:rPr>
                <w:rFonts w:hint="eastAsia" w:hAnsi="宋体" w:cs="宋体"/>
                <w:color w:val="000000"/>
                <w:sz w:val="24"/>
                <w:szCs w:val="24"/>
              </w:rPr>
              <w:t>磋商文件要求</w:t>
            </w:r>
          </w:p>
          <w:p>
            <w:pPr>
              <w:pStyle w:val="11"/>
              <w:spacing w:line="480" w:lineRule="auto"/>
              <w:ind w:firstLine="480" w:firstLineChars="200"/>
              <w:jc w:val="left"/>
              <w:rPr>
                <w:rFonts w:hAnsi="宋体" w:cs="宋体"/>
                <w:color w:val="000000"/>
                <w:sz w:val="24"/>
                <w:szCs w:val="24"/>
              </w:rPr>
            </w:pPr>
            <w:r>
              <w:rPr>
                <w:rFonts w:hint="eastAsia" w:hAnsi="宋体" w:cs="宋体"/>
                <w:color w:val="000000"/>
                <w:sz w:val="24"/>
                <w:szCs w:val="24"/>
              </w:rPr>
              <w:t xml:space="preserve"> 服务要求</w:t>
            </w:r>
          </w:p>
        </w:tc>
        <w:tc>
          <w:tcPr>
            <w:tcW w:w="2443" w:type="dxa"/>
            <w:vAlign w:val="center"/>
          </w:tcPr>
          <w:p>
            <w:pPr>
              <w:pStyle w:val="11"/>
              <w:spacing w:line="480" w:lineRule="auto"/>
              <w:ind w:firstLine="480" w:firstLineChars="200"/>
              <w:rPr>
                <w:rFonts w:hAnsi="宋体" w:cs="宋体"/>
                <w:color w:val="000000"/>
                <w:sz w:val="24"/>
                <w:szCs w:val="24"/>
              </w:rPr>
            </w:pPr>
            <w:r>
              <w:rPr>
                <w:rFonts w:hint="eastAsia" w:hAnsi="宋体" w:cs="宋体"/>
                <w:color w:val="000000"/>
                <w:sz w:val="24"/>
                <w:szCs w:val="24"/>
              </w:rPr>
              <w:t>响应文件</w:t>
            </w:r>
          </w:p>
          <w:p>
            <w:pPr>
              <w:pStyle w:val="11"/>
              <w:spacing w:line="480" w:lineRule="auto"/>
              <w:ind w:firstLine="480" w:firstLineChars="200"/>
              <w:rPr>
                <w:rFonts w:hAnsi="宋体" w:cs="宋体"/>
                <w:color w:val="000000"/>
                <w:sz w:val="24"/>
                <w:szCs w:val="24"/>
              </w:rPr>
            </w:pPr>
            <w:r>
              <w:rPr>
                <w:rFonts w:hint="eastAsia" w:hAnsi="宋体" w:cs="宋体"/>
                <w:color w:val="000000"/>
                <w:sz w:val="24"/>
                <w:szCs w:val="24"/>
              </w:rPr>
              <w:t>服务内容</w:t>
            </w:r>
          </w:p>
        </w:tc>
        <w:tc>
          <w:tcPr>
            <w:tcW w:w="1621"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偏差说明</w:t>
            </w:r>
          </w:p>
        </w:tc>
        <w:tc>
          <w:tcPr>
            <w:tcW w:w="1614" w:type="dxa"/>
            <w:vAlign w:val="center"/>
          </w:tcPr>
          <w:p>
            <w:pPr>
              <w:pStyle w:val="11"/>
              <w:spacing w:line="480" w:lineRule="auto"/>
              <w:jc w:val="center"/>
              <w:rPr>
                <w:rFonts w:hAnsi="宋体" w:cs="宋体"/>
                <w:color w:val="000000"/>
                <w:sz w:val="24"/>
                <w:szCs w:val="24"/>
              </w:rPr>
            </w:pPr>
            <w:r>
              <w:rPr>
                <w:rFonts w:hint="eastAsia"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vAlign w:val="center"/>
          </w:tcPr>
          <w:p>
            <w:pPr>
              <w:pStyle w:val="11"/>
              <w:spacing w:line="480" w:lineRule="auto"/>
              <w:ind w:firstLine="480" w:firstLineChars="200"/>
              <w:jc w:val="left"/>
              <w:rPr>
                <w:rFonts w:hAnsi="宋体" w:cs="宋体"/>
                <w:color w:val="000000"/>
                <w:sz w:val="24"/>
                <w:szCs w:val="24"/>
              </w:rPr>
            </w:pPr>
          </w:p>
        </w:tc>
        <w:tc>
          <w:tcPr>
            <w:tcW w:w="2443" w:type="dxa"/>
            <w:vAlign w:val="center"/>
          </w:tcPr>
          <w:p>
            <w:pPr>
              <w:pStyle w:val="11"/>
              <w:spacing w:line="480" w:lineRule="auto"/>
              <w:ind w:firstLine="480" w:firstLineChars="200"/>
              <w:jc w:val="left"/>
              <w:rPr>
                <w:rFonts w:hAnsi="宋体" w:cs="宋体"/>
                <w:color w:val="000000"/>
                <w:sz w:val="24"/>
                <w:szCs w:val="24"/>
              </w:rPr>
            </w:pPr>
          </w:p>
        </w:tc>
        <w:tc>
          <w:tcPr>
            <w:tcW w:w="1621" w:type="dxa"/>
            <w:vAlign w:val="center"/>
          </w:tcPr>
          <w:p>
            <w:pPr>
              <w:pStyle w:val="11"/>
              <w:spacing w:line="480" w:lineRule="auto"/>
              <w:ind w:firstLine="480" w:firstLineChars="200"/>
              <w:jc w:val="left"/>
              <w:rPr>
                <w:rFonts w:hAnsi="宋体" w:cs="宋体"/>
                <w:color w:val="000000"/>
                <w:sz w:val="24"/>
                <w:szCs w:val="24"/>
              </w:rPr>
            </w:pPr>
          </w:p>
        </w:tc>
        <w:tc>
          <w:tcPr>
            <w:tcW w:w="1614" w:type="dxa"/>
            <w:vAlign w:val="center"/>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1"/>
              <w:spacing w:line="480" w:lineRule="auto"/>
              <w:ind w:firstLine="480" w:firstLineChars="200"/>
              <w:jc w:val="left"/>
              <w:rPr>
                <w:rFonts w:hAnsi="宋体" w:cs="宋体"/>
                <w:color w:val="000000"/>
                <w:sz w:val="24"/>
                <w:szCs w:val="24"/>
              </w:rPr>
            </w:pPr>
          </w:p>
        </w:tc>
        <w:tc>
          <w:tcPr>
            <w:tcW w:w="2864" w:type="dxa"/>
          </w:tcPr>
          <w:p>
            <w:pPr>
              <w:pStyle w:val="11"/>
              <w:spacing w:line="480" w:lineRule="auto"/>
              <w:ind w:firstLine="480" w:firstLineChars="200"/>
              <w:jc w:val="left"/>
              <w:rPr>
                <w:rFonts w:hAnsi="宋体" w:cs="宋体"/>
                <w:color w:val="000000"/>
                <w:sz w:val="24"/>
                <w:szCs w:val="24"/>
              </w:rPr>
            </w:pPr>
          </w:p>
        </w:tc>
        <w:tc>
          <w:tcPr>
            <w:tcW w:w="2443" w:type="dxa"/>
          </w:tcPr>
          <w:p>
            <w:pPr>
              <w:pStyle w:val="11"/>
              <w:spacing w:line="480" w:lineRule="auto"/>
              <w:ind w:firstLine="480" w:firstLineChars="200"/>
              <w:jc w:val="left"/>
              <w:rPr>
                <w:rFonts w:hAnsi="宋体" w:cs="宋体"/>
                <w:color w:val="000000"/>
                <w:sz w:val="24"/>
                <w:szCs w:val="24"/>
              </w:rPr>
            </w:pPr>
          </w:p>
        </w:tc>
        <w:tc>
          <w:tcPr>
            <w:tcW w:w="1621" w:type="dxa"/>
          </w:tcPr>
          <w:p>
            <w:pPr>
              <w:pStyle w:val="11"/>
              <w:spacing w:line="480" w:lineRule="auto"/>
              <w:ind w:firstLine="480" w:firstLineChars="200"/>
              <w:jc w:val="left"/>
              <w:rPr>
                <w:rFonts w:hAnsi="宋体" w:cs="宋体"/>
                <w:color w:val="000000"/>
                <w:sz w:val="24"/>
                <w:szCs w:val="24"/>
              </w:rPr>
            </w:pPr>
          </w:p>
        </w:tc>
        <w:tc>
          <w:tcPr>
            <w:tcW w:w="1614" w:type="dxa"/>
          </w:tcPr>
          <w:p>
            <w:pPr>
              <w:pStyle w:val="11"/>
              <w:spacing w:line="480" w:lineRule="auto"/>
              <w:ind w:firstLine="480" w:firstLineChars="200"/>
              <w:jc w:val="left"/>
              <w:rPr>
                <w:rFonts w:hAnsi="宋体" w:cs="宋体"/>
                <w:color w:val="000000"/>
                <w:sz w:val="24"/>
                <w:szCs w:val="24"/>
              </w:rPr>
            </w:pPr>
          </w:p>
        </w:tc>
      </w:tr>
    </w:tbl>
    <w:p>
      <w:pPr>
        <w:pStyle w:val="11"/>
        <w:ind w:firstLine="562" w:firstLineChars="200"/>
        <w:jc w:val="left"/>
        <w:rPr>
          <w:rFonts w:hAnsi="宋体" w:cs="宋体"/>
          <w:color w:val="000000"/>
          <w:sz w:val="28"/>
          <w:szCs w:val="28"/>
        </w:rPr>
      </w:pPr>
      <w:r>
        <w:rPr>
          <w:rFonts w:hint="eastAsia" w:hAnsi="宋体" w:cs="宋体"/>
          <w:b/>
          <w:color w:val="000000"/>
          <w:sz w:val="28"/>
          <w:szCs w:val="28"/>
        </w:rPr>
        <w:t>填写说明：</w:t>
      </w:r>
      <w:r>
        <w:rPr>
          <w:rFonts w:hint="eastAsia" w:hAnsi="宋体" w:cs="宋体"/>
          <w:color w:val="000000"/>
          <w:sz w:val="28"/>
          <w:szCs w:val="28"/>
        </w:rPr>
        <w:t>请按磋商文件要求的实际服务要求，逐条对应响应文件的“采购要求”中的服务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宋体" w:hAnsi="宋体" w:cs="宋体"/>
          <w:color w:val="000000"/>
          <w:sz w:val="28"/>
          <w:szCs w:val="28"/>
        </w:rPr>
      </w:pPr>
    </w:p>
    <w:p>
      <w:pPr>
        <w:adjustRightInd w:val="0"/>
        <w:snapToGrid w:val="0"/>
        <w:spacing w:line="480" w:lineRule="auto"/>
        <w:jc w:val="left"/>
        <w:rPr>
          <w:rFonts w:ascii="宋体" w:hAnsi="宋体" w:cs="宋体"/>
          <w:color w:val="000000"/>
          <w:sz w:val="28"/>
          <w:szCs w:val="28"/>
          <w:u w:val="single"/>
        </w:rPr>
      </w:pPr>
      <w:r>
        <w:rPr>
          <w:rFonts w:hint="eastAsia" w:ascii="宋体" w:hAnsi="宋体" w:cs="宋体"/>
          <w:color w:val="000000"/>
          <w:sz w:val="28"/>
          <w:szCs w:val="28"/>
        </w:rPr>
        <w:t>供应商（单位名称及公章）：</w:t>
      </w:r>
    </w:p>
    <w:p>
      <w:pPr>
        <w:adjustRightInd w:val="0"/>
        <w:snapToGrid w:val="0"/>
        <w:spacing w:line="480" w:lineRule="auto"/>
        <w:rPr>
          <w:rFonts w:ascii="宋体" w:hAnsi="宋体" w:cs="宋体"/>
          <w:color w:val="000000"/>
          <w:sz w:val="28"/>
          <w:szCs w:val="28"/>
        </w:rPr>
      </w:pPr>
      <w:r>
        <w:rPr>
          <w:rFonts w:hint="eastAsia" w:ascii="宋体" w:hAnsi="宋体" w:cs="宋体"/>
          <w:color w:val="000000"/>
          <w:sz w:val="28"/>
          <w:szCs w:val="28"/>
        </w:rPr>
        <w:t>法定代表人/被授权人（签字或盖章）：</w:t>
      </w:r>
    </w:p>
    <w:p>
      <w:pPr>
        <w:adjustRightInd w:val="0"/>
        <w:snapToGrid w:val="0"/>
        <w:spacing w:line="480" w:lineRule="auto"/>
        <w:rPr>
          <w:rFonts w:ascii="宋体" w:hAnsi="宋体" w:cs="宋体"/>
          <w:color w:val="000000"/>
          <w:sz w:val="28"/>
          <w:szCs w:val="28"/>
        </w:rPr>
        <w:sectPr>
          <w:pgSz w:w="11906" w:h="16838"/>
          <w:pgMar w:top="1440" w:right="1304" w:bottom="1440" w:left="1304" w:header="851" w:footer="992" w:gutter="0"/>
          <w:cols w:space="720" w:num="1"/>
          <w:docGrid w:type="lines" w:linePitch="325" w:charSpace="0"/>
        </w:sectPr>
      </w:pPr>
      <w:r>
        <w:rPr>
          <w:rFonts w:hint="eastAsia" w:ascii="宋体" w:hAnsi="宋体" w:cs="宋体"/>
          <w:color w:val="000000"/>
          <w:sz w:val="28"/>
          <w:szCs w:val="28"/>
        </w:rPr>
        <w:t>日    期：  年  月  日</w:t>
      </w:r>
    </w:p>
    <w:p>
      <w:pPr>
        <w:pStyle w:val="4"/>
        <w:spacing w:before="325" w:beforeLines="100" w:after="487" w:afterLines="150" w:line="500" w:lineRule="exact"/>
        <w:rPr>
          <w:rFonts w:ascii="宋体" w:hAnsi="宋体" w:cs="宋体"/>
          <w:color w:val="000000"/>
          <w:sz w:val="36"/>
          <w:szCs w:val="36"/>
        </w:rPr>
      </w:pPr>
      <w:bookmarkStart w:id="161" w:name="_Toc18357"/>
      <w:bookmarkStart w:id="162" w:name="_Toc31024"/>
      <w:bookmarkStart w:id="163" w:name="_Toc20907"/>
      <w:bookmarkStart w:id="164" w:name="_Toc8786"/>
      <w:r>
        <w:rPr>
          <w:rFonts w:hint="eastAsia" w:ascii="宋体" w:hAnsi="宋体" w:cs="宋体"/>
          <w:color w:val="000000"/>
          <w:sz w:val="36"/>
          <w:szCs w:val="36"/>
        </w:rPr>
        <w:t>第六章</w:t>
      </w:r>
      <w:bookmarkEnd w:id="161"/>
      <w:r>
        <w:rPr>
          <w:rFonts w:hint="eastAsia" w:ascii="宋体" w:hAnsi="宋体" w:cs="宋体"/>
          <w:color w:val="000000"/>
          <w:sz w:val="36"/>
          <w:szCs w:val="36"/>
        </w:rPr>
        <w:t xml:space="preserve">  技术支持资料</w:t>
      </w:r>
      <w:bookmarkEnd w:id="162"/>
      <w:bookmarkEnd w:id="163"/>
      <w:bookmarkEnd w:id="164"/>
    </w:p>
    <w:p>
      <w:pPr>
        <w:spacing w:line="480" w:lineRule="auto"/>
        <w:rPr>
          <w:b/>
          <w:bCs/>
          <w:color w:val="000000"/>
          <w:sz w:val="36"/>
          <w:szCs w:val="36"/>
        </w:rPr>
      </w:pPr>
      <w:r>
        <w:rPr>
          <w:rFonts w:hint="eastAsia"/>
          <w:b/>
          <w:bCs/>
          <w:color w:val="000000"/>
          <w:sz w:val="36"/>
          <w:szCs w:val="36"/>
        </w:rPr>
        <w:t>供应商可根据评审办法自行编写，格式不限：</w:t>
      </w:r>
    </w:p>
    <w:p>
      <w:pPr>
        <w:rPr>
          <w:color w:val="000000"/>
        </w:rPr>
      </w:pPr>
    </w:p>
    <w:p>
      <w:pPr>
        <w:pStyle w:val="4"/>
        <w:rPr>
          <w:color w:val="000000"/>
        </w:rPr>
        <w:sectPr>
          <w:pgSz w:w="11906" w:h="16838"/>
          <w:pgMar w:top="1440" w:right="1304" w:bottom="1440" w:left="1304" w:header="851" w:footer="992" w:gutter="0"/>
          <w:cols w:space="720" w:num="1"/>
          <w:docGrid w:type="lines" w:linePitch="325" w:charSpace="0"/>
        </w:sectPr>
      </w:pPr>
    </w:p>
    <w:p>
      <w:pPr>
        <w:pStyle w:val="4"/>
        <w:rPr>
          <w:color w:val="000000"/>
        </w:rPr>
      </w:pPr>
      <w:bookmarkStart w:id="165" w:name="_Toc11540"/>
      <w:bookmarkStart w:id="166" w:name="_Toc24728"/>
      <w:bookmarkStart w:id="167" w:name="_Toc24882"/>
      <w:r>
        <w:rPr>
          <w:rFonts w:hint="eastAsia"/>
          <w:color w:val="000000"/>
        </w:rPr>
        <w:t>第七章  供应商业绩一览表</w:t>
      </w:r>
      <w:bookmarkEnd w:id="165"/>
      <w:bookmarkEnd w:id="166"/>
      <w:bookmarkEnd w:id="167"/>
    </w:p>
    <w:p>
      <w:pPr>
        <w:rPr>
          <w:rFonts w:ascii="宋体" w:hAnsi="宋体" w:cs="宋体"/>
          <w:color w:val="000000"/>
        </w:rPr>
      </w:pPr>
    </w:p>
    <w:tbl>
      <w:tblPr>
        <w:tblStyle w:val="23"/>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年份</w:t>
            </w:r>
          </w:p>
        </w:tc>
        <w:tc>
          <w:tcPr>
            <w:tcW w:w="1508"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用户名称</w:t>
            </w:r>
          </w:p>
        </w:tc>
        <w:tc>
          <w:tcPr>
            <w:tcW w:w="1382"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项目名称</w:t>
            </w:r>
          </w:p>
        </w:tc>
        <w:tc>
          <w:tcPr>
            <w:tcW w:w="1399"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完成时间</w:t>
            </w:r>
          </w:p>
        </w:tc>
        <w:tc>
          <w:tcPr>
            <w:tcW w:w="1485" w:type="dxa"/>
            <w:vAlign w:val="center"/>
          </w:tcPr>
          <w:p>
            <w:pPr>
              <w:spacing w:line="400" w:lineRule="exact"/>
              <w:ind w:firstLine="105" w:firstLineChars="50"/>
              <w:rPr>
                <w:rFonts w:ascii="宋体" w:hAnsi="宋体" w:cs="宋体"/>
                <w:bCs/>
                <w:color w:val="000000"/>
                <w:szCs w:val="21"/>
              </w:rPr>
            </w:pPr>
            <w:r>
              <w:rPr>
                <w:rFonts w:hint="eastAsia" w:ascii="宋体" w:hAnsi="宋体" w:cs="宋体"/>
                <w:bCs/>
                <w:color w:val="000000"/>
                <w:szCs w:val="21"/>
              </w:rPr>
              <w:t>合同金额</w:t>
            </w:r>
          </w:p>
        </w:tc>
        <w:tc>
          <w:tcPr>
            <w:tcW w:w="1576" w:type="dxa"/>
            <w:tcBorders>
              <w:right w:val="single" w:color="auto" w:sz="4" w:space="0"/>
            </w:tcBorders>
            <w:vAlign w:val="center"/>
          </w:tcPr>
          <w:p>
            <w:pPr>
              <w:spacing w:line="400" w:lineRule="exact"/>
              <w:ind w:left="204" w:hanging="203" w:hangingChars="97"/>
              <w:rPr>
                <w:rFonts w:ascii="宋体" w:hAnsi="宋体" w:cs="宋体"/>
                <w:bCs/>
                <w:color w:val="000000"/>
                <w:szCs w:val="21"/>
              </w:rPr>
            </w:pPr>
            <w:r>
              <w:rPr>
                <w:rFonts w:hint="eastAsia" w:ascii="宋体" w:hAnsi="宋体" w:cs="宋体"/>
                <w:bCs/>
                <w:color w:val="000000"/>
                <w:szCs w:val="21"/>
              </w:rPr>
              <w:t>完成项目质量</w:t>
            </w:r>
          </w:p>
        </w:tc>
        <w:tc>
          <w:tcPr>
            <w:tcW w:w="1096" w:type="dxa"/>
            <w:tcBorders>
              <w:left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tcBorders>
              <w:right w:val="single" w:color="auto" w:sz="4" w:space="0"/>
            </w:tcBorders>
            <w:vAlign w:val="center"/>
          </w:tcPr>
          <w:p>
            <w:pPr>
              <w:spacing w:line="400" w:lineRule="exact"/>
              <w:jc w:val="center"/>
              <w:rPr>
                <w:rFonts w:ascii="宋体" w:hAnsi="宋体" w:cs="宋体"/>
                <w:bCs/>
                <w:color w:val="000000"/>
                <w:szCs w:val="21"/>
              </w:rPr>
            </w:pPr>
          </w:p>
        </w:tc>
        <w:tc>
          <w:tcPr>
            <w:tcW w:w="1382" w:type="dxa"/>
            <w:tcBorders>
              <w:left w:val="single" w:color="auto" w:sz="4" w:space="0"/>
            </w:tcBorders>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cs="宋体"/>
                <w:bCs/>
                <w:color w:val="000000"/>
                <w:szCs w:val="21"/>
              </w:rPr>
            </w:pPr>
          </w:p>
        </w:tc>
        <w:tc>
          <w:tcPr>
            <w:tcW w:w="1508"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82"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99"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485"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cs="宋体"/>
                <w:bCs/>
                <w:color w:val="000000"/>
                <w:szCs w:val="21"/>
              </w:rPr>
            </w:pPr>
          </w:p>
        </w:tc>
        <w:tc>
          <w:tcPr>
            <w:tcW w:w="1508" w:type="dxa"/>
            <w:vAlign w:val="center"/>
          </w:tcPr>
          <w:p>
            <w:pPr>
              <w:spacing w:line="400" w:lineRule="exact"/>
              <w:rPr>
                <w:rFonts w:ascii="宋体" w:hAnsi="宋体" w:cs="宋体"/>
                <w:bCs/>
                <w:color w:val="000000"/>
                <w:szCs w:val="21"/>
              </w:rPr>
            </w:pPr>
          </w:p>
        </w:tc>
        <w:tc>
          <w:tcPr>
            <w:tcW w:w="1382" w:type="dxa"/>
            <w:vAlign w:val="center"/>
          </w:tcPr>
          <w:p>
            <w:pPr>
              <w:spacing w:line="400" w:lineRule="exact"/>
              <w:rPr>
                <w:rFonts w:ascii="宋体" w:hAnsi="宋体" w:cs="宋体"/>
                <w:bCs/>
                <w:color w:val="000000"/>
                <w:szCs w:val="21"/>
              </w:rPr>
            </w:pPr>
          </w:p>
        </w:tc>
        <w:tc>
          <w:tcPr>
            <w:tcW w:w="1399" w:type="dxa"/>
            <w:vAlign w:val="center"/>
          </w:tcPr>
          <w:p>
            <w:pPr>
              <w:spacing w:line="400" w:lineRule="exact"/>
              <w:rPr>
                <w:rFonts w:ascii="宋体" w:hAnsi="宋体" w:cs="宋体"/>
                <w:bCs/>
                <w:color w:val="000000"/>
                <w:szCs w:val="21"/>
              </w:rPr>
            </w:pPr>
          </w:p>
        </w:tc>
        <w:tc>
          <w:tcPr>
            <w:tcW w:w="1485" w:type="dxa"/>
            <w:tcBorders>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tcBorders>
              <w:right w:val="single" w:color="auto" w:sz="4" w:space="0"/>
            </w:tcBorders>
            <w:vAlign w:val="center"/>
          </w:tcPr>
          <w:p>
            <w:pPr>
              <w:spacing w:line="400" w:lineRule="exact"/>
              <w:jc w:val="center"/>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宋体"/>
          <w:color w:val="000000"/>
          <w:sz w:val="24"/>
          <w:szCs w:val="24"/>
        </w:rPr>
      </w:pPr>
      <w:r>
        <w:rPr>
          <w:rFonts w:hint="eastAsia" w:ascii="宋体" w:hAnsi="宋体" w:cs="宋体"/>
          <w:color w:val="000000"/>
          <w:sz w:val="24"/>
          <w:szCs w:val="24"/>
        </w:rPr>
        <w:t xml:space="preserve"> 注：供应商（仅限于供应商自己实施的）以上业绩需提供采购合同复印件加盖公章。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cs="宋体"/>
          <w:color w:val="000000"/>
          <w:sz w:val="24"/>
          <w:szCs w:val="24"/>
        </w:rPr>
      </w:pPr>
    </w:p>
    <w:p>
      <w:pPr>
        <w:spacing w:line="360" w:lineRule="auto"/>
        <w:ind w:left="360"/>
        <w:jc w:val="center"/>
        <w:rPr>
          <w:rFonts w:ascii="宋体" w:hAnsi="宋体" w:cs="宋体"/>
          <w:color w:val="000000"/>
          <w:sz w:val="24"/>
          <w:szCs w:val="24"/>
        </w:rPr>
      </w:pPr>
    </w:p>
    <w:p>
      <w:pPr>
        <w:adjustRightInd w:val="0"/>
        <w:spacing w:line="360" w:lineRule="auto"/>
        <w:ind w:firstLine="490" w:firstLineChars="175"/>
        <w:jc w:val="left"/>
        <w:rPr>
          <w:rFonts w:ascii="宋体" w:hAnsi="宋体" w:cs="宋体"/>
          <w:bCs/>
          <w:color w:val="000000"/>
          <w:sz w:val="28"/>
          <w:szCs w:val="28"/>
          <w:u w:val="single"/>
        </w:rPr>
      </w:pPr>
      <w:r>
        <w:rPr>
          <w:rFonts w:hint="eastAsia" w:ascii="宋体" w:hAnsi="宋体" w:cs="宋体"/>
          <w:bCs/>
          <w:color w:val="000000"/>
          <w:sz w:val="28"/>
          <w:szCs w:val="28"/>
        </w:rPr>
        <w:t>供应商名称：</w:t>
      </w:r>
      <w:r>
        <w:rPr>
          <w:rFonts w:hint="eastAsia" w:ascii="宋体" w:hAnsi="宋体" w:cs="宋体"/>
          <w:bCs/>
          <w:color w:val="000000"/>
          <w:sz w:val="28"/>
          <w:szCs w:val="28"/>
          <w:u w:val="single"/>
        </w:rPr>
        <w:t xml:space="preserve">              （全称及公章）</w:t>
      </w:r>
    </w:p>
    <w:p>
      <w:pPr>
        <w:adjustRightInd w:val="0"/>
        <w:spacing w:line="360" w:lineRule="auto"/>
        <w:ind w:firstLine="490" w:firstLineChars="175"/>
        <w:jc w:val="left"/>
        <w:rPr>
          <w:rFonts w:ascii="宋体" w:hAnsi="宋体" w:cs="宋体"/>
          <w:bCs/>
          <w:color w:val="000000"/>
          <w:sz w:val="28"/>
          <w:szCs w:val="28"/>
          <w:u w:val="single"/>
        </w:rPr>
      </w:pPr>
      <w:r>
        <w:rPr>
          <w:rFonts w:hint="eastAsia" w:ascii="宋体" w:hAnsi="宋体" w:cs="宋体"/>
          <w:bCs/>
          <w:color w:val="000000"/>
          <w:sz w:val="28"/>
          <w:szCs w:val="28"/>
        </w:rPr>
        <w:t>法定代表人或委托代理人（签字或盖章）：</w:t>
      </w:r>
    </w:p>
    <w:p>
      <w:pPr>
        <w:adjustRightInd w:val="0"/>
        <w:spacing w:line="360" w:lineRule="auto"/>
        <w:ind w:firstLine="490" w:firstLineChars="175"/>
        <w:jc w:val="left"/>
        <w:rPr>
          <w:rFonts w:ascii="宋体" w:hAnsi="宋体" w:cs="宋体"/>
          <w:color w:val="000000"/>
          <w:sz w:val="28"/>
          <w:szCs w:val="28"/>
        </w:rPr>
      </w:pPr>
      <w:r>
        <w:rPr>
          <w:rFonts w:hint="eastAsia" w:ascii="宋体" w:hAnsi="宋体" w:cs="宋体"/>
          <w:bCs/>
          <w:color w:val="000000"/>
          <w:sz w:val="28"/>
          <w:szCs w:val="28"/>
        </w:rPr>
        <w:t xml:space="preserve">日    </w:t>
      </w:r>
      <w:r>
        <w:rPr>
          <w:rFonts w:hint="eastAsia" w:ascii="宋体" w:hAnsi="宋体" w:cs="宋体"/>
          <w:color w:val="000000"/>
          <w:sz w:val="28"/>
          <w:szCs w:val="28"/>
        </w:rPr>
        <w:t xml:space="preserve">期:                       </w:t>
      </w:r>
    </w:p>
    <w:p>
      <w:pPr>
        <w:adjustRightInd w:val="0"/>
        <w:spacing w:line="360" w:lineRule="auto"/>
        <w:ind w:firstLine="490" w:firstLineChars="175"/>
        <w:jc w:val="left"/>
        <w:rPr>
          <w:rFonts w:ascii="宋体" w:hAnsi="宋体" w:cs="宋体"/>
          <w:bCs/>
          <w:color w:val="000000"/>
          <w:sz w:val="28"/>
          <w:szCs w:val="28"/>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adjustRightInd w:val="0"/>
        <w:spacing w:line="360" w:lineRule="auto"/>
        <w:ind w:firstLine="420" w:firstLineChars="175"/>
        <w:jc w:val="left"/>
        <w:rPr>
          <w:rFonts w:ascii="宋体" w:hAnsi="宋体" w:cs="宋体"/>
          <w:bCs/>
          <w:color w:val="000000"/>
          <w:sz w:val="24"/>
          <w:szCs w:val="24"/>
          <w:u w:val="single"/>
        </w:rPr>
      </w:pPr>
    </w:p>
    <w:p>
      <w:pPr>
        <w:pStyle w:val="4"/>
        <w:rPr>
          <w:color w:val="000000"/>
        </w:rPr>
      </w:pPr>
      <w:bookmarkStart w:id="168" w:name="_Toc18894"/>
      <w:bookmarkStart w:id="169" w:name="_Toc23432"/>
      <w:bookmarkStart w:id="170" w:name="_Toc29034"/>
      <w:bookmarkStart w:id="171" w:name="_Toc5553"/>
      <w:r>
        <w:rPr>
          <w:rFonts w:hint="eastAsia"/>
          <w:color w:val="000000"/>
        </w:rPr>
        <w:t>第八章  供应商认为有必要说明的其他问题</w:t>
      </w:r>
      <w:bookmarkEnd w:id="168"/>
      <w:bookmarkEnd w:id="169"/>
      <w:bookmarkEnd w:id="170"/>
      <w:bookmarkEnd w:id="171"/>
    </w:p>
    <w:p>
      <w:pPr>
        <w:rPr>
          <w:rFonts w:ascii="宋体" w:hAnsi="宋体" w:cs="宋体"/>
          <w:color w:val="000000"/>
          <w:sz w:val="28"/>
          <w:szCs w:val="28"/>
        </w:rPr>
      </w:pPr>
    </w:p>
    <w:p>
      <w:pPr>
        <w:pStyle w:val="6"/>
        <w:rPr>
          <w:color w:val="000000"/>
        </w:rPr>
      </w:pPr>
    </w:p>
    <w:p>
      <w:pPr>
        <w:rPr>
          <w:b/>
          <w:bCs/>
          <w:color w:val="000000"/>
          <w:sz w:val="44"/>
          <w:szCs w:val="48"/>
        </w:rPr>
      </w:pPr>
      <w:r>
        <w:rPr>
          <w:rFonts w:hint="eastAsia"/>
          <w:b/>
          <w:bCs/>
          <w:color w:val="000000"/>
          <w:sz w:val="44"/>
          <w:szCs w:val="48"/>
        </w:rPr>
        <w:t>供应商可在此处附附件二至附件五的证明材料，如没有提供，视为无。</w:t>
      </w:r>
    </w:p>
    <w:p>
      <w:pPr>
        <w:rPr>
          <w:rFonts w:ascii="宋体" w:hAnsi="宋体" w:cs="宋体"/>
          <w:color w:val="000000"/>
        </w:rPr>
      </w:pPr>
      <w:bookmarkStart w:id="172" w:name="_Toc9761"/>
      <w:r>
        <w:rPr>
          <w:rFonts w:hint="eastAsia" w:ascii="宋体" w:hAnsi="宋体" w:cs="宋体"/>
          <w:color w:val="000000"/>
        </w:rPr>
        <w:br w:type="page"/>
      </w:r>
    </w:p>
    <w:p>
      <w:pPr>
        <w:pStyle w:val="4"/>
        <w:rPr>
          <w:rFonts w:ascii="宋体" w:hAnsi="宋体" w:cs="宋体"/>
        </w:rPr>
      </w:pPr>
      <w:bookmarkStart w:id="173" w:name="_Toc22008"/>
      <w:r>
        <w:rPr>
          <w:rFonts w:hint="eastAsia" w:ascii="宋体" w:hAnsi="宋体" w:cs="宋体"/>
          <w:color w:val="000000"/>
        </w:rPr>
        <w:t xml:space="preserve">第九章  </w:t>
      </w:r>
      <w:r>
        <w:rPr>
          <w:rFonts w:hint="eastAsia"/>
          <w:color w:val="000000"/>
          <w:sz w:val="30"/>
          <w:szCs w:val="30"/>
        </w:rPr>
        <w:t>供应商承诺书</w:t>
      </w:r>
      <w:bookmarkEnd w:id="155"/>
      <w:bookmarkEnd w:id="156"/>
      <w:bookmarkEnd w:id="172"/>
      <w:bookmarkEnd w:id="173"/>
    </w:p>
    <w:p>
      <w:pPr>
        <w:pStyle w:val="11"/>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承诺书Ⅱ</w:t>
      </w:r>
    </w:p>
    <w:tbl>
      <w:tblPr>
        <w:tblStyle w:val="2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西安市儿童医院软件维保项目</w:t>
            </w:r>
            <w:r>
              <w:rPr>
                <w:rFonts w:hint="eastAsia" w:ascii="宋体" w:hAnsi="宋体" w:cs="宋体"/>
                <w:szCs w:val="21"/>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 xml:space="preserve">（签字或盖章） </w:t>
            </w:r>
          </w:p>
        </w:tc>
        <w:tc>
          <w:tcPr>
            <w:tcW w:w="2376"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tLeast"/>
        <w:ind w:firstLine="843" w:firstLineChars="200"/>
        <w:jc w:val="left"/>
        <w:rPr>
          <w:rFonts w:ascii="宋体" w:hAnsi="宋体" w:cs="宋体"/>
          <w:b/>
          <w:sz w:val="42"/>
          <w:szCs w:val="42"/>
        </w:rPr>
      </w:pPr>
    </w:p>
    <w:p>
      <w:pPr>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承诺书Ⅲ</w:t>
      </w:r>
    </w:p>
    <w:tbl>
      <w:tblPr>
        <w:tblStyle w:val="2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西安市儿童医院软件维保项目</w:t>
            </w:r>
            <w:r>
              <w:rPr>
                <w:rFonts w:hint="eastAsia" w:ascii="宋体" w:hAnsi="宋体" w:cs="宋体"/>
                <w:szCs w:val="21"/>
              </w:rPr>
              <w:t>的供应商，本公司郑重申告并承诺：近三年受到有关行政主管部门的行政处理、不良行为记录为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87"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87"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承诺书Ⅳ</w:t>
      </w:r>
    </w:p>
    <w:tbl>
      <w:tblPr>
        <w:tblStyle w:val="2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西安市儿童医院软件维保项目</w:t>
            </w:r>
            <w:r>
              <w:rPr>
                <w:rFonts w:hint="eastAsia" w:ascii="宋体" w:hAnsi="宋体" w:cs="宋体"/>
                <w:szCs w:val="21"/>
              </w:rPr>
              <w:t>的供应商，本公司郑重申告：近三年因产品供货问题（水货、替代品、次品、翻新品等）的不法行为记录为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p>
            <w:pPr>
              <w:spacing w:line="360" w:lineRule="atLeast"/>
              <w:ind w:firstLine="420" w:firstLineChars="200"/>
              <w:jc w:val="left"/>
              <w:rPr>
                <w:rFonts w:ascii="宋体" w:hAnsi="宋体" w:cs="宋体"/>
                <w:szCs w:val="21"/>
              </w:rPr>
            </w:pPr>
            <w:r>
              <w:rPr>
                <w:rFonts w:hint="eastAsia" w:ascii="宋体" w:hAnsi="宋体" w:cs="宋体"/>
                <w:szCs w:val="21"/>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1"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71"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uto"/>
        <w:ind w:firstLine="480" w:firstLineChars="200"/>
        <w:jc w:val="left"/>
        <w:rPr>
          <w:rFonts w:ascii="宋体" w:hAnsi="宋体" w:cs="宋体"/>
          <w:sz w:val="24"/>
          <w:szCs w:val="28"/>
        </w:rPr>
      </w:pPr>
    </w:p>
    <w:p>
      <w:pPr>
        <w:spacing w:line="360" w:lineRule="atLeast"/>
        <w:ind w:firstLine="482" w:firstLineChars="200"/>
        <w:jc w:val="center"/>
        <w:rPr>
          <w:rFonts w:ascii="宋体" w:hAnsi="宋体" w:cs="宋体"/>
          <w:b/>
          <w:sz w:val="32"/>
          <w:szCs w:val="32"/>
        </w:rPr>
      </w:pPr>
      <w:r>
        <w:rPr>
          <w:rFonts w:hint="eastAsia" w:ascii="宋体" w:hAnsi="宋体" w:cs="宋体"/>
          <w:b/>
          <w:sz w:val="24"/>
          <w:szCs w:val="24"/>
        </w:rPr>
        <w:t>承诺书</w:t>
      </w:r>
      <w:r>
        <w:rPr>
          <w:rFonts w:hint="eastAsia" w:ascii="宋体" w:hAnsi="宋体" w:cs="宋体"/>
          <w:b/>
          <w:sz w:val="24"/>
          <w:szCs w:val="24"/>
        </w:rPr>
        <w:fldChar w:fldCharType="begin"/>
      </w:r>
      <w:r>
        <w:rPr>
          <w:rFonts w:hint="eastAsia" w:ascii="宋体" w:hAnsi="宋体" w:cs="宋体"/>
          <w:b/>
          <w:sz w:val="24"/>
          <w:szCs w:val="24"/>
        </w:rPr>
        <w:instrText xml:space="preserve"> = 5 \* ROMAN </w:instrText>
      </w:r>
      <w:r>
        <w:rPr>
          <w:rFonts w:hint="eastAsia" w:ascii="宋体" w:hAnsi="宋体" w:cs="宋体"/>
          <w:b/>
          <w:sz w:val="24"/>
          <w:szCs w:val="24"/>
        </w:rPr>
        <w:fldChar w:fldCharType="separate"/>
      </w:r>
      <w:r>
        <w:rPr>
          <w:rFonts w:hint="eastAsia" w:ascii="宋体" w:hAnsi="宋体" w:cs="宋体"/>
          <w:b/>
          <w:sz w:val="24"/>
          <w:szCs w:val="24"/>
          <w:lang w:val="zh-CN"/>
        </w:rPr>
        <w:t>V</w:t>
      </w:r>
      <w:r>
        <w:rPr>
          <w:rFonts w:hint="eastAsia" w:ascii="宋体" w:hAnsi="宋体" w:cs="宋体"/>
          <w:b/>
          <w:sz w:val="24"/>
          <w:szCs w:val="24"/>
        </w:rPr>
        <w:fldChar w:fldCharType="end"/>
      </w:r>
    </w:p>
    <w:tbl>
      <w:tblPr>
        <w:tblStyle w:val="2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西安市儿童医院软件维保项目</w:t>
            </w:r>
            <w:r>
              <w:rPr>
                <w:rFonts w:hint="eastAsia" w:ascii="宋体" w:hAnsi="宋体" w:cs="宋体"/>
                <w:szCs w:val="21"/>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41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418"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adjustRightInd w:val="0"/>
        <w:snapToGrid w:val="0"/>
        <w:ind w:firstLine="720" w:firstLineChars="200"/>
        <w:jc w:val="left"/>
        <w:rPr>
          <w:rFonts w:ascii="宋体" w:hAnsi="宋体" w:cs="宋体"/>
          <w:bCs/>
          <w:sz w:val="36"/>
          <w:szCs w:val="36"/>
        </w:rPr>
      </w:pPr>
    </w:p>
    <w:p>
      <w:pPr>
        <w:widowControl/>
        <w:spacing w:line="460" w:lineRule="exact"/>
        <w:ind w:firstLine="480" w:firstLineChars="200"/>
        <w:jc w:val="left"/>
        <w:rPr>
          <w:rFonts w:ascii="宋体" w:hAnsi="宋体" w:cs="宋体"/>
          <w:sz w:val="24"/>
          <w:szCs w:val="28"/>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174" w:name="_Toc9950"/>
      <w:r>
        <w:rPr>
          <w:rFonts w:hint="eastAsia" w:ascii="宋体" w:hAnsi="宋体" w:cs="宋体"/>
        </w:rPr>
        <w:t>附件一：封袋正面标识式样</w:t>
      </w:r>
      <w:bookmarkEnd w:id="110"/>
      <w:bookmarkEnd w:id="111"/>
      <w:bookmarkEnd w:id="174"/>
    </w:p>
    <w:p>
      <w:pPr>
        <w:spacing w:line="460" w:lineRule="exact"/>
        <w:ind w:firstLine="482" w:firstLineChars="200"/>
        <w:jc w:val="center"/>
        <w:rPr>
          <w:rFonts w:ascii="宋体" w:hAnsi="宋体" w:cs="宋体"/>
          <w:b/>
          <w:sz w:val="24"/>
        </w:rPr>
      </w:pPr>
      <w:r>
        <w:rPr>
          <w:rFonts w:hint="eastAsia" w:ascii="宋体" w:hAnsi="宋体" w:cs="宋体"/>
          <w:b/>
          <w:sz w:val="24"/>
        </w:rPr>
        <w:t>磋商响应文件正本封袋正面标识式样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781040" cy="2795270"/>
                <wp:effectExtent l="4445" t="4445" r="5715" b="19685"/>
                <wp:wrapNone/>
                <wp:docPr id="13" name="Text Box 3"/>
                <wp:cNvGraphicFramePr/>
                <a:graphic xmlns:a="http://schemas.openxmlformats.org/drawingml/2006/main">
                  <a:graphicData uri="http://schemas.microsoft.com/office/word/2010/wordprocessingShape">
                    <wps:wsp>
                      <wps:cNvSpPr txBox="1"/>
                      <wps:spPr>
                        <a:xfrm>
                          <a:off x="0" y="0"/>
                          <a:ext cx="5781040" cy="300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pStyle w:val="2"/>
                              <w:rPr>
                                <w:rFonts w:hint="default"/>
                              </w:rPr>
                            </w:pPr>
                            <w:r>
                              <w:rPr>
                                <w:sz w:val="28"/>
                                <w:szCs w:val="28"/>
                              </w:rPr>
                              <w:t xml:space="preserve">                          </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7.55pt;margin-top:8.9pt;height:220.1pt;width:455.2pt;z-index:251662336;mso-width-relative:page;mso-height-relative:page;" fillcolor="#FFFFFF" filled="t" stroked="t" coordsize="21600,21600" o:gfxdata="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wPzZAAAACgEAAA8AAAAAAAAAAQAgAAAAIgAAAGRy&#10;cy9kb3ducmV2LnhtbFBLAQIUABQAAAAIAIdO4kD6Rt5MBAIAAEUEAAAOAAAAAAAAAAEAIAAAACgB&#10;AABkcnMvZTJvRG9jLnhtbFBLBQYAAAAABgAGAFkBAACeBQ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pStyle w:val="2"/>
                        <w:rPr>
                          <w:rFonts w:hint="default"/>
                        </w:rPr>
                      </w:pPr>
                      <w:r>
                        <w:rPr>
                          <w:sz w:val="28"/>
                          <w:szCs w:val="28"/>
                        </w:rPr>
                        <w:t xml:space="preserve">                          </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6"/>
      </w:pPr>
    </w:p>
    <w:p>
      <w:pPr>
        <w:spacing w:line="460" w:lineRule="exact"/>
        <w:ind w:firstLine="482" w:firstLineChars="200"/>
        <w:jc w:val="center"/>
        <w:rPr>
          <w:rFonts w:ascii="宋体" w:hAnsi="宋体" w:cs="宋体"/>
          <w:b/>
          <w:sz w:val="24"/>
        </w:rPr>
      </w:pPr>
      <w:r>
        <w:rPr>
          <w:rFonts w:hint="eastAsia" w:ascii="宋体" w:hAnsi="宋体" w:cs="宋体"/>
          <w:b/>
          <w:sz w:val="24"/>
        </w:rPr>
        <w:t>磋商响应文件副本封袋正面标识式样</w:t>
      </w:r>
    </w:p>
    <w:p>
      <w:pPr>
        <w:ind w:firstLine="420" w:firstLineChars="200"/>
        <w:jc w:val="center"/>
        <w:rPr>
          <w:rFonts w:ascii="宋体" w:hAnsi="宋体" w:cs="宋体"/>
        </w:rPr>
      </w:pPr>
    </w:p>
    <w:p>
      <w:pPr>
        <w:ind w:firstLine="420" w:firstLineChars="200"/>
        <w:jc w:val="center"/>
        <w:rPr>
          <w:rFonts w:ascii="宋体" w:hAnsi="宋体" w:cs="宋体"/>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25490" cy="3180715"/>
                <wp:effectExtent l="4445" t="4445" r="18415" b="15240"/>
                <wp:wrapNone/>
                <wp:docPr id="3" name="Text Box 4"/>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4" o:spid="_x0000_s1026" o:spt="202" type="#_x0000_t202" style="position:absolute;left:0pt;margin-left:-24.75pt;margin-top:7.9pt;height:250.45pt;width:458.7pt;z-index:251663360;mso-width-relative:page;mso-height-relative:page;" fillcolor="#FFFFFF" filled="t" stroked="t" coordsize="21600,21600" o:gfxdata="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lgDYAAAACgEAAA8AAAAAAAAAAQAgAAAAIgAAAGRycy9k&#10;b3ducmV2LnhtbFBLAQIUABQAAAAIAIdO4kBuFAWMAgIAAEQEAAAOAAAAAAAAAAEAIAAAACcBAABk&#10;cnMvZTJvRG9jLnhtbFBLBQYAAAAABgAGAFkBAACbBQ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3" w:type="default"/>
          <w:pgSz w:w="11906" w:h="16838"/>
          <w:pgMar w:top="1440" w:right="1800" w:bottom="1440" w:left="1800" w:header="851" w:footer="992" w:gutter="0"/>
          <w:cols w:space="720" w:num="1"/>
          <w:docGrid w:type="lines" w:linePitch="312"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磋商一览表封袋正面标识式样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191135</wp:posOffset>
                </wp:positionV>
                <wp:extent cx="5706745" cy="2788285"/>
                <wp:effectExtent l="4445" t="4445" r="22860" b="7620"/>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5.65pt;margin-top:15.05pt;height:219.55pt;width:449.35pt;z-index:251663360;mso-width-relative:page;mso-height-relative:page;" fillcolor="#FFFFFF" filled="t" stroked="t" coordsize="21600,21600" o:gfxdata="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TH0H2gAAAAoBAAAPAAAAAAAAAAEAIAAAACIAAABk&#10;cnMvZG93bnJldi54bWxQSwECFAAUAAAACACHTuJA3fJJMw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-331470</wp:posOffset>
                </wp:positionH>
                <wp:positionV relativeFrom="paragraph">
                  <wp:posOffset>142240</wp:posOffset>
                </wp:positionV>
                <wp:extent cx="5750560" cy="2899410"/>
                <wp:effectExtent l="4445" t="4445" r="17145" b="10795"/>
                <wp:wrapNone/>
                <wp:docPr id="10" name="Text Box 3"/>
                <wp:cNvGraphicFramePr/>
                <a:graphic xmlns:a="http://schemas.openxmlformats.org/drawingml/2006/main">
                  <a:graphicData uri="http://schemas.microsoft.com/office/word/2010/wordprocessingShape">
                    <wps:wsp>
                      <wps:cNvSpPr txBox="1"/>
                      <wps:spPr>
                        <a:xfrm>
                          <a:off x="0" y="0"/>
                          <a:ext cx="5750560" cy="2899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pStyle w:val="2"/>
                              <w:jc w:val="center"/>
                              <w:rPr>
                                <w:rFonts w:hint="default"/>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28.3pt;width:452.8pt;z-index:251664384;mso-width-relative:page;mso-height-relative:page;" fillcolor="#FFFFFF" filled="t" stroked="t" coordsize="21600,21600" o:gfxdata="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3ubxNsAAAAKAQAADwAAAAAAAAABACAAAAAiAAAAZHJz&#10;L2Rvd25yZXYueG1sUEsBAhQAFAAAAAgAh07iQKpCjPwBAgAARQQAAA4AAAAAAAAAAQAgAAAAKg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项目编号：SXWZ2022ZB-ETYY-293</w:t>
                      </w:r>
                    </w:p>
                    <w:p>
                      <w:pPr>
                        <w:rPr>
                          <w:sz w:val="28"/>
                          <w:szCs w:val="28"/>
                        </w:rPr>
                      </w:pPr>
                      <w:r>
                        <w:rPr>
                          <w:rFonts w:hint="eastAsia"/>
                          <w:sz w:val="28"/>
                          <w:szCs w:val="28"/>
                        </w:rPr>
                        <w:t>项目名称：西安市儿童医院软件维保项目</w:t>
                      </w:r>
                    </w:p>
                    <w:p>
                      <w:pPr>
                        <w:pStyle w:val="2"/>
                        <w:jc w:val="center"/>
                        <w:rPr>
                          <w:rFonts w:hint="default"/>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pPr>
        <w:pStyle w:val="4"/>
        <w:adjustRightInd w:val="0"/>
        <w:spacing w:line="500" w:lineRule="exact"/>
        <w:textAlignment w:val="baseline"/>
        <w:rPr>
          <w:rFonts w:ascii="宋体" w:hAnsi="宋体" w:cs="宋体"/>
          <w:color w:val="000000"/>
        </w:rPr>
      </w:pPr>
      <w:bookmarkStart w:id="175" w:name="_Toc20374"/>
      <w:bookmarkStart w:id="176" w:name="_Toc18633"/>
      <w:bookmarkStart w:id="177" w:name="_Toc2630"/>
      <w:bookmarkStart w:id="178" w:name="_Toc3008"/>
      <w:bookmarkStart w:id="179" w:name="_Toc8177"/>
      <w:bookmarkStart w:id="180" w:name="_Toc11632"/>
      <w:bookmarkStart w:id="181" w:name="_Toc30485"/>
      <w:bookmarkStart w:id="182" w:name="_Toc1641"/>
      <w:bookmarkStart w:id="183" w:name="_Toc13801"/>
      <w:bookmarkStart w:id="184" w:name="_Toc11690"/>
      <w:bookmarkStart w:id="185" w:name="_Toc30575"/>
      <w:bookmarkStart w:id="186" w:name="_Toc32438"/>
      <w:bookmarkStart w:id="187" w:name="_Toc11896"/>
      <w:bookmarkStart w:id="188" w:name="_Toc6022"/>
      <w:bookmarkStart w:id="189" w:name="_Toc12531"/>
      <w:bookmarkStart w:id="190" w:name="_Toc5814"/>
      <w:bookmarkStart w:id="191" w:name="_Toc10807"/>
      <w:bookmarkStart w:id="192" w:name="_Toc15467"/>
      <w:bookmarkStart w:id="193" w:name="_Toc30870"/>
      <w:bookmarkStart w:id="194" w:name="_Toc30536"/>
      <w:r>
        <w:rPr>
          <w:rFonts w:hint="eastAsia" w:ascii="宋体" w:hAnsi="宋体" w:cs="宋体"/>
          <w:color w:val="000000"/>
        </w:rPr>
        <w:t>附件二、</w:t>
      </w:r>
      <w:bookmarkEnd w:id="175"/>
      <w:bookmarkEnd w:id="176"/>
      <w:bookmarkEnd w:id="177"/>
      <w:bookmarkEnd w:id="178"/>
      <w:bookmarkEnd w:id="179"/>
      <w:bookmarkEnd w:id="180"/>
      <w:bookmarkEnd w:id="181"/>
      <w:bookmarkEnd w:id="182"/>
      <w:r>
        <w:rPr>
          <w:rFonts w:hint="eastAsia" w:ascii="宋体" w:hAnsi="宋体" w:cs="宋体"/>
          <w:color w:val="000000"/>
        </w:rPr>
        <w:t>中小企业申明</w:t>
      </w:r>
      <w:bookmarkEnd w:id="183"/>
      <w:bookmarkEnd w:id="184"/>
      <w:bookmarkEnd w:id="185"/>
    </w:p>
    <w:p>
      <w:pPr>
        <w:spacing w:line="588" w:lineRule="exact"/>
        <w:ind w:firstLine="504" w:firstLineChars="200"/>
        <w:rPr>
          <w:rFonts w:ascii="宋体" w:hAnsi="宋体"/>
          <w:color w:val="000000"/>
          <w:spacing w:val="6"/>
          <w:sz w:val="24"/>
        </w:rPr>
      </w:pPr>
      <w:r>
        <w:rPr>
          <w:rFonts w:hint="eastAsia" w:ascii="宋体" w:hAnsi="宋体"/>
          <w:color w:val="000000"/>
          <w:spacing w:val="6"/>
          <w:sz w:val="24"/>
        </w:rPr>
        <w:t>根据《政府采购促进中小企业发展管理办法》的规定，由供应商自行声明并对真实性负责。如有虚假，将依法承担相应责任。</w:t>
      </w:r>
    </w:p>
    <w:p>
      <w:pPr>
        <w:jc w:val="center"/>
        <w:rPr>
          <w:sz w:val="28"/>
          <w:szCs w:val="28"/>
        </w:rPr>
      </w:pPr>
      <w:r>
        <w:rPr>
          <w:rFonts w:hint="eastAsia"/>
          <w:sz w:val="28"/>
          <w:szCs w:val="28"/>
        </w:rPr>
        <w:t>中小企业声明函</w:t>
      </w:r>
    </w:p>
    <w:p>
      <w:pPr>
        <w:pStyle w:val="8"/>
        <w:spacing w:before="55" w:line="360" w:lineRule="auto"/>
        <w:ind w:right="415" w:firstLine="640"/>
        <w:rPr>
          <w:rFonts w:ascii="宋体" w:hAnsi="宋体"/>
          <w:spacing w:val="6"/>
          <w:sz w:val="24"/>
        </w:rPr>
      </w:pPr>
      <w:r>
        <w:rPr>
          <w:rFonts w:hint="eastAsia" w:ascii="宋体" w:hAnsi="宋体"/>
          <w:spacing w:val="6"/>
          <w:sz w:val="24"/>
        </w:rPr>
        <w:t>本公司（联合体）郑重声明，根据《政府采购促进中小企业发展管理办法》（财库﹝2020﹞46 号）的规定，本公司（联合体）参加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采购活动，服务全部由符合政策要求的中小企业承接。相关企业（含联合体中的中小企业、签订分包意向协议的中小企业）的具体情况如下：</w:t>
      </w:r>
    </w:p>
    <w:p>
      <w:pPr>
        <w:pStyle w:val="66"/>
        <w:numPr>
          <w:ilvl w:val="0"/>
          <w:numId w:val="22"/>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66"/>
        <w:numPr>
          <w:ilvl w:val="0"/>
          <w:numId w:val="22"/>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8"/>
        <w:spacing w:line="360" w:lineRule="auto"/>
        <w:ind w:left="860"/>
        <w:rPr>
          <w:rFonts w:ascii="宋体" w:hAnsi="宋体"/>
          <w:spacing w:val="6"/>
          <w:sz w:val="24"/>
        </w:rPr>
      </w:pPr>
      <w:r>
        <w:rPr>
          <w:rFonts w:hint="eastAsia" w:ascii="宋体" w:hAnsi="宋体"/>
          <w:spacing w:val="6"/>
          <w:sz w:val="24"/>
        </w:rPr>
        <w:t>……</w:t>
      </w:r>
    </w:p>
    <w:p>
      <w:pPr>
        <w:pStyle w:val="8"/>
        <w:spacing w:before="105" w:line="360" w:lineRule="auto"/>
        <w:ind w:right="417" w:firstLine="645"/>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pPr>
        <w:pStyle w:val="8"/>
        <w:spacing w:line="360" w:lineRule="auto"/>
        <w:ind w:right="372" w:firstLine="645"/>
        <w:rPr>
          <w:rFonts w:ascii="宋体" w:hAnsi="宋体"/>
          <w:spacing w:val="6"/>
          <w:sz w:val="24"/>
        </w:rPr>
      </w:pPr>
      <w:r>
        <w:rPr>
          <w:rFonts w:hint="eastAsia" w:ascii="宋体" w:hAnsi="宋体"/>
          <w:spacing w:val="6"/>
          <w:sz w:val="24"/>
        </w:rPr>
        <w:t>本企业对上述声明内容的真实性负责。如有虚假，将依法承担相应责任。</w:t>
      </w:r>
    </w:p>
    <w:p>
      <w:pPr>
        <w:pStyle w:val="8"/>
        <w:spacing w:line="304" w:lineRule="auto"/>
        <w:ind w:right="375" w:firstLine="640"/>
      </w:pPr>
    </w:p>
    <w:p>
      <w:pPr>
        <w:spacing w:line="360" w:lineRule="auto"/>
        <w:jc w:val="left"/>
        <w:rPr>
          <w:rFonts w:ascii="宋体" w:hAnsi="宋体"/>
          <w:spacing w:val="6"/>
          <w:sz w:val="24"/>
        </w:rPr>
      </w:pPr>
      <w:r>
        <w:rPr>
          <w:rFonts w:hint="eastAsia" w:ascii="宋体" w:hAnsi="宋体"/>
          <w:spacing w:val="6"/>
          <w:sz w:val="24"/>
        </w:rPr>
        <w:t>企业名称（盖章）：</w:t>
      </w:r>
    </w:p>
    <w:p>
      <w:pPr>
        <w:spacing w:line="360" w:lineRule="auto"/>
        <w:rPr>
          <w:rFonts w:ascii="宋体" w:hAnsi="宋体"/>
          <w:spacing w:val="6"/>
          <w:sz w:val="24"/>
          <w:szCs w:val="24"/>
        </w:rPr>
      </w:pPr>
      <w:r>
        <w:rPr>
          <w:rFonts w:hint="eastAsia" w:ascii="宋体" w:hAnsi="宋体"/>
          <w:spacing w:val="6"/>
          <w:sz w:val="24"/>
        </w:rPr>
        <w:t>日期</w:t>
      </w:r>
      <w:r>
        <w:rPr>
          <w:rFonts w:hint="eastAsia" w:ascii="宋体" w:hAnsi="宋体"/>
          <w:color w:val="000000"/>
          <w:spacing w:val="6"/>
          <w:sz w:val="24"/>
        </w:rPr>
        <w:t>：</w:t>
      </w:r>
    </w:p>
    <w:p>
      <w:pPr>
        <w:spacing w:line="588" w:lineRule="exact"/>
        <w:ind w:firstLine="504" w:firstLineChars="200"/>
        <w:rPr>
          <w:rFonts w:ascii="宋体" w:hAnsi="宋体" w:cs="宋体"/>
          <w:spacing w:val="6"/>
          <w:sz w:val="24"/>
          <w:szCs w:val="24"/>
        </w:rPr>
        <w:sectPr>
          <w:footerReference r:id="rId14" w:type="default"/>
          <w:pgSz w:w="11906" w:h="16838"/>
          <w:pgMar w:top="1440" w:right="1803" w:bottom="1440" w:left="1803" w:header="851" w:footer="992" w:gutter="0"/>
          <w:cols w:space="720" w:num="1"/>
          <w:docGrid w:type="lines" w:linePitch="319" w:charSpace="0"/>
        </w:sectPr>
      </w:pPr>
    </w:p>
    <w:p>
      <w:pPr>
        <w:pStyle w:val="4"/>
      </w:pPr>
      <w:bookmarkStart w:id="195" w:name="_Toc24769"/>
      <w:r>
        <w:rPr>
          <w:rFonts w:hint="eastAsia"/>
        </w:rPr>
        <w:t>附件三、残疾人福利性单位声明</w:t>
      </w:r>
      <w:bookmarkEnd w:id="186"/>
      <w:bookmarkEnd w:id="187"/>
      <w:bookmarkEnd w:id="188"/>
      <w:bookmarkEnd w:id="189"/>
      <w:bookmarkEnd w:id="190"/>
      <w:bookmarkEnd w:id="191"/>
      <w:bookmarkEnd w:id="195"/>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宋体" w:hAnsi="宋体" w:cs="宋体"/>
          <w:b/>
          <w:spacing w:val="6"/>
          <w:sz w:val="24"/>
          <w:szCs w:val="24"/>
        </w:rPr>
      </w:pPr>
      <w:bookmarkStart w:id="196" w:name="OLE_LINK14"/>
      <w:r>
        <w:rPr>
          <w:rFonts w:hint="eastAsia" w:ascii="宋体" w:hAnsi="宋体" w:cs="宋体"/>
          <w:b/>
          <w:spacing w:val="6"/>
          <w:sz w:val="24"/>
          <w:szCs w:val="24"/>
        </w:rPr>
        <w:t>残疾人福利性单位声明函</w:t>
      </w:r>
      <w:bookmarkEnd w:id="196"/>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3"/>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宋体" w:hAnsi="宋体" w:cs="宋体"/>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left"/>
        <w:rPr>
          <w:rFonts w:ascii="宋体" w:hAnsi="宋体" w:cs="宋体"/>
          <w:spacing w:val="6"/>
          <w:sz w:val="24"/>
          <w:szCs w:val="24"/>
        </w:rPr>
      </w:pPr>
      <w:r>
        <w:rPr>
          <w:rFonts w:hint="eastAsia" w:ascii="宋体" w:hAnsi="宋体" w:cs="宋体"/>
          <w:spacing w:val="6"/>
          <w:sz w:val="24"/>
          <w:szCs w:val="24"/>
        </w:rPr>
        <w:t>日  期：</w:t>
      </w:r>
    </w:p>
    <w:p>
      <w:pPr>
        <w:pStyle w:val="4"/>
        <w:rPr>
          <w:rFonts w:ascii="宋体" w:hAnsi="宋体" w:cs="宋体"/>
        </w:rPr>
      </w:pPr>
      <w:bookmarkStart w:id="197" w:name="_Toc5434"/>
      <w:bookmarkStart w:id="198" w:name="_Toc3053"/>
      <w:r>
        <w:rPr>
          <w:rFonts w:hint="eastAsia"/>
        </w:rPr>
        <w:t>附件四、监狱企业证明文件</w:t>
      </w:r>
      <w:bookmarkEnd w:id="192"/>
      <w:bookmarkEnd w:id="193"/>
      <w:bookmarkEnd w:id="194"/>
      <w:bookmarkEnd w:id="197"/>
      <w:bookmarkEnd w:id="198"/>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99" w:name="_Toc11969"/>
      <w:bookmarkStart w:id="200" w:name="_Toc563"/>
      <w:bookmarkStart w:id="201" w:name="_Toc13122"/>
      <w:bookmarkStart w:id="202" w:name="_Toc25091"/>
      <w:bookmarkStart w:id="203" w:name="_Toc13303"/>
      <w:bookmarkStart w:id="204" w:name="_Toc2126"/>
      <w:r>
        <w:rPr>
          <w:rFonts w:hint="eastAsia" w:ascii="宋体" w:hAnsi="宋体" w:cs="宋体"/>
        </w:rPr>
        <w:t>附件五、“节能产品”，“环境标志产品”证明材料</w:t>
      </w:r>
      <w:bookmarkEnd w:id="199"/>
      <w:bookmarkEnd w:id="200"/>
      <w:bookmarkEnd w:id="201"/>
      <w:bookmarkEnd w:id="202"/>
      <w:bookmarkEnd w:id="203"/>
      <w:bookmarkEnd w:id="204"/>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23"/>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23"/>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5" w:type="default"/>
          <w:pgSz w:w="11906" w:h="16838"/>
          <w:pgMar w:top="1440" w:right="1803" w:bottom="1440" w:left="1803" w:header="851" w:footer="992" w:gutter="0"/>
          <w:cols w:space="720" w:num="1"/>
          <w:docGrid w:type="lines" w:linePitch="319" w:charSpace="0"/>
        </w:sectPr>
      </w:pPr>
    </w:p>
    <w:p>
      <w:pPr>
        <w:jc w:val="left"/>
        <w:rPr>
          <w:rFonts w:ascii="宋体" w:hAnsi="宋体" w:cs="宋体"/>
          <w:sz w:val="72"/>
          <w:szCs w:val="72"/>
        </w:rPr>
      </w:pPr>
      <w:r>
        <w:rPr>
          <w:rFonts w:hint="eastAsia" w:ascii="宋体" w:hAnsi="宋体" w:cs="宋体"/>
          <w:b/>
          <w:spacing w:val="48"/>
          <w:sz w:val="72"/>
          <w:szCs w:val="72"/>
        </w:rPr>
        <w:t>公平</w:t>
      </w:r>
    </w:p>
    <w:p>
      <w:pPr>
        <w:tabs>
          <w:tab w:val="left" w:pos="3810"/>
        </w:tabs>
        <w:jc w:val="left"/>
        <w:rPr>
          <w:rFonts w:ascii="宋体" w:hAnsi="宋体" w:cs="宋体"/>
          <w:sz w:val="72"/>
          <w:szCs w:val="72"/>
        </w:rPr>
      </w:pPr>
    </w:p>
    <w:p>
      <w:pPr>
        <w:jc w:val="left"/>
        <w:rPr>
          <w:rFonts w:ascii="宋体" w:hAnsi="宋体" w:cs="宋体"/>
          <w:sz w:val="72"/>
          <w:szCs w:val="72"/>
        </w:rPr>
      </w:pPr>
    </w:p>
    <w:p>
      <w:pPr>
        <w:jc w:val="left"/>
        <w:rPr>
          <w:rFonts w:ascii="宋体" w:hAnsi="宋体" w:cs="宋体"/>
          <w:sz w:val="72"/>
          <w:szCs w:val="72"/>
        </w:rPr>
      </w:pPr>
    </w:p>
    <w:p>
      <w:pPr>
        <w:jc w:val="center"/>
        <w:rPr>
          <w:rFonts w:ascii="宋体" w:hAnsi="宋体" w:cs="宋体"/>
          <w:b/>
          <w:spacing w:val="48"/>
          <w:sz w:val="72"/>
          <w:szCs w:val="72"/>
        </w:rPr>
      </w:pPr>
    </w:p>
    <w:p>
      <w:pPr>
        <w:jc w:val="center"/>
        <w:rPr>
          <w:rFonts w:ascii="宋体" w:hAnsi="宋体" w:cs="宋体"/>
          <w:b/>
          <w:spacing w:val="48"/>
          <w:sz w:val="72"/>
          <w:szCs w:val="72"/>
        </w:rPr>
      </w:pPr>
      <w:r>
        <w:rPr>
          <w:rFonts w:hint="eastAsia" w:ascii="宋体" w:hAnsi="宋体" w:cs="宋体"/>
          <w:b/>
          <w:spacing w:val="48"/>
          <w:sz w:val="72"/>
          <w:szCs w:val="72"/>
        </w:rPr>
        <w:t>公正</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pPr>
    </w:p>
    <w:p>
      <w:pPr>
        <w:jc w:val="right"/>
        <w:rPr>
          <w:rFonts w:ascii="宋体" w:hAnsi="宋体" w:cs="宋体"/>
          <w:b/>
          <w:spacing w:val="48"/>
          <w:sz w:val="72"/>
          <w:szCs w:val="72"/>
        </w:rPr>
      </w:pPr>
    </w:p>
    <w:p>
      <w:pPr>
        <w:jc w:val="right"/>
        <w:rPr>
          <w:rFonts w:ascii="宋体" w:hAnsi="宋体" w:cs="宋体"/>
          <w:b/>
          <w:spacing w:val="48"/>
          <w:sz w:val="72"/>
          <w:szCs w:val="72"/>
        </w:rPr>
      </w:pPr>
      <w:r>
        <w:rPr>
          <w:rFonts w:hint="eastAsia" w:ascii="宋体" w:hAnsi="宋体" w:cs="宋体"/>
          <w:b/>
          <w:spacing w:val="48"/>
          <w:sz w:val="72"/>
          <w:szCs w:val="72"/>
        </w:rPr>
        <w:t>公开</w:t>
      </w:r>
    </w:p>
    <w:bookmarkEnd w:id="0"/>
    <w:p>
      <w:pPr>
        <w:rPr>
          <w:rFonts w:ascii="宋体" w:hAnsi="宋体" w:cs="宋体"/>
          <w:b/>
          <w:sz w:val="30"/>
          <w:szCs w:val="30"/>
        </w:rPr>
      </w:pPr>
      <w:r>
        <w:rPr>
          <w:rFonts w:hint="eastAsia" w:ascii="宋体" w:hAnsi="宋体" w:cs="宋体"/>
          <w:b/>
          <w:sz w:val="30"/>
          <w:szCs w:val="30"/>
        </w:rPr>
        <w:t>企业名称：陕西万泽招标有限公司</w:t>
      </w:r>
    </w:p>
    <w:p>
      <w:pPr>
        <w:rPr>
          <w:rFonts w:ascii="宋体" w:hAnsi="宋体" w:cs="宋体"/>
          <w:b/>
          <w:sz w:val="30"/>
          <w:szCs w:val="30"/>
        </w:rPr>
      </w:pPr>
      <w:r>
        <w:rPr>
          <w:rFonts w:hint="eastAsia" w:ascii="宋体" w:hAnsi="宋体" w:cs="宋体"/>
          <w:b/>
          <w:sz w:val="30"/>
          <w:szCs w:val="30"/>
        </w:rPr>
        <w:t>地址：西安市西关正街英达大厦1507室</w:t>
      </w:r>
    </w:p>
    <w:p>
      <w:pPr>
        <w:rPr>
          <w:rFonts w:ascii="宋体" w:hAnsi="宋体" w:cs="宋体"/>
          <w:b/>
          <w:sz w:val="30"/>
          <w:szCs w:val="30"/>
        </w:rPr>
      </w:pPr>
      <w:r>
        <w:rPr>
          <w:rFonts w:hint="eastAsia" w:ascii="宋体" w:hAnsi="宋体" w:cs="宋体"/>
          <w:b/>
          <w:sz w:val="30"/>
          <w:szCs w:val="30"/>
        </w:rPr>
        <w:t>邮政编码：710082</w:t>
      </w:r>
    </w:p>
    <w:p>
      <w:pPr>
        <w:rPr>
          <w:rFonts w:ascii="宋体" w:hAnsi="宋体" w:cs="宋体"/>
          <w:b/>
          <w:sz w:val="30"/>
          <w:szCs w:val="30"/>
        </w:rPr>
      </w:pPr>
      <w:r>
        <w:rPr>
          <w:rFonts w:hint="eastAsia" w:ascii="宋体" w:hAnsi="宋体" w:cs="宋体"/>
          <w:b/>
          <w:sz w:val="30"/>
          <w:szCs w:val="30"/>
        </w:rPr>
        <w:t>电话：029-88319689</w:t>
      </w:r>
    </w:p>
    <w:p>
      <w:pPr>
        <w:rPr>
          <w:rFonts w:ascii="宋体" w:hAnsi="宋体" w:cs="宋体"/>
        </w:rPr>
      </w:pPr>
      <w:r>
        <w:rPr>
          <w:rFonts w:hint="eastAsia" w:ascii="宋体" w:hAnsi="宋体" w:cs="宋体"/>
          <w:b/>
          <w:sz w:val="30"/>
          <w:szCs w:val="30"/>
        </w:rPr>
        <w:t>传真：029-88319689</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Minion">
    <w:altName w:val="新宋体"/>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3145" cy="147955"/>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033145"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7" o:spid="_x0000_s1026" o:spt="202" type="#_x0000_t202" style="position:absolute;left:0pt;margin-top:0pt;height:11.65pt;width:81.35pt;mso-position-horizontal:center;mso-position-horizontal-relative:margin;mso-wrap-style:none;z-index:251659264;mso-width-relative:page;mso-height-relative:page;" filled="f" stroked="f" coordsize="21600,21600" o:gfxdata="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ZAyNIAAAAEAQAADwAAAAAAAAABACAAAAAi&#10;AAAAZHJzL2Rvd25yZXYueG1sUEsBAhQAFAAAAAgAh07iQDApDoLXAQAApAMAAA4AAAAAAAAAAQAg&#10;AAAAIQEAAGRycy9lMm9Eb2MueG1sUEsFBgAAAAAGAAYAWQEAAGo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3145" cy="147955"/>
              <wp:effectExtent l="0" t="0" r="0" b="0"/>
              <wp:wrapNone/>
              <wp:docPr id="8" name="文本框 28"/>
              <wp:cNvGraphicFramePr/>
              <a:graphic xmlns:a="http://schemas.openxmlformats.org/drawingml/2006/main">
                <a:graphicData uri="http://schemas.microsoft.com/office/word/2010/wordprocessingShape">
                  <wps:wsp>
                    <wps:cNvSpPr txBox="1"/>
                    <wps:spPr>
                      <a:xfrm>
                        <a:off x="0" y="0"/>
                        <a:ext cx="1033145"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8" o:spid="_x0000_s1026" o:spt="202" type="#_x0000_t202" style="position:absolute;left:0pt;margin-top:0pt;height:11.65pt;width:81.35pt;mso-position-horizontal:center;mso-position-horizontal-relative:margin;mso-wrap-style:none;z-index:251660288;mso-width-relative:page;mso-height-relative:page;" filled="f" stroked="f" coordsize="21600,21600" o:gfxdata="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ZAyNIAAAAEAQAADwAAAAAAAAABACAAAAAi&#10;AAAAZHJzL2Rvd25yZXYueG1sUEsBAhQAFAAAAAgAh07iQHWNPiXXAQAApAMAAA4AAAAAAAAAAQAg&#10;AAAAIQEAAGRycy9lMm9Eb2MueG1sUEsFBgAAAAAGAAYAWQEAAGo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90930" cy="147955"/>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9" o:spid="_x0000_s1026" o:spt="202" type="#_x0000_t202" style="position:absolute;left:0pt;margin-top:0pt;height:11.65pt;width:85.9pt;mso-position-horizontal:center;mso-position-horizontal-relative:margin;mso-wrap-style:none;z-index:251661312;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RjOudEAAAAEAQAADwAAAAAAAAABACAAAAAiAAAA&#10;ZHJzL2Rvd25yZXYueG1sUEsBAhQAFAAAAAgAh07iQCuhTtvVAQAApA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06500" cy="147955"/>
              <wp:effectExtent l="0" t="0" r="0" b="0"/>
              <wp:wrapNone/>
              <wp:docPr id="12" name="文本框 30"/>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0" o:spid="_x0000_s1026" o:spt="202" type="#_x0000_t202" style="position:absolute;left:0pt;margin-top:0pt;height:11.65pt;width:95pt;mso-position-horizontal:center;mso-position-horizontal-relative:margin;mso-wrap-style:none;z-index:251662336;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ZERdEAAAAEAQAADwAAAAAAAAABACAAAAAiAAAA&#10;ZHJzL2Rvd25yZXYueG1sUEsBAhQAFAAAAAgAh07iQAvQ47XVAQAApQ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06500" cy="147955"/>
              <wp:effectExtent l="0" t="0" r="0" b="0"/>
              <wp:wrapNone/>
              <wp:docPr id="14" name="文本框 31"/>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25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1" o:spid="_x0000_s1026" o:spt="202" type="#_x0000_t202" style="position:absolute;left:0pt;margin-top:0pt;height:11.65pt;width:95pt;mso-position-horizontal:center;mso-position-horizontal-relative:margin;mso-wrap-style:none;z-index:251663360;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BqEI+u1gEAAKUDAAAOAAAAAAAAAAEAIAAA&#10;ACABAABkcnMvZTJvRG9jLnhtbFBLBQYAAAAABgAGAFkBAABoBQ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25</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t xml:space="preserve">第 </w:t>
                          </w:r>
                          <w:r>
                            <w:fldChar w:fldCharType="begin"/>
                          </w:r>
                          <w:r>
                            <w:instrText xml:space="preserve"> PAGE  \* MERGEFORMAT </w:instrText>
                          </w:r>
                          <w:r>
                            <w:fldChar w:fldCharType="separate"/>
                          </w:r>
                          <w:r>
                            <w:t>43</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43</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06500" cy="147955"/>
              <wp:effectExtent l="0" t="0" r="0" b="0"/>
              <wp:wrapNone/>
              <wp:docPr id="15" name="文本框 32"/>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2" o:spid="_x0000_s1026" o:spt="202" type="#_x0000_t202" style="position:absolute;left:0pt;margin-top:0pt;height:11.65pt;width:95pt;mso-position-horizontal:center;mso-position-horizontal-relative:margin;mso-wrap-style:none;z-index:251663360;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ZERdEAAAAEAQAADwAAAAAAAAABACAAAAAiAAAA&#10;ZHJzL2Rvd25yZXYueG1sUEsBAhQAFAAAAAgAh07iQAOCAx7VAQAApQ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hAns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06500" cy="14795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64</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64384;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Dne9m01gEAAKUDAAAOAAAAAAAAAAEAIAAA&#10;ACABAABkcnMvZTJvRG9jLnhtbFBLBQYAAAAABgAGAFkBAABoBQ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64</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99" w:leftChars="-95" w:right="-313" w:rightChars="-149" w:firstLine="180" w:firstLineChars="100"/>
      <w:rPr>
        <w:rFonts w:ascii="宋体" w:cs="宋体"/>
        <w:u w:val="single"/>
      </w:rPr>
    </w:pPr>
    <w:r>
      <w:rPr>
        <w:rFonts w:hint="eastAsia" w:ascii="宋体" w:hAnsi="宋体" w:cs="宋体"/>
        <w:bCs/>
        <w:sz w:val="18"/>
        <w:szCs w:val="18"/>
        <w:u w:val="single"/>
      </w:rPr>
      <w:t>西安市儿童医院软件维保项目                                                  SXWZ2022ZB-ETYY-293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宋体"/>
        <w:sz w:val="18"/>
        <w:szCs w:val="18"/>
        <w:u w:val="single"/>
      </w:rPr>
      <w:t>西安市儿童医院软件维保项目SXWZ2022ZB-ETYY-293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800" w:right="-739" w:rightChars="-352" w:hanging="1800" w:hangingChars="1000"/>
      <w:rPr>
        <w:rFonts w:ascii="宋体" w:cs="宋体"/>
        <w:sz w:val="18"/>
        <w:szCs w:val="18"/>
        <w:u w:val="single"/>
      </w:rPr>
    </w:pPr>
    <w:r>
      <w:rPr>
        <w:rFonts w:hint="eastAsia" w:ascii="宋体" w:cs="宋体"/>
        <w:sz w:val="18"/>
        <w:szCs w:val="18"/>
        <w:u w:val="single"/>
      </w:rPr>
      <w:t>西安市儿童医院软件维保项目                           SXWZ2022ZB-ETYY-293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99" w:leftChars="-95" w:right="-313" w:rightChars="-149" w:firstLine="180" w:firstLineChars="100"/>
    </w:pPr>
    <w:r>
      <w:rPr>
        <w:rFonts w:hint="eastAsia" w:ascii="宋体" w:hAnsi="宋体" w:cs="宋体"/>
        <w:bCs/>
        <w:sz w:val="18"/>
        <w:szCs w:val="18"/>
        <w:u w:val="single"/>
      </w:rPr>
      <w:t>西安市儿童医院软件维保项目                                              SXWZ2022ZB-ETYY-293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C537F"/>
    <w:multiLevelType w:val="singleLevel"/>
    <w:tmpl w:val="8EBC537F"/>
    <w:lvl w:ilvl="0" w:tentative="0">
      <w:start w:val="6"/>
      <w:numFmt w:val="chineseCounting"/>
      <w:suff w:val="nothing"/>
      <w:lvlText w:val="%1、"/>
      <w:lvlJc w:val="left"/>
      <w:rPr>
        <w:rFonts w:hint="eastAsia"/>
      </w:rPr>
    </w:lvl>
  </w:abstractNum>
  <w:abstractNum w:abstractNumId="1">
    <w:nsid w:val="919CE642"/>
    <w:multiLevelType w:val="singleLevel"/>
    <w:tmpl w:val="919CE642"/>
    <w:lvl w:ilvl="0" w:tentative="0">
      <w:start w:val="1"/>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16F60952"/>
    <w:multiLevelType w:val="multilevel"/>
    <w:tmpl w:val="16F60952"/>
    <w:lvl w:ilvl="0" w:tentative="0">
      <w:start w:val="1"/>
      <w:numFmt w:val="decimal"/>
      <w:lvlText w:val="%1)"/>
      <w:lvlJc w:val="left"/>
      <w:pPr>
        <w:ind w:left="940" w:hanging="420"/>
      </w:pPr>
    </w:lvl>
    <w:lvl w:ilvl="1" w:tentative="0">
      <w:start w:val="1"/>
      <w:numFmt w:val="lowerLetter"/>
      <w:lvlText w:val="%2)"/>
      <w:lvlJc w:val="left"/>
      <w:pPr>
        <w:ind w:left="1360" w:hanging="420"/>
      </w:pPr>
    </w:lvl>
    <w:lvl w:ilvl="2" w:tentative="0">
      <w:start w:val="1"/>
      <w:numFmt w:val="lowerRoman"/>
      <w:lvlText w:val="%3."/>
      <w:lvlJc w:val="right"/>
      <w:pPr>
        <w:ind w:left="1780" w:hanging="420"/>
      </w:pPr>
    </w:lvl>
    <w:lvl w:ilvl="3" w:tentative="0">
      <w:start w:val="1"/>
      <w:numFmt w:val="decimal"/>
      <w:lvlText w:val="%4."/>
      <w:lvlJc w:val="left"/>
      <w:pPr>
        <w:ind w:left="2200" w:hanging="420"/>
      </w:pPr>
    </w:lvl>
    <w:lvl w:ilvl="4" w:tentative="0">
      <w:start w:val="1"/>
      <w:numFmt w:val="lowerLetter"/>
      <w:lvlText w:val="%5)"/>
      <w:lvlJc w:val="left"/>
      <w:pPr>
        <w:ind w:left="2620" w:hanging="420"/>
      </w:pPr>
    </w:lvl>
    <w:lvl w:ilvl="5" w:tentative="0">
      <w:start w:val="1"/>
      <w:numFmt w:val="lowerRoman"/>
      <w:lvlText w:val="%6."/>
      <w:lvlJc w:val="right"/>
      <w:pPr>
        <w:ind w:left="3040" w:hanging="420"/>
      </w:pPr>
    </w:lvl>
    <w:lvl w:ilvl="6" w:tentative="0">
      <w:start w:val="1"/>
      <w:numFmt w:val="decimal"/>
      <w:lvlText w:val="%7."/>
      <w:lvlJc w:val="left"/>
      <w:pPr>
        <w:ind w:left="3460" w:hanging="420"/>
      </w:pPr>
    </w:lvl>
    <w:lvl w:ilvl="7" w:tentative="0">
      <w:start w:val="1"/>
      <w:numFmt w:val="lowerLetter"/>
      <w:lvlText w:val="%8)"/>
      <w:lvlJc w:val="left"/>
      <w:pPr>
        <w:ind w:left="3880" w:hanging="420"/>
      </w:pPr>
    </w:lvl>
    <w:lvl w:ilvl="8" w:tentative="0">
      <w:start w:val="1"/>
      <w:numFmt w:val="lowerRoman"/>
      <w:lvlText w:val="%9."/>
      <w:lvlJc w:val="right"/>
      <w:pPr>
        <w:ind w:left="4300" w:hanging="420"/>
      </w:pPr>
    </w:lvl>
  </w:abstractNum>
  <w:abstractNum w:abstractNumId="4">
    <w:nsid w:val="33324B14"/>
    <w:multiLevelType w:val="singleLevel"/>
    <w:tmpl w:val="33324B14"/>
    <w:lvl w:ilvl="0" w:tentative="0">
      <w:start w:val="6"/>
      <w:numFmt w:val="chineseCounting"/>
      <w:suff w:val="space"/>
      <w:lvlText w:val="第%1部分"/>
      <w:lvlJc w:val="left"/>
      <w:rPr>
        <w:rFonts w:hint="eastAsia"/>
      </w:rPr>
    </w:lvl>
  </w:abstractNum>
  <w:abstractNum w:abstractNumId="5">
    <w:nsid w:val="3677777E"/>
    <w:multiLevelType w:val="singleLevel"/>
    <w:tmpl w:val="3677777E"/>
    <w:lvl w:ilvl="0" w:tentative="0">
      <w:start w:val="3"/>
      <w:numFmt w:val="chineseCounting"/>
      <w:suff w:val="nothing"/>
      <w:lvlText w:val="%1、"/>
      <w:lvlJc w:val="left"/>
      <w:rPr>
        <w:rFonts w:hint="eastAsia"/>
      </w:rPr>
    </w:lvl>
  </w:abstractNum>
  <w:abstractNum w:abstractNumId="6">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7">
    <w:nsid w:val="5530B97F"/>
    <w:multiLevelType w:val="singleLevel"/>
    <w:tmpl w:val="5530B97F"/>
    <w:lvl w:ilvl="0" w:tentative="0">
      <w:start w:val="1"/>
      <w:numFmt w:val="chineseCounting"/>
      <w:suff w:val="nothing"/>
      <w:lvlText w:val="%1、"/>
      <w:lvlJc w:val="left"/>
      <w:rPr>
        <w:rFonts w:cs="Times New Roman"/>
      </w:rPr>
    </w:lvl>
  </w:abstractNum>
  <w:abstractNum w:abstractNumId="8">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9">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0">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1">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2">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3">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4">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5">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7">
    <w:nsid w:val="58E5EC48"/>
    <w:multiLevelType w:val="singleLevel"/>
    <w:tmpl w:val="58E5EC48"/>
    <w:lvl w:ilvl="0" w:tentative="0">
      <w:start w:val="1"/>
      <w:numFmt w:val="decimal"/>
      <w:suff w:val="nothing"/>
      <w:lvlText w:val="（%1）"/>
      <w:lvlJc w:val="left"/>
    </w:lvl>
  </w:abstractNum>
  <w:abstractNum w:abstractNumId="18">
    <w:nsid w:val="59E578C5"/>
    <w:multiLevelType w:val="singleLevel"/>
    <w:tmpl w:val="59E578C5"/>
    <w:lvl w:ilvl="0" w:tentative="0">
      <w:start w:val="5"/>
      <w:numFmt w:val="chineseCounting"/>
      <w:suff w:val="nothing"/>
      <w:lvlText w:val="第%1部"/>
      <w:lvlJc w:val="left"/>
    </w:lvl>
  </w:abstractNum>
  <w:abstractNum w:abstractNumId="19">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20">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21">
    <w:nsid w:val="59F099C9"/>
    <w:multiLevelType w:val="singleLevel"/>
    <w:tmpl w:val="59F099C9"/>
    <w:lvl w:ilvl="0" w:tentative="0">
      <w:start w:val="1"/>
      <w:numFmt w:val="decimal"/>
      <w:suff w:val="nothing"/>
      <w:lvlText w:val="（%1）"/>
      <w:lvlJc w:val="left"/>
      <w:pPr>
        <w:ind w:left="0" w:firstLine="420"/>
      </w:pPr>
      <w:rPr>
        <w:rFonts w:hint="default"/>
      </w:rPr>
    </w:lvl>
  </w:abstractNum>
  <w:abstractNum w:abstractNumId="22">
    <w:nsid w:val="59F09AA5"/>
    <w:multiLevelType w:val="singleLevel"/>
    <w:tmpl w:val="59F09AA5"/>
    <w:lvl w:ilvl="0" w:tentative="0">
      <w:start w:val="1"/>
      <w:numFmt w:val="decimal"/>
      <w:suff w:val="nothing"/>
      <w:lvlText w:val="（%1）"/>
      <w:lvlJc w:val="left"/>
      <w:pPr>
        <w:ind w:left="0" w:firstLine="420"/>
      </w:pPr>
      <w:rPr>
        <w:rFonts w:hint="default"/>
      </w:rPr>
    </w:lvl>
  </w:abstractNum>
  <w:num w:numId="1">
    <w:abstractNumId w:val="7"/>
  </w:num>
  <w:num w:numId="2">
    <w:abstractNumId w:val="15"/>
  </w:num>
  <w:num w:numId="3">
    <w:abstractNumId w:val="9"/>
  </w:num>
  <w:num w:numId="4">
    <w:abstractNumId w:val="10"/>
  </w:num>
  <w:num w:numId="5">
    <w:abstractNumId w:val="8"/>
  </w:num>
  <w:num w:numId="6">
    <w:abstractNumId w:val="14"/>
  </w:num>
  <w:num w:numId="7">
    <w:abstractNumId w:val="16"/>
  </w:num>
  <w:num w:numId="8">
    <w:abstractNumId w:val="11"/>
  </w:num>
  <w:num w:numId="9">
    <w:abstractNumId w:val="21"/>
  </w:num>
  <w:num w:numId="10">
    <w:abstractNumId w:val="12"/>
  </w:num>
  <w:num w:numId="11">
    <w:abstractNumId w:val="13"/>
  </w:num>
  <w:num w:numId="12">
    <w:abstractNumId w:val="19"/>
  </w:num>
  <w:num w:numId="13">
    <w:abstractNumId w:val="20"/>
  </w:num>
  <w:num w:numId="14">
    <w:abstractNumId w:val="22"/>
  </w:num>
  <w:num w:numId="15">
    <w:abstractNumId w:val="0"/>
  </w:num>
  <w:num w:numId="16">
    <w:abstractNumId w:val="18"/>
  </w:num>
  <w:num w:numId="17">
    <w:abstractNumId w:val="5"/>
  </w:num>
  <w:num w:numId="18">
    <w:abstractNumId w:val="1"/>
  </w:num>
  <w:num w:numId="19">
    <w:abstractNumId w:val="3"/>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MzY4ZjZhNzg5NDZlYmI1OTQ5MDViZDVhNzg1ODAifQ=="/>
  </w:docVars>
  <w:rsids>
    <w:rsidRoot w:val="2627224F"/>
    <w:rsid w:val="00001425"/>
    <w:rsid w:val="00056CD8"/>
    <w:rsid w:val="00061B22"/>
    <w:rsid w:val="000A2C3A"/>
    <w:rsid w:val="000B3616"/>
    <w:rsid w:val="000B3FC4"/>
    <w:rsid w:val="000C0895"/>
    <w:rsid w:val="000E55ED"/>
    <w:rsid w:val="000E58A3"/>
    <w:rsid w:val="0011607E"/>
    <w:rsid w:val="001269B4"/>
    <w:rsid w:val="00135474"/>
    <w:rsid w:val="00167A28"/>
    <w:rsid w:val="0018410D"/>
    <w:rsid w:val="001F0785"/>
    <w:rsid w:val="002165BB"/>
    <w:rsid w:val="00241322"/>
    <w:rsid w:val="0025484D"/>
    <w:rsid w:val="00262E5C"/>
    <w:rsid w:val="0028240D"/>
    <w:rsid w:val="002878E9"/>
    <w:rsid w:val="00290FBC"/>
    <w:rsid w:val="002A2097"/>
    <w:rsid w:val="002C5052"/>
    <w:rsid w:val="002D15B8"/>
    <w:rsid w:val="002D7A6D"/>
    <w:rsid w:val="002E07BF"/>
    <w:rsid w:val="002F6FCA"/>
    <w:rsid w:val="00316E46"/>
    <w:rsid w:val="00337601"/>
    <w:rsid w:val="00347BE2"/>
    <w:rsid w:val="0035067D"/>
    <w:rsid w:val="00360C09"/>
    <w:rsid w:val="00386522"/>
    <w:rsid w:val="003A5C89"/>
    <w:rsid w:val="003D37C1"/>
    <w:rsid w:val="003E45DE"/>
    <w:rsid w:val="003E57BF"/>
    <w:rsid w:val="003E65D8"/>
    <w:rsid w:val="003E7B81"/>
    <w:rsid w:val="003F3D18"/>
    <w:rsid w:val="003F64A7"/>
    <w:rsid w:val="00421711"/>
    <w:rsid w:val="004313A1"/>
    <w:rsid w:val="004456E2"/>
    <w:rsid w:val="00447862"/>
    <w:rsid w:val="00462D92"/>
    <w:rsid w:val="00467536"/>
    <w:rsid w:val="00482B14"/>
    <w:rsid w:val="00490EB6"/>
    <w:rsid w:val="004D70C5"/>
    <w:rsid w:val="004D7686"/>
    <w:rsid w:val="005044F7"/>
    <w:rsid w:val="00520C66"/>
    <w:rsid w:val="00522064"/>
    <w:rsid w:val="00524BC5"/>
    <w:rsid w:val="00534DAB"/>
    <w:rsid w:val="005556EC"/>
    <w:rsid w:val="00560F51"/>
    <w:rsid w:val="005728D1"/>
    <w:rsid w:val="005918D7"/>
    <w:rsid w:val="005A1E74"/>
    <w:rsid w:val="005A5DB7"/>
    <w:rsid w:val="005B2FA3"/>
    <w:rsid w:val="005B3960"/>
    <w:rsid w:val="005D7A12"/>
    <w:rsid w:val="005E096D"/>
    <w:rsid w:val="005E2798"/>
    <w:rsid w:val="00603C33"/>
    <w:rsid w:val="0064069F"/>
    <w:rsid w:val="00645208"/>
    <w:rsid w:val="00652D89"/>
    <w:rsid w:val="00661C11"/>
    <w:rsid w:val="006657C9"/>
    <w:rsid w:val="0068282F"/>
    <w:rsid w:val="00696FBA"/>
    <w:rsid w:val="006A3734"/>
    <w:rsid w:val="006B3212"/>
    <w:rsid w:val="006B38D0"/>
    <w:rsid w:val="006B71CA"/>
    <w:rsid w:val="006D4400"/>
    <w:rsid w:val="006D6797"/>
    <w:rsid w:val="006E46DF"/>
    <w:rsid w:val="006F1FD6"/>
    <w:rsid w:val="006F623E"/>
    <w:rsid w:val="006F6CE7"/>
    <w:rsid w:val="00726A88"/>
    <w:rsid w:val="00743BB4"/>
    <w:rsid w:val="007441D9"/>
    <w:rsid w:val="00792491"/>
    <w:rsid w:val="007A44B6"/>
    <w:rsid w:val="007D63C4"/>
    <w:rsid w:val="00803D85"/>
    <w:rsid w:val="00803F6A"/>
    <w:rsid w:val="00841916"/>
    <w:rsid w:val="00842F88"/>
    <w:rsid w:val="0086026F"/>
    <w:rsid w:val="00886168"/>
    <w:rsid w:val="008866C0"/>
    <w:rsid w:val="00890141"/>
    <w:rsid w:val="00891290"/>
    <w:rsid w:val="008962A7"/>
    <w:rsid w:val="00897D92"/>
    <w:rsid w:val="008A367A"/>
    <w:rsid w:val="008B7CA5"/>
    <w:rsid w:val="008C49CF"/>
    <w:rsid w:val="008D56DD"/>
    <w:rsid w:val="008F3B5F"/>
    <w:rsid w:val="008F6EFE"/>
    <w:rsid w:val="008F752D"/>
    <w:rsid w:val="00916046"/>
    <w:rsid w:val="00924D75"/>
    <w:rsid w:val="00931804"/>
    <w:rsid w:val="009366A8"/>
    <w:rsid w:val="00941AF3"/>
    <w:rsid w:val="00941FF7"/>
    <w:rsid w:val="00954CF1"/>
    <w:rsid w:val="0095596F"/>
    <w:rsid w:val="00973CE8"/>
    <w:rsid w:val="00992691"/>
    <w:rsid w:val="009A4A76"/>
    <w:rsid w:val="009D1F2D"/>
    <w:rsid w:val="009D6209"/>
    <w:rsid w:val="00A10123"/>
    <w:rsid w:val="00A1793C"/>
    <w:rsid w:val="00A24217"/>
    <w:rsid w:val="00A248F4"/>
    <w:rsid w:val="00A4619A"/>
    <w:rsid w:val="00A60725"/>
    <w:rsid w:val="00A63494"/>
    <w:rsid w:val="00A73F78"/>
    <w:rsid w:val="00A8343C"/>
    <w:rsid w:val="00A84B4A"/>
    <w:rsid w:val="00A921BA"/>
    <w:rsid w:val="00AB0730"/>
    <w:rsid w:val="00AC60A6"/>
    <w:rsid w:val="00AC7625"/>
    <w:rsid w:val="00AD72BC"/>
    <w:rsid w:val="00AF7587"/>
    <w:rsid w:val="00B06F92"/>
    <w:rsid w:val="00B32079"/>
    <w:rsid w:val="00B661E8"/>
    <w:rsid w:val="00B71A30"/>
    <w:rsid w:val="00B721AB"/>
    <w:rsid w:val="00B76DB3"/>
    <w:rsid w:val="00B926EC"/>
    <w:rsid w:val="00BA067C"/>
    <w:rsid w:val="00BC1AB3"/>
    <w:rsid w:val="00BC7715"/>
    <w:rsid w:val="00BD2877"/>
    <w:rsid w:val="00BE47C5"/>
    <w:rsid w:val="00C1147B"/>
    <w:rsid w:val="00C225C4"/>
    <w:rsid w:val="00C56CC2"/>
    <w:rsid w:val="00C60F1E"/>
    <w:rsid w:val="00C72271"/>
    <w:rsid w:val="00C735E8"/>
    <w:rsid w:val="00C76E5C"/>
    <w:rsid w:val="00C77720"/>
    <w:rsid w:val="00C92784"/>
    <w:rsid w:val="00CA477A"/>
    <w:rsid w:val="00CF275C"/>
    <w:rsid w:val="00D01247"/>
    <w:rsid w:val="00D0394F"/>
    <w:rsid w:val="00D574E4"/>
    <w:rsid w:val="00D576EF"/>
    <w:rsid w:val="00D66260"/>
    <w:rsid w:val="00D723CA"/>
    <w:rsid w:val="00D8764E"/>
    <w:rsid w:val="00D95D73"/>
    <w:rsid w:val="00D9641E"/>
    <w:rsid w:val="00DA4229"/>
    <w:rsid w:val="00DC1986"/>
    <w:rsid w:val="00DC7FB0"/>
    <w:rsid w:val="00DE0D8C"/>
    <w:rsid w:val="00E04145"/>
    <w:rsid w:val="00E24AFE"/>
    <w:rsid w:val="00E40286"/>
    <w:rsid w:val="00E55562"/>
    <w:rsid w:val="00E6619C"/>
    <w:rsid w:val="00E723EB"/>
    <w:rsid w:val="00E8261A"/>
    <w:rsid w:val="00E84BD2"/>
    <w:rsid w:val="00E86851"/>
    <w:rsid w:val="00E9724B"/>
    <w:rsid w:val="00EA1ECE"/>
    <w:rsid w:val="00F00625"/>
    <w:rsid w:val="00F234ED"/>
    <w:rsid w:val="00F25511"/>
    <w:rsid w:val="00F672FE"/>
    <w:rsid w:val="00F75245"/>
    <w:rsid w:val="00FC5BAE"/>
    <w:rsid w:val="00FD62CF"/>
    <w:rsid w:val="00FF46C3"/>
    <w:rsid w:val="011221F0"/>
    <w:rsid w:val="013A223F"/>
    <w:rsid w:val="01525A0A"/>
    <w:rsid w:val="016A454D"/>
    <w:rsid w:val="016E1781"/>
    <w:rsid w:val="017D3840"/>
    <w:rsid w:val="01920D21"/>
    <w:rsid w:val="019C7937"/>
    <w:rsid w:val="01AC2FBF"/>
    <w:rsid w:val="01B14BA6"/>
    <w:rsid w:val="01EB73A9"/>
    <w:rsid w:val="01EC5C3E"/>
    <w:rsid w:val="01F12F1C"/>
    <w:rsid w:val="01F90F7C"/>
    <w:rsid w:val="02064B47"/>
    <w:rsid w:val="02211D91"/>
    <w:rsid w:val="026117A6"/>
    <w:rsid w:val="02776D90"/>
    <w:rsid w:val="027B35DF"/>
    <w:rsid w:val="027C4FD4"/>
    <w:rsid w:val="02854F8C"/>
    <w:rsid w:val="0294379C"/>
    <w:rsid w:val="02C40641"/>
    <w:rsid w:val="02E638FA"/>
    <w:rsid w:val="02EA1AAE"/>
    <w:rsid w:val="02F47738"/>
    <w:rsid w:val="02F61685"/>
    <w:rsid w:val="02FA17E2"/>
    <w:rsid w:val="030A0C9E"/>
    <w:rsid w:val="031C5CB6"/>
    <w:rsid w:val="034C725D"/>
    <w:rsid w:val="03541409"/>
    <w:rsid w:val="035B7692"/>
    <w:rsid w:val="0377354C"/>
    <w:rsid w:val="03BC71AC"/>
    <w:rsid w:val="03C10C9F"/>
    <w:rsid w:val="03C921C1"/>
    <w:rsid w:val="03CD78DC"/>
    <w:rsid w:val="03D02D9A"/>
    <w:rsid w:val="03E4240C"/>
    <w:rsid w:val="03E4318D"/>
    <w:rsid w:val="042B497B"/>
    <w:rsid w:val="046D004A"/>
    <w:rsid w:val="04911272"/>
    <w:rsid w:val="04A57776"/>
    <w:rsid w:val="04CD0688"/>
    <w:rsid w:val="04D502BA"/>
    <w:rsid w:val="04E552CD"/>
    <w:rsid w:val="04ED70D5"/>
    <w:rsid w:val="050438CD"/>
    <w:rsid w:val="053C77D5"/>
    <w:rsid w:val="05402991"/>
    <w:rsid w:val="05417747"/>
    <w:rsid w:val="054E1CE0"/>
    <w:rsid w:val="055324E3"/>
    <w:rsid w:val="057A7F6E"/>
    <w:rsid w:val="05854823"/>
    <w:rsid w:val="05AF2BAD"/>
    <w:rsid w:val="05CF5FA2"/>
    <w:rsid w:val="05F7149D"/>
    <w:rsid w:val="05F75792"/>
    <w:rsid w:val="060454DB"/>
    <w:rsid w:val="06110D47"/>
    <w:rsid w:val="06475ABC"/>
    <w:rsid w:val="065C7B56"/>
    <w:rsid w:val="066D1D57"/>
    <w:rsid w:val="066D1EB1"/>
    <w:rsid w:val="06700F66"/>
    <w:rsid w:val="06AA32FE"/>
    <w:rsid w:val="06BE30D0"/>
    <w:rsid w:val="06C242A6"/>
    <w:rsid w:val="06C833A0"/>
    <w:rsid w:val="06CC2420"/>
    <w:rsid w:val="06E5268E"/>
    <w:rsid w:val="06E56C12"/>
    <w:rsid w:val="06E93094"/>
    <w:rsid w:val="06EF2DB2"/>
    <w:rsid w:val="072B0FB7"/>
    <w:rsid w:val="07377876"/>
    <w:rsid w:val="073C32F9"/>
    <w:rsid w:val="073E1554"/>
    <w:rsid w:val="074860B9"/>
    <w:rsid w:val="0766087E"/>
    <w:rsid w:val="07810D4D"/>
    <w:rsid w:val="079E2470"/>
    <w:rsid w:val="07E562BD"/>
    <w:rsid w:val="07F10452"/>
    <w:rsid w:val="08227B5F"/>
    <w:rsid w:val="082974F3"/>
    <w:rsid w:val="08385A0E"/>
    <w:rsid w:val="08444A26"/>
    <w:rsid w:val="087D1536"/>
    <w:rsid w:val="088A73BA"/>
    <w:rsid w:val="088C39B6"/>
    <w:rsid w:val="08A13470"/>
    <w:rsid w:val="08AB6DCE"/>
    <w:rsid w:val="08B16FB6"/>
    <w:rsid w:val="08B42E9D"/>
    <w:rsid w:val="08B62F1E"/>
    <w:rsid w:val="08BA4DBE"/>
    <w:rsid w:val="08BC0A60"/>
    <w:rsid w:val="08CE74ED"/>
    <w:rsid w:val="08DE3932"/>
    <w:rsid w:val="08FD1430"/>
    <w:rsid w:val="09052179"/>
    <w:rsid w:val="090A42F6"/>
    <w:rsid w:val="090D7194"/>
    <w:rsid w:val="09216B15"/>
    <w:rsid w:val="09271A18"/>
    <w:rsid w:val="09412D13"/>
    <w:rsid w:val="0949327F"/>
    <w:rsid w:val="09601498"/>
    <w:rsid w:val="097A7578"/>
    <w:rsid w:val="09913C41"/>
    <w:rsid w:val="09B94E31"/>
    <w:rsid w:val="09EA213D"/>
    <w:rsid w:val="09F35593"/>
    <w:rsid w:val="09F61DEB"/>
    <w:rsid w:val="09F82B45"/>
    <w:rsid w:val="0A0976BB"/>
    <w:rsid w:val="0A1251A0"/>
    <w:rsid w:val="0A1F42E1"/>
    <w:rsid w:val="0A260165"/>
    <w:rsid w:val="0A2B28F9"/>
    <w:rsid w:val="0A3E3F88"/>
    <w:rsid w:val="0A5A1A5C"/>
    <w:rsid w:val="0A672A35"/>
    <w:rsid w:val="0A8C4DCE"/>
    <w:rsid w:val="0ABD08F7"/>
    <w:rsid w:val="0ADE0E35"/>
    <w:rsid w:val="0AE62833"/>
    <w:rsid w:val="0AF87123"/>
    <w:rsid w:val="0AF96C28"/>
    <w:rsid w:val="0B157D22"/>
    <w:rsid w:val="0B461D1C"/>
    <w:rsid w:val="0B5D1A85"/>
    <w:rsid w:val="0B612AD9"/>
    <w:rsid w:val="0B6C2BE6"/>
    <w:rsid w:val="0B6C7DF0"/>
    <w:rsid w:val="0B790DCF"/>
    <w:rsid w:val="0B8B2A81"/>
    <w:rsid w:val="0B956C90"/>
    <w:rsid w:val="0BA1174D"/>
    <w:rsid w:val="0BB31A32"/>
    <w:rsid w:val="0BB5243F"/>
    <w:rsid w:val="0BBA030A"/>
    <w:rsid w:val="0BD0037E"/>
    <w:rsid w:val="0BDD543F"/>
    <w:rsid w:val="0BE55E0C"/>
    <w:rsid w:val="0BED26A5"/>
    <w:rsid w:val="0C48552F"/>
    <w:rsid w:val="0C5B4150"/>
    <w:rsid w:val="0C651F42"/>
    <w:rsid w:val="0C6E31C5"/>
    <w:rsid w:val="0C85560D"/>
    <w:rsid w:val="0CB5191B"/>
    <w:rsid w:val="0CB6728F"/>
    <w:rsid w:val="0CFD25BD"/>
    <w:rsid w:val="0D24632A"/>
    <w:rsid w:val="0D276E81"/>
    <w:rsid w:val="0D2D6A5E"/>
    <w:rsid w:val="0D452987"/>
    <w:rsid w:val="0D6D25BC"/>
    <w:rsid w:val="0D8B4EFD"/>
    <w:rsid w:val="0D8B6C53"/>
    <w:rsid w:val="0D933F5C"/>
    <w:rsid w:val="0DA61D4F"/>
    <w:rsid w:val="0DA669A8"/>
    <w:rsid w:val="0DA800E4"/>
    <w:rsid w:val="0DAB20F5"/>
    <w:rsid w:val="0DAD4E1B"/>
    <w:rsid w:val="0DD56120"/>
    <w:rsid w:val="0DE65566"/>
    <w:rsid w:val="0E0B1B42"/>
    <w:rsid w:val="0E0C42FA"/>
    <w:rsid w:val="0E381521"/>
    <w:rsid w:val="0E4F2053"/>
    <w:rsid w:val="0E507C98"/>
    <w:rsid w:val="0E597398"/>
    <w:rsid w:val="0E735FE8"/>
    <w:rsid w:val="0E814CEC"/>
    <w:rsid w:val="0E84603F"/>
    <w:rsid w:val="0E871431"/>
    <w:rsid w:val="0E8E7999"/>
    <w:rsid w:val="0EA55CF9"/>
    <w:rsid w:val="0EA91CC7"/>
    <w:rsid w:val="0EAE504F"/>
    <w:rsid w:val="0EB27F91"/>
    <w:rsid w:val="0EC94DD7"/>
    <w:rsid w:val="0F0B620A"/>
    <w:rsid w:val="0F0C3DC3"/>
    <w:rsid w:val="0F3B5837"/>
    <w:rsid w:val="0F490310"/>
    <w:rsid w:val="0F4F3C40"/>
    <w:rsid w:val="0F600D55"/>
    <w:rsid w:val="0F7E299A"/>
    <w:rsid w:val="0FA7463C"/>
    <w:rsid w:val="0FC66DA3"/>
    <w:rsid w:val="0FEA3255"/>
    <w:rsid w:val="0FF70A05"/>
    <w:rsid w:val="103966FB"/>
    <w:rsid w:val="106F460A"/>
    <w:rsid w:val="108D7573"/>
    <w:rsid w:val="108E6DDE"/>
    <w:rsid w:val="109B0441"/>
    <w:rsid w:val="10B71B0D"/>
    <w:rsid w:val="10BD339A"/>
    <w:rsid w:val="10C05539"/>
    <w:rsid w:val="10D40911"/>
    <w:rsid w:val="10E60CE0"/>
    <w:rsid w:val="10FF1E8F"/>
    <w:rsid w:val="1129294F"/>
    <w:rsid w:val="113F584A"/>
    <w:rsid w:val="114B66BB"/>
    <w:rsid w:val="115413EC"/>
    <w:rsid w:val="115C70AA"/>
    <w:rsid w:val="11717863"/>
    <w:rsid w:val="119A14F8"/>
    <w:rsid w:val="11AC1DC2"/>
    <w:rsid w:val="11B361D3"/>
    <w:rsid w:val="11BB4D58"/>
    <w:rsid w:val="11C5058A"/>
    <w:rsid w:val="11DB1585"/>
    <w:rsid w:val="11F27A58"/>
    <w:rsid w:val="11F8418B"/>
    <w:rsid w:val="11F8477A"/>
    <w:rsid w:val="122071D4"/>
    <w:rsid w:val="123D010A"/>
    <w:rsid w:val="12455DD6"/>
    <w:rsid w:val="127935F2"/>
    <w:rsid w:val="12793BBE"/>
    <w:rsid w:val="128C33F4"/>
    <w:rsid w:val="129D35E8"/>
    <w:rsid w:val="12C62A75"/>
    <w:rsid w:val="12CF3D5F"/>
    <w:rsid w:val="12E02245"/>
    <w:rsid w:val="12F60AE4"/>
    <w:rsid w:val="131C06AC"/>
    <w:rsid w:val="133B485B"/>
    <w:rsid w:val="1347171A"/>
    <w:rsid w:val="13487675"/>
    <w:rsid w:val="134A0A16"/>
    <w:rsid w:val="136960F3"/>
    <w:rsid w:val="137447B2"/>
    <w:rsid w:val="138D11BC"/>
    <w:rsid w:val="139A492C"/>
    <w:rsid w:val="139D2FCC"/>
    <w:rsid w:val="13B44283"/>
    <w:rsid w:val="13B708E5"/>
    <w:rsid w:val="13C22D0E"/>
    <w:rsid w:val="13D01F9A"/>
    <w:rsid w:val="13D84C83"/>
    <w:rsid w:val="140C4EB0"/>
    <w:rsid w:val="14500A04"/>
    <w:rsid w:val="14612E51"/>
    <w:rsid w:val="14667AD2"/>
    <w:rsid w:val="148A7C64"/>
    <w:rsid w:val="149C20CC"/>
    <w:rsid w:val="14A12C55"/>
    <w:rsid w:val="14B845A5"/>
    <w:rsid w:val="14BE3BD2"/>
    <w:rsid w:val="14ED76EE"/>
    <w:rsid w:val="14F7697C"/>
    <w:rsid w:val="150D2743"/>
    <w:rsid w:val="15273101"/>
    <w:rsid w:val="152B6CB1"/>
    <w:rsid w:val="153A3BAB"/>
    <w:rsid w:val="1544470B"/>
    <w:rsid w:val="15524029"/>
    <w:rsid w:val="15545981"/>
    <w:rsid w:val="15550B09"/>
    <w:rsid w:val="155550C1"/>
    <w:rsid w:val="15657D89"/>
    <w:rsid w:val="15730A76"/>
    <w:rsid w:val="15761223"/>
    <w:rsid w:val="159517A5"/>
    <w:rsid w:val="159E06BA"/>
    <w:rsid w:val="15A005F4"/>
    <w:rsid w:val="15B12A79"/>
    <w:rsid w:val="15C75FD4"/>
    <w:rsid w:val="15D373E9"/>
    <w:rsid w:val="15E23CA8"/>
    <w:rsid w:val="15F43279"/>
    <w:rsid w:val="160A3A04"/>
    <w:rsid w:val="16110AAB"/>
    <w:rsid w:val="161C0D90"/>
    <w:rsid w:val="162C5965"/>
    <w:rsid w:val="163A4B06"/>
    <w:rsid w:val="164F318E"/>
    <w:rsid w:val="1651663B"/>
    <w:rsid w:val="165322D8"/>
    <w:rsid w:val="166B3507"/>
    <w:rsid w:val="16736C6E"/>
    <w:rsid w:val="167F6E20"/>
    <w:rsid w:val="16890A28"/>
    <w:rsid w:val="1700420E"/>
    <w:rsid w:val="170705E0"/>
    <w:rsid w:val="17277EAF"/>
    <w:rsid w:val="17304B16"/>
    <w:rsid w:val="17575561"/>
    <w:rsid w:val="176F2156"/>
    <w:rsid w:val="17907B2D"/>
    <w:rsid w:val="17944956"/>
    <w:rsid w:val="17A06173"/>
    <w:rsid w:val="17B56054"/>
    <w:rsid w:val="17C01E12"/>
    <w:rsid w:val="17DF536C"/>
    <w:rsid w:val="17E5496E"/>
    <w:rsid w:val="180C06D7"/>
    <w:rsid w:val="182254AA"/>
    <w:rsid w:val="18265EA4"/>
    <w:rsid w:val="18365A0D"/>
    <w:rsid w:val="183D0E38"/>
    <w:rsid w:val="1841587E"/>
    <w:rsid w:val="18471012"/>
    <w:rsid w:val="186F1C22"/>
    <w:rsid w:val="186F3E63"/>
    <w:rsid w:val="187857E7"/>
    <w:rsid w:val="187B19AA"/>
    <w:rsid w:val="188321C6"/>
    <w:rsid w:val="18921717"/>
    <w:rsid w:val="189255FF"/>
    <w:rsid w:val="18932E60"/>
    <w:rsid w:val="18BF7702"/>
    <w:rsid w:val="18C354F3"/>
    <w:rsid w:val="18C935ED"/>
    <w:rsid w:val="18CE61C6"/>
    <w:rsid w:val="18E92A80"/>
    <w:rsid w:val="19072014"/>
    <w:rsid w:val="192F739D"/>
    <w:rsid w:val="19394B72"/>
    <w:rsid w:val="193A5AAC"/>
    <w:rsid w:val="193D3E2A"/>
    <w:rsid w:val="19626FF0"/>
    <w:rsid w:val="19930637"/>
    <w:rsid w:val="19B726F4"/>
    <w:rsid w:val="19BA6D87"/>
    <w:rsid w:val="19C72DC1"/>
    <w:rsid w:val="19E35721"/>
    <w:rsid w:val="19EB5BB5"/>
    <w:rsid w:val="1A080F4B"/>
    <w:rsid w:val="1A157ACA"/>
    <w:rsid w:val="1A2C6C3F"/>
    <w:rsid w:val="1A324F2D"/>
    <w:rsid w:val="1A462475"/>
    <w:rsid w:val="1A4D582F"/>
    <w:rsid w:val="1A503212"/>
    <w:rsid w:val="1A5921BF"/>
    <w:rsid w:val="1A7D5B75"/>
    <w:rsid w:val="1A886D9D"/>
    <w:rsid w:val="1A8D1E64"/>
    <w:rsid w:val="1AB84DFF"/>
    <w:rsid w:val="1AD72BEF"/>
    <w:rsid w:val="1AD924A3"/>
    <w:rsid w:val="1AF11218"/>
    <w:rsid w:val="1AFA4D0C"/>
    <w:rsid w:val="1B055924"/>
    <w:rsid w:val="1B115D3C"/>
    <w:rsid w:val="1B190381"/>
    <w:rsid w:val="1B1E0896"/>
    <w:rsid w:val="1B2317D5"/>
    <w:rsid w:val="1B26620D"/>
    <w:rsid w:val="1B2F54E0"/>
    <w:rsid w:val="1B3721C8"/>
    <w:rsid w:val="1B3D2F0D"/>
    <w:rsid w:val="1B67604D"/>
    <w:rsid w:val="1B6C76E2"/>
    <w:rsid w:val="1B807337"/>
    <w:rsid w:val="1B844153"/>
    <w:rsid w:val="1BA14CAF"/>
    <w:rsid w:val="1BA47C58"/>
    <w:rsid w:val="1BA733F4"/>
    <w:rsid w:val="1BB80F43"/>
    <w:rsid w:val="1BC010BD"/>
    <w:rsid w:val="1BC03F6C"/>
    <w:rsid w:val="1BC170B5"/>
    <w:rsid w:val="1BC85289"/>
    <w:rsid w:val="1BD3178E"/>
    <w:rsid w:val="1BDC02C0"/>
    <w:rsid w:val="1BF0529D"/>
    <w:rsid w:val="1C142509"/>
    <w:rsid w:val="1C1A2DF4"/>
    <w:rsid w:val="1C216352"/>
    <w:rsid w:val="1C2D16F9"/>
    <w:rsid w:val="1C63596F"/>
    <w:rsid w:val="1C6C0ADC"/>
    <w:rsid w:val="1C8E4DE6"/>
    <w:rsid w:val="1CA241E1"/>
    <w:rsid w:val="1CAD5170"/>
    <w:rsid w:val="1CBB50F6"/>
    <w:rsid w:val="1CC96E50"/>
    <w:rsid w:val="1CCB0B08"/>
    <w:rsid w:val="1CE65C54"/>
    <w:rsid w:val="1CEC51A2"/>
    <w:rsid w:val="1CFE6AA8"/>
    <w:rsid w:val="1CFF32CC"/>
    <w:rsid w:val="1D1B5D73"/>
    <w:rsid w:val="1D2A4BB9"/>
    <w:rsid w:val="1D385997"/>
    <w:rsid w:val="1D6B0D1C"/>
    <w:rsid w:val="1D8E52A2"/>
    <w:rsid w:val="1DC64F3F"/>
    <w:rsid w:val="1DC75A85"/>
    <w:rsid w:val="1DD06C77"/>
    <w:rsid w:val="1DF97E9A"/>
    <w:rsid w:val="1DFF133F"/>
    <w:rsid w:val="1E03709C"/>
    <w:rsid w:val="1E225A10"/>
    <w:rsid w:val="1E2F3219"/>
    <w:rsid w:val="1E36298C"/>
    <w:rsid w:val="1E397988"/>
    <w:rsid w:val="1E3C510A"/>
    <w:rsid w:val="1E445B9E"/>
    <w:rsid w:val="1E5E18A6"/>
    <w:rsid w:val="1E620244"/>
    <w:rsid w:val="1E7B60D9"/>
    <w:rsid w:val="1E7F212C"/>
    <w:rsid w:val="1E803E86"/>
    <w:rsid w:val="1EBA5A8A"/>
    <w:rsid w:val="1ED84A20"/>
    <w:rsid w:val="1EE86F01"/>
    <w:rsid w:val="1EF609DE"/>
    <w:rsid w:val="1EFA3E2F"/>
    <w:rsid w:val="1F0B1857"/>
    <w:rsid w:val="1F1C0499"/>
    <w:rsid w:val="1F206854"/>
    <w:rsid w:val="1F244EC9"/>
    <w:rsid w:val="1F2D7B61"/>
    <w:rsid w:val="1F49098D"/>
    <w:rsid w:val="1F4C29B9"/>
    <w:rsid w:val="1F4E4783"/>
    <w:rsid w:val="1F65543A"/>
    <w:rsid w:val="1F664B5A"/>
    <w:rsid w:val="1F6D3F34"/>
    <w:rsid w:val="1F895E51"/>
    <w:rsid w:val="1FA073B6"/>
    <w:rsid w:val="1FCD0309"/>
    <w:rsid w:val="1FD438E2"/>
    <w:rsid w:val="1FE64320"/>
    <w:rsid w:val="20007E89"/>
    <w:rsid w:val="20025D99"/>
    <w:rsid w:val="20202142"/>
    <w:rsid w:val="202B4269"/>
    <w:rsid w:val="202F2BA9"/>
    <w:rsid w:val="2054435F"/>
    <w:rsid w:val="206D3AEA"/>
    <w:rsid w:val="20A37E01"/>
    <w:rsid w:val="21167BF2"/>
    <w:rsid w:val="21380E53"/>
    <w:rsid w:val="2149131F"/>
    <w:rsid w:val="216F3435"/>
    <w:rsid w:val="217A7AE2"/>
    <w:rsid w:val="2193451C"/>
    <w:rsid w:val="21AD1AC2"/>
    <w:rsid w:val="21B07443"/>
    <w:rsid w:val="21B53414"/>
    <w:rsid w:val="21D13BBB"/>
    <w:rsid w:val="21E5038E"/>
    <w:rsid w:val="223E6CF8"/>
    <w:rsid w:val="22430AEF"/>
    <w:rsid w:val="22435CE5"/>
    <w:rsid w:val="225906DB"/>
    <w:rsid w:val="2268567C"/>
    <w:rsid w:val="227C1E95"/>
    <w:rsid w:val="228D1C64"/>
    <w:rsid w:val="228F73A6"/>
    <w:rsid w:val="22C677C0"/>
    <w:rsid w:val="22DC6591"/>
    <w:rsid w:val="22DD2774"/>
    <w:rsid w:val="22DD3C85"/>
    <w:rsid w:val="22DE33C9"/>
    <w:rsid w:val="22F64FA7"/>
    <w:rsid w:val="230842AA"/>
    <w:rsid w:val="23110894"/>
    <w:rsid w:val="234D304A"/>
    <w:rsid w:val="23773046"/>
    <w:rsid w:val="237C6F1C"/>
    <w:rsid w:val="23977CA8"/>
    <w:rsid w:val="23981997"/>
    <w:rsid w:val="23B42767"/>
    <w:rsid w:val="23E303FA"/>
    <w:rsid w:val="241E70B5"/>
    <w:rsid w:val="242D516F"/>
    <w:rsid w:val="243B3BD2"/>
    <w:rsid w:val="24506376"/>
    <w:rsid w:val="245247ED"/>
    <w:rsid w:val="24575A93"/>
    <w:rsid w:val="245E2574"/>
    <w:rsid w:val="2460532C"/>
    <w:rsid w:val="24824629"/>
    <w:rsid w:val="24924A7E"/>
    <w:rsid w:val="24CF0FCC"/>
    <w:rsid w:val="24ED782C"/>
    <w:rsid w:val="24F43D34"/>
    <w:rsid w:val="250A6257"/>
    <w:rsid w:val="252E1698"/>
    <w:rsid w:val="25334962"/>
    <w:rsid w:val="25352E48"/>
    <w:rsid w:val="255F7AD2"/>
    <w:rsid w:val="256D4FBD"/>
    <w:rsid w:val="257A518B"/>
    <w:rsid w:val="25892C61"/>
    <w:rsid w:val="2590731F"/>
    <w:rsid w:val="259A07FA"/>
    <w:rsid w:val="25AA58E4"/>
    <w:rsid w:val="25C37995"/>
    <w:rsid w:val="25C723D3"/>
    <w:rsid w:val="25DF4E66"/>
    <w:rsid w:val="25F969F8"/>
    <w:rsid w:val="25FE46E5"/>
    <w:rsid w:val="26061115"/>
    <w:rsid w:val="26232286"/>
    <w:rsid w:val="2627224F"/>
    <w:rsid w:val="265B0A5D"/>
    <w:rsid w:val="266360FF"/>
    <w:rsid w:val="266B0640"/>
    <w:rsid w:val="266F46D8"/>
    <w:rsid w:val="269F0FBB"/>
    <w:rsid w:val="26AA0022"/>
    <w:rsid w:val="26AA72EA"/>
    <w:rsid w:val="26C22E30"/>
    <w:rsid w:val="26CA2142"/>
    <w:rsid w:val="26E22157"/>
    <w:rsid w:val="26EF72E5"/>
    <w:rsid w:val="270B0E4A"/>
    <w:rsid w:val="27180E6A"/>
    <w:rsid w:val="271E393C"/>
    <w:rsid w:val="271F446A"/>
    <w:rsid w:val="273E50FE"/>
    <w:rsid w:val="274023D4"/>
    <w:rsid w:val="274A2F77"/>
    <w:rsid w:val="275343C9"/>
    <w:rsid w:val="275D1C2F"/>
    <w:rsid w:val="27610BBE"/>
    <w:rsid w:val="27663E92"/>
    <w:rsid w:val="27960276"/>
    <w:rsid w:val="27B661D2"/>
    <w:rsid w:val="27D076D6"/>
    <w:rsid w:val="27D163B4"/>
    <w:rsid w:val="27D30F6B"/>
    <w:rsid w:val="27DB0656"/>
    <w:rsid w:val="27DE1FDE"/>
    <w:rsid w:val="27DE5FD5"/>
    <w:rsid w:val="282B2E4E"/>
    <w:rsid w:val="282B36F9"/>
    <w:rsid w:val="2834442B"/>
    <w:rsid w:val="2839352C"/>
    <w:rsid w:val="283B4018"/>
    <w:rsid w:val="28593B9C"/>
    <w:rsid w:val="287813D0"/>
    <w:rsid w:val="288456E2"/>
    <w:rsid w:val="28A42CA6"/>
    <w:rsid w:val="28B92E20"/>
    <w:rsid w:val="28B93CEB"/>
    <w:rsid w:val="28C15D8C"/>
    <w:rsid w:val="28D1123D"/>
    <w:rsid w:val="28E1683E"/>
    <w:rsid w:val="28E6684D"/>
    <w:rsid w:val="28EA3FFC"/>
    <w:rsid w:val="28EF40E2"/>
    <w:rsid w:val="291839B5"/>
    <w:rsid w:val="29736AC1"/>
    <w:rsid w:val="29894921"/>
    <w:rsid w:val="298B1C1A"/>
    <w:rsid w:val="29952549"/>
    <w:rsid w:val="299D08FE"/>
    <w:rsid w:val="29A25D23"/>
    <w:rsid w:val="29C54E43"/>
    <w:rsid w:val="29D10A88"/>
    <w:rsid w:val="2A217069"/>
    <w:rsid w:val="2A2720A7"/>
    <w:rsid w:val="2A441BE1"/>
    <w:rsid w:val="2A4A0382"/>
    <w:rsid w:val="2A535D7F"/>
    <w:rsid w:val="2A652A4B"/>
    <w:rsid w:val="2A6B0D61"/>
    <w:rsid w:val="2A8A3CCC"/>
    <w:rsid w:val="2A913D63"/>
    <w:rsid w:val="2A93015F"/>
    <w:rsid w:val="2A9C2D7D"/>
    <w:rsid w:val="2AA02867"/>
    <w:rsid w:val="2AB357E7"/>
    <w:rsid w:val="2AC9578D"/>
    <w:rsid w:val="2AD34F77"/>
    <w:rsid w:val="2AD52E64"/>
    <w:rsid w:val="2AD82286"/>
    <w:rsid w:val="2AD879D3"/>
    <w:rsid w:val="2AE94914"/>
    <w:rsid w:val="2B000827"/>
    <w:rsid w:val="2B057FF2"/>
    <w:rsid w:val="2B0A6EC3"/>
    <w:rsid w:val="2B252B57"/>
    <w:rsid w:val="2B627D0F"/>
    <w:rsid w:val="2B6E34F9"/>
    <w:rsid w:val="2B762899"/>
    <w:rsid w:val="2B8F2586"/>
    <w:rsid w:val="2B955445"/>
    <w:rsid w:val="2BAF6453"/>
    <w:rsid w:val="2BB23B01"/>
    <w:rsid w:val="2BBA1A67"/>
    <w:rsid w:val="2BBD71E9"/>
    <w:rsid w:val="2BC069D0"/>
    <w:rsid w:val="2BD828D4"/>
    <w:rsid w:val="2C194D6A"/>
    <w:rsid w:val="2C2046D9"/>
    <w:rsid w:val="2C221D7F"/>
    <w:rsid w:val="2C2E58D0"/>
    <w:rsid w:val="2C321F86"/>
    <w:rsid w:val="2C37654D"/>
    <w:rsid w:val="2C436C3A"/>
    <w:rsid w:val="2C926CFE"/>
    <w:rsid w:val="2C9446A0"/>
    <w:rsid w:val="2C9C1E8B"/>
    <w:rsid w:val="2CA6723A"/>
    <w:rsid w:val="2CCF1DA0"/>
    <w:rsid w:val="2CD0610E"/>
    <w:rsid w:val="2CD51C67"/>
    <w:rsid w:val="2CE13172"/>
    <w:rsid w:val="2CF353C0"/>
    <w:rsid w:val="2CF617E0"/>
    <w:rsid w:val="2CFF5BF3"/>
    <w:rsid w:val="2D162F19"/>
    <w:rsid w:val="2D16631A"/>
    <w:rsid w:val="2D2E0F8B"/>
    <w:rsid w:val="2D3C40F0"/>
    <w:rsid w:val="2D517D71"/>
    <w:rsid w:val="2D5A4743"/>
    <w:rsid w:val="2D774D62"/>
    <w:rsid w:val="2D8621F8"/>
    <w:rsid w:val="2D871654"/>
    <w:rsid w:val="2D9406EF"/>
    <w:rsid w:val="2D940747"/>
    <w:rsid w:val="2DBB723B"/>
    <w:rsid w:val="2DBC620C"/>
    <w:rsid w:val="2DC15622"/>
    <w:rsid w:val="2DC37DF1"/>
    <w:rsid w:val="2DC55411"/>
    <w:rsid w:val="2DE57B52"/>
    <w:rsid w:val="2E0D173F"/>
    <w:rsid w:val="2E0F45CD"/>
    <w:rsid w:val="2E1B3416"/>
    <w:rsid w:val="2E1E611B"/>
    <w:rsid w:val="2E2906D2"/>
    <w:rsid w:val="2E440E3D"/>
    <w:rsid w:val="2E531D51"/>
    <w:rsid w:val="2E556251"/>
    <w:rsid w:val="2E666904"/>
    <w:rsid w:val="2E7C1FAB"/>
    <w:rsid w:val="2EA748CD"/>
    <w:rsid w:val="2EAE40F8"/>
    <w:rsid w:val="2EC5013A"/>
    <w:rsid w:val="2ED40002"/>
    <w:rsid w:val="2F3C7955"/>
    <w:rsid w:val="2F4D3B7A"/>
    <w:rsid w:val="2F503401"/>
    <w:rsid w:val="2F5A788A"/>
    <w:rsid w:val="2F6A1CC9"/>
    <w:rsid w:val="2F6F1AD9"/>
    <w:rsid w:val="2F8169CE"/>
    <w:rsid w:val="2F96565F"/>
    <w:rsid w:val="2F984ABB"/>
    <w:rsid w:val="2FB3434C"/>
    <w:rsid w:val="2FDA3087"/>
    <w:rsid w:val="2FDA630F"/>
    <w:rsid w:val="302F4A4E"/>
    <w:rsid w:val="30333DB6"/>
    <w:rsid w:val="305168AB"/>
    <w:rsid w:val="30561692"/>
    <w:rsid w:val="30635469"/>
    <w:rsid w:val="308B4B9A"/>
    <w:rsid w:val="30906CF1"/>
    <w:rsid w:val="30AA1360"/>
    <w:rsid w:val="30AA13BF"/>
    <w:rsid w:val="30B01389"/>
    <w:rsid w:val="30CD2E6A"/>
    <w:rsid w:val="30EF2137"/>
    <w:rsid w:val="30F8356E"/>
    <w:rsid w:val="310249E4"/>
    <w:rsid w:val="31067AB6"/>
    <w:rsid w:val="310929CF"/>
    <w:rsid w:val="31195802"/>
    <w:rsid w:val="311961A0"/>
    <w:rsid w:val="313E4759"/>
    <w:rsid w:val="315413C9"/>
    <w:rsid w:val="315D7C21"/>
    <w:rsid w:val="316A753F"/>
    <w:rsid w:val="3172478D"/>
    <w:rsid w:val="31857973"/>
    <w:rsid w:val="31921939"/>
    <w:rsid w:val="31926D16"/>
    <w:rsid w:val="319475D5"/>
    <w:rsid w:val="31B444D7"/>
    <w:rsid w:val="31C61758"/>
    <w:rsid w:val="31CA56EC"/>
    <w:rsid w:val="31D36D38"/>
    <w:rsid w:val="31DB5758"/>
    <w:rsid w:val="31E13B58"/>
    <w:rsid w:val="320856DB"/>
    <w:rsid w:val="32110481"/>
    <w:rsid w:val="3232497F"/>
    <w:rsid w:val="32381E17"/>
    <w:rsid w:val="324E226E"/>
    <w:rsid w:val="3268696E"/>
    <w:rsid w:val="32A50F33"/>
    <w:rsid w:val="32AB5D01"/>
    <w:rsid w:val="32B87D44"/>
    <w:rsid w:val="32C52A38"/>
    <w:rsid w:val="32C959A4"/>
    <w:rsid w:val="32D4454C"/>
    <w:rsid w:val="32DF59F0"/>
    <w:rsid w:val="32F165AF"/>
    <w:rsid w:val="32F341BB"/>
    <w:rsid w:val="330001A2"/>
    <w:rsid w:val="331035D3"/>
    <w:rsid w:val="33231A0D"/>
    <w:rsid w:val="333628C2"/>
    <w:rsid w:val="33434A04"/>
    <w:rsid w:val="334713E7"/>
    <w:rsid w:val="334D2CEC"/>
    <w:rsid w:val="335C0F0C"/>
    <w:rsid w:val="33864F68"/>
    <w:rsid w:val="33920133"/>
    <w:rsid w:val="33BA13EB"/>
    <w:rsid w:val="33EA4F8B"/>
    <w:rsid w:val="33ED7470"/>
    <w:rsid w:val="33F941B6"/>
    <w:rsid w:val="33F9679F"/>
    <w:rsid w:val="34040BAA"/>
    <w:rsid w:val="34057863"/>
    <w:rsid w:val="340E399D"/>
    <w:rsid w:val="341D6F6C"/>
    <w:rsid w:val="343D0DDD"/>
    <w:rsid w:val="344238A7"/>
    <w:rsid w:val="344A5CAF"/>
    <w:rsid w:val="34627E84"/>
    <w:rsid w:val="34761B3D"/>
    <w:rsid w:val="34A019E3"/>
    <w:rsid w:val="34A264AC"/>
    <w:rsid w:val="34A83397"/>
    <w:rsid w:val="34B54073"/>
    <w:rsid w:val="34ED2EF3"/>
    <w:rsid w:val="34FB6280"/>
    <w:rsid w:val="35301D0A"/>
    <w:rsid w:val="353D1B92"/>
    <w:rsid w:val="353F3CFB"/>
    <w:rsid w:val="35482E35"/>
    <w:rsid w:val="358B1967"/>
    <w:rsid w:val="35A41C98"/>
    <w:rsid w:val="35BE61A8"/>
    <w:rsid w:val="35EF1BA8"/>
    <w:rsid w:val="36054F45"/>
    <w:rsid w:val="3609005C"/>
    <w:rsid w:val="360B54D7"/>
    <w:rsid w:val="360E3D96"/>
    <w:rsid w:val="361A2073"/>
    <w:rsid w:val="363E3678"/>
    <w:rsid w:val="365309B6"/>
    <w:rsid w:val="36897EB8"/>
    <w:rsid w:val="368B020D"/>
    <w:rsid w:val="36914A2B"/>
    <w:rsid w:val="369F5F8F"/>
    <w:rsid w:val="36A1205A"/>
    <w:rsid w:val="36A46172"/>
    <w:rsid w:val="36C76E4F"/>
    <w:rsid w:val="36CB1CA3"/>
    <w:rsid w:val="36CD7058"/>
    <w:rsid w:val="36DE434B"/>
    <w:rsid w:val="36E2640E"/>
    <w:rsid w:val="36E863B2"/>
    <w:rsid w:val="36EC1C72"/>
    <w:rsid w:val="370666E5"/>
    <w:rsid w:val="371B483F"/>
    <w:rsid w:val="371D65C9"/>
    <w:rsid w:val="37352EA6"/>
    <w:rsid w:val="373E0304"/>
    <w:rsid w:val="3742623A"/>
    <w:rsid w:val="37466A9F"/>
    <w:rsid w:val="375111F8"/>
    <w:rsid w:val="37785578"/>
    <w:rsid w:val="37895702"/>
    <w:rsid w:val="379501B2"/>
    <w:rsid w:val="37993A3D"/>
    <w:rsid w:val="3818637F"/>
    <w:rsid w:val="38216E4B"/>
    <w:rsid w:val="3837248F"/>
    <w:rsid w:val="385F1A9D"/>
    <w:rsid w:val="3862667F"/>
    <w:rsid w:val="386F4FF1"/>
    <w:rsid w:val="3883540B"/>
    <w:rsid w:val="388E23BE"/>
    <w:rsid w:val="389712F2"/>
    <w:rsid w:val="38BE76E1"/>
    <w:rsid w:val="38CB65C7"/>
    <w:rsid w:val="38CE3EF3"/>
    <w:rsid w:val="38D427F3"/>
    <w:rsid w:val="38DB01DF"/>
    <w:rsid w:val="38DD3307"/>
    <w:rsid w:val="39032A5D"/>
    <w:rsid w:val="39212DA8"/>
    <w:rsid w:val="39293DB0"/>
    <w:rsid w:val="3931471C"/>
    <w:rsid w:val="3932357B"/>
    <w:rsid w:val="39372EBC"/>
    <w:rsid w:val="393C68A5"/>
    <w:rsid w:val="394C7AC1"/>
    <w:rsid w:val="39701ADB"/>
    <w:rsid w:val="3976015D"/>
    <w:rsid w:val="39767468"/>
    <w:rsid w:val="397A79F8"/>
    <w:rsid w:val="398106C2"/>
    <w:rsid w:val="398630C2"/>
    <w:rsid w:val="398C6DBF"/>
    <w:rsid w:val="39920BD7"/>
    <w:rsid w:val="399762E2"/>
    <w:rsid w:val="39A03524"/>
    <w:rsid w:val="39AB7F90"/>
    <w:rsid w:val="39B13AE1"/>
    <w:rsid w:val="39B2465E"/>
    <w:rsid w:val="39CF3A9F"/>
    <w:rsid w:val="39D268E4"/>
    <w:rsid w:val="39E901AB"/>
    <w:rsid w:val="39ED4C94"/>
    <w:rsid w:val="39F63D01"/>
    <w:rsid w:val="3A0429E9"/>
    <w:rsid w:val="3A054EF3"/>
    <w:rsid w:val="3A270613"/>
    <w:rsid w:val="3A3B35A8"/>
    <w:rsid w:val="3A6A51A1"/>
    <w:rsid w:val="3A8864AA"/>
    <w:rsid w:val="3A8D3267"/>
    <w:rsid w:val="3A8F1E5D"/>
    <w:rsid w:val="3AA505E9"/>
    <w:rsid w:val="3AB201FD"/>
    <w:rsid w:val="3ABE6790"/>
    <w:rsid w:val="3AD30754"/>
    <w:rsid w:val="3AD31A4B"/>
    <w:rsid w:val="3AD74069"/>
    <w:rsid w:val="3B091033"/>
    <w:rsid w:val="3B1866F7"/>
    <w:rsid w:val="3B376687"/>
    <w:rsid w:val="3B3E6939"/>
    <w:rsid w:val="3B4873E0"/>
    <w:rsid w:val="3B4F12B2"/>
    <w:rsid w:val="3B5B6B98"/>
    <w:rsid w:val="3B730A2C"/>
    <w:rsid w:val="3B73373D"/>
    <w:rsid w:val="3B892174"/>
    <w:rsid w:val="3B9248F5"/>
    <w:rsid w:val="3BB22B57"/>
    <w:rsid w:val="3BBF0959"/>
    <w:rsid w:val="3BC00ACD"/>
    <w:rsid w:val="3BD911DD"/>
    <w:rsid w:val="3BDA6BB8"/>
    <w:rsid w:val="3C0655A2"/>
    <w:rsid w:val="3C0A04BB"/>
    <w:rsid w:val="3C1E436A"/>
    <w:rsid w:val="3C3360EC"/>
    <w:rsid w:val="3C452831"/>
    <w:rsid w:val="3C5F5DEF"/>
    <w:rsid w:val="3C68604C"/>
    <w:rsid w:val="3C7057AE"/>
    <w:rsid w:val="3C8D2B6B"/>
    <w:rsid w:val="3C9755B2"/>
    <w:rsid w:val="3C9B215F"/>
    <w:rsid w:val="3C9E5D1B"/>
    <w:rsid w:val="3CA53C3A"/>
    <w:rsid w:val="3CA97F92"/>
    <w:rsid w:val="3CBA7D19"/>
    <w:rsid w:val="3CC1259B"/>
    <w:rsid w:val="3CD17EF5"/>
    <w:rsid w:val="3CD45671"/>
    <w:rsid w:val="3CEA1C78"/>
    <w:rsid w:val="3CF92A3E"/>
    <w:rsid w:val="3D2123DC"/>
    <w:rsid w:val="3D2D6B2F"/>
    <w:rsid w:val="3D3529EB"/>
    <w:rsid w:val="3D4B442E"/>
    <w:rsid w:val="3D5368A9"/>
    <w:rsid w:val="3D6437F6"/>
    <w:rsid w:val="3D6D69CE"/>
    <w:rsid w:val="3D7A7775"/>
    <w:rsid w:val="3DA93E71"/>
    <w:rsid w:val="3DAB2C2B"/>
    <w:rsid w:val="3DAF7D1C"/>
    <w:rsid w:val="3DB13B3B"/>
    <w:rsid w:val="3DC56027"/>
    <w:rsid w:val="3DC70F93"/>
    <w:rsid w:val="3DE050FC"/>
    <w:rsid w:val="3DE25B6C"/>
    <w:rsid w:val="3DFC7BC4"/>
    <w:rsid w:val="3E0169BD"/>
    <w:rsid w:val="3E0850D4"/>
    <w:rsid w:val="3E09754A"/>
    <w:rsid w:val="3E204BB6"/>
    <w:rsid w:val="3E260217"/>
    <w:rsid w:val="3E2C62B6"/>
    <w:rsid w:val="3E393A0B"/>
    <w:rsid w:val="3E4270F2"/>
    <w:rsid w:val="3E5313C9"/>
    <w:rsid w:val="3E5700F6"/>
    <w:rsid w:val="3E6A11AF"/>
    <w:rsid w:val="3E7E2CC0"/>
    <w:rsid w:val="3E92012A"/>
    <w:rsid w:val="3EB721C8"/>
    <w:rsid w:val="3EC7628C"/>
    <w:rsid w:val="3EDE7341"/>
    <w:rsid w:val="3EE42B23"/>
    <w:rsid w:val="3F096D07"/>
    <w:rsid w:val="3F1343EB"/>
    <w:rsid w:val="3F160A52"/>
    <w:rsid w:val="3F750A9E"/>
    <w:rsid w:val="3F9664B6"/>
    <w:rsid w:val="3F9A1DAD"/>
    <w:rsid w:val="3FA46EF8"/>
    <w:rsid w:val="3FBB0422"/>
    <w:rsid w:val="3FBF5A9B"/>
    <w:rsid w:val="3FC42D1B"/>
    <w:rsid w:val="3FC754F1"/>
    <w:rsid w:val="3FE217D5"/>
    <w:rsid w:val="400C3A1F"/>
    <w:rsid w:val="40173D62"/>
    <w:rsid w:val="40585922"/>
    <w:rsid w:val="407303A2"/>
    <w:rsid w:val="40805D09"/>
    <w:rsid w:val="4086235B"/>
    <w:rsid w:val="409A0980"/>
    <w:rsid w:val="40A46801"/>
    <w:rsid w:val="40B35057"/>
    <w:rsid w:val="40B65FAD"/>
    <w:rsid w:val="40BC471D"/>
    <w:rsid w:val="40BD4DD1"/>
    <w:rsid w:val="40D142FA"/>
    <w:rsid w:val="40E93FEB"/>
    <w:rsid w:val="40F51D18"/>
    <w:rsid w:val="41003E00"/>
    <w:rsid w:val="411E6EBB"/>
    <w:rsid w:val="411E7D17"/>
    <w:rsid w:val="412D4550"/>
    <w:rsid w:val="41303C39"/>
    <w:rsid w:val="413D1561"/>
    <w:rsid w:val="414F74CB"/>
    <w:rsid w:val="415B6654"/>
    <w:rsid w:val="4162111C"/>
    <w:rsid w:val="41662EBF"/>
    <w:rsid w:val="416745BC"/>
    <w:rsid w:val="416B75D8"/>
    <w:rsid w:val="4171348E"/>
    <w:rsid w:val="417C2EE6"/>
    <w:rsid w:val="41BD712D"/>
    <w:rsid w:val="41D12A32"/>
    <w:rsid w:val="41D301C3"/>
    <w:rsid w:val="41D623AF"/>
    <w:rsid w:val="420A1A22"/>
    <w:rsid w:val="420A4BB4"/>
    <w:rsid w:val="42100EF9"/>
    <w:rsid w:val="422C5607"/>
    <w:rsid w:val="422D1756"/>
    <w:rsid w:val="422F49B3"/>
    <w:rsid w:val="42426ED7"/>
    <w:rsid w:val="4249440B"/>
    <w:rsid w:val="4251344E"/>
    <w:rsid w:val="4266184F"/>
    <w:rsid w:val="42670D5D"/>
    <w:rsid w:val="427E2307"/>
    <w:rsid w:val="42802614"/>
    <w:rsid w:val="42847498"/>
    <w:rsid w:val="429310E0"/>
    <w:rsid w:val="42B01704"/>
    <w:rsid w:val="42B72784"/>
    <w:rsid w:val="42BF6593"/>
    <w:rsid w:val="42C35F6C"/>
    <w:rsid w:val="42C817D4"/>
    <w:rsid w:val="42CC4106"/>
    <w:rsid w:val="42CF7107"/>
    <w:rsid w:val="431F1AE3"/>
    <w:rsid w:val="433858A5"/>
    <w:rsid w:val="435B2CBB"/>
    <w:rsid w:val="43603E74"/>
    <w:rsid w:val="4365472B"/>
    <w:rsid w:val="436C03B1"/>
    <w:rsid w:val="436F612A"/>
    <w:rsid w:val="438753A5"/>
    <w:rsid w:val="438A4CDB"/>
    <w:rsid w:val="43920E07"/>
    <w:rsid w:val="43951B04"/>
    <w:rsid w:val="43BB1E41"/>
    <w:rsid w:val="43DC75AB"/>
    <w:rsid w:val="43E72A56"/>
    <w:rsid w:val="43F715ED"/>
    <w:rsid w:val="43F723C5"/>
    <w:rsid w:val="43FB0070"/>
    <w:rsid w:val="440700DA"/>
    <w:rsid w:val="442A56DD"/>
    <w:rsid w:val="443530F3"/>
    <w:rsid w:val="443935EF"/>
    <w:rsid w:val="44627A06"/>
    <w:rsid w:val="44655A6C"/>
    <w:rsid w:val="44701F88"/>
    <w:rsid w:val="448332EB"/>
    <w:rsid w:val="44926DDD"/>
    <w:rsid w:val="44984355"/>
    <w:rsid w:val="44A8226D"/>
    <w:rsid w:val="44A92584"/>
    <w:rsid w:val="44AA08C6"/>
    <w:rsid w:val="44E10504"/>
    <w:rsid w:val="44EF4A70"/>
    <w:rsid w:val="44F201BB"/>
    <w:rsid w:val="44F97D82"/>
    <w:rsid w:val="450117F8"/>
    <w:rsid w:val="451C6129"/>
    <w:rsid w:val="451E6E63"/>
    <w:rsid w:val="45211A0E"/>
    <w:rsid w:val="45342FB5"/>
    <w:rsid w:val="4550153F"/>
    <w:rsid w:val="455235D7"/>
    <w:rsid w:val="455336A1"/>
    <w:rsid w:val="45591DA2"/>
    <w:rsid w:val="45660998"/>
    <w:rsid w:val="45665536"/>
    <w:rsid w:val="458B3F95"/>
    <w:rsid w:val="45A62B00"/>
    <w:rsid w:val="45AA2F38"/>
    <w:rsid w:val="45AF3554"/>
    <w:rsid w:val="45B12466"/>
    <w:rsid w:val="45B72493"/>
    <w:rsid w:val="45EB1CEB"/>
    <w:rsid w:val="4601483F"/>
    <w:rsid w:val="46025A85"/>
    <w:rsid w:val="46075783"/>
    <w:rsid w:val="460F09FC"/>
    <w:rsid w:val="461B1D4C"/>
    <w:rsid w:val="46517D32"/>
    <w:rsid w:val="465530CB"/>
    <w:rsid w:val="466F7AB5"/>
    <w:rsid w:val="467511C8"/>
    <w:rsid w:val="46760020"/>
    <w:rsid w:val="467E5A89"/>
    <w:rsid w:val="468E67A4"/>
    <w:rsid w:val="46A7659A"/>
    <w:rsid w:val="46B462BE"/>
    <w:rsid w:val="46D345C4"/>
    <w:rsid w:val="46D93CB5"/>
    <w:rsid w:val="46F20FCA"/>
    <w:rsid w:val="47084895"/>
    <w:rsid w:val="473D733B"/>
    <w:rsid w:val="47424E25"/>
    <w:rsid w:val="475A2115"/>
    <w:rsid w:val="47630D4C"/>
    <w:rsid w:val="476A5FE9"/>
    <w:rsid w:val="476C58D8"/>
    <w:rsid w:val="476F4DD2"/>
    <w:rsid w:val="478D3666"/>
    <w:rsid w:val="47962586"/>
    <w:rsid w:val="47A30A38"/>
    <w:rsid w:val="47C95785"/>
    <w:rsid w:val="47F5042E"/>
    <w:rsid w:val="481E59F2"/>
    <w:rsid w:val="482A2773"/>
    <w:rsid w:val="482F762F"/>
    <w:rsid w:val="48667B2A"/>
    <w:rsid w:val="48743864"/>
    <w:rsid w:val="488717E9"/>
    <w:rsid w:val="489B5FE9"/>
    <w:rsid w:val="48E76A7C"/>
    <w:rsid w:val="49001E86"/>
    <w:rsid w:val="49081412"/>
    <w:rsid w:val="490E3A2E"/>
    <w:rsid w:val="490F522C"/>
    <w:rsid w:val="49114885"/>
    <w:rsid w:val="491D202E"/>
    <w:rsid w:val="4920575D"/>
    <w:rsid w:val="49417983"/>
    <w:rsid w:val="49565AB1"/>
    <w:rsid w:val="4958656A"/>
    <w:rsid w:val="496D50BB"/>
    <w:rsid w:val="497C543F"/>
    <w:rsid w:val="498C3FA6"/>
    <w:rsid w:val="49D14C7B"/>
    <w:rsid w:val="49D61507"/>
    <w:rsid w:val="49F64E88"/>
    <w:rsid w:val="49F712AC"/>
    <w:rsid w:val="4A0B4355"/>
    <w:rsid w:val="4A4C3C76"/>
    <w:rsid w:val="4A582F08"/>
    <w:rsid w:val="4A6130DB"/>
    <w:rsid w:val="4A6F3D21"/>
    <w:rsid w:val="4AB30EDE"/>
    <w:rsid w:val="4AB344AE"/>
    <w:rsid w:val="4AC26B09"/>
    <w:rsid w:val="4ACE4E5A"/>
    <w:rsid w:val="4AE87797"/>
    <w:rsid w:val="4AF324FC"/>
    <w:rsid w:val="4AFD545B"/>
    <w:rsid w:val="4B055D7D"/>
    <w:rsid w:val="4B341F77"/>
    <w:rsid w:val="4B4C0FEF"/>
    <w:rsid w:val="4B5515CE"/>
    <w:rsid w:val="4B6148D3"/>
    <w:rsid w:val="4B7D207A"/>
    <w:rsid w:val="4B7D2D66"/>
    <w:rsid w:val="4B875EB6"/>
    <w:rsid w:val="4B8D42B7"/>
    <w:rsid w:val="4BA32DDE"/>
    <w:rsid w:val="4BA663CD"/>
    <w:rsid w:val="4BAD7D08"/>
    <w:rsid w:val="4BDE2E72"/>
    <w:rsid w:val="4BE62E4E"/>
    <w:rsid w:val="4C1C3FF5"/>
    <w:rsid w:val="4C410418"/>
    <w:rsid w:val="4C524673"/>
    <w:rsid w:val="4C72455F"/>
    <w:rsid w:val="4C781E99"/>
    <w:rsid w:val="4C7D1FFD"/>
    <w:rsid w:val="4C920D99"/>
    <w:rsid w:val="4C963176"/>
    <w:rsid w:val="4CAE11C9"/>
    <w:rsid w:val="4CE03BBE"/>
    <w:rsid w:val="4CF5763E"/>
    <w:rsid w:val="4CFB71A3"/>
    <w:rsid w:val="4CFF2F8E"/>
    <w:rsid w:val="4D0A39C2"/>
    <w:rsid w:val="4D1E7969"/>
    <w:rsid w:val="4D287248"/>
    <w:rsid w:val="4D3D0301"/>
    <w:rsid w:val="4D3F7CBF"/>
    <w:rsid w:val="4D46030D"/>
    <w:rsid w:val="4D6D34A9"/>
    <w:rsid w:val="4D757884"/>
    <w:rsid w:val="4D796B28"/>
    <w:rsid w:val="4D8C4093"/>
    <w:rsid w:val="4D907392"/>
    <w:rsid w:val="4DB92821"/>
    <w:rsid w:val="4DC14928"/>
    <w:rsid w:val="4DC46301"/>
    <w:rsid w:val="4DF671A8"/>
    <w:rsid w:val="4DFC1A53"/>
    <w:rsid w:val="4DFE3CC8"/>
    <w:rsid w:val="4E1230AB"/>
    <w:rsid w:val="4E261C08"/>
    <w:rsid w:val="4E274480"/>
    <w:rsid w:val="4E353A96"/>
    <w:rsid w:val="4E3C3076"/>
    <w:rsid w:val="4E4E418E"/>
    <w:rsid w:val="4E720846"/>
    <w:rsid w:val="4E7F6A84"/>
    <w:rsid w:val="4E887901"/>
    <w:rsid w:val="4EA45213"/>
    <w:rsid w:val="4EA902EC"/>
    <w:rsid w:val="4ECC0997"/>
    <w:rsid w:val="4EE64D75"/>
    <w:rsid w:val="4EED611E"/>
    <w:rsid w:val="4F0A7123"/>
    <w:rsid w:val="4F196F13"/>
    <w:rsid w:val="4F2151FA"/>
    <w:rsid w:val="4F2A3762"/>
    <w:rsid w:val="4F2E0DB1"/>
    <w:rsid w:val="4F3F1F47"/>
    <w:rsid w:val="4F486739"/>
    <w:rsid w:val="4F556652"/>
    <w:rsid w:val="4F5A286E"/>
    <w:rsid w:val="4F8E742F"/>
    <w:rsid w:val="4F980780"/>
    <w:rsid w:val="4FA7451F"/>
    <w:rsid w:val="4FC5001A"/>
    <w:rsid w:val="4FCC12A9"/>
    <w:rsid w:val="4FD41C1D"/>
    <w:rsid w:val="4FE71594"/>
    <w:rsid w:val="4FED2322"/>
    <w:rsid w:val="4FFD53C6"/>
    <w:rsid w:val="503C0967"/>
    <w:rsid w:val="503D1B16"/>
    <w:rsid w:val="503E4824"/>
    <w:rsid w:val="505A09AE"/>
    <w:rsid w:val="50687EB6"/>
    <w:rsid w:val="5071695E"/>
    <w:rsid w:val="508E47DC"/>
    <w:rsid w:val="50973DA9"/>
    <w:rsid w:val="50AE3F83"/>
    <w:rsid w:val="50B04818"/>
    <w:rsid w:val="50CF69B2"/>
    <w:rsid w:val="50CF7A4B"/>
    <w:rsid w:val="50D44420"/>
    <w:rsid w:val="5137564E"/>
    <w:rsid w:val="514E0A72"/>
    <w:rsid w:val="51576FE4"/>
    <w:rsid w:val="518E1E3B"/>
    <w:rsid w:val="519F488C"/>
    <w:rsid w:val="51C61EF0"/>
    <w:rsid w:val="51C64D21"/>
    <w:rsid w:val="51DD69E8"/>
    <w:rsid w:val="51E00356"/>
    <w:rsid w:val="51EF6367"/>
    <w:rsid w:val="51FF0C43"/>
    <w:rsid w:val="52065E75"/>
    <w:rsid w:val="520713EF"/>
    <w:rsid w:val="520923F4"/>
    <w:rsid w:val="521045FE"/>
    <w:rsid w:val="5222282D"/>
    <w:rsid w:val="522C14EF"/>
    <w:rsid w:val="52302A27"/>
    <w:rsid w:val="52383964"/>
    <w:rsid w:val="52417905"/>
    <w:rsid w:val="52450270"/>
    <w:rsid w:val="52547F54"/>
    <w:rsid w:val="525775BB"/>
    <w:rsid w:val="526B5D33"/>
    <w:rsid w:val="527F45C4"/>
    <w:rsid w:val="52884ADC"/>
    <w:rsid w:val="52912B89"/>
    <w:rsid w:val="52956EEB"/>
    <w:rsid w:val="529E08FC"/>
    <w:rsid w:val="529E7DC9"/>
    <w:rsid w:val="52A1157D"/>
    <w:rsid w:val="52B46B08"/>
    <w:rsid w:val="52C8137C"/>
    <w:rsid w:val="52CC3474"/>
    <w:rsid w:val="52E2424D"/>
    <w:rsid w:val="52E9702A"/>
    <w:rsid w:val="52F02A03"/>
    <w:rsid w:val="52F06651"/>
    <w:rsid w:val="52F81690"/>
    <w:rsid w:val="52FC3289"/>
    <w:rsid w:val="5311687F"/>
    <w:rsid w:val="53144422"/>
    <w:rsid w:val="531600C3"/>
    <w:rsid w:val="532452B2"/>
    <w:rsid w:val="53305443"/>
    <w:rsid w:val="533C7E74"/>
    <w:rsid w:val="534C3421"/>
    <w:rsid w:val="535B2362"/>
    <w:rsid w:val="535B4CF0"/>
    <w:rsid w:val="535D132C"/>
    <w:rsid w:val="536270DB"/>
    <w:rsid w:val="5371731E"/>
    <w:rsid w:val="538B4884"/>
    <w:rsid w:val="538B6878"/>
    <w:rsid w:val="5398746F"/>
    <w:rsid w:val="539D471B"/>
    <w:rsid w:val="53B117CE"/>
    <w:rsid w:val="53BA08AE"/>
    <w:rsid w:val="53BC278B"/>
    <w:rsid w:val="53EB6B3D"/>
    <w:rsid w:val="53FB35FD"/>
    <w:rsid w:val="53FF492A"/>
    <w:rsid w:val="5400093A"/>
    <w:rsid w:val="540F33D1"/>
    <w:rsid w:val="541A5CB0"/>
    <w:rsid w:val="541A71EA"/>
    <w:rsid w:val="541D3002"/>
    <w:rsid w:val="543E150A"/>
    <w:rsid w:val="544475A5"/>
    <w:rsid w:val="544948CA"/>
    <w:rsid w:val="544C4264"/>
    <w:rsid w:val="547747B8"/>
    <w:rsid w:val="54792907"/>
    <w:rsid w:val="547F24EC"/>
    <w:rsid w:val="54901540"/>
    <w:rsid w:val="54A81A59"/>
    <w:rsid w:val="54BA7621"/>
    <w:rsid w:val="54C73D61"/>
    <w:rsid w:val="54E164AC"/>
    <w:rsid w:val="54EA382C"/>
    <w:rsid w:val="55050666"/>
    <w:rsid w:val="550D767C"/>
    <w:rsid w:val="55406298"/>
    <w:rsid w:val="55411377"/>
    <w:rsid w:val="55496AED"/>
    <w:rsid w:val="55674A3D"/>
    <w:rsid w:val="55733EF3"/>
    <w:rsid w:val="55816758"/>
    <w:rsid w:val="55967DE9"/>
    <w:rsid w:val="55992746"/>
    <w:rsid w:val="55B51902"/>
    <w:rsid w:val="55B60B8C"/>
    <w:rsid w:val="55E02539"/>
    <w:rsid w:val="55E678D8"/>
    <w:rsid w:val="55E67C11"/>
    <w:rsid w:val="55F13D03"/>
    <w:rsid w:val="560D3E7C"/>
    <w:rsid w:val="563D2AD2"/>
    <w:rsid w:val="56414F54"/>
    <w:rsid w:val="56466009"/>
    <w:rsid w:val="565503DF"/>
    <w:rsid w:val="565703D1"/>
    <w:rsid w:val="565B2641"/>
    <w:rsid w:val="565E4742"/>
    <w:rsid w:val="566F46F0"/>
    <w:rsid w:val="569B59A6"/>
    <w:rsid w:val="56A16A04"/>
    <w:rsid w:val="56B8399E"/>
    <w:rsid w:val="56D76CA5"/>
    <w:rsid w:val="56EA0FB8"/>
    <w:rsid w:val="56F03D99"/>
    <w:rsid w:val="570578B8"/>
    <w:rsid w:val="57132F95"/>
    <w:rsid w:val="572D4E3F"/>
    <w:rsid w:val="572D56F6"/>
    <w:rsid w:val="573179AE"/>
    <w:rsid w:val="573F1670"/>
    <w:rsid w:val="57551AD9"/>
    <w:rsid w:val="575D0040"/>
    <w:rsid w:val="57606393"/>
    <w:rsid w:val="576C5FC1"/>
    <w:rsid w:val="577F5DB3"/>
    <w:rsid w:val="57824BAC"/>
    <w:rsid w:val="57892510"/>
    <w:rsid w:val="57AD602B"/>
    <w:rsid w:val="57AE3E6A"/>
    <w:rsid w:val="57BE4FFC"/>
    <w:rsid w:val="57C63600"/>
    <w:rsid w:val="57CF0A12"/>
    <w:rsid w:val="57E8417C"/>
    <w:rsid w:val="57F8000E"/>
    <w:rsid w:val="58142531"/>
    <w:rsid w:val="582A3A06"/>
    <w:rsid w:val="583F79EB"/>
    <w:rsid w:val="58430210"/>
    <w:rsid w:val="584C2108"/>
    <w:rsid w:val="5855720E"/>
    <w:rsid w:val="585838C1"/>
    <w:rsid w:val="5863214C"/>
    <w:rsid w:val="586E45E1"/>
    <w:rsid w:val="58717162"/>
    <w:rsid w:val="587A4EC7"/>
    <w:rsid w:val="58A156FA"/>
    <w:rsid w:val="58AB32D2"/>
    <w:rsid w:val="58DD6E52"/>
    <w:rsid w:val="58E037FA"/>
    <w:rsid w:val="58F028E3"/>
    <w:rsid w:val="59070777"/>
    <w:rsid w:val="59185078"/>
    <w:rsid w:val="5937393A"/>
    <w:rsid w:val="59373972"/>
    <w:rsid w:val="593A5023"/>
    <w:rsid w:val="59623A53"/>
    <w:rsid w:val="599D4457"/>
    <w:rsid w:val="59B25DDC"/>
    <w:rsid w:val="59B73AE7"/>
    <w:rsid w:val="59BA3E3C"/>
    <w:rsid w:val="59BA6FCD"/>
    <w:rsid w:val="59D2663D"/>
    <w:rsid w:val="59DC43D8"/>
    <w:rsid w:val="59E17ECD"/>
    <w:rsid w:val="59E70281"/>
    <w:rsid w:val="59FA21B2"/>
    <w:rsid w:val="5A38787E"/>
    <w:rsid w:val="5A3B7940"/>
    <w:rsid w:val="5A400973"/>
    <w:rsid w:val="5AA549B2"/>
    <w:rsid w:val="5ACC3AB1"/>
    <w:rsid w:val="5AD00974"/>
    <w:rsid w:val="5ADC7386"/>
    <w:rsid w:val="5AE9537A"/>
    <w:rsid w:val="5AFA6B0F"/>
    <w:rsid w:val="5B3C46B5"/>
    <w:rsid w:val="5B412DDA"/>
    <w:rsid w:val="5B4F4FBF"/>
    <w:rsid w:val="5B5104F9"/>
    <w:rsid w:val="5B512775"/>
    <w:rsid w:val="5B594284"/>
    <w:rsid w:val="5B5D0855"/>
    <w:rsid w:val="5B620B14"/>
    <w:rsid w:val="5B852AAE"/>
    <w:rsid w:val="5B8A5421"/>
    <w:rsid w:val="5BAC4E3A"/>
    <w:rsid w:val="5BCE29BA"/>
    <w:rsid w:val="5BD47431"/>
    <w:rsid w:val="5BE06663"/>
    <w:rsid w:val="5BEC1C38"/>
    <w:rsid w:val="5BF215EF"/>
    <w:rsid w:val="5C001D67"/>
    <w:rsid w:val="5C012B8C"/>
    <w:rsid w:val="5C362AF4"/>
    <w:rsid w:val="5C3E4720"/>
    <w:rsid w:val="5C4A6502"/>
    <w:rsid w:val="5C526BB4"/>
    <w:rsid w:val="5C5A16DE"/>
    <w:rsid w:val="5C710051"/>
    <w:rsid w:val="5C76653E"/>
    <w:rsid w:val="5C784327"/>
    <w:rsid w:val="5C9B09C7"/>
    <w:rsid w:val="5C9D2D1B"/>
    <w:rsid w:val="5CC0373E"/>
    <w:rsid w:val="5CC85BD5"/>
    <w:rsid w:val="5CE018DD"/>
    <w:rsid w:val="5CE32EA9"/>
    <w:rsid w:val="5CF0236C"/>
    <w:rsid w:val="5CFF1E3E"/>
    <w:rsid w:val="5D235B2D"/>
    <w:rsid w:val="5D377ADF"/>
    <w:rsid w:val="5D470913"/>
    <w:rsid w:val="5D5977A1"/>
    <w:rsid w:val="5D79062E"/>
    <w:rsid w:val="5D7E69EB"/>
    <w:rsid w:val="5D8C0201"/>
    <w:rsid w:val="5D9F112C"/>
    <w:rsid w:val="5DC31E6E"/>
    <w:rsid w:val="5DD552C1"/>
    <w:rsid w:val="5DF30675"/>
    <w:rsid w:val="5E074110"/>
    <w:rsid w:val="5E2B3A18"/>
    <w:rsid w:val="5E31172B"/>
    <w:rsid w:val="5E4641D8"/>
    <w:rsid w:val="5E4B3CC5"/>
    <w:rsid w:val="5E5C7FAC"/>
    <w:rsid w:val="5E5E1D0E"/>
    <w:rsid w:val="5E872C01"/>
    <w:rsid w:val="5E8E1E7B"/>
    <w:rsid w:val="5E933865"/>
    <w:rsid w:val="5E983210"/>
    <w:rsid w:val="5E9A27FB"/>
    <w:rsid w:val="5E9D5D87"/>
    <w:rsid w:val="5EB1181D"/>
    <w:rsid w:val="5EC52109"/>
    <w:rsid w:val="5ECE103C"/>
    <w:rsid w:val="5EDC6635"/>
    <w:rsid w:val="5EDF15E6"/>
    <w:rsid w:val="5EDF242A"/>
    <w:rsid w:val="5EEC4CC9"/>
    <w:rsid w:val="5EFA7CCD"/>
    <w:rsid w:val="5EFC424F"/>
    <w:rsid w:val="5F2831B7"/>
    <w:rsid w:val="5F353F1D"/>
    <w:rsid w:val="5F387DD8"/>
    <w:rsid w:val="5F5B52DC"/>
    <w:rsid w:val="5F5D6311"/>
    <w:rsid w:val="5F610F9A"/>
    <w:rsid w:val="5FBA643A"/>
    <w:rsid w:val="5FC72CEE"/>
    <w:rsid w:val="5FD15188"/>
    <w:rsid w:val="5FD462C1"/>
    <w:rsid w:val="600C100B"/>
    <w:rsid w:val="60200102"/>
    <w:rsid w:val="602C20DD"/>
    <w:rsid w:val="603F3938"/>
    <w:rsid w:val="60442474"/>
    <w:rsid w:val="606D5311"/>
    <w:rsid w:val="607C6049"/>
    <w:rsid w:val="60815CDE"/>
    <w:rsid w:val="60894991"/>
    <w:rsid w:val="60AF5CCB"/>
    <w:rsid w:val="60B12374"/>
    <w:rsid w:val="60B12B22"/>
    <w:rsid w:val="60C20729"/>
    <w:rsid w:val="60CB5CDD"/>
    <w:rsid w:val="60CC2038"/>
    <w:rsid w:val="60DD7931"/>
    <w:rsid w:val="60DE5220"/>
    <w:rsid w:val="61181721"/>
    <w:rsid w:val="612B51A7"/>
    <w:rsid w:val="613C1A9B"/>
    <w:rsid w:val="614C4594"/>
    <w:rsid w:val="614C74D5"/>
    <w:rsid w:val="615407FA"/>
    <w:rsid w:val="61681591"/>
    <w:rsid w:val="61722BDF"/>
    <w:rsid w:val="61B42655"/>
    <w:rsid w:val="61E13FF1"/>
    <w:rsid w:val="61EB04E9"/>
    <w:rsid w:val="62032444"/>
    <w:rsid w:val="62172E25"/>
    <w:rsid w:val="622D1EAE"/>
    <w:rsid w:val="622F4266"/>
    <w:rsid w:val="623A2268"/>
    <w:rsid w:val="62457762"/>
    <w:rsid w:val="62462A72"/>
    <w:rsid w:val="625422E5"/>
    <w:rsid w:val="62777B94"/>
    <w:rsid w:val="628D11A7"/>
    <w:rsid w:val="62AB132C"/>
    <w:rsid w:val="62BE738E"/>
    <w:rsid w:val="62D97AC0"/>
    <w:rsid w:val="62DA5AA9"/>
    <w:rsid w:val="62E849C6"/>
    <w:rsid w:val="62EA6460"/>
    <w:rsid w:val="62F76875"/>
    <w:rsid w:val="6300696C"/>
    <w:rsid w:val="63030F14"/>
    <w:rsid w:val="630E34E0"/>
    <w:rsid w:val="631A352E"/>
    <w:rsid w:val="631B6AE5"/>
    <w:rsid w:val="63260125"/>
    <w:rsid w:val="6344286C"/>
    <w:rsid w:val="634C4857"/>
    <w:rsid w:val="634F4921"/>
    <w:rsid w:val="63520F1A"/>
    <w:rsid w:val="63583492"/>
    <w:rsid w:val="63660DC1"/>
    <w:rsid w:val="636C0070"/>
    <w:rsid w:val="63806113"/>
    <w:rsid w:val="63862972"/>
    <w:rsid w:val="638B0660"/>
    <w:rsid w:val="63BB5D1B"/>
    <w:rsid w:val="63C17E4E"/>
    <w:rsid w:val="63C56A8D"/>
    <w:rsid w:val="63D158C9"/>
    <w:rsid w:val="63E82575"/>
    <w:rsid w:val="640B10C9"/>
    <w:rsid w:val="6411743B"/>
    <w:rsid w:val="641E7B03"/>
    <w:rsid w:val="6453132F"/>
    <w:rsid w:val="64587AB1"/>
    <w:rsid w:val="645E04C8"/>
    <w:rsid w:val="646C727B"/>
    <w:rsid w:val="647E3905"/>
    <w:rsid w:val="64A036C7"/>
    <w:rsid w:val="64A7639A"/>
    <w:rsid w:val="64A863EB"/>
    <w:rsid w:val="64C22BED"/>
    <w:rsid w:val="64D05783"/>
    <w:rsid w:val="64D21925"/>
    <w:rsid w:val="64D91523"/>
    <w:rsid w:val="64DB2E27"/>
    <w:rsid w:val="64EC5F80"/>
    <w:rsid w:val="64F20854"/>
    <w:rsid w:val="64F2292E"/>
    <w:rsid w:val="64F7798C"/>
    <w:rsid w:val="651264A6"/>
    <w:rsid w:val="65590675"/>
    <w:rsid w:val="658E4B68"/>
    <w:rsid w:val="659339E5"/>
    <w:rsid w:val="659D4E02"/>
    <w:rsid w:val="65A12770"/>
    <w:rsid w:val="65AD106A"/>
    <w:rsid w:val="65AF4F70"/>
    <w:rsid w:val="65BB78E4"/>
    <w:rsid w:val="65C62121"/>
    <w:rsid w:val="65C93DD1"/>
    <w:rsid w:val="65D44422"/>
    <w:rsid w:val="65D65610"/>
    <w:rsid w:val="65ED15D5"/>
    <w:rsid w:val="65FA015C"/>
    <w:rsid w:val="65FF6711"/>
    <w:rsid w:val="66035B03"/>
    <w:rsid w:val="6605058E"/>
    <w:rsid w:val="661462F7"/>
    <w:rsid w:val="66150AEC"/>
    <w:rsid w:val="663A73E9"/>
    <w:rsid w:val="664C246C"/>
    <w:rsid w:val="666714C9"/>
    <w:rsid w:val="66833198"/>
    <w:rsid w:val="668B5CC3"/>
    <w:rsid w:val="66C919F0"/>
    <w:rsid w:val="66D115BE"/>
    <w:rsid w:val="66D13DA9"/>
    <w:rsid w:val="66D85757"/>
    <w:rsid w:val="66E30E48"/>
    <w:rsid w:val="67010AE3"/>
    <w:rsid w:val="670B1865"/>
    <w:rsid w:val="67136376"/>
    <w:rsid w:val="67251571"/>
    <w:rsid w:val="67322B5A"/>
    <w:rsid w:val="673E3D72"/>
    <w:rsid w:val="6742643A"/>
    <w:rsid w:val="677D0530"/>
    <w:rsid w:val="679021B2"/>
    <w:rsid w:val="6794124F"/>
    <w:rsid w:val="67AA2F7E"/>
    <w:rsid w:val="67B24F6A"/>
    <w:rsid w:val="67C373D8"/>
    <w:rsid w:val="67E4373A"/>
    <w:rsid w:val="68002120"/>
    <w:rsid w:val="680C6E0B"/>
    <w:rsid w:val="680F158B"/>
    <w:rsid w:val="681775B4"/>
    <w:rsid w:val="681A39B2"/>
    <w:rsid w:val="681E2037"/>
    <w:rsid w:val="6839250D"/>
    <w:rsid w:val="683948E7"/>
    <w:rsid w:val="684352D5"/>
    <w:rsid w:val="68762CDF"/>
    <w:rsid w:val="68764F42"/>
    <w:rsid w:val="68773734"/>
    <w:rsid w:val="687B2B4C"/>
    <w:rsid w:val="68853EBD"/>
    <w:rsid w:val="688D7DD5"/>
    <w:rsid w:val="689F0032"/>
    <w:rsid w:val="689F47D3"/>
    <w:rsid w:val="68B67FDA"/>
    <w:rsid w:val="68CE612B"/>
    <w:rsid w:val="68D2013F"/>
    <w:rsid w:val="68E814B4"/>
    <w:rsid w:val="68F91EAB"/>
    <w:rsid w:val="68FA27D2"/>
    <w:rsid w:val="6907197E"/>
    <w:rsid w:val="690D6969"/>
    <w:rsid w:val="69117181"/>
    <w:rsid w:val="69121E3A"/>
    <w:rsid w:val="69154D60"/>
    <w:rsid w:val="691B43A2"/>
    <w:rsid w:val="691F4D9F"/>
    <w:rsid w:val="692676DA"/>
    <w:rsid w:val="694A6DBA"/>
    <w:rsid w:val="695D7D0E"/>
    <w:rsid w:val="69601908"/>
    <w:rsid w:val="69645FA4"/>
    <w:rsid w:val="696C3285"/>
    <w:rsid w:val="69767E6B"/>
    <w:rsid w:val="69780312"/>
    <w:rsid w:val="697B0A9F"/>
    <w:rsid w:val="69851805"/>
    <w:rsid w:val="699954C4"/>
    <w:rsid w:val="699A62E3"/>
    <w:rsid w:val="699D36D6"/>
    <w:rsid w:val="69A00D26"/>
    <w:rsid w:val="69A460E2"/>
    <w:rsid w:val="69B779BF"/>
    <w:rsid w:val="69CD7FDE"/>
    <w:rsid w:val="69CF08EE"/>
    <w:rsid w:val="69D70F29"/>
    <w:rsid w:val="69ED56B6"/>
    <w:rsid w:val="69FB201D"/>
    <w:rsid w:val="6A07214F"/>
    <w:rsid w:val="6A1E150A"/>
    <w:rsid w:val="6A1F25CE"/>
    <w:rsid w:val="6A307103"/>
    <w:rsid w:val="6A3246BA"/>
    <w:rsid w:val="6A560907"/>
    <w:rsid w:val="6A7B4CEF"/>
    <w:rsid w:val="6A8D493E"/>
    <w:rsid w:val="6A9C7E3D"/>
    <w:rsid w:val="6AB13C32"/>
    <w:rsid w:val="6ABE4147"/>
    <w:rsid w:val="6ABE50E7"/>
    <w:rsid w:val="6AC23A28"/>
    <w:rsid w:val="6ACD1443"/>
    <w:rsid w:val="6ADE785B"/>
    <w:rsid w:val="6AE2354A"/>
    <w:rsid w:val="6AEA5216"/>
    <w:rsid w:val="6AF8649D"/>
    <w:rsid w:val="6B080110"/>
    <w:rsid w:val="6B1F10AD"/>
    <w:rsid w:val="6B22477C"/>
    <w:rsid w:val="6B320A31"/>
    <w:rsid w:val="6B491DA4"/>
    <w:rsid w:val="6B4A7F71"/>
    <w:rsid w:val="6B594672"/>
    <w:rsid w:val="6B5D28FD"/>
    <w:rsid w:val="6B5E4D2E"/>
    <w:rsid w:val="6B775DEA"/>
    <w:rsid w:val="6B831CA3"/>
    <w:rsid w:val="6B96511F"/>
    <w:rsid w:val="6BA47F2E"/>
    <w:rsid w:val="6BC43CA8"/>
    <w:rsid w:val="6BD91B10"/>
    <w:rsid w:val="6BE116D3"/>
    <w:rsid w:val="6BF877B1"/>
    <w:rsid w:val="6C013C84"/>
    <w:rsid w:val="6C08693E"/>
    <w:rsid w:val="6C153D23"/>
    <w:rsid w:val="6C262D9A"/>
    <w:rsid w:val="6C2A7865"/>
    <w:rsid w:val="6C35427F"/>
    <w:rsid w:val="6C59217D"/>
    <w:rsid w:val="6C620EF9"/>
    <w:rsid w:val="6C6A54FD"/>
    <w:rsid w:val="6C801317"/>
    <w:rsid w:val="6CAA3EA4"/>
    <w:rsid w:val="6CAB169B"/>
    <w:rsid w:val="6CBA151E"/>
    <w:rsid w:val="6CCB5899"/>
    <w:rsid w:val="6CDF1345"/>
    <w:rsid w:val="6CF6746A"/>
    <w:rsid w:val="6D026FD1"/>
    <w:rsid w:val="6D0F4CEB"/>
    <w:rsid w:val="6D2D03F9"/>
    <w:rsid w:val="6D751BED"/>
    <w:rsid w:val="6D8B304C"/>
    <w:rsid w:val="6D916A0C"/>
    <w:rsid w:val="6D973ED7"/>
    <w:rsid w:val="6D9E588E"/>
    <w:rsid w:val="6DA305C4"/>
    <w:rsid w:val="6DA94262"/>
    <w:rsid w:val="6DAD0DE5"/>
    <w:rsid w:val="6DAE2A69"/>
    <w:rsid w:val="6DB70CB4"/>
    <w:rsid w:val="6DD83087"/>
    <w:rsid w:val="6DDB4C8B"/>
    <w:rsid w:val="6DE36788"/>
    <w:rsid w:val="6E094352"/>
    <w:rsid w:val="6E0A2C2C"/>
    <w:rsid w:val="6E2056EF"/>
    <w:rsid w:val="6E560D78"/>
    <w:rsid w:val="6E5D69C5"/>
    <w:rsid w:val="6E652417"/>
    <w:rsid w:val="6E827CC9"/>
    <w:rsid w:val="6E894460"/>
    <w:rsid w:val="6E92195E"/>
    <w:rsid w:val="6E992E30"/>
    <w:rsid w:val="6EA22E53"/>
    <w:rsid w:val="6EA857B7"/>
    <w:rsid w:val="6EB20D5A"/>
    <w:rsid w:val="6EC20982"/>
    <w:rsid w:val="6EF36DDF"/>
    <w:rsid w:val="6F031BB8"/>
    <w:rsid w:val="6F141779"/>
    <w:rsid w:val="6F147E5D"/>
    <w:rsid w:val="6F3007DA"/>
    <w:rsid w:val="6F345978"/>
    <w:rsid w:val="6F3626B6"/>
    <w:rsid w:val="6F3F40AE"/>
    <w:rsid w:val="6F5D7411"/>
    <w:rsid w:val="6F767281"/>
    <w:rsid w:val="6F815117"/>
    <w:rsid w:val="6FA40B61"/>
    <w:rsid w:val="6FAC7C04"/>
    <w:rsid w:val="6FC010C7"/>
    <w:rsid w:val="6FE0386A"/>
    <w:rsid w:val="6FEE1FCA"/>
    <w:rsid w:val="6FF45107"/>
    <w:rsid w:val="700433F8"/>
    <w:rsid w:val="700A1E44"/>
    <w:rsid w:val="702A2DF0"/>
    <w:rsid w:val="705A19BC"/>
    <w:rsid w:val="70863E5A"/>
    <w:rsid w:val="708B0407"/>
    <w:rsid w:val="708F3F4F"/>
    <w:rsid w:val="709A3F00"/>
    <w:rsid w:val="70CF0C0E"/>
    <w:rsid w:val="70D15D5E"/>
    <w:rsid w:val="70D7294B"/>
    <w:rsid w:val="70F70D76"/>
    <w:rsid w:val="71082A1D"/>
    <w:rsid w:val="71143D27"/>
    <w:rsid w:val="711517D9"/>
    <w:rsid w:val="711A0DDC"/>
    <w:rsid w:val="71302D3F"/>
    <w:rsid w:val="714A76D4"/>
    <w:rsid w:val="714F6A99"/>
    <w:rsid w:val="7170308B"/>
    <w:rsid w:val="718926B9"/>
    <w:rsid w:val="718A2459"/>
    <w:rsid w:val="7198319C"/>
    <w:rsid w:val="719E503F"/>
    <w:rsid w:val="71AC3D91"/>
    <w:rsid w:val="71B06BD0"/>
    <w:rsid w:val="71C4397A"/>
    <w:rsid w:val="71CF1988"/>
    <w:rsid w:val="71E65261"/>
    <w:rsid w:val="71F56CCA"/>
    <w:rsid w:val="71FF0740"/>
    <w:rsid w:val="71FF0BB1"/>
    <w:rsid w:val="72035AD5"/>
    <w:rsid w:val="721D6B97"/>
    <w:rsid w:val="722268D6"/>
    <w:rsid w:val="72364E53"/>
    <w:rsid w:val="724245AC"/>
    <w:rsid w:val="726447C6"/>
    <w:rsid w:val="727366E6"/>
    <w:rsid w:val="727F050B"/>
    <w:rsid w:val="72896FE0"/>
    <w:rsid w:val="728E5F19"/>
    <w:rsid w:val="72B324E3"/>
    <w:rsid w:val="72D57472"/>
    <w:rsid w:val="72D8260B"/>
    <w:rsid w:val="72DF3E4C"/>
    <w:rsid w:val="73013FCC"/>
    <w:rsid w:val="731A4B3E"/>
    <w:rsid w:val="731D2916"/>
    <w:rsid w:val="73245D0B"/>
    <w:rsid w:val="734A59B2"/>
    <w:rsid w:val="73547991"/>
    <w:rsid w:val="736938A6"/>
    <w:rsid w:val="737034B7"/>
    <w:rsid w:val="73797DD0"/>
    <w:rsid w:val="738E6C88"/>
    <w:rsid w:val="739169F9"/>
    <w:rsid w:val="739A46DA"/>
    <w:rsid w:val="73D47531"/>
    <w:rsid w:val="74031DA5"/>
    <w:rsid w:val="740A7083"/>
    <w:rsid w:val="740C0C71"/>
    <w:rsid w:val="74226A95"/>
    <w:rsid w:val="74275A42"/>
    <w:rsid w:val="742D4234"/>
    <w:rsid w:val="743F4CBA"/>
    <w:rsid w:val="745E1EAA"/>
    <w:rsid w:val="746774A9"/>
    <w:rsid w:val="748A000B"/>
    <w:rsid w:val="74912CE1"/>
    <w:rsid w:val="74942EB6"/>
    <w:rsid w:val="749E119A"/>
    <w:rsid w:val="74A356E3"/>
    <w:rsid w:val="74D33EF6"/>
    <w:rsid w:val="74D81279"/>
    <w:rsid w:val="74DF0134"/>
    <w:rsid w:val="754C2500"/>
    <w:rsid w:val="7564358D"/>
    <w:rsid w:val="75660855"/>
    <w:rsid w:val="75790588"/>
    <w:rsid w:val="7579243F"/>
    <w:rsid w:val="7587293D"/>
    <w:rsid w:val="75A17723"/>
    <w:rsid w:val="75A47883"/>
    <w:rsid w:val="75A6234A"/>
    <w:rsid w:val="75A94FB9"/>
    <w:rsid w:val="75B456A9"/>
    <w:rsid w:val="75BA77F7"/>
    <w:rsid w:val="75BC377B"/>
    <w:rsid w:val="75C50AA6"/>
    <w:rsid w:val="75CE3273"/>
    <w:rsid w:val="75D94171"/>
    <w:rsid w:val="75E626A9"/>
    <w:rsid w:val="75EA51DF"/>
    <w:rsid w:val="75F93BCE"/>
    <w:rsid w:val="7607777C"/>
    <w:rsid w:val="760A0EAA"/>
    <w:rsid w:val="762C077C"/>
    <w:rsid w:val="763F6BA9"/>
    <w:rsid w:val="76805946"/>
    <w:rsid w:val="769D4442"/>
    <w:rsid w:val="76AF515A"/>
    <w:rsid w:val="76B61F68"/>
    <w:rsid w:val="76C57E80"/>
    <w:rsid w:val="76CC1292"/>
    <w:rsid w:val="76CF2CE1"/>
    <w:rsid w:val="77210231"/>
    <w:rsid w:val="77383B2B"/>
    <w:rsid w:val="773B637B"/>
    <w:rsid w:val="773D64AD"/>
    <w:rsid w:val="77533270"/>
    <w:rsid w:val="776A1901"/>
    <w:rsid w:val="777703EE"/>
    <w:rsid w:val="779302B0"/>
    <w:rsid w:val="77A31E3D"/>
    <w:rsid w:val="77B70EF4"/>
    <w:rsid w:val="77BC475C"/>
    <w:rsid w:val="77BF7760"/>
    <w:rsid w:val="77C46964"/>
    <w:rsid w:val="77D00208"/>
    <w:rsid w:val="77D14534"/>
    <w:rsid w:val="77DB2827"/>
    <w:rsid w:val="77E2543A"/>
    <w:rsid w:val="77E67618"/>
    <w:rsid w:val="77F167F8"/>
    <w:rsid w:val="78203AD8"/>
    <w:rsid w:val="78496FD5"/>
    <w:rsid w:val="78511348"/>
    <w:rsid w:val="78615D56"/>
    <w:rsid w:val="786404F8"/>
    <w:rsid w:val="78697706"/>
    <w:rsid w:val="78734387"/>
    <w:rsid w:val="78A15077"/>
    <w:rsid w:val="78C83AD2"/>
    <w:rsid w:val="78D77641"/>
    <w:rsid w:val="78DD4E10"/>
    <w:rsid w:val="78F33AF1"/>
    <w:rsid w:val="790B233B"/>
    <w:rsid w:val="790C4639"/>
    <w:rsid w:val="79121892"/>
    <w:rsid w:val="791466FC"/>
    <w:rsid w:val="791B11FD"/>
    <w:rsid w:val="7925799D"/>
    <w:rsid w:val="79392B18"/>
    <w:rsid w:val="794F5012"/>
    <w:rsid w:val="79516F63"/>
    <w:rsid w:val="79565544"/>
    <w:rsid w:val="796432FD"/>
    <w:rsid w:val="796E1666"/>
    <w:rsid w:val="797911D5"/>
    <w:rsid w:val="797A39C8"/>
    <w:rsid w:val="798A5C60"/>
    <w:rsid w:val="79A07515"/>
    <w:rsid w:val="79A3664E"/>
    <w:rsid w:val="79A9103A"/>
    <w:rsid w:val="79A9150E"/>
    <w:rsid w:val="79AB36F9"/>
    <w:rsid w:val="79B33496"/>
    <w:rsid w:val="79C00A58"/>
    <w:rsid w:val="79D20E2A"/>
    <w:rsid w:val="79D27333"/>
    <w:rsid w:val="79DD1D32"/>
    <w:rsid w:val="79E93803"/>
    <w:rsid w:val="79EF06E6"/>
    <w:rsid w:val="7A00729F"/>
    <w:rsid w:val="7A1651D1"/>
    <w:rsid w:val="7A302411"/>
    <w:rsid w:val="7A402138"/>
    <w:rsid w:val="7A7C4F56"/>
    <w:rsid w:val="7A864519"/>
    <w:rsid w:val="7A9102F8"/>
    <w:rsid w:val="7AC15EB2"/>
    <w:rsid w:val="7ACA5466"/>
    <w:rsid w:val="7AD45C10"/>
    <w:rsid w:val="7AF24EBB"/>
    <w:rsid w:val="7B0A6A9B"/>
    <w:rsid w:val="7B0D2818"/>
    <w:rsid w:val="7B123D44"/>
    <w:rsid w:val="7B29556A"/>
    <w:rsid w:val="7B315461"/>
    <w:rsid w:val="7B381B1F"/>
    <w:rsid w:val="7B444776"/>
    <w:rsid w:val="7B4D7F4F"/>
    <w:rsid w:val="7B531250"/>
    <w:rsid w:val="7B752E7A"/>
    <w:rsid w:val="7B947AED"/>
    <w:rsid w:val="7B994E29"/>
    <w:rsid w:val="7BA43E56"/>
    <w:rsid w:val="7BBF3362"/>
    <w:rsid w:val="7BC10FD1"/>
    <w:rsid w:val="7BCA3062"/>
    <w:rsid w:val="7C1654F0"/>
    <w:rsid w:val="7C3351E9"/>
    <w:rsid w:val="7C365871"/>
    <w:rsid w:val="7C4466BB"/>
    <w:rsid w:val="7C552BD0"/>
    <w:rsid w:val="7C60651C"/>
    <w:rsid w:val="7C68464B"/>
    <w:rsid w:val="7C6855B6"/>
    <w:rsid w:val="7C75537B"/>
    <w:rsid w:val="7C7B56C3"/>
    <w:rsid w:val="7C866DDF"/>
    <w:rsid w:val="7C8A57FB"/>
    <w:rsid w:val="7C916683"/>
    <w:rsid w:val="7CA33B0F"/>
    <w:rsid w:val="7CB55BA5"/>
    <w:rsid w:val="7CB82DCD"/>
    <w:rsid w:val="7CB90024"/>
    <w:rsid w:val="7CDD1E20"/>
    <w:rsid w:val="7CE57657"/>
    <w:rsid w:val="7D3E0BCE"/>
    <w:rsid w:val="7D430709"/>
    <w:rsid w:val="7D5770CD"/>
    <w:rsid w:val="7D9A2209"/>
    <w:rsid w:val="7DA56900"/>
    <w:rsid w:val="7DA9460F"/>
    <w:rsid w:val="7DBD3851"/>
    <w:rsid w:val="7DC80B9A"/>
    <w:rsid w:val="7DE03DE0"/>
    <w:rsid w:val="7DE65FBE"/>
    <w:rsid w:val="7DFF6F70"/>
    <w:rsid w:val="7E0230E5"/>
    <w:rsid w:val="7E2461C2"/>
    <w:rsid w:val="7E3B2283"/>
    <w:rsid w:val="7E4E7BB3"/>
    <w:rsid w:val="7E7E3374"/>
    <w:rsid w:val="7E826950"/>
    <w:rsid w:val="7E904003"/>
    <w:rsid w:val="7E9064E4"/>
    <w:rsid w:val="7EB76F44"/>
    <w:rsid w:val="7ED4627F"/>
    <w:rsid w:val="7EE258DC"/>
    <w:rsid w:val="7EE4759A"/>
    <w:rsid w:val="7EE84089"/>
    <w:rsid w:val="7EF73EBA"/>
    <w:rsid w:val="7EFA4422"/>
    <w:rsid w:val="7EFF5CB3"/>
    <w:rsid w:val="7F126204"/>
    <w:rsid w:val="7F1C60C1"/>
    <w:rsid w:val="7F233968"/>
    <w:rsid w:val="7F380338"/>
    <w:rsid w:val="7F564E49"/>
    <w:rsid w:val="7F730597"/>
    <w:rsid w:val="7F7405C7"/>
    <w:rsid w:val="7F7D58EC"/>
    <w:rsid w:val="7F7F75D9"/>
    <w:rsid w:val="7F907957"/>
    <w:rsid w:val="7F9541FE"/>
    <w:rsid w:val="7F9B7217"/>
    <w:rsid w:val="7FA709E5"/>
    <w:rsid w:val="7FBA5A25"/>
    <w:rsid w:val="7FDD28A7"/>
    <w:rsid w:val="7FE74340"/>
    <w:rsid w:val="7FFD7F2F"/>
    <w:rsid w:val="9D4B5CFF"/>
    <w:rsid w:val="BA7B23C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99"/>
    <w:pPr>
      <w:keepNext/>
      <w:keepLines/>
      <w:spacing w:line="576" w:lineRule="auto"/>
      <w:jc w:val="center"/>
      <w:outlineLvl w:val="0"/>
    </w:pPr>
    <w:rPr>
      <w:rFonts w:ascii="Times New Roman" w:hAnsi="Times New Roman"/>
      <w:b/>
      <w:kern w:val="44"/>
      <w:sz w:val="32"/>
    </w:rPr>
  </w:style>
  <w:style w:type="paragraph" w:styleId="4">
    <w:name w:val="heading 2"/>
    <w:basedOn w:val="1"/>
    <w:next w:val="1"/>
    <w:link w:val="47"/>
    <w:qFormat/>
    <w:uiPriority w:val="99"/>
    <w:pPr>
      <w:keepNext/>
      <w:keepLines/>
      <w:spacing w:line="413" w:lineRule="auto"/>
      <w:jc w:val="center"/>
      <w:outlineLvl w:val="1"/>
    </w:pPr>
    <w:rPr>
      <w:rFonts w:ascii="Arial" w:hAnsi="Arial"/>
      <w:b/>
      <w:sz w:val="28"/>
    </w:rPr>
  </w:style>
  <w:style w:type="paragraph" w:styleId="5">
    <w:name w:val="heading 3"/>
    <w:basedOn w:val="1"/>
    <w:next w:val="1"/>
    <w:link w:val="49"/>
    <w:qFormat/>
    <w:uiPriority w:val="99"/>
    <w:pPr>
      <w:keepNext/>
      <w:keepLines/>
      <w:spacing w:line="413" w:lineRule="auto"/>
      <w:outlineLvl w:val="2"/>
    </w:pPr>
    <w:rPr>
      <w:b/>
      <w:sz w:val="28"/>
    </w:rPr>
  </w:style>
  <w:style w:type="paragraph" w:styleId="2">
    <w:name w:val="heading 4"/>
    <w:basedOn w:val="1"/>
    <w:next w:val="1"/>
    <w:qFormat/>
    <w:locked/>
    <w:uiPriority w:val="0"/>
    <w:pPr>
      <w:keepNext/>
      <w:keepLines/>
      <w:jc w:val="left"/>
      <w:outlineLvl w:val="3"/>
    </w:pPr>
    <w:rPr>
      <w:rFonts w:hint="eastAsia" w:ascii="Arial" w:hAnsi="Arial"/>
      <w:b/>
      <w:sz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annotation text"/>
    <w:basedOn w:val="1"/>
    <w:link w:val="42"/>
    <w:qFormat/>
    <w:uiPriority w:val="99"/>
    <w:pPr>
      <w:jc w:val="left"/>
    </w:pPr>
    <w:rPr>
      <w:rFonts w:ascii="宋体"/>
      <w:kern w:val="0"/>
      <w:sz w:val="34"/>
    </w:rPr>
  </w:style>
  <w:style w:type="paragraph" w:styleId="8">
    <w:name w:val="Body Text"/>
    <w:basedOn w:val="1"/>
    <w:next w:val="1"/>
    <w:link w:val="56"/>
    <w:qFormat/>
    <w:uiPriority w:val="99"/>
  </w:style>
  <w:style w:type="paragraph" w:styleId="9">
    <w:name w:val="Body Text Indent"/>
    <w:basedOn w:val="1"/>
    <w:unhideWhenUsed/>
    <w:qFormat/>
    <w:uiPriority w:val="99"/>
    <w:pPr>
      <w:ind w:left="420" w:leftChars="200"/>
    </w:pPr>
  </w:style>
  <w:style w:type="paragraph" w:styleId="10">
    <w:name w:val="toc 3"/>
    <w:basedOn w:val="1"/>
    <w:next w:val="1"/>
    <w:qFormat/>
    <w:uiPriority w:val="99"/>
    <w:pPr>
      <w:ind w:left="840" w:leftChars="400"/>
    </w:pPr>
  </w:style>
  <w:style w:type="paragraph" w:styleId="11">
    <w:name w:val="Plain Text"/>
    <w:basedOn w:val="1"/>
    <w:link w:val="57"/>
    <w:qFormat/>
    <w:uiPriority w:val="99"/>
    <w:pPr>
      <w:spacing w:line="324" w:lineRule="auto"/>
    </w:pPr>
    <w:rPr>
      <w:rFonts w:ascii="宋体" w:hAnsi="Courier New" w:cs="Courier New"/>
      <w:szCs w:val="21"/>
    </w:rPr>
  </w:style>
  <w:style w:type="paragraph" w:styleId="12">
    <w:name w:val="Date"/>
    <w:basedOn w:val="1"/>
    <w:next w:val="1"/>
    <w:unhideWhenUsed/>
    <w:qFormat/>
    <w:uiPriority w:val="99"/>
    <w:rPr>
      <w:rFonts w:ascii="Copperplate Gothic Bold" w:hAnsi="Copperplate Gothic Bold"/>
      <w:sz w:val="32"/>
      <w:szCs w:val="20"/>
    </w:rPr>
  </w:style>
  <w:style w:type="paragraph" w:styleId="13">
    <w:name w:val="Body Text Indent 2"/>
    <w:basedOn w:val="1"/>
    <w:link w:val="58"/>
    <w:qFormat/>
    <w:uiPriority w:val="99"/>
    <w:pPr>
      <w:spacing w:after="120" w:line="480" w:lineRule="auto"/>
      <w:ind w:left="420" w:leftChars="200"/>
    </w:pPr>
  </w:style>
  <w:style w:type="paragraph" w:styleId="14">
    <w:name w:val="Balloon Text"/>
    <w:basedOn w:val="1"/>
    <w:link w:val="38"/>
    <w:qFormat/>
    <w:uiPriority w:val="99"/>
    <w:rPr>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2"/>
    <w:basedOn w:val="1"/>
    <w:link w:val="61"/>
    <w:qFormat/>
    <w:uiPriority w:val="99"/>
    <w:pPr>
      <w:jc w:val="center"/>
    </w:pPr>
    <w:rPr>
      <w:b/>
      <w:spacing w:val="-20"/>
      <w:w w:val="130"/>
      <w:sz w:val="48"/>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45"/>
    <w:unhideWhenUsed/>
    <w:qFormat/>
    <w:uiPriority w:val="99"/>
    <w:rPr>
      <w:rFonts w:ascii="Calibri"/>
      <w:b/>
      <w:bCs/>
      <w:kern w:val="2"/>
      <w:sz w:val="21"/>
    </w:rPr>
  </w:style>
  <w:style w:type="paragraph" w:styleId="22">
    <w:name w:val="Body Text First Indent"/>
    <w:basedOn w:val="8"/>
    <w:unhideWhenUsed/>
    <w:qFormat/>
    <w:uiPriority w:val="99"/>
    <w:pPr>
      <w:ind w:firstLine="420" w:firstLineChars="100"/>
    </w:pPr>
    <w:rPr>
      <w:rFonts w:ascii="Times New Roman" w:hAnsi="Times New Roman"/>
      <w:sz w:val="18"/>
      <w:szCs w:val="18"/>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sz w:val="24"/>
      <w:szCs w:val="24"/>
    </w:rPr>
  </w:style>
  <w:style w:type="character" w:styleId="27">
    <w:name w:val="page number"/>
    <w:basedOn w:val="25"/>
    <w:qFormat/>
    <w:uiPriority w:val="99"/>
    <w:rPr>
      <w:rFonts w:cs="Times New Roman"/>
    </w:rPr>
  </w:style>
  <w:style w:type="character" w:styleId="28">
    <w:name w:val="FollowedHyperlink"/>
    <w:basedOn w:val="25"/>
    <w:unhideWhenUsed/>
    <w:qFormat/>
    <w:uiPriority w:val="99"/>
    <w:rPr>
      <w:rFonts w:hint="eastAsia" w:ascii="宋体" w:hAnsi="宋体" w:eastAsia="宋体" w:cs="宋体"/>
      <w:color w:val="000000"/>
      <w:sz w:val="18"/>
      <w:szCs w:val="18"/>
      <w:u w:val="none"/>
    </w:rPr>
  </w:style>
  <w:style w:type="character" w:styleId="29">
    <w:name w:val="Emphasis"/>
    <w:basedOn w:val="25"/>
    <w:qFormat/>
    <w:uiPriority w:val="99"/>
    <w:rPr>
      <w:rFonts w:cs="Times New Roman"/>
      <w:i/>
      <w:iCs/>
    </w:rPr>
  </w:style>
  <w:style w:type="character" w:styleId="30">
    <w:name w:val="HTML Definition"/>
    <w:basedOn w:val="25"/>
    <w:unhideWhenUsed/>
    <w:qFormat/>
    <w:uiPriority w:val="99"/>
    <w:rPr>
      <w:i/>
    </w:rPr>
  </w:style>
  <w:style w:type="character" w:styleId="31">
    <w:name w:val="Hyperlink"/>
    <w:basedOn w:val="25"/>
    <w:qFormat/>
    <w:uiPriority w:val="99"/>
    <w:rPr>
      <w:rFonts w:cs="Times New Roman"/>
      <w:color w:val="0000FF"/>
      <w:u w:val="single"/>
    </w:rPr>
  </w:style>
  <w:style w:type="character" w:styleId="32">
    <w:name w:val="HTML Code"/>
    <w:basedOn w:val="25"/>
    <w:unhideWhenUsed/>
    <w:qFormat/>
    <w:uiPriority w:val="99"/>
    <w:rPr>
      <w:rFonts w:hint="default" w:ascii="Consolas" w:hAnsi="Consolas" w:eastAsia="Consolas" w:cs="Consolas"/>
      <w:color w:val="C7254E"/>
      <w:sz w:val="21"/>
      <w:szCs w:val="21"/>
      <w:shd w:val="clear" w:color="auto" w:fill="F9F2F4"/>
    </w:rPr>
  </w:style>
  <w:style w:type="character" w:styleId="33">
    <w:name w:val="annotation reference"/>
    <w:basedOn w:val="25"/>
    <w:qFormat/>
    <w:uiPriority w:val="99"/>
    <w:rPr>
      <w:rFonts w:cs="Times New Roman"/>
      <w:sz w:val="21"/>
    </w:rPr>
  </w:style>
  <w:style w:type="character" w:styleId="34">
    <w:name w:val="HTML Cite"/>
    <w:basedOn w:val="25"/>
    <w:qFormat/>
    <w:uiPriority w:val="99"/>
    <w:rPr>
      <w:rFonts w:cs="Times New Roman"/>
      <w:sz w:val="24"/>
      <w:szCs w:val="24"/>
    </w:rPr>
  </w:style>
  <w:style w:type="character" w:styleId="35">
    <w:name w:val="HTML Keyboard"/>
    <w:basedOn w:val="25"/>
    <w:unhideWhenUsed/>
    <w:qFormat/>
    <w:uiPriority w:val="99"/>
    <w:rPr>
      <w:rFonts w:ascii="Consolas" w:hAnsi="Consolas" w:eastAsia="Consolas" w:cs="Consolas"/>
      <w:color w:val="FFFFFF"/>
      <w:sz w:val="21"/>
      <w:szCs w:val="21"/>
      <w:shd w:val="clear" w:color="auto" w:fill="333333"/>
    </w:rPr>
  </w:style>
  <w:style w:type="character" w:styleId="36">
    <w:name w:val="HTML Sample"/>
    <w:basedOn w:val="25"/>
    <w:unhideWhenUsed/>
    <w:qFormat/>
    <w:uiPriority w:val="99"/>
    <w:rPr>
      <w:rFonts w:hint="default" w:ascii="Consolas" w:hAnsi="Consolas" w:eastAsia="Consolas" w:cs="Consolas"/>
      <w:sz w:val="21"/>
      <w:szCs w:val="21"/>
    </w:rPr>
  </w:style>
  <w:style w:type="character" w:customStyle="1" w:styleId="37">
    <w:name w:val="del1"/>
    <w:basedOn w:val="25"/>
    <w:qFormat/>
    <w:uiPriority w:val="99"/>
    <w:rPr>
      <w:rFonts w:cs="Times New Roman"/>
      <w:vanish/>
      <w:color w:val="666666"/>
      <w:sz w:val="18"/>
      <w:szCs w:val="18"/>
      <w:u w:val="single"/>
    </w:rPr>
  </w:style>
  <w:style w:type="character" w:customStyle="1" w:styleId="38">
    <w:name w:val="批注框文本 字符"/>
    <w:basedOn w:val="25"/>
    <w:link w:val="14"/>
    <w:qFormat/>
    <w:locked/>
    <w:uiPriority w:val="99"/>
    <w:rPr>
      <w:rFonts w:ascii="Calibri" w:hAnsi="Calibri" w:eastAsia="宋体" w:cs="Times New Roman"/>
      <w:kern w:val="2"/>
      <w:sz w:val="18"/>
      <w:szCs w:val="18"/>
    </w:rPr>
  </w:style>
  <w:style w:type="character" w:customStyle="1" w:styleId="39">
    <w:name w:val="10"/>
    <w:basedOn w:val="25"/>
    <w:qFormat/>
    <w:uiPriority w:val="99"/>
    <w:rPr>
      <w:rFonts w:ascii="Calibri" w:hAnsi="Calibri" w:cs="Times New Roman"/>
    </w:rPr>
  </w:style>
  <w:style w:type="character" w:customStyle="1" w:styleId="40">
    <w:name w:val="del3"/>
    <w:basedOn w:val="25"/>
    <w:qFormat/>
    <w:uiPriority w:val="99"/>
    <w:rPr>
      <w:rFonts w:cs="Times New Roman"/>
      <w:vanish/>
    </w:rPr>
  </w:style>
  <w:style w:type="character" w:customStyle="1" w:styleId="41">
    <w:name w:val="apple-style-span"/>
    <w:qFormat/>
    <w:uiPriority w:val="99"/>
  </w:style>
  <w:style w:type="character" w:customStyle="1" w:styleId="42">
    <w:name w:val="批注文字 字符"/>
    <w:basedOn w:val="25"/>
    <w:link w:val="7"/>
    <w:qFormat/>
    <w:locked/>
    <w:uiPriority w:val="99"/>
    <w:rPr>
      <w:rFonts w:ascii="宋体" w:hAnsi="Calibri" w:eastAsia="宋体" w:cs="Times New Roman"/>
      <w:sz w:val="22"/>
      <w:szCs w:val="22"/>
    </w:rPr>
  </w:style>
  <w:style w:type="character" w:customStyle="1" w:styleId="43">
    <w:name w:val="页眉 字符"/>
    <w:basedOn w:val="25"/>
    <w:link w:val="16"/>
    <w:semiHidden/>
    <w:qFormat/>
    <w:locked/>
    <w:uiPriority w:val="99"/>
    <w:rPr>
      <w:rFonts w:ascii="Calibri" w:hAnsi="Calibri" w:cs="Times New Roman"/>
      <w:sz w:val="18"/>
      <w:szCs w:val="18"/>
    </w:rPr>
  </w:style>
  <w:style w:type="character" w:customStyle="1" w:styleId="44">
    <w:name w:val="15"/>
    <w:basedOn w:val="25"/>
    <w:qFormat/>
    <w:uiPriority w:val="99"/>
    <w:rPr>
      <w:rFonts w:ascii="Calibri" w:hAnsi="Calibri" w:cs="Times New Roman"/>
      <w:i/>
      <w:iCs/>
    </w:rPr>
  </w:style>
  <w:style w:type="character" w:customStyle="1" w:styleId="45">
    <w:name w:val="批注主题 字符"/>
    <w:basedOn w:val="42"/>
    <w:link w:val="21"/>
    <w:semiHidden/>
    <w:qFormat/>
    <w:uiPriority w:val="99"/>
    <w:rPr>
      <w:rFonts w:ascii="Calibri" w:hAnsi="Calibri" w:eastAsia="宋体" w:cs="Times New Roman"/>
      <w:b/>
      <w:bCs/>
      <w:kern w:val="2"/>
      <w:sz w:val="21"/>
      <w:szCs w:val="22"/>
    </w:rPr>
  </w:style>
  <w:style w:type="character" w:customStyle="1" w:styleId="46">
    <w:name w:val="hour_am"/>
    <w:basedOn w:val="25"/>
    <w:qFormat/>
    <w:uiPriority w:val="0"/>
  </w:style>
  <w:style w:type="character" w:customStyle="1" w:styleId="47">
    <w:name w:val="标题 2 字符"/>
    <w:basedOn w:val="25"/>
    <w:link w:val="4"/>
    <w:semiHidden/>
    <w:qFormat/>
    <w:locked/>
    <w:uiPriority w:val="99"/>
    <w:rPr>
      <w:rFonts w:ascii="Cambria" w:hAnsi="Cambria" w:eastAsia="宋体" w:cs="Times New Roman"/>
      <w:b/>
      <w:bCs/>
      <w:sz w:val="32"/>
      <w:szCs w:val="32"/>
    </w:rPr>
  </w:style>
  <w:style w:type="character" w:customStyle="1" w:styleId="48">
    <w:name w:val="标题 1 Char"/>
    <w:basedOn w:val="25"/>
    <w:qFormat/>
    <w:locked/>
    <w:uiPriority w:val="99"/>
    <w:rPr>
      <w:rFonts w:ascii="Calibri" w:hAnsi="Calibri" w:cs="Times New Roman"/>
      <w:b/>
      <w:bCs/>
      <w:kern w:val="44"/>
      <w:sz w:val="44"/>
      <w:szCs w:val="44"/>
    </w:rPr>
  </w:style>
  <w:style w:type="character" w:customStyle="1" w:styleId="49">
    <w:name w:val="标题 3 字符"/>
    <w:basedOn w:val="25"/>
    <w:link w:val="5"/>
    <w:semiHidden/>
    <w:qFormat/>
    <w:locked/>
    <w:uiPriority w:val="99"/>
    <w:rPr>
      <w:rFonts w:ascii="Calibri" w:hAnsi="Calibri" w:eastAsia="宋体" w:cs="Times New Roman"/>
      <w:b/>
      <w:bCs/>
      <w:sz w:val="28"/>
      <w:szCs w:val="32"/>
    </w:rPr>
  </w:style>
  <w:style w:type="character" w:customStyle="1" w:styleId="50">
    <w:name w:val="font11"/>
    <w:basedOn w:val="25"/>
    <w:qFormat/>
    <w:uiPriority w:val="0"/>
    <w:rPr>
      <w:rFonts w:ascii="Arial" w:hAnsi="Arial" w:cs="Arial"/>
      <w:color w:val="000000"/>
      <w:sz w:val="22"/>
      <w:szCs w:val="22"/>
      <w:u w:val="none"/>
    </w:rPr>
  </w:style>
  <w:style w:type="character" w:customStyle="1" w:styleId="51">
    <w:name w:val="hour_pm"/>
    <w:basedOn w:val="25"/>
    <w:qFormat/>
    <w:uiPriority w:val="0"/>
  </w:style>
  <w:style w:type="character" w:customStyle="1" w:styleId="52">
    <w:name w:val="button"/>
    <w:basedOn w:val="25"/>
    <w:qFormat/>
    <w:uiPriority w:val="0"/>
  </w:style>
  <w:style w:type="character" w:customStyle="1" w:styleId="53">
    <w:name w:val="hover3"/>
    <w:basedOn w:val="25"/>
    <w:qFormat/>
    <w:uiPriority w:val="0"/>
    <w:rPr>
      <w:shd w:val="clear" w:color="auto" w:fill="EEEEEE"/>
    </w:rPr>
  </w:style>
  <w:style w:type="character" w:customStyle="1" w:styleId="54">
    <w:name w:val="标题 1 字符"/>
    <w:basedOn w:val="25"/>
    <w:link w:val="3"/>
    <w:qFormat/>
    <w:locked/>
    <w:uiPriority w:val="99"/>
    <w:rPr>
      <w:rFonts w:ascii="Times New Roman" w:hAnsi="Times New Roman" w:eastAsia="宋体" w:cs="Times New Roman"/>
      <w:b/>
      <w:kern w:val="44"/>
      <w:sz w:val="32"/>
    </w:rPr>
  </w:style>
  <w:style w:type="character" w:customStyle="1" w:styleId="55">
    <w:name w:val="font01"/>
    <w:basedOn w:val="25"/>
    <w:qFormat/>
    <w:uiPriority w:val="0"/>
    <w:rPr>
      <w:rFonts w:hint="eastAsia" w:ascii="宋体" w:hAnsi="宋体" w:eastAsia="宋体" w:cs="宋体"/>
      <w:color w:val="000000"/>
      <w:sz w:val="22"/>
      <w:szCs w:val="22"/>
      <w:u w:val="none"/>
    </w:rPr>
  </w:style>
  <w:style w:type="character" w:customStyle="1" w:styleId="56">
    <w:name w:val="正文文本 字符"/>
    <w:basedOn w:val="25"/>
    <w:link w:val="8"/>
    <w:semiHidden/>
    <w:qFormat/>
    <w:locked/>
    <w:uiPriority w:val="99"/>
    <w:rPr>
      <w:rFonts w:ascii="Calibri" w:hAnsi="Calibri" w:cs="Times New Roman"/>
    </w:rPr>
  </w:style>
  <w:style w:type="character" w:customStyle="1" w:styleId="57">
    <w:name w:val="纯文本 字符"/>
    <w:basedOn w:val="25"/>
    <w:link w:val="11"/>
    <w:semiHidden/>
    <w:qFormat/>
    <w:locked/>
    <w:uiPriority w:val="99"/>
    <w:rPr>
      <w:rFonts w:ascii="宋体" w:hAnsi="Courier New" w:cs="Courier New"/>
      <w:sz w:val="21"/>
      <w:szCs w:val="21"/>
    </w:rPr>
  </w:style>
  <w:style w:type="character" w:customStyle="1" w:styleId="58">
    <w:name w:val="正文文本缩进 2 字符"/>
    <w:basedOn w:val="25"/>
    <w:link w:val="13"/>
    <w:semiHidden/>
    <w:qFormat/>
    <w:locked/>
    <w:uiPriority w:val="99"/>
    <w:rPr>
      <w:rFonts w:ascii="Calibri" w:hAnsi="Calibri" w:cs="Times New Roman"/>
    </w:rPr>
  </w:style>
  <w:style w:type="character" w:customStyle="1" w:styleId="59">
    <w:name w:val="页脚 字符"/>
    <w:basedOn w:val="25"/>
    <w:link w:val="15"/>
    <w:semiHidden/>
    <w:qFormat/>
    <w:locked/>
    <w:uiPriority w:val="99"/>
    <w:rPr>
      <w:rFonts w:ascii="Calibri" w:hAnsi="Calibri" w:cs="Times New Roman"/>
      <w:sz w:val="18"/>
      <w:szCs w:val="18"/>
    </w:rPr>
  </w:style>
  <w:style w:type="character" w:customStyle="1" w:styleId="60">
    <w:name w:val="del"/>
    <w:basedOn w:val="25"/>
    <w:qFormat/>
    <w:uiPriority w:val="99"/>
    <w:rPr>
      <w:rFonts w:cs="Times New Roman"/>
    </w:rPr>
  </w:style>
  <w:style w:type="character" w:customStyle="1" w:styleId="61">
    <w:name w:val="正文文本 2 字符"/>
    <w:basedOn w:val="25"/>
    <w:link w:val="19"/>
    <w:semiHidden/>
    <w:qFormat/>
    <w:locked/>
    <w:uiPriority w:val="99"/>
    <w:rPr>
      <w:rFonts w:ascii="Calibri" w:hAnsi="Calibri" w:cs="Times New Roman"/>
    </w:rPr>
  </w:style>
  <w:style w:type="character" w:customStyle="1" w:styleId="62">
    <w:name w:val="del2"/>
    <w:basedOn w:val="25"/>
    <w:qFormat/>
    <w:uiPriority w:val="99"/>
    <w:rPr>
      <w:rFonts w:cs="Times New Roman"/>
      <w:vanish/>
    </w:rPr>
  </w:style>
  <w:style w:type="character" w:customStyle="1" w:styleId="63">
    <w:name w:val="tmpztreemove_arrow"/>
    <w:basedOn w:val="25"/>
    <w:qFormat/>
    <w:uiPriority w:val="0"/>
    <w:rPr>
      <w:shd w:val="clear" w:color="auto" w:fill="FFFFFF"/>
    </w:rPr>
  </w:style>
  <w:style w:type="character" w:customStyle="1" w:styleId="64">
    <w:name w:val="old"/>
    <w:basedOn w:val="25"/>
    <w:qFormat/>
    <w:uiPriority w:val="0"/>
    <w:rPr>
      <w:color w:val="999999"/>
    </w:rPr>
  </w:style>
  <w:style w:type="character" w:customStyle="1" w:styleId="65">
    <w:name w:val="glyphicon4"/>
    <w:basedOn w:val="25"/>
    <w:qFormat/>
    <w:uiPriority w:val="0"/>
  </w:style>
  <w:style w:type="paragraph" w:styleId="66">
    <w:name w:val="List Paragraph"/>
    <w:basedOn w:val="1"/>
    <w:qFormat/>
    <w:uiPriority w:val="99"/>
    <w:pPr>
      <w:ind w:firstLine="420" w:firstLineChars="200"/>
    </w:pPr>
  </w:style>
  <w:style w:type="paragraph" w:customStyle="1" w:styleId="67">
    <w:name w:val="正文缩进1"/>
    <w:basedOn w:val="1"/>
    <w:qFormat/>
    <w:uiPriority w:val="0"/>
    <w:pPr>
      <w:ind w:firstLine="420" w:firstLineChars="200"/>
    </w:pPr>
  </w:style>
  <w:style w:type="paragraph" w:customStyle="1" w:styleId="68">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69">
    <w:name w:val="列出段落2"/>
    <w:basedOn w:val="1"/>
    <w:qFormat/>
    <w:uiPriority w:val="99"/>
    <w:pPr>
      <w:ind w:firstLine="420" w:firstLineChars="200"/>
    </w:pPr>
  </w:style>
  <w:style w:type="paragraph" w:customStyle="1" w:styleId="70">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71">
    <w:name w:val="Char2 Char Char Char"/>
    <w:basedOn w:val="1"/>
    <w:qFormat/>
    <w:uiPriority w:val="99"/>
    <w:rPr>
      <w:rFonts w:ascii="Tahoma" w:hAnsi="Tahoma"/>
      <w:sz w:val="24"/>
      <w:szCs w:val="20"/>
    </w:rPr>
  </w:style>
  <w:style w:type="paragraph" w:customStyle="1" w:styleId="72">
    <w:name w:val="列出段落1"/>
    <w:basedOn w:val="1"/>
    <w:qFormat/>
    <w:uiPriority w:val="99"/>
    <w:pPr>
      <w:ind w:firstLine="420" w:firstLineChars="200"/>
    </w:pPr>
  </w:style>
  <w:style w:type="paragraph" w:customStyle="1" w:styleId="73">
    <w:name w:val="_Style 4"/>
    <w:basedOn w:val="1"/>
    <w:qFormat/>
    <w:uiPriority w:val="99"/>
    <w:pPr>
      <w:ind w:firstLine="420" w:firstLineChars="200"/>
    </w:pPr>
  </w:style>
  <w:style w:type="paragraph" w:customStyle="1" w:styleId="74">
    <w:name w:val="_Style 2"/>
    <w:basedOn w:val="1"/>
    <w:qFormat/>
    <w:uiPriority w:val="99"/>
    <w:pPr>
      <w:ind w:firstLine="420" w:firstLineChars="200"/>
    </w:pPr>
  </w:style>
  <w:style w:type="paragraph" w:customStyle="1" w:styleId="75">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正文"/>
    <w:qFormat/>
    <w:uiPriority w:val="0"/>
    <w:pPr>
      <w:ind w:firstLine="560" w:firstLineChars="200"/>
    </w:pPr>
    <w:rPr>
      <w:rFonts w:ascii="仿宋_GB2312" w:hAnsi="Calibri" w:eastAsia="仿宋_GB2312" w:cs="Times New Roman"/>
      <w:kern w:val="2"/>
      <w:sz w:val="28"/>
      <w:szCs w:val="28"/>
      <w:lang w:val="en-US" w:eastAsia="zh-CN" w:bidi="ar-SA"/>
    </w:rPr>
  </w:style>
  <w:style w:type="paragraph" w:customStyle="1" w:styleId="77">
    <w:name w:val="Table Paragraph"/>
    <w:basedOn w:val="1"/>
    <w:qFormat/>
    <w:uiPriority w:val="1"/>
    <w:pPr>
      <w:autoSpaceDE w:val="0"/>
      <w:autoSpaceDN w:val="0"/>
      <w:adjustRightInd w:val="0"/>
      <w:jc w:val="left"/>
    </w:pPr>
    <w:rPr>
      <w:rFonts w:ascii="Times New Roman" w:hAnsi="Times New Roman"/>
      <w:kern w:val="0"/>
      <w:sz w:val="24"/>
      <w:szCs w:val="24"/>
    </w:rPr>
  </w:style>
  <w:style w:type="table" w:customStyle="1" w:styleId="78">
    <w:name w:val="网格型1"/>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Body text|1"/>
    <w:basedOn w:val="1"/>
    <w:qFormat/>
    <w:uiPriority w:val="0"/>
    <w:pPr>
      <w:spacing w:line="444" w:lineRule="auto"/>
      <w:ind w:firstLine="400"/>
    </w:pPr>
    <w:rPr>
      <w:rFonts w:ascii="宋体" w:hAnsi="宋体" w:cs="宋体"/>
      <w:sz w:val="22"/>
      <w:lang w:val="zh-TW" w:eastAsia="zh-TW" w:bidi="zh-TW"/>
    </w:rPr>
  </w:style>
  <w:style w:type="paragraph" w:customStyle="1" w:styleId="80">
    <w:name w:val="Heading #1|1"/>
    <w:basedOn w:val="1"/>
    <w:qFormat/>
    <w:uiPriority w:val="0"/>
    <w:pPr>
      <w:spacing w:after="320" w:line="471" w:lineRule="exact"/>
      <w:outlineLvl w:val="0"/>
    </w:pPr>
    <w:rPr>
      <w:rFonts w:ascii="宋体" w:hAnsi="宋体" w:cs="宋体"/>
      <w:b/>
      <w:bCs/>
      <w:sz w:val="22"/>
      <w:lang w:val="zh-TW" w:eastAsia="zh-TW" w:bidi="zh-TW"/>
    </w:rPr>
  </w:style>
  <w:style w:type="paragraph" w:customStyle="1" w:styleId="81">
    <w:name w:val="Heading #3|1"/>
    <w:basedOn w:val="1"/>
    <w:qFormat/>
    <w:uiPriority w:val="0"/>
    <w:pPr>
      <w:spacing w:after="160" w:line="473" w:lineRule="exact"/>
      <w:ind w:firstLine="460"/>
      <w:outlineLvl w:val="2"/>
    </w:pPr>
    <w:rPr>
      <w:rFonts w:ascii="宋体" w:hAnsi="宋体" w:cs="宋体"/>
      <w:b/>
      <w:bCs/>
      <w:sz w:val="22"/>
      <w:lang w:val="zh-TW" w:eastAsia="zh-TW" w:bidi="zh-TW"/>
    </w:rPr>
  </w:style>
  <w:style w:type="paragraph" w:customStyle="1" w:styleId="8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4836</Words>
  <Characters>27570</Characters>
  <Lines>229</Lines>
  <Paragraphs>64</Paragraphs>
  <TotalTime>1</TotalTime>
  <ScaleCrop>false</ScaleCrop>
  <LinksUpToDate>false</LinksUpToDate>
  <CharactersWithSpaces>32342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2022-12-29T08:57:00Z</dcterms:created>
  <dc:creator>Administrator</dc:creator>
  <cp:lastModifiedBy>许芳芳</cp:lastModifiedBy>
  <cp:lastPrinted>2020-09-04T16:40:00Z</cp:lastPrinted>
  <dcterms:modified xsi:type="dcterms:W3CDTF">2023-03-20T03:12:31Z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997A039FCCEE43DDA5C25B0CB7DD43E1</vt:lpwstr>
  </property>
</Properties>
</file>