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880" w:leftChars="2800"/>
        <w:jc w:val="right"/>
        <w:rPr>
          <w:rStyle w:val="31"/>
          <w:rFonts w:hint="eastAsia" w:ascii="宋体" w:hAnsi="宋体" w:eastAsia="宋体" w:cs="宋体"/>
          <w:b/>
          <w:color w:val="auto"/>
          <w:sz w:val="44"/>
          <w:szCs w:val="44"/>
          <w:highlight w:val="none"/>
        </w:rPr>
      </w:pPr>
      <w:r>
        <w:rPr>
          <w:rStyle w:val="31"/>
          <w:rFonts w:hint="eastAsia" w:ascii="宋体" w:hAnsi="宋体" w:eastAsia="宋体" w:cs="宋体"/>
          <w:color w:val="auto"/>
          <w:sz w:val="21"/>
          <w:highlight w:val="none"/>
        </w:rPr>
        <w:drawing>
          <wp:inline distT="0" distB="0" distL="114300" distR="114300">
            <wp:extent cx="935990" cy="935990"/>
            <wp:effectExtent l="0" t="0" r="889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935990" cy="935990"/>
                    </a:xfrm>
                    <a:prstGeom prst="rect">
                      <a:avLst/>
                    </a:prstGeom>
                    <a:noFill/>
                    <a:ln>
                      <a:noFill/>
                    </a:ln>
                  </pic:spPr>
                </pic:pic>
              </a:graphicData>
            </a:graphic>
          </wp:inline>
        </w:drawing>
      </w:r>
    </w:p>
    <w:p>
      <w:pPr>
        <w:jc w:val="center"/>
        <w:rPr>
          <w:rStyle w:val="31"/>
          <w:rFonts w:hint="eastAsia" w:ascii="宋体" w:hAnsi="宋体" w:eastAsia="宋体" w:cs="宋体"/>
          <w:b/>
          <w:color w:val="auto"/>
          <w:sz w:val="44"/>
          <w:szCs w:val="44"/>
          <w:highlight w:val="none"/>
        </w:rPr>
      </w:pPr>
    </w:p>
    <w:p>
      <w:pPr>
        <w:jc w:val="center"/>
        <w:rPr>
          <w:rStyle w:val="31"/>
          <w:rFonts w:hint="eastAsia" w:ascii="宋体" w:hAnsi="宋体" w:eastAsia="宋体" w:cs="宋体"/>
          <w:b/>
          <w:color w:val="auto"/>
          <w:sz w:val="44"/>
          <w:szCs w:val="44"/>
          <w:highlight w:val="none"/>
        </w:rPr>
      </w:pPr>
      <w:r>
        <w:rPr>
          <w:rStyle w:val="31"/>
          <w:rFonts w:hint="eastAsia" w:ascii="宋体" w:hAnsi="宋体" w:eastAsia="宋体" w:cs="宋体"/>
          <w:b/>
          <w:color w:val="auto"/>
          <w:sz w:val="44"/>
          <w:szCs w:val="44"/>
          <w:highlight w:val="none"/>
        </w:rPr>
        <w:t>政府采购服务项目</w:t>
      </w: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p>
      <w:pPr>
        <w:jc w:val="center"/>
        <w:rPr>
          <w:rStyle w:val="31"/>
          <w:rFonts w:hint="eastAsia" w:ascii="宋体" w:hAnsi="宋体" w:eastAsia="宋体" w:cs="宋体"/>
          <w:b/>
          <w:color w:val="auto"/>
          <w:sz w:val="84"/>
          <w:szCs w:val="84"/>
          <w:highlight w:val="none"/>
        </w:rPr>
      </w:pPr>
      <w:r>
        <w:rPr>
          <w:rStyle w:val="31"/>
          <w:rFonts w:hint="eastAsia" w:ascii="宋体" w:hAnsi="宋体" w:eastAsia="宋体" w:cs="宋体"/>
          <w:b/>
          <w:color w:val="auto"/>
          <w:sz w:val="84"/>
          <w:szCs w:val="84"/>
          <w:highlight w:val="none"/>
        </w:rPr>
        <w:t>竞争性磋商文件</w:t>
      </w: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tbl>
      <w:tblPr>
        <w:tblStyle w:val="20"/>
        <w:tblW w:w="0" w:type="auto"/>
        <w:jc w:val="center"/>
        <w:tblLayout w:type="fixed"/>
        <w:tblCellMar>
          <w:top w:w="0" w:type="dxa"/>
          <w:left w:w="108" w:type="dxa"/>
          <w:bottom w:w="0" w:type="dxa"/>
          <w:right w:w="108" w:type="dxa"/>
        </w:tblCellMar>
      </w:tblPr>
      <w:tblGrid>
        <w:gridCol w:w="1856"/>
        <w:gridCol w:w="5580"/>
      </w:tblGrid>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项目名称：</w:t>
            </w:r>
          </w:p>
        </w:tc>
        <w:tc>
          <w:tcPr>
            <w:tcW w:w="5580" w:type="dxa"/>
            <w:tcBorders>
              <w:top w:val="nil"/>
              <w:left w:val="nil"/>
              <w:bottom w:val="nil"/>
              <w:right w:val="nil"/>
            </w:tcBorders>
            <w:vAlign w:val="center"/>
          </w:tcPr>
          <w:p>
            <w:pPr>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西安市公安局交通警察支队</w:t>
            </w:r>
            <w:r>
              <w:rPr>
                <w:rFonts w:hint="eastAsia" w:ascii="宋体" w:hAnsi="宋体" w:eastAsia="宋体" w:cs="宋体"/>
                <w:b/>
                <w:color w:val="auto"/>
                <w:kern w:val="0"/>
                <w:sz w:val="32"/>
                <w:szCs w:val="32"/>
                <w:highlight w:val="none"/>
                <w:lang w:eastAsia="zh-CN"/>
              </w:rPr>
              <w:t>政治处辅警健康体检</w:t>
            </w:r>
          </w:p>
        </w:tc>
      </w:tr>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项目编号：</w:t>
            </w:r>
          </w:p>
        </w:tc>
        <w:tc>
          <w:tcPr>
            <w:tcW w:w="5580" w:type="dxa"/>
            <w:tcBorders>
              <w:top w:val="nil"/>
              <w:left w:val="nil"/>
              <w:bottom w:val="nil"/>
              <w:right w:val="nil"/>
            </w:tcBorders>
            <w:vAlign w:val="center"/>
          </w:tcPr>
          <w:p>
            <w:pPr>
              <w:jc w:val="left"/>
              <w:rPr>
                <w:rFonts w:hint="eastAsia" w:ascii="宋体" w:hAnsi="宋体" w:eastAsia="宋体" w:cs="宋体"/>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0</w:t>
            </w:r>
            <w:r>
              <w:rPr>
                <w:rFonts w:hint="eastAsia" w:ascii="宋体" w:hAnsi="宋体" w:eastAsia="宋体" w:cs="宋体"/>
                <w:b/>
                <w:color w:val="auto"/>
                <w:kern w:val="0"/>
                <w:sz w:val="32"/>
                <w:szCs w:val="32"/>
                <w:highlight w:val="none"/>
              </w:rPr>
              <w:t>617-2</w:t>
            </w:r>
            <w:r>
              <w:rPr>
                <w:rFonts w:hint="eastAsia" w:ascii="宋体" w:hAnsi="宋体" w:eastAsia="宋体" w:cs="宋体"/>
                <w:b/>
                <w:color w:val="auto"/>
                <w:kern w:val="0"/>
                <w:sz w:val="32"/>
                <w:szCs w:val="32"/>
                <w:highlight w:val="none"/>
                <w:lang w:val="en-US" w:eastAsia="zh-CN"/>
              </w:rPr>
              <w:t>3</w:t>
            </w:r>
            <w:r>
              <w:rPr>
                <w:rFonts w:hint="eastAsia" w:ascii="宋体" w:hAnsi="宋体" w:eastAsia="宋体" w:cs="宋体"/>
                <w:b/>
                <w:color w:val="auto"/>
                <w:kern w:val="0"/>
                <w:sz w:val="32"/>
                <w:szCs w:val="32"/>
                <w:highlight w:val="none"/>
              </w:rPr>
              <w:t>23FZ</w:t>
            </w:r>
            <w:r>
              <w:rPr>
                <w:rFonts w:hint="eastAsia" w:ascii="宋体" w:hAnsi="宋体" w:eastAsia="宋体" w:cs="宋体"/>
                <w:b/>
                <w:color w:val="auto"/>
                <w:kern w:val="0"/>
                <w:sz w:val="32"/>
                <w:szCs w:val="32"/>
                <w:highlight w:val="none"/>
                <w:lang w:val="en-US" w:eastAsia="zh-CN"/>
              </w:rPr>
              <w:t>0631</w:t>
            </w:r>
          </w:p>
        </w:tc>
      </w:tr>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政采编号：</w:t>
            </w:r>
          </w:p>
        </w:tc>
        <w:tc>
          <w:tcPr>
            <w:tcW w:w="5580" w:type="dxa"/>
            <w:tcBorders>
              <w:top w:val="nil"/>
              <w:left w:val="nil"/>
              <w:bottom w:val="nil"/>
              <w:right w:val="nil"/>
            </w:tcBorders>
            <w:vAlign w:val="center"/>
          </w:tcPr>
          <w:p>
            <w:pP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政采-西安市-202</w:t>
            </w:r>
            <w:r>
              <w:rPr>
                <w:rFonts w:hint="eastAsia" w:ascii="宋体" w:hAnsi="宋体" w:eastAsia="宋体" w:cs="宋体"/>
                <w:b/>
                <w:color w:val="auto"/>
                <w:kern w:val="0"/>
                <w:sz w:val="32"/>
                <w:szCs w:val="32"/>
                <w:highlight w:val="none"/>
                <w:lang w:val="en-US" w:eastAsia="zh-CN"/>
              </w:rPr>
              <w:t>3</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00701</w:t>
            </w:r>
          </w:p>
        </w:tc>
      </w:tr>
      <w:tr>
        <w:tblPrEx>
          <w:tblCellMar>
            <w:top w:w="0" w:type="dxa"/>
            <w:left w:w="108" w:type="dxa"/>
            <w:bottom w:w="0" w:type="dxa"/>
            <w:right w:w="108" w:type="dxa"/>
          </w:tblCellMar>
        </w:tblPrEx>
        <w:trPr>
          <w:trHeight w:val="703" w:hRule="atLeast"/>
          <w:jc w:val="center"/>
        </w:trPr>
        <w:tc>
          <w:tcPr>
            <w:tcW w:w="1856" w:type="dxa"/>
            <w:tcBorders>
              <w:top w:val="nil"/>
              <w:left w:val="nil"/>
              <w:bottom w:val="nil"/>
              <w:right w:val="nil"/>
            </w:tcBorders>
            <w:vAlign w:val="center"/>
          </w:tcPr>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采购内容：</w:t>
            </w:r>
          </w:p>
        </w:tc>
        <w:tc>
          <w:tcPr>
            <w:tcW w:w="5580" w:type="dxa"/>
            <w:tcBorders>
              <w:top w:val="nil"/>
              <w:left w:val="nil"/>
              <w:bottom w:val="nil"/>
              <w:right w:val="nil"/>
            </w:tcBorders>
            <w:vAlign w:val="center"/>
          </w:tcPr>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政治处辅警健康体检</w:t>
            </w:r>
          </w:p>
        </w:tc>
      </w:tr>
    </w:tbl>
    <w:p>
      <w:pPr>
        <w:widowControl w:val="0"/>
        <w:spacing w:line="360" w:lineRule="auto"/>
        <w:textAlignment w:val="auto"/>
        <w:rPr>
          <w:rFonts w:hint="eastAsia" w:ascii="宋体" w:hAnsi="宋体" w:eastAsia="宋体" w:cs="宋体"/>
          <w:color w:val="auto"/>
          <w:sz w:val="32"/>
          <w:szCs w:val="32"/>
          <w:highlight w:val="none"/>
        </w:rPr>
      </w:pPr>
    </w:p>
    <w:p>
      <w:pPr>
        <w:pStyle w:val="10"/>
        <w:ind w:left="0" w:leftChars="0" w:firstLine="0" w:firstLineChars="0"/>
        <w:jc w:val="left"/>
        <w:rPr>
          <w:rFonts w:hint="eastAsia" w:ascii="宋体" w:hAnsi="宋体" w:eastAsia="宋体" w:cs="宋体"/>
          <w:color w:val="auto"/>
          <w:highlight w:val="none"/>
        </w:rPr>
      </w:pPr>
    </w:p>
    <w:p>
      <w:pPr>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西北（陕西）国际招标有限公司</w:t>
      </w:r>
    </w:p>
    <w:p>
      <w:pPr>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二〇二</w:t>
      </w:r>
      <w:r>
        <w:rPr>
          <w:rStyle w:val="31"/>
          <w:rFonts w:hint="eastAsia" w:ascii="宋体" w:hAnsi="宋体" w:eastAsia="宋体" w:cs="宋体"/>
          <w:b/>
          <w:bCs/>
          <w:color w:val="auto"/>
          <w:sz w:val="32"/>
          <w:szCs w:val="32"/>
          <w:highlight w:val="none"/>
          <w:lang w:val="en-US" w:eastAsia="zh-CN"/>
        </w:rPr>
        <w:t>三</w:t>
      </w:r>
      <w:r>
        <w:rPr>
          <w:rStyle w:val="31"/>
          <w:rFonts w:hint="eastAsia" w:ascii="宋体" w:hAnsi="宋体" w:eastAsia="宋体" w:cs="宋体"/>
          <w:b/>
          <w:bCs/>
          <w:color w:val="auto"/>
          <w:sz w:val="32"/>
          <w:szCs w:val="32"/>
          <w:highlight w:val="none"/>
        </w:rPr>
        <w:t>年</w:t>
      </w:r>
      <w:r>
        <w:rPr>
          <w:rStyle w:val="31"/>
          <w:rFonts w:hint="eastAsia" w:ascii="宋体" w:hAnsi="宋体" w:eastAsia="宋体" w:cs="宋体"/>
          <w:b/>
          <w:bCs/>
          <w:color w:val="auto"/>
          <w:sz w:val="32"/>
          <w:szCs w:val="32"/>
          <w:highlight w:val="none"/>
          <w:lang w:val="en-US" w:eastAsia="zh-CN"/>
        </w:rPr>
        <w:t>四</w:t>
      </w:r>
      <w:r>
        <w:rPr>
          <w:rStyle w:val="31"/>
          <w:rFonts w:hint="eastAsia" w:ascii="宋体" w:hAnsi="宋体" w:eastAsia="宋体" w:cs="宋体"/>
          <w:b/>
          <w:bCs/>
          <w:color w:val="auto"/>
          <w:sz w:val="32"/>
          <w:szCs w:val="32"/>
          <w:highlight w:val="none"/>
        </w:rPr>
        <w:t>月</w:t>
      </w:r>
    </w:p>
    <w:p>
      <w:pPr>
        <w:pStyle w:val="10"/>
        <w:rPr>
          <w:rStyle w:val="31"/>
          <w:rFonts w:hint="eastAsia" w:ascii="宋体" w:hAnsi="宋体" w:eastAsia="宋体" w:cs="宋体"/>
          <w:b/>
          <w:bCs/>
          <w:color w:val="auto"/>
          <w:sz w:val="30"/>
          <w:szCs w:val="30"/>
          <w:highlight w:val="none"/>
        </w:rPr>
      </w:pPr>
    </w:p>
    <w:p>
      <w:pPr>
        <w:pStyle w:val="10"/>
        <w:rPr>
          <w:rStyle w:val="31"/>
          <w:rFonts w:hint="eastAsia" w:ascii="宋体" w:hAnsi="宋体" w:eastAsia="宋体" w:cs="宋体"/>
          <w:b/>
          <w:bCs/>
          <w:color w:val="auto"/>
          <w:sz w:val="30"/>
          <w:szCs w:val="30"/>
          <w:highlight w:val="none"/>
        </w:rPr>
        <w:sectPr>
          <w:headerReference r:id="rId4" w:type="first"/>
          <w:headerReference r:id="rId3" w:type="default"/>
          <w:footerReference r:id="rId5" w:type="default"/>
          <w:footerReference r:id="rId6" w:type="even"/>
          <w:pgSz w:w="11906" w:h="16838"/>
          <w:pgMar w:top="1418" w:right="1418" w:bottom="1418" w:left="1588" w:header="851" w:footer="992" w:gutter="0"/>
          <w:pgBorders>
            <w:top w:val="none" w:sz="0" w:space="0"/>
            <w:left w:val="none" w:sz="0" w:space="0"/>
            <w:bottom w:val="none" w:sz="0" w:space="0"/>
            <w:right w:val="none" w:sz="0" w:space="0"/>
          </w:pgBorders>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8" w:beforeLines="100" w:after="635" w:afterLines="200" w:line="360" w:lineRule="auto"/>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lang w:val="en-US" w:eastAsia="zh-CN"/>
        </w:rPr>
      </w:pPr>
      <w:r>
        <w:rPr>
          <w:rStyle w:val="31"/>
          <w:rFonts w:hint="eastAsia" w:ascii="宋体" w:hAnsi="宋体" w:eastAsia="宋体" w:cs="宋体"/>
          <w:color w:val="auto"/>
          <w:highlight w:val="none"/>
        </w:rPr>
        <w:fldChar w:fldCharType="begin"/>
      </w:r>
      <w:r>
        <w:rPr>
          <w:rStyle w:val="31"/>
          <w:rFonts w:hint="eastAsia" w:ascii="宋体" w:hAnsi="宋体" w:eastAsia="宋体" w:cs="宋体"/>
          <w:b/>
          <w:bCs/>
          <w:color w:val="auto"/>
          <w:highlight w:val="none"/>
        </w:rPr>
        <w:instrText xml:space="preserve">TOC \o "1-2" \h \u </w:instrText>
      </w:r>
      <w:r>
        <w:rPr>
          <w:rStyle w:val="31"/>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"_Toc32306"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 w:val="24"/>
          <w:szCs w:val="24"/>
          <w:highlight w:val="none"/>
        </w:rPr>
        <w:t>第一章 磋商邀请书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1</w:t>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"_Toc7182" </w:instrText>
      </w:r>
      <w:r>
        <w:rPr>
          <w:rFonts w:hint="eastAsia" w:ascii="宋体" w:hAnsi="宋体" w:eastAsia="宋体" w:cs="宋体"/>
          <w:color w:val="auto"/>
          <w:highlight w:val="none"/>
        </w:rPr>
        <w:fldChar w:fldCharType="separate"/>
      </w:r>
      <w:r>
        <w:rPr>
          <w:rFonts w:hint="eastAsia" w:ascii="宋体" w:hAnsi="宋体" w:eastAsia="宋体" w:cs="宋体"/>
          <w:b/>
          <w:bCs/>
          <w:color w:val="auto"/>
          <w:kern w:val="0"/>
          <w:sz w:val="24"/>
          <w:szCs w:val="24"/>
          <w:highlight w:val="none"/>
        </w:rPr>
        <w:t>第二章 磋商须知及前附表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_Toc7182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"_Toc10845"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磋商须知前附表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_Toc10845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一、总则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_Toc1706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"_Toc11313"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二、磋商文件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_Toc11313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"_Toc24566"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三、磋商响应文件的编制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_Toc24566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四、磋商响应文件的递交</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_Toc27012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"_Toc26741"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五、磋商与评审</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_Toc26741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"_Toc14917"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六、确定成交人、成交通知与签约</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"_Toc13468"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第三章 合同条款及要求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_Toc13468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第四章 磋商内容及服务要求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_Toc9012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"_Toc30662"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第五章 评审方法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_Toc30662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2"/>
        <w:keepNext w:val="0"/>
        <w:keepLines w:val="0"/>
        <w:pageBreakBefore w:val="0"/>
        <w:widowControl/>
        <w:tabs>
          <w:tab w:val="right" w:leader="dot" w:pos="8900"/>
        </w:tabs>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"_Toc17147"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szCs w:val="24"/>
          <w:highlight w:val="none"/>
        </w:rPr>
        <w:t>第六章 磋商响应文件格式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_Toc17147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39</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pPr>
        <w:pStyle w:val="17"/>
        <w:tabs>
          <w:tab w:val="right" w:leader="dot" w:pos="8890"/>
        </w:tabs>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fldChar w:fldCharType="end"/>
      </w:r>
    </w:p>
    <w:p>
      <w:pPr>
        <w:pStyle w:val="75"/>
        <w:tabs>
          <w:tab w:val="right" w:leader="dot" w:pos="8600"/>
        </w:tabs>
        <w:spacing w:line="400" w:lineRule="exact"/>
        <w:ind w:left="0" w:leftChars="0" w:firstLine="0" w:firstLineChars="0"/>
        <w:rPr>
          <w:rFonts w:hint="eastAsia" w:ascii="宋体" w:hAnsi="宋体" w:eastAsia="宋体" w:cs="宋体"/>
          <w:color w:val="auto"/>
          <w:highlight w:val="none"/>
        </w:rPr>
        <w:sectPr>
          <w:footerReference r:id="rId7" w:type="default"/>
          <w:footerReference r:id="rId8" w:type="even"/>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7" w:charSpace="0"/>
        </w:sectPr>
      </w:pP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Cs/>
          <w:color w:val="auto"/>
          <w:kern w:val="0"/>
          <w:sz w:val="32"/>
          <w:szCs w:val="32"/>
          <w:highlight w:val="none"/>
        </w:rPr>
      </w:pPr>
      <w:bookmarkStart w:id="0" w:name="_Toc727"/>
      <w:bookmarkStart w:id="1" w:name="_Toc3545"/>
      <w:bookmarkStart w:id="2" w:name="_Toc32306"/>
      <w:r>
        <w:rPr>
          <w:rFonts w:hint="eastAsia" w:ascii="宋体" w:hAnsi="宋体" w:eastAsia="宋体" w:cs="宋体"/>
          <w:bCs/>
          <w:color w:val="auto"/>
          <w:kern w:val="0"/>
          <w:sz w:val="32"/>
          <w:szCs w:val="32"/>
          <w:highlight w:val="none"/>
        </w:rPr>
        <w:t>第一章 磋商邀请书</w:t>
      </w:r>
      <w:bookmarkEnd w:id="0"/>
      <w:bookmarkEnd w:id="1"/>
      <w:bookmarkEnd w:id="2"/>
    </w:p>
    <w:tbl>
      <w:tblPr>
        <w:tblStyle w:val="20"/>
        <w:tblW w:w="0" w:type="auto"/>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07" w:type="dxa"/>
          </w:tcPr>
          <w:p>
            <w:pPr>
              <w:pStyle w:val="6"/>
              <w:spacing w:line="360" w:lineRule="auto"/>
              <w:rPr>
                <w:rFonts w:hint="eastAsia" w:ascii="宋体" w:hAnsi="宋体" w:eastAsia="宋体" w:cs="宋体"/>
                <w:b w:val="0"/>
                <w:color w:val="auto"/>
                <w:kern w:val="0"/>
                <w:sz w:val="21"/>
                <w:szCs w:val="21"/>
                <w:highlight w:val="none"/>
              </w:rPr>
            </w:pPr>
            <w:r>
              <w:rPr>
                <w:rStyle w:val="23"/>
                <w:rFonts w:hint="eastAsia" w:ascii="宋体" w:hAnsi="宋体" w:eastAsia="宋体" w:cs="宋体"/>
                <w:b/>
                <w:color w:val="auto"/>
                <w:szCs w:val="21"/>
                <w:highlight w:val="none"/>
              </w:rPr>
              <w:t>项目概况</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政治处辅警健康体检</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西安市南二环西段58号成长大厦10层标书发售处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持单位介绍信及授权代表身份证原件及复印件登记</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获取采购文件，并于202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时30分（北京时间）前提交响应文件。</w:t>
            </w:r>
          </w:p>
        </w:tc>
      </w:tr>
    </w:tbl>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bookmarkStart w:id="3" w:name="_Hlk85093752"/>
      <w:r>
        <w:rPr>
          <w:rStyle w:val="23"/>
          <w:rFonts w:hint="eastAsia" w:ascii="宋体" w:hAnsi="宋体" w:eastAsia="宋体" w:cs="宋体"/>
          <w:bCs/>
          <w:color w:val="auto"/>
          <w:szCs w:val="21"/>
          <w:highlight w:val="none"/>
        </w:rPr>
        <w:t>一、项目基本情况</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项目编号：0617-2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23FZ</w:t>
      </w:r>
      <w:r>
        <w:rPr>
          <w:rFonts w:hint="eastAsia" w:ascii="宋体" w:hAnsi="宋体" w:eastAsia="宋体" w:cs="宋体"/>
          <w:color w:val="auto"/>
          <w:sz w:val="21"/>
          <w:szCs w:val="21"/>
          <w:highlight w:val="none"/>
          <w:lang w:val="en-US" w:eastAsia="zh-CN"/>
        </w:rPr>
        <w:t>0631</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政治处辅警健康体检</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w:t>
      </w:r>
      <w:r>
        <w:rPr>
          <w:rFonts w:hint="eastAsia" w:ascii="宋体" w:hAnsi="宋体" w:eastAsia="宋体" w:cs="宋体"/>
          <w:color w:val="auto"/>
          <w:sz w:val="21"/>
          <w:szCs w:val="21"/>
          <w:highlight w:val="none"/>
          <w:lang w:eastAsia="zh-CN"/>
        </w:rPr>
        <w:t>额：850000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元</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合同包1(</w:t>
      </w:r>
      <w:r>
        <w:rPr>
          <w:rFonts w:hint="eastAsia" w:ascii="宋体" w:hAnsi="宋体" w:eastAsia="宋体" w:cs="宋体"/>
          <w:color w:val="auto"/>
          <w:sz w:val="21"/>
          <w:szCs w:val="21"/>
          <w:highlight w:val="none"/>
          <w:lang w:eastAsia="zh-CN"/>
        </w:rPr>
        <w:t>政治处辅警健康体检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合同包预算金额：</w:t>
      </w:r>
      <w:r>
        <w:rPr>
          <w:rFonts w:hint="eastAsia" w:ascii="宋体" w:hAnsi="宋体" w:eastAsia="宋体" w:cs="宋体"/>
          <w:color w:val="auto"/>
          <w:sz w:val="21"/>
          <w:szCs w:val="21"/>
          <w:highlight w:val="none"/>
          <w:lang w:eastAsia="zh-CN"/>
        </w:rPr>
        <w:t>850000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元</w:t>
      </w:r>
    </w:p>
    <w:tbl>
      <w:tblPr>
        <w:tblStyle w:val="20"/>
        <w:tblW w:w="8415"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31"/>
        <w:gridCol w:w="876"/>
        <w:gridCol w:w="1374"/>
        <w:gridCol w:w="1131"/>
        <w:gridCol w:w="1562"/>
        <w:gridCol w:w="1206"/>
        <w:gridCol w:w="1335"/>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80" w:hRule="atLeast"/>
          <w:tblHeader/>
          <w:jc w:val="center"/>
        </w:trPr>
        <w:tc>
          <w:tcPr>
            <w:tcW w:w="9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品目号</w:t>
            </w:r>
          </w:p>
        </w:tc>
        <w:tc>
          <w:tcPr>
            <w:tcW w:w="876"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374"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采购标的</w:t>
            </w:r>
          </w:p>
        </w:tc>
        <w:tc>
          <w:tcPr>
            <w:tcW w:w="11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562"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技术规格、</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参数及要求</w:t>
            </w:r>
          </w:p>
        </w:tc>
        <w:tc>
          <w:tcPr>
            <w:tcW w:w="1206"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品目预算(元)</w:t>
            </w:r>
          </w:p>
        </w:tc>
        <w:tc>
          <w:tcPr>
            <w:tcW w:w="1335"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247" w:hRule="atLeast"/>
          <w:jc w:val="center"/>
        </w:trPr>
        <w:tc>
          <w:tcPr>
            <w:tcW w:w="9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76"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体检</w:t>
            </w:r>
          </w:p>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w:t>
            </w:r>
          </w:p>
        </w:tc>
        <w:tc>
          <w:tcPr>
            <w:tcW w:w="1374"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政治处辅警健康体检</w:t>
            </w:r>
          </w:p>
        </w:tc>
        <w:tc>
          <w:tcPr>
            <w:tcW w:w="1131"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批</w:t>
            </w:r>
            <w:r>
              <w:rPr>
                <w:rFonts w:hint="eastAsia" w:ascii="宋体" w:hAnsi="宋体" w:eastAsia="宋体" w:cs="宋体"/>
                <w:color w:val="auto"/>
                <w:kern w:val="0"/>
                <w:szCs w:val="21"/>
                <w:highlight w:val="none"/>
              </w:rPr>
              <w:t>)</w:t>
            </w:r>
          </w:p>
        </w:tc>
        <w:tc>
          <w:tcPr>
            <w:tcW w:w="1562" w:type="dxa"/>
            <w:tcMar>
              <w:top w:w="75" w:type="dxa"/>
              <w:left w:w="120" w:type="dxa"/>
              <w:bottom w:w="75" w:type="dxa"/>
              <w:right w:w="120" w:type="dxa"/>
            </w:tcMar>
            <w:vAlign w:val="center"/>
          </w:tcPr>
          <w:p>
            <w:pPr>
              <w:wordWrap w:val="0"/>
              <w:spacing w:line="3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详见采购文件</w:t>
            </w:r>
          </w:p>
        </w:tc>
        <w:tc>
          <w:tcPr>
            <w:tcW w:w="1206" w:type="dxa"/>
            <w:tcMar>
              <w:top w:w="75" w:type="dxa"/>
              <w:left w:w="120" w:type="dxa"/>
              <w:bottom w:w="75" w:type="dxa"/>
              <w:right w:w="120" w:type="dxa"/>
            </w:tcMar>
            <w:vAlign w:val="center"/>
          </w:tcPr>
          <w:p>
            <w:pPr>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850000</w:t>
            </w:r>
            <w:r>
              <w:rPr>
                <w:rFonts w:hint="eastAsia" w:ascii="宋体" w:hAnsi="宋体" w:eastAsia="宋体" w:cs="宋体"/>
                <w:color w:val="auto"/>
                <w:kern w:val="0"/>
                <w:szCs w:val="21"/>
                <w:highlight w:val="none"/>
                <w:lang w:val="en-US" w:eastAsia="zh-CN"/>
              </w:rPr>
              <w:t>.00</w:t>
            </w:r>
          </w:p>
        </w:tc>
        <w:tc>
          <w:tcPr>
            <w:tcW w:w="1335" w:type="dxa"/>
            <w:tcMar>
              <w:top w:w="75" w:type="dxa"/>
              <w:left w:w="120" w:type="dxa"/>
              <w:bottom w:w="75" w:type="dxa"/>
              <w:right w:w="120" w:type="dxa"/>
            </w:tcMar>
            <w:vAlign w:val="center"/>
          </w:tcPr>
          <w:p>
            <w:pPr>
              <w:spacing w:line="36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r>
    </w:tbl>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本合同包不接受联合体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合同履行期限：按照采购方需求分批体检（自合同签订之日起2月内）。</w:t>
      </w:r>
    </w:p>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r>
        <w:rPr>
          <w:rStyle w:val="23"/>
          <w:rFonts w:hint="eastAsia" w:ascii="宋体" w:hAnsi="宋体" w:eastAsia="宋体" w:cs="宋体"/>
          <w:bCs/>
          <w:color w:val="auto"/>
          <w:szCs w:val="21"/>
          <w:highlight w:val="none"/>
        </w:rPr>
        <w:t>二、申请人的资格要求：</w:t>
      </w:r>
    </w:p>
    <w:p>
      <w:pPr>
        <w:pStyle w:val="19"/>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Style w:val="19"/>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lang w:val="en-US" w:eastAsia="zh-CN"/>
        </w:rPr>
        <w:t>无</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SA"/>
        </w:rPr>
        <w:t>3.本项目的特定资格要求：供应商应具有卫生行政部门核准登记取得的《医疗机构执业许可证》和《放射诊疗许可证》</w:t>
      </w:r>
      <w:r>
        <w:rPr>
          <w:rFonts w:hint="eastAsia" w:ascii="宋体" w:hAnsi="宋体" w:eastAsia="宋体" w:cs="宋体"/>
          <w:color w:val="auto"/>
          <w:sz w:val="21"/>
          <w:szCs w:val="21"/>
          <w:highlight w:val="none"/>
          <w:lang w:eastAsia="zh-CN"/>
        </w:rPr>
        <w:t>。</w:t>
      </w:r>
    </w:p>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r>
        <w:rPr>
          <w:rStyle w:val="23"/>
          <w:rFonts w:hint="eastAsia" w:ascii="宋体" w:hAnsi="宋体" w:eastAsia="宋体" w:cs="宋体"/>
          <w:bCs/>
          <w:color w:val="auto"/>
          <w:szCs w:val="21"/>
          <w:highlight w:val="none"/>
        </w:rPr>
        <w:t>三、获取采购文件</w:t>
      </w:r>
    </w:p>
    <w:p>
      <w:pPr>
        <w:pStyle w:val="19"/>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时间：202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lang w:val="en-US" w:eastAsia="zh-CN"/>
        </w:rPr>
        <w:t>25</w:t>
      </w:r>
      <w:r>
        <w:rPr>
          <w:rFonts w:hint="eastAsia" w:ascii="宋体" w:hAnsi="宋体" w:eastAsia="宋体" w:cs="宋体"/>
          <w:color w:val="auto"/>
          <w:kern w:val="2"/>
          <w:sz w:val="21"/>
          <w:szCs w:val="21"/>
          <w:highlight w:val="none"/>
        </w:rPr>
        <w:t>日至202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日，每天上午08:30:00至12:00:00，下午1</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:30:00至</w:t>
      </w:r>
      <w:r>
        <w:rPr>
          <w:rFonts w:hint="eastAsia" w:ascii="宋体" w:hAnsi="宋体" w:eastAsia="宋体" w:cs="宋体"/>
          <w:color w:val="auto"/>
          <w:kern w:val="2"/>
          <w:sz w:val="21"/>
          <w:szCs w:val="21"/>
          <w:highlight w:val="none"/>
          <w:lang w:val="en-US" w:eastAsia="zh-CN"/>
        </w:rPr>
        <w:t>17</w:t>
      </w:r>
      <w:r>
        <w:rPr>
          <w:rFonts w:hint="eastAsia" w:ascii="宋体" w:hAnsi="宋体" w:eastAsia="宋体" w:cs="宋体"/>
          <w:color w:val="auto"/>
          <w:kern w:val="2"/>
          <w:sz w:val="21"/>
          <w:szCs w:val="21"/>
          <w:highlight w:val="none"/>
        </w:rPr>
        <w:t>:00:00（北京时间,法定节假日除外）</w:t>
      </w:r>
    </w:p>
    <w:p>
      <w:pPr>
        <w:pStyle w:val="19"/>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地点：西安市南二环西段58号成长大厦10层标书发售处</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持单位介绍信及授权代表身份证原件及复印件登记</w:t>
      </w:r>
      <w:r>
        <w:rPr>
          <w:rFonts w:hint="eastAsia" w:ascii="宋体" w:hAnsi="宋体" w:eastAsia="宋体" w:cs="宋体"/>
          <w:b/>
          <w:bCs/>
          <w:color w:val="auto"/>
          <w:sz w:val="21"/>
          <w:szCs w:val="21"/>
          <w:highlight w:val="none"/>
          <w:lang w:eastAsia="zh-CN"/>
        </w:rPr>
        <w:t>）</w:t>
      </w:r>
    </w:p>
    <w:p>
      <w:pPr>
        <w:pStyle w:val="19"/>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方式：现场获取</w:t>
      </w:r>
    </w:p>
    <w:p>
      <w:pPr>
        <w:pStyle w:val="19"/>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售价：</w:t>
      </w:r>
      <w:r>
        <w:rPr>
          <w:rFonts w:hint="eastAsia" w:ascii="宋体" w:hAnsi="宋体" w:eastAsia="宋体" w:cs="宋体"/>
          <w:color w:val="auto"/>
          <w:kern w:val="2"/>
          <w:sz w:val="21"/>
          <w:szCs w:val="21"/>
          <w:highlight w:val="none"/>
          <w:lang w:val="en-US" w:eastAsia="zh-CN"/>
        </w:rPr>
        <w:t>0元</w:t>
      </w:r>
    </w:p>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r>
        <w:rPr>
          <w:rStyle w:val="23"/>
          <w:rFonts w:hint="eastAsia" w:ascii="宋体" w:hAnsi="宋体" w:eastAsia="宋体" w:cs="宋体"/>
          <w:bCs/>
          <w:color w:val="auto"/>
          <w:szCs w:val="21"/>
          <w:highlight w:val="none"/>
        </w:rPr>
        <w:t>四、响应文件提交</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时30分00秒（北京时间）</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地点：西安市南二环西段58号成长大厦10层会议室</w:t>
      </w:r>
    </w:p>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r>
        <w:rPr>
          <w:rStyle w:val="23"/>
          <w:rFonts w:hint="eastAsia" w:ascii="宋体" w:hAnsi="宋体" w:eastAsia="宋体" w:cs="宋体"/>
          <w:bCs/>
          <w:color w:val="auto"/>
          <w:szCs w:val="21"/>
          <w:highlight w:val="none"/>
          <w:lang w:val="en-US" w:eastAsia="zh-CN"/>
        </w:rPr>
        <w:t>五、</w:t>
      </w:r>
      <w:r>
        <w:rPr>
          <w:rStyle w:val="23"/>
          <w:rFonts w:hint="eastAsia" w:ascii="宋体" w:hAnsi="宋体" w:eastAsia="宋体" w:cs="宋体"/>
          <w:bCs/>
          <w:color w:val="auto"/>
          <w:szCs w:val="21"/>
          <w:highlight w:val="none"/>
        </w:rPr>
        <w:t>开启</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时30分00秒（北京时间）</w:t>
      </w:r>
    </w:p>
    <w:p>
      <w:pPr>
        <w:pStyle w:val="19"/>
        <w:spacing w:before="0" w:beforeAutospacing="0" w:after="0" w:afterAutospacing="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地点：西安市南二环西段58号成长大厦10层会议室</w:t>
      </w:r>
    </w:p>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r>
        <w:rPr>
          <w:rStyle w:val="23"/>
          <w:rFonts w:hint="eastAsia" w:ascii="宋体" w:hAnsi="宋体" w:eastAsia="宋体" w:cs="宋体"/>
          <w:bCs/>
          <w:color w:val="auto"/>
          <w:szCs w:val="21"/>
          <w:highlight w:val="none"/>
        </w:rPr>
        <w:t>六、公告期限</w:t>
      </w:r>
    </w:p>
    <w:p>
      <w:pPr>
        <w:pStyle w:val="19"/>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r>
        <w:rPr>
          <w:rStyle w:val="23"/>
          <w:rFonts w:hint="eastAsia" w:ascii="宋体" w:hAnsi="宋体" w:eastAsia="宋体" w:cs="宋体"/>
          <w:bCs/>
          <w:color w:val="auto"/>
          <w:szCs w:val="21"/>
          <w:highlight w:val="none"/>
        </w:rPr>
        <w:t>七、其他补充事宜</w:t>
      </w:r>
    </w:p>
    <w:p>
      <w:pPr>
        <w:pStyle w:val="19"/>
        <w:spacing w:before="0" w:beforeAutospacing="0" w:after="0" w:afterAutospacing="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1.本项目采购标的对应的中小企业划分标准所属行业为</w:t>
      </w:r>
      <w:r>
        <w:rPr>
          <w:rFonts w:hint="eastAsia" w:ascii="宋体" w:hAnsi="宋体" w:eastAsia="宋体" w:cs="宋体"/>
          <w:b/>
          <w:bCs/>
          <w:color w:val="auto"/>
          <w:sz w:val="21"/>
          <w:szCs w:val="21"/>
          <w:highlight w:val="none"/>
          <w:lang w:val="en-US" w:eastAsia="zh-CN"/>
        </w:rPr>
        <w:t>其他未列明行业</w:t>
      </w:r>
      <w:r>
        <w:rPr>
          <w:rFonts w:hint="eastAsia" w:ascii="宋体" w:hAnsi="宋体" w:eastAsia="宋体" w:cs="宋体"/>
          <w:b/>
          <w:bCs/>
          <w:color w:val="auto"/>
          <w:sz w:val="21"/>
          <w:szCs w:val="21"/>
          <w:highlight w:val="none"/>
        </w:rPr>
        <w:t>。</w:t>
      </w:r>
    </w:p>
    <w:p>
      <w:pPr>
        <w:pStyle w:val="19"/>
        <w:spacing w:before="0" w:beforeAutospacing="0" w:after="0" w:afterAutospacing="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2.本项目各项单价最高限价为：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45岁以下男性：391元/人；45岁以上男性：441元/人；45岁以下女性：473元/人；45岁以上女性：523元/人；</w:t>
      </w:r>
      <w:r>
        <w:rPr>
          <w:rFonts w:hint="eastAsia" w:ascii="宋体" w:hAnsi="宋体" w:eastAsia="宋体" w:cs="宋体"/>
          <w:b/>
          <w:bCs/>
          <w:color w:val="auto"/>
          <w:kern w:val="0"/>
          <w:sz w:val="21"/>
          <w:szCs w:val="21"/>
          <w:highlight w:val="none"/>
          <w:lang w:val="en-US" w:eastAsia="zh-CN" w:bidi="ar"/>
        </w:rPr>
        <w:t>C13尿素呼气试验：120元/人；</w:t>
      </w:r>
    </w:p>
    <w:p>
      <w:pPr>
        <w:pStyle w:val="19"/>
        <w:spacing w:before="0" w:beforeAutospacing="0" w:after="0" w:afterAutospacing="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.采购项目需要落实的政府采购政策：</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（1）《财政部 国家发展改革委关于印发〈节能产品政府采购实施意见〉的通知》（财库〔2004〕185号）；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（2）《国务院办公厅关于建立政府强制采购节能产品制度的通知》（国办发〔2007〕51号）；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（3）《财政部环保总局关于环境标志产品政府采购实施的意见》（财库〔2006〕90号）；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（4）《财政部 司法部关于政府采购支持监狱企业发展有关问题的通知》（财库〔2014〕68号）；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（5）《财政部、民政部、中国残疾人联合会关于促进残疾人就业政府采购政策的通知》（财库〔2017〕141号）；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（6）《财政部 发展改革委 生态环境部 市场监管总局关于调整优化节能产品、环境标志产品政府采购执行机制的通知》（财库〔2019〕9号）；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（7）《关于运用政府采购政策支持乡村产业振兴的通知》（财库〔2021〕19号）；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（8）《政府采购促进中小企业发展管理办法》（财库〔2020〕46号）；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（9）《陕西省中小企业政府采购信用融资办法》（陕财办采〔2018〕23号）；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（10）陕西省财政厅《关于进一步加强政府绿色采购有关问题的通知》陕财办采〔2021〕29号。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（11）《关于进一步加大政府采购支持中小企业力度的通知》（财库〔2022〕19号。</w:t>
      </w:r>
    </w:p>
    <w:p>
      <w:pPr>
        <w:pStyle w:val="19"/>
        <w:spacing w:before="0" w:beforeAutospacing="0" w:after="0" w:afterAutospacing="0" w:line="360" w:lineRule="auto"/>
        <w:ind w:firstLine="420" w:firstLineChars="200"/>
        <w:jc w:val="both"/>
        <w:rPr>
          <w:rFonts w:hint="eastAsia" w:ascii="宋体" w:hAnsi="宋体" w:eastAsia="宋体" w:cs="宋体"/>
          <w:bCs/>
          <w:color w:val="auto"/>
          <w:kern w:val="2"/>
          <w:sz w:val="21"/>
          <w:szCs w:val="21"/>
          <w:highlight w:val="none"/>
          <w:lang w:bidi="ar"/>
        </w:rPr>
      </w:pPr>
      <w:r>
        <w:rPr>
          <w:rFonts w:hint="eastAsia" w:ascii="宋体" w:hAnsi="宋体" w:eastAsia="宋体" w:cs="宋体"/>
          <w:bCs/>
          <w:color w:val="auto"/>
          <w:kern w:val="2"/>
          <w:sz w:val="21"/>
          <w:szCs w:val="21"/>
          <w:highlight w:val="none"/>
          <w:lang w:bidi="ar"/>
        </w:rPr>
        <w:t>（12）《关于扩大政府采购支持绿色建材促进建筑品质提升政策实施范围的通知》财库〔2022〕35号。</w:t>
      </w:r>
    </w:p>
    <w:p>
      <w:pPr>
        <w:pStyle w:val="19"/>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jc w:val="both"/>
        <w:textAlignment w:val="baseline"/>
        <w:rPr>
          <w:rStyle w:val="23"/>
          <w:rFonts w:hint="eastAsia" w:ascii="宋体" w:hAnsi="宋体" w:eastAsia="宋体" w:cs="宋体"/>
          <w:bCs/>
          <w:color w:val="auto"/>
          <w:szCs w:val="21"/>
          <w:highlight w:val="none"/>
        </w:rPr>
      </w:pPr>
      <w:r>
        <w:rPr>
          <w:rStyle w:val="23"/>
          <w:rFonts w:hint="eastAsia" w:ascii="宋体" w:hAnsi="宋体" w:eastAsia="宋体" w:cs="宋体"/>
          <w:bCs/>
          <w:color w:val="auto"/>
          <w:szCs w:val="21"/>
          <w:highlight w:val="none"/>
        </w:rPr>
        <w:t>八、如对本次采购提出询问，请按以下方式联系。</w:t>
      </w:r>
    </w:p>
    <w:bookmarkEnd w:id="3"/>
    <w:p>
      <w:pPr>
        <w:spacing w:line="360" w:lineRule="auto"/>
        <w:ind w:firstLine="420" w:firstLineChars="200"/>
        <w:jc w:val="left"/>
        <w:outlineLvl w:val="1"/>
        <w:rPr>
          <w:rFonts w:hint="eastAsia" w:ascii="宋体" w:hAnsi="宋体" w:eastAsia="宋体" w:cs="宋体"/>
          <w:color w:val="auto"/>
          <w:szCs w:val="21"/>
          <w:highlight w:val="none"/>
        </w:rPr>
      </w:pPr>
      <w:bookmarkStart w:id="4" w:name="_Toc15378"/>
      <w:r>
        <w:rPr>
          <w:rFonts w:hint="eastAsia" w:ascii="宋体" w:hAnsi="宋体" w:eastAsia="宋体" w:cs="宋体"/>
          <w:color w:val="auto"/>
          <w:szCs w:val="21"/>
          <w:highlight w:val="none"/>
        </w:rPr>
        <w:t>1.采购人信息：</w:t>
      </w:r>
    </w:p>
    <w:p>
      <w:pPr>
        <w:spacing w:line="360" w:lineRule="auto"/>
        <w:ind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名称：西安市公安局交通警察支队</w:t>
      </w:r>
      <w:bookmarkEnd w:id="4"/>
    </w:p>
    <w:p>
      <w:pPr>
        <w:spacing w:line="360" w:lineRule="auto"/>
        <w:ind w:firstLine="420" w:firstLineChars="200"/>
        <w:jc w:val="left"/>
        <w:outlineLvl w:val="1"/>
        <w:rPr>
          <w:rFonts w:hint="eastAsia" w:ascii="宋体" w:hAnsi="宋体" w:eastAsia="宋体" w:cs="宋体"/>
          <w:color w:val="auto"/>
          <w:szCs w:val="21"/>
          <w:highlight w:val="none"/>
        </w:rPr>
      </w:pPr>
      <w:bookmarkStart w:id="5" w:name="_Toc19143"/>
      <w:r>
        <w:rPr>
          <w:rFonts w:hint="eastAsia" w:ascii="宋体" w:hAnsi="宋体" w:eastAsia="宋体" w:cs="宋体"/>
          <w:color w:val="auto"/>
          <w:szCs w:val="21"/>
          <w:highlight w:val="none"/>
        </w:rPr>
        <w:t>地址：太白南路222号</w:t>
      </w:r>
      <w:bookmarkEnd w:id="5"/>
    </w:p>
    <w:p>
      <w:pPr>
        <w:spacing w:line="360" w:lineRule="auto"/>
        <w:ind w:firstLine="420" w:firstLineChars="200"/>
        <w:jc w:val="left"/>
        <w:outlineLvl w:val="1"/>
        <w:rPr>
          <w:rFonts w:hint="eastAsia" w:ascii="宋体" w:hAnsi="宋体" w:eastAsia="宋体" w:cs="宋体"/>
          <w:color w:val="auto"/>
          <w:kern w:val="0"/>
          <w:szCs w:val="21"/>
          <w:highlight w:val="none"/>
        </w:rPr>
      </w:pPr>
      <w:bookmarkStart w:id="6" w:name="_Toc4779"/>
      <w:r>
        <w:rPr>
          <w:rFonts w:hint="eastAsia" w:ascii="宋体" w:hAnsi="宋体" w:eastAsia="宋体" w:cs="宋体"/>
          <w:bCs/>
          <w:color w:val="auto"/>
          <w:kern w:val="0"/>
          <w:szCs w:val="21"/>
          <w:highlight w:val="none"/>
        </w:rPr>
        <w:t>联系方式：029-86755037</w:t>
      </w:r>
      <w:bookmarkEnd w:id="6"/>
    </w:p>
    <w:p>
      <w:pPr>
        <w:spacing w:line="360" w:lineRule="auto"/>
        <w:ind w:firstLine="420" w:firstLineChars="200"/>
        <w:jc w:val="left"/>
        <w:outlineLvl w:val="1"/>
        <w:rPr>
          <w:rFonts w:hint="eastAsia" w:ascii="宋体" w:hAnsi="宋体" w:eastAsia="宋体" w:cs="宋体"/>
          <w:color w:val="auto"/>
          <w:szCs w:val="21"/>
          <w:highlight w:val="none"/>
        </w:rPr>
      </w:pPr>
      <w:bookmarkStart w:id="7" w:name="_Toc31494"/>
      <w:r>
        <w:rPr>
          <w:rFonts w:hint="eastAsia" w:ascii="宋体" w:hAnsi="宋体" w:eastAsia="宋体" w:cs="宋体"/>
          <w:color w:val="auto"/>
          <w:szCs w:val="21"/>
          <w:highlight w:val="none"/>
        </w:rPr>
        <w:t>2.采购代理机构信息</w:t>
      </w:r>
    </w:p>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8" w:name="_Toc3789"/>
      <w:r>
        <w:rPr>
          <w:rFonts w:hint="eastAsia" w:ascii="宋体" w:hAnsi="宋体" w:eastAsia="宋体" w:cs="宋体"/>
          <w:bCs/>
          <w:color w:val="auto"/>
          <w:kern w:val="0"/>
          <w:szCs w:val="21"/>
          <w:highlight w:val="none"/>
        </w:rPr>
        <w:t>名称：西北（陕西）国际招标有限公司</w:t>
      </w:r>
      <w:bookmarkEnd w:id="8"/>
    </w:p>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9" w:name="_Toc2260"/>
      <w:r>
        <w:rPr>
          <w:rFonts w:hint="eastAsia" w:ascii="宋体" w:hAnsi="宋体" w:eastAsia="宋体" w:cs="宋体"/>
          <w:bCs/>
          <w:color w:val="auto"/>
          <w:kern w:val="0"/>
          <w:szCs w:val="21"/>
          <w:highlight w:val="none"/>
        </w:rPr>
        <w:t>地址：西安市南二环西段58号成长大厦10-14层</w:t>
      </w:r>
      <w:bookmarkEnd w:id="9"/>
    </w:p>
    <w:bookmarkEnd w:id="7"/>
    <w:p>
      <w:pPr>
        <w:spacing w:line="360" w:lineRule="auto"/>
        <w:ind w:firstLine="420" w:firstLineChars="200"/>
        <w:jc w:val="left"/>
        <w:outlineLvl w:val="1"/>
        <w:rPr>
          <w:rFonts w:hint="eastAsia" w:ascii="宋体" w:hAnsi="宋体" w:eastAsia="宋体" w:cs="宋体"/>
          <w:bCs/>
          <w:color w:val="auto"/>
          <w:kern w:val="0"/>
          <w:szCs w:val="21"/>
          <w:highlight w:val="none"/>
        </w:rPr>
      </w:pPr>
      <w:bookmarkStart w:id="10" w:name="_Toc29272"/>
      <w:r>
        <w:rPr>
          <w:rFonts w:hint="eastAsia" w:ascii="宋体" w:hAnsi="宋体" w:eastAsia="宋体" w:cs="宋体"/>
          <w:bCs/>
          <w:color w:val="auto"/>
          <w:kern w:val="0"/>
          <w:szCs w:val="21"/>
          <w:highlight w:val="none"/>
        </w:rPr>
        <w:t>联系方式：029-85592882</w:t>
      </w:r>
      <w:bookmarkEnd w:id="10"/>
    </w:p>
    <w:p>
      <w:pPr>
        <w:spacing w:line="360" w:lineRule="auto"/>
        <w:ind w:firstLine="420" w:firstLineChars="200"/>
        <w:jc w:val="left"/>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开户名称：西北（陕西）国际招标有限公司</w:t>
      </w:r>
    </w:p>
    <w:p>
      <w:pPr>
        <w:spacing w:line="360" w:lineRule="auto"/>
        <w:ind w:firstLine="420" w:firstLineChars="200"/>
        <w:jc w:val="left"/>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开户银行：交通银行西安长安大学支行</w:t>
      </w:r>
    </w:p>
    <w:p>
      <w:pPr>
        <w:spacing w:line="360" w:lineRule="auto"/>
        <w:ind w:firstLine="420" w:firstLineChars="200"/>
        <w:jc w:val="left"/>
        <w:outlineLvl w:val="1"/>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账    号：611301151018010003843</w:t>
      </w:r>
    </w:p>
    <w:p>
      <w:pPr>
        <w:spacing w:line="360" w:lineRule="auto"/>
        <w:ind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spacing w:line="360" w:lineRule="auto"/>
        <w:ind w:firstLine="420" w:firstLineChars="200"/>
        <w:jc w:val="left"/>
        <w:outlineLvl w:val="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项目联系人：韩敏、</w:t>
      </w:r>
      <w:r>
        <w:rPr>
          <w:rFonts w:hint="eastAsia" w:ascii="宋体" w:hAnsi="宋体" w:eastAsia="宋体" w:cs="宋体"/>
          <w:color w:val="auto"/>
          <w:szCs w:val="21"/>
          <w:highlight w:val="none"/>
          <w:lang w:val="en-US" w:eastAsia="zh-CN"/>
        </w:rPr>
        <w:t>秦进</w:t>
      </w:r>
    </w:p>
    <w:p>
      <w:pPr>
        <w:spacing w:line="360" w:lineRule="auto"/>
        <w:ind w:firstLine="420" w:firstLineChars="200"/>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电话：029-85592882</w:t>
      </w:r>
      <w:bookmarkStart w:id="11" w:name="_Toc7182"/>
    </w:p>
    <w:p>
      <w:pPr>
        <w:spacing w:line="360" w:lineRule="auto"/>
        <w:ind w:firstLine="640" w:firstLineChars="200"/>
        <w:jc w:val="left"/>
        <w:outlineLvl w:val="1"/>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br w:type="page"/>
      </w: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Cs/>
          <w:color w:val="auto"/>
          <w:kern w:val="0"/>
          <w:sz w:val="32"/>
          <w:szCs w:val="32"/>
          <w:highlight w:val="none"/>
        </w:rPr>
      </w:pPr>
      <w:r>
        <w:rPr>
          <w:rFonts w:hint="eastAsia" w:ascii="宋体" w:hAnsi="宋体" w:eastAsia="宋体" w:cs="宋体"/>
          <w:bCs/>
          <w:color w:val="auto"/>
          <w:kern w:val="0"/>
          <w:sz w:val="32"/>
          <w:szCs w:val="32"/>
          <w:highlight w:val="none"/>
        </w:rPr>
        <w:t>第二章 磋商须知及前附表</w:t>
      </w:r>
      <w:bookmarkEnd w:id="11"/>
    </w:p>
    <w:p>
      <w:pPr>
        <w:pStyle w:val="28"/>
        <w:outlineLvl w:val="1"/>
        <w:rPr>
          <w:rStyle w:val="31"/>
          <w:rFonts w:hint="eastAsia" w:ascii="宋体" w:hAnsi="宋体" w:eastAsia="宋体" w:cs="宋体"/>
          <w:bCs w:val="0"/>
          <w:color w:val="auto"/>
          <w:sz w:val="28"/>
          <w:szCs w:val="28"/>
          <w:highlight w:val="none"/>
        </w:rPr>
      </w:pPr>
      <w:bookmarkStart w:id="12" w:name="_Toc10845"/>
      <w:r>
        <w:rPr>
          <w:rStyle w:val="31"/>
          <w:rFonts w:hint="eastAsia" w:ascii="宋体" w:hAnsi="宋体" w:eastAsia="宋体" w:cs="宋体"/>
          <w:bCs w:val="0"/>
          <w:color w:val="auto"/>
          <w:sz w:val="28"/>
          <w:szCs w:val="28"/>
          <w:highlight w:val="none"/>
        </w:rPr>
        <w:t>磋商须知前附表</w:t>
      </w:r>
      <w:bookmarkEnd w:id="12"/>
    </w:p>
    <w:p>
      <w:pPr>
        <w:spacing w:line="360" w:lineRule="auto"/>
        <w:ind w:firstLine="220" w:firstLineChars="100"/>
        <w:rPr>
          <w:rStyle w:val="31"/>
          <w:rFonts w:hint="eastAsia" w:ascii="宋体" w:hAnsi="宋体" w:eastAsia="宋体" w:cs="宋体"/>
          <w:color w:val="auto"/>
          <w:sz w:val="22"/>
          <w:highlight w:val="none"/>
        </w:rPr>
      </w:pPr>
      <w:r>
        <w:rPr>
          <w:rStyle w:val="31"/>
          <w:rFonts w:hint="eastAsia" w:ascii="宋体" w:hAnsi="宋体" w:eastAsia="宋体" w:cs="宋体"/>
          <w:color w:val="auto"/>
          <w:sz w:val="22"/>
          <w:highlight w:val="none"/>
        </w:rPr>
        <w:t>（本表是对磋商须知的提示、补充和修改，如有矛盾，应以本表为准。）</w:t>
      </w:r>
    </w:p>
    <w:tbl>
      <w:tblPr>
        <w:tblStyle w:val="20"/>
        <w:tblW w:w="8872" w:type="dxa"/>
        <w:tblInd w:w="13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fixed"/>
        <w:tblCellMar>
          <w:top w:w="0" w:type="dxa"/>
          <w:left w:w="113" w:type="dxa"/>
          <w:bottom w:w="0" w:type="dxa"/>
          <w:right w:w="113" w:type="dxa"/>
        </w:tblCellMar>
      </w:tblPr>
      <w:tblGrid>
        <w:gridCol w:w="988"/>
        <w:gridCol w:w="2200"/>
        <w:gridCol w:w="56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blHeader/>
        </w:trPr>
        <w:tc>
          <w:tcPr>
            <w:tcW w:w="988" w:type="dxa"/>
            <w:tcBorders>
              <w:tl2br w:val="nil"/>
              <w:tr2bl w:val="nil"/>
            </w:tcBorders>
            <w:vAlign w:val="center"/>
          </w:tcPr>
          <w:p>
            <w:pPr>
              <w:spacing w:line="320" w:lineRule="exact"/>
              <w:jc w:val="center"/>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条款号</w:t>
            </w:r>
          </w:p>
        </w:tc>
        <w:tc>
          <w:tcPr>
            <w:tcW w:w="2200" w:type="dxa"/>
            <w:tcBorders>
              <w:tl2br w:val="nil"/>
              <w:tr2bl w:val="nil"/>
            </w:tcBorders>
            <w:vAlign w:val="center"/>
          </w:tcPr>
          <w:p>
            <w:pPr>
              <w:spacing w:line="320" w:lineRule="exact"/>
              <w:jc w:val="center"/>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条款内容提示</w:t>
            </w:r>
          </w:p>
        </w:tc>
        <w:tc>
          <w:tcPr>
            <w:tcW w:w="5684" w:type="dxa"/>
            <w:tcBorders>
              <w:tl2br w:val="nil"/>
              <w:tr2bl w:val="nil"/>
            </w:tcBorders>
            <w:vAlign w:val="center"/>
          </w:tcPr>
          <w:p>
            <w:pPr>
              <w:spacing w:line="320" w:lineRule="exact"/>
              <w:jc w:val="center"/>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361"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1.1</w:t>
            </w:r>
          </w:p>
        </w:tc>
        <w:tc>
          <w:tcPr>
            <w:tcW w:w="2200" w:type="dxa"/>
            <w:tcBorders>
              <w:tl2br w:val="nil"/>
              <w:tr2bl w:val="nil"/>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采购人</w:t>
            </w:r>
          </w:p>
        </w:tc>
        <w:tc>
          <w:tcPr>
            <w:tcW w:w="5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名称：西安市公安局交通警察支队</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地址：太白南路222号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王</w:t>
            </w:r>
            <w:r>
              <w:rPr>
                <w:rFonts w:hint="eastAsia" w:ascii="宋体" w:hAnsi="宋体" w:eastAsia="宋体" w:cs="宋体"/>
                <w:color w:val="auto"/>
                <w:kern w:val="0"/>
                <w:szCs w:val="21"/>
                <w:highlight w:val="none"/>
              </w:rPr>
              <w:t>警官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联系方式：029-</w:t>
            </w:r>
            <w:r>
              <w:rPr>
                <w:rFonts w:hint="eastAsia" w:ascii="宋体" w:hAnsi="宋体" w:eastAsia="宋体" w:cs="宋体"/>
                <w:color w:val="auto"/>
                <w:kern w:val="0"/>
                <w:szCs w:val="21"/>
                <w:highlight w:val="none"/>
                <w:lang w:val="en-US" w:eastAsia="zh-CN"/>
              </w:rPr>
              <w:t>86755037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1.2</w:t>
            </w:r>
          </w:p>
        </w:tc>
        <w:tc>
          <w:tcPr>
            <w:tcW w:w="2200" w:type="dxa"/>
            <w:tcBorders>
              <w:tl2br w:val="nil"/>
              <w:tr2bl w:val="nil"/>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采购代理机构</w:t>
            </w:r>
          </w:p>
        </w:tc>
        <w:tc>
          <w:tcPr>
            <w:tcW w:w="5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名称：西北（陕西）国际招标有限公司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kern w:val="0"/>
                <w:szCs w:val="21"/>
                <w:highlight w:val="none"/>
              </w:rPr>
              <w:t>西安市南二环西段58号成长大厦10-14层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邮编：710000</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联系人：韩敏、</w:t>
            </w:r>
            <w:r>
              <w:rPr>
                <w:rFonts w:hint="eastAsia" w:ascii="宋体" w:hAnsi="宋体" w:eastAsia="宋体" w:cs="宋体"/>
                <w:color w:val="auto"/>
                <w:szCs w:val="21"/>
                <w:highlight w:val="none"/>
                <w:lang w:val="en-US" w:eastAsia="zh-CN"/>
              </w:rPr>
              <w:t>秦进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电话：029-85592882</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邮箱：xbgjhm3@163.com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vMerge w:val="restart"/>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中华人民共和国法律、行政法规规定的其他条件；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vMerge w:val="continue"/>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本项目特定条件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供应商应具有卫生行政部门核准登记取得的《医疗机构执业许可证》和《放射诊疗许可证》</w:t>
            </w:r>
            <w:r>
              <w:rPr>
                <w:rFonts w:hint="eastAsia" w:ascii="宋体" w:hAnsi="宋体" w:eastAsia="宋体" w:cs="宋体"/>
                <w:b/>
                <w:bCs/>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供应商信用信息</w:t>
            </w:r>
          </w:p>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查询</w:t>
            </w:r>
          </w:p>
        </w:tc>
        <w:tc>
          <w:tcPr>
            <w:tcW w:w="5684" w:type="dxa"/>
            <w:tcBorders>
              <w:tl2br w:val="nil"/>
              <w:tr2bl w:val="nil"/>
            </w:tcBorders>
            <w:vAlign w:val="center"/>
          </w:tcPr>
          <w:p>
            <w:pPr>
              <w:widowControl w:val="0"/>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信用中国”网站（www.creditchina.gov.cn）和“中国政府采购网”（www.ccgp.gov.cn）对供应商信用信息进行查询，如果供应商被查实在磋商截止时间前已列入失信被执行人（页面跳转至“中国执行信息公开网”http://zxgk.court.gov.cn/shixin/）、重大税收违法失信主体、政府采购严重违法失信行为记录名单，其磋商响应为无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3289"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7.2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供应商提出询问</w:t>
            </w:r>
          </w:p>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和质疑的时间</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已经购买磋商文件的供应商对磋商文件有质疑的，可以在本项目磋商文件公告期限届满之日起七个工作日内，对同一采购程序环节以书面形式向采购代理机构一次性提出，在此之后提出的询问和质疑均为无效，采购代理机构不予受理。</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2）接收质疑函的方式：书面形式格式：见“中国政府采购网（www.ccgp.gov.cn）下载专区”</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3）联系部门：西北（陕西）国际招标有限公司综合监督处；</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4）联系电话：029-85362812</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5）通讯地址：西安市南二环西段58号成长大厦12楼1203室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7.3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采购代理机构答疑的时间</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对于在规定时间内收到的供应商依法提出的询问或者质疑，采购代理机构将按程序及时作出答复，若对磋商文件做出实质性变动，则按照相关规定延长磋商响应截止时间。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803"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7.4</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质疑内容要求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供应商提出质疑应当提交质疑函和必要的证明材料原件，代理机构不接受传真、电子邮件、复印件等形式的质疑材料。</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质疑函应当包括下列内容：</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（一）供应商的姓名或者名称、地址、邮编、联系人及联系电话；</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（二）质疑项目的名称、编号；</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（三）具体、明确的质疑事项和与质疑事项相关的请求；</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（四）事实依据；</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（五）必要的法律依据；</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（六）提出质疑的日期。</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供应商为自然人的，应当由本人签字；供应商为法人或者其他组织的，应当由法定代表人、主要负责人，或者其授权代表（附法人代表授权书）签字或者盖章（鲜章），并加盖公章（鲜章）。</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质疑函格式应符合“政府采购供应商质疑函范本”要求，详见“中国政府采购网（www.ccgp.gov.cn）”下载专区。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455"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12.1</w:t>
            </w:r>
          </w:p>
        </w:tc>
        <w:tc>
          <w:tcPr>
            <w:tcW w:w="2200"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报价要求：</w:t>
            </w:r>
            <w:r>
              <w:rPr>
                <w:rFonts w:hint="eastAsia" w:ascii="宋体" w:hAnsi="宋体" w:eastAsia="宋体" w:cs="宋体"/>
                <w:b/>
                <w:bCs/>
                <w:color w:val="auto"/>
                <w:kern w:val="0"/>
                <w:szCs w:val="21"/>
                <w:highlight w:val="none"/>
                <w:lang w:val="en-US" w:eastAsia="zh-CN"/>
              </w:rPr>
              <w:t>固定单价</w:t>
            </w:r>
          </w:p>
          <w:p>
            <w:pPr>
              <w:widowControl w:val="0"/>
              <w:spacing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r>
              <w:rPr>
                <w:rFonts w:hint="eastAsia" w:ascii="宋体" w:hAnsi="宋体" w:eastAsia="宋体" w:cs="宋体"/>
                <w:b/>
                <w:bCs/>
                <w:color w:val="auto"/>
                <w:szCs w:val="21"/>
                <w:highlight w:val="none"/>
              </w:rPr>
              <w:t>报价应包含完成西安市公安局交通警察支队</w:t>
            </w:r>
            <w:r>
              <w:rPr>
                <w:rFonts w:hint="eastAsia" w:ascii="宋体" w:hAnsi="宋体" w:eastAsia="宋体" w:cs="宋体"/>
                <w:b/>
                <w:bCs/>
                <w:color w:val="auto"/>
                <w:szCs w:val="21"/>
                <w:highlight w:val="none"/>
                <w:lang w:eastAsia="zh-CN"/>
              </w:rPr>
              <w:t>政治处辅警健康体检</w:t>
            </w:r>
            <w:r>
              <w:rPr>
                <w:rFonts w:hint="eastAsia" w:ascii="宋体" w:hAnsi="宋体" w:eastAsia="宋体" w:cs="宋体"/>
                <w:b/>
                <w:bCs/>
                <w:color w:val="auto"/>
                <w:szCs w:val="21"/>
                <w:highlight w:val="none"/>
                <w:lang w:val="en-US" w:eastAsia="zh-CN"/>
              </w:rPr>
              <w:t>服务过程中</w:t>
            </w:r>
            <w:r>
              <w:rPr>
                <w:rFonts w:hint="eastAsia" w:ascii="宋体" w:hAnsi="宋体" w:eastAsia="宋体" w:cs="宋体"/>
                <w:b/>
                <w:bCs/>
                <w:color w:val="auto"/>
                <w:szCs w:val="21"/>
                <w:highlight w:val="none"/>
              </w:rPr>
              <w:t>的</w:t>
            </w:r>
            <w:r>
              <w:rPr>
                <w:rFonts w:hint="eastAsia" w:ascii="宋体" w:hAnsi="宋体" w:eastAsia="宋体" w:cs="宋体"/>
                <w:b/>
                <w:bCs/>
                <w:color w:val="auto"/>
                <w:kern w:val="0"/>
                <w:sz w:val="20"/>
                <w:szCs w:val="20"/>
                <w:highlight w:val="none"/>
                <w:lang w:val="en-US" w:eastAsia="zh-CN" w:bidi="ar"/>
              </w:rPr>
              <w:t>可能会发生的一切费用</w:t>
            </w:r>
            <w:r>
              <w:rPr>
                <w:rFonts w:hint="eastAsia" w:ascii="宋体" w:hAnsi="宋体" w:eastAsia="宋体" w:cs="宋体"/>
                <w:b/>
                <w:bCs/>
                <w:color w:val="auto"/>
                <w:szCs w:val="21"/>
                <w:highlight w:val="none"/>
              </w:rPr>
              <w:t>。</w:t>
            </w:r>
          </w:p>
          <w:p>
            <w:pPr>
              <w:widowControl w:val="0"/>
              <w:spacing w:line="360" w:lineRule="auto"/>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2）供应商必须对所响应项目进行完整报价，采购人不接受（将拒绝）只对部分内容进行报价的响应。</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b w:val="0"/>
                <w:bCs w:val="0"/>
                <w:color w:val="auto"/>
                <w:kern w:val="0"/>
                <w:szCs w:val="21"/>
                <w:highlight w:val="none"/>
              </w:rPr>
              <w:t>3）明显不合理或者低于成本且无法合理解释的报价将被否决。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985"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13.1</w:t>
            </w:r>
          </w:p>
        </w:tc>
        <w:tc>
          <w:tcPr>
            <w:tcW w:w="2200" w:type="dxa"/>
            <w:tcBorders>
              <w:tl2br w:val="nil"/>
              <w:tr2bl w:val="nil"/>
            </w:tcBorders>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资格证明文件</w:t>
            </w:r>
          </w:p>
        </w:tc>
        <w:tc>
          <w:tcPr>
            <w:tcW w:w="56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提供注册登记凭证（营业执照、其他组织经营的合法凭证，自然人的提供身份证明文件）。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2021年度</w:t>
            </w:r>
            <w:r>
              <w:rPr>
                <w:rFonts w:hint="eastAsia" w:ascii="宋体" w:hAnsi="宋体" w:eastAsia="宋体" w:cs="宋体"/>
                <w:color w:val="auto"/>
                <w:sz w:val="21"/>
                <w:szCs w:val="21"/>
                <w:highlight w:val="none"/>
              </w:rPr>
              <w:t>经审计的财务报告（包括四表一注，即资产负债表、利润表、现金流量表、所有者权益变动表及其附注），且无反对意见；事业法人提供部门决算报告；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/或在磋商截止日期前六个月内其基本开户银行出具的资信证明（附《基本存款账户信息》或《银行开户许可证》复印件）；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/或财政部门认可的政府采购专业担保机构出具的投标担保函；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以上三种形式的资料提供任何一种即可。</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提供声明文件原件。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4）具有依法缴纳税收的良好记录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提供缴费所属日期为磋商截止时间前12个月内任一月份（磋商截止时间当月不计入）的缴费凭据或税务机关出具的完税证明/在法规范围内不需提供的应出具书面说明和证明文件。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5）具有依法缴纳社会保障资金的良好记录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提供缴费所属日期为磋商截止时间前12个月内任一月份（磋商截止时间当月不计入）的缴费凭据或社保机关出具的缴费证明/在法规范围内不需提供的应出具书面说明和证明文件。</w:t>
            </w:r>
          </w:p>
          <w:p>
            <w:pPr>
              <w:keepNext w:val="0"/>
              <w:keepLines w:val="0"/>
              <w:pageBreakBefore w:val="0"/>
              <w:widowControl w:val="0"/>
              <w:kinsoku/>
              <w:wordWrap/>
              <w:overflowPunct/>
              <w:topLinePunct w:val="0"/>
              <w:autoSpaceDE/>
              <w:autoSpaceDN/>
              <w:bidi w:val="0"/>
              <w:adjustRightInd/>
              <w:snapToGrid/>
              <w:spacing w:before="167" w:beforeLines="50" w:line="360" w:lineRule="auto"/>
              <w:jc w:val="left"/>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6）参加政府采购活动前3年内在经营活动中没有重大违法记录的书面声明（原件）</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7）法人代表授权书（原件）</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67" w:beforeLines="50"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供应商所具有卫生行政部门核准登记取得的《医疗机构执业许可证》和《放射诊疗许可证》</w:t>
            </w:r>
            <w:r>
              <w:rPr>
                <w:rFonts w:hint="eastAsia" w:ascii="宋体" w:hAnsi="宋体" w:eastAsia="宋体" w:cs="宋体"/>
                <w:b/>
                <w:bCs/>
                <w:color w:val="auto"/>
                <w:kern w:val="0"/>
                <w:szCs w:val="21"/>
                <w:highlight w:val="none"/>
                <w:lang w:eastAsia="zh-CN"/>
              </w:rPr>
              <w:t>。</w:t>
            </w:r>
          </w:p>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注：①以上资格证明文件供应商必须完全提供，一项不合格即按照无效响应处理，注明原件的须胶装在响应文件正本中；②除注明原件外，均为复印件；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13.2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其他证明文件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13.3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要求单独密封并与磋商响应文件一并提交的证明文件原件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14.2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本次采购特别要求的服务合格性证明文件</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15</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是否要求磋商保证金</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16.1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磋商报价有效期</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磋商后90天。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磋商响应文件份数</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正本一份，副本二份，电子版一份。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701"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17.2</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电子版文件要求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有，要求如下：</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1）供应商须另行提供与纸质响应文件正本一致的PDF格式U盘，且盖章、签字处必须扫描并清晰可辨；</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2）供应商须保证响应文件纸质文件与电子文档保持一致；</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3）电子文档表面需标明项目编号、供应商名称等信息。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21"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17.3</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法人代表授权书签字盖章要求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所有要求法定代表人（单位负责人）签名处，均须由签名者本人用不褪色的蓝（黑）色墨水（汁）书写全名，也可以盖刻有法定代表人（单位负责人）姓名的图章代替。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17.6</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印章</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磋商文件规定盖公章处，可加盖经公章授权的单位其他印章（附公章授权书原件，格式自拟）。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1038"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18.1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磋商响应文件装订及包装密封要求</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1）磋商响应文件正、副本应分别装订成册，装订应牢固、不易拆散和换页，不得采用活页装订。</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2）密封包装方式：</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①资格部分磋商响应文件正、副本一包密封。</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②技术和商务部分磋商响应文件正、副本一包密封。</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③电子版单独密封递交。</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3）外层包装请按以下要求标记：</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①供应商的全称；</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②磋商项目名称、项目编号、“资格部分”或“技术和商务部分”或“电子版”；</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③正本或副本及“请勿在＿＿＿＿＿(磋商时间)之前启封”。</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4）为支持国家环保政策，建议磋商报价人双面装订响应文件。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380"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19.1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磋商响应文件递交的截止时间和磋商地点</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响应文件递交地址：西安市南二环西段58号成长大厦10层会议室；</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时30分；</w:t>
            </w:r>
          </w:p>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响应文件接收人：西北（陕西）国际招标有限公司。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22.1</w:t>
            </w:r>
          </w:p>
        </w:tc>
        <w:tc>
          <w:tcPr>
            <w:tcW w:w="2200" w:type="dxa"/>
            <w:tcBorders>
              <w:tl2br w:val="nil"/>
              <w:tr2bl w:val="nil"/>
            </w:tcBorders>
            <w:vAlign w:val="center"/>
          </w:tcPr>
          <w:p>
            <w:pPr>
              <w:widowControl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磋商时间和地点</w:t>
            </w:r>
          </w:p>
        </w:tc>
        <w:tc>
          <w:tcPr>
            <w:tcW w:w="5684" w:type="dxa"/>
            <w:tcBorders>
              <w:tl2br w:val="nil"/>
              <w:tr2bl w:val="nil"/>
            </w:tcBorders>
            <w:vAlign w:val="center"/>
          </w:tcPr>
          <w:p>
            <w:pPr>
              <w:widowControl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磋商时间：同响应文件递交截止时间；</w:t>
            </w:r>
          </w:p>
          <w:p>
            <w:pPr>
              <w:widowControl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磋商地点：同响应文件递交</w:t>
            </w:r>
            <w:r>
              <w:rPr>
                <w:rFonts w:hint="eastAsia" w:ascii="宋体" w:hAnsi="宋体" w:eastAsia="宋体" w:cs="宋体"/>
                <w:color w:val="auto"/>
                <w:szCs w:val="21"/>
                <w:highlight w:val="none"/>
                <w:lang w:val="en-US" w:eastAsia="zh-CN"/>
              </w:rPr>
              <w:t>地点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909"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22.2</w:t>
            </w:r>
          </w:p>
        </w:tc>
        <w:tc>
          <w:tcPr>
            <w:tcW w:w="2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磋商报价次数、磋商程序和最终报价的产生原则</w:t>
            </w:r>
          </w:p>
        </w:tc>
        <w:tc>
          <w:tcPr>
            <w:tcW w:w="56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本次磋商采用二次报价。</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磋商程序为：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1）对所有提交的响应文件进行评审；</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2）磋商小组所有成员集中与单一供应商分别进行磋商；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3）供应商按照要求自行保密提交二次报价；</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4）磋商小组评审、推荐成交候选人。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在磋商过程中，磋商小组可以根据磋商文件和磋商情况实质性变动采购需求中的技术、服务要求以及合同草案条款，二次报价为最终报价。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56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24.1</w:t>
            </w:r>
          </w:p>
        </w:tc>
        <w:tc>
          <w:tcPr>
            <w:tcW w:w="2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成交候选人数量</w:t>
            </w:r>
          </w:p>
        </w:tc>
        <w:tc>
          <w:tcPr>
            <w:tcW w:w="56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29.2</w:t>
            </w:r>
          </w:p>
        </w:tc>
        <w:tc>
          <w:tcPr>
            <w:tcW w:w="22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56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确定成交人后3日内，由成交人向采购代理机构一次付清采购代理服务费</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rPr>
              <w:t>采购代理服务费的金额以</w:t>
            </w:r>
            <w:r>
              <w:rPr>
                <w:rFonts w:hint="eastAsia" w:ascii="宋体" w:hAnsi="宋体" w:cs="宋体"/>
                <w:color w:val="auto"/>
                <w:szCs w:val="21"/>
                <w:highlight w:val="none"/>
                <w:lang w:val="en-US" w:eastAsia="zh-CN"/>
              </w:rPr>
              <w:t>预算</w:t>
            </w:r>
            <w:r>
              <w:rPr>
                <w:rFonts w:hint="eastAsia" w:ascii="宋体" w:hAnsi="宋体" w:cs="宋体"/>
                <w:color w:val="auto"/>
                <w:szCs w:val="21"/>
                <w:highlight w:val="none"/>
              </w:rPr>
              <w:t>金额为基数参照原《国家计委关于印发&lt;招标代理服务收费管理暂行办法&gt;的通知》（计价格【2002】1980号）执行。</w:t>
            </w:r>
            <w:bookmarkStart w:id="103" w:name="_GoBack"/>
            <w:bookmarkEnd w:id="103"/>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113" w:type="dxa"/>
            <w:bottom w:w="0" w:type="dxa"/>
            <w:right w:w="113" w:type="dxa"/>
          </w:tblCellMar>
        </w:tblPrEx>
        <w:trPr>
          <w:trHeight w:val="737" w:hRule="atLeast"/>
        </w:trPr>
        <w:tc>
          <w:tcPr>
            <w:tcW w:w="988" w:type="dxa"/>
            <w:tcBorders>
              <w:tl2br w:val="nil"/>
              <w:tr2bl w:val="nil"/>
            </w:tcBorders>
            <w:vAlign w:val="center"/>
          </w:tcPr>
          <w:p>
            <w:pPr>
              <w:spacing w:line="320" w:lineRule="exact"/>
              <w:jc w:val="center"/>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w:t>
            </w:r>
          </w:p>
        </w:tc>
        <w:tc>
          <w:tcPr>
            <w:tcW w:w="2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政府采购政策功能</w:t>
            </w:r>
          </w:p>
        </w:tc>
        <w:tc>
          <w:tcPr>
            <w:tcW w:w="56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1）根据《陕西省财政厅关于印发&lt;陕西省中小企业政府采购信用融资办法&gt;的通知》（陕财办采〔2018〕23 号，详见本章附件1）相关规定，有融资需求的供应商可根据自身情况，在陕西省政府采购信用融资平台http://www.ccgp-shaanxi.gov.cn/zcdservice/zcd/shanxi/）自主选择金融机构及其融资产品，凭政府采购中标（成交）通知书或政府采购合同提出融资申请。政府采购监管部门业务咨询电话：029-68936409、68936341、69936154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2）对于供应商符合政府采购政策关于小微企业、残疾人福利性单位及监狱企业等规定的，在评标时给予相应的价格折扣，具体办法详见第五章“评审方法”。</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bCs/>
          <w:color w:val="auto"/>
          <w:sz w:val="21"/>
          <w:szCs w:val="21"/>
          <w:highlight w:val="none"/>
        </w:rPr>
      </w:pPr>
      <w:r>
        <w:rPr>
          <w:rStyle w:val="31"/>
          <w:rFonts w:hint="eastAsia" w:ascii="宋体" w:hAnsi="宋体" w:eastAsia="宋体" w:cs="宋体"/>
          <w:bCs/>
          <w:color w:val="auto"/>
          <w:kern w:val="0"/>
          <w:highlight w:val="none"/>
        </w:rPr>
        <w:br w:type="page"/>
      </w:r>
      <w:r>
        <w:rPr>
          <w:rFonts w:hint="eastAsia" w:ascii="宋体" w:hAnsi="宋体" w:eastAsia="宋体" w:cs="宋体"/>
          <w:b/>
          <w:bCs/>
          <w:color w:val="auto"/>
          <w:sz w:val="21"/>
          <w:szCs w:val="21"/>
          <w:highlight w:val="none"/>
        </w:rPr>
        <w:t>附件1：</w:t>
      </w:r>
    </w:p>
    <w:p>
      <w:pPr>
        <w:pStyle w:val="3"/>
        <w:keepNext w:val="0"/>
        <w:spacing w:line="750" w:lineRule="atLeast"/>
        <w:ind w:firstLine="241" w:firstLineChars="100"/>
        <w:rPr>
          <w:rFonts w:hint="eastAsia" w:ascii="宋体" w:hAnsi="宋体" w:eastAsia="宋体" w:cs="宋体"/>
          <w:color w:val="auto"/>
          <w:sz w:val="39"/>
          <w:szCs w:val="39"/>
          <w:highlight w:val="none"/>
        </w:rPr>
      </w:pPr>
      <w:r>
        <w:rPr>
          <w:rFonts w:hint="eastAsia" w:ascii="宋体" w:hAnsi="宋体" w:eastAsia="宋体" w:cs="宋体"/>
          <w:bCs/>
          <w:color w:val="auto"/>
          <w:sz w:val="24"/>
          <w:szCs w:val="24"/>
          <w:highlight w:val="none"/>
        </w:rPr>
        <w:t>陕西省财政厅关于印发《陕西省中小企业政府采购信用融资办法》</w:t>
      </w:r>
    </w:p>
    <w:p>
      <w:pPr>
        <w:pStyle w:val="19"/>
        <w:keepNext w:val="0"/>
        <w:keepLines w:val="0"/>
        <w:pageBreakBefore w:val="0"/>
        <w:widowControl/>
        <w:kinsoku/>
        <w:wordWrap/>
        <w:overflowPunct/>
        <w:topLinePunct w:val="0"/>
        <w:autoSpaceDE/>
        <w:autoSpaceDN/>
        <w:bidi w:val="0"/>
        <w:adjustRightInd/>
        <w:snapToGrid/>
        <w:spacing w:before="167" w:beforeLines="50" w:beforeAutospacing="0" w:after="167" w:afterLines="5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rPr>
        <w:t>陕财办采〔2018〕23号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各设区市、西咸新区、韩城市财政局，省级各部门、单位，各有关金融机构、有关企业：</w:t>
      </w:r>
    </w:p>
    <w:p>
      <w:pPr>
        <w:pStyle w:val="19"/>
        <w:keepNext w:val="0"/>
        <w:keepLines w:val="0"/>
        <w:pageBreakBefore w:val="0"/>
        <w:widowControl/>
        <w:kinsoku/>
        <w:wordWrap/>
        <w:overflowPunct/>
        <w:topLinePunct w:val="0"/>
        <w:autoSpaceDE/>
        <w:autoSpaceDN/>
        <w:bidi w:val="0"/>
        <w:adjustRightInd/>
        <w:snapToGrid/>
        <w:spacing w:before="167" w:beforeLines="50" w:beforeAutospacing="0" w:after="0" w:afterAutospacing="0"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pPr>
        <w:pStyle w:val="19"/>
        <w:spacing w:before="0" w:beforeAutospacing="0" w:after="0" w:afterAutospacing="0"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陕西省财政厅</w:t>
      </w:r>
    </w:p>
    <w:p>
      <w:pPr>
        <w:pStyle w:val="19"/>
        <w:spacing w:before="0" w:beforeAutospacing="0" w:after="0" w:afterAutospacing="0"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2018年10月8日</w:t>
      </w:r>
    </w:p>
    <w:p>
      <w:pPr>
        <w:keepNext w:val="0"/>
        <w:keepLines w:val="0"/>
        <w:pageBreakBefore w:val="0"/>
        <w:widowControl/>
        <w:kinsoku/>
        <w:wordWrap/>
        <w:overflowPunct/>
        <w:topLinePunct w:val="0"/>
        <w:autoSpaceDE/>
        <w:autoSpaceDN/>
        <w:bidi w:val="0"/>
        <w:adjustRightInd/>
        <w:snapToGrid/>
        <w:spacing w:before="665" w:beforeLines="200" w:after="333" w:afterLines="100"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陕西省中小企业政府采购信用融资办法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第二条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本办法所称“中小企业”包括中型、小型及微型企业，其划型标准按照《关于印发中小企业划型标准规定的通知》（工信部联企业〔2011〕300号）规定执行。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第三条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第四条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开展政府采购信用融资的银行，应当为在陕西省境内注册或设立分支机构，并经财政部门审核且在我省政府采购信息系统搭建服务链接窗口的金融机构。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政府采购信用融资应当坚持“财政引导，市场运行，银企自愿，互惠共赢”的原则。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第六条 省财政厅以全省统一的电子化政府采购系统为平台，对接银行信息化系统，推进政府采购中标成交信息、合同信息、融资信息、支付信息和信用信息等信息资源共享。</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第七条 各级财政部门应当以政府采购诚信考核和信息化建设为基础，积极为中小企业信用融资搭建平台，提供银企对接的机会和相关的服务支持，但不得为相关贷款项目提供任何形式的担保。</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第八条</w:t>
      </w:r>
      <w:r>
        <w:rPr>
          <w:rFonts w:hint="eastAsia" w:ascii="宋体" w:hAnsi="宋体" w:eastAsia="宋体" w:cs="宋体"/>
          <w:color w:val="auto"/>
          <w:kern w:val="0"/>
          <w:szCs w:val="21"/>
          <w:highlight w:val="none"/>
          <w:lang w:val="en-US" w:eastAsia="zh-CN" w:bidi="ar"/>
        </w:rPr>
        <w:t xml:space="preserve"> </w:t>
      </w:r>
      <w:r>
        <w:rPr>
          <w:rFonts w:hint="eastAsia" w:ascii="宋体" w:hAnsi="宋体" w:eastAsia="宋体" w:cs="宋体"/>
          <w:color w:val="auto"/>
          <w:kern w:val="0"/>
          <w:szCs w:val="21"/>
          <w:highlight w:val="none"/>
          <w:lang w:bidi="ar"/>
        </w:rPr>
        <w:t>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第十二条 银行应按规定对申请信用融资的供应商的政府采购合同信息进行审查，必要时可通过陕西政府采购网对该政府采购合同进行审核，以确保政府采购合同的真实性和有效性。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第十五条 省本级政府采购资金支付时，各采购单位必须将采购资金支付到备案合同中指定的融资银行及收款账号，以保障贷款资金的安全回收。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第十六条 各市县操作程序由各地结合本地实际自行拟定，但应当体现“便捷高效、监管有效、风险可控”的原则。</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第十八条 本办法由陕西省财政厅负责解释。</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Style w:val="31"/>
          <w:rFonts w:hint="eastAsia" w:ascii="宋体" w:hAnsi="宋体" w:eastAsia="宋体" w:cs="宋体"/>
          <w:b/>
          <w:bCs/>
          <w:color w:val="auto"/>
          <w:kern w:val="0"/>
          <w:highlight w:val="none"/>
        </w:rPr>
      </w:pPr>
      <w:r>
        <w:rPr>
          <w:rFonts w:hint="eastAsia" w:ascii="宋体" w:hAnsi="宋体" w:eastAsia="宋体" w:cs="宋体"/>
          <w:color w:val="auto"/>
          <w:kern w:val="0"/>
          <w:szCs w:val="21"/>
          <w:highlight w:val="none"/>
          <w:lang w:bidi="ar"/>
        </w:rPr>
        <w:t>第十九条 本办法自2018年11月1日起施行。</w:t>
      </w:r>
      <w:r>
        <w:rPr>
          <w:rStyle w:val="31"/>
          <w:rFonts w:hint="eastAsia" w:ascii="宋体" w:hAnsi="宋体" w:eastAsia="宋体" w:cs="宋体"/>
          <w:b/>
          <w:bCs/>
          <w:color w:val="auto"/>
          <w:kern w:val="0"/>
          <w:highlight w:val="none"/>
        </w:rPr>
        <w:br w:type="page"/>
      </w:r>
    </w:p>
    <w:p>
      <w:pPr>
        <w:pStyle w:val="28"/>
        <w:keepNext/>
        <w:keepLines/>
        <w:pageBreakBefore w:val="0"/>
        <w:widowControl/>
        <w:kinsoku/>
        <w:wordWrap/>
        <w:overflowPunct/>
        <w:topLinePunct w:val="0"/>
        <w:autoSpaceDE/>
        <w:autoSpaceDN/>
        <w:bidi w:val="0"/>
        <w:adjustRightInd/>
        <w:snapToGrid/>
        <w:spacing w:before="313" w:beforeLines="100" w:after="313" w:afterLines="100"/>
        <w:textAlignment w:val="baseline"/>
        <w:outlineLvl w:val="1"/>
        <w:rPr>
          <w:rStyle w:val="31"/>
          <w:rFonts w:hint="eastAsia" w:ascii="宋体" w:hAnsi="宋体" w:eastAsia="宋体" w:cs="宋体"/>
          <w:bCs w:val="0"/>
          <w:color w:val="auto"/>
          <w:sz w:val="32"/>
          <w:szCs w:val="32"/>
          <w:highlight w:val="none"/>
        </w:rPr>
      </w:pPr>
      <w:bookmarkStart w:id="13" w:name="_Toc24924"/>
      <w:bookmarkStart w:id="14" w:name="_Toc82791964"/>
      <w:r>
        <w:rPr>
          <w:rStyle w:val="31"/>
          <w:rFonts w:hint="eastAsia" w:ascii="宋体" w:hAnsi="宋体" w:eastAsia="宋体" w:cs="宋体"/>
          <w:bCs w:val="0"/>
          <w:color w:val="auto"/>
          <w:sz w:val="32"/>
          <w:szCs w:val="32"/>
          <w:highlight w:val="none"/>
        </w:rPr>
        <w:t>磋商须知</w:t>
      </w:r>
      <w:bookmarkEnd w:id="13"/>
      <w:bookmarkEnd w:id="14"/>
    </w:p>
    <w:p>
      <w:pPr>
        <w:pStyle w:val="28"/>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1"/>
          <w:rFonts w:hint="eastAsia" w:ascii="宋体" w:hAnsi="宋体" w:eastAsia="宋体" w:cs="宋体"/>
          <w:color w:val="auto"/>
          <w:highlight w:val="none"/>
        </w:rPr>
      </w:pPr>
      <w:bookmarkStart w:id="15" w:name="_Toc1706"/>
      <w:r>
        <w:rPr>
          <w:rStyle w:val="31"/>
          <w:rFonts w:hint="eastAsia" w:ascii="宋体" w:hAnsi="宋体" w:eastAsia="宋体" w:cs="宋体"/>
          <w:color w:val="auto"/>
          <w:highlight w:val="none"/>
        </w:rPr>
        <w:t>一、总则</w:t>
      </w:r>
      <w:bookmarkEnd w:id="15"/>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1.采购人、采购代理机构和资金来源</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1.1采购人名称、地址见前附表。</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1.2实施本次磋商的采购代理机构为西北（陕西）国际招标有限公司。</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1.3本次磋商采购所签订合同将使用财政性资金支付，资金已落实到位。</w:t>
      </w:r>
    </w:p>
    <w:p>
      <w:pPr>
        <w:keepNext w:val="0"/>
        <w:keepLines w:val="0"/>
        <w:pageBreakBefore w:val="0"/>
        <w:widowControl w:val="0"/>
        <w:kinsoku/>
        <w:wordWrap/>
        <w:overflowPunct/>
        <w:topLinePunct w:val="0"/>
        <w:autoSpaceDE/>
        <w:autoSpaceDN/>
        <w:bidi w:val="0"/>
        <w:adjustRightInd/>
        <w:snapToGrid/>
        <w:spacing w:before="167" w:beforeLines="50" w:line="360" w:lineRule="auto"/>
        <w:ind w:firstLine="422" w:firstLineChars="200"/>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2.合格的供应商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2.1合格供应商的条件：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4）有依法缴纳税收和社会保障资金的良好纪录；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5）参加政府采购活动前三年内，在经营活动中没有重大违法纪录；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6）中华人民共和国法律、行政法规规定的其他条件（见供应商须知前附表）；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7）根据本次采购项目的特殊要求，规定的供应商特定条件（见供应商须知前附表）。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2.2单位负责人为同一人或者存在直接控股、管理关系的不同供应商，不得参加本项目同一合同项下的磋商。如果供应商在磋商中隐瞒了上述关系，其磋商响应文件按照无效处理。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2.3为本采购项目提供整体设计、规范编制或者项目管理、监理、检测等服务的供应商，不得再参加本采购项目的磋商报价。如果供应商在磋商中隐瞒了上述事实，其磋商响应文件按照无效处理。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2.4两个以上的供应商可以组成一个联合体，以一个供应商的身份共同参加磋商报价。以联合体形式参加磋商报价的，联合体各方均应当具备政府采购法第二十二条第一款规定的条件。采购人根据采购项目的特殊要求规定供应商特定条件的，联合体各方中至少应当有一方符合采购人规定的特定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2.4.1联合体各方之间应当签订共同磋商报价协议，明确约定联合体各方承担的工作、合同份额和相应的责任，并将共同磋商报价协议附在磋商响应文件中一并提交。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2.4.2联合体中有同类资质的供应商按照联合体分工承担相同工作的，按照资质等级较低的供应商确定资质等级。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2.4.3以联合体形式参加磋商报价的，联合体各方不得再单独参加或者与其他供应商另外组成联合体参加同一合同项下的磋商报价，否则，其相关磋商响应文件均为无效。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2.5参加本次磋商的供应商不得直接或间接地与采购单位（包括西北（陕西）国际招标有限公司、采购人及用户）有任何关联，亦不得是采购单位的附属机构。如果供应商在磋商中隐瞒了上述关系，其磋商响应文件按照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2.6供应商必须在西北（陕西）国际招标有限公司获取磋商文件，方可参加磋商。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2.7磋商费用自理。不论磋商的结果如何，供应商均应自行承担所有与参加磋商有关的费用。</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3.供应商信用记录查询及使用</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“信用中国”网站（www.creditchina.gov.cn）和“中国政府采购网”（www.ccgp.gov.cn）为供应商信用信息查询渠道，如果供应商被查实在响应文件递交截止时间前已列入失信被执行人、</w:t>
      </w:r>
      <w:r>
        <w:rPr>
          <w:rFonts w:hint="eastAsia" w:ascii="宋体" w:hAnsi="宋体" w:eastAsia="宋体" w:cs="宋体"/>
          <w:color w:val="auto"/>
          <w:kern w:val="0"/>
          <w:szCs w:val="21"/>
          <w:highlight w:val="none"/>
        </w:rPr>
        <w:t>重大税收违法失信主体、</w:t>
      </w:r>
      <w:r>
        <w:rPr>
          <w:rStyle w:val="31"/>
          <w:rFonts w:hint="eastAsia" w:ascii="宋体" w:hAnsi="宋体" w:eastAsia="宋体" w:cs="宋体"/>
          <w:bCs/>
          <w:color w:val="auto"/>
          <w:sz w:val="21"/>
          <w:szCs w:val="21"/>
          <w:highlight w:val="none"/>
        </w:rPr>
        <w:t>政府采购严重违法失信行为记录名单，其响应文件为无效。采购代理机构将打印查询记录作为证据留存。</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4.磋商响应文件内容的真实性</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4.1供应商应保证其磋商响应文件中所提供的所有有关磋商的资料、信息是真实的，并且来源于合法的渠道。因磋商响应文件中所提供的有关磋商和报价的资料、信息不真实，或者其来源不合法而导致的所有法律责任，由供应商自行承担。</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5.磋商过程的监督和管理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5.1同级人民政府</w:t>
      </w:r>
      <w:r>
        <w:rPr>
          <w:rStyle w:val="31"/>
          <w:rFonts w:hint="eastAsia" w:ascii="宋体" w:hAnsi="宋体" w:eastAsia="宋体" w:cs="宋体"/>
          <w:bCs/>
          <w:color w:val="auto"/>
          <w:sz w:val="21"/>
          <w:szCs w:val="21"/>
          <w:highlight w:val="none"/>
        </w:rPr>
        <w:t>财政部</w:t>
      </w:r>
      <w:r>
        <w:rPr>
          <w:rStyle w:val="31"/>
          <w:rFonts w:hint="eastAsia" w:ascii="宋体" w:hAnsi="宋体" w:eastAsia="宋体" w:cs="宋体"/>
          <w:color w:val="auto"/>
          <w:sz w:val="21"/>
          <w:szCs w:val="21"/>
          <w:highlight w:val="none"/>
        </w:rPr>
        <w:t>门及有关部门依法履行对磋商过程的监督管理职责。</w:t>
      </w:r>
    </w:p>
    <w:p>
      <w:pPr>
        <w:pStyle w:val="28"/>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1"/>
          <w:rFonts w:hint="eastAsia" w:ascii="宋体" w:hAnsi="宋体" w:eastAsia="宋体" w:cs="宋体"/>
          <w:color w:val="auto"/>
          <w:highlight w:val="none"/>
        </w:rPr>
      </w:pPr>
      <w:bookmarkStart w:id="16" w:name="_Toc11313"/>
      <w:r>
        <w:rPr>
          <w:rStyle w:val="31"/>
          <w:rFonts w:hint="eastAsia" w:ascii="宋体" w:hAnsi="宋体" w:eastAsia="宋体" w:cs="宋体"/>
          <w:color w:val="auto"/>
          <w:highlight w:val="none"/>
        </w:rPr>
        <w:t>二、磋商文件</w:t>
      </w:r>
      <w:bookmarkEnd w:id="16"/>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6.磋商文件构成</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6.1 磋商文件规定了要求提供的服务。磋商程序和合同条件在磋商文件中均有说明。磋商文件共六章，内容如下：</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第一章 磋商邀请书</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第二章 磋商须知及前附表</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第三章 合同条款及要求</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第四章 磋商内容及服务要求</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第五章 评审方法</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第六章 磋商响应文件格式</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6.2供应商应认真阅读磋商文件中所有的事项、格式、条款和规范等要求。如果供应商没有按照磋商文件要求提交全部资料，或者磋商响应文件没有对磋商文件在各方面都做出实质性响应，由此带来的不利于供应商的评审结果，其风险由供应商承担。</w:t>
      </w:r>
    </w:p>
    <w:p>
      <w:pPr>
        <w:widowControl w:val="0"/>
        <w:spacing w:line="360" w:lineRule="auto"/>
        <w:ind w:firstLine="420" w:firstLineChars="200"/>
        <w:rPr>
          <w:rStyle w:val="31"/>
          <w:rFonts w:hint="eastAsia"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6.3本磋商文件的解释权归西北（陕西）国际招标有限公司。</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7.磋商文件的澄清修改和质疑答复</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7.1磋商采购单位如果对已发出的磋商文件进行必要的澄清或者修改，将在磋商文件要求提交首次磋商响应文件截止时间5日前，以书面形式通知所有依法获取磋商文件的供应商，不足5日的，将顺延提交首次磋商响应文件截止时间。该澄清或者修改的内容作为磋商文件的组成部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7.2 已经依法获取</w:t>
      </w:r>
      <w:r>
        <w:rPr>
          <w:rStyle w:val="31"/>
          <w:rFonts w:hint="eastAsia" w:ascii="宋体" w:hAnsi="宋体" w:eastAsia="宋体" w:cs="宋体"/>
          <w:bCs/>
          <w:color w:val="auto"/>
          <w:sz w:val="21"/>
          <w:szCs w:val="21"/>
          <w:highlight w:val="none"/>
        </w:rPr>
        <w:t>磋商</w:t>
      </w:r>
      <w:r>
        <w:rPr>
          <w:rStyle w:val="31"/>
          <w:rFonts w:hint="eastAsia" w:ascii="宋体" w:hAnsi="宋体" w:eastAsia="宋体" w:cs="宋体"/>
          <w:color w:val="auto"/>
          <w:sz w:val="21"/>
          <w:szCs w:val="21"/>
          <w:highlight w:val="none"/>
        </w:rPr>
        <w:t>文件的供应商对磋商文件有询问或者质疑的，应当在以书面形式向采购代理机构提出，在此之后提出的询问和质疑为无效询问和质疑，采购代理机构不予受理。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7.3对于在规定时间内收到的供应商依法提出的询问或者质疑，采购代理机构将按程序及时作出答复，若对磋商文件做出实质性变动，则按照相关规定延长磋商响应截止时间。</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7.4供应商提出</w:t>
      </w:r>
      <w:r>
        <w:rPr>
          <w:rStyle w:val="31"/>
          <w:rFonts w:hint="eastAsia" w:ascii="宋体" w:hAnsi="宋体" w:eastAsia="宋体" w:cs="宋体"/>
          <w:bCs/>
          <w:color w:val="auto"/>
          <w:sz w:val="21"/>
          <w:szCs w:val="21"/>
          <w:highlight w:val="none"/>
        </w:rPr>
        <w:t>质疑</w:t>
      </w:r>
      <w:r>
        <w:rPr>
          <w:rStyle w:val="31"/>
          <w:rFonts w:hint="eastAsia" w:ascii="宋体" w:hAnsi="宋体" w:eastAsia="宋体" w:cs="宋体"/>
          <w:color w:val="auto"/>
          <w:sz w:val="21"/>
          <w:szCs w:val="21"/>
          <w:highlight w:val="none"/>
        </w:rPr>
        <w:t>应当有明确的请求和必要的证明材料。</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8.磋商响应截止时间和磋商时间的延长</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8.1在磋商响应截止时间前，采购代理机构可以视采购具体情况延长磋商截止时间和磋商时间，并以书面形式通知</w:t>
      </w:r>
      <w:r>
        <w:rPr>
          <w:rStyle w:val="31"/>
          <w:rFonts w:hint="eastAsia" w:ascii="宋体" w:hAnsi="宋体" w:eastAsia="宋体" w:cs="宋体"/>
          <w:bCs/>
          <w:color w:val="auto"/>
          <w:sz w:val="21"/>
          <w:szCs w:val="21"/>
          <w:highlight w:val="none"/>
        </w:rPr>
        <w:t>所有</w:t>
      </w:r>
      <w:r>
        <w:rPr>
          <w:rStyle w:val="31"/>
          <w:rFonts w:hint="eastAsia" w:ascii="宋体" w:hAnsi="宋体" w:eastAsia="宋体" w:cs="宋体"/>
          <w:color w:val="auto"/>
          <w:sz w:val="21"/>
          <w:szCs w:val="21"/>
          <w:highlight w:val="none"/>
        </w:rPr>
        <w:t>购买磋商文件的供应商。</w:t>
      </w:r>
    </w:p>
    <w:p>
      <w:pPr>
        <w:pStyle w:val="28"/>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1"/>
          <w:rFonts w:hint="eastAsia" w:ascii="宋体" w:hAnsi="宋体" w:eastAsia="宋体" w:cs="宋体"/>
          <w:color w:val="auto"/>
          <w:highlight w:val="none"/>
        </w:rPr>
      </w:pPr>
      <w:bookmarkStart w:id="17" w:name="_Toc24566"/>
      <w:r>
        <w:rPr>
          <w:rStyle w:val="31"/>
          <w:rFonts w:hint="eastAsia" w:ascii="宋体" w:hAnsi="宋体" w:eastAsia="宋体" w:cs="宋体"/>
          <w:color w:val="auto"/>
          <w:highlight w:val="none"/>
        </w:rPr>
        <w:t>三、磋商响应文件的编制</w:t>
      </w:r>
      <w:bookmarkEnd w:id="17"/>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9.磋商报价语言和磋商报价货币</w:t>
      </w:r>
    </w:p>
    <w:p>
      <w:pPr>
        <w:widowControl w:val="0"/>
        <w:spacing w:line="360" w:lineRule="auto"/>
        <w:ind w:firstLine="420" w:firstLineChars="200"/>
        <w:rPr>
          <w:rStyle w:val="31"/>
          <w:rFonts w:hint="eastAsia" w:ascii="宋体" w:hAnsi="宋体" w:eastAsia="宋体" w:cs="宋体"/>
          <w:b/>
          <w:color w:val="auto"/>
          <w:sz w:val="21"/>
          <w:szCs w:val="21"/>
          <w:highlight w:val="none"/>
        </w:rPr>
      </w:pPr>
      <w:r>
        <w:rPr>
          <w:rStyle w:val="31"/>
          <w:rFonts w:hint="eastAsia" w:ascii="宋体" w:hAnsi="宋体" w:eastAsia="宋体" w:cs="宋体"/>
          <w:color w:val="auto"/>
          <w:sz w:val="21"/>
          <w:szCs w:val="21"/>
          <w:highlight w:val="none"/>
        </w:rPr>
        <w:t>9.1供应商提交的磋商响应文件以及供应商与采购代理机构就有关磋商报价的所有来往函电均应使用中文。对不同文字文本磋商响应文件的解释发生异议的，以中文文本为准。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9.2磋商报价应以人民币报价。任何包含非人民币报价的磋商响应文件均按无效处理。</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10.磋商响应文件的构成</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10.1 供应商提交的</w:t>
      </w:r>
      <w:r>
        <w:rPr>
          <w:rStyle w:val="31"/>
          <w:rFonts w:hint="eastAsia" w:ascii="宋体" w:hAnsi="宋体" w:eastAsia="宋体" w:cs="宋体"/>
          <w:bCs/>
          <w:color w:val="auto"/>
          <w:sz w:val="21"/>
          <w:szCs w:val="21"/>
          <w:highlight w:val="none"/>
        </w:rPr>
        <w:t>磋商</w:t>
      </w:r>
      <w:r>
        <w:rPr>
          <w:rStyle w:val="31"/>
          <w:rFonts w:hint="eastAsia" w:ascii="宋体" w:hAnsi="宋体" w:eastAsia="宋体" w:cs="宋体"/>
          <w:color w:val="auto"/>
          <w:sz w:val="21"/>
          <w:szCs w:val="21"/>
          <w:highlight w:val="none"/>
        </w:rPr>
        <w:t>响应文件应包括下列部分的内容：</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10.1.1按照磋商须知的要求和磋商响应文件规定格式填写的磋商响应书，磋商报价表，按要求格式出具的法人代表授权书。</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10.1.2</w:t>
      </w:r>
      <w:r>
        <w:rPr>
          <w:rFonts w:hint="eastAsia" w:ascii="宋体" w:hAnsi="宋体" w:eastAsia="宋体" w:cs="宋体"/>
          <w:color w:val="auto"/>
          <w:szCs w:val="21"/>
          <w:highlight w:val="none"/>
        </w:rPr>
        <w:t>按照磋商文件的要求编制的响应文件，内容应包括评审办法中的评审项及响应人根据采购内容认为有必要编制的内容等。</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10.1.3按照磋商文件的要求提交的资格证明文件和其他证明文件。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11.磋商响应文件格式</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11.1 供应商应按照磋商文件中“磋商响应文件格式”所提供的格式和要求制作磋商响应文件，明确表达</w:t>
      </w:r>
      <w:r>
        <w:rPr>
          <w:rStyle w:val="31"/>
          <w:rFonts w:hint="eastAsia" w:ascii="宋体" w:hAnsi="宋体" w:eastAsia="宋体" w:cs="宋体"/>
          <w:bCs/>
          <w:color w:val="auto"/>
          <w:sz w:val="21"/>
          <w:szCs w:val="21"/>
          <w:highlight w:val="none"/>
        </w:rPr>
        <w:t>磋商</w:t>
      </w:r>
      <w:r>
        <w:rPr>
          <w:rStyle w:val="31"/>
          <w:rFonts w:hint="eastAsia" w:ascii="宋体" w:hAnsi="宋体" w:eastAsia="宋体" w:cs="宋体"/>
          <w:color w:val="auto"/>
          <w:sz w:val="21"/>
          <w:szCs w:val="21"/>
          <w:highlight w:val="none"/>
        </w:rPr>
        <w:t>响应意愿，详细说明磋商响应方案和报价。</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11.2 供应商应完整地提供磋商文件要求的所有数据和资料。</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12.磋商报价</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12.1供应商应按照“磋商须知前附表”中规定的要求报价，按照磋商报价表的内容标明磋商报价的所有单项</w:t>
      </w:r>
      <w:r>
        <w:rPr>
          <w:rStyle w:val="31"/>
          <w:rFonts w:hint="eastAsia" w:ascii="宋体" w:hAnsi="宋体" w:eastAsia="宋体" w:cs="宋体"/>
          <w:bCs/>
          <w:color w:val="auto"/>
          <w:sz w:val="21"/>
          <w:szCs w:val="21"/>
          <w:highlight w:val="none"/>
        </w:rPr>
        <w:t>价格</w:t>
      </w:r>
      <w:r>
        <w:rPr>
          <w:rStyle w:val="31"/>
          <w:rFonts w:hint="eastAsia" w:ascii="宋体" w:hAnsi="宋体" w:eastAsia="宋体" w:cs="宋体"/>
          <w:color w:val="auto"/>
          <w:sz w:val="21"/>
          <w:szCs w:val="21"/>
          <w:highlight w:val="none"/>
        </w:rPr>
        <w:t>和总价。</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12.2最后磋商报价是供应商响应文件的有效组成部分。</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13.证明供应商合格和资格的文件</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13.1供应商应按照磋商文件“磋商须知前附表”的要求，在磋商响应文件中提交证明其资格合格的文件。如果资格证明文件不齐全或不合格的，其磋商响应文件按照无效处理。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13.2供应商还应按照磋商文件“磋商须知前附表”的要求，提交其他的证明其能力、信誉、业绩等的</w:t>
      </w:r>
      <w:r>
        <w:rPr>
          <w:rStyle w:val="31"/>
          <w:rFonts w:hint="eastAsia" w:ascii="宋体" w:hAnsi="宋体" w:eastAsia="宋体" w:cs="宋体"/>
          <w:bCs/>
          <w:color w:val="auto"/>
          <w:sz w:val="21"/>
          <w:szCs w:val="21"/>
          <w:highlight w:val="none"/>
        </w:rPr>
        <w:t>证明</w:t>
      </w:r>
      <w:r>
        <w:rPr>
          <w:rStyle w:val="31"/>
          <w:rFonts w:hint="eastAsia" w:ascii="宋体" w:hAnsi="宋体" w:eastAsia="宋体" w:cs="宋体"/>
          <w:color w:val="auto"/>
          <w:sz w:val="21"/>
          <w:szCs w:val="21"/>
          <w:highlight w:val="none"/>
        </w:rPr>
        <w:t>文件。</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13.3如果“磋商须知前附表”有要求，供应商还应按照要求提交证明文件的原件。如果未能提供原件或者提供原件不全的，其磋商响应文件按照无效处理。</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14.证明服务的合格性和符合磋商文件规定的文件</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14.1供应商应在磋商响应文件中提交所提供服务满足磋商文件要求并符合国家法律法规、行业管理部门要求的其他强制性标准的证明文件。缺少证明文件或证明文件不合格的响应文件，与磋商文件要求有</w:t>
      </w:r>
      <w:r>
        <w:rPr>
          <w:rStyle w:val="31"/>
          <w:rFonts w:hint="eastAsia" w:ascii="宋体" w:hAnsi="宋体" w:eastAsia="宋体" w:cs="宋体"/>
          <w:bCs/>
          <w:color w:val="auto"/>
          <w:sz w:val="21"/>
          <w:szCs w:val="21"/>
          <w:highlight w:val="none"/>
        </w:rPr>
        <w:t>重大</w:t>
      </w:r>
      <w:r>
        <w:rPr>
          <w:rStyle w:val="31"/>
          <w:rFonts w:hint="eastAsia" w:ascii="宋体" w:hAnsi="宋体" w:eastAsia="宋体" w:cs="宋体"/>
          <w:color w:val="auto"/>
          <w:sz w:val="21"/>
          <w:szCs w:val="21"/>
          <w:highlight w:val="none"/>
        </w:rPr>
        <w:t>偏离的响应文件，不符合国家法律法规、行业管理部门要求的其他强制性标准的响应文件将按照无效处理。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14.2上述</w:t>
      </w:r>
      <w:r>
        <w:rPr>
          <w:rStyle w:val="31"/>
          <w:rFonts w:hint="eastAsia" w:ascii="宋体" w:hAnsi="宋体" w:eastAsia="宋体" w:cs="宋体"/>
          <w:bCs/>
          <w:color w:val="auto"/>
          <w:sz w:val="21"/>
          <w:szCs w:val="21"/>
          <w:highlight w:val="none"/>
        </w:rPr>
        <w:t>证明</w:t>
      </w:r>
      <w:r>
        <w:rPr>
          <w:rStyle w:val="31"/>
          <w:rFonts w:hint="eastAsia" w:ascii="宋体" w:hAnsi="宋体" w:eastAsia="宋体" w:cs="宋体"/>
          <w:color w:val="auto"/>
          <w:sz w:val="21"/>
          <w:szCs w:val="21"/>
          <w:highlight w:val="none"/>
        </w:rPr>
        <w:t>文件可以是文字资料、图纸、图片和数据，它包括：本次采购</w:t>
      </w:r>
      <w:r>
        <w:rPr>
          <w:rStyle w:val="31"/>
          <w:rFonts w:hint="eastAsia" w:ascii="宋体" w:hAnsi="宋体" w:eastAsia="宋体" w:cs="宋体"/>
          <w:bCs/>
          <w:color w:val="auto"/>
          <w:sz w:val="21"/>
          <w:szCs w:val="21"/>
          <w:highlight w:val="none"/>
        </w:rPr>
        <w:t>特别</w:t>
      </w:r>
      <w:r>
        <w:rPr>
          <w:rStyle w:val="31"/>
          <w:rFonts w:hint="eastAsia" w:ascii="宋体" w:hAnsi="宋体" w:eastAsia="宋体" w:cs="宋体"/>
          <w:color w:val="auto"/>
          <w:sz w:val="21"/>
          <w:szCs w:val="21"/>
          <w:highlight w:val="none"/>
        </w:rPr>
        <w:t>要求的服务合格性证明文件（见“磋商须知前附表”）。</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15.磋商保证金</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无。</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16.磋商报价有效期</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16.1磋商报价应在 “磋商须知前附表”中规定的磋商报价有效期内保持有效。磋商报价不满足规定有效期的，其磋商响应文件将按照无效处理。</w:t>
      </w:r>
    </w:p>
    <w:p>
      <w:pPr>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在特殊情况下，在原磋商报价有效期期满之前，采购代理机构可向磋商报价人提出延长磋商报价有效期的要求。这种要求与答复均应以书面的形式。磋商报价人可以拒绝采购代理机构的这种要求。同意延长的磋商报价人既不能要求也不允许修改其响应文件。</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17.磋商响应文件的式样和签署</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17.1供应商应按照磋商须知的要求, 准备一份磋商响应文件正本和“磋商须知前附表”中规定数量的副本，副本可以是正本的复印件。每套磋商响应文件须清楚地标明“正本”或“副本”。如果发生正本与副本不一致的情况，以正本为准。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17.2如果磋商文件有要求，还应按照“磋商须知前附表”的要求准备相应格式和载体的电子版文件。</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17.3磋商响应文件正本需打印或用不褪色的蓝（黑）色墨水（汁）书写,并由供应商法人代表或经法人代表正式授权的代表签字。授权代表须将按磋商文件规定的格式出具的“法人代表授权书”附在磋商响应文件中。</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17.4任何行间插字、涂改和增删，必须由磋商响应文件的签字人在旁边签字才有效。</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17.5因字迹潦草、表述不清或不按磋商文件格式编制的磋商响应文件，所引起的对供应商不利的后果，由供应商自行负责。</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17.6 印章的其他规定见“磋商须知前附表”。</w:t>
      </w:r>
    </w:p>
    <w:p>
      <w:pPr>
        <w:pStyle w:val="28"/>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1"/>
          <w:rFonts w:hint="eastAsia" w:ascii="宋体" w:hAnsi="宋体" w:eastAsia="宋体" w:cs="宋体"/>
          <w:color w:val="auto"/>
          <w:highlight w:val="none"/>
        </w:rPr>
      </w:pPr>
      <w:bookmarkStart w:id="18" w:name="_Toc27012"/>
      <w:r>
        <w:rPr>
          <w:rStyle w:val="31"/>
          <w:rFonts w:hint="eastAsia" w:ascii="宋体" w:hAnsi="宋体" w:eastAsia="宋体" w:cs="宋体"/>
          <w:color w:val="auto"/>
          <w:highlight w:val="none"/>
        </w:rPr>
        <w:t>四、磋商响应文件的递交</w:t>
      </w:r>
      <w:bookmarkEnd w:id="18"/>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18.磋商响应文件的装订、密封和标记</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18.1磋商响应文件的正本与副本应分别装订成册，并编制目录，具体装订和包装密封要求见本须知“磋商须知前附表”规定。</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18.2外层包装请按以下要求标记：</w:t>
      </w:r>
    </w:p>
    <w:p>
      <w:pPr>
        <w:widowControl w:val="0"/>
        <w:spacing w:line="360" w:lineRule="auto"/>
        <w:ind w:firstLine="420" w:firstLineChars="200"/>
        <w:rPr>
          <w:rStyle w:val="31"/>
          <w:rFonts w:hint="eastAsia" w:ascii="宋体" w:hAnsi="宋体" w:eastAsia="宋体" w:cs="宋体"/>
          <w:b w:val="0"/>
          <w:bCs/>
          <w:color w:val="auto"/>
          <w:sz w:val="21"/>
          <w:szCs w:val="21"/>
          <w:highlight w:val="none"/>
        </w:rPr>
      </w:pPr>
      <w:r>
        <w:rPr>
          <w:rStyle w:val="31"/>
          <w:rFonts w:hint="eastAsia" w:ascii="宋体" w:hAnsi="宋体" w:eastAsia="宋体" w:cs="宋体"/>
          <w:b w:val="0"/>
          <w:bCs/>
          <w:color w:val="auto"/>
          <w:sz w:val="21"/>
          <w:szCs w:val="21"/>
          <w:highlight w:val="none"/>
        </w:rPr>
        <w:t>1）供应商的全称；</w:t>
      </w:r>
    </w:p>
    <w:p>
      <w:pPr>
        <w:widowControl w:val="0"/>
        <w:spacing w:line="360" w:lineRule="auto"/>
        <w:ind w:firstLine="420" w:firstLineChars="200"/>
        <w:rPr>
          <w:rStyle w:val="31"/>
          <w:rFonts w:hint="eastAsia" w:ascii="宋体" w:hAnsi="宋体" w:eastAsia="宋体" w:cs="宋体"/>
          <w:b w:val="0"/>
          <w:bCs/>
          <w:color w:val="auto"/>
          <w:sz w:val="21"/>
          <w:szCs w:val="21"/>
          <w:highlight w:val="none"/>
        </w:rPr>
      </w:pPr>
      <w:r>
        <w:rPr>
          <w:rStyle w:val="31"/>
          <w:rFonts w:hint="eastAsia" w:ascii="宋体" w:hAnsi="宋体" w:eastAsia="宋体" w:cs="宋体"/>
          <w:b w:val="0"/>
          <w:bCs/>
          <w:color w:val="auto"/>
          <w:sz w:val="21"/>
          <w:szCs w:val="21"/>
          <w:highlight w:val="none"/>
        </w:rPr>
        <w:t>2）磋商项目名称、项目编号、</w:t>
      </w:r>
      <w:r>
        <w:rPr>
          <w:rFonts w:hint="eastAsia" w:ascii="宋体" w:hAnsi="宋体" w:eastAsia="宋体" w:cs="宋体"/>
          <w:b w:val="0"/>
          <w:bCs/>
          <w:color w:val="auto"/>
          <w:szCs w:val="21"/>
          <w:highlight w:val="none"/>
        </w:rPr>
        <w:t>“资格部分”或“技术和商务部分”或“电子版”；</w:t>
      </w:r>
    </w:p>
    <w:p>
      <w:pPr>
        <w:widowControl w:val="0"/>
        <w:spacing w:line="360" w:lineRule="auto"/>
        <w:ind w:firstLine="420" w:firstLineChars="200"/>
        <w:rPr>
          <w:rStyle w:val="31"/>
          <w:rFonts w:hint="eastAsia" w:ascii="宋体" w:hAnsi="宋体" w:eastAsia="宋体" w:cs="宋体"/>
          <w:b w:val="0"/>
          <w:bCs/>
          <w:color w:val="auto"/>
          <w:sz w:val="21"/>
          <w:szCs w:val="21"/>
          <w:highlight w:val="none"/>
        </w:rPr>
      </w:pPr>
      <w:r>
        <w:rPr>
          <w:rStyle w:val="31"/>
          <w:rFonts w:hint="eastAsia" w:ascii="宋体" w:hAnsi="宋体" w:eastAsia="宋体" w:cs="宋体"/>
          <w:b w:val="0"/>
          <w:bCs/>
          <w:color w:val="auto"/>
          <w:sz w:val="21"/>
          <w:szCs w:val="21"/>
          <w:highlight w:val="none"/>
        </w:rPr>
        <w:t>3）</w:t>
      </w:r>
      <w:r>
        <w:rPr>
          <w:rFonts w:hint="eastAsia" w:ascii="宋体" w:hAnsi="宋体" w:eastAsia="宋体" w:cs="宋体"/>
          <w:b w:val="0"/>
          <w:bCs/>
          <w:color w:val="auto"/>
          <w:szCs w:val="21"/>
          <w:highlight w:val="none"/>
        </w:rPr>
        <w:t>正本或副本及“请勿在＿＿＿＿＿(磋商时间)之前启封”</w:t>
      </w:r>
      <w:r>
        <w:rPr>
          <w:rStyle w:val="31"/>
          <w:rFonts w:hint="eastAsia" w:ascii="宋体" w:hAnsi="宋体" w:eastAsia="宋体" w:cs="宋体"/>
          <w:b w:val="0"/>
          <w:bCs/>
          <w:color w:val="auto"/>
          <w:sz w:val="21"/>
          <w:szCs w:val="21"/>
          <w:highlight w:val="none"/>
        </w:rPr>
        <w:t>。</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18.3如果在“磋商须知前附表”中要求提供证明文件的原件，则证明文件的原件必须按照磋商须知前附表的规定进行封装和递交。</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18.4如果供应商未对磋商响应文件按上述要求进行完好密封，所引起的对供应商不利的后果，由供应商自行承担。</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19．磋商响应文件递交方式和磋商截止时间</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19.1供应商必须派出代表，在“磋商须知前附表”规定的磋商响应文件递交截止时间前，将全部磋商响应文件和磋商报价资料递交至磋商地点并签字确认。磋商地点见“磋商须知前附表”指明的地址或采购代理机构另行通知的地址。</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19.2以邮寄方式递交磋商响应文件的，其磋商响应文件将按照无效处理（疫情期间除外，但供应商应承担因此可能造成的损失及风险）。</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19.3采购代理机构拒绝接收在规定的磋商响应文件递交截止时间后递交的磋商响应文件和磋商报价资料。</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20．磋商报价的修改与撤回</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20.1供应商在递交磋商响应文件后，可以修改或撤回其磋商响应文件，也可以提出价格变动声明，但供应商必须在规定的磋商响应文件递交截止时间之前将修改或撤回或变动价格的书面通知文件递交到采购代理机构。</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20.2供应商的修改或撤回或变动价格的通知应按本须知第17条和18条的规定编制、密封、标记和递交。</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20.3在磋商响应文件递交截止时间之后，供应商不得对其磋商报价做任何修改或撤回。</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20.4在磋商结束之后，对于供应商正常经营活动必须的资质和证明文件原件（包括但不限于：营业执照、经营许可证、资质等级证书、成交通知书、经济合同等），经审查后予以退还。其他磋商响应文件和资料一律不予退还。</w:t>
      </w:r>
    </w:p>
    <w:p>
      <w:pPr>
        <w:pStyle w:val="28"/>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1"/>
          <w:rFonts w:hint="eastAsia" w:ascii="宋体" w:hAnsi="宋体" w:eastAsia="宋体" w:cs="宋体"/>
          <w:color w:val="auto"/>
          <w:highlight w:val="none"/>
        </w:rPr>
      </w:pPr>
      <w:bookmarkStart w:id="19" w:name="_Toc26741"/>
      <w:r>
        <w:rPr>
          <w:rStyle w:val="31"/>
          <w:rFonts w:hint="eastAsia" w:ascii="宋体" w:hAnsi="宋体" w:eastAsia="宋体" w:cs="宋体"/>
          <w:color w:val="auto"/>
          <w:highlight w:val="none"/>
        </w:rPr>
        <w:t>五、磋商与评审</w:t>
      </w:r>
      <w:bookmarkEnd w:id="19"/>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21．磋商小组和磋商评审原则</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21.1按照《中华人民共和国政府采购法》、中华人民共和国2015年第658号国务院令--《中华人民共和国政府采购法实施条例》和中华人民共和国财政部财库[2014]214号《政府采购竞争性磋商采购方式管理暂行办法》的规定，采购机构将依法组建竞争性磋商小组，依法进行磋商和评审工作。</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21.2磋商文件和供应商的响应文件是评审的依据。</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22．磋商及评审程序</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22.1采购代理机构在规定的时间和地点组织磋商。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22.2本次磋商的报价次数、磋商程序和最终报价的产生原则见“磋商须知前附表”的规定。</w:t>
      </w:r>
    </w:p>
    <w:p>
      <w:pPr>
        <w:widowControl w:val="0"/>
        <w:spacing w:line="360" w:lineRule="auto"/>
        <w:ind w:firstLine="420" w:firstLineChars="200"/>
        <w:rPr>
          <w:rFonts w:hint="eastAsia" w:ascii="宋体" w:hAnsi="宋体" w:eastAsia="宋体" w:cs="宋体"/>
          <w:color w:val="auto"/>
          <w:kern w:val="0"/>
          <w:szCs w:val="21"/>
          <w:highlight w:val="none"/>
        </w:rPr>
      </w:pPr>
      <w:r>
        <w:rPr>
          <w:rStyle w:val="31"/>
          <w:rFonts w:hint="eastAsia" w:ascii="宋体" w:hAnsi="宋体" w:eastAsia="宋体" w:cs="宋体"/>
          <w:color w:val="auto"/>
          <w:sz w:val="21"/>
          <w:szCs w:val="21"/>
          <w:highlight w:val="none"/>
        </w:rPr>
        <w:t>22.3</w:t>
      </w:r>
      <w:r>
        <w:rPr>
          <w:rFonts w:hint="eastAsia" w:ascii="宋体" w:hAnsi="宋体" w:eastAsia="宋体" w:cs="宋体"/>
          <w:color w:val="auto"/>
          <w:szCs w:val="21"/>
          <w:highlight w:val="none"/>
        </w:rPr>
        <w:t>磋商开始后，采购人或采购代理机构</w:t>
      </w:r>
      <w:r>
        <w:rPr>
          <w:rFonts w:hint="eastAsia" w:ascii="宋体" w:hAnsi="宋体" w:eastAsia="宋体" w:cs="宋体"/>
          <w:color w:val="auto"/>
          <w:kern w:val="0"/>
          <w:szCs w:val="21"/>
          <w:highlight w:val="none"/>
        </w:rPr>
        <w:t>对响应文件进行资格审查。</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22.4磋商小组对响应文件进行符合性审查，并根据磋商文件规定的程序、评定成交的标准等事项与实质性响应磋商文件要求的供应商进行磋商。未实质性响应磋商文件的响应文件按无效处理，磋商小组将告知有关供应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22.5磋商小组所有成员集中与单一供应商分别进行磋商，并给予所有参加磋商的供应商平等的磋商机会。</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22.6在磋商过程中，磋商小组可以根据磋商文件和磋商情况实质性变动采购需求中的技术、服务要求以及合同草案条款。所有变动内容均是磋商文件的有效组成部分，磋商小组将以书面形式同时通知所有参加磋商的供应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22.7参加磋商的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22.8磋商结束后，磋商小组要求所有继续参加磋商的供应商在规定时间内提交最后报价，最后报价是供应商响应文件的有效组成部分。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22.9已提交响应文件的供应商，在提交最后报价之前，可以根据磋商情况退出磋商。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23．评审过程的保密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23.1竞争性磋商小组成员和与评审活动有关的工作人员不得泄露有关磋商响应文件的评审和比较、成交候选人的推荐以及与评审有关的其他情况。</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23.2在评审过程中，如果供应商试图在磋商响应文件的评审和比较、成交候选人的推荐以及与评审有关的其他方面，向磋商小组、采购人和采购代理机构施加任何影响，其磋商响应文件将按照无效处理。</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24．评审方法</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24.1按照中华人民共和国财政部财库[2014]214号《政府采购竞争性磋商采购方式管理暂行办法》的规定，磋商小组根据综合评分情况，按照评审得分由高到低顺序推荐3名成交候选供应商。</w:t>
      </w:r>
    </w:p>
    <w:p>
      <w:pPr>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1）最低评审价法，是指响应标文件满足磋商文件全部实质性要求，且磋商报价最低的供应商为成交候选人的</w:t>
      </w:r>
      <w:r>
        <w:rPr>
          <w:rStyle w:val="31"/>
          <w:rFonts w:hint="eastAsia" w:ascii="宋体" w:hAnsi="宋体" w:eastAsia="宋体" w:cs="宋体"/>
          <w:color w:val="auto"/>
          <w:sz w:val="21"/>
          <w:szCs w:val="21"/>
          <w:highlight w:val="none"/>
        </w:rPr>
        <w:t>评审</w:t>
      </w:r>
      <w:r>
        <w:rPr>
          <w:rFonts w:hint="eastAsia" w:ascii="宋体" w:hAnsi="宋体" w:eastAsia="宋体" w:cs="宋体"/>
          <w:color w:val="auto"/>
          <w:highlight w:val="none"/>
        </w:rPr>
        <w:t>方法。</w:t>
      </w:r>
    </w:p>
    <w:p>
      <w:pPr>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2）综合评分法，是指响应文件满足磋商文件全部实质性要求，且按照评审因素的量化指标评审得分最高的供应商为成交候选人的评标</w:t>
      </w:r>
      <w:r>
        <w:rPr>
          <w:rStyle w:val="31"/>
          <w:rFonts w:hint="eastAsia" w:ascii="宋体" w:hAnsi="宋体" w:eastAsia="宋体" w:cs="宋体"/>
          <w:color w:val="auto"/>
          <w:sz w:val="21"/>
          <w:szCs w:val="21"/>
          <w:highlight w:val="none"/>
        </w:rPr>
        <w:t>方法</w:t>
      </w:r>
      <w:r>
        <w:rPr>
          <w:rFonts w:hint="eastAsia" w:ascii="宋体" w:hAnsi="宋体" w:eastAsia="宋体" w:cs="宋体"/>
          <w:color w:val="auto"/>
          <w:highlight w:val="none"/>
        </w:rPr>
        <w:t>。</w:t>
      </w:r>
    </w:p>
    <w:p>
      <w:pPr>
        <w:pStyle w:val="28"/>
        <w:keepNext w:val="0"/>
        <w:keepLines w:val="0"/>
        <w:pageBreakBefore w:val="0"/>
        <w:widowControl w:val="0"/>
        <w:kinsoku/>
        <w:wordWrap/>
        <w:overflowPunct/>
        <w:topLinePunct w:val="0"/>
        <w:autoSpaceDE/>
        <w:autoSpaceDN/>
        <w:bidi w:val="0"/>
        <w:adjustRightInd/>
        <w:snapToGrid/>
        <w:spacing w:before="313" w:beforeLines="100" w:after="157" w:afterLines="50"/>
        <w:textAlignment w:val="baseline"/>
        <w:outlineLvl w:val="1"/>
        <w:rPr>
          <w:rStyle w:val="31"/>
          <w:rFonts w:hint="eastAsia" w:ascii="宋体" w:hAnsi="宋体" w:eastAsia="宋体" w:cs="宋体"/>
          <w:color w:val="auto"/>
          <w:highlight w:val="none"/>
        </w:rPr>
      </w:pPr>
      <w:bookmarkStart w:id="20" w:name="_Toc14917"/>
      <w:r>
        <w:rPr>
          <w:rStyle w:val="31"/>
          <w:rFonts w:hint="eastAsia" w:ascii="宋体" w:hAnsi="宋体" w:eastAsia="宋体" w:cs="宋体"/>
          <w:color w:val="auto"/>
          <w:highlight w:val="none"/>
        </w:rPr>
        <w:t>六、确定成交人、成交通知与签约</w:t>
      </w:r>
      <w:bookmarkEnd w:id="20"/>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25．确定成交人</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25.1磋商小组根据评审方法的规定对供应商进行评审排序，推荐成交候选人，形成评审报告。评审报告由磋商小组成员签字确认。</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25.2</w:t>
      </w:r>
      <w:r>
        <w:rPr>
          <w:rFonts w:hint="eastAsia" w:ascii="宋体" w:hAnsi="宋体" w:eastAsia="宋体" w:cs="宋体"/>
          <w:color w:val="auto"/>
          <w:szCs w:val="21"/>
          <w:highlight w:val="none"/>
        </w:rPr>
        <w:t>采购人从评审报告提出的成交候选人中，根据质量和服务均能满足磋商文件实质性响应要求的原则确定成交供应商。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25.3采购人也可以书面授权磋商小组直接确定成交供应商。</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25.4成交供应商确定之后，成交结果将在财政部门指定的政府采购信息发布媒体上公告。如果成交供应商为小微企业或残疾人福利性单位的，将同时公告其《中小企业声明函》或《残疾人福利性单位声明函》。</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25.5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25.6成交供应商拒绝与采购人签订合同的，采购人可以按照评审报告推荐的成交人名单排序，确定下一候选人为成交供应商，也可以重新开展政府采购活动。</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26．成交通知</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 xml:space="preserve">26.1成交供应商确定之后，西北（陕西）国际招标有限公司将发出《成交通知书》。 </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26.2成交通知书对采购人和成交供应商具有同等法律效力。成交通知书发出之后，采购人改变成交结果，或者成交供应商放弃成交，应当承担相应的法律责任。</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27．成交合同的签订</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27.1采购人应当自成交通知书发出之日起三十日内，按照磋商文件和成交供应商的响应文件（包括磋商评审中形成的最后报价等补充文件），与成交供应商签订书面合同。</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27.2采购人自政府采购合同签订之日起2个工作日内，将政府采购合同在省级以上人民政府财政部门指定的媒体上公告，但政府采购合同中涉及国家秘密、商业秘密的内容除外。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28．成交合同的履约验收</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28.1采购人按照政府采购合同规定的技术、服务、安全标准组织对供应商履约情况进行验收，并出具验收书。验收书应当包括每一项技术、服务、安全标准的履约情况。</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29．采购代理服务费</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29.1成交单位应在收到成交通知书3日内，向西北（陕西）国际招标有限公司一次性支付采购代理服务费。</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29.2采购代理服务费的金额见前附表。</w:t>
      </w:r>
    </w:p>
    <w:p>
      <w:pPr>
        <w:keepNext w:val="0"/>
        <w:keepLines w:val="0"/>
        <w:pageBreakBefore w:val="0"/>
        <w:widowControl w:val="0"/>
        <w:kinsoku/>
        <w:wordWrap/>
        <w:overflowPunct/>
        <w:topLinePunct w:val="0"/>
        <w:autoSpaceDE/>
        <w:autoSpaceDN/>
        <w:bidi w:val="0"/>
        <w:adjustRightInd/>
        <w:snapToGrid/>
        <w:spacing w:before="167" w:beforeLines="50" w:line="360" w:lineRule="auto"/>
        <w:textAlignment w:val="baseline"/>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t>30．其他</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30.1磋商开始后，出现下列情形之一的，采购代理机构将终止竞争性磋商采购活动，发布项目终止公告并说明原因，重新开展采购活动：</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（一）因情况变化，不再符合规定的竞争性磋商采购方式适用情形的；</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（二）出现影响采购公正的违法、违规行为的；</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（三）在采购过程中符合竞争要求的供应商不足3家的；</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（四）报价未超过采购预算的供应商不足3家的；</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（五）法律规定的其他情形除外。</w:t>
      </w:r>
    </w:p>
    <w:p>
      <w:pPr>
        <w:widowControl w:val="0"/>
        <w:spacing w:line="360" w:lineRule="auto"/>
        <w:ind w:left="1109" w:leftChars="228" w:hanging="63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30.2提交最后报价的供应商为2家时，可以继续进行磋商的情形：</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（一）市场竞争不充分的科研项目，以及需要扶持的科技成果转化项目；</w:t>
      </w:r>
    </w:p>
    <w:p>
      <w:pPr>
        <w:widowControl w:val="0"/>
        <w:spacing w:line="360" w:lineRule="auto"/>
        <w:ind w:firstLine="420" w:firstLineChars="200"/>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（二）</w:t>
      </w:r>
      <w:r>
        <w:rPr>
          <w:rFonts w:hint="eastAsia" w:ascii="宋体" w:hAnsi="宋体" w:eastAsia="宋体" w:cs="宋体"/>
          <w:color w:val="auto"/>
          <w:szCs w:val="21"/>
          <w:highlight w:val="none"/>
        </w:rPr>
        <w:t>根据财库（2015）124号文件，在采购过程中符合要求的供应商（社会资本）只有2家的。</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30.3落实优先采购节能、环保产品的政策</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采购产品“节能产品政府采购品目清单”的、进入“环境标志产品政府采购品目清单”的，提供证明文件，在评审方法中给予加分优惠（详见评审方法）。采购产品符合财库〔2019〕9号文件精神，进入节能产品、环境标志产品政府采购清单（有效期内）的。供应商属于（财库〔2020〕46号）文件规定的小微企业的，提供中小企业声明函，在评审方法中享受报价优惠折扣（详见评审方法）。供应商属于（财库〔2014〕68号）文件规定的监狱企业的，提供由省级以上监狱管理局、戒毒管理局（含新疆生产建设兵团）出具的属于监狱企业的证明文件，视同小微企业，在评审方法中享受报价优惠折扣（详见评审方法）。供应商属于（财库〔2017〕141号）文件规定的残疾人福利性单位的，提供《残疾人福利性单位声明函》，视同小微企业，在评审方法中享受报价优惠折扣（详见评审方法）。供应商提供的与事实不符的，依照《政府采购法》第七十七条第一款的规定追究法律责任。</w:t>
      </w:r>
    </w:p>
    <w:p>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30.4其他需要说明内容：详见磋商须知前附表。</w:t>
      </w:r>
    </w:p>
    <w:p>
      <w:pPr>
        <w:widowControl w:val="0"/>
        <w:spacing w:line="360" w:lineRule="auto"/>
        <w:ind w:firstLine="640" w:firstLineChars="200"/>
        <w:rPr>
          <w:rStyle w:val="31"/>
          <w:rFonts w:hint="eastAsia" w:ascii="宋体" w:hAnsi="宋体" w:eastAsia="宋体" w:cs="宋体"/>
          <w:color w:val="auto"/>
          <w:kern w:val="0"/>
          <w:sz w:val="32"/>
          <w:szCs w:val="32"/>
          <w:highlight w:val="none"/>
        </w:rPr>
      </w:pPr>
      <w:r>
        <w:rPr>
          <w:rStyle w:val="31"/>
          <w:rFonts w:hint="eastAsia" w:ascii="宋体" w:hAnsi="宋体" w:eastAsia="宋体" w:cs="宋体"/>
          <w:color w:val="auto"/>
          <w:kern w:val="0"/>
          <w:sz w:val="32"/>
          <w:szCs w:val="32"/>
          <w:highlight w:val="none"/>
        </w:rPr>
        <w:br w:type="page"/>
      </w:r>
    </w:p>
    <w:p>
      <w:pPr>
        <w:pStyle w:val="3"/>
        <w:textAlignment w:val="auto"/>
        <w:rPr>
          <w:rFonts w:hint="eastAsia" w:ascii="宋体" w:hAnsi="宋体" w:eastAsia="宋体" w:cs="宋体"/>
          <w:bCs/>
          <w:color w:val="auto"/>
          <w:highlight w:val="none"/>
        </w:rPr>
      </w:pPr>
      <w:bookmarkStart w:id="21" w:name="_Toc13468"/>
      <w:r>
        <w:rPr>
          <w:rFonts w:hint="eastAsia" w:ascii="宋体" w:hAnsi="宋体" w:eastAsia="宋体" w:cs="宋体"/>
          <w:bCs/>
          <w:color w:val="auto"/>
          <w:highlight w:val="none"/>
        </w:rPr>
        <w:t>第三章 合同条款及要求</w:t>
      </w:r>
      <w:bookmarkEnd w:id="21"/>
    </w:p>
    <w:p>
      <w:pPr>
        <w:snapToGrid w:val="0"/>
        <w:spacing w:line="360" w:lineRule="auto"/>
        <w:ind w:left="5373" w:leftChars="2272" w:hanging="602" w:hangingChars="200"/>
        <w:contextualSpacing/>
        <w:rPr>
          <w:rFonts w:hint="eastAsia" w:ascii="宋体" w:hAnsi="宋体" w:eastAsia="宋体" w:cs="宋体"/>
          <w:b/>
          <w:bCs/>
          <w:color w:val="auto"/>
          <w:sz w:val="30"/>
          <w:szCs w:val="30"/>
          <w:highlight w:val="none"/>
        </w:rPr>
      </w:pPr>
    </w:p>
    <w:p>
      <w:pPr>
        <w:snapToGrid w:val="0"/>
        <w:spacing w:line="360" w:lineRule="auto"/>
        <w:ind w:left="5373" w:leftChars="2272" w:hanging="602" w:hangingChars="200"/>
        <w:contextualSpacing/>
        <w:rPr>
          <w:rFonts w:hint="eastAsia" w:ascii="宋体" w:hAnsi="宋体" w:eastAsia="宋体" w:cs="宋体"/>
          <w:b/>
          <w:bCs/>
          <w:color w:val="auto"/>
          <w:sz w:val="30"/>
          <w:szCs w:val="30"/>
          <w:highlight w:val="none"/>
        </w:rPr>
      </w:pPr>
    </w:p>
    <w:p>
      <w:pPr>
        <w:snapToGrid w:val="0"/>
        <w:spacing w:line="360" w:lineRule="auto"/>
        <w:ind w:left="5414" w:leftChars="2272" w:hanging="643" w:hangingChars="200"/>
        <w:contextualSpacing/>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项目编号：</w:t>
      </w:r>
    </w:p>
    <w:p>
      <w:pPr>
        <w:tabs>
          <w:tab w:val="left" w:pos="5670"/>
        </w:tabs>
        <w:autoSpaceDE w:val="0"/>
        <w:autoSpaceDN w:val="0"/>
        <w:adjustRightInd w:val="0"/>
        <w:spacing w:line="360" w:lineRule="auto"/>
        <w:jc w:val="right"/>
        <w:rPr>
          <w:rFonts w:hint="eastAsia" w:ascii="宋体" w:hAnsi="宋体" w:eastAsia="宋体" w:cs="宋体"/>
          <w:b/>
          <w:color w:val="auto"/>
          <w:sz w:val="32"/>
          <w:szCs w:val="32"/>
          <w:highlight w:val="none"/>
        </w:rPr>
      </w:pPr>
    </w:p>
    <w:p>
      <w:pPr>
        <w:pStyle w:val="2"/>
        <w:jc w:val="right"/>
        <w:rPr>
          <w:rFonts w:hint="eastAsia" w:ascii="宋体" w:hAnsi="宋体" w:eastAsia="宋体" w:cs="宋体"/>
          <w:color w:val="auto"/>
          <w:highlight w:val="none"/>
        </w:rPr>
      </w:pPr>
    </w:p>
    <w:p>
      <w:pPr>
        <w:tabs>
          <w:tab w:val="left" w:pos="5670"/>
        </w:tabs>
        <w:autoSpaceDE w:val="0"/>
        <w:autoSpaceDN w:val="0"/>
        <w:adjustRightInd w:val="0"/>
        <w:spacing w:line="360" w:lineRule="auto"/>
        <w:jc w:val="right"/>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rPr>
        <w:t>西安市公安局交通警察支队</w:t>
      </w:r>
      <w:r>
        <w:rPr>
          <w:rFonts w:hint="eastAsia" w:ascii="宋体" w:hAnsi="宋体" w:eastAsia="宋体" w:cs="宋体"/>
          <w:b/>
          <w:bCs/>
          <w:color w:val="auto"/>
          <w:sz w:val="40"/>
          <w:szCs w:val="40"/>
          <w:highlight w:val="none"/>
          <w:lang w:eastAsia="zh-CN"/>
        </w:rPr>
        <w:t>政治处辅警健康体检</w:t>
      </w:r>
    </w:p>
    <w:p>
      <w:pPr>
        <w:pStyle w:val="15"/>
        <w:spacing w:line="360" w:lineRule="auto"/>
        <w:jc w:val="right"/>
        <w:rPr>
          <w:rFonts w:hint="eastAsia" w:ascii="宋体" w:hAnsi="宋体" w:eastAsia="宋体" w:cs="宋体"/>
          <w:b/>
          <w:bCs/>
          <w:color w:val="auto"/>
          <w:sz w:val="36"/>
          <w:szCs w:val="36"/>
          <w:highlight w:val="none"/>
        </w:rPr>
      </w:pPr>
    </w:p>
    <w:p>
      <w:pPr>
        <w:jc w:val="right"/>
        <w:rPr>
          <w:rFonts w:hint="eastAsia" w:ascii="宋体" w:hAnsi="宋体" w:eastAsia="宋体" w:cs="宋体"/>
          <w:color w:val="auto"/>
          <w:highlight w:val="none"/>
        </w:rPr>
      </w:pPr>
    </w:p>
    <w:p>
      <w:pPr>
        <w:pStyle w:val="18"/>
        <w:jc w:val="right"/>
        <w:rPr>
          <w:rFonts w:hint="eastAsia" w:ascii="宋体" w:hAnsi="宋体" w:eastAsia="宋体" w:cs="宋体"/>
          <w:color w:val="auto"/>
          <w:highlight w:val="none"/>
        </w:rPr>
      </w:pPr>
    </w:p>
    <w:p>
      <w:pPr>
        <w:tabs>
          <w:tab w:val="left" w:pos="5670"/>
        </w:tabs>
        <w:autoSpaceDE w:val="0"/>
        <w:autoSpaceDN w:val="0"/>
        <w:adjustRightIn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 xml:space="preserve">合  同  </w:t>
      </w:r>
      <w:r>
        <w:rPr>
          <w:rFonts w:hint="eastAsia" w:ascii="宋体" w:hAnsi="宋体" w:eastAsia="宋体" w:cs="宋体"/>
          <w:b/>
          <w:bCs/>
          <w:color w:val="auto"/>
          <w:sz w:val="44"/>
          <w:szCs w:val="44"/>
          <w:highlight w:val="none"/>
          <w:lang w:val="zh-CN"/>
        </w:rPr>
        <w:t>文</w:t>
      </w: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lang w:val="zh-CN"/>
        </w:rPr>
        <w:t>本</w:t>
      </w:r>
    </w:p>
    <w:p>
      <w:pPr>
        <w:pStyle w:val="15"/>
        <w:spacing w:line="360" w:lineRule="auto"/>
        <w:jc w:val="right"/>
        <w:rPr>
          <w:rFonts w:hint="eastAsia" w:ascii="宋体" w:hAnsi="宋体" w:eastAsia="宋体" w:cs="宋体"/>
          <w:b/>
          <w:bCs/>
          <w:color w:val="auto"/>
          <w:sz w:val="44"/>
          <w:szCs w:val="44"/>
          <w:highlight w:val="none"/>
        </w:rPr>
      </w:pPr>
    </w:p>
    <w:p>
      <w:pPr>
        <w:pStyle w:val="2"/>
        <w:jc w:val="right"/>
        <w:rPr>
          <w:rFonts w:hint="eastAsia" w:ascii="宋体" w:hAnsi="宋体" w:eastAsia="宋体" w:cs="宋体"/>
          <w:color w:val="auto"/>
          <w:highlight w:val="none"/>
        </w:rPr>
      </w:pPr>
    </w:p>
    <w:p>
      <w:pPr>
        <w:jc w:val="right"/>
        <w:rPr>
          <w:rFonts w:hint="eastAsia" w:ascii="宋体" w:hAnsi="宋体" w:eastAsia="宋体" w:cs="宋体"/>
          <w:color w:val="auto"/>
          <w:highlight w:val="none"/>
        </w:rPr>
      </w:pPr>
    </w:p>
    <w:p>
      <w:pPr>
        <w:pStyle w:val="2"/>
        <w:jc w:val="right"/>
        <w:rPr>
          <w:rFonts w:hint="eastAsia" w:ascii="宋体" w:hAnsi="宋体" w:eastAsia="宋体" w:cs="宋体"/>
          <w:color w:val="auto"/>
          <w:highlight w:val="none"/>
        </w:rPr>
      </w:pPr>
    </w:p>
    <w:p>
      <w:pPr>
        <w:jc w:val="right"/>
        <w:rPr>
          <w:rFonts w:hint="eastAsia" w:ascii="宋体" w:hAnsi="宋体" w:eastAsia="宋体" w:cs="宋体"/>
          <w:color w:val="auto"/>
          <w:highlight w:val="none"/>
        </w:rPr>
      </w:pPr>
    </w:p>
    <w:p>
      <w:pPr>
        <w:tabs>
          <w:tab w:val="left" w:pos="5670"/>
        </w:tabs>
        <w:autoSpaceDE w:val="0"/>
        <w:autoSpaceDN w:val="0"/>
        <w:adjustRightInd w:val="0"/>
        <w:spacing w:line="360" w:lineRule="auto"/>
        <w:rPr>
          <w:rFonts w:hint="eastAsia"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zh-CN"/>
        </w:rPr>
        <w:t xml:space="preserve">            甲  方：</w:t>
      </w:r>
      <w:r>
        <w:rPr>
          <w:rFonts w:hint="eastAsia" w:ascii="宋体" w:hAnsi="宋体" w:eastAsia="宋体" w:cs="宋体"/>
          <w:b/>
          <w:bCs/>
          <w:color w:val="auto"/>
          <w:sz w:val="32"/>
          <w:szCs w:val="32"/>
          <w:highlight w:val="none"/>
          <w:u w:val="single"/>
          <w:lang w:val="zh-CN"/>
        </w:rPr>
        <w:t>西安市公安局交通警察支队</w:t>
      </w:r>
    </w:p>
    <w:p>
      <w:pPr>
        <w:tabs>
          <w:tab w:val="left" w:pos="5670"/>
        </w:tabs>
        <w:autoSpaceDE w:val="0"/>
        <w:autoSpaceDN w:val="0"/>
        <w:adjustRightInd w:val="0"/>
        <w:spacing w:before="332" w:beforeLines="100"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 xml:space="preserve">            乙  方：</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u w:val="single"/>
        </w:rPr>
        <w:t xml:space="preserve">                       </w:t>
      </w:r>
    </w:p>
    <w:p>
      <w:pPr>
        <w:widowControl w:val="0"/>
        <w:tabs>
          <w:tab w:val="left" w:pos="5460"/>
        </w:tabs>
        <w:autoSpaceDE w:val="0"/>
        <w:autoSpaceDN w:val="0"/>
        <w:spacing w:line="360" w:lineRule="auto"/>
        <w:jc w:val="center"/>
        <w:textAlignment w:val="auto"/>
        <w:rPr>
          <w:rFonts w:hint="eastAsia" w:ascii="宋体" w:hAnsi="宋体" w:eastAsia="宋体" w:cs="宋体"/>
          <w:b/>
          <w:bCs/>
          <w:color w:val="auto"/>
          <w:sz w:val="32"/>
          <w:szCs w:val="32"/>
          <w:highlight w:val="none"/>
          <w:lang w:val="zh-CN"/>
        </w:rPr>
      </w:pPr>
    </w:p>
    <w:p>
      <w:pPr>
        <w:widowControl w:val="0"/>
        <w:tabs>
          <w:tab w:val="left" w:pos="5460"/>
        </w:tabs>
        <w:autoSpaceDE w:val="0"/>
        <w:autoSpaceDN w:val="0"/>
        <w:spacing w:line="360" w:lineRule="auto"/>
        <w:jc w:val="center"/>
        <w:textAlignment w:val="auto"/>
        <w:rPr>
          <w:rFonts w:hint="eastAsia" w:ascii="宋体" w:hAnsi="宋体" w:eastAsia="宋体" w:cs="宋体"/>
          <w:b/>
          <w:bCs/>
          <w:color w:val="auto"/>
          <w:sz w:val="32"/>
          <w:szCs w:val="32"/>
          <w:highlight w:val="none"/>
          <w:lang w:val="zh-CN"/>
        </w:rPr>
      </w:pPr>
    </w:p>
    <w:p>
      <w:pPr>
        <w:widowControl w:val="0"/>
        <w:tabs>
          <w:tab w:val="left" w:pos="5460"/>
        </w:tabs>
        <w:autoSpaceDE w:val="0"/>
        <w:autoSpaceDN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二零</w:t>
      </w:r>
      <w:r>
        <w:rPr>
          <w:rFonts w:hint="eastAsia" w:ascii="宋体" w:hAnsi="宋体" w:eastAsia="宋体" w:cs="宋体"/>
          <w:b/>
          <w:bCs/>
          <w:color w:val="auto"/>
          <w:sz w:val="32"/>
          <w:szCs w:val="32"/>
          <w:highlight w:val="none"/>
        </w:rPr>
        <w:t>二</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lang w:val="zh-CN"/>
        </w:rPr>
        <w:t>月</w:t>
      </w:r>
    </w:p>
    <w:p>
      <w:pPr>
        <w:widowControl w:val="0"/>
        <w:spacing w:line="360" w:lineRule="auto"/>
        <w:contextualSpacing/>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中国  西安</w:t>
      </w:r>
    </w:p>
    <w:p>
      <w:pPr>
        <w:widowControl w:val="0"/>
        <w:spacing w:line="360" w:lineRule="auto"/>
        <w:contextualSpacing/>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keepNext w:val="0"/>
        <w:keepLines w:val="0"/>
        <w:pageBreakBefore w:val="0"/>
        <w:widowControl/>
        <w:kinsoku/>
        <w:wordWrap/>
        <w:overflowPunct/>
        <w:topLinePunct w:val="0"/>
        <w:autoSpaceDE/>
        <w:autoSpaceDN/>
        <w:bidi w:val="0"/>
        <w:adjustRightInd/>
        <w:snapToGrid/>
        <w:spacing w:before="157" w:beforeLines="50" w:after="625" w:afterLines="200" w:line="360" w:lineRule="auto"/>
        <w:jc w:val="center"/>
        <w:textAlignment w:val="baseline"/>
        <w:rPr>
          <w:rFonts w:hint="eastAsia" w:ascii="宋体" w:hAnsi="宋体" w:eastAsia="宋体" w:cs="宋体"/>
          <w:b/>
          <w:bCs/>
          <w:color w:val="auto"/>
          <w:sz w:val="24"/>
          <w:szCs w:val="24"/>
          <w:highlight w:val="none"/>
          <w:lang w:val="en-US" w:eastAsia="zh-CN"/>
        </w:rPr>
      </w:pPr>
      <w:bookmarkStart w:id="22" w:name="1"/>
      <w:r>
        <w:rPr>
          <w:rFonts w:hint="eastAsia" w:ascii="宋体" w:hAnsi="宋体" w:eastAsia="宋体" w:cs="宋体"/>
          <w:b/>
          <w:bCs/>
          <w:color w:val="auto"/>
          <w:sz w:val="24"/>
          <w:szCs w:val="24"/>
          <w:highlight w:val="none"/>
        </w:rPr>
        <w:t>西安市公安局交通警察支队</w:t>
      </w:r>
      <w:r>
        <w:rPr>
          <w:rFonts w:hint="eastAsia" w:ascii="宋体" w:hAnsi="宋体" w:eastAsia="宋体" w:cs="宋体"/>
          <w:b/>
          <w:bCs/>
          <w:color w:val="auto"/>
          <w:sz w:val="24"/>
          <w:szCs w:val="24"/>
          <w:highlight w:val="none"/>
          <w:lang w:eastAsia="zh-CN"/>
        </w:rPr>
        <w:t>政治处辅警健康体检</w:t>
      </w:r>
      <w:r>
        <w:rPr>
          <w:rFonts w:hint="eastAsia" w:ascii="宋体" w:hAnsi="宋体" w:eastAsia="宋体" w:cs="宋体"/>
          <w:b/>
          <w:bCs/>
          <w:color w:val="auto"/>
          <w:sz w:val="24"/>
          <w:szCs w:val="24"/>
          <w:highlight w:val="none"/>
          <w:lang w:val="en-US" w:eastAsia="zh-CN"/>
        </w:rPr>
        <w:t>合同</w:t>
      </w:r>
    </w:p>
    <w:p>
      <w:pPr>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甲方：</w:t>
      </w:r>
      <w:r>
        <w:rPr>
          <w:rFonts w:hint="eastAsia" w:ascii="宋体" w:hAnsi="宋体" w:eastAsia="宋体" w:cs="宋体"/>
          <w:b/>
          <w:bCs w:val="0"/>
          <w:color w:val="auto"/>
          <w:szCs w:val="21"/>
          <w:highlight w:val="none"/>
          <w:u w:val="single"/>
        </w:rPr>
        <w:t xml:space="preserve"> 西安市公安局交通警察支队</w:t>
      </w:r>
      <w:r>
        <w:rPr>
          <w:rFonts w:hint="eastAsia" w:ascii="宋体" w:hAnsi="宋体" w:eastAsia="宋体" w:cs="宋体"/>
          <w:b/>
          <w:bCs w:val="0"/>
          <w:color w:val="auto"/>
          <w:szCs w:val="21"/>
          <w:highlight w:val="none"/>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422" w:firstLineChars="200"/>
        <w:textAlignment w:val="baseline"/>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乙方：</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single"/>
          <w:lang w:val="en-US" w:eastAsia="zh-CN"/>
        </w:rPr>
        <w:t xml:space="preserve">  </w:t>
      </w:r>
      <w:r>
        <w:rPr>
          <w:rFonts w:hint="eastAsia" w:ascii="宋体" w:hAnsi="宋体" w:eastAsia="宋体" w:cs="宋体"/>
          <w:b/>
          <w:bCs w:val="0"/>
          <w:color w:val="auto"/>
          <w:szCs w:val="21"/>
          <w:highlight w:val="none"/>
          <w:u w:val="single"/>
        </w:rPr>
        <w:t xml:space="preserve">  </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0" w:firstLineChars="200"/>
        <w:jc w:val="both"/>
        <w:textAlignment w:val="baseline"/>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u w:val="single"/>
          <w:lang w:val="zh-CN"/>
        </w:rPr>
        <w:t>西安市公安局交通警察支队政治处辅警健康体检</w:t>
      </w:r>
      <w:r>
        <w:rPr>
          <w:rFonts w:hint="eastAsia" w:ascii="宋体" w:hAnsi="宋体" w:eastAsia="宋体" w:cs="宋体"/>
          <w:bCs/>
          <w:color w:val="auto"/>
          <w:szCs w:val="21"/>
          <w:highlight w:val="none"/>
          <w:lang w:val="zh-CN"/>
        </w:rPr>
        <w:t>由西北（陕西）国际招标有限公司按照政府采购程序依法组织竞争性磋商，西安市公安局交通警察支队(以下简称“甲方”)确定</w:t>
      </w:r>
      <w:r>
        <w:rPr>
          <w:rFonts w:hint="eastAsia" w:ascii="宋体" w:hAnsi="宋体" w:eastAsia="宋体" w:cs="宋体"/>
          <w:bCs/>
          <w:color w:val="auto"/>
          <w:szCs w:val="21"/>
          <w:highlight w:val="none"/>
          <w:u w:val="single"/>
          <w:lang w:val="zh-CN"/>
        </w:rPr>
        <w:t xml:space="preserve">      </w:t>
      </w:r>
      <w:r>
        <w:rPr>
          <w:rFonts w:hint="eastAsia" w:ascii="宋体" w:hAnsi="宋体" w:eastAsia="宋体" w:cs="宋体"/>
          <w:bCs/>
          <w:color w:val="auto"/>
          <w:szCs w:val="21"/>
          <w:highlight w:val="none"/>
          <w:lang w:val="zh-CN"/>
        </w:rPr>
        <w:t>（以下简称“乙方”）为本项目的成交供应商。</w:t>
      </w:r>
    </w:p>
    <w:p>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依据《中华人民共和国民法典》、《中华人民共和国政府采购法》和《中华人民共和国政府采购法实施条例》等法律法规，甲、乙双方在平等基础上协商一致，达成如下合同条款：</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一、</w:t>
      </w:r>
      <w:r>
        <w:rPr>
          <w:rFonts w:hint="eastAsia" w:ascii="宋体" w:hAnsi="宋体" w:eastAsia="宋体" w:cs="宋体"/>
          <w:b/>
          <w:bCs w:val="0"/>
          <w:color w:val="auto"/>
          <w:szCs w:val="21"/>
          <w:highlight w:val="none"/>
          <w:lang w:val="en-US" w:eastAsia="zh-CN"/>
        </w:rPr>
        <w:t>合同价款</w:t>
      </w:r>
    </w:p>
    <w:p>
      <w:pPr>
        <w:keepNext w:val="0"/>
        <w:keepLines w:val="0"/>
        <w:pageBreakBefore w:val="0"/>
        <w:widowControl/>
        <w:kinsoku/>
        <w:wordWrap/>
        <w:overflowPunct/>
        <w:topLinePunct w:val="0"/>
        <w:autoSpaceDE w:val="0"/>
        <w:autoSpaceDN w:val="0"/>
        <w:bidi w:val="0"/>
        <w:adjustRightInd/>
        <w:snapToGrid/>
        <w:spacing w:line="360" w:lineRule="auto"/>
        <w:ind w:firstLine="422" w:firstLineChars="200"/>
        <w:textAlignment w:val="baseline"/>
        <w:rPr>
          <w:rFonts w:hint="eastAsia" w:ascii="宋体" w:hAnsi="宋体" w:eastAsia="宋体" w:cs="宋体"/>
          <w:bCs/>
          <w:color w:val="auto"/>
          <w:szCs w:val="21"/>
          <w:highlight w:val="none"/>
          <w:u w:val="none"/>
          <w:lang w:val="en-US" w:eastAsia="zh-CN"/>
        </w:rPr>
      </w:pP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szCs w:val="21"/>
          <w:highlight w:val="none"/>
        </w:rPr>
        <w:t>合同</w:t>
      </w:r>
      <w:r>
        <w:rPr>
          <w:rFonts w:hint="eastAsia" w:ascii="宋体" w:hAnsi="宋体" w:eastAsia="宋体" w:cs="宋体"/>
          <w:b/>
          <w:bCs w:val="0"/>
          <w:color w:val="auto"/>
          <w:szCs w:val="21"/>
          <w:highlight w:val="none"/>
          <w:lang w:val="en-US" w:eastAsia="zh-CN"/>
        </w:rPr>
        <w:t>金额</w:t>
      </w:r>
      <w:r>
        <w:rPr>
          <w:rFonts w:hint="eastAsia" w:ascii="宋体" w:hAnsi="宋体" w:eastAsia="宋体" w:cs="宋体"/>
          <w:b/>
          <w:bCs w:val="0"/>
          <w:color w:val="auto"/>
          <w:szCs w:val="21"/>
          <w:highlight w:val="none"/>
        </w:rPr>
        <w:t>为</w:t>
      </w:r>
      <w:r>
        <w:rPr>
          <w:rFonts w:hint="eastAsia" w:ascii="宋体" w:hAnsi="宋体" w:eastAsia="宋体" w:cs="宋体"/>
          <w:b/>
          <w:bCs w:val="0"/>
          <w:color w:val="auto"/>
          <w:szCs w:val="21"/>
          <w:highlight w:val="none"/>
          <w:lang w:val="en-US" w:eastAsia="zh-CN"/>
        </w:rPr>
        <w:t>人民币</w:t>
      </w:r>
      <w:r>
        <w:rPr>
          <w:rFonts w:hint="eastAsia" w:ascii="宋体" w:hAnsi="宋体" w:eastAsia="宋体" w:cs="宋体"/>
          <w:b/>
          <w:bCs w:val="0"/>
          <w:color w:val="auto"/>
          <w:szCs w:val="21"/>
          <w:highlight w:val="none"/>
        </w:rPr>
        <w:t>（大写）：</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single"/>
          <w:lang w:val="en-US" w:eastAsia="zh-CN"/>
        </w:rPr>
        <w:t xml:space="preserve">     </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none"/>
        </w:rPr>
        <w:t>（小写：￥</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single"/>
          <w:lang w:val="en-US" w:eastAsia="zh-CN"/>
        </w:rPr>
        <w:t xml:space="preserve">     </w:t>
      </w:r>
      <w:r>
        <w:rPr>
          <w:rFonts w:hint="eastAsia" w:ascii="宋体" w:hAnsi="宋体" w:eastAsia="宋体" w:cs="宋体"/>
          <w:b/>
          <w:bCs w:val="0"/>
          <w:color w:val="auto"/>
          <w:szCs w:val="21"/>
          <w:highlight w:val="none"/>
          <w:u w:val="single"/>
        </w:rPr>
        <w:t xml:space="preserve">   </w:t>
      </w:r>
      <w:r>
        <w:rPr>
          <w:rFonts w:hint="eastAsia" w:ascii="宋体" w:hAnsi="宋体" w:eastAsia="宋体" w:cs="宋体"/>
          <w:b/>
          <w:bCs w:val="0"/>
          <w:color w:val="auto"/>
          <w:szCs w:val="21"/>
          <w:highlight w:val="none"/>
          <w:u w:val="none"/>
        </w:rPr>
        <w:t>元）</w:t>
      </w:r>
      <w:r>
        <w:rPr>
          <w:rFonts w:hint="eastAsia" w:ascii="宋体" w:hAnsi="宋体" w:eastAsia="宋体" w:cs="宋体"/>
          <w:b/>
          <w:bCs w:val="0"/>
          <w:color w:val="auto"/>
          <w:szCs w:val="21"/>
          <w:highlight w:val="none"/>
          <w:u w:val="none"/>
          <w:lang w:eastAsia="zh-CN"/>
        </w:rPr>
        <w:t>，</w:t>
      </w:r>
      <w:r>
        <w:rPr>
          <w:rFonts w:hint="eastAsia" w:ascii="宋体" w:hAnsi="宋体" w:eastAsia="宋体" w:cs="宋体"/>
          <w:b/>
          <w:bCs w:val="0"/>
          <w:color w:val="auto"/>
          <w:szCs w:val="21"/>
          <w:highlight w:val="none"/>
          <w:u w:val="none"/>
          <w:lang w:val="en-US" w:eastAsia="zh-CN"/>
        </w:rPr>
        <w:t>明细如下：</w:t>
      </w:r>
    </w:p>
    <w:tbl>
      <w:tblPr>
        <w:tblStyle w:val="21"/>
        <w:tblW w:w="492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1860"/>
        <w:gridCol w:w="2544"/>
        <w:gridCol w:w="25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5"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预估人数</w:t>
            </w:r>
          </w:p>
        </w:tc>
        <w:tc>
          <w:tcPr>
            <w:tcW w:w="141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单价</w:t>
            </w:r>
          </w:p>
        </w:tc>
        <w:tc>
          <w:tcPr>
            <w:tcW w:w="141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分项合计（元）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Cs w:val="21"/>
                <w:highlight w:val="none"/>
                <w:vertAlign w:val="baseline"/>
                <w:lang w:val="en-US" w:eastAsia="zh-CN"/>
              </w:rPr>
            </w:pPr>
            <w:r>
              <w:rPr>
                <w:rFonts w:hint="eastAsia" w:ascii="宋体" w:hAnsi="宋体" w:eastAsia="宋体" w:cs="宋体"/>
                <w:b/>
                <w:bCs/>
                <w:color w:val="auto"/>
                <w:kern w:val="0"/>
                <w:sz w:val="21"/>
                <w:szCs w:val="21"/>
                <w:highlight w:val="none"/>
              </w:rPr>
              <w:t>45岁以下</w:t>
            </w:r>
            <w:r>
              <w:rPr>
                <w:rFonts w:hint="eastAsia" w:ascii="宋体" w:hAnsi="宋体" w:eastAsia="宋体" w:cs="宋体"/>
                <w:b/>
                <w:bCs/>
                <w:color w:val="auto"/>
                <w:szCs w:val="21"/>
                <w:highlight w:val="none"/>
                <w:vertAlign w:val="baseline"/>
                <w:lang w:val="en-US" w:eastAsia="zh-CN"/>
              </w:rPr>
              <w:t>男性</w:t>
            </w:r>
          </w:p>
        </w:tc>
        <w:tc>
          <w:tcPr>
            <w:tcW w:w="103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Cs w:val="21"/>
                <w:highlight w:val="none"/>
                <w:vertAlign w:val="baseline"/>
                <w:lang w:val="en-US" w:eastAsia="zh-CN"/>
              </w:rPr>
            </w:pPr>
            <w:r>
              <w:rPr>
                <w:rFonts w:hint="eastAsia" w:ascii="宋体" w:hAnsi="宋体" w:eastAsia="宋体" w:cs="宋体"/>
                <w:b/>
                <w:bCs/>
                <w:color w:val="auto"/>
                <w:kern w:val="0"/>
                <w:sz w:val="21"/>
                <w:szCs w:val="21"/>
                <w:highlight w:val="none"/>
              </w:rPr>
              <w:t>45岁以上</w:t>
            </w:r>
            <w:r>
              <w:rPr>
                <w:rFonts w:hint="eastAsia" w:ascii="宋体" w:hAnsi="宋体" w:eastAsia="宋体" w:cs="宋体"/>
                <w:b/>
                <w:bCs/>
                <w:color w:val="auto"/>
                <w:szCs w:val="21"/>
                <w:highlight w:val="none"/>
                <w:vertAlign w:val="baseline"/>
                <w:lang w:val="en-US" w:eastAsia="zh-CN"/>
              </w:rPr>
              <w:t>男性</w:t>
            </w:r>
          </w:p>
        </w:tc>
        <w:tc>
          <w:tcPr>
            <w:tcW w:w="103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Cs w:val="21"/>
                <w:highlight w:val="none"/>
                <w:vertAlign w:val="baseline"/>
                <w:lang w:val="en-US" w:eastAsia="zh-CN"/>
              </w:rPr>
            </w:pPr>
            <w:r>
              <w:rPr>
                <w:rFonts w:hint="eastAsia" w:ascii="宋体" w:hAnsi="宋体" w:eastAsia="宋体" w:cs="宋体"/>
                <w:b/>
                <w:bCs/>
                <w:color w:val="auto"/>
                <w:kern w:val="0"/>
                <w:sz w:val="21"/>
                <w:szCs w:val="21"/>
                <w:highlight w:val="none"/>
              </w:rPr>
              <w:t>45岁以下</w:t>
            </w:r>
            <w:r>
              <w:rPr>
                <w:rFonts w:hint="eastAsia" w:ascii="宋体" w:hAnsi="宋体" w:eastAsia="宋体" w:cs="宋体"/>
                <w:b/>
                <w:bCs/>
                <w:color w:val="auto"/>
                <w:szCs w:val="21"/>
                <w:highlight w:val="none"/>
                <w:vertAlign w:val="baseline"/>
                <w:lang w:val="en-US" w:eastAsia="zh-CN"/>
              </w:rPr>
              <w:t>女性</w:t>
            </w:r>
          </w:p>
        </w:tc>
        <w:tc>
          <w:tcPr>
            <w:tcW w:w="103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Cs w:val="21"/>
                <w:highlight w:val="none"/>
                <w:vertAlign w:val="baseline"/>
                <w:lang w:val="en-US" w:eastAsia="zh-CN"/>
              </w:rPr>
            </w:pPr>
            <w:r>
              <w:rPr>
                <w:rFonts w:hint="eastAsia" w:ascii="宋体" w:hAnsi="宋体" w:eastAsia="宋体" w:cs="宋体"/>
                <w:b/>
                <w:bCs/>
                <w:color w:val="auto"/>
                <w:kern w:val="0"/>
                <w:sz w:val="21"/>
                <w:szCs w:val="21"/>
                <w:highlight w:val="none"/>
              </w:rPr>
              <w:t>45岁以上</w:t>
            </w:r>
            <w:r>
              <w:rPr>
                <w:rFonts w:hint="eastAsia" w:ascii="宋体" w:hAnsi="宋体" w:eastAsia="宋体" w:cs="宋体"/>
                <w:b/>
                <w:bCs/>
                <w:color w:val="auto"/>
                <w:szCs w:val="21"/>
                <w:highlight w:val="none"/>
                <w:vertAlign w:val="baseline"/>
                <w:lang w:val="en-US" w:eastAsia="zh-CN"/>
              </w:rPr>
              <w:t>女性</w:t>
            </w:r>
          </w:p>
        </w:tc>
        <w:tc>
          <w:tcPr>
            <w:tcW w:w="103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C13尿素呼气试验</w:t>
            </w:r>
          </w:p>
        </w:tc>
        <w:tc>
          <w:tcPr>
            <w:tcW w:w="103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82" w:type="pct"/>
            <w:gridSpan w:val="3"/>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lang w:val="en-US" w:eastAsia="zh-CN"/>
              </w:rPr>
              <w:t>合计（元）</w:t>
            </w:r>
          </w:p>
        </w:tc>
        <w:tc>
          <w:tcPr>
            <w:tcW w:w="1417" w:type="pct"/>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p>
        </w:tc>
      </w:tr>
    </w:tbl>
    <w:p>
      <w:pPr>
        <w:keepNext w:val="0"/>
        <w:keepLines w:val="0"/>
        <w:pageBreakBefore w:val="0"/>
        <w:widowControl/>
        <w:kinsoku/>
        <w:wordWrap/>
        <w:overflowPunct/>
        <w:topLinePunct w:val="0"/>
        <w:autoSpaceDE w:val="0"/>
        <w:autoSpaceDN w:val="0"/>
        <w:bidi w:val="0"/>
        <w:adjustRightInd/>
        <w:snapToGrid/>
        <w:spacing w:line="360" w:lineRule="auto"/>
        <w:ind w:firstLine="422" w:firstLineChars="200"/>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注：合同价款是指体检费用、交通费用、营养餐费、其他费用以及国家按现行税率征收的一切税费；本合同采用固定单价合同，不受市场价格变化因素的影响，最终支付价款以甲方实际参加体检的人数*相对应的中标单价确定，据实结算但不得超过采购预算。</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二</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付款方式</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合同签订后10个工作日内支付合同总价款的50%作为预付款。</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体检项目完成后，由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方按照工作程序进行验收、审计项目履约完成情况。</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验收、审计完成后，由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方开具全额发票，10个工作日内支付合同剩余尾款，最终尾款支付金额以审计金额为准。</w:t>
      </w:r>
    </w:p>
    <w:bookmarkEnd w:id="22"/>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bookmarkStart w:id="23" w:name="_Toc57823363"/>
      <w:bookmarkStart w:id="24" w:name="_Toc2560"/>
      <w:r>
        <w:rPr>
          <w:rFonts w:hint="eastAsia" w:ascii="宋体" w:hAnsi="宋体" w:eastAsia="宋体" w:cs="宋体"/>
          <w:b/>
          <w:bCs w:val="0"/>
          <w:color w:val="auto"/>
          <w:szCs w:val="21"/>
          <w:highlight w:val="none"/>
          <w:lang w:val="en-US" w:eastAsia="zh-CN"/>
        </w:rPr>
        <w:t>三、服务期限及地点</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服务期限：按照采购方需求分批体检（自合同签订之日起2月内）。</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指定地点。</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四、合同实施</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1.乙方</w:t>
      </w:r>
      <w:r>
        <w:rPr>
          <w:rFonts w:hint="eastAsia" w:ascii="宋体" w:hAnsi="宋体" w:eastAsia="宋体" w:cs="宋体"/>
          <w:color w:val="auto"/>
          <w:sz w:val="21"/>
          <w:szCs w:val="21"/>
          <w:highlight w:val="none"/>
        </w:rPr>
        <w:t>应在合同签订后接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通知之日起7个日历日内安排人员与使用单位对体检实施服务进行安排、部署、计划。</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若未能在按照项目实际工作时间完成规定的义务，由此对</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造成的延误和一切损失，由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承担和赔偿。</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五、</w:t>
      </w:r>
      <w:r>
        <w:rPr>
          <w:rFonts w:hint="eastAsia" w:ascii="宋体" w:hAnsi="宋体" w:eastAsia="宋体" w:cs="宋体"/>
          <w:b/>
          <w:bCs w:val="0"/>
          <w:color w:val="auto"/>
          <w:szCs w:val="21"/>
          <w:highlight w:val="none"/>
        </w:rPr>
        <w:t>质量要求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需保证所有体检结果的准确性和真实性。</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六、成果交付要求</w:t>
      </w:r>
    </w:p>
    <w:p>
      <w:pPr>
        <w:pStyle w:val="89"/>
        <w:spacing w:after="0" w:line="4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乙方需提供体检记录表，并于体检工作结束后一周内逐人出具体检结果，向甲方提供总体体检分析报告。</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七</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双方的权利和义务</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的权利和义务</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负责人或联系方式有变动时，应提前通知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体检人员必须携带由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提供并有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盖章的体检记录表。</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负责人有义务将</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对其所实行的承诺及优惠向体检人员传达。</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作为社会监督员，应积极监督服务商医务人员体检服务态度等各项工作，并及时提出合理建议。</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的权利和义务</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应承诺给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以下方面的承诺及优惠：</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应积极配合</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在工作无冲突的情况下提供免费专车接送或上门体检。</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保证所有体检结果的真实性，如</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对体检结果由异议，</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需派人陪同被体检者到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指定的任意医院复查，如结果一致，费用由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负责；结果不一致，由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承担所有检查费用。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如果发现</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体检报告有弄虚作</w:t>
      </w:r>
      <w:r>
        <w:rPr>
          <w:rFonts w:hint="eastAsia" w:ascii="宋体" w:hAnsi="宋体" w:eastAsia="宋体" w:cs="宋体"/>
          <w:color w:val="auto"/>
          <w:sz w:val="21"/>
          <w:szCs w:val="21"/>
          <w:highlight w:val="none"/>
          <w:lang w:val="en-US" w:eastAsia="zh-CN"/>
        </w:rPr>
        <w:t>假</w:t>
      </w:r>
      <w:r>
        <w:rPr>
          <w:rFonts w:hint="eastAsia" w:ascii="宋体" w:hAnsi="宋体" w:eastAsia="宋体" w:cs="宋体"/>
          <w:color w:val="auto"/>
          <w:sz w:val="21"/>
          <w:szCs w:val="21"/>
          <w:highlight w:val="none"/>
        </w:rPr>
        <w:t>等情况，情况属实，</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有权利终止协议。</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对需复查职工给予优惠价格，如复查职工较多（超过50人），医院需再次提供上门服务。</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八、违约责任及赔偿损失的计算办法</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依据《中华人民共和民法典》《中华人民共和国政府采购法》的相关条款和本合同约定，</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未全面履行合同义务或者发生违约，</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权终止合同，依法向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进行经济索赔，并报请政府采购监督管理机关进行相应的行政处罚。</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违约的，应当赔偿给</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商造成的经济损失。</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方同意，以任何形式向第三人泄露体检者个人信息及秘密的，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有权解除合同且要求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支付合同总价款30%的违约金，并赔偿因此使</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遭受的全部损失（包括但不限于实际损失、可预期利益、律师费）。</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应在收到解除通知后5天内退还已收取的款项，履行合同的相关费用由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因解除合同造成</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损失的应予赔偿，损失无法计算时，每日应按合同价款的 千分之一 承担。上述约定的违约条款可合并适用，合并适用后仍不能弥补采购方损失的，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有权继续追偿，由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承担相应责任，由此给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造成的损失，也应承担。</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要求终止或解除合同的，应返还</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已支付的所有费用，并支付</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合同金额的 30% 违约金。</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方书面同意，</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不得转让或部分转让合同，如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商违约，</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有权解除合同且要求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支付合同总价款30%的违约金，并赔偿因此使</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遭受的全部损失（包括但不限于实际损失、可预期利益、律师费）。</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未严格按照操作流程及规范进行，造成</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方或第三方人员财产损失的，</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应承担赔偿责任。</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未按合同约定提供免费车接送或上门体检的，</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方可自行雇佣车辆接送体检人员，所支出费用由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未能在体检结束一周内出具体检结果的，每延期出具一日应向</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方支付合同总价款1‰的违约金，延期七日以上的</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方可解除合同并要求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退还体检费用。</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方如果发现</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体检报告有弄虚作假等情况，情况属实，</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方有权终止协议，并要求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退还体检费用、支付</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方合同总价款30%的违约金及赔偿</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方因此遭受的全部损失（包括但不限于实际损失、可预期利益、律师费）。</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在履行合同过程中侵犯第三人合法权利或造成第三人、体检人员人身损害的由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承担责任。</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安排的体检医师、护士等其他人员不具备相应资质或擅自变更的，</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方可解除合同并要求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退还体检费用、支付</w:t>
      </w:r>
      <w:r>
        <w:rPr>
          <w:rFonts w:hint="eastAsia" w:ascii="宋体" w:hAnsi="宋体" w:eastAsia="宋体" w:cs="宋体"/>
          <w:color w:val="auto"/>
          <w:sz w:val="21"/>
          <w:szCs w:val="21"/>
          <w:highlight w:val="none"/>
          <w:lang w:val="en-US" w:eastAsia="zh-CN"/>
        </w:rPr>
        <w:t>甲</w:t>
      </w:r>
      <w:r>
        <w:rPr>
          <w:rFonts w:hint="eastAsia" w:ascii="宋体" w:hAnsi="宋体" w:eastAsia="宋体" w:cs="宋体"/>
          <w:color w:val="auto"/>
          <w:sz w:val="21"/>
          <w:szCs w:val="21"/>
          <w:highlight w:val="none"/>
        </w:rPr>
        <w:t>方合同总价款30%的违约金及赔偿采购方因此遭受的全部损失（包括但不限于实际损失、可预期利益、律师费）。</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九、验收标准或规范</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应按照政府采购合同约定的技术、服务、安全标准组织对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服务内容进行验收。验收内容包含具体体检人数、套餐项目完成情况、实际产生费用以及其他服务内容的履约完成情况。</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提交项目实施过程中的所有资料，主动配合</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完成验收工作程序。</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验收合格后，填写政府采购项目验收单（一式伍份）。</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、保密</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乙方应对甲方的人员信息资料或其他文件或信息的内容保守秘密，未经甲方书面事先同意，不得向任何第三方披露。乙方可仅向其确有知悉必要的雇员披露甲方提供的相关资料，但同时须指示其雇员遵守本条规定的保密及不披露义务，乙方应仅为本次服务目的而复制和使用相关资料。</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2.除非得到甲方的书面许可，乙方不得将服务内容及服务过程中获得的甲方的人员信息、体检报告等相关资料向任何第三方泄露。</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3.本保密义务应在服务期满、解除或终止后仍然有效。</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rPr>
      </w:pPr>
      <w:bookmarkStart w:id="25" w:name="_Toc20319"/>
      <w:bookmarkStart w:id="26" w:name="_Toc57823361"/>
      <w:r>
        <w:rPr>
          <w:rFonts w:hint="eastAsia" w:ascii="宋体" w:hAnsi="宋体" w:eastAsia="宋体" w:cs="宋体"/>
          <w:b/>
          <w:bCs w:val="0"/>
          <w:color w:val="auto"/>
          <w:szCs w:val="21"/>
          <w:highlight w:val="none"/>
          <w:lang w:val="en-US" w:eastAsia="zh-CN"/>
        </w:rPr>
        <w:t>十一</w:t>
      </w:r>
      <w:r>
        <w:rPr>
          <w:rFonts w:hint="eastAsia" w:ascii="宋体" w:hAnsi="宋体" w:eastAsia="宋体" w:cs="宋体"/>
          <w:b/>
          <w:bCs w:val="0"/>
          <w:color w:val="auto"/>
          <w:szCs w:val="21"/>
          <w:highlight w:val="none"/>
        </w:rPr>
        <w:t>、争议解决方式</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因执行本合同所发生的或与本合同有关的一切争议,双方应通过友好协商解决，协商不成的可依法向甲方所在地人民法院起诉。</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十二、</w:t>
      </w:r>
      <w:bookmarkEnd w:id="25"/>
      <w:bookmarkEnd w:id="26"/>
      <w:r>
        <w:rPr>
          <w:rFonts w:hint="eastAsia" w:ascii="宋体" w:hAnsi="宋体" w:eastAsia="宋体" w:cs="宋体"/>
          <w:b/>
          <w:bCs w:val="0"/>
          <w:color w:val="auto"/>
          <w:szCs w:val="21"/>
          <w:highlight w:val="none"/>
          <w:lang w:val="en-US" w:eastAsia="zh-CN"/>
        </w:rPr>
        <w:t>合同变更、解除及终止条件</w:t>
      </w:r>
    </w:p>
    <w:p>
      <w:pPr>
        <w:pStyle w:val="89"/>
        <w:keepNext w:val="0"/>
        <w:keepLines w:val="0"/>
        <w:pageBreakBefore w:val="0"/>
        <w:widowControl/>
        <w:kinsoku/>
        <w:wordWrap/>
        <w:overflowPunct/>
        <w:topLinePunct w:val="0"/>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bookmarkStart w:id="27" w:name="_Toc4339"/>
      <w:bookmarkStart w:id="28" w:name="_Toc57823362"/>
      <w:r>
        <w:rPr>
          <w:rFonts w:hint="eastAsia" w:ascii="宋体" w:hAnsi="宋体" w:eastAsia="宋体" w:cs="宋体"/>
          <w:bCs/>
          <w:color w:val="auto"/>
          <w:kern w:val="2"/>
          <w:sz w:val="21"/>
          <w:szCs w:val="21"/>
          <w:highlight w:val="none"/>
          <w:lang w:val="en-US" w:eastAsia="zh-CN" w:bidi="ar-SA"/>
        </w:rPr>
        <w:t>在甲方对乙方违约而采取的任何补救措施不受影响的情况下，甲方可向乙方发出书面违约通知书，提出终止部分或全部合同：</w:t>
      </w:r>
    </w:p>
    <w:p>
      <w:pPr>
        <w:pStyle w:val="89"/>
        <w:keepNext w:val="0"/>
        <w:keepLines w:val="0"/>
        <w:pageBreakBefore w:val="0"/>
        <w:widowControl/>
        <w:kinsoku/>
        <w:wordWrap/>
        <w:overflowPunct/>
        <w:topLinePunct w:val="0"/>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（1）如果乙方未能在合同规定的期限内提供部分或全部服务，或误期赔偿费达到最高限额。</w:t>
      </w:r>
    </w:p>
    <w:p>
      <w:pPr>
        <w:pStyle w:val="89"/>
        <w:keepNext w:val="0"/>
        <w:keepLines w:val="0"/>
        <w:pageBreakBefore w:val="0"/>
        <w:widowControl/>
        <w:kinsoku/>
        <w:wordWrap/>
        <w:overflowPunct/>
        <w:topLinePunct w:val="0"/>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（2）如果乙方未能履行合同规定的其它任何义务。</w:t>
      </w:r>
    </w:p>
    <w:p>
      <w:pPr>
        <w:pStyle w:val="89"/>
        <w:keepNext w:val="0"/>
        <w:keepLines w:val="0"/>
        <w:pageBreakBefore w:val="0"/>
        <w:widowControl/>
        <w:kinsoku/>
        <w:wordWrap/>
        <w:overflowPunct/>
        <w:topLinePunct w:val="0"/>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（3）如果甲方认为乙方在本合同的竞争和实施过程中有腐败和欺诈行为。为此目的，定义下述条件：</w:t>
      </w:r>
    </w:p>
    <w:p>
      <w:pPr>
        <w:pStyle w:val="89"/>
        <w:keepNext w:val="0"/>
        <w:keepLines w:val="0"/>
        <w:pageBreakBefore w:val="0"/>
        <w:widowControl/>
        <w:kinsoku/>
        <w:wordWrap/>
        <w:overflowPunct/>
        <w:topLinePunct w:val="0"/>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“腐败行为”是指提供、给予、接受或索取任何有价值的物品来影响采购方在采购过程或合同实施过程中的行为。</w:t>
      </w:r>
    </w:p>
    <w:p>
      <w:pPr>
        <w:pStyle w:val="89"/>
        <w:keepNext w:val="0"/>
        <w:keepLines w:val="0"/>
        <w:pageBreakBefore w:val="0"/>
        <w:widowControl/>
        <w:kinsoku/>
        <w:wordWrap/>
        <w:overflowPunct/>
        <w:topLinePunct w:val="0"/>
        <w:bidi w:val="0"/>
        <w:adjustRightInd/>
        <w:snapToGrid/>
        <w:spacing w:after="0" w:line="360" w:lineRule="auto"/>
        <w:ind w:firstLine="420" w:firstLineChars="200"/>
        <w:jc w:val="both"/>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“欺诈行为”是指为了影响采购过程或合同实施过程而谎报或隐瞒事实，损害采购方利益的行为。</w:t>
      </w:r>
    </w:p>
    <w:p>
      <w:pPr>
        <w:keepNext w:val="0"/>
        <w:keepLines w:val="0"/>
        <w:pageBreakBefore w:val="0"/>
        <w:widowControl/>
        <w:numPr>
          <w:ilvl w:val="0"/>
          <w:numId w:val="1"/>
        </w:numPr>
        <w:kinsoku/>
        <w:wordWrap/>
        <w:overflowPunct/>
        <w:topLinePunct w:val="0"/>
        <w:autoSpaceDE w:val="0"/>
        <w:autoSpaceDN w:val="0"/>
        <w:bidi w:val="0"/>
        <w:adjustRightInd/>
        <w:snapToGrid/>
        <w:spacing w:line="360" w:lineRule="auto"/>
        <w:ind w:firstLine="420" w:firstLineChars="200"/>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如果甲方根据上述规定，终止了全部或部分合同，甲方可以依其认为适当的条件和方法购买与未交服务类似的服务，乙方应承担甲方因购买类似服务而产生的额外支出。但是，乙方应继续执行合同中未终止的部分。</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Cs w:val="21"/>
          <w:highlight w:val="none"/>
        </w:rPr>
        <w:t>十</w:t>
      </w:r>
      <w:r>
        <w:rPr>
          <w:rFonts w:hint="eastAsia" w:ascii="宋体" w:hAnsi="宋体" w:eastAsia="宋体" w:cs="宋体"/>
          <w:b/>
          <w:bCs w:val="0"/>
          <w:color w:val="auto"/>
          <w:szCs w:val="21"/>
          <w:highlight w:val="none"/>
          <w:lang w:val="en-US" w:eastAsia="zh-CN"/>
        </w:rPr>
        <w:t>三</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zh-CN"/>
        </w:rPr>
        <w:t>不可抗力情况下的免责约定</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20" w:firstLineChars="200"/>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1.在合同履行期间发生不可抗力的，双方均不承担法律责任，但应当及时通知对方。不可抗力是指不能预见、不可避免且不能克服的客观情况，包括但不限于地震、泥石流、火灾、洪水、战争等客观原因。</w:t>
      </w: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20" w:firstLineChars="200"/>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2.因不可抗力影响合同正常履行，双方应当协商顺延工作时限；因不可抗力导致合同目的不能实现的，双方可以解除合同。一方迟延履行后，发生不可抗力的，不能免除迟延履行一方的法律责任。</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十</w:t>
      </w:r>
      <w:r>
        <w:rPr>
          <w:rFonts w:hint="eastAsia" w:ascii="宋体" w:hAnsi="宋体" w:eastAsia="宋体" w:cs="宋体"/>
          <w:b/>
          <w:bCs w:val="0"/>
          <w:color w:val="auto"/>
          <w:szCs w:val="21"/>
          <w:highlight w:val="none"/>
          <w:lang w:val="en-US" w:eastAsia="zh-CN"/>
        </w:rPr>
        <w:t>四</w:t>
      </w:r>
      <w:r>
        <w:rPr>
          <w:rFonts w:hint="eastAsia" w:ascii="宋体" w:hAnsi="宋体" w:eastAsia="宋体" w:cs="宋体"/>
          <w:b/>
          <w:bCs w:val="0"/>
          <w:color w:val="auto"/>
          <w:szCs w:val="21"/>
          <w:highlight w:val="none"/>
        </w:rPr>
        <w:t>、适用法律</w:t>
      </w:r>
      <w:bookmarkEnd w:id="27"/>
      <w:bookmarkEnd w:id="28"/>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本合同应按照中华人民共和国的现行法律进行解释。</w:t>
      </w:r>
    </w:p>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十五</w:t>
      </w:r>
      <w:r>
        <w:rPr>
          <w:rFonts w:hint="eastAsia" w:ascii="宋体" w:hAnsi="宋体" w:eastAsia="宋体" w:cs="宋体"/>
          <w:b/>
          <w:bCs w:val="0"/>
          <w:color w:val="auto"/>
          <w:szCs w:val="21"/>
          <w:highlight w:val="none"/>
        </w:rPr>
        <w:t>、合同生效及其它</w:t>
      </w:r>
      <w:bookmarkEnd w:id="23"/>
      <w:bookmarkEnd w:id="24"/>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1.本合同未尽事宜，双方可签订补充协议，补充协议与本合同具有同等效力。</w:t>
      </w:r>
    </w:p>
    <w:p>
      <w:pPr>
        <w:autoSpaceDE w:val="0"/>
        <w:autoSpaceDN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2.本合同在甲、乙双方签字、盖章之后生效。</w:t>
      </w:r>
    </w:p>
    <w:p>
      <w:pPr>
        <w:autoSpaceDE w:val="0"/>
        <w:autoSpaceDN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3.本合同正本一式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份，副本一式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份，均以中文书写。</w:t>
      </w:r>
    </w:p>
    <w:p>
      <w:pPr>
        <w:autoSpaceDE w:val="0"/>
        <w:autoSpaceDN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甲方执正本一份、副本</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份；乙方执正本一份，副本</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份；见证方执副本一份；政府采购管理部门备案副本一份。</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8"/>
        <w:widowControl w:val="0"/>
        <w:spacing w:after="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签字页：</w:t>
      </w:r>
    </w:p>
    <w:tbl>
      <w:tblPr>
        <w:tblStyle w:val="20"/>
        <w:tblW w:w="8868" w:type="dxa"/>
        <w:tblInd w:w="119"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053"/>
        <w:gridCol w:w="2633"/>
        <w:gridCol w:w="31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  方</w:t>
            </w:r>
          </w:p>
        </w:tc>
        <w:tc>
          <w:tcPr>
            <w:tcW w:w="2633" w:type="dxa"/>
            <w:noWrap/>
            <w:vAlign w:val="center"/>
          </w:tcPr>
          <w:p>
            <w:pPr>
              <w:autoSpaceDE w:val="0"/>
              <w:autoSpaceDN w:val="0"/>
              <w:adjustRightIn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乙  方</w:t>
            </w:r>
          </w:p>
        </w:tc>
        <w:tc>
          <w:tcPr>
            <w:tcW w:w="3182" w:type="dxa"/>
            <w:noWrap/>
            <w:vAlign w:val="center"/>
          </w:tcPr>
          <w:p>
            <w:pPr>
              <w:autoSpaceDE w:val="0"/>
              <w:autoSpaceDN w:val="0"/>
              <w:adjustRightIn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见 证 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20" w:hRule="atLeast"/>
        </w:trPr>
        <w:tc>
          <w:tcPr>
            <w:tcW w:w="3053" w:type="dxa"/>
            <w:noWrap/>
            <w:vAlign w:val="center"/>
          </w:tcPr>
          <w:p>
            <w:pPr>
              <w:autoSpaceDE w:val="0"/>
              <w:autoSpaceDN w:val="0"/>
              <w:adjustRightInd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西安市公安局交通警察支队</w:t>
            </w:r>
          </w:p>
          <w:p>
            <w:pPr>
              <w:autoSpaceDE w:val="0"/>
              <w:autoSpaceDN w:val="0"/>
              <w:adjustRightIn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（公章）</w:t>
            </w:r>
          </w:p>
        </w:tc>
        <w:tc>
          <w:tcPr>
            <w:tcW w:w="2633" w:type="dxa"/>
            <w:noWrap/>
            <w:vAlign w:val="center"/>
          </w:tcPr>
          <w:p>
            <w:pPr>
              <w:autoSpaceDE w:val="0"/>
              <w:autoSpaceDN w:val="0"/>
              <w:adjustRightInd w:val="0"/>
              <w:spacing w:line="360" w:lineRule="auto"/>
              <w:jc w:val="left"/>
              <w:rPr>
                <w:rFonts w:hint="eastAsia" w:ascii="宋体" w:hAnsi="宋体" w:eastAsia="宋体" w:cs="宋体"/>
                <w:bCs/>
                <w:color w:val="auto"/>
                <w:szCs w:val="21"/>
                <w:highlight w:val="none"/>
              </w:rPr>
            </w:pPr>
          </w:p>
          <w:p>
            <w:pPr>
              <w:autoSpaceDE w:val="0"/>
              <w:autoSpaceDN w:val="0"/>
              <w:adjustRightIn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（公章）</w:t>
            </w:r>
          </w:p>
        </w:tc>
        <w:tc>
          <w:tcPr>
            <w:tcW w:w="3182" w:type="dxa"/>
            <w:noWrap/>
            <w:vAlign w:val="center"/>
          </w:tcPr>
          <w:p>
            <w:pPr>
              <w:autoSpaceDE w:val="0"/>
              <w:autoSpaceDN w:val="0"/>
              <w:adjustRightInd w:val="0"/>
              <w:spacing w:line="360" w:lineRule="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西北（陕西）国际招标有限公司</w:t>
            </w:r>
          </w:p>
          <w:p>
            <w:pPr>
              <w:autoSpaceDE w:val="0"/>
              <w:autoSpaceDN w:val="0"/>
              <w:adjustRightIn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地址：陕西省西安市雁塔区太白南路222号</w:t>
            </w: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p>
        </w:tc>
        <w:tc>
          <w:tcPr>
            <w:tcW w:w="3182"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地址：西安市南二环西段58号成长大厦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邮编：710000</w:t>
            </w: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邮编：</w:t>
            </w:r>
          </w:p>
        </w:tc>
        <w:tc>
          <w:tcPr>
            <w:tcW w:w="3182"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邮编：710000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p>
        </w:tc>
        <w:tc>
          <w:tcPr>
            <w:tcW w:w="3182" w:type="dxa"/>
            <w:vMerge w:val="restart"/>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负责人：</w:t>
            </w: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负责人：</w:t>
            </w:r>
          </w:p>
        </w:tc>
        <w:tc>
          <w:tcPr>
            <w:tcW w:w="3182" w:type="dxa"/>
            <w:vMerge w:val="continue"/>
            <w:noWrap/>
            <w:vAlign w:val="center"/>
          </w:tcPr>
          <w:p>
            <w:pPr>
              <w:autoSpaceDE w:val="0"/>
              <w:autoSpaceDN w:val="0"/>
              <w:adjustRightInd w:val="0"/>
              <w:spacing w:line="360" w:lineRule="auto"/>
              <w:rPr>
                <w:rFonts w:hint="eastAsia" w:ascii="宋体" w:hAnsi="宋体" w:eastAsia="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电话：</w:t>
            </w: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电话：</w:t>
            </w:r>
          </w:p>
        </w:tc>
        <w:tc>
          <w:tcPr>
            <w:tcW w:w="3182"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电话：029-85592866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w:t>
            </w:r>
          </w:p>
        </w:tc>
        <w:tc>
          <w:tcPr>
            <w:tcW w:w="3182"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账号：</w:t>
            </w:r>
          </w:p>
        </w:tc>
        <w:tc>
          <w:tcPr>
            <w:tcW w:w="3182"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05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tc>
        <w:tc>
          <w:tcPr>
            <w:tcW w:w="2633"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tc>
        <w:tc>
          <w:tcPr>
            <w:tcW w:w="3182" w:type="dxa"/>
            <w:noWrap/>
            <w:vAlign w:val="center"/>
          </w:tcPr>
          <w:p>
            <w:pPr>
              <w:autoSpaceDE w:val="0"/>
              <w:autoSpaceDN w:val="0"/>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   年   月   日</w:t>
            </w:r>
          </w:p>
        </w:tc>
      </w:tr>
    </w:tbl>
    <w:p>
      <w:pPr>
        <w:jc w:val="left"/>
        <w:textAlignment w:val="auto"/>
        <w:rPr>
          <w:rFonts w:hint="eastAsia" w:ascii="宋体" w:hAnsi="宋体" w:eastAsia="宋体" w:cs="宋体"/>
          <w:b/>
          <w:bCs/>
          <w:color w:val="auto"/>
          <w:sz w:val="36"/>
          <w:highlight w:val="none"/>
        </w:rPr>
      </w:pPr>
      <w:r>
        <w:rPr>
          <w:rFonts w:hint="eastAsia" w:ascii="宋体" w:hAnsi="宋体" w:eastAsia="宋体" w:cs="宋体"/>
          <w:bCs/>
          <w:color w:val="auto"/>
          <w:highlight w:val="none"/>
        </w:rPr>
        <w:br w:type="page"/>
      </w: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
          <w:color w:val="auto"/>
          <w:szCs w:val="21"/>
          <w:highlight w:val="none"/>
        </w:rPr>
      </w:pPr>
      <w:bookmarkStart w:id="29" w:name="_Toc9012"/>
      <w:r>
        <w:rPr>
          <w:rFonts w:hint="eastAsia" w:ascii="宋体" w:hAnsi="宋体" w:eastAsia="宋体" w:cs="宋体"/>
          <w:bCs/>
          <w:color w:val="auto"/>
          <w:highlight w:val="none"/>
        </w:rPr>
        <w:t>第四章 磋商内容及服务要求</w:t>
      </w:r>
      <w:bookmarkEnd w:id="29"/>
    </w:p>
    <w:p>
      <w:pPr>
        <w:keepNext w:val="0"/>
        <w:keepLines w:val="0"/>
        <w:pageBreakBefore w:val="0"/>
        <w:widowControl/>
        <w:kinsoku/>
        <w:wordWrap/>
        <w:overflowPunct/>
        <w:topLinePunct w:val="0"/>
        <w:autoSpaceDE/>
        <w:autoSpaceDN/>
        <w:bidi w:val="0"/>
        <w:adjustRightInd/>
        <w:snapToGrid/>
        <w:spacing w:before="157" w:beforeLines="50" w:line="360" w:lineRule="auto"/>
        <w:ind w:firstLine="422" w:firstLineChars="200"/>
        <w:jc w:val="left"/>
        <w:textAlignment w:val="baseline"/>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一、项目概况</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为进一步提升辅助人员规范化管理水平，主动掌握辅助人员身体健康状况，2023年度支队计划对2000余名辅助人员完成健康体检。</w:t>
      </w:r>
    </w:p>
    <w:p>
      <w:pPr>
        <w:pStyle w:val="89"/>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体检项目实施计划分为2个阶段：第一阶段为基础阶段，按照合同要求在规定时间内开展；第二阶段为延伸项目服务阶段，根据基础阶段体检完成情况，就辅助人员体检发现存在异常情况的需进一步检查，第二阶段工作至项目剩余金额用完为止。</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22" w:firstLineChars="200"/>
        <w:jc w:val="left"/>
        <w:textAlignment w:val="baseline"/>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二、服务内容</w:t>
      </w:r>
    </w:p>
    <w:tbl>
      <w:tblPr>
        <w:tblStyle w:val="21"/>
        <w:tblW w:w="0" w:type="auto"/>
        <w:tblInd w:w="14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2"/>
        <w:gridCol w:w="4294"/>
        <w:gridCol w:w="1067"/>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53" w:type="dxa"/>
            <w:gridSpan w:val="5"/>
            <w:tcBorders>
              <w:tl2br w:val="nil"/>
              <w:tr2bl w:val="nil"/>
            </w:tcBorders>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4"/>
                <w:szCs w:val="24"/>
                <w:highlight w:val="none"/>
              </w:rPr>
              <w:t>2023年支队辅助人员健康体检项目实施方案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53" w:type="dxa"/>
            <w:gridSpan w:val="5"/>
            <w:tcBorders>
              <w:tl2br w:val="nil"/>
              <w:tr2bl w:val="nil"/>
            </w:tcBorders>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0"/>
                <w:sz w:val="21"/>
                <w:szCs w:val="21"/>
                <w:highlight w:val="none"/>
              </w:rPr>
              <w:t>第一阶段项目实施明细：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性别</w:t>
            </w:r>
          </w:p>
        </w:tc>
        <w:tc>
          <w:tcPr>
            <w:tcW w:w="1662" w:type="dxa"/>
            <w:tcBorders>
              <w:tl2br w:val="nil"/>
              <w:tr2bl w:val="nil"/>
            </w:tcBorders>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年龄</w:t>
            </w:r>
          </w:p>
        </w:tc>
        <w:tc>
          <w:tcPr>
            <w:tcW w:w="4294" w:type="dxa"/>
            <w:tcBorders>
              <w:tl2br w:val="nil"/>
              <w:tr2bl w:val="nil"/>
            </w:tcBorders>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体检项目</w:t>
            </w:r>
          </w:p>
        </w:tc>
        <w:tc>
          <w:tcPr>
            <w:tcW w:w="1067" w:type="dxa"/>
            <w:tcBorders>
              <w:tl2br w:val="nil"/>
              <w:tr2bl w:val="nil"/>
            </w:tcBorders>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val="en-US" w:eastAsia="zh-CN"/>
              </w:rPr>
              <w:t>限价</w:t>
            </w:r>
            <w:r>
              <w:rPr>
                <w:rFonts w:hint="eastAsia" w:ascii="宋体" w:hAnsi="宋体" w:eastAsia="宋体" w:cs="宋体"/>
                <w:b/>
                <w:bCs/>
                <w:color w:val="auto"/>
                <w:kern w:val="0"/>
                <w:sz w:val="21"/>
                <w:szCs w:val="21"/>
                <w:highlight w:val="none"/>
              </w:rPr>
              <w:t>（元）</w:t>
            </w:r>
          </w:p>
        </w:tc>
        <w:tc>
          <w:tcPr>
            <w:tcW w:w="1036" w:type="dxa"/>
            <w:tcBorders>
              <w:tl2br w:val="nil"/>
              <w:tr2bl w:val="nil"/>
            </w:tcBorders>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预估</w:t>
            </w:r>
          </w:p>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794" w:type="dxa"/>
            <w:vMerge w:val="restart"/>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男</w:t>
            </w:r>
          </w:p>
        </w:tc>
        <w:tc>
          <w:tcPr>
            <w:tcW w:w="1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45岁以下</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（共28项）</w:t>
            </w:r>
          </w:p>
        </w:tc>
        <w:tc>
          <w:tcPr>
            <w:tcW w:w="429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内科；外科；血常规；尿常规；肝功六项；肾功四项；血脂四项；空腹血糖；乙肝五项；幽门螺杆菌抗体；骨密度；心电图；腹部B超 (肝、胆、胰、脾)；男泌尿；甲状腺；胸部正位DR；颈椎正侧位、腰椎正侧位（二选一）；营养早餐。</w:t>
            </w:r>
          </w:p>
        </w:tc>
        <w:tc>
          <w:tcPr>
            <w:tcW w:w="1067"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391</w:t>
            </w:r>
          </w:p>
        </w:tc>
        <w:tc>
          <w:tcPr>
            <w:tcW w:w="1036"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794" w:type="dxa"/>
            <w:vMerge w:val="continue"/>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p>
        </w:tc>
        <w:tc>
          <w:tcPr>
            <w:tcW w:w="1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45岁以上</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（共30项）</w:t>
            </w:r>
          </w:p>
        </w:tc>
        <w:tc>
          <w:tcPr>
            <w:tcW w:w="429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内科；外科；血常规；尿常规；肝功六项；肾功四项；血脂四项；空腹血糖；乙肝五项；幽门螺杆菌抗体；甲胎蛋白；癌胚抗原；骨密度；心电图；腹部B超 (肝、胆、胰、脾)；男泌尿；甲状腺；胸部正位DR；颈椎正侧位、腰椎正侧位（二选一）；营养早餐。</w:t>
            </w:r>
          </w:p>
        </w:tc>
        <w:tc>
          <w:tcPr>
            <w:tcW w:w="1067"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441</w:t>
            </w:r>
          </w:p>
        </w:tc>
        <w:tc>
          <w:tcPr>
            <w:tcW w:w="1036"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4" w:type="dxa"/>
            <w:vMerge w:val="restart"/>
            <w:tcBorders>
              <w:tl2br w:val="nil"/>
              <w:tr2bl w:val="nil"/>
            </w:tcBorders>
            <w:vAlign w:val="center"/>
          </w:tcPr>
          <w:p>
            <w:pPr>
              <w:widowControl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女</w:t>
            </w:r>
          </w:p>
        </w:tc>
        <w:tc>
          <w:tcPr>
            <w:tcW w:w="1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45岁以下</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（共32项）</w:t>
            </w:r>
          </w:p>
        </w:tc>
        <w:tc>
          <w:tcPr>
            <w:tcW w:w="429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内科；外科；血常规；尿常规；肝功六项；肾功四项；血脂四项；空腹血糖；乙肝五项；幽门螺杆菌抗体；骨密度；心电图；腹部B超 (肝、胆、胰、脾、)；女盆腔（含双肾）；乳腺彩超；甲状腺；胸部正位DR；颈椎正侧位、腰椎正侧位（二选一）；妇科常规检查；白带常规；宫颈刮片；营养早餐。</w:t>
            </w:r>
          </w:p>
        </w:tc>
        <w:tc>
          <w:tcPr>
            <w:tcW w:w="1067"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473</w:t>
            </w:r>
          </w:p>
        </w:tc>
        <w:tc>
          <w:tcPr>
            <w:tcW w:w="1036"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tcPr>
          <w:p>
            <w:pPr>
              <w:widowControl w:val="0"/>
              <w:rPr>
                <w:rFonts w:hint="eastAsia" w:ascii="宋体" w:hAnsi="宋体" w:eastAsia="宋体" w:cs="宋体"/>
                <w:color w:val="auto"/>
                <w:sz w:val="21"/>
                <w:szCs w:val="21"/>
                <w:highlight w:val="none"/>
                <w:vertAlign w:val="baseline"/>
              </w:rPr>
            </w:pPr>
          </w:p>
        </w:tc>
        <w:tc>
          <w:tcPr>
            <w:tcW w:w="16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45岁以上</w:t>
            </w:r>
          </w:p>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（共34项）</w:t>
            </w:r>
          </w:p>
        </w:tc>
        <w:tc>
          <w:tcPr>
            <w:tcW w:w="429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内科；外科；血常规；尿常规；肝功六项；肾功四项；血脂四项；空腹血糖；乙肝五项；幽门螺杆菌抗体；甲胎蛋白；癌胚抗原；心电图；骨密度；腹部B超 (肝、胆、胰、脾、)；女盆腔（含双肾）；乳腺彩超；甲状腺；胸部正位DR；颈椎正侧位、腰椎正侧位（二选一）；妇科常规检查；白带常规；宫颈刮片；营养早餐。</w:t>
            </w:r>
          </w:p>
        </w:tc>
        <w:tc>
          <w:tcPr>
            <w:tcW w:w="1067"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523</w:t>
            </w:r>
          </w:p>
        </w:tc>
        <w:tc>
          <w:tcPr>
            <w:tcW w:w="1036" w:type="dxa"/>
            <w:tcBorders>
              <w:tl2br w:val="nil"/>
              <w:tr2bl w:val="nil"/>
            </w:tcBorders>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21</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422" w:firstLineChars="200"/>
        <w:jc w:val="left"/>
        <w:textAlignment w:val="baseline"/>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第二阶段体检服务明细：</w:t>
      </w:r>
    </w:p>
    <w:tbl>
      <w:tblPr>
        <w:tblStyle w:val="20"/>
        <w:tblW w:w="48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2839"/>
        <w:gridCol w:w="28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4" w:type="pct"/>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体检项目</w:t>
            </w:r>
          </w:p>
        </w:tc>
        <w:tc>
          <w:tcPr>
            <w:tcW w:w="1596" w:type="pct"/>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val="en-US" w:eastAsia="zh-CN"/>
              </w:rPr>
              <w:t>限价</w:t>
            </w:r>
            <w:r>
              <w:rPr>
                <w:rFonts w:hint="eastAsia" w:ascii="宋体" w:hAnsi="宋体" w:eastAsia="宋体" w:cs="宋体"/>
                <w:b/>
                <w:bCs/>
                <w:color w:val="auto"/>
                <w:kern w:val="0"/>
                <w:sz w:val="21"/>
                <w:szCs w:val="21"/>
                <w:highlight w:val="none"/>
              </w:rPr>
              <w:t>（元）</w:t>
            </w:r>
          </w:p>
        </w:tc>
        <w:tc>
          <w:tcPr>
            <w:tcW w:w="1599" w:type="pct"/>
            <w:tcBorders>
              <w:tl2br w:val="nil"/>
              <w:tr2bl w:val="nil"/>
            </w:tcBorders>
            <w:shd w:val="clear" w:color="auto" w:fill="auto"/>
            <w:noWrap/>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预估人数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804" w:type="pct"/>
            <w:tcBorders>
              <w:tl2br w:val="nil"/>
              <w:tr2bl w:val="nil"/>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C13尿素呼气试验</w:t>
            </w:r>
          </w:p>
        </w:tc>
        <w:tc>
          <w:tcPr>
            <w:tcW w:w="1596" w:type="pct"/>
            <w:tcBorders>
              <w:tl2br w:val="nil"/>
              <w:tr2bl w:val="nil"/>
            </w:tcBorders>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w:t>
            </w:r>
          </w:p>
        </w:tc>
        <w:tc>
          <w:tcPr>
            <w:tcW w:w="1599" w:type="pct"/>
            <w:tcBorders>
              <w:tl2br w:val="nil"/>
              <w:tr2bl w:val="nil"/>
            </w:tcBorders>
            <w:shd w:val="clear" w:color="auto" w:fill="auto"/>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Cs w:val="21"/>
                <w:highlight w:val="none"/>
                <w:lang w:val="en-US" w:bidi="ar-SA"/>
              </w:rPr>
              <w:t>根据检查结果确定参与</w:t>
            </w:r>
            <w:r>
              <w:rPr>
                <w:rFonts w:hint="eastAsia" w:ascii="宋体" w:hAnsi="宋体" w:eastAsia="宋体" w:cs="宋体"/>
                <w:b/>
                <w:color w:val="auto"/>
                <w:szCs w:val="21"/>
                <w:highlight w:val="none"/>
                <w:lang w:val="en-US" w:eastAsia="zh-CN" w:bidi="ar-SA"/>
              </w:rPr>
              <w:t>人数</w:t>
            </w:r>
          </w:p>
        </w:tc>
      </w:tr>
    </w:tbl>
    <w:p>
      <w:pPr>
        <w:keepNext w:val="0"/>
        <w:keepLines w:val="0"/>
        <w:pageBreakBefore w:val="0"/>
        <w:widowControl/>
        <w:kinsoku/>
        <w:wordWrap/>
        <w:overflowPunct/>
        <w:topLinePunct w:val="0"/>
        <w:autoSpaceDE w:val="0"/>
        <w:autoSpaceDN w:val="0"/>
        <w:bidi w:val="0"/>
        <w:adjustRightInd/>
        <w:snapToGrid/>
        <w:spacing w:before="157" w:beforeLines="50" w:line="360" w:lineRule="auto"/>
        <w:ind w:firstLine="422" w:firstLineChars="200"/>
        <w:textAlignment w:val="baseline"/>
        <w:rPr>
          <w:rFonts w:hint="eastAsia" w:ascii="宋体" w:hAnsi="宋体" w:eastAsia="宋体" w:cs="宋体"/>
          <w:b/>
          <w:bCs w:val="0"/>
          <w:color w:val="auto"/>
          <w:szCs w:val="21"/>
          <w:highlight w:val="none"/>
        </w:rPr>
      </w:pPr>
      <w:r>
        <w:rPr>
          <w:rFonts w:hint="eastAsia" w:ascii="宋体" w:hAnsi="宋体" w:eastAsia="宋体" w:cs="宋体"/>
          <w:b/>
          <w:bCs/>
          <w:color w:val="auto"/>
          <w:szCs w:val="21"/>
          <w:highlight w:val="none"/>
          <w:lang w:val="en-US" w:eastAsia="zh-CN"/>
        </w:rPr>
        <w:t>注：</w:t>
      </w:r>
      <w:r>
        <w:rPr>
          <w:rFonts w:hint="eastAsia" w:ascii="宋体" w:hAnsi="宋体" w:eastAsia="宋体" w:cs="宋体"/>
          <w:b/>
          <w:bCs/>
          <w:color w:val="auto"/>
          <w:szCs w:val="21"/>
          <w:highlight w:val="none"/>
        </w:rPr>
        <w:t>预估人数仅作为参考，具体以实际体检人数为准</w:t>
      </w:r>
      <w:r>
        <w:rPr>
          <w:rFonts w:hint="eastAsia" w:ascii="宋体" w:hAnsi="宋体" w:eastAsia="宋体" w:cs="宋体"/>
          <w:b/>
          <w:bCs/>
          <w:color w:val="auto"/>
          <w:szCs w:val="21"/>
          <w:highlight w:val="none"/>
          <w:lang w:eastAsia="zh-CN"/>
        </w:rPr>
        <w:t>，</w:t>
      </w:r>
      <w:r>
        <w:rPr>
          <w:rFonts w:hint="eastAsia" w:ascii="宋体" w:hAnsi="宋体" w:eastAsia="宋体" w:cs="宋体"/>
          <w:b/>
          <w:bCs w:val="0"/>
          <w:color w:val="auto"/>
          <w:szCs w:val="21"/>
          <w:highlight w:val="none"/>
          <w:lang w:val="en-US" w:eastAsia="zh-CN"/>
        </w:rPr>
        <w:t>最终支付价款以甲方实际参加体检的人数*相对应的中标单价确定，据实结算但不得超过采购预算。</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baseline"/>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三、技术要求</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baseline"/>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需保证所有体检结果的准确性和真实性。</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baseline"/>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要求</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（一）体检服务方案，运作流程管理，体检时间安排，体检报告管理，健康档案管理，历年体检档案管理，体检服务各项质量标准的承诺及目标，服务质量控制措施等符合项目实际。</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（二）体检机构拥有独立的体检信息系统，无纸化、自动化、数字化体检管理，自动生成个人体检报告、综述、建议，体检结果迅速，信息保存完整。</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（三）配套服务：交通便利、停车方便；提供体检人员专业接送服务；免费早餐；体检结果信息化查询。</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（四）参与本项目主要成员须持有医师资格证书及医师执业证书，未经采购方书面同意，不得随意变换医生、护士。</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（五）服务商需建立预警机制，提供市级优质医疗资源绿色通道服务，针对辅助人员个人体检时出现的重大疾病提供后续治疗。</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baseline"/>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val="en-US" w:eastAsia="zh-CN"/>
        </w:rPr>
        <w:t>商务要求</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（一）服务期限、工期及地点</w:t>
      </w:r>
      <w:bookmarkStart w:id="30" w:name="_Toc167712839"/>
      <w:bookmarkStart w:id="31" w:name="_Toc167714037"/>
      <w:bookmarkStart w:id="32" w:name="_Toc167715234"/>
    </w:p>
    <w:bookmarkEnd w:id="30"/>
    <w:bookmarkEnd w:id="31"/>
    <w:bookmarkEnd w:id="32"/>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服务期限：按照采购方需求分批体检（自合同签订之日起2月内）。</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服务地点：采购方指定地点。</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（二）付款方式</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合同签订后10个工作日内支付合同总价款的50%作为预付款。</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体检项目完成后，由采购方按照工作程序进行验收、审计项目履约完成情况。</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验收、审计完成后，由服务商给采购方开具全额发票，10个工作日内支付合同剩余尾款，最终尾款支付金额以审计金额为准。</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（三）合同实施</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成交单位应在合同签订后接招标人通知之日起7个日历日内安排人员与使用单位对体检实施服务进行安排、部署、计划。</w:t>
      </w:r>
    </w:p>
    <w:p>
      <w:pPr>
        <w:pStyle w:val="89"/>
        <w:keepNext w:val="0"/>
        <w:keepLines w:val="0"/>
        <w:pageBreakBefore w:val="0"/>
        <w:kinsoku/>
        <w:wordWrap/>
        <w:overflowPunct/>
        <w:topLinePunct w:val="0"/>
        <w:autoSpaceDE/>
        <w:autoSpaceDN/>
        <w:bidi w:val="0"/>
        <w:adjustRightInd/>
        <w:snapToGrid/>
        <w:spacing w:after="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若未能在按照项目实际工作时间完成规定的义务，由此对采购单位造成的延误和一切损失，由成交单位承担和赔偿。</w:t>
      </w:r>
    </w:p>
    <w:p>
      <w:pPr>
        <w:widowControl w:val="0"/>
        <w:spacing w:line="360" w:lineRule="auto"/>
        <w:ind w:firstLine="420" w:firstLineChars="200"/>
        <w:rPr>
          <w:rFonts w:hint="eastAsia" w:ascii="宋体" w:hAnsi="宋体" w:eastAsia="宋体" w:cs="宋体"/>
          <w:iCs/>
          <w:color w:val="auto"/>
          <w:szCs w:val="21"/>
          <w:highlight w:val="none"/>
        </w:rPr>
      </w:pPr>
      <w:r>
        <w:rPr>
          <w:rFonts w:hint="eastAsia" w:ascii="宋体" w:hAnsi="宋体" w:eastAsia="宋体" w:cs="宋体"/>
          <w:iCs/>
          <w:color w:val="auto"/>
          <w:szCs w:val="21"/>
          <w:highlight w:val="none"/>
        </w:rPr>
        <w:br w:type="page"/>
      </w:r>
    </w:p>
    <w:p>
      <w:pPr>
        <w:pStyle w:val="3"/>
        <w:keepNext/>
        <w:keepLines w:val="0"/>
        <w:pageBreakBefore w:val="0"/>
        <w:widowControl/>
        <w:kinsoku/>
        <w:wordWrap/>
        <w:overflowPunct/>
        <w:topLinePunct w:val="0"/>
        <w:autoSpaceDE/>
        <w:autoSpaceDN/>
        <w:bidi w:val="0"/>
        <w:adjustRightInd/>
        <w:snapToGrid/>
        <w:spacing w:after="313" w:afterLines="100"/>
        <w:textAlignment w:val="auto"/>
        <w:rPr>
          <w:rFonts w:hint="eastAsia" w:ascii="宋体" w:hAnsi="宋体" w:eastAsia="宋体" w:cs="宋体"/>
          <w:bCs/>
          <w:color w:val="auto"/>
          <w:kern w:val="0"/>
          <w:sz w:val="32"/>
          <w:szCs w:val="32"/>
          <w:highlight w:val="none"/>
        </w:rPr>
      </w:pPr>
      <w:bookmarkStart w:id="33" w:name="_Toc30662"/>
      <w:r>
        <w:rPr>
          <w:rFonts w:hint="eastAsia" w:ascii="宋体" w:hAnsi="宋体" w:eastAsia="宋体" w:cs="宋体"/>
          <w:bCs/>
          <w:color w:val="auto"/>
          <w:highlight w:val="none"/>
        </w:rPr>
        <w:t>第五章 评审方法</w:t>
      </w:r>
      <w:bookmarkEnd w:id="33"/>
    </w:p>
    <w:p>
      <w:pPr>
        <w:pStyle w:val="28"/>
        <w:keepNext w:val="0"/>
        <w:keepLines w:val="0"/>
        <w:pageBreakBefore w:val="0"/>
        <w:widowControl w:val="0"/>
        <w:kinsoku/>
        <w:wordWrap/>
        <w:overflowPunct/>
        <w:topLinePunct w:val="0"/>
        <w:autoSpaceDE/>
        <w:autoSpaceDN/>
        <w:bidi w:val="0"/>
        <w:adjustRightInd/>
        <w:snapToGrid/>
        <w:ind w:firstLine="422" w:firstLineChars="200"/>
        <w:jc w:val="both"/>
        <w:textAlignment w:val="baseline"/>
        <w:outlineLvl w:val="1"/>
        <w:rPr>
          <w:rStyle w:val="31"/>
          <w:rFonts w:hint="eastAsia" w:ascii="宋体" w:hAnsi="宋体" w:eastAsia="宋体" w:cs="宋体"/>
          <w:color w:val="auto"/>
          <w:sz w:val="21"/>
          <w:szCs w:val="21"/>
          <w:highlight w:val="none"/>
        </w:rPr>
      </w:pPr>
      <w:bookmarkStart w:id="34" w:name="_Toc11634"/>
      <w:bookmarkStart w:id="35" w:name="_Toc82791979"/>
      <w:r>
        <w:rPr>
          <w:rStyle w:val="31"/>
          <w:rFonts w:hint="eastAsia" w:ascii="宋体" w:hAnsi="宋体" w:eastAsia="宋体" w:cs="宋体"/>
          <w:color w:val="auto"/>
          <w:sz w:val="21"/>
          <w:szCs w:val="21"/>
          <w:highlight w:val="none"/>
        </w:rPr>
        <w:t>一、评审方法</w:t>
      </w:r>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按照《中华人民共和国政府采购法》、中华人民共和国2015年第658号国务院令--《中华人民共和国政府采购法实施条例》和中华人民共和国财政部</w:t>
      </w:r>
      <w:r>
        <w:rPr>
          <w:rStyle w:val="31"/>
          <w:rFonts w:hint="eastAsia" w:ascii="宋体" w:hAnsi="宋体" w:eastAsia="宋体" w:cs="宋体"/>
          <w:color w:val="auto"/>
          <w:kern w:val="0"/>
          <w:sz w:val="21"/>
          <w:szCs w:val="21"/>
          <w:highlight w:val="none"/>
        </w:rPr>
        <w:t>财库〔2014〕214号文件《政府采购竞争性磋商采购方式管理暂行办法》的规定</w:t>
      </w:r>
      <w:r>
        <w:rPr>
          <w:rStyle w:val="31"/>
          <w:rFonts w:hint="eastAsia" w:ascii="宋体" w:hAnsi="宋体" w:eastAsia="宋体" w:cs="宋体"/>
          <w:color w:val="auto"/>
          <w:sz w:val="21"/>
          <w:szCs w:val="21"/>
          <w:highlight w:val="none"/>
        </w:rPr>
        <w:t>，竞争性磋商小组采用综合评分法对提交最后报价的供应商的响应文件和最后报价进行综合评分，按照评审得分由高到低顺序推荐3名成交候选供应商。</w:t>
      </w:r>
    </w:p>
    <w:p>
      <w:pPr>
        <w:pStyle w:val="28"/>
        <w:keepNext w:val="0"/>
        <w:keepLines w:val="0"/>
        <w:pageBreakBefore w:val="0"/>
        <w:widowControl w:val="0"/>
        <w:kinsoku/>
        <w:wordWrap/>
        <w:overflowPunct/>
        <w:topLinePunct w:val="0"/>
        <w:autoSpaceDE/>
        <w:autoSpaceDN/>
        <w:bidi w:val="0"/>
        <w:adjustRightInd/>
        <w:snapToGrid/>
        <w:ind w:firstLine="438" w:firstLineChars="200"/>
        <w:jc w:val="both"/>
        <w:textAlignment w:val="baseline"/>
        <w:outlineLvl w:val="1"/>
        <w:rPr>
          <w:rStyle w:val="31"/>
          <w:rFonts w:hint="eastAsia" w:ascii="宋体" w:hAnsi="宋体" w:eastAsia="宋体" w:cs="宋体"/>
          <w:bCs w:val="0"/>
          <w:color w:val="auto"/>
          <w:spacing w:val="4"/>
          <w:sz w:val="21"/>
          <w:szCs w:val="21"/>
          <w:highlight w:val="none"/>
        </w:rPr>
      </w:pPr>
      <w:bookmarkStart w:id="36" w:name="_Toc82791980"/>
      <w:bookmarkStart w:id="37" w:name="_Toc29947"/>
      <w:r>
        <w:rPr>
          <w:rStyle w:val="31"/>
          <w:rFonts w:hint="eastAsia" w:ascii="宋体" w:hAnsi="宋体" w:eastAsia="宋体" w:cs="宋体"/>
          <w:bCs w:val="0"/>
          <w:color w:val="auto"/>
          <w:spacing w:val="4"/>
          <w:sz w:val="21"/>
          <w:szCs w:val="21"/>
          <w:highlight w:val="none"/>
        </w:rPr>
        <w:t>二、评审程序</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1.响应文件审查</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审查分为资格性检查和符合性检查。分别按照以下内容对磋商响应文件进行检查，一项不合格即按照无效响应处理。</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kern w:val="0"/>
          <w:sz w:val="21"/>
          <w:szCs w:val="21"/>
          <w:highlight w:val="none"/>
        </w:rPr>
      </w:pPr>
      <w:r>
        <w:rPr>
          <w:rStyle w:val="31"/>
          <w:rFonts w:hint="eastAsia" w:ascii="宋体" w:hAnsi="宋体" w:eastAsia="宋体" w:cs="宋体"/>
          <w:color w:val="auto"/>
          <w:spacing w:val="4"/>
          <w:sz w:val="21"/>
          <w:szCs w:val="21"/>
          <w:highlight w:val="none"/>
        </w:rPr>
        <w:t>响应文件审查合格的为实质性响应磋商文件要求的供应商。</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1.1资格性检查：</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1.1.1提供的资格证明文件是否符合国家法律法规和磋商文件的要求，并且齐全、真实、有效。</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jc w:val="left"/>
        <w:textAlignment w:val="baseline"/>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pacing w:val="4"/>
          <w:sz w:val="21"/>
          <w:szCs w:val="21"/>
          <w:highlight w:val="none"/>
        </w:rPr>
        <w:t>1.1.2在“信用中国”</w:t>
      </w:r>
      <w:r>
        <w:rPr>
          <w:rStyle w:val="31"/>
          <w:rFonts w:hint="eastAsia" w:ascii="宋体" w:hAnsi="宋体" w:eastAsia="宋体" w:cs="宋体"/>
          <w:color w:val="auto"/>
          <w:kern w:val="0"/>
          <w:sz w:val="21"/>
          <w:szCs w:val="21"/>
          <w:highlight w:val="none"/>
        </w:rPr>
        <w:t>网站（www.creditchina.gov.cn）和“中国政府采购网”（www.ccgp.gov.cn）对供应商信用信息进行查询，如果供应商被查实在磋商截止时间前已列入失信被执行人、</w:t>
      </w:r>
      <w:r>
        <w:rPr>
          <w:rFonts w:hint="eastAsia" w:ascii="宋体" w:hAnsi="宋体" w:eastAsia="宋体" w:cs="宋体"/>
          <w:color w:val="auto"/>
          <w:kern w:val="0"/>
          <w:szCs w:val="21"/>
          <w:highlight w:val="none"/>
        </w:rPr>
        <w:t>重大税收违法失信主体</w:t>
      </w:r>
      <w:r>
        <w:rPr>
          <w:rStyle w:val="31"/>
          <w:rFonts w:hint="eastAsia" w:ascii="宋体" w:hAnsi="宋体" w:eastAsia="宋体" w:cs="宋体"/>
          <w:color w:val="auto"/>
          <w:kern w:val="0"/>
          <w:sz w:val="21"/>
          <w:szCs w:val="21"/>
          <w:highlight w:val="none"/>
        </w:rPr>
        <w:t>、政府采购严重违法失信行为记录名单，其磋商响应为无效。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1.2符合性检查：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z w:val="21"/>
          <w:szCs w:val="21"/>
          <w:highlight w:val="none"/>
        </w:rPr>
        <w:t>1.2.1</w:t>
      </w:r>
      <w:r>
        <w:rPr>
          <w:rStyle w:val="31"/>
          <w:rFonts w:hint="eastAsia" w:ascii="宋体" w:hAnsi="宋体" w:eastAsia="宋体" w:cs="宋体"/>
          <w:color w:val="auto"/>
          <w:spacing w:val="4"/>
          <w:sz w:val="21"/>
          <w:szCs w:val="21"/>
          <w:highlight w:val="none"/>
        </w:rPr>
        <w:t>磋商响应文件的完整性审查。</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Fonts w:hint="eastAsia" w:ascii="宋体" w:hAnsi="宋体" w:eastAsia="宋体" w:cs="宋体"/>
          <w:color w:val="auto"/>
          <w:spacing w:val="4"/>
          <w:szCs w:val="21"/>
          <w:highlight w:val="none"/>
        </w:rPr>
        <w:t>1.2.1.1</w:t>
      </w:r>
      <w:r>
        <w:rPr>
          <w:rStyle w:val="31"/>
          <w:rFonts w:hint="eastAsia" w:ascii="宋体" w:hAnsi="宋体" w:eastAsia="宋体" w:cs="宋体"/>
          <w:color w:val="auto"/>
          <w:spacing w:val="4"/>
          <w:sz w:val="21"/>
          <w:szCs w:val="21"/>
          <w:highlight w:val="none"/>
        </w:rPr>
        <w:t>响应文件是否按照磋商文件要求的格式编写。</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Fonts w:hint="eastAsia" w:ascii="宋体" w:hAnsi="宋体" w:eastAsia="宋体" w:cs="宋体"/>
          <w:color w:val="auto"/>
          <w:spacing w:val="4"/>
          <w:szCs w:val="21"/>
          <w:highlight w:val="none"/>
        </w:rPr>
        <w:t>1.2.1.2磋商报价内容是否有重大缺漏项。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1.2.2磋商响应文件的有效性审查。</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1.2.2.1响应文件的签署、加盖印章是否合格、有效；提供的各种证明文件、数据、资料是否真实、有效。</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1.2.3磋商响应文件的响应性审查。</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1.2.3.1磋商报价是否未超过采购预算</w:t>
      </w:r>
      <w:r>
        <w:rPr>
          <w:rStyle w:val="31"/>
          <w:rFonts w:hint="eastAsia" w:ascii="宋体" w:hAnsi="宋体" w:eastAsia="宋体" w:cs="宋体"/>
          <w:color w:val="auto"/>
          <w:spacing w:val="4"/>
          <w:sz w:val="21"/>
          <w:szCs w:val="21"/>
          <w:highlight w:val="none"/>
          <w:lang w:val="en-US" w:eastAsia="zh-CN"/>
        </w:rPr>
        <w:t>或最高限价</w:t>
      </w:r>
      <w:r>
        <w:rPr>
          <w:rStyle w:val="31"/>
          <w:rFonts w:hint="eastAsia" w:ascii="宋体" w:hAnsi="宋体" w:eastAsia="宋体" w:cs="宋体"/>
          <w:color w:val="auto"/>
          <w:spacing w:val="4"/>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4"/>
          <w:szCs w:val="21"/>
          <w:highlight w:val="none"/>
        </w:rPr>
        <w:t>1.2.3.2磋商报价有效期是否符合磋商文件的要求；</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1.2.3.3响应文件是否响应了磋商文件要求的全部条款、条件和规格要求，没有重大偏离；</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1.2.3.4服务期及付款方式是否满足磋商文件要求，对合同中规定的双方的权利和义务是否做出了实质性响应。</w:t>
      </w:r>
    </w:p>
    <w:p>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baseline"/>
        <w:rPr>
          <w:rStyle w:val="31"/>
          <w:rFonts w:hint="eastAsia" w:ascii="宋体" w:hAnsi="宋体" w:eastAsia="宋体" w:cs="宋体"/>
          <w:color w:val="auto"/>
          <w:spacing w:val="4"/>
          <w:sz w:val="21"/>
          <w:szCs w:val="21"/>
          <w:highlight w:val="none"/>
        </w:rPr>
      </w:pPr>
      <w:r>
        <w:rPr>
          <w:rStyle w:val="31"/>
          <w:rFonts w:hint="eastAsia" w:ascii="宋体" w:hAnsi="宋体" w:eastAsia="宋体" w:cs="宋体"/>
          <w:color w:val="auto"/>
          <w:spacing w:val="4"/>
          <w:sz w:val="21"/>
          <w:szCs w:val="21"/>
          <w:highlight w:val="none"/>
        </w:rPr>
        <w:t>2.澄清有关问题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color w:val="auto"/>
          <w:kern w:val="0"/>
          <w:sz w:val="21"/>
          <w:szCs w:val="21"/>
          <w:highlight w:val="none"/>
        </w:rPr>
      </w:pPr>
      <w:r>
        <w:rPr>
          <w:rStyle w:val="31"/>
          <w:rFonts w:hint="eastAsia" w:ascii="宋体" w:hAnsi="宋体" w:eastAsia="宋体" w:cs="宋体"/>
          <w:color w:val="auto"/>
          <w:kern w:val="0"/>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color w:val="auto"/>
          <w:kern w:val="0"/>
          <w:sz w:val="21"/>
          <w:szCs w:val="21"/>
          <w:highlight w:val="none"/>
        </w:rPr>
      </w:pPr>
      <w:r>
        <w:rPr>
          <w:rStyle w:val="31"/>
          <w:rFonts w:hint="eastAsia" w:ascii="宋体" w:hAnsi="宋体" w:eastAsia="宋体" w:cs="宋体"/>
          <w:color w:val="auto"/>
          <w:kern w:val="0"/>
          <w:sz w:val="21"/>
          <w:szCs w:val="21"/>
          <w:highlight w:val="none"/>
        </w:rPr>
        <w:t>磋商小组要求供应商澄清、说明或者更正响应文件的，应当以书面形式提出。供应商的澄清、说明或者更正应当由法定代表人或其授权代表签字或者加盖公章。由授权代表签字的，应当提供法定代表人授权书。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Style w:val="31"/>
          <w:rFonts w:hint="eastAsia" w:ascii="宋体" w:hAnsi="宋体" w:eastAsia="宋体" w:cs="宋体"/>
          <w:color w:val="auto"/>
          <w:kern w:val="0"/>
          <w:sz w:val="21"/>
          <w:szCs w:val="21"/>
          <w:highlight w:val="none"/>
        </w:rPr>
      </w:pPr>
      <w:r>
        <w:rPr>
          <w:rStyle w:val="31"/>
          <w:rFonts w:hint="eastAsia" w:ascii="宋体" w:hAnsi="宋体" w:eastAsia="宋体" w:cs="宋体"/>
          <w:color w:val="auto"/>
          <w:kern w:val="0"/>
          <w:sz w:val="21"/>
          <w:szCs w:val="21"/>
          <w:highlight w:val="none"/>
        </w:rPr>
        <w:t>3.磋商小组逐一与实质性响应磋商文件要求的供应商进行磋商。</w:t>
      </w:r>
    </w:p>
    <w:p>
      <w:pPr>
        <w:keepNext w:val="0"/>
        <w:keepLines w:val="0"/>
        <w:pageBreakBefore w:val="0"/>
        <w:kinsoku/>
        <w:wordWrap/>
        <w:overflowPunct/>
        <w:topLinePunct w:val="0"/>
        <w:autoSpaceDE/>
        <w:autoSpaceDN/>
        <w:bidi w:val="0"/>
        <w:adjustRightInd/>
        <w:snapToGrid/>
        <w:spacing w:line="360" w:lineRule="auto"/>
        <w:ind w:firstLine="436" w:firstLineChars="200"/>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4、评审价格的确定：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经初审并磋商之后，对于所有满足磋商文件全部实质性要求并按照规定提交了最终报价的响应文件，按照以下规则进行评审</w:t>
      </w:r>
      <w:r>
        <w:rPr>
          <w:rStyle w:val="31"/>
          <w:rFonts w:hint="eastAsia" w:ascii="宋体" w:hAnsi="宋体" w:eastAsia="宋体" w:cs="宋体"/>
          <w:color w:val="auto"/>
          <w:sz w:val="21"/>
          <w:szCs w:val="21"/>
          <w:highlight w:val="none"/>
        </w:rPr>
        <w:t>价格</w:t>
      </w:r>
      <w:r>
        <w:rPr>
          <w:rFonts w:hint="eastAsia" w:ascii="宋体" w:hAnsi="宋体" w:eastAsia="宋体" w:cs="宋体"/>
          <w:color w:val="auto"/>
          <w:szCs w:val="21"/>
          <w:highlight w:val="none"/>
        </w:rPr>
        <w:t>的</w:t>
      </w:r>
      <w:r>
        <w:rPr>
          <w:rStyle w:val="31"/>
          <w:rFonts w:hint="eastAsia" w:ascii="宋体" w:hAnsi="宋体" w:eastAsia="宋体" w:cs="宋体"/>
          <w:color w:val="auto"/>
          <w:sz w:val="21"/>
          <w:szCs w:val="21"/>
          <w:highlight w:val="none"/>
        </w:rPr>
        <w:t>确定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4.1经初审并磋商之后，对于所有满足磋商文件全部实质性要求并按照规定提交了最终报价的响应文件，按照以下规则进行评审价格的确定。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4.2对于符合政策性优惠的，其评标价按照以下规则进行计算调整。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4.2.1符合（财库〔2020〕46号）文件规定的小微企业单位的评标价计算规则：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4.2.1.1对符合规定的小型和微型企业（非联合体磋商）报价给予10%的扣除，用扣除后的价格参加评审。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其评审价=最终报价*（1-10%）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4.2.1.2对于联合协议或者分包意向协议约定小微企业的合同份额占到合同总金额30%以上的（须在联合协议或分包意向协议中明确监狱企业的合同份额，否则评审时不予给予价格扣除），对联合体或者大中型企业的报价给予4%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其评审价=最终报价*（1-4%）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4.2.1.3确认为小微企业（含小型、微型企业，下同）磋商的，应当同时符合以下条件：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4.2.1.3.1符合国务院有关部门根据企业从业人员、营业收入、资产总额等指标制定的中小企业划型标准（工信部联企业〔2011〕300号）；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4.2.1.3.2在服务采购项目中，服务由中小企业承接，即提供服务的人员为中小企业依照《中华人民共和国</w:t>
      </w:r>
      <w:r>
        <w:rPr>
          <w:rFonts w:hint="eastAsia" w:ascii="宋体" w:hAnsi="宋体" w:eastAsia="宋体" w:cs="宋体"/>
          <w:color w:val="auto"/>
          <w:szCs w:val="21"/>
          <w:highlight w:val="none"/>
          <w:lang w:val="en-US" w:eastAsia="zh-CN"/>
        </w:rPr>
        <w:t>民法典</w:t>
      </w:r>
      <w:r>
        <w:rPr>
          <w:rFonts w:hint="eastAsia" w:ascii="宋体" w:hAnsi="宋体" w:eastAsia="宋体" w:cs="宋体"/>
          <w:color w:val="auto"/>
          <w:szCs w:val="21"/>
          <w:highlight w:val="none"/>
        </w:rPr>
        <w:t xml:space="preserve">法》订立劳动合同的从业人员。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4.2.1.3.3磋商时须提供按照（财库〔2020〕46号）文件附件格式填写的《中小企业声明函（服务）》。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4.2.2符合（财库〔2017〕141号）文件规定的残疾人福利性单位的评标价计算规则：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其评审价=最终报价*（1-10%）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4.2.2.2对于联合协议或者分包意向协议约定残疾人福利性单位的合同份额占到合同总金额30%以上的（须在联合协议或分包意向协议中明确监狱企业的合同份额，否则评审时不予给予价格扣除），对联合体或者大中型企业的报价给予4%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其评审价=最终报价*（1-4%）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4.2.2.3确认为残疾人福利性单位磋商的，应当同时符合以下条件：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4.2.2.3.1符合（财库〔2017〕141号）文件相关规定。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4.2.2.3.2磋商时提供本单位的服务，或者提供其他残疾人福利性单位承担的服务。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4.2.2.3.3供应商须提供按照（财库〔2017〕141号）文件附件格式填写的《残疾人福利性单位声明函》。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4.2.3符合（财库〔2014〕68号）文件规定的监狱企业的评审价计算规则：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其评审价=最终报价*（1-10%）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4.2.3.2对于联合协议或者分包意向协议约定监狱企业的合同份额占到合同总金额30%以上的（须在联合协议或分包意向协议中明确监狱企业的合同份额，否则评审时不予给予价格扣除），对联合体或者大中型企业的报价给予4%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其评审价=最终报价*（1-4%）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4.2.3.3确认为监狱企业磋商的，应当同时符合以下条件：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4.2.3.3.1符合（财库〔2014〕68号）文件相关规定。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4.2.3.3.2磋商时提供本单位的服务，或者提供其他监狱企业承担的服务。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4.2.3.3.3供应商须提供由省级以上监狱管理局、戒毒管理局（含新疆生产建设兵团）出具的属于监狱企业的证明文件。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4.2.4符合节能产品文件规定的加分规则：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4.2.4.1磋商服务涉及提供的所有磋商产品进入“节能产品政府采购品目清单”（相关证书的颁发机构应来自《参与实施政府采购节能产品认证机构名录》）的予以加分，具体评审标准及分值见《评审因素量化赋分表》；（不是所有磋商产品的不享受此项优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4.2.5符合环境标志产品文件规定的加分规则：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4.2.5.1磋商服务涉及提供的所有磋商产品进入“环境标志产品政府采购品目清单”（相关证书的颁发机构应来自《参与实施政府采购环境标志产品认证机构名录》）的予以加分，具体评审标准及分值见《评审因素量化赋分表》；（不是所有磋商产品的不享受此项优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4.3评审价的计算：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4.3.1供应商为非联合体的情况：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小型企业，其评审价=最终报价*（1-8%）；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微型企业，其评审价=最终报价*（1-8%）；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监狱企业，其评审价=最终报价*（1-8%）；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残疾人福利性单位，其评审价=最终报价*（1-8%）。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4.3.2供应商为联合体且联合协议中约定小型、微型企业的协议合同金额占到联合体协议合同总金额30％以上的，按照以下规则进行评审价计算：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与小型企业联合的，其评审价=最终报价*（1-2%）；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与微型企业联合的，其评审价=最终报价*（1-2%）；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与监狱企业联合的，其评审价=最终报价*（1-2%）；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与残疾人福利性单位联合的，其评审价=最终报价*（1-2%）。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4.4对于不享受以上政策性优惠价格调整的，其评审价=供应商提交的最终报价。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经初审并磋商之后，对于所有满足磋商文件全部实质性要求并按照规定提交了最终报价的响应文件，由竞争性磋商小组各成员按照下列《评审因素及量化指标分解表》规定的内容独立进行综合比较，评价打分。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6、推荐成交候选供应商名单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汇总磋商小组成员对每个供应商的综合得分，每个包按照评审得分由高到低顺序推荐3名成交候选供应商。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baseline"/>
        <w:rPr>
          <w:rStyle w:val="31"/>
          <w:rFonts w:hint="eastAsia" w:ascii="宋体" w:hAnsi="宋体" w:eastAsia="宋体" w:cs="宋体"/>
          <w:b/>
          <w:color w:val="auto"/>
          <w:sz w:val="32"/>
          <w:szCs w:val="32"/>
          <w:highlight w:val="none"/>
        </w:rPr>
      </w:pPr>
      <w:r>
        <w:rPr>
          <w:rStyle w:val="31"/>
          <w:rFonts w:hint="eastAsia" w:ascii="宋体" w:hAnsi="宋体" w:eastAsia="宋体" w:cs="宋体"/>
          <w:b/>
          <w:color w:val="auto"/>
          <w:sz w:val="32"/>
          <w:szCs w:val="32"/>
          <w:highlight w:val="none"/>
        </w:rPr>
        <w:br w:type="page"/>
      </w:r>
    </w:p>
    <w:p>
      <w:pPr>
        <w:spacing w:line="360" w:lineRule="auto"/>
        <w:jc w:val="center"/>
        <w:outlineLvl w:val="1"/>
        <w:rPr>
          <w:rStyle w:val="31"/>
          <w:rFonts w:hint="eastAsia" w:ascii="宋体" w:hAnsi="宋体" w:eastAsia="宋体" w:cs="宋体"/>
          <w:b/>
          <w:color w:val="auto"/>
          <w:sz w:val="36"/>
          <w:szCs w:val="36"/>
          <w:highlight w:val="none"/>
        </w:rPr>
      </w:pPr>
      <w:r>
        <w:rPr>
          <w:rStyle w:val="31"/>
          <w:rFonts w:hint="eastAsia" w:ascii="宋体" w:hAnsi="宋体" w:eastAsia="宋体" w:cs="宋体"/>
          <w:b/>
          <w:color w:val="auto"/>
          <w:sz w:val="36"/>
          <w:szCs w:val="36"/>
          <w:highlight w:val="none"/>
        </w:rPr>
        <w:t>评审因素及量化指标分解表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53"/>
        <w:gridCol w:w="1941"/>
        <w:gridCol w:w="5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7"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类别</w:t>
            </w:r>
          </w:p>
        </w:tc>
        <w:tc>
          <w:tcPr>
            <w:tcW w:w="853"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41"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评审要素及分值</w:t>
            </w:r>
          </w:p>
        </w:tc>
        <w:tc>
          <w:tcPr>
            <w:tcW w:w="5291"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赋分标准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7"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85</w:t>
            </w:r>
            <w:r>
              <w:rPr>
                <w:rFonts w:hint="eastAsia" w:ascii="宋体" w:hAnsi="宋体" w:eastAsia="宋体" w:cs="宋体"/>
                <w:color w:val="auto"/>
                <w:szCs w:val="21"/>
                <w:highlight w:val="none"/>
              </w:rPr>
              <w:t>分</w:t>
            </w:r>
          </w:p>
        </w:tc>
        <w:tc>
          <w:tcPr>
            <w:tcW w:w="853"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41" w:type="dxa"/>
            <w:vAlign w:val="center"/>
          </w:tcPr>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服务方案</w:t>
            </w:r>
          </w:p>
          <w:p>
            <w:pPr>
              <w:spacing w:line="360" w:lineRule="auto"/>
              <w:jc w:val="center"/>
              <w:rPr>
                <w:rFonts w:hint="eastAsia" w:ascii="宋体" w:hAnsi="宋体" w:eastAsia="宋体" w:cs="宋体"/>
                <w:color w:val="auto"/>
                <w:szCs w:val="21"/>
                <w:highlight w:val="none"/>
                <w:lang w:val="en-US"/>
              </w:rPr>
            </w:pPr>
            <w:r>
              <w:rPr>
                <w:rFonts w:hint="eastAsia" w:ascii="宋体" w:hAnsi="宋体" w:eastAsia="宋体" w:cs="宋体"/>
                <w:color w:val="auto"/>
                <w:kern w:val="0"/>
                <w:szCs w:val="21"/>
                <w:highlight w:val="none"/>
                <w:lang w:val="en-US" w:eastAsia="zh-CN"/>
              </w:rPr>
              <w:t>20分</w:t>
            </w:r>
          </w:p>
        </w:tc>
        <w:tc>
          <w:tcPr>
            <w:tcW w:w="5291" w:type="dxa"/>
          </w:tcPr>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根据本项目要求提供的服务方案：</w:t>
            </w:r>
          </w:p>
          <w:p>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1）体检服务方案，[5-0]分；</w:t>
            </w:r>
          </w:p>
          <w:p>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2）体检时间安排，[3-0]分；</w:t>
            </w:r>
          </w:p>
          <w:p>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3）体检顺序及程序，[4-0]分；</w:t>
            </w:r>
          </w:p>
          <w:p>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4）健康档案管理，[3-0]分；</w:t>
            </w:r>
          </w:p>
          <w:p>
            <w:p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5）历年体检档案管理，[5-0]分。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7" w:type="dxa"/>
            <w:vMerge w:val="continue"/>
            <w:vAlign w:val="center"/>
          </w:tcPr>
          <w:p>
            <w:pPr>
              <w:spacing w:line="360" w:lineRule="auto"/>
              <w:jc w:val="center"/>
              <w:rPr>
                <w:rFonts w:hint="eastAsia" w:ascii="宋体" w:hAnsi="宋体" w:eastAsia="宋体" w:cs="宋体"/>
                <w:color w:val="auto"/>
                <w:szCs w:val="21"/>
                <w:highlight w:val="none"/>
                <w:lang w:val="en-US" w:eastAsia="zh-CN"/>
              </w:rPr>
            </w:pPr>
          </w:p>
        </w:tc>
        <w:tc>
          <w:tcPr>
            <w:tcW w:w="853" w:type="dxa"/>
            <w:vMerge w:val="continue"/>
            <w:vAlign w:val="center"/>
          </w:tcPr>
          <w:p>
            <w:pPr>
              <w:spacing w:line="360" w:lineRule="auto"/>
              <w:jc w:val="center"/>
              <w:rPr>
                <w:rFonts w:hint="eastAsia" w:ascii="宋体" w:hAnsi="宋体" w:eastAsia="宋体" w:cs="宋体"/>
                <w:color w:val="auto"/>
                <w:szCs w:val="21"/>
                <w:highlight w:val="none"/>
              </w:rPr>
            </w:pPr>
          </w:p>
        </w:tc>
        <w:tc>
          <w:tcPr>
            <w:tcW w:w="1941" w:type="dxa"/>
            <w:vAlign w:val="center"/>
          </w:tcPr>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体检信息系统</w:t>
            </w:r>
          </w:p>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5分</w:t>
            </w:r>
          </w:p>
        </w:tc>
        <w:tc>
          <w:tcPr>
            <w:tcW w:w="5291" w:type="dxa"/>
            <w:vAlign w:val="top"/>
          </w:tcPr>
          <w:p>
            <w:pPr>
              <w:pStyle w:val="89"/>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有独立的体检信息系统，无纸化、自动化、数字化体检管理，自动生成个人体检报告、综述、建议，体检结果迅速，信息保存完整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Cs w:val="21"/>
                <w:highlight w:val="none"/>
                <w:lang w:val="en-US" w:eastAsia="zh-CN"/>
              </w:rPr>
              <w:t>[5-0]分。</w:t>
            </w:r>
          </w:p>
          <w:p>
            <w:pPr>
              <w:pStyle w:val="89"/>
              <w:keepNext w:val="0"/>
              <w:keepLines w:val="0"/>
              <w:pageBreakBefore w:val="0"/>
              <w:kinsoku/>
              <w:wordWrap/>
              <w:overflowPunct/>
              <w:topLinePunct w:val="0"/>
              <w:autoSpaceDE/>
              <w:autoSpaceDN/>
              <w:bidi w:val="0"/>
              <w:adjustRightInd/>
              <w:snapToGrid/>
              <w:spacing w:after="0" w:line="360" w:lineRule="auto"/>
              <w:ind w:left="0" w:leftChars="0" w:firstLine="0" w:firstLineChars="0"/>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注：提供相关证明材料。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7" w:type="dxa"/>
            <w:vMerge w:val="continue"/>
            <w:vAlign w:val="center"/>
          </w:tcPr>
          <w:p>
            <w:pPr>
              <w:spacing w:line="360" w:lineRule="auto"/>
              <w:jc w:val="center"/>
              <w:rPr>
                <w:rFonts w:hint="eastAsia" w:ascii="宋体" w:hAnsi="宋体" w:eastAsia="宋体" w:cs="宋体"/>
                <w:color w:val="auto"/>
                <w:szCs w:val="21"/>
                <w:highlight w:val="none"/>
                <w:lang w:val="en-US" w:eastAsia="zh-CN"/>
              </w:rPr>
            </w:pPr>
          </w:p>
        </w:tc>
        <w:tc>
          <w:tcPr>
            <w:tcW w:w="853" w:type="dxa"/>
            <w:vMerge w:val="continue"/>
            <w:vAlign w:val="center"/>
          </w:tcPr>
          <w:p>
            <w:pPr>
              <w:spacing w:line="360" w:lineRule="auto"/>
              <w:jc w:val="center"/>
              <w:rPr>
                <w:rFonts w:hint="eastAsia" w:ascii="宋体" w:hAnsi="宋体" w:eastAsia="宋体" w:cs="宋体"/>
                <w:color w:val="auto"/>
                <w:szCs w:val="21"/>
                <w:highlight w:val="none"/>
              </w:rPr>
            </w:pPr>
          </w:p>
        </w:tc>
        <w:tc>
          <w:tcPr>
            <w:tcW w:w="1941" w:type="dxa"/>
            <w:vAlign w:val="center"/>
          </w:tcPr>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配套服务</w:t>
            </w:r>
          </w:p>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12分</w:t>
            </w:r>
          </w:p>
        </w:tc>
        <w:tc>
          <w:tcPr>
            <w:tcW w:w="5291" w:type="dxa"/>
            <w:vAlign w:val="top"/>
          </w:tcPr>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根据本项目要求提供的配套服务：</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1）交通便利、体检人员停车安排，[3-0]分；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2）体检人员专业接送安排，[3-0]分；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3）免费早餐安排，[3-0]分；</w:t>
            </w:r>
          </w:p>
          <w:p>
            <w:pPr>
              <w:spacing w:line="360" w:lineRule="auto"/>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4）体检结果信息化查询，[3-0]分。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7" w:type="dxa"/>
            <w:vMerge w:val="continue"/>
            <w:vAlign w:val="center"/>
          </w:tcPr>
          <w:p>
            <w:pPr>
              <w:spacing w:line="360" w:lineRule="auto"/>
              <w:jc w:val="center"/>
              <w:rPr>
                <w:rFonts w:hint="eastAsia" w:ascii="宋体" w:hAnsi="宋体" w:eastAsia="宋体" w:cs="宋体"/>
                <w:color w:val="auto"/>
                <w:szCs w:val="21"/>
                <w:highlight w:val="none"/>
              </w:rPr>
            </w:pPr>
          </w:p>
        </w:tc>
        <w:tc>
          <w:tcPr>
            <w:tcW w:w="853" w:type="dxa"/>
            <w:vMerge w:val="continue"/>
            <w:vAlign w:val="center"/>
          </w:tcPr>
          <w:p>
            <w:pPr>
              <w:spacing w:line="360" w:lineRule="auto"/>
              <w:jc w:val="center"/>
              <w:rPr>
                <w:rFonts w:hint="eastAsia" w:ascii="宋体" w:hAnsi="宋体" w:eastAsia="宋体" w:cs="宋体"/>
                <w:color w:val="auto"/>
                <w:szCs w:val="21"/>
                <w:highlight w:val="none"/>
              </w:rPr>
            </w:pPr>
          </w:p>
        </w:tc>
        <w:tc>
          <w:tcPr>
            <w:tcW w:w="1941" w:type="dxa"/>
            <w:vAlign w:val="center"/>
          </w:tcPr>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服务器械设施</w:t>
            </w:r>
          </w:p>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5分</w:t>
            </w:r>
          </w:p>
        </w:tc>
        <w:tc>
          <w:tcPr>
            <w:tcW w:w="5291" w:type="dxa"/>
            <w:vAlign w:val="top"/>
          </w:tcPr>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根据服务内容配备相对应的体检器械设施图片及说明（包括：设备台数、设备规格、型号、使用用途等），[5-0]分。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注：提供相关证明材料。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77" w:type="dxa"/>
            <w:vMerge w:val="continue"/>
            <w:vAlign w:val="center"/>
          </w:tcPr>
          <w:p>
            <w:pPr>
              <w:spacing w:line="360" w:lineRule="auto"/>
              <w:jc w:val="center"/>
              <w:rPr>
                <w:rFonts w:hint="eastAsia" w:ascii="宋体" w:hAnsi="宋体" w:eastAsia="宋体" w:cs="宋体"/>
                <w:color w:val="auto"/>
                <w:szCs w:val="21"/>
                <w:highlight w:val="none"/>
              </w:rPr>
            </w:pPr>
          </w:p>
        </w:tc>
        <w:tc>
          <w:tcPr>
            <w:tcW w:w="853" w:type="dxa"/>
            <w:vMerge w:val="continue"/>
            <w:vAlign w:val="center"/>
          </w:tcPr>
          <w:p>
            <w:pPr>
              <w:spacing w:line="360" w:lineRule="auto"/>
              <w:jc w:val="center"/>
              <w:rPr>
                <w:rFonts w:hint="eastAsia" w:ascii="宋体" w:hAnsi="宋体" w:eastAsia="宋体" w:cs="宋体"/>
                <w:color w:val="auto"/>
                <w:szCs w:val="21"/>
                <w:highlight w:val="none"/>
              </w:rPr>
            </w:pPr>
          </w:p>
        </w:tc>
        <w:tc>
          <w:tcPr>
            <w:tcW w:w="1941" w:type="dxa"/>
            <w:vAlign w:val="center"/>
          </w:tcPr>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人员配备</w:t>
            </w:r>
          </w:p>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21分</w:t>
            </w:r>
          </w:p>
        </w:tc>
        <w:tc>
          <w:tcPr>
            <w:tcW w:w="5291" w:type="dxa"/>
          </w:tcPr>
          <w:p>
            <w:pPr>
              <w:numPr>
                <w:ilvl w:val="0"/>
                <w:numId w:val="0"/>
              </w:num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1.主要体检医师人员配备:</w:t>
            </w:r>
          </w:p>
          <w:p>
            <w:pPr>
              <w:numPr>
                <w:ilvl w:val="0"/>
                <w:numId w:val="0"/>
              </w:num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具有主任级医师职称计1分，具有副主任级医师计0.5分，该项最高得12分，未提供不得分；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2.根据拟投入体检的团队人员（不包含主要体检医师）的数量、综合素质（学历、经验、职称、资格证书等）</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1）医生：20人以上，[5-4）分；10-20人，[4-2）分；10人以下，[2-0]分；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2）护士：20人以上，[4-3）分；10-20人，[3-1）分分；10人以下，[1-0]分；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注：以上人员须为本单位人员，提供单位工作证、职称证（如有）等证明资料，否则不计分</w:t>
            </w:r>
            <w:r>
              <w:rPr>
                <w:rFonts w:hint="eastAsia" w:ascii="宋体" w:hAnsi="宋体" w:eastAsia="宋体" w:cs="宋体"/>
                <w:color w:val="auto"/>
                <w:kern w:val="0"/>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77" w:type="dxa"/>
            <w:vMerge w:val="continue"/>
            <w:vAlign w:val="center"/>
          </w:tcPr>
          <w:p>
            <w:pPr>
              <w:spacing w:line="360" w:lineRule="auto"/>
              <w:jc w:val="center"/>
              <w:rPr>
                <w:rFonts w:hint="eastAsia" w:ascii="宋体" w:hAnsi="宋体" w:eastAsia="宋体" w:cs="宋体"/>
                <w:color w:val="auto"/>
                <w:szCs w:val="21"/>
                <w:highlight w:val="none"/>
              </w:rPr>
            </w:pPr>
          </w:p>
        </w:tc>
        <w:tc>
          <w:tcPr>
            <w:tcW w:w="853" w:type="dxa"/>
            <w:vMerge w:val="continue"/>
            <w:vAlign w:val="center"/>
          </w:tcPr>
          <w:p>
            <w:pPr>
              <w:spacing w:line="360" w:lineRule="auto"/>
              <w:jc w:val="center"/>
              <w:rPr>
                <w:rFonts w:hint="eastAsia" w:ascii="宋体" w:hAnsi="宋体" w:eastAsia="宋体" w:cs="宋体"/>
                <w:color w:val="auto"/>
                <w:szCs w:val="21"/>
                <w:highlight w:val="none"/>
              </w:rPr>
            </w:pPr>
          </w:p>
        </w:tc>
        <w:tc>
          <w:tcPr>
            <w:tcW w:w="1941" w:type="dxa"/>
            <w:vAlign w:val="center"/>
          </w:tcPr>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应急响应方案</w:t>
            </w:r>
          </w:p>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9分</w:t>
            </w:r>
          </w:p>
        </w:tc>
        <w:tc>
          <w:tcPr>
            <w:tcW w:w="5291" w:type="dxa"/>
            <w:vAlign w:val="top"/>
          </w:tcPr>
          <w:p>
            <w:pPr>
              <w:spacing w:line="360" w:lineRule="auto"/>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根据本项目要求建立的应急响应方案：</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1）体检过程中发生特殊情况（如被体检人晕针、晕血、低血糖、仪器伤害等），[3-0]分；</w:t>
            </w:r>
          </w:p>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sz w:val="21"/>
                <w:szCs w:val="21"/>
                <w:highlight w:val="none"/>
              </w:rPr>
              <w:t>体检时出现重大疾病提供后续治疗</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kern w:val="0"/>
                <w:szCs w:val="21"/>
                <w:highlight w:val="none"/>
                <w:lang w:val="en-US" w:eastAsia="zh-CN"/>
              </w:rPr>
              <w:t>，[3-0]分；3）针对民警工作特点建立预警机制，[3-0]分；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Merge w:val="continue"/>
            <w:vAlign w:val="center"/>
          </w:tcPr>
          <w:p>
            <w:pPr>
              <w:spacing w:line="360" w:lineRule="auto"/>
              <w:jc w:val="center"/>
              <w:rPr>
                <w:rFonts w:hint="eastAsia" w:ascii="宋体" w:hAnsi="宋体" w:eastAsia="宋体" w:cs="宋体"/>
                <w:color w:val="auto"/>
                <w:szCs w:val="21"/>
                <w:highlight w:val="none"/>
              </w:rPr>
            </w:pPr>
          </w:p>
        </w:tc>
        <w:tc>
          <w:tcPr>
            <w:tcW w:w="853" w:type="dxa"/>
            <w:vMerge w:val="continue"/>
            <w:vAlign w:val="center"/>
          </w:tcPr>
          <w:p>
            <w:pPr>
              <w:spacing w:line="360" w:lineRule="auto"/>
              <w:jc w:val="center"/>
              <w:rPr>
                <w:rFonts w:hint="eastAsia" w:ascii="宋体" w:hAnsi="宋体" w:eastAsia="宋体" w:cs="宋体"/>
                <w:color w:val="auto"/>
                <w:szCs w:val="21"/>
                <w:highlight w:val="none"/>
              </w:rPr>
            </w:pPr>
          </w:p>
        </w:tc>
        <w:tc>
          <w:tcPr>
            <w:tcW w:w="1941" w:type="dxa"/>
            <w:vAlign w:val="center"/>
          </w:tcPr>
          <w:p>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服务承诺及建议</w:t>
            </w:r>
          </w:p>
          <w:p>
            <w:pPr>
              <w:spacing w:line="360" w:lineRule="auto"/>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13分</w:t>
            </w:r>
          </w:p>
        </w:tc>
        <w:tc>
          <w:tcPr>
            <w:tcW w:w="5291" w:type="dxa"/>
            <w:vAlign w:val="center"/>
          </w:tcPr>
          <w:p>
            <w:pPr>
              <w:spacing w:line="360" w:lineRule="auto"/>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根据本项目要求提供的服务承诺及健康建议：</w:t>
            </w:r>
          </w:p>
          <w:p>
            <w:pPr>
              <w:numPr>
                <w:ilvl w:val="0"/>
                <w:numId w:val="0"/>
              </w:num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1）提供详细的服务承诺，承诺内容包括但不限于体检报告的准确性、体检结束后的后续咨询服务、有体检结果异常结果处理小组和流程，</w:t>
            </w:r>
            <w:r>
              <w:rPr>
                <w:rFonts w:hint="eastAsia" w:ascii="宋体" w:hAnsi="宋体" w:eastAsia="宋体" w:cs="宋体"/>
                <w:color w:val="auto"/>
                <w:sz w:val="21"/>
                <w:szCs w:val="21"/>
                <w:highlight w:val="none"/>
              </w:rPr>
              <w:t>参与本项目主要成员须持有医师资格证书及医师执业证书，未经采购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书面同意，不得随意变换医生、护士</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kern w:val="0"/>
                <w:szCs w:val="21"/>
                <w:highlight w:val="none"/>
                <w:lang w:val="en-US" w:eastAsia="zh-CN"/>
              </w:rPr>
              <w:t>，[4-0]分。</w:t>
            </w:r>
          </w:p>
          <w:p>
            <w:pPr>
              <w:numPr>
                <w:ilvl w:val="0"/>
                <w:numId w:val="0"/>
              </w:num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体检服务各项质量标准的承诺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Cs w:val="21"/>
                <w:highlight w:val="none"/>
                <w:lang w:val="en-US" w:eastAsia="zh-CN"/>
              </w:rPr>
              <w:t>[3-0]分。</w:t>
            </w:r>
          </w:p>
          <w:p>
            <w:pPr>
              <w:numPr>
                <w:ilvl w:val="0"/>
                <w:numId w:val="0"/>
              </w:num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3）服务质量控制措施，[3-0]分。</w:t>
            </w:r>
          </w:p>
          <w:p>
            <w:pPr>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val="en-US" w:eastAsia="zh-CN"/>
              </w:rPr>
              <w:t>4）针对民警工作特点的健康建议，[3-0]分。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7"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85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41"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5291" w:type="dxa"/>
            <w:vAlign w:val="center"/>
          </w:tcPr>
          <w:p>
            <w:pPr>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1）最低评审价为评审基准价，得10分；</w:t>
            </w:r>
          </w:p>
          <w:p>
            <w:pPr>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2）按（评审基准价/评审价×10）的公式计算价格得分。</w:t>
            </w:r>
          </w:p>
          <w:p>
            <w:pPr>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lang w:val="en-US" w:eastAsia="zh-CN"/>
              </w:rPr>
              <w:t>注：磋商报价为各项单价总和,只作为价格评审依据。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77" w:type="dxa"/>
            <w:vMerge w:val="continue"/>
            <w:vAlign w:val="center"/>
          </w:tcPr>
          <w:p>
            <w:pPr>
              <w:spacing w:line="360" w:lineRule="auto"/>
              <w:jc w:val="center"/>
              <w:rPr>
                <w:rFonts w:hint="eastAsia" w:ascii="宋体" w:hAnsi="宋体" w:eastAsia="宋体" w:cs="宋体"/>
                <w:color w:val="auto"/>
                <w:szCs w:val="21"/>
                <w:highlight w:val="none"/>
              </w:rPr>
            </w:pPr>
          </w:p>
        </w:tc>
        <w:tc>
          <w:tcPr>
            <w:tcW w:w="853"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941" w:type="dxa"/>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5291" w:type="dxa"/>
          </w:tcPr>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提供20</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年1月1日</w:t>
            </w:r>
            <w:r>
              <w:rPr>
                <w:rFonts w:hint="eastAsia" w:ascii="宋体" w:hAnsi="宋体" w:eastAsia="宋体" w:cs="宋体"/>
                <w:color w:val="auto"/>
                <w:kern w:val="0"/>
                <w:szCs w:val="21"/>
                <w:highlight w:val="none"/>
                <w:lang w:val="en-US" w:eastAsia="zh-CN"/>
              </w:rPr>
              <w:t>至今类似项目业绩，</w:t>
            </w:r>
            <w:r>
              <w:rPr>
                <w:rFonts w:hint="eastAsia" w:ascii="宋体" w:hAnsi="宋体" w:eastAsia="宋体" w:cs="宋体"/>
                <w:color w:val="auto"/>
                <w:kern w:val="0"/>
                <w:szCs w:val="21"/>
                <w:highlight w:val="none"/>
              </w:rPr>
              <w:t>每提供一份得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分，最高</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以合同为准</w:t>
            </w:r>
            <w:r>
              <w:rPr>
                <w:rFonts w:hint="eastAsia" w:ascii="宋体" w:hAnsi="宋体" w:eastAsia="宋体" w:cs="宋体"/>
                <w:color w:val="auto"/>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62" w:type="dxa"/>
            <w:gridSpan w:val="4"/>
            <w:vAlign w:val="center"/>
          </w:tcPr>
          <w:p>
            <w:pPr>
              <w:spacing w:line="360" w:lineRule="auto"/>
              <w:ind w:left="315"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1）各</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成员独立打分。</w:t>
            </w:r>
          </w:p>
          <w:p>
            <w:pPr>
              <w:spacing w:line="360" w:lineRule="auto"/>
              <w:ind w:left="315"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成员打分超过得分界限或未按本表规定赋分时，该</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成员的打分无效，不计入汇总分。</w:t>
            </w:r>
          </w:p>
          <w:p>
            <w:pPr>
              <w:spacing w:line="360" w:lineRule="auto"/>
              <w:ind w:left="315"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3）若出现综合得分相同的，按报价由低到高顺序排列名次；得分且报价相同的，按技术指标得分顺序排列名次。</w:t>
            </w:r>
          </w:p>
          <w:p>
            <w:pPr>
              <w:spacing w:line="360" w:lineRule="auto"/>
              <w:ind w:left="315"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4）各种计算采用插入法，最终结果数字保留二位小数，第三位“四舍五入”。</w:t>
            </w:r>
          </w:p>
          <w:p>
            <w:pPr>
              <w:spacing w:line="360" w:lineRule="auto"/>
              <w:ind w:left="315"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认为报价明显不合理或者低于成本，可以要求供应商在规定时间内提供书面文件予以解释，并提交证明材料。</w:t>
            </w:r>
          </w:p>
          <w:p>
            <w:pPr>
              <w:spacing w:line="360" w:lineRule="auto"/>
              <w:ind w:left="315"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6）上述赋分标准如有缺漏项的不得分，未附相关证书或证明材料的相应项不得分。</w:t>
            </w:r>
          </w:p>
        </w:tc>
      </w:tr>
    </w:tbl>
    <w:p>
      <w:pPr>
        <w:pStyle w:val="27"/>
        <w:spacing w:after="160"/>
        <w:rPr>
          <w:rStyle w:val="31"/>
          <w:rFonts w:hint="eastAsia" w:ascii="宋体" w:hAnsi="宋体" w:eastAsia="宋体" w:cs="宋体"/>
          <w:color w:val="auto"/>
          <w:sz w:val="36"/>
          <w:highlight w:val="none"/>
        </w:rPr>
      </w:pPr>
      <w:r>
        <w:rPr>
          <w:rStyle w:val="31"/>
          <w:rFonts w:hint="eastAsia" w:ascii="宋体" w:hAnsi="宋体" w:eastAsia="宋体" w:cs="宋体"/>
          <w:color w:val="auto"/>
          <w:sz w:val="36"/>
          <w:highlight w:val="none"/>
        </w:rPr>
        <w:br w:type="page"/>
      </w:r>
    </w:p>
    <w:p>
      <w:pPr>
        <w:pStyle w:val="3"/>
        <w:keepNext/>
        <w:keepLines w:val="0"/>
        <w:pageBreakBefore w:val="0"/>
        <w:widowControl/>
        <w:kinsoku/>
        <w:wordWrap/>
        <w:overflowPunct/>
        <w:topLinePunct w:val="0"/>
        <w:autoSpaceDE/>
        <w:autoSpaceDN/>
        <w:bidi w:val="0"/>
        <w:adjustRightInd/>
        <w:snapToGrid/>
        <w:spacing w:before="313" w:beforeLines="100"/>
        <w:textAlignment w:val="auto"/>
        <w:rPr>
          <w:rFonts w:hint="eastAsia" w:ascii="宋体" w:hAnsi="宋体" w:eastAsia="宋体" w:cs="宋体"/>
          <w:bCs/>
          <w:color w:val="auto"/>
          <w:highlight w:val="none"/>
        </w:rPr>
      </w:pPr>
      <w:bookmarkStart w:id="38" w:name="_Toc17147"/>
      <w:r>
        <w:rPr>
          <w:rFonts w:hint="eastAsia" w:ascii="宋体" w:hAnsi="宋体" w:eastAsia="宋体" w:cs="宋体"/>
          <w:bCs/>
          <w:color w:val="auto"/>
          <w:highlight w:val="none"/>
        </w:rPr>
        <w:t>第六章 磋商响应文件格式</w:t>
      </w:r>
      <w:bookmarkEnd w:id="38"/>
    </w:p>
    <w:p>
      <w:pPr>
        <w:jc w:val="center"/>
        <w:rPr>
          <w:rStyle w:val="31"/>
          <w:rFonts w:hint="eastAsia" w:ascii="宋体" w:hAnsi="宋体" w:eastAsia="宋体" w:cs="宋体"/>
          <w:b/>
          <w:color w:val="auto"/>
          <w:sz w:val="44"/>
          <w:szCs w:val="44"/>
          <w:highlight w:val="none"/>
        </w:rPr>
      </w:pPr>
      <w:r>
        <w:rPr>
          <w:rStyle w:val="31"/>
          <w:rFonts w:hint="eastAsia" w:ascii="宋体" w:hAnsi="宋体" w:eastAsia="宋体" w:cs="宋体"/>
          <w:b/>
          <w:color w:val="auto"/>
          <w:sz w:val="44"/>
          <w:szCs w:val="44"/>
          <w:highlight w:val="none"/>
        </w:rPr>
        <w:br w:type="page"/>
      </w:r>
    </w:p>
    <w:p>
      <w:pPr>
        <w:widowControl w:val="0"/>
        <w:spacing w:line="360" w:lineRule="auto"/>
        <w:jc w:val="center"/>
        <w:textAlignment w:val="auto"/>
        <w:rPr>
          <w:rFonts w:hint="eastAsia" w:ascii="宋体" w:hAnsi="宋体" w:eastAsia="宋体" w:cs="宋体"/>
          <w:color w:val="auto"/>
          <w:sz w:val="32"/>
          <w:szCs w:val="32"/>
          <w:highlight w:val="none"/>
        </w:rPr>
      </w:pPr>
      <w:bookmarkStart w:id="39" w:name="_Toc17665"/>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bookmarkEnd w:id="39"/>
    <w:p>
      <w:pPr>
        <w:spacing w:line="360" w:lineRule="auto"/>
        <w:ind w:left="1"/>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44"/>
          <w:szCs w:val="44"/>
          <w:highlight w:val="none"/>
        </w:rPr>
        <w:t>政府采购服务项目</w:t>
      </w:r>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pPr>
        <w:jc w:val="center"/>
        <w:rPr>
          <w:rFonts w:hint="eastAsia" w:ascii="宋体" w:hAnsi="宋体" w:eastAsia="宋体" w:cs="宋体"/>
          <w:b/>
          <w:color w:val="auto"/>
          <w:sz w:val="36"/>
          <w:szCs w:val="36"/>
          <w:highlight w:val="none"/>
        </w:rPr>
      </w:pPr>
    </w:p>
    <w:p>
      <w:pPr>
        <w:pStyle w:val="4"/>
        <w:jc w:val="center"/>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（资格部分）</w:t>
      </w: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color w:val="auto"/>
          <w:sz w:val="72"/>
          <w:szCs w:val="72"/>
          <w:highlight w:val="none"/>
        </w:rPr>
      </w:pPr>
    </w:p>
    <w:p>
      <w:pPr>
        <w:tabs>
          <w:tab w:val="left" w:pos="2628"/>
        </w:tabs>
        <w:spacing w:line="360" w:lineRule="auto"/>
        <w:ind w:left="2498" w:leftChars="401" w:hanging="1656" w:hangingChars="55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p>
      <w:pPr>
        <w:tabs>
          <w:tab w:val="left" w:pos="2628"/>
        </w:tabs>
        <w:spacing w:line="360" w:lineRule="auto"/>
        <w:ind w:left="843"/>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pPr>
        <w:spacing w:line="360" w:lineRule="auto"/>
        <w:jc w:val="center"/>
        <w:rPr>
          <w:rFonts w:hint="eastAsia" w:ascii="宋体" w:hAnsi="宋体" w:eastAsia="宋体" w:cs="宋体"/>
          <w:color w:val="auto"/>
          <w:sz w:val="44"/>
          <w:szCs w:val="44"/>
          <w:highlight w:val="none"/>
        </w:rPr>
      </w:pPr>
    </w:p>
    <w:p>
      <w:pPr>
        <w:pStyle w:val="2"/>
        <w:jc w:val="cente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（公章）</w:t>
      </w: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pPr>
        <w:rPr>
          <w:rFonts w:hint="eastAsia" w:ascii="宋体" w:hAnsi="宋体" w:eastAsia="宋体" w:cs="宋体"/>
          <w:b/>
          <w:color w:val="auto"/>
          <w:sz w:val="32"/>
          <w:szCs w:val="32"/>
          <w:highlight w:val="none"/>
        </w:rPr>
      </w:pPr>
      <w:bookmarkStart w:id="40" w:name="_Toc16910"/>
      <w:r>
        <w:rPr>
          <w:rFonts w:hint="eastAsia" w:ascii="宋体" w:hAnsi="宋体" w:eastAsia="宋体" w:cs="宋体"/>
          <w:b/>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after="313" w:afterLines="10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bookmarkEnd w:id="40"/>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（一）法人代表（单位负责人）授权书</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（二）陕西省政府采购供应商拒绝政府采购领域商业贿赂承诺书</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（三）证明文件</w:t>
      </w:r>
    </w:p>
    <w:p>
      <w:pPr>
        <w:spacing w:line="440" w:lineRule="exact"/>
        <w:jc w:val="center"/>
        <w:rPr>
          <w:rStyle w:val="31"/>
          <w:rFonts w:hint="eastAsia" w:ascii="宋体" w:hAnsi="宋体" w:eastAsia="宋体" w:cs="宋体"/>
          <w:color w:val="auto"/>
          <w:sz w:val="28"/>
          <w:highlight w:val="none"/>
        </w:rPr>
      </w:pPr>
      <w:r>
        <w:rPr>
          <w:rStyle w:val="31"/>
          <w:rFonts w:hint="eastAsia" w:ascii="宋体" w:hAnsi="宋体" w:eastAsia="宋体" w:cs="宋体"/>
          <w:color w:val="auto"/>
          <w:sz w:val="28"/>
          <w:highlight w:val="none"/>
        </w:rPr>
        <w:br w:type="page"/>
      </w:r>
    </w:p>
    <w:p>
      <w:pPr>
        <w:keepNext w:val="0"/>
        <w:keepLines w:val="0"/>
        <w:pageBreakBefore w:val="0"/>
        <w:widowControl w:val="0"/>
        <w:kinsoku/>
        <w:wordWrap/>
        <w:overflowPunct/>
        <w:topLinePunct w:val="0"/>
        <w:autoSpaceDE/>
        <w:autoSpaceDN/>
        <w:bidi w:val="0"/>
        <w:adjustRightInd/>
        <w:snapToGrid/>
        <w:spacing w:after="312" w:afterLines="100" w:line="360" w:lineRule="auto"/>
        <w:jc w:val="center"/>
        <w:textAlignment w:val="auto"/>
        <w:outlineLvl w:val="1"/>
        <w:rPr>
          <w:rFonts w:hint="eastAsia" w:ascii="宋体" w:hAnsi="宋体" w:eastAsia="宋体" w:cs="宋体"/>
          <w:b/>
          <w:color w:val="auto"/>
          <w:spacing w:val="4"/>
          <w:sz w:val="36"/>
          <w:szCs w:val="36"/>
          <w:highlight w:val="none"/>
        </w:rPr>
      </w:pPr>
      <w:bookmarkStart w:id="41" w:name="_Toc25713"/>
      <w:bookmarkStart w:id="42" w:name="_Toc12301"/>
      <w:bookmarkStart w:id="43" w:name="_Toc7754"/>
      <w:bookmarkStart w:id="44" w:name="_Toc42794595"/>
      <w:bookmarkStart w:id="45" w:name="_Toc42518134"/>
      <w:r>
        <w:rPr>
          <w:rFonts w:hint="eastAsia" w:ascii="宋体" w:hAnsi="宋体" w:eastAsia="宋体" w:cs="宋体"/>
          <w:b/>
          <w:color w:val="auto"/>
          <w:spacing w:val="4"/>
          <w:sz w:val="32"/>
          <w:szCs w:val="32"/>
          <w:highlight w:val="none"/>
        </w:rPr>
        <w:t>一、法人代表（单位负责人）授权书</w:t>
      </w:r>
      <w:bookmarkEnd w:id="41"/>
      <w:bookmarkEnd w:id="42"/>
      <w:bookmarkEnd w:id="43"/>
      <w:bookmarkEnd w:id="44"/>
      <w:bookmarkEnd w:id="45"/>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致：西北（陕西）国际招标有限公司</w:t>
      </w:r>
    </w:p>
    <w:p>
      <w:pPr>
        <w:keepNext w:val="0"/>
        <w:keepLines w:val="0"/>
        <w:pageBreakBefore w:val="0"/>
        <w:widowControl/>
        <w:kinsoku/>
        <w:wordWrap/>
        <w:overflowPunct/>
        <w:topLinePunct w:val="0"/>
        <w:autoSpaceDE/>
        <w:autoSpaceDN/>
        <w:bidi w:val="0"/>
        <w:adjustRightInd/>
        <w:snapToGrid/>
        <w:spacing w:line="360" w:lineRule="auto"/>
        <w:ind w:firstLine="436" w:firstLineChars="200"/>
        <w:jc w:val="left"/>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u w:val="single"/>
        </w:rPr>
        <w:t xml:space="preserve">(供应商名称) </w:t>
      </w:r>
      <w:r>
        <w:rPr>
          <w:rFonts w:hint="eastAsia" w:ascii="宋体" w:hAnsi="宋体" w:eastAsia="宋体" w:cs="宋体"/>
          <w:color w:val="auto"/>
          <w:spacing w:val="4"/>
          <w:szCs w:val="21"/>
          <w:highlight w:val="none"/>
        </w:rPr>
        <w:t>按中华人民共和国法律于</w:t>
      </w:r>
      <w:r>
        <w:rPr>
          <w:rFonts w:hint="eastAsia" w:ascii="宋体" w:hAnsi="宋体" w:eastAsia="宋体" w:cs="宋体"/>
          <w:color w:val="auto"/>
          <w:spacing w:val="4"/>
          <w:szCs w:val="21"/>
          <w:highlight w:val="none"/>
          <w:u w:val="single"/>
        </w:rPr>
        <w:t xml:space="preserve">（     年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月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日）</w:t>
      </w:r>
      <w:r>
        <w:rPr>
          <w:rFonts w:hint="eastAsia" w:ascii="宋体" w:hAnsi="宋体" w:eastAsia="宋体" w:cs="宋体"/>
          <w:color w:val="auto"/>
          <w:spacing w:val="4"/>
          <w:szCs w:val="21"/>
          <w:highlight w:val="none"/>
        </w:rPr>
        <w:t>成立。</w:t>
      </w:r>
      <w:r>
        <w:rPr>
          <w:rFonts w:hint="eastAsia" w:ascii="宋体" w:hAnsi="宋体" w:eastAsia="宋体" w:cs="宋体"/>
          <w:color w:val="auto"/>
          <w:spacing w:val="4"/>
          <w:szCs w:val="21"/>
          <w:highlight w:val="none"/>
          <w:u w:val="single"/>
        </w:rPr>
        <w:t xml:space="preserve">     (法定代表人姓名)</w:t>
      </w:r>
      <w:r>
        <w:rPr>
          <w:rFonts w:hint="eastAsia" w:ascii="宋体" w:hAnsi="宋体" w:eastAsia="宋体" w:cs="宋体"/>
          <w:color w:val="auto"/>
          <w:spacing w:val="4"/>
          <w:szCs w:val="21"/>
          <w:highlight w:val="none"/>
        </w:rPr>
        <w:t>特授权</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u w:val="single"/>
        </w:rPr>
        <w:t>（被授权人姓名）</w:t>
      </w:r>
      <w:r>
        <w:rPr>
          <w:rFonts w:hint="eastAsia" w:ascii="宋体" w:hAnsi="宋体" w:eastAsia="宋体" w:cs="宋体"/>
          <w:color w:val="auto"/>
          <w:spacing w:val="4"/>
          <w:szCs w:val="21"/>
          <w:highlight w:val="none"/>
        </w:rPr>
        <w:t xml:space="preserve">代表我公司全权办理针对本次政府采购 </w:t>
      </w:r>
      <w:r>
        <w:rPr>
          <w:rFonts w:hint="eastAsia" w:ascii="宋体" w:hAnsi="宋体" w:eastAsia="宋体" w:cs="宋体"/>
          <w:color w:val="auto"/>
          <w:spacing w:val="4"/>
          <w:szCs w:val="21"/>
          <w:highlight w:val="none"/>
          <w:u w:val="single"/>
        </w:rPr>
        <w:t>（磋商项目名称和项目编号）</w:t>
      </w:r>
      <w:r>
        <w:rPr>
          <w:rFonts w:hint="eastAsia" w:ascii="宋体" w:hAnsi="宋体" w:eastAsia="宋体" w:cs="宋体"/>
          <w:color w:val="auto"/>
          <w:spacing w:val="4"/>
          <w:szCs w:val="21"/>
          <w:highlight w:val="none"/>
        </w:rPr>
        <w:t>项目的磋商、签约等具体工作，并签署全部有关的文件、协议及合同。</w:t>
      </w:r>
    </w:p>
    <w:p>
      <w:pPr>
        <w:widowControl w:val="0"/>
        <w:spacing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我公司对被授权人的签名负全部责任。</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本授权书在磋商报价有效期内对我方具有约束力。</w:t>
      </w:r>
    </w:p>
    <w:tbl>
      <w:tblPr>
        <w:tblStyle w:val="20"/>
        <w:tblW w:w="0" w:type="auto"/>
        <w:jc w:val="center"/>
        <w:tblLayout w:type="fixed"/>
        <w:tblCellMar>
          <w:top w:w="0" w:type="dxa"/>
          <w:left w:w="108" w:type="dxa"/>
          <w:bottom w:w="0" w:type="dxa"/>
          <w:right w:w="108" w:type="dxa"/>
        </w:tblCellMar>
      </w:tblPr>
      <w:tblGrid>
        <w:gridCol w:w="4269"/>
        <w:gridCol w:w="3844"/>
      </w:tblGrid>
      <w:tr>
        <w:tblPrEx>
          <w:tblCellMar>
            <w:top w:w="0" w:type="dxa"/>
            <w:left w:w="108" w:type="dxa"/>
            <w:bottom w:w="0" w:type="dxa"/>
            <w:right w:w="108" w:type="dxa"/>
          </w:tblCellMar>
        </w:tblPrEx>
        <w:trPr>
          <w:trHeight w:val="737" w:hRule="atLeast"/>
          <w:jc w:val="center"/>
        </w:trPr>
        <w:tc>
          <w:tcPr>
            <w:tcW w:w="4269" w:type="dxa"/>
            <w:vAlign w:val="center"/>
          </w:tcPr>
          <w:p>
            <w:pPr>
              <w:spacing w:line="44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被授权人（签字或盖章）：</w:t>
            </w:r>
          </w:p>
        </w:tc>
        <w:tc>
          <w:tcPr>
            <w:tcW w:w="3844" w:type="dxa"/>
            <w:vAlign w:val="center"/>
          </w:tcPr>
          <w:p>
            <w:pPr>
              <w:spacing w:line="44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法定代表人（签字或盖章）：</w:t>
            </w:r>
          </w:p>
        </w:tc>
      </w:tr>
      <w:tr>
        <w:tblPrEx>
          <w:tblCellMar>
            <w:top w:w="0" w:type="dxa"/>
            <w:left w:w="108" w:type="dxa"/>
            <w:bottom w:w="0" w:type="dxa"/>
            <w:right w:w="108" w:type="dxa"/>
          </w:tblCellMar>
        </w:tblPrEx>
        <w:trPr>
          <w:trHeight w:val="737" w:hRule="atLeast"/>
          <w:jc w:val="center"/>
        </w:trPr>
        <w:tc>
          <w:tcPr>
            <w:tcW w:w="4269" w:type="dxa"/>
            <w:vAlign w:val="center"/>
          </w:tcPr>
          <w:p>
            <w:pPr>
              <w:spacing w:line="44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职务：</w:t>
            </w:r>
          </w:p>
        </w:tc>
        <w:tc>
          <w:tcPr>
            <w:tcW w:w="3844" w:type="dxa"/>
            <w:vAlign w:val="center"/>
          </w:tcPr>
          <w:p>
            <w:pPr>
              <w:spacing w:line="44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职务：</w:t>
            </w:r>
          </w:p>
        </w:tc>
      </w:tr>
      <w:tr>
        <w:tblPrEx>
          <w:tblCellMar>
            <w:top w:w="0" w:type="dxa"/>
            <w:left w:w="108" w:type="dxa"/>
            <w:bottom w:w="0" w:type="dxa"/>
            <w:right w:w="108" w:type="dxa"/>
          </w:tblCellMar>
        </w:tblPrEx>
        <w:trPr>
          <w:trHeight w:val="737" w:hRule="atLeast"/>
          <w:jc w:val="center"/>
        </w:trPr>
        <w:tc>
          <w:tcPr>
            <w:tcW w:w="4269" w:type="dxa"/>
            <w:vAlign w:val="center"/>
          </w:tcPr>
          <w:p>
            <w:pPr>
              <w:spacing w:line="440" w:lineRule="exact"/>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所在部门：</w:t>
            </w:r>
          </w:p>
        </w:tc>
        <w:tc>
          <w:tcPr>
            <w:tcW w:w="3844" w:type="dxa"/>
            <w:vAlign w:val="center"/>
          </w:tcPr>
          <w:p>
            <w:pPr>
              <w:spacing w:line="440" w:lineRule="exact"/>
              <w:jc w:val="left"/>
              <w:rPr>
                <w:rFonts w:hint="eastAsia" w:ascii="宋体" w:hAnsi="宋体" w:eastAsia="宋体" w:cs="宋体"/>
                <w:color w:val="auto"/>
                <w:spacing w:val="4"/>
                <w:szCs w:val="21"/>
                <w:highlight w:val="none"/>
              </w:rPr>
            </w:pPr>
          </w:p>
        </w:tc>
      </w:tr>
    </w:tbl>
    <w:p>
      <w:pPr>
        <w:keepNext w:val="0"/>
        <w:keepLines w:val="0"/>
        <w:pageBreakBefore w:val="0"/>
        <w:widowControl/>
        <w:kinsoku/>
        <w:wordWrap/>
        <w:overflowPunct/>
        <w:topLinePunct w:val="0"/>
        <w:autoSpaceDE/>
        <w:autoSpaceDN/>
        <w:bidi w:val="0"/>
        <w:adjustRightInd/>
        <w:snapToGrid/>
        <w:spacing w:before="313" w:beforeLines="100" w:line="360" w:lineRule="auto"/>
        <w:ind w:firstLine="438" w:firstLineChars="200"/>
        <w:textAlignment w:val="baseline"/>
        <w:rPr>
          <w:rFonts w:hint="eastAsia" w:ascii="宋体" w:hAnsi="宋体" w:eastAsia="宋体" w:cs="宋体"/>
          <w:b/>
          <w:bCs/>
          <w:color w:val="auto"/>
          <w:spacing w:val="4"/>
          <w:szCs w:val="21"/>
          <w:highlight w:val="none"/>
        </w:rPr>
      </w:pPr>
      <w:r>
        <w:rPr>
          <w:rFonts w:hint="eastAsia" w:ascii="宋体" w:hAnsi="宋体" w:eastAsia="宋体" w:cs="宋体"/>
          <w:b/>
          <w:bCs/>
          <w:color w:val="auto"/>
          <w:spacing w:val="4"/>
          <w:szCs w:val="21"/>
          <w:highlight w:val="none"/>
        </w:rPr>
        <w:t>附件：法定代表人、被授权人身份证复印件（必须印正反两面的完整信息）</w:t>
      </w:r>
    </w:p>
    <w:p>
      <w:pPr>
        <w:keepNext w:val="0"/>
        <w:keepLines w:val="0"/>
        <w:pageBreakBefore w:val="0"/>
        <w:widowControl/>
        <w:kinsoku/>
        <w:wordWrap/>
        <w:overflowPunct/>
        <w:topLinePunct w:val="0"/>
        <w:autoSpaceDE/>
        <w:autoSpaceDN/>
        <w:bidi w:val="0"/>
        <w:adjustRightInd/>
        <w:snapToGrid/>
        <w:spacing w:before="1249" w:beforeLines="400" w:line="360" w:lineRule="auto"/>
        <w:ind w:firstLine="420" w:firstLineChars="200"/>
        <w:jc w:val="left"/>
        <w:textAlignment w:val="auto"/>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before="1249" w:beforeLines="400"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供应商名称：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（加盖公章）</w:t>
      </w:r>
    </w:p>
    <w:p>
      <w:pPr>
        <w:keepNext w:val="0"/>
        <w:keepLines w:val="0"/>
        <w:pageBreakBefore w:val="0"/>
        <w:widowControl/>
        <w:kinsoku/>
        <w:wordWrap/>
        <w:overflowPunct/>
        <w:topLinePunct w:val="0"/>
        <w:autoSpaceDE/>
        <w:autoSpaceDN/>
        <w:bidi w:val="0"/>
        <w:adjustRightInd/>
        <w:snapToGrid/>
        <w:spacing w:before="625" w:beforeLines="200" w:line="360" w:lineRule="auto"/>
        <w:ind w:firstLine="422" w:firstLineChars="200"/>
        <w:jc w:val="left"/>
        <w:textAlignment w:val="auto"/>
        <w:rPr>
          <w:rStyle w:val="31"/>
          <w:rFonts w:hint="eastAsia" w:ascii="宋体" w:hAnsi="宋体" w:eastAsia="宋体" w:cs="宋体"/>
          <w:b/>
          <w:color w:val="auto"/>
          <w:sz w:val="21"/>
          <w:szCs w:val="21"/>
          <w:highlight w:val="none"/>
        </w:rPr>
      </w:pPr>
      <w:r>
        <w:rPr>
          <w:rStyle w:val="31"/>
          <w:rFonts w:hint="eastAsia" w:ascii="宋体" w:hAnsi="宋体" w:eastAsia="宋体" w:cs="宋体"/>
          <w:b/>
          <w:color w:val="auto"/>
          <w:sz w:val="21"/>
          <w:szCs w:val="21"/>
          <w:highlight w:val="none"/>
        </w:rPr>
        <w:br w:type="page"/>
      </w:r>
    </w:p>
    <w:p>
      <w:pPr>
        <w:jc w:val="center"/>
        <w:outlineLvl w:val="1"/>
        <w:rPr>
          <w:rFonts w:hint="eastAsia" w:ascii="宋体" w:hAnsi="宋体" w:eastAsia="宋体" w:cs="宋体"/>
          <w:b/>
          <w:color w:val="auto"/>
          <w:sz w:val="32"/>
          <w:szCs w:val="32"/>
          <w:highlight w:val="none"/>
        </w:rPr>
      </w:pPr>
      <w:bookmarkStart w:id="46" w:name="_Toc42794596"/>
      <w:bookmarkStart w:id="47" w:name="_Toc17680"/>
      <w:bookmarkStart w:id="48" w:name="_Toc42518135"/>
      <w:bookmarkStart w:id="49" w:name="_Toc11290"/>
      <w:bookmarkStart w:id="50" w:name="_Toc28980"/>
      <w:r>
        <w:rPr>
          <w:rFonts w:hint="eastAsia" w:ascii="宋体" w:hAnsi="宋体" w:eastAsia="宋体" w:cs="宋体"/>
          <w:b/>
          <w:color w:val="auto"/>
          <w:sz w:val="32"/>
          <w:szCs w:val="32"/>
          <w:highlight w:val="none"/>
        </w:rPr>
        <w:t>二、陕西省政府采购供应商</w:t>
      </w:r>
      <w:bookmarkEnd w:id="46"/>
      <w:bookmarkEnd w:id="47"/>
      <w:bookmarkEnd w:id="48"/>
      <w:bookmarkEnd w:id="49"/>
      <w:bookmarkEnd w:id="50"/>
    </w:p>
    <w:p>
      <w:pPr>
        <w:jc w:val="center"/>
        <w:outlineLvl w:val="1"/>
        <w:rPr>
          <w:rFonts w:hint="eastAsia" w:ascii="宋体" w:hAnsi="宋体" w:eastAsia="宋体" w:cs="宋体"/>
          <w:color w:val="auto"/>
          <w:sz w:val="32"/>
          <w:szCs w:val="32"/>
          <w:highlight w:val="none"/>
        </w:rPr>
      </w:pPr>
      <w:bookmarkStart w:id="51" w:name="_Toc2558"/>
      <w:bookmarkStart w:id="52" w:name="_Toc13991"/>
      <w:r>
        <w:rPr>
          <w:rFonts w:hint="eastAsia" w:ascii="宋体" w:hAnsi="宋体" w:eastAsia="宋体" w:cs="宋体"/>
          <w:b/>
          <w:color w:val="auto"/>
          <w:sz w:val="32"/>
          <w:szCs w:val="32"/>
          <w:highlight w:val="none"/>
        </w:rPr>
        <w:t>拒绝政府采购领域商业贿赂承诺书</w:t>
      </w:r>
      <w:bookmarkEnd w:id="51"/>
      <w:bookmarkEnd w:id="52"/>
    </w:p>
    <w:p>
      <w:pPr>
        <w:keepNext w:val="0"/>
        <w:keepLines w:val="0"/>
        <w:pageBreakBefore w:val="0"/>
        <w:widowControl/>
        <w:kinsoku/>
        <w:wordWrap/>
        <w:overflowPunct/>
        <w:topLinePunct w:val="0"/>
        <w:autoSpaceDE/>
        <w:autoSpaceDN/>
        <w:bidi w:val="0"/>
        <w:adjustRightInd/>
        <w:snapToGrid/>
        <w:spacing w:before="313" w:beforeLines="100"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为响应党中央、国务院关于治理政府采购领域商业贿赂行为的号召，我公司在此庄严承诺：</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1.在参与政府采购活动中遵纪守法、诚信经营、公平竞标。</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2.不向政府采购人、采购代理机构和政府采购评审专家进行任何形式的商业贿赂以谋取交易机会。</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3.不向政府采购代理机构和采购人提供虚假资质文件或采用虚假响应方式参与政府采购市场竞争并谋取成交、成交。</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4.不采取“围标、陪标”等商业欺诈手段获得政府采购定单。</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5.不采取不正当手段诋毁、排挤其他供应商。</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6.不在提供商品和服务时“偷梁换柱、以次充好”损害采购人的合法权益。</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7.不与采购人、采购代理机构政府采购评审专家或其它供应商恶意串通，进行质疑和投诉，维护政府采购市场秩序。</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8.尊重和接受政府采购监督管理部门的监督和政府采购代理机构磋商采购要求，承担因违约行为给采购人造成的损失。</w:t>
      </w:r>
    </w:p>
    <w:p>
      <w:pPr>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9.不发生其他有悖于政府采购公开、公平、公正和诚信原则的行为。</w:t>
      </w:r>
    </w:p>
    <w:p>
      <w:pPr>
        <w:keepNext w:val="0"/>
        <w:keepLines w:val="0"/>
        <w:pageBreakBefore w:val="0"/>
        <w:widowControl/>
        <w:kinsoku/>
        <w:wordWrap/>
        <w:overflowPunct/>
        <w:topLinePunct w:val="0"/>
        <w:autoSpaceDE/>
        <w:autoSpaceDN/>
        <w:bidi w:val="0"/>
        <w:adjustRightInd/>
        <w:snapToGrid/>
        <w:spacing w:before="1093" w:beforeLines="350"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供应商名称：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36"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lang w:val="en-US" w:eastAsia="zh-CN"/>
        </w:rPr>
        <w:t xml:space="preserve">                      </w:t>
      </w:r>
    </w:p>
    <w:p>
      <w:pPr>
        <w:spacing w:line="360" w:lineRule="auto"/>
        <w:ind w:left="1"/>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kern w:val="0"/>
          <w:szCs w:val="21"/>
          <w:highlight w:val="none"/>
        </w:rPr>
        <w:br w:type="page"/>
      </w:r>
      <w:bookmarkStart w:id="53" w:name="_Toc6188"/>
      <w:bookmarkStart w:id="54" w:name="_Toc42794597"/>
      <w:bookmarkStart w:id="55" w:name="_Toc42518136"/>
      <w:bookmarkStart w:id="56" w:name="_Toc3496"/>
      <w:bookmarkStart w:id="57" w:name="_Toc7554"/>
      <w:r>
        <w:rPr>
          <w:rFonts w:hint="eastAsia" w:ascii="宋体" w:hAnsi="宋体" w:eastAsia="宋体" w:cs="宋体"/>
          <w:b/>
          <w:color w:val="auto"/>
          <w:sz w:val="32"/>
          <w:szCs w:val="32"/>
          <w:highlight w:val="none"/>
        </w:rPr>
        <w:t>三、证明文件</w:t>
      </w:r>
      <w:bookmarkEnd w:id="53"/>
      <w:bookmarkEnd w:id="54"/>
      <w:bookmarkEnd w:id="55"/>
      <w:bookmarkEnd w:id="56"/>
      <w:bookmarkEnd w:id="57"/>
    </w:p>
    <w:p>
      <w:pPr>
        <w:spacing w:before="240" w:line="360" w:lineRule="auto"/>
        <w:ind w:left="1"/>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资格证明文件</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提供注册登记凭证（营业执照、其他组织经营的合法凭证，自然人的提供身份证明文件）。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2021年度</w:t>
      </w:r>
      <w:r>
        <w:rPr>
          <w:rFonts w:hint="eastAsia" w:ascii="宋体" w:hAnsi="宋体" w:eastAsia="宋体" w:cs="宋体"/>
          <w:color w:val="auto"/>
          <w:sz w:val="21"/>
          <w:szCs w:val="21"/>
          <w:highlight w:val="none"/>
        </w:rPr>
        <w:t>经审计的财务报告（包括四表一注，即资产负债表、利润表、现金流量表、所有者权益变动表及其附注），且无反对意见；事业法人提供部门决算报告；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/或在磋商截止日期前六个月内其基本开户银行出具的资信证明（附《基本存款账户信息》或《银行开户许可证》复印件）；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/或财政部门认可的政府采购专业担保机构出具的投标担保函；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以上三种形式的资料提供任何一种即可。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提供声明文件原件。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4）具有依法缴纳税收的良好记录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提供缴费所属日期为磋商截止时间前12个月内任一月份（磋商截止时间当月不计入）的缴费凭据或税务机关出具的完税证明/在法规范围内不需提供的应出具书面说明和证明文件。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5）具有依法缴纳社会保障资金的良好记录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提供缴费所属日期为磋商截止时间前12个月内任一月份（磋商截止时间当月不计入）的缴费凭据或社保机关出具的缴费证明/在法规范围内不需提供的应出具书面说明和证明文件。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6）参加政府采购活动前3年内在经营活动中没有重大违法记录的书面声明（原件）</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7）法人代表授权书（原件）</w:t>
      </w:r>
      <w:r>
        <w:rPr>
          <w:rFonts w:hint="eastAsia" w:ascii="宋体" w:hAnsi="宋体" w:eastAsia="宋体" w:cs="宋体"/>
          <w:b/>
          <w:bCs/>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供应商所具有卫生行政部门核准登记取得的《医疗机构执业许可证》和《放射诊疗许可证》</w:t>
      </w:r>
      <w:r>
        <w:rPr>
          <w:rFonts w:hint="eastAsia" w:ascii="宋体" w:hAnsi="宋体" w:eastAsia="宋体" w:cs="宋体"/>
          <w:b/>
          <w:bCs/>
          <w:color w:val="auto"/>
          <w:kern w:val="0"/>
          <w:szCs w:val="21"/>
          <w:highlight w:val="none"/>
          <w:lang w:eastAsia="zh-CN"/>
        </w:rPr>
        <w:t>。</w:t>
      </w:r>
    </w:p>
    <w:p>
      <w:pPr>
        <w:spacing w:before="240"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color w:val="auto"/>
          <w:szCs w:val="21"/>
          <w:highlight w:val="none"/>
        </w:rPr>
        <w:t>①以上要求供应商提供的资格证明文件除注明原件外均为复印件并须加盖供应商公章。</w:t>
      </w:r>
    </w:p>
    <w:p>
      <w:pPr>
        <w:widowControl w:val="0"/>
        <w:spacing w:line="360" w:lineRule="auto"/>
        <w:textAlignment w:val="auto"/>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rPr>
        <w:t>供应商应按照磋商文件的要求自行准备以上证明文件并编目、封装。②除要求在磋商报价时一并提交的原件外，所有要求在磋商响应文件中提供复印件的文件，在评审过程中，竞争性磋商小组可随时要求查验原件，供应商不得拒绝，否则其磋商响应文件将按照无效响应处理。</w:t>
      </w:r>
    </w:p>
    <w:p>
      <w:pPr>
        <w:spacing w:line="360" w:lineRule="auto"/>
        <w:ind w:left="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说明：后附部分内容参考格式，其他内容供应商自行编制。</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spacing w:line="360" w:lineRule="auto"/>
        <w:ind w:left="1"/>
        <w:rPr>
          <w:rFonts w:hint="eastAsia" w:ascii="宋体" w:hAnsi="宋体" w:eastAsia="宋体" w:cs="宋体"/>
          <w:b/>
          <w:color w:val="auto"/>
          <w:sz w:val="36"/>
          <w:szCs w:val="36"/>
          <w:highlight w:val="none"/>
        </w:rPr>
      </w:pPr>
      <w:r>
        <w:rPr>
          <w:rFonts w:hint="eastAsia" w:ascii="宋体" w:hAnsi="宋体" w:eastAsia="宋体" w:cs="宋体"/>
          <w:b/>
          <w:color w:val="auto"/>
          <w:sz w:val="24"/>
          <w:szCs w:val="24"/>
          <w:highlight w:val="none"/>
        </w:rPr>
        <w:t>附件1：</w:t>
      </w:r>
    </w:p>
    <w:p>
      <w:pPr>
        <w:pStyle w:val="5"/>
        <w:keepNext w:val="0"/>
        <w:keepLines w:val="0"/>
        <w:pageBreakBefore w:val="0"/>
        <w:widowControl/>
        <w:kinsoku/>
        <w:wordWrap/>
        <w:overflowPunct/>
        <w:topLinePunct w:val="0"/>
        <w:autoSpaceDE/>
        <w:autoSpaceDN/>
        <w:bidi w:val="0"/>
        <w:adjustRightInd w:val="0"/>
        <w:snapToGrid/>
        <w:spacing w:before="313" w:beforeLines="100" w:after="313" w:afterLines="100" w:line="360" w:lineRule="auto"/>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供应商无重大违法记录的书面声明格式</w:t>
      </w:r>
    </w:p>
    <w:p>
      <w:pPr>
        <w:spacing w:line="480" w:lineRule="auto"/>
        <w:jc w:val="left"/>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u w:val="single"/>
        </w:rPr>
        <w:t>致：（采购机构名称）、（采购代理机构名称）</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36" w:firstLineChars="200"/>
        <w:jc w:val="left"/>
        <w:textAlignment w:val="baseline"/>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u w:val="single"/>
        </w:rPr>
        <w:t>（供应商名称）</w:t>
      </w:r>
      <w:r>
        <w:rPr>
          <w:rFonts w:hint="eastAsia" w:ascii="宋体" w:hAnsi="宋体" w:eastAsia="宋体" w:cs="宋体"/>
          <w:color w:val="auto"/>
          <w:spacing w:val="4"/>
          <w:szCs w:val="21"/>
          <w:highlight w:val="none"/>
        </w:rPr>
        <w:t>为在中华人民共和国境内合法注册并经营的机构。在此郑重声明，我公司在参与本次政府采购活动前3年内在经营活动中没有重大违法记录。</w:t>
      </w: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spacing w:before="312" w:beforeLines="100" w:after="156" w:afterLines="50" w:line="360" w:lineRule="auto"/>
        <w:ind w:firstLine="170"/>
        <w:rPr>
          <w:rFonts w:hint="eastAsia" w:ascii="宋体" w:hAnsi="宋体" w:eastAsia="宋体" w:cs="宋体"/>
          <w:color w:val="auto"/>
          <w:spacing w:val="4"/>
          <w:szCs w:val="21"/>
          <w:highlight w:val="none"/>
        </w:rPr>
      </w:pPr>
    </w:p>
    <w:p>
      <w:pPr>
        <w:widowControl w:val="0"/>
        <w:spacing w:before="156" w:beforeLines="50" w:after="156" w:afterLines="50" w:line="360" w:lineRule="auto"/>
        <w:ind w:firstLine="2398" w:firstLineChars="1100"/>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ind w:firstLine="2398" w:firstLineChars="11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法定代表人（签字或盖章）：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p>
    <w:p>
      <w:pPr>
        <w:widowControl w:val="0"/>
        <w:spacing w:before="156" w:beforeLines="50" w:after="156" w:afterLines="50"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 xml:space="preserve">  日期：     年    月    日</w:t>
      </w:r>
    </w:p>
    <w:p>
      <w:pPr>
        <w:spacing w:line="360" w:lineRule="auto"/>
        <w:ind w:left="1"/>
        <w:rPr>
          <w:rFonts w:hint="eastAsia" w:ascii="宋体" w:hAnsi="宋体" w:eastAsia="宋体" w:cs="宋体"/>
          <w:b/>
          <w:color w:val="auto"/>
          <w:sz w:val="30"/>
          <w:szCs w:val="30"/>
          <w:highlight w:val="none"/>
        </w:rPr>
      </w:pPr>
      <w:r>
        <w:rPr>
          <w:rFonts w:hint="eastAsia" w:ascii="宋体" w:hAnsi="宋体" w:eastAsia="宋体" w:cs="宋体"/>
          <w:color w:val="auto"/>
          <w:spacing w:val="4"/>
          <w:sz w:val="24"/>
          <w:szCs w:val="24"/>
          <w:highlight w:val="none"/>
        </w:rPr>
        <w:br w:type="page"/>
      </w:r>
      <w:r>
        <w:rPr>
          <w:rFonts w:hint="eastAsia" w:ascii="宋体" w:hAnsi="宋体" w:eastAsia="宋体" w:cs="宋体"/>
          <w:b/>
          <w:color w:val="auto"/>
          <w:sz w:val="24"/>
          <w:szCs w:val="24"/>
          <w:highlight w:val="none"/>
        </w:rPr>
        <w:t>附件2：</w:t>
      </w:r>
    </w:p>
    <w:p>
      <w:pPr>
        <w:pStyle w:val="5"/>
        <w:keepNext w:val="0"/>
        <w:keepLines w:val="0"/>
        <w:pageBreakBefore w:val="0"/>
        <w:widowControl/>
        <w:kinsoku/>
        <w:wordWrap/>
        <w:overflowPunct/>
        <w:topLinePunct w:val="0"/>
        <w:autoSpaceDE/>
        <w:autoSpaceDN/>
        <w:bidi w:val="0"/>
        <w:adjustRightInd w:val="0"/>
        <w:snapToGrid/>
        <w:spacing w:before="313" w:beforeLines="100" w:after="313" w:afterLines="100" w:line="360" w:lineRule="auto"/>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诚信声明</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rPr>
        <w:t>致：</w:t>
      </w:r>
      <w:r>
        <w:rPr>
          <w:rFonts w:hint="eastAsia" w:ascii="宋体" w:hAnsi="宋体" w:eastAsia="宋体" w:cs="宋体"/>
          <w:color w:val="auto"/>
          <w:spacing w:val="4"/>
          <w:szCs w:val="21"/>
          <w:highlight w:val="none"/>
          <w:u w:val="single"/>
        </w:rPr>
        <w:t>（采购人名称）、（采购代理机构名称）</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项目名称：</w:t>
      </w:r>
      <w:r>
        <w:rPr>
          <w:rFonts w:hint="eastAsia" w:ascii="宋体" w:hAnsi="宋体" w:eastAsia="宋体" w:cs="宋体"/>
          <w:color w:val="auto"/>
          <w:spacing w:val="4"/>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pacing w:val="4"/>
          <w:szCs w:val="21"/>
          <w:highlight w:val="none"/>
          <w:u w:val="single"/>
        </w:rPr>
      </w:pPr>
      <w:r>
        <w:rPr>
          <w:rFonts w:hint="eastAsia" w:ascii="宋体" w:hAnsi="宋体" w:eastAsia="宋体" w:cs="宋体"/>
          <w:color w:val="auto"/>
          <w:spacing w:val="4"/>
          <w:szCs w:val="21"/>
          <w:highlight w:val="none"/>
        </w:rPr>
        <w:t>项目编号：</w:t>
      </w:r>
      <w:r>
        <w:rPr>
          <w:rFonts w:hint="eastAsia" w:ascii="宋体" w:hAnsi="宋体" w:eastAsia="宋体" w:cs="宋体"/>
          <w:color w:val="auto"/>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u w:val="single"/>
        </w:rPr>
        <w:t xml:space="preserve">     （供应商名称）     </w:t>
      </w:r>
      <w:r>
        <w:rPr>
          <w:rFonts w:hint="eastAsia" w:ascii="宋体" w:hAnsi="宋体" w:eastAsia="宋体" w:cs="宋体"/>
          <w:color w:val="auto"/>
          <w:spacing w:val="4"/>
          <w:szCs w:val="21"/>
          <w:highlight w:val="none"/>
        </w:rPr>
        <w:t>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并按磋商文件要求提供相关证明材料。</w:t>
      </w:r>
    </w:p>
    <w:p>
      <w:pPr>
        <w:keepNext w:val="0"/>
        <w:keepLines w:val="0"/>
        <w:pageBreakBefore w:val="0"/>
        <w:kinsoku/>
        <w:wordWrap/>
        <w:overflowPunct/>
        <w:topLinePunct w:val="0"/>
        <w:autoSpaceDE/>
        <w:autoSpaceDN/>
        <w:bidi w:val="0"/>
        <w:adjustRightInd/>
        <w:snapToGrid/>
        <w:spacing w:before="157" w:beforeLines="50"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特此声明。</w:t>
      </w:r>
    </w:p>
    <w:p>
      <w:pPr>
        <w:spacing w:line="360" w:lineRule="auto"/>
        <w:jc w:val="left"/>
        <w:rPr>
          <w:rFonts w:hint="eastAsia" w:ascii="宋体" w:hAnsi="宋体" w:eastAsia="宋体" w:cs="宋体"/>
          <w:color w:val="auto"/>
          <w:spacing w:val="4"/>
          <w:szCs w:val="21"/>
          <w:highlight w:val="none"/>
          <w:u w:val="single"/>
        </w:rPr>
      </w:pPr>
    </w:p>
    <w:p>
      <w:pPr>
        <w:spacing w:line="360" w:lineRule="auto"/>
        <w:jc w:val="left"/>
        <w:rPr>
          <w:rFonts w:hint="eastAsia" w:ascii="宋体" w:hAnsi="宋体" w:eastAsia="宋体" w:cs="宋体"/>
          <w:color w:val="auto"/>
          <w:spacing w:val="4"/>
          <w:szCs w:val="21"/>
          <w:highlight w:val="none"/>
          <w:u w:val="single"/>
        </w:rPr>
      </w:pPr>
    </w:p>
    <w:p>
      <w:pPr>
        <w:widowControl w:val="0"/>
        <w:spacing w:before="156" w:beforeLines="50" w:after="156" w:afterLines="50" w:line="360" w:lineRule="auto"/>
        <w:ind w:firstLine="2243" w:firstLineChars="1029"/>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ind w:firstLine="2243" w:firstLineChars="1029"/>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法定代表人（签字或盖章）：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u w:val="single"/>
          <w:lang w:val="en-US" w:eastAsia="zh-CN"/>
        </w:rPr>
        <w:t xml:space="preserve">       </w:t>
      </w:r>
      <w:r>
        <w:rPr>
          <w:rFonts w:hint="eastAsia" w:ascii="宋体" w:hAnsi="宋体" w:eastAsia="宋体" w:cs="宋体"/>
          <w:color w:val="auto"/>
          <w:spacing w:val="4"/>
          <w:szCs w:val="21"/>
          <w:highlight w:val="none"/>
          <w:u w:val="single"/>
        </w:rPr>
        <w:t xml:space="preserve">            </w:t>
      </w:r>
    </w:p>
    <w:p>
      <w:pPr>
        <w:widowControl w:val="0"/>
        <w:spacing w:before="156" w:beforeLines="50" w:after="156" w:afterLines="50" w:line="360" w:lineRule="auto"/>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Cs w:val="21"/>
          <w:highlight w:val="none"/>
        </w:rPr>
        <w:t xml:space="preserve">                                </w:t>
      </w:r>
      <w:r>
        <w:rPr>
          <w:rFonts w:hint="eastAsia" w:ascii="宋体" w:hAnsi="宋体" w:eastAsia="宋体" w:cs="宋体"/>
          <w:color w:val="auto"/>
          <w:spacing w:val="4"/>
          <w:szCs w:val="21"/>
          <w:highlight w:val="none"/>
          <w:lang w:val="en-US" w:eastAsia="zh-CN"/>
        </w:rPr>
        <w:t xml:space="preserve">              </w:t>
      </w:r>
      <w:r>
        <w:rPr>
          <w:rFonts w:hint="eastAsia" w:ascii="宋体" w:hAnsi="宋体" w:eastAsia="宋体" w:cs="宋体"/>
          <w:color w:val="auto"/>
          <w:spacing w:val="4"/>
          <w:szCs w:val="21"/>
          <w:highlight w:val="none"/>
        </w:rPr>
        <w:t xml:space="preserve"> 日期：     年    月    日</w:t>
      </w:r>
    </w:p>
    <w:p>
      <w:pPr>
        <w:spacing w:line="360" w:lineRule="auto"/>
        <w:jc w:val="left"/>
        <w:rPr>
          <w:rStyle w:val="31"/>
          <w:rFonts w:hint="eastAsia" w:ascii="宋体" w:hAnsi="宋体" w:eastAsia="宋体" w:cs="宋体"/>
          <w:b/>
          <w:color w:val="auto"/>
          <w:highlight w:val="none"/>
        </w:rPr>
      </w:pPr>
      <w:r>
        <w:rPr>
          <w:rStyle w:val="31"/>
          <w:rFonts w:hint="eastAsia" w:ascii="宋体" w:hAnsi="宋体" w:eastAsia="宋体" w:cs="宋体"/>
          <w:b/>
          <w:color w:val="auto"/>
          <w:highlight w:val="none"/>
        </w:rPr>
        <w:br w:type="page"/>
      </w:r>
    </w:p>
    <w:p>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w:t>
      </w:r>
    </w:p>
    <w:p>
      <w:pPr>
        <w:pStyle w:val="5"/>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中小企业声明函（服务）</w:t>
      </w:r>
    </w:p>
    <w:p>
      <w:pPr>
        <w:spacing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本公司（联合体）郑重声明，根据《政府采购促进中小企业发展管理办法》（财库﹝2020﹞46号）的规定，本公司（联合体）参加</w:t>
      </w:r>
      <w:r>
        <w:rPr>
          <w:rFonts w:hint="eastAsia" w:ascii="宋体" w:hAnsi="宋体" w:eastAsia="宋体" w:cs="宋体"/>
          <w:i/>
          <w:color w:val="auto"/>
          <w:spacing w:val="4"/>
          <w:szCs w:val="21"/>
          <w:highlight w:val="none"/>
          <w:u w:val="single"/>
        </w:rPr>
        <w:t>（单位名称）</w:t>
      </w:r>
      <w:r>
        <w:rPr>
          <w:rFonts w:hint="eastAsia" w:ascii="宋体" w:hAnsi="宋体" w:eastAsia="宋体" w:cs="宋体"/>
          <w:color w:val="auto"/>
          <w:spacing w:val="4"/>
          <w:szCs w:val="21"/>
          <w:highlight w:val="none"/>
        </w:rPr>
        <w:t>的</w:t>
      </w:r>
      <w:r>
        <w:rPr>
          <w:rFonts w:hint="eastAsia" w:ascii="宋体" w:hAnsi="宋体" w:eastAsia="宋体" w:cs="宋体"/>
          <w:i/>
          <w:color w:val="auto"/>
          <w:spacing w:val="4"/>
          <w:szCs w:val="21"/>
          <w:highlight w:val="none"/>
          <w:u w:val="single"/>
        </w:rPr>
        <w:t>（项目名称）</w:t>
      </w:r>
      <w:r>
        <w:rPr>
          <w:rFonts w:hint="eastAsia" w:ascii="宋体" w:hAnsi="宋体" w:eastAsia="宋体" w:cs="宋体"/>
          <w:color w:val="auto"/>
          <w:spacing w:val="4"/>
          <w:szCs w:val="21"/>
          <w:highlight w:val="none"/>
        </w:rPr>
        <w:t xml:space="preserve">采购活动，服务全部由符合政策要求的中小企业承接）。相关企业（含联合体中的中小企业、签订分包意向协议的中小企业）的具体情况如下： </w:t>
      </w:r>
    </w:p>
    <w:p>
      <w:pPr>
        <w:spacing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w:t>
      </w:r>
      <w:r>
        <w:rPr>
          <w:rFonts w:hint="eastAsia" w:ascii="宋体" w:hAnsi="宋体" w:eastAsia="宋体" w:cs="宋体"/>
          <w:i/>
          <w:color w:val="auto"/>
          <w:spacing w:val="4"/>
          <w:szCs w:val="21"/>
          <w:highlight w:val="none"/>
          <w:u w:val="single"/>
        </w:rPr>
        <w:t>（标的名称）</w:t>
      </w:r>
      <w:r>
        <w:rPr>
          <w:rFonts w:hint="eastAsia" w:ascii="宋体" w:hAnsi="宋体" w:eastAsia="宋体" w:cs="宋体"/>
          <w:color w:val="auto"/>
          <w:spacing w:val="4"/>
          <w:szCs w:val="21"/>
          <w:highlight w:val="none"/>
        </w:rPr>
        <w:t>，属于</w:t>
      </w:r>
      <w:r>
        <w:rPr>
          <w:rFonts w:hint="eastAsia" w:ascii="宋体" w:hAnsi="宋体" w:eastAsia="宋体" w:cs="宋体"/>
          <w:i/>
          <w:color w:val="auto"/>
          <w:spacing w:val="4"/>
          <w:szCs w:val="21"/>
          <w:highlight w:val="none"/>
          <w:u w:val="single"/>
        </w:rPr>
        <w:t>（采购文件中明确的所属行业）</w:t>
      </w:r>
      <w:r>
        <w:rPr>
          <w:rFonts w:hint="eastAsia" w:ascii="宋体" w:hAnsi="宋体" w:eastAsia="宋体" w:cs="宋体"/>
          <w:color w:val="auto"/>
          <w:spacing w:val="4"/>
          <w:szCs w:val="21"/>
          <w:highlight w:val="none"/>
        </w:rPr>
        <w:t>；承建（承接）企业为</w:t>
      </w:r>
      <w:r>
        <w:rPr>
          <w:rFonts w:hint="eastAsia" w:ascii="宋体" w:hAnsi="宋体" w:eastAsia="宋体" w:cs="宋体"/>
          <w:i/>
          <w:color w:val="auto"/>
          <w:spacing w:val="4"/>
          <w:szCs w:val="21"/>
          <w:highlight w:val="none"/>
          <w:u w:val="single"/>
        </w:rPr>
        <w:t>（企业名称）</w:t>
      </w:r>
      <w:r>
        <w:rPr>
          <w:rFonts w:hint="eastAsia" w:ascii="宋体" w:hAnsi="宋体" w:eastAsia="宋体" w:cs="宋体"/>
          <w:color w:val="auto"/>
          <w:spacing w:val="4"/>
          <w:szCs w:val="21"/>
          <w:highlight w:val="none"/>
        </w:rPr>
        <w:t>，从业人员</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人，营业收入为</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万元，资产总额为</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万元，属于</w:t>
      </w:r>
      <w:r>
        <w:rPr>
          <w:rFonts w:hint="eastAsia" w:ascii="宋体" w:hAnsi="宋体" w:eastAsia="宋体" w:cs="宋体"/>
          <w:i/>
          <w:color w:val="auto"/>
          <w:spacing w:val="4"/>
          <w:szCs w:val="21"/>
          <w:highlight w:val="none"/>
          <w:u w:val="single"/>
        </w:rPr>
        <w:t>（中型企业、小型企业、微型企业）</w:t>
      </w:r>
      <w:r>
        <w:rPr>
          <w:rFonts w:hint="eastAsia" w:ascii="宋体" w:hAnsi="宋体" w:eastAsia="宋体" w:cs="宋体"/>
          <w:color w:val="auto"/>
          <w:spacing w:val="4"/>
          <w:szCs w:val="21"/>
          <w:highlight w:val="none"/>
        </w:rPr>
        <w:t xml:space="preserve">； </w:t>
      </w:r>
    </w:p>
    <w:p>
      <w:pPr>
        <w:spacing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w:t>
      </w:r>
      <w:r>
        <w:rPr>
          <w:rFonts w:hint="eastAsia" w:ascii="宋体" w:hAnsi="宋体" w:eastAsia="宋体" w:cs="宋体"/>
          <w:i/>
          <w:color w:val="auto"/>
          <w:spacing w:val="4"/>
          <w:szCs w:val="21"/>
          <w:highlight w:val="none"/>
          <w:u w:val="single"/>
        </w:rPr>
        <w:t>（标的名称）</w:t>
      </w:r>
      <w:r>
        <w:rPr>
          <w:rFonts w:hint="eastAsia" w:ascii="宋体" w:hAnsi="宋体" w:eastAsia="宋体" w:cs="宋体"/>
          <w:color w:val="auto"/>
          <w:spacing w:val="4"/>
          <w:szCs w:val="21"/>
          <w:highlight w:val="none"/>
        </w:rPr>
        <w:t>，属于（采购文件中明确的所属行业）；承建（承接）企业为</w:t>
      </w:r>
      <w:r>
        <w:rPr>
          <w:rFonts w:hint="eastAsia" w:ascii="宋体" w:hAnsi="宋体" w:eastAsia="宋体" w:cs="宋体"/>
          <w:i/>
          <w:color w:val="auto"/>
          <w:spacing w:val="4"/>
          <w:szCs w:val="21"/>
          <w:highlight w:val="none"/>
          <w:u w:val="single"/>
        </w:rPr>
        <w:t>（企业名称）</w:t>
      </w:r>
      <w:r>
        <w:rPr>
          <w:rFonts w:hint="eastAsia" w:ascii="宋体" w:hAnsi="宋体" w:eastAsia="宋体" w:cs="宋体"/>
          <w:color w:val="auto"/>
          <w:spacing w:val="4"/>
          <w:szCs w:val="21"/>
          <w:highlight w:val="none"/>
        </w:rPr>
        <w:t>，从业人员</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人，营业收入为</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万元，资产总额为</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万元，属于</w:t>
      </w:r>
      <w:r>
        <w:rPr>
          <w:rFonts w:hint="eastAsia" w:ascii="宋体" w:hAnsi="宋体" w:eastAsia="宋体" w:cs="宋体"/>
          <w:i/>
          <w:color w:val="auto"/>
          <w:spacing w:val="4"/>
          <w:szCs w:val="21"/>
          <w:highlight w:val="none"/>
          <w:u w:val="single"/>
        </w:rPr>
        <w:t>（中型企业、小型企业、微型企业）</w:t>
      </w:r>
      <w:r>
        <w:rPr>
          <w:rFonts w:hint="eastAsia" w:ascii="宋体" w:hAnsi="宋体" w:eastAsia="宋体" w:cs="宋体"/>
          <w:color w:val="auto"/>
          <w:spacing w:val="4"/>
          <w:szCs w:val="21"/>
          <w:highlight w:val="none"/>
        </w:rPr>
        <w:t xml:space="preserve">； </w:t>
      </w:r>
    </w:p>
    <w:p>
      <w:pPr>
        <w:widowControl w:val="0"/>
        <w:spacing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w:t>
      </w:r>
    </w:p>
    <w:p>
      <w:pPr>
        <w:widowControl w:val="0"/>
        <w:spacing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以上企业，不属于大企业的分支机构，不存在控股股东为大企业的情形，也不存在与大企业的负责人为同一人的情形。</w:t>
      </w:r>
    </w:p>
    <w:p>
      <w:pPr>
        <w:widowControl w:val="0"/>
        <w:spacing w:line="360" w:lineRule="auto"/>
        <w:ind w:firstLine="436" w:firstLineChars="200"/>
        <w:jc w:val="left"/>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本企业对上述声明内容的真实性负责。如有虚假，将依法承担相应责任。</w:t>
      </w:r>
    </w:p>
    <w:p>
      <w:pPr>
        <w:spacing w:line="360" w:lineRule="auto"/>
        <w:rPr>
          <w:rFonts w:hint="eastAsia" w:ascii="宋体" w:hAnsi="宋体" w:eastAsia="宋体" w:cs="宋体"/>
          <w:color w:val="auto"/>
          <w:spacing w:val="4"/>
          <w:szCs w:val="21"/>
          <w:highlight w:val="none"/>
        </w:rPr>
      </w:pPr>
    </w:p>
    <w:p>
      <w:pPr>
        <w:widowControl w:val="0"/>
        <w:spacing w:before="156" w:beforeLines="50" w:after="156" w:afterLines="50" w:line="360" w:lineRule="auto"/>
        <w:ind w:firstLine="3110" w:firstLineChars="1427"/>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 xml:space="preserve">                                              日   期：    年    月    日</w:t>
      </w:r>
    </w:p>
    <w:p>
      <w:pPr>
        <w:spacing w:line="360" w:lineRule="auto"/>
        <w:rPr>
          <w:rFonts w:hint="eastAsia" w:ascii="宋体" w:hAnsi="宋体" w:eastAsia="宋体" w:cs="宋体"/>
          <w:b/>
          <w:bCs/>
          <w:color w:val="auto"/>
          <w:szCs w:val="21"/>
          <w:highlight w:val="none"/>
        </w:rPr>
      </w:pPr>
    </w:p>
    <w:p>
      <w:pPr>
        <w:spacing w:line="360" w:lineRule="auto"/>
        <w:jc w:val="left"/>
        <w:rPr>
          <w:rFonts w:hint="eastAsia" w:ascii="宋体" w:hAnsi="宋体" w:eastAsia="宋体" w:cs="宋体"/>
          <w:b/>
          <w:bCs/>
          <w:color w:val="auto"/>
          <w:szCs w:val="21"/>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注：本项目采购标的对应的中小企业划分标准所属行业为其他未列明行业，非中小企业，无须附此表，否则由此产生的一切不利后果由供应商自行承担。</w:t>
      </w:r>
    </w:p>
    <w:p>
      <w:pPr>
        <w:rPr>
          <w:rFonts w:hint="eastAsia" w:ascii="宋体" w:hAnsi="宋体" w:eastAsia="宋体" w:cs="宋体"/>
          <w:b/>
          <w:color w:val="auto"/>
          <w:sz w:val="24"/>
          <w:szCs w:val="24"/>
          <w:highlight w:val="none"/>
        </w:rPr>
      </w:pPr>
      <w:bookmarkStart w:id="58" w:name="OLE_LINK14"/>
      <w:bookmarkStart w:id="59" w:name="OLE_LINK13"/>
      <w:r>
        <w:rPr>
          <w:rFonts w:hint="eastAsia" w:ascii="宋体" w:hAnsi="宋体" w:eastAsia="宋体" w:cs="宋体"/>
          <w:b/>
          <w:color w:val="auto"/>
          <w:sz w:val="24"/>
          <w:szCs w:val="24"/>
          <w:highlight w:val="none"/>
        </w:rPr>
        <w:br w:type="page"/>
      </w:r>
    </w:p>
    <w:p>
      <w:pPr>
        <w:spacing w:line="588" w:lineRule="exact"/>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t>附件4：</w:t>
      </w:r>
    </w:p>
    <w:p>
      <w:pPr>
        <w:pStyle w:val="5"/>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baselin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残疾人福利性单位声明函</w:t>
      </w:r>
    </w:p>
    <w:bookmarkEnd w:id="58"/>
    <w:bookmarkEnd w:id="59"/>
    <w:p>
      <w:pPr>
        <w:spacing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单位的</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4"/>
          <w:szCs w:val="21"/>
          <w:highlight w:val="none"/>
        </w:rPr>
        <w:t>项目采购活动提供服务。</w:t>
      </w:r>
    </w:p>
    <w:p>
      <w:pPr>
        <w:spacing w:line="360" w:lineRule="auto"/>
        <w:ind w:firstLine="436" w:firstLineChars="200"/>
        <w:jc w:val="left"/>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本单位对上述声明的真实性负责。如有虚假，将依法承担相应责任。</w:t>
      </w:r>
    </w:p>
    <w:p>
      <w:pPr>
        <w:spacing w:line="360" w:lineRule="auto"/>
        <w:ind w:left="1"/>
        <w:rPr>
          <w:rFonts w:hint="eastAsia" w:ascii="宋体" w:hAnsi="宋体" w:eastAsia="宋体" w:cs="宋体"/>
          <w:color w:val="auto"/>
          <w:szCs w:val="21"/>
          <w:highlight w:val="none"/>
        </w:rPr>
      </w:pPr>
    </w:p>
    <w:p>
      <w:pPr>
        <w:pStyle w:val="18"/>
        <w:rPr>
          <w:rFonts w:hint="eastAsia" w:ascii="宋体" w:hAnsi="宋体" w:eastAsia="宋体" w:cs="宋体"/>
          <w:color w:val="auto"/>
          <w:szCs w:val="21"/>
          <w:highlight w:val="none"/>
        </w:rPr>
      </w:pPr>
    </w:p>
    <w:p>
      <w:pPr>
        <w:pStyle w:val="18"/>
        <w:rPr>
          <w:rFonts w:hint="eastAsia" w:ascii="宋体" w:hAnsi="宋体" w:eastAsia="宋体" w:cs="宋体"/>
          <w:color w:val="auto"/>
          <w:szCs w:val="21"/>
          <w:highlight w:val="none"/>
        </w:rPr>
      </w:pPr>
    </w:p>
    <w:p>
      <w:pPr>
        <w:pStyle w:val="18"/>
        <w:rPr>
          <w:rFonts w:hint="eastAsia" w:ascii="宋体" w:hAnsi="宋体" w:eastAsia="宋体" w:cs="宋体"/>
          <w:color w:val="auto"/>
          <w:szCs w:val="21"/>
          <w:highlight w:val="none"/>
        </w:rPr>
      </w:pPr>
    </w:p>
    <w:p>
      <w:pPr>
        <w:pStyle w:val="18"/>
        <w:rPr>
          <w:rFonts w:hint="eastAsia" w:ascii="宋体" w:hAnsi="宋体" w:eastAsia="宋体" w:cs="宋体"/>
          <w:color w:val="auto"/>
          <w:szCs w:val="21"/>
          <w:highlight w:val="none"/>
        </w:rPr>
      </w:pPr>
    </w:p>
    <w:p>
      <w:pPr>
        <w:pStyle w:val="18"/>
        <w:rPr>
          <w:rFonts w:hint="eastAsia" w:ascii="宋体" w:hAnsi="宋体" w:eastAsia="宋体" w:cs="宋体"/>
          <w:color w:val="auto"/>
          <w:szCs w:val="21"/>
          <w:highlight w:val="none"/>
        </w:rPr>
      </w:pPr>
    </w:p>
    <w:p>
      <w:pPr>
        <w:widowControl w:val="0"/>
        <w:spacing w:before="156" w:beforeLines="50" w:after="156" w:afterLines="50" w:line="360" w:lineRule="auto"/>
        <w:ind w:firstLine="3110" w:firstLineChars="1427"/>
        <w:jc w:val="left"/>
        <w:textAlignment w:val="auto"/>
        <w:rPr>
          <w:rFonts w:hint="eastAsia" w:ascii="宋体" w:hAnsi="宋体" w:eastAsia="宋体" w:cs="宋体"/>
          <w:color w:val="auto"/>
          <w:spacing w:val="14"/>
          <w:kern w:val="0"/>
          <w:szCs w:val="21"/>
          <w:highlight w:val="none"/>
        </w:rPr>
      </w:pPr>
      <w:r>
        <w:rPr>
          <w:rFonts w:hint="eastAsia" w:ascii="宋体" w:hAnsi="宋体" w:eastAsia="宋体" w:cs="宋体"/>
          <w:color w:val="auto"/>
          <w:spacing w:val="4"/>
          <w:szCs w:val="21"/>
          <w:highlight w:val="none"/>
        </w:rPr>
        <w:t>供应商名称（盖章）：</w:t>
      </w:r>
      <w:r>
        <w:rPr>
          <w:rFonts w:hint="eastAsia" w:ascii="宋体" w:hAnsi="宋体" w:eastAsia="宋体" w:cs="宋体"/>
          <w:color w:val="auto"/>
          <w:spacing w:val="4"/>
          <w:szCs w:val="21"/>
          <w:highlight w:val="none"/>
          <w:u w:val="single"/>
        </w:rPr>
        <w:t xml:space="preserve">               </w:t>
      </w:r>
      <w:r>
        <w:rPr>
          <w:rFonts w:hint="eastAsia" w:ascii="宋体" w:hAnsi="宋体" w:eastAsia="宋体" w:cs="宋体"/>
          <w:color w:val="auto"/>
          <w:spacing w:val="14"/>
          <w:kern w:val="0"/>
          <w:szCs w:val="21"/>
          <w:highlight w:val="none"/>
          <w:u w:val="single"/>
        </w:rPr>
        <w:t>（单位全称）</w:t>
      </w:r>
    </w:p>
    <w:p>
      <w:pPr>
        <w:widowControl w:val="0"/>
        <w:spacing w:before="156" w:beforeLines="50" w:after="156" w:afterLines="50" w:line="360" w:lineRule="auto"/>
        <w:jc w:val="center"/>
        <w:textAlignment w:val="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 xml:space="preserve">                                            日  期：     年     月    日</w:t>
      </w: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p>
    <w:p>
      <w:pPr>
        <w:widowControl w:val="0"/>
        <w:spacing w:before="156" w:beforeLines="50" w:after="156" w:afterLines="50" w:line="360" w:lineRule="auto"/>
        <w:jc w:val="left"/>
        <w:textAlignment w:val="auto"/>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注：非残疾人福利性单位，无须附此表</w:t>
      </w:r>
      <w:r>
        <w:rPr>
          <w:rFonts w:hint="eastAsia" w:ascii="宋体" w:hAnsi="宋体" w:eastAsia="宋体" w:cs="宋体"/>
          <w:b/>
          <w:bCs/>
          <w:color w:val="auto"/>
          <w:spacing w:val="4"/>
          <w:sz w:val="24"/>
          <w:szCs w:val="24"/>
          <w:highlight w:val="none"/>
          <w:lang w:eastAsia="zh-CN"/>
        </w:rPr>
        <w:t>，</w:t>
      </w:r>
      <w:r>
        <w:rPr>
          <w:rFonts w:hint="eastAsia" w:ascii="宋体" w:hAnsi="宋体" w:eastAsia="宋体" w:cs="宋体"/>
          <w:b/>
          <w:bCs/>
          <w:color w:val="auto"/>
          <w:spacing w:val="4"/>
          <w:sz w:val="24"/>
          <w:szCs w:val="24"/>
          <w:highlight w:val="none"/>
          <w:lang w:val="en-US" w:eastAsia="zh-CN"/>
        </w:rPr>
        <w:t>否则由此产生的一切不利后果由供应商自行承担</w:t>
      </w:r>
      <w:r>
        <w:rPr>
          <w:rFonts w:hint="eastAsia" w:ascii="宋体" w:hAnsi="宋体" w:eastAsia="宋体" w:cs="宋体"/>
          <w:b/>
          <w:bCs/>
          <w:color w:val="auto"/>
          <w:spacing w:val="4"/>
          <w:sz w:val="24"/>
          <w:szCs w:val="24"/>
          <w:highlight w:val="none"/>
        </w:rPr>
        <w:t>。</w:t>
      </w:r>
    </w:p>
    <w:p>
      <w:pPr>
        <w:widowControl w:val="0"/>
        <w:spacing w:before="156" w:beforeLines="50" w:after="156" w:afterLines="50" w:line="360" w:lineRule="auto"/>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br w:type="page"/>
      </w: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sz w:val="32"/>
          <w:szCs w:val="32"/>
          <w:highlight w:val="none"/>
        </w:rPr>
      </w:pPr>
    </w:p>
    <w:p>
      <w:pPr>
        <w:widowControl w:val="0"/>
        <w:spacing w:line="360" w:lineRule="auto"/>
        <w:jc w:val="center"/>
        <w:textAlignment w:val="auto"/>
        <w:rPr>
          <w:rFonts w:hint="eastAsia" w:ascii="宋体" w:hAnsi="宋体" w:eastAsia="宋体" w:cs="宋体"/>
          <w:color w:val="auto"/>
          <w:highlight w:val="none"/>
        </w:rPr>
      </w:pPr>
    </w:p>
    <w:p>
      <w:pPr>
        <w:spacing w:line="360" w:lineRule="auto"/>
        <w:ind w:left="1"/>
        <w:jc w:val="center"/>
        <w:outlineLvl w:val="0"/>
        <w:rPr>
          <w:rFonts w:hint="eastAsia" w:ascii="宋体" w:hAnsi="宋体" w:eastAsia="宋体" w:cs="宋体"/>
          <w:b/>
          <w:color w:val="auto"/>
          <w:sz w:val="36"/>
          <w:szCs w:val="36"/>
          <w:highlight w:val="none"/>
        </w:rPr>
      </w:pPr>
      <w:bookmarkStart w:id="60" w:name="_Toc8542"/>
      <w:bookmarkStart w:id="61" w:name="_Toc2148"/>
      <w:r>
        <w:rPr>
          <w:rFonts w:hint="eastAsia" w:ascii="宋体" w:hAnsi="宋体" w:eastAsia="宋体" w:cs="宋体"/>
          <w:b/>
          <w:color w:val="auto"/>
          <w:sz w:val="44"/>
          <w:szCs w:val="44"/>
          <w:highlight w:val="none"/>
        </w:rPr>
        <w:t>政府采购服务项目</w:t>
      </w:r>
      <w:bookmarkEnd w:id="60"/>
      <w:bookmarkEnd w:id="61"/>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磋商响应文件</w:t>
      </w:r>
    </w:p>
    <w:p>
      <w:pPr>
        <w:jc w:val="center"/>
        <w:rPr>
          <w:rFonts w:hint="eastAsia" w:ascii="宋体" w:hAnsi="宋体" w:eastAsia="宋体" w:cs="宋体"/>
          <w:b/>
          <w:color w:val="auto"/>
          <w:sz w:val="36"/>
          <w:szCs w:val="36"/>
          <w:highlight w:val="none"/>
        </w:rPr>
      </w:pPr>
    </w:p>
    <w:p>
      <w:pPr>
        <w:pStyle w:val="4"/>
        <w:jc w:val="center"/>
        <w:rPr>
          <w:rFonts w:hint="eastAsia" w:ascii="宋体" w:hAnsi="宋体" w:eastAsia="宋体" w:cs="宋体"/>
          <w:bCs w:val="0"/>
          <w:color w:val="auto"/>
          <w:sz w:val="36"/>
          <w:szCs w:val="36"/>
          <w:highlight w:val="none"/>
        </w:rPr>
      </w:pPr>
      <w:bookmarkStart w:id="62" w:name="_Toc3941"/>
      <w:bookmarkStart w:id="63" w:name="_Toc7190"/>
      <w:bookmarkStart w:id="64" w:name="_Toc17074"/>
      <w:r>
        <w:rPr>
          <w:rFonts w:hint="eastAsia" w:ascii="宋体" w:hAnsi="宋体" w:eastAsia="宋体" w:cs="宋体"/>
          <w:bCs w:val="0"/>
          <w:color w:val="auto"/>
          <w:sz w:val="36"/>
          <w:szCs w:val="36"/>
          <w:highlight w:val="none"/>
        </w:rPr>
        <w:t>（技术和商务部分）</w:t>
      </w:r>
      <w:bookmarkEnd w:id="62"/>
      <w:bookmarkEnd w:id="63"/>
      <w:bookmarkEnd w:id="64"/>
    </w:p>
    <w:p>
      <w:pPr>
        <w:rPr>
          <w:rFonts w:hint="eastAsia" w:ascii="宋体" w:hAnsi="宋体" w:eastAsia="宋体" w:cs="宋体"/>
          <w:b/>
          <w:color w:val="auto"/>
          <w:sz w:val="36"/>
          <w:szCs w:val="36"/>
          <w:highlight w:val="none"/>
        </w:rPr>
      </w:pPr>
    </w:p>
    <w:p>
      <w:pPr>
        <w:tabs>
          <w:tab w:val="left" w:pos="2628"/>
        </w:tabs>
        <w:spacing w:line="360" w:lineRule="auto"/>
        <w:jc w:val="left"/>
        <w:rPr>
          <w:rFonts w:hint="eastAsia" w:ascii="宋体" w:hAnsi="宋体" w:eastAsia="宋体" w:cs="宋体"/>
          <w:b/>
          <w:color w:val="auto"/>
          <w:sz w:val="30"/>
          <w:szCs w:val="30"/>
          <w:highlight w:val="none"/>
        </w:rPr>
      </w:pPr>
    </w:p>
    <w:p>
      <w:pPr>
        <w:pStyle w:val="18"/>
        <w:rPr>
          <w:rFonts w:hint="eastAsia" w:ascii="宋体" w:hAnsi="宋体" w:eastAsia="宋体" w:cs="宋体"/>
          <w:color w:val="auto"/>
          <w:highlight w:val="none"/>
        </w:rPr>
      </w:pPr>
    </w:p>
    <w:p>
      <w:pPr>
        <w:tabs>
          <w:tab w:val="left" w:pos="2628"/>
        </w:tabs>
        <w:spacing w:line="360" w:lineRule="auto"/>
        <w:ind w:left="2498" w:leftChars="401" w:hanging="1656" w:hangingChars="55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p>
    <w:p>
      <w:pPr>
        <w:tabs>
          <w:tab w:val="left" w:pos="2628"/>
        </w:tabs>
        <w:spacing w:line="360" w:lineRule="auto"/>
        <w:ind w:left="843"/>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项目编号：</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（公章）</w:t>
      </w:r>
    </w:p>
    <w:p>
      <w:pPr>
        <w:widowControl w:val="0"/>
        <w:spacing w:before="156" w:beforeLines="50" w:after="156" w:afterLines="50" w:line="360" w:lineRule="auto"/>
        <w:ind w:firstLine="1506" w:firstLineChars="5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月</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日</w:t>
      </w:r>
    </w:p>
    <w:p>
      <w:pPr>
        <w:spacing w:line="500" w:lineRule="exact"/>
        <w:jc w:val="center"/>
        <w:rPr>
          <w:rStyle w:val="31"/>
          <w:rFonts w:hint="eastAsia" w:ascii="宋体" w:hAnsi="宋体" w:eastAsia="宋体" w:cs="宋体"/>
          <w:b/>
          <w:color w:val="auto"/>
          <w:sz w:val="36"/>
          <w:szCs w:val="36"/>
          <w:highlight w:val="none"/>
        </w:rPr>
      </w:pPr>
      <w:r>
        <w:rPr>
          <w:rStyle w:val="31"/>
          <w:rFonts w:hint="eastAsia" w:ascii="宋体" w:hAnsi="宋体" w:eastAsia="宋体" w:cs="宋体"/>
          <w:b/>
          <w:color w:val="auto"/>
          <w:sz w:val="36"/>
          <w:szCs w:val="36"/>
          <w:highlight w:val="none"/>
        </w:rPr>
        <w:br w:type="page"/>
      </w:r>
    </w:p>
    <w:p>
      <w:pPr>
        <w:widowControl w:val="0"/>
        <w:spacing w:before="156" w:beforeLines="50" w:after="156" w:afterLines="5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 录</w:t>
      </w:r>
    </w:p>
    <w:p>
      <w:pPr>
        <w:pStyle w:val="10"/>
        <w:rPr>
          <w:rFonts w:hint="eastAsia" w:ascii="宋体" w:hAnsi="宋体" w:eastAsia="宋体" w:cs="宋体"/>
          <w:color w:val="auto"/>
          <w:highlight w:val="none"/>
        </w:rPr>
      </w:pP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（一）磋商响应书</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（二）磋商报价表</w:t>
      </w:r>
    </w:p>
    <w:p>
      <w:pPr>
        <w:spacing w:line="480" w:lineRule="auto"/>
        <w:ind w:firstLine="1090" w:firstLineChars="5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（三）磋商报价方案说明书</w:t>
      </w:r>
    </w:p>
    <w:p>
      <w:pPr>
        <w:spacing w:line="480" w:lineRule="auto"/>
        <w:jc w:val="both"/>
        <w:rPr>
          <w:rStyle w:val="31"/>
          <w:rFonts w:hint="eastAsia" w:ascii="宋体" w:hAnsi="宋体" w:eastAsia="宋体" w:cs="宋体"/>
          <w:color w:val="auto"/>
          <w:sz w:val="21"/>
          <w:highlight w:val="none"/>
        </w:rPr>
      </w:pPr>
      <w:r>
        <w:rPr>
          <w:rStyle w:val="31"/>
          <w:rFonts w:hint="eastAsia" w:ascii="宋体" w:hAnsi="宋体" w:eastAsia="宋体" w:cs="宋体"/>
          <w:color w:val="auto"/>
          <w:sz w:val="21"/>
          <w:highlight w:val="none"/>
        </w:rPr>
        <w:br w:type="page"/>
      </w:r>
    </w:p>
    <w:p>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baseline"/>
        <w:outlineLvl w:val="2"/>
        <w:rPr>
          <w:rFonts w:hint="eastAsia" w:ascii="宋体" w:hAnsi="宋体" w:eastAsia="宋体" w:cs="宋体"/>
          <w:b/>
          <w:color w:val="auto"/>
          <w:spacing w:val="4"/>
          <w:sz w:val="28"/>
          <w:szCs w:val="28"/>
          <w:highlight w:val="none"/>
        </w:rPr>
      </w:pPr>
      <w:r>
        <w:rPr>
          <w:rFonts w:hint="eastAsia" w:ascii="宋体" w:hAnsi="宋体" w:eastAsia="宋体" w:cs="宋体"/>
          <w:b/>
          <w:color w:val="auto"/>
          <w:spacing w:val="4"/>
          <w:sz w:val="28"/>
          <w:szCs w:val="28"/>
          <w:highlight w:val="none"/>
        </w:rPr>
        <w:t>一、磋商响应书</w:t>
      </w:r>
    </w:p>
    <w:p>
      <w:pPr>
        <w:spacing w:line="36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致：西北（陕西）国际招标有限公司</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436" w:firstLineChars="200"/>
        <w:textAlignment w:val="baseline"/>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根据贵方为</w:t>
      </w:r>
      <w:r>
        <w:rPr>
          <w:rFonts w:hint="eastAsia" w:ascii="宋体" w:hAnsi="宋体" w:eastAsia="宋体" w:cs="宋体"/>
          <w:color w:val="auto"/>
          <w:spacing w:val="4"/>
          <w:szCs w:val="21"/>
          <w:highlight w:val="none"/>
          <w:u w:val="single"/>
        </w:rPr>
        <w:t>（项目名称）</w:t>
      </w:r>
      <w:r>
        <w:rPr>
          <w:rFonts w:hint="eastAsia" w:ascii="宋体" w:hAnsi="宋体" w:eastAsia="宋体" w:cs="宋体"/>
          <w:color w:val="auto"/>
          <w:spacing w:val="4"/>
          <w:szCs w:val="21"/>
          <w:highlight w:val="none"/>
        </w:rPr>
        <w:t>项目服务采购的竞争性磋商邀请</w:t>
      </w:r>
      <w:r>
        <w:rPr>
          <w:rFonts w:hint="eastAsia" w:ascii="宋体" w:hAnsi="宋体" w:eastAsia="宋体" w:cs="宋体"/>
          <w:color w:val="auto"/>
          <w:spacing w:val="4"/>
          <w:szCs w:val="21"/>
          <w:highlight w:val="none"/>
          <w:u w:val="single"/>
        </w:rPr>
        <w:t>（项目编号）</w:t>
      </w:r>
      <w:r>
        <w:rPr>
          <w:rFonts w:hint="eastAsia" w:ascii="宋体" w:hAnsi="宋体" w:eastAsia="宋体" w:cs="宋体"/>
          <w:color w:val="auto"/>
          <w:spacing w:val="4"/>
          <w:szCs w:val="21"/>
          <w:highlight w:val="none"/>
        </w:rPr>
        <w:t>，签字代表</w:t>
      </w:r>
      <w:r>
        <w:rPr>
          <w:rFonts w:hint="eastAsia" w:ascii="宋体" w:hAnsi="宋体" w:eastAsia="宋体" w:cs="宋体"/>
          <w:color w:val="auto"/>
          <w:spacing w:val="4"/>
          <w:szCs w:val="21"/>
          <w:highlight w:val="none"/>
          <w:u w:val="single"/>
        </w:rPr>
        <w:t>（姓名、职务）</w:t>
      </w:r>
      <w:r>
        <w:rPr>
          <w:rFonts w:hint="eastAsia" w:ascii="宋体" w:hAnsi="宋体" w:eastAsia="宋体" w:cs="宋体"/>
          <w:color w:val="auto"/>
          <w:spacing w:val="4"/>
          <w:szCs w:val="21"/>
          <w:highlight w:val="none"/>
        </w:rPr>
        <w:t>经正式授权并代表供应商</w:t>
      </w:r>
      <w:r>
        <w:rPr>
          <w:rFonts w:hint="eastAsia" w:ascii="宋体" w:hAnsi="宋体" w:eastAsia="宋体" w:cs="宋体"/>
          <w:color w:val="auto"/>
          <w:spacing w:val="4"/>
          <w:szCs w:val="21"/>
          <w:highlight w:val="none"/>
          <w:u w:val="single"/>
        </w:rPr>
        <w:t>（供应商名称、地址）</w:t>
      </w:r>
      <w:r>
        <w:rPr>
          <w:rFonts w:hint="eastAsia" w:ascii="宋体" w:hAnsi="宋体" w:eastAsia="宋体" w:cs="宋体"/>
          <w:color w:val="auto"/>
          <w:spacing w:val="4"/>
          <w:szCs w:val="21"/>
          <w:highlight w:val="none"/>
        </w:rPr>
        <w:t xml:space="preserve"> 提交下述响应文件正本一份、副本二份及电子版一份。</w:t>
      </w:r>
    </w:p>
    <w:p>
      <w:pPr>
        <w:spacing w:line="360" w:lineRule="auto"/>
        <w:ind w:left="546" w:leftChars="251" w:hanging="19" w:hangingChars="9"/>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我方承诺如下：</w:t>
      </w:r>
    </w:p>
    <w:p>
      <w:pPr>
        <w:numPr>
          <w:ilvl w:val="0"/>
          <w:numId w:val="2"/>
        </w:numPr>
        <w:tabs>
          <w:tab w:val="left" w:pos="2160"/>
        </w:tabs>
        <w:spacing w:line="360" w:lineRule="auto"/>
        <w:ind w:left="0" w:firstLine="0"/>
        <w:outlineLvl w:val="0"/>
        <w:rPr>
          <w:rFonts w:hint="eastAsia" w:ascii="宋体" w:hAnsi="宋体" w:eastAsia="宋体" w:cs="宋体"/>
          <w:color w:val="auto"/>
          <w:spacing w:val="4"/>
          <w:szCs w:val="21"/>
          <w:highlight w:val="none"/>
        </w:rPr>
      </w:pPr>
      <w:bookmarkStart w:id="65" w:name="_Toc13642"/>
      <w:bookmarkStart w:id="66" w:name="_Toc8917"/>
      <w:bookmarkStart w:id="67" w:name="_Toc10429"/>
      <w:bookmarkStart w:id="68" w:name="_Toc42794598"/>
      <w:bookmarkStart w:id="69" w:name="_Toc42518137"/>
      <w:bookmarkStart w:id="70" w:name="_Toc42794599"/>
      <w:bookmarkStart w:id="71" w:name="_Toc42518138"/>
      <w:r>
        <w:rPr>
          <w:rFonts w:hint="eastAsia" w:ascii="宋体" w:hAnsi="宋体" w:eastAsia="宋体" w:cs="宋体"/>
          <w:color w:val="auto"/>
          <w:spacing w:val="4"/>
          <w:szCs w:val="21"/>
          <w:highlight w:val="none"/>
        </w:rPr>
        <w:t>磋商报价（第一次）详见磋商报价一览表。</w:t>
      </w:r>
      <w:bookmarkEnd w:id="65"/>
      <w:bookmarkEnd w:id="66"/>
      <w:bookmarkEnd w:id="67"/>
      <w:bookmarkEnd w:id="68"/>
      <w:bookmarkEnd w:id="69"/>
    </w:p>
    <w:p>
      <w:pPr>
        <w:numPr>
          <w:ilvl w:val="0"/>
          <w:numId w:val="2"/>
        </w:numPr>
        <w:tabs>
          <w:tab w:val="left" w:pos="2160"/>
        </w:tabs>
        <w:spacing w:line="360" w:lineRule="auto"/>
        <w:ind w:left="0" w:firstLine="0"/>
        <w:outlineLvl w:val="0"/>
        <w:rPr>
          <w:rFonts w:hint="eastAsia" w:ascii="宋体" w:hAnsi="宋体" w:eastAsia="宋体" w:cs="宋体"/>
          <w:color w:val="auto"/>
          <w:spacing w:val="4"/>
          <w:szCs w:val="21"/>
          <w:highlight w:val="none"/>
        </w:rPr>
      </w:pPr>
      <w:bookmarkStart w:id="72" w:name="_Toc8736"/>
      <w:bookmarkStart w:id="73" w:name="_Toc4664"/>
      <w:bookmarkStart w:id="74" w:name="_Toc5125"/>
      <w:r>
        <w:rPr>
          <w:rFonts w:hint="eastAsia" w:ascii="宋体" w:hAnsi="宋体" w:eastAsia="宋体" w:cs="宋体"/>
          <w:color w:val="auto"/>
          <w:spacing w:val="4"/>
          <w:szCs w:val="21"/>
          <w:highlight w:val="none"/>
        </w:rPr>
        <w:t>如果成交，我们根据磋商文件的规定，履行合同的责任和义务。</w:t>
      </w:r>
      <w:bookmarkEnd w:id="70"/>
      <w:bookmarkEnd w:id="71"/>
      <w:bookmarkEnd w:id="72"/>
      <w:bookmarkEnd w:id="73"/>
      <w:bookmarkEnd w:id="74"/>
    </w:p>
    <w:p>
      <w:pPr>
        <w:numPr>
          <w:ilvl w:val="0"/>
          <w:numId w:val="2"/>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我们已详细阅读和审核全部磋商文件（含修改部分，如有的话），及有关附件，我们知道必须放弃提出含糊不清或误解的问题的权利。</w:t>
      </w:r>
    </w:p>
    <w:p>
      <w:pPr>
        <w:numPr>
          <w:ilvl w:val="0"/>
          <w:numId w:val="2"/>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我们同意在磋商报价有效期内（自磋商之日起</w:t>
      </w:r>
      <w:r>
        <w:rPr>
          <w:rFonts w:hint="eastAsia" w:ascii="宋体" w:hAnsi="宋体" w:eastAsia="宋体" w:cs="宋体"/>
          <w:color w:val="auto"/>
          <w:spacing w:val="4"/>
          <w:szCs w:val="21"/>
          <w:highlight w:val="none"/>
          <w:u w:val="single"/>
        </w:rPr>
        <w:t>90</w:t>
      </w:r>
      <w:r>
        <w:rPr>
          <w:rFonts w:hint="eastAsia" w:ascii="宋体" w:hAnsi="宋体" w:eastAsia="宋体" w:cs="宋体"/>
          <w:color w:val="auto"/>
          <w:spacing w:val="4"/>
          <w:szCs w:val="21"/>
          <w:highlight w:val="none"/>
        </w:rPr>
        <w:t>天内），本磋商响应书对我方具有约束力。</w:t>
      </w:r>
    </w:p>
    <w:p>
      <w:pPr>
        <w:numPr>
          <w:ilvl w:val="0"/>
          <w:numId w:val="2"/>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 xml:space="preserve">同意提供贵方可能另外要求的与本磋商报价有关的任何证据和资料。 </w:t>
      </w:r>
    </w:p>
    <w:p>
      <w:pPr>
        <w:numPr>
          <w:ilvl w:val="0"/>
          <w:numId w:val="2"/>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我们同意，如果成交，向西北（陕西）国际招标有限公司交纳采购代理服务费。</w:t>
      </w:r>
    </w:p>
    <w:p>
      <w:pPr>
        <w:numPr>
          <w:ilvl w:val="0"/>
          <w:numId w:val="2"/>
        </w:numPr>
        <w:tabs>
          <w:tab w:val="left" w:pos="2160"/>
        </w:tabs>
        <w:spacing w:line="360" w:lineRule="auto"/>
        <w:ind w:left="0" w:firstLine="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与本磋商响应有关的一切正式信函请寄：</w:t>
      </w:r>
    </w:p>
    <w:p>
      <w:pPr>
        <w:spacing w:line="360" w:lineRule="auto"/>
        <w:ind w:firstLine="43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地址：                          邮政编码：</w:t>
      </w:r>
    </w:p>
    <w:p>
      <w:pPr>
        <w:spacing w:line="360" w:lineRule="auto"/>
        <w:ind w:firstLine="43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电话/传真：                     电子邮件：</w:t>
      </w:r>
    </w:p>
    <w:p>
      <w:pPr>
        <w:widowControl w:val="0"/>
        <w:spacing w:before="156" w:beforeLines="50" w:after="156" w:afterLines="50" w:line="360" w:lineRule="auto"/>
        <w:jc w:val="left"/>
        <w:textAlignment w:val="auto"/>
        <w:rPr>
          <w:rFonts w:hint="eastAsia" w:ascii="宋体" w:hAnsi="宋体" w:eastAsia="宋体" w:cs="宋体"/>
          <w:color w:val="auto"/>
          <w:spacing w:val="4"/>
          <w:szCs w:val="21"/>
          <w:highlight w:val="none"/>
        </w:rPr>
      </w:pPr>
    </w:p>
    <w:p>
      <w:pPr>
        <w:widowControl w:val="0"/>
        <w:spacing w:before="156" w:beforeLines="50" w:after="156" w:afterLines="50" w:line="360" w:lineRule="auto"/>
        <w:jc w:val="left"/>
        <w:textAlignment w:val="auto"/>
        <w:rPr>
          <w:rFonts w:hint="eastAsia" w:ascii="宋体" w:hAnsi="宋体" w:eastAsia="宋体" w:cs="宋体"/>
          <w:color w:val="auto"/>
          <w:spacing w:val="4"/>
          <w:szCs w:val="21"/>
          <w:highlight w:val="none"/>
        </w:rPr>
      </w:pP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授权代表人</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加盖</w:t>
      </w:r>
      <w:r>
        <w:rPr>
          <w:rFonts w:hint="eastAsia" w:ascii="宋体" w:hAnsi="宋体" w:eastAsia="宋体" w:cs="宋体"/>
          <w:color w:val="auto"/>
          <w:szCs w:val="21"/>
          <w:highlight w:val="none"/>
        </w:rPr>
        <w:t>公章）</w:t>
      </w:r>
    </w:p>
    <w:p>
      <w:pPr>
        <w:widowControl w:val="0"/>
        <w:spacing w:before="156" w:beforeLines="50" w:after="156" w:afterLines="5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before="156" w:beforeLines="50" w:line="360" w:lineRule="auto"/>
        <w:jc w:val="center"/>
        <w:outlineLvl w:val="1"/>
        <w:rPr>
          <w:rFonts w:hint="eastAsia" w:ascii="宋体" w:hAnsi="宋体" w:eastAsia="宋体" w:cs="宋体"/>
          <w:b/>
          <w:color w:val="auto"/>
          <w:sz w:val="28"/>
          <w:highlight w:val="none"/>
        </w:rPr>
      </w:pPr>
      <w:bookmarkStart w:id="75" w:name="_Toc82791995"/>
      <w:bookmarkStart w:id="76" w:name="_Toc4060"/>
      <w:r>
        <w:rPr>
          <w:rFonts w:hint="eastAsia" w:ascii="宋体" w:hAnsi="宋体" w:eastAsia="宋体" w:cs="宋体"/>
          <w:b/>
          <w:color w:val="auto"/>
          <w:sz w:val="28"/>
          <w:highlight w:val="none"/>
        </w:rPr>
        <w:t>二、磋商报价</w:t>
      </w:r>
      <w:bookmarkEnd w:id="75"/>
      <w:bookmarkEnd w:id="76"/>
      <w:r>
        <w:rPr>
          <w:rFonts w:hint="eastAsia" w:ascii="宋体" w:hAnsi="宋体" w:eastAsia="宋体" w:cs="宋体"/>
          <w:b/>
          <w:color w:val="auto"/>
          <w:sz w:val="28"/>
          <w:highlight w:val="none"/>
        </w:rPr>
        <w:t>表</w:t>
      </w:r>
    </w:p>
    <w:p>
      <w:pPr>
        <w:widowControl w:val="0"/>
        <w:spacing w:before="312" w:beforeLines="100" w:after="312" w:afterLines="100"/>
        <w:jc w:val="center"/>
        <w:textAlignment w:val="auto"/>
        <w:rPr>
          <w:rFonts w:hint="eastAsia" w:ascii="宋体" w:hAnsi="宋体" w:eastAsia="宋体" w:cs="宋体"/>
          <w:b/>
          <w:bCs/>
          <w:color w:val="auto"/>
          <w:szCs w:val="21"/>
          <w:highlight w:val="none"/>
          <w:u w:val="single"/>
        </w:rPr>
      </w:pPr>
      <w:r>
        <w:rPr>
          <w:rFonts w:hint="eastAsia" w:ascii="宋体" w:hAnsi="宋体" w:eastAsia="宋体" w:cs="宋体"/>
          <w:b/>
          <w:color w:val="auto"/>
          <w:sz w:val="28"/>
          <w:szCs w:val="28"/>
          <w:highlight w:val="none"/>
        </w:rPr>
        <w:t>磋商报价一览表（第一次）</w:t>
      </w:r>
    </w:p>
    <w:tbl>
      <w:tblPr>
        <w:tblStyle w:val="21"/>
        <w:tblW w:w="0" w:type="auto"/>
        <w:tblInd w:w="1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868"/>
        <w:gridCol w:w="5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4" w:type="dxa"/>
            <w:gridSpan w:val="2"/>
            <w:tcBorders>
              <w:tl2br w:val="nil"/>
              <w:tr2bl w:val="nil"/>
            </w:tcBorders>
            <w:vAlign w:val="center"/>
          </w:tcPr>
          <w:p>
            <w:pPr>
              <w:widowControl w:val="0"/>
              <w:spacing w:line="360" w:lineRule="auto"/>
              <w:jc w:val="both"/>
              <w:rPr>
                <w:rFonts w:hint="eastAsia" w:ascii="宋体" w:hAnsi="宋体" w:eastAsia="宋体" w:cs="宋体"/>
                <w:b/>
                <w:bCs/>
                <w:color w:val="auto"/>
                <w:sz w:val="21"/>
                <w:szCs w:val="21"/>
                <w:highlight w:val="none"/>
                <w:vertAlign w:val="baseline"/>
                <w:lang w:val="en-US"/>
              </w:rPr>
            </w:pPr>
            <w:r>
              <w:rPr>
                <w:rFonts w:hint="eastAsia" w:ascii="宋体" w:hAnsi="宋体" w:eastAsia="宋体" w:cs="宋体"/>
                <w:b/>
                <w:bCs/>
                <w:color w:val="auto"/>
                <w:kern w:val="0"/>
                <w:sz w:val="21"/>
                <w:szCs w:val="21"/>
                <w:highlight w:val="none"/>
                <w:lang w:val="en-US" w:eastAsia="zh-CN" w:bidi="ar"/>
              </w:rPr>
              <w:t>项目名称:</w:t>
            </w:r>
            <w:r>
              <w:rPr>
                <w:rStyle w:val="31"/>
                <w:rFonts w:hint="eastAsia" w:ascii="宋体" w:hAnsi="宋体" w:eastAsia="宋体" w:cs="宋体"/>
                <w:b/>
                <w:bCs/>
                <w:color w:val="auto"/>
                <w:sz w:val="21"/>
                <w:szCs w:val="21"/>
                <w:highlight w:val="none"/>
              </w:rPr>
              <w:t>西安市公安局交通警察支队</w:t>
            </w:r>
            <w:r>
              <w:rPr>
                <w:rStyle w:val="31"/>
                <w:rFonts w:hint="eastAsia" w:ascii="宋体" w:hAnsi="宋体" w:eastAsia="宋体" w:cs="宋体"/>
                <w:b/>
                <w:bCs/>
                <w:color w:val="auto"/>
                <w:sz w:val="21"/>
                <w:szCs w:val="21"/>
                <w:highlight w:val="none"/>
                <w:lang w:eastAsia="zh-CN"/>
              </w:rPr>
              <w:t>政治处辅警健康体检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4" w:type="dxa"/>
            <w:gridSpan w:val="2"/>
            <w:tcBorders>
              <w:tl2br w:val="nil"/>
              <w:tr2bl w:val="nil"/>
            </w:tcBorders>
            <w:vAlign w:val="center"/>
          </w:tcPr>
          <w:p>
            <w:pPr>
              <w:widowControl w:val="0"/>
              <w:spacing w:line="360" w:lineRule="auto"/>
              <w:jc w:val="both"/>
              <w:rPr>
                <w:rFonts w:hint="eastAsia" w:ascii="宋体" w:hAnsi="宋体" w:eastAsia="宋体" w:cs="宋体"/>
                <w:b/>
                <w:bCs/>
                <w:color w:val="auto"/>
                <w:sz w:val="21"/>
                <w:szCs w:val="21"/>
                <w:highlight w:val="none"/>
                <w:vertAlign w:val="baseline"/>
                <w:lang w:val="en-US"/>
              </w:rPr>
            </w:pPr>
            <w:r>
              <w:rPr>
                <w:rFonts w:hint="eastAsia" w:ascii="宋体" w:hAnsi="宋体" w:eastAsia="宋体" w:cs="宋体"/>
                <w:b/>
                <w:bCs/>
                <w:color w:val="auto"/>
                <w:kern w:val="0"/>
                <w:sz w:val="21"/>
                <w:szCs w:val="21"/>
                <w:highlight w:val="none"/>
                <w:lang w:val="en-US" w:eastAsia="zh-CN" w:bidi="ar"/>
              </w:rPr>
              <w:t>项目编号:</w:t>
            </w:r>
            <w:r>
              <w:rPr>
                <w:rFonts w:hint="eastAsia" w:ascii="宋体" w:hAnsi="宋体" w:eastAsia="宋体" w:cs="宋体"/>
                <w:b/>
                <w:bCs/>
                <w:color w:val="auto"/>
                <w:kern w:val="0"/>
                <w:sz w:val="21"/>
                <w:szCs w:val="21"/>
                <w:highlight w:val="none"/>
              </w:rPr>
              <w:t>0617-2</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23FZ</w:t>
            </w:r>
            <w:r>
              <w:rPr>
                <w:rFonts w:hint="eastAsia" w:ascii="宋体" w:hAnsi="宋体" w:eastAsia="宋体" w:cs="宋体"/>
                <w:b/>
                <w:bCs/>
                <w:color w:val="auto"/>
                <w:kern w:val="0"/>
                <w:sz w:val="21"/>
                <w:szCs w:val="21"/>
                <w:highlight w:val="none"/>
                <w:lang w:val="en-US" w:eastAsia="zh-CN"/>
              </w:rPr>
              <w:t>0631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4" w:type="dxa"/>
            <w:gridSpan w:val="2"/>
            <w:tcBorders>
              <w:tl2br w:val="nil"/>
              <w:tr2bl w:val="nil"/>
            </w:tcBorders>
            <w:vAlign w:val="center"/>
          </w:tcPr>
          <w:p>
            <w:pPr>
              <w:widowControl w:val="0"/>
              <w:spacing w:line="360" w:lineRule="auto"/>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供应商名称：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68"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u w:val="none"/>
                <w:lang w:val="en-US" w:eastAsia="zh-CN" w:bidi="ar"/>
              </w:rPr>
              <w:t xml:space="preserve">① </w:t>
            </w:r>
            <w:r>
              <w:rPr>
                <w:rFonts w:hint="eastAsia" w:ascii="宋体" w:hAnsi="宋体" w:eastAsia="宋体" w:cs="宋体"/>
                <w:b/>
                <w:bCs/>
                <w:color w:val="auto"/>
                <w:kern w:val="0"/>
                <w:sz w:val="21"/>
                <w:szCs w:val="21"/>
                <w:highlight w:val="none"/>
                <w:lang w:val="en-US" w:eastAsia="zh-CN" w:bidi="ar"/>
              </w:rPr>
              <w:t>45 岁以下男性</w:t>
            </w:r>
          </w:p>
        </w:tc>
        <w:tc>
          <w:tcPr>
            <w:tcW w:w="5006" w:type="dxa"/>
            <w:tcBorders>
              <w:tl2br w:val="nil"/>
              <w:tr2bl w:val="nil"/>
            </w:tcBorders>
            <w:vAlign w:val="center"/>
          </w:tcPr>
          <w:p>
            <w:pPr>
              <w:widowControl w:val="0"/>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68" w:type="dxa"/>
            <w:tcBorders>
              <w:tl2br w:val="nil"/>
              <w:tr2bl w:val="nil"/>
            </w:tcBorders>
            <w:vAlign w:val="center"/>
          </w:tcPr>
          <w:p>
            <w:pPr>
              <w:keepNext w:val="0"/>
              <w:keepLines w:val="0"/>
              <w:widowControl/>
              <w:suppressLineNumbers w:val="0"/>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u w:val="none"/>
                <w:lang w:val="en-US" w:eastAsia="zh-CN" w:bidi="ar"/>
              </w:rPr>
              <w:t xml:space="preserve">② </w:t>
            </w:r>
            <w:r>
              <w:rPr>
                <w:rFonts w:hint="eastAsia" w:ascii="宋体" w:hAnsi="宋体" w:eastAsia="宋体" w:cs="宋体"/>
                <w:b/>
                <w:bCs/>
                <w:color w:val="auto"/>
                <w:kern w:val="0"/>
                <w:sz w:val="21"/>
                <w:szCs w:val="21"/>
                <w:highlight w:val="none"/>
                <w:lang w:val="en-US" w:eastAsia="zh-CN" w:bidi="ar"/>
              </w:rPr>
              <w:t>45 岁以上男性</w:t>
            </w:r>
          </w:p>
        </w:tc>
        <w:tc>
          <w:tcPr>
            <w:tcW w:w="5006" w:type="dxa"/>
            <w:tcBorders>
              <w:tl2br w:val="nil"/>
              <w:tr2bl w:val="nil"/>
            </w:tcBorders>
            <w:vAlign w:val="center"/>
          </w:tcPr>
          <w:p>
            <w:pPr>
              <w:widowControl w:val="0"/>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68"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u w:val="none"/>
                <w:lang w:val="en-US" w:eastAsia="zh-CN" w:bidi="ar"/>
              </w:rPr>
              <w:t xml:space="preserve">③ </w:t>
            </w:r>
            <w:r>
              <w:rPr>
                <w:rFonts w:hint="eastAsia" w:ascii="宋体" w:hAnsi="宋体" w:eastAsia="宋体" w:cs="宋体"/>
                <w:b/>
                <w:bCs/>
                <w:color w:val="auto"/>
                <w:kern w:val="0"/>
                <w:sz w:val="21"/>
                <w:szCs w:val="21"/>
                <w:highlight w:val="none"/>
                <w:lang w:val="en-US" w:eastAsia="zh-CN" w:bidi="ar"/>
              </w:rPr>
              <w:t>45 岁以下女性</w:t>
            </w:r>
          </w:p>
        </w:tc>
        <w:tc>
          <w:tcPr>
            <w:tcW w:w="5006" w:type="dxa"/>
            <w:tcBorders>
              <w:tl2br w:val="nil"/>
              <w:tr2bl w:val="nil"/>
            </w:tcBorders>
            <w:vAlign w:val="center"/>
          </w:tcPr>
          <w:p>
            <w:pPr>
              <w:widowControl w:val="0"/>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68"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u w:val="none"/>
                <w:lang w:val="en-US" w:eastAsia="zh-CN" w:bidi="ar"/>
              </w:rPr>
              <w:t xml:space="preserve">④ </w:t>
            </w:r>
            <w:r>
              <w:rPr>
                <w:rFonts w:hint="eastAsia" w:ascii="宋体" w:hAnsi="宋体" w:eastAsia="宋体" w:cs="宋体"/>
                <w:b/>
                <w:bCs/>
                <w:color w:val="auto"/>
                <w:kern w:val="0"/>
                <w:sz w:val="21"/>
                <w:szCs w:val="21"/>
                <w:highlight w:val="none"/>
                <w:lang w:val="en-US" w:eastAsia="zh-CN" w:bidi="ar"/>
              </w:rPr>
              <w:t>45 岁以上女性</w:t>
            </w:r>
          </w:p>
        </w:tc>
        <w:tc>
          <w:tcPr>
            <w:tcW w:w="5006" w:type="dxa"/>
            <w:tcBorders>
              <w:tl2br w:val="nil"/>
              <w:tr2bl w:val="nil"/>
            </w:tcBorders>
            <w:vAlign w:val="center"/>
          </w:tcPr>
          <w:p>
            <w:pPr>
              <w:widowControl w:val="0"/>
              <w:spacing w:line="360" w:lineRule="auto"/>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68" w:type="dxa"/>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u w:val="none"/>
                <w:lang w:val="en-US" w:eastAsia="zh-CN" w:bidi="ar"/>
              </w:rPr>
              <w:t xml:space="preserve">⑤ </w:t>
            </w:r>
            <w:r>
              <w:rPr>
                <w:rFonts w:hint="eastAsia" w:ascii="宋体" w:hAnsi="宋体" w:eastAsia="宋体" w:cs="宋体"/>
                <w:b/>
                <w:bCs/>
                <w:color w:val="auto"/>
                <w:kern w:val="0"/>
                <w:sz w:val="21"/>
                <w:szCs w:val="21"/>
                <w:highlight w:val="none"/>
                <w:lang w:val="en-US" w:eastAsia="zh-CN" w:bidi="ar"/>
              </w:rPr>
              <w:t>C13尿素呼气试验</w:t>
            </w:r>
          </w:p>
        </w:tc>
        <w:tc>
          <w:tcPr>
            <w:tcW w:w="5006" w:type="dxa"/>
            <w:tcBorders>
              <w:tl2br w:val="nil"/>
              <w:tr2bl w:val="nil"/>
            </w:tcBorders>
            <w:vAlign w:val="center"/>
          </w:tcPr>
          <w:p>
            <w:pPr>
              <w:widowControl w:val="0"/>
              <w:spacing w:line="360" w:lineRule="auto"/>
              <w:jc w:val="center"/>
              <w:rPr>
                <w:rFonts w:hint="eastAsia" w:ascii="宋体" w:hAnsi="宋体" w:eastAsia="宋体" w:cs="宋体"/>
                <w:b/>
                <w:bCs/>
                <w:color w:val="auto"/>
                <w:kern w:val="0"/>
                <w:sz w:val="21"/>
                <w:szCs w:val="21"/>
                <w:highlight w:val="none"/>
                <w:u w:val="single"/>
                <w:lang w:val="en-US" w:eastAsia="zh-CN" w:bidi="ar"/>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68" w:type="dxa"/>
            <w:tcBorders>
              <w:tl2br w:val="nil"/>
              <w:tr2bl w:val="nil"/>
            </w:tcBorders>
            <w:vAlign w:val="center"/>
          </w:tcPr>
          <w:p>
            <w:pPr>
              <w:widowControl w:val="0"/>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lang w:val="en-US" w:eastAsia="zh-CN" w:bidi="ar"/>
              </w:rPr>
              <w:t>磋商报价</w:t>
            </w:r>
          </w:p>
        </w:tc>
        <w:tc>
          <w:tcPr>
            <w:tcW w:w="5006" w:type="dxa"/>
            <w:tcBorders>
              <w:tl2br w:val="nil"/>
              <w:tr2bl w:val="nil"/>
            </w:tcBorders>
            <w:vAlign w:val="center"/>
          </w:tcPr>
          <w:p>
            <w:pPr>
              <w:widowControl w:val="0"/>
              <w:spacing w:line="360" w:lineRule="auto"/>
              <w:jc w:val="center"/>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u w:val="single"/>
                <w:lang w:val="en-US" w:eastAsia="zh-CN" w:bidi="ar"/>
              </w:rPr>
              <w:t xml:space="preserve">             </w:t>
            </w:r>
            <w:r>
              <w:rPr>
                <w:rFonts w:hint="eastAsia" w:ascii="宋体" w:hAnsi="宋体" w:eastAsia="宋体" w:cs="宋体"/>
                <w:b/>
                <w:bCs/>
                <w:color w:val="auto"/>
                <w:kern w:val="0"/>
                <w:sz w:val="21"/>
                <w:szCs w:val="21"/>
                <w:highlight w:val="none"/>
                <w:lang w:val="en-US" w:eastAsia="zh-CN" w:bidi="ar"/>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4" w:type="dxa"/>
            <w:gridSpan w:val="2"/>
            <w:tcBorders>
              <w:tl2br w:val="nil"/>
              <w:tr2bl w:val="nil"/>
            </w:tcBorders>
            <w:vAlign w:val="center"/>
          </w:tcPr>
          <w:p>
            <w:pPr>
              <w:widowControl w:val="0"/>
              <w:spacing w:line="360" w:lineRule="auto"/>
              <w:jc w:val="both"/>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服务期：</w:t>
            </w:r>
            <w:r>
              <w:rPr>
                <w:rFonts w:hint="eastAsia" w:ascii="宋体" w:hAnsi="宋体" w:eastAsia="宋体" w:cs="宋体"/>
                <w:b/>
                <w:bCs/>
                <w:color w:val="auto"/>
                <w:sz w:val="21"/>
                <w:szCs w:val="21"/>
                <w:highlight w:val="none"/>
              </w:rPr>
              <w:t>按照采购方需求分批体检（自合同签订之日起2月内）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74" w:type="dxa"/>
            <w:gridSpan w:val="2"/>
            <w:tcBorders>
              <w:tl2br w:val="nil"/>
              <w:tr2bl w:val="nil"/>
            </w:tcBorders>
            <w:vAlign w:val="center"/>
          </w:tcPr>
          <w:p>
            <w:pPr>
              <w:widowControl w:val="0"/>
              <w:spacing w:line="360" w:lineRule="auto"/>
              <w:jc w:val="both"/>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r>
    </w:tbl>
    <w:p>
      <w:pPr>
        <w:spacing w:line="360" w:lineRule="auto"/>
        <w:ind w:left="316" w:hanging="316" w:hangingChars="15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报价应包含完成西安市公安局交通警察支队</w:t>
      </w:r>
      <w:r>
        <w:rPr>
          <w:rFonts w:hint="eastAsia" w:ascii="宋体" w:hAnsi="宋体" w:eastAsia="宋体" w:cs="宋体"/>
          <w:b/>
          <w:color w:val="auto"/>
          <w:szCs w:val="21"/>
          <w:highlight w:val="none"/>
          <w:lang w:eastAsia="zh-CN"/>
        </w:rPr>
        <w:t>政治处辅警健康体检</w:t>
      </w:r>
      <w:r>
        <w:rPr>
          <w:rFonts w:hint="eastAsia" w:ascii="宋体" w:hAnsi="宋体" w:eastAsia="宋体" w:cs="宋体"/>
          <w:b/>
          <w:color w:val="auto"/>
          <w:szCs w:val="21"/>
          <w:highlight w:val="none"/>
        </w:rPr>
        <w:t>的全部费用</w:t>
      </w:r>
      <w:r>
        <w:rPr>
          <w:rFonts w:hint="eastAsia" w:ascii="宋体" w:hAnsi="宋体" w:eastAsia="宋体" w:cs="宋体"/>
          <w:b/>
          <w:color w:val="auto"/>
          <w:szCs w:val="21"/>
          <w:highlight w:val="none"/>
          <w:lang w:eastAsia="zh-CN"/>
        </w:rPr>
        <w:t>；</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r>
        <w:rPr>
          <w:rFonts w:hint="eastAsia" w:ascii="宋体" w:hAnsi="宋体" w:eastAsia="宋体" w:cs="宋体"/>
          <w:b/>
          <w:bCs/>
          <w:color w:val="auto"/>
          <w:kern w:val="0"/>
          <w:sz w:val="21"/>
          <w:szCs w:val="21"/>
          <w:highlight w:val="none"/>
          <w:lang w:val="en-US" w:eastAsia="zh-CN" w:bidi="ar"/>
        </w:rPr>
        <w:t>磋商报价=</w:t>
      </w:r>
      <w:r>
        <w:rPr>
          <w:rFonts w:hint="eastAsia" w:ascii="宋体" w:hAnsi="宋体" w:eastAsia="宋体" w:cs="宋体"/>
          <w:b/>
          <w:bCs/>
          <w:color w:val="auto"/>
          <w:kern w:val="0"/>
          <w:sz w:val="21"/>
          <w:szCs w:val="21"/>
          <w:highlight w:val="none"/>
          <w:u w:val="none"/>
          <w:lang w:val="en-US" w:eastAsia="zh-CN" w:bidi="ar"/>
        </w:rPr>
        <w:t>①+②+③+④+⑤单项报价之和，单项报价不得超过各单项的最高限价。</w:t>
      </w:r>
    </w:p>
    <w:p>
      <w:pPr>
        <w:widowControl w:val="0"/>
        <w:spacing w:before="156" w:beforeLines="50" w:after="156" w:afterLines="50" w:line="360" w:lineRule="auto"/>
        <w:ind w:firstLine="218" w:firstLineChars="100"/>
        <w:jc w:val="left"/>
        <w:textAlignment w:val="auto"/>
        <w:rPr>
          <w:rFonts w:hint="eastAsia" w:ascii="宋体" w:hAnsi="宋体" w:eastAsia="宋体" w:cs="宋体"/>
          <w:color w:val="auto"/>
          <w:spacing w:val="4"/>
          <w:szCs w:val="21"/>
          <w:highlight w:val="none"/>
        </w:rPr>
      </w:pP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pStyle w:val="18"/>
        <w:rPr>
          <w:rFonts w:hint="eastAsia" w:ascii="宋体" w:hAnsi="宋体" w:eastAsia="宋体" w:cs="宋体"/>
          <w:color w:val="auto"/>
          <w:highlight w:val="none"/>
        </w:rPr>
      </w:pPr>
    </w:p>
    <w:p>
      <w:pPr>
        <w:widowControl w:val="0"/>
        <w:spacing w:before="312" w:beforeLines="100" w:after="312" w:afterLines="100"/>
        <w:jc w:val="center"/>
        <w:textAlignment w:val="auto"/>
        <w:rPr>
          <w:rFonts w:hint="eastAsia" w:ascii="宋体" w:hAnsi="宋体" w:eastAsia="宋体" w:cs="宋体"/>
          <w:b/>
          <w:color w:val="auto"/>
          <w:sz w:val="30"/>
          <w:szCs w:val="30"/>
          <w:highlight w:val="none"/>
        </w:rPr>
        <w:sectPr>
          <w:headerReference r:id="rId9" w:type="first"/>
          <w:footerReference r:id="rId11" w:type="first"/>
          <w:footerReference r:id="rId10" w:type="default"/>
          <w:pgSz w:w="11906" w:h="16838"/>
          <w:pgMar w:top="1418" w:right="1418" w:bottom="1418"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2" w:afterLines="10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磋商报价分项报价表（第一次）</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096"/>
        <w:gridCol w:w="1096"/>
        <w:gridCol w:w="1903"/>
        <w:gridCol w:w="1903"/>
        <w:gridCol w:w="1903"/>
        <w:gridCol w:w="1903"/>
        <w:gridCol w:w="3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vMerge w:val="restart"/>
            <w:tcBorders>
              <w:tl2br w:val="nil"/>
              <w:tr2bl w:val="nil"/>
            </w:tcBorders>
            <w:vAlign w:val="center"/>
          </w:tcPr>
          <w:p>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序号</w:t>
            </w:r>
          </w:p>
        </w:tc>
        <w:tc>
          <w:tcPr>
            <w:tcW w:w="0" w:type="auto"/>
            <w:vMerge w:val="restart"/>
            <w:tcBorders>
              <w:tl2br w:val="nil"/>
              <w:tr2bl w:val="nil"/>
            </w:tcBorders>
            <w:vAlign w:val="center"/>
          </w:tcPr>
          <w:p>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检查类别</w:t>
            </w:r>
          </w:p>
        </w:tc>
        <w:tc>
          <w:tcPr>
            <w:tcW w:w="0" w:type="auto"/>
            <w:vMerge w:val="restart"/>
            <w:tcBorders>
              <w:tl2br w:val="nil"/>
              <w:tr2bl w:val="nil"/>
            </w:tcBorders>
            <w:vAlign w:val="center"/>
          </w:tcPr>
          <w:p>
            <w:pPr>
              <w:keepNext w:val="0"/>
              <w:keepLines w:val="0"/>
              <w:widowControl/>
              <w:suppressLineNumbers w:val="0"/>
              <w:jc w:val="cente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检查项目</w:t>
            </w:r>
          </w:p>
        </w:tc>
        <w:tc>
          <w:tcPr>
            <w:tcW w:w="10810" w:type="dxa"/>
            <w:gridSpan w:val="5"/>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单价（元）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gridSpan w:val="2"/>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男</w:t>
            </w:r>
          </w:p>
        </w:tc>
        <w:tc>
          <w:tcPr>
            <w:tcW w:w="0" w:type="auto"/>
            <w:gridSpan w:val="2"/>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女</w:t>
            </w:r>
          </w:p>
        </w:tc>
        <w:tc>
          <w:tcPr>
            <w:tcW w:w="3198" w:type="dxa"/>
            <w:vMerge w:val="restart"/>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C13尿素呼气试验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45 岁以下</w:t>
            </w:r>
          </w:p>
        </w:tc>
        <w:tc>
          <w:tcPr>
            <w:tcW w:w="0" w:type="auto"/>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45 岁以上</w:t>
            </w:r>
          </w:p>
        </w:tc>
        <w:tc>
          <w:tcPr>
            <w:tcW w:w="0" w:type="auto"/>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45 岁以下</w:t>
            </w:r>
          </w:p>
        </w:tc>
        <w:tc>
          <w:tcPr>
            <w:tcW w:w="0" w:type="auto"/>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45 岁以上</w:t>
            </w:r>
          </w:p>
        </w:tc>
        <w:tc>
          <w:tcPr>
            <w:tcW w:w="3198" w:type="dxa"/>
            <w:vMerge w:val="continue"/>
            <w:tcBorders>
              <w:tl2br w:val="nil"/>
              <w:tr2bl w:val="nil"/>
            </w:tcBorders>
            <w:vAlign w:val="center"/>
          </w:tcPr>
          <w:p>
            <w:pPr>
              <w:keepNext w:val="0"/>
              <w:keepLines w:val="0"/>
              <w:widowControl/>
              <w:suppressLineNumbers w:val="0"/>
              <w:jc w:val="center"/>
              <w:rPr>
                <w:rFonts w:hint="eastAsia" w:ascii="宋体" w:hAnsi="宋体" w:eastAsia="宋体" w:cs="宋体"/>
                <w:b/>
                <w:bCs/>
                <w:color w:val="auto"/>
                <w:kern w:val="0"/>
                <w:sz w:val="21"/>
                <w:szCs w:val="21"/>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3198" w:type="dxa"/>
            <w:vMerge w:val="restart"/>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⑤     </w:t>
            </w:r>
            <w:r>
              <w:rPr>
                <w:rFonts w:hint="eastAsia" w:ascii="宋体" w:hAnsi="宋体" w:eastAsia="宋体" w:cs="宋体"/>
                <w:b/>
                <w:bCs/>
                <w:color w:val="auto"/>
                <w:kern w:val="0"/>
                <w:sz w:val="21"/>
                <w:szCs w:val="21"/>
                <w:highlight w:val="none"/>
                <w:lang w:val="en-US" w:eastAsia="zh-CN" w:bidi="ar"/>
              </w:rPr>
              <w:t>（元/人）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c>
          <w:tcPr>
            <w:tcW w:w="3198" w:type="dxa"/>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0" w:type="auto"/>
            <w:gridSpan w:val="3"/>
            <w:tcBorders>
              <w:tl2br w:val="nil"/>
              <w:tr2bl w:val="nil"/>
            </w:tcBorders>
            <w:vAlign w:val="center"/>
          </w:tcPr>
          <w:p>
            <w:pPr>
              <w:keepNext w:val="0"/>
              <w:keepLines w:val="0"/>
              <w:widowControl/>
              <w:suppressLineNumbers w:val="0"/>
              <w:spacing w:before="156" w:beforeLines="50" w:after="156" w:afterLines="50" w:line="36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单人服务报价合计（元/人）</w:t>
            </w: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①     </w:t>
            </w:r>
            <w:r>
              <w:rPr>
                <w:rFonts w:hint="eastAsia" w:ascii="宋体" w:hAnsi="宋体" w:eastAsia="宋体" w:cs="宋体"/>
                <w:b/>
                <w:bCs/>
                <w:color w:val="auto"/>
                <w:kern w:val="0"/>
                <w:sz w:val="21"/>
                <w:szCs w:val="21"/>
                <w:highlight w:val="none"/>
                <w:lang w:val="en-US" w:eastAsia="zh-CN" w:bidi="ar"/>
              </w:rPr>
              <w:t>（元/人）</w:t>
            </w: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②     </w:t>
            </w:r>
            <w:r>
              <w:rPr>
                <w:rFonts w:hint="eastAsia" w:ascii="宋体" w:hAnsi="宋体" w:eastAsia="宋体" w:cs="宋体"/>
                <w:b/>
                <w:bCs/>
                <w:color w:val="auto"/>
                <w:kern w:val="0"/>
                <w:sz w:val="21"/>
                <w:szCs w:val="21"/>
                <w:highlight w:val="none"/>
                <w:lang w:val="en-US" w:eastAsia="zh-CN" w:bidi="ar"/>
              </w:rPr>
              <w:t>（元/人）</w:t>
            </w: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③     </w:t>
            </w:r>
            <w:r>
              <w:rPr>
                <w:rFonts w:hint="eastAsia" w:ascii="宋体" w:hAnsi="宋体" w:eastAsia="宋体" w:cs="宋体"/>
                <w:b/>
                <w:bCs/>
                <w:color w:val="auto"/>
                <w:kern w:val="0"/>
                <w:sz w:val="21"/>
                <w:szCs w:val="21"/>
                <w:highlight w:val="none"/>
                <w:lang w:val="en-US" w:eastAsia="zh-CN" w:bidi="ar"/>
              </w:rPr>
              <w:t>（元/人）</w:t>
            </w:r>
          </w:p>
        </w:tc>
        <w:tc>
          <w:tcPr>
            <w:tcW w:w="0" w:type="auto"/>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kern w:val="0"/>
                <w:sz w:val="21"/>
                <w:szCs w:val="21"/>
                <w:highlight w:val="none"/>
                <w:u w:val="single"/>
                <w:lang w:val="en-US" w:eastAsia="zh-CN" w:bidi="ar"/>
              </w:rPr>
              <w:t xml:space="preserve">④     </w:t>
            </w:r>
            <w:r>
              <w:rPr>
                <w:rFonts w:hint="eastAsia" w:ascii="宋体" w:hAnsi="宋体" w:eastAsia="宋体" w:cs="宋体"/>
                <w:b/>
                <w:bCs/>
                <w:color w:val="auto"/>
                <w:kern w:val="0"/>
                <w:sz w:val="21"/>
                <w:szCs w:val="21"/>
                <w:highlight w:val="none"/>
                <w:lang w:val="en-US" w:eastAsia="zh-CN" w:bidi="ar"/>
              </w:rPr>
              <w:t>（元/人）</w:t>
            </w:r>
          </w:p>
        </w:tc>
        <w:tc>
          <w:tcPr>
            <w:tcW w:w="3198" w:type="dxa"/>
            <w:vMerge w:val="continue"/>
            <w:tcBorders>
              <w:tl2br w:val="nil"/>
              <w:tr2bl w:val="nil"/>
            </w:tcBorders>
            <w:vAlign w:val="center"/>
          </w:tcPr>
          <w:p>
            <w:pPr>
              <w:widowControl w:val="0"/>
              <w:spacing w:before="156" w:beforeLines="50" w:after="156" w:afterLines="50" w:line="360" w:lineRule="auto"/>
              <w:jc w:val="center"/>
              <w:textAlignment w:val="auto"/>
              <w:rPr>
                <w:rFonts w:hint="eastAsia" w:ascii="宋体" w:hAnsi="宋体" w:eastAsia="宋体" w:cs="宋体"/>
                <w:color w:val="auto"/>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0" w:type="auto"/>
            <w:gridSpan w:val="3"/>
            <w:tcBorders>
              <w:tl2br w:val="nil"/>
              <w:tr2bl w:val="nil"/>
            </w:tcBorders>
            <w:vAlign w:val="center"/>
          </w:tcPr>
          <w:p>
            <w:pPr>
              <w:keepNext w:val="0"/>
              <w:keepLines w:val="0"/>
              <w:widowControl/>
              <w:suppressLineNumbers w:val="0"/>
              <w:spacing w:before="156" w:beforeLines="50" w:after="156" w:afterLines="50" w:line="360" w:lineRule="auto"/>
              <w:jc w:val="center"/>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磋商报价（单价总和）</w:t>
            </w:r>
          </w:p>
        </w:tc>
        <w:tc>
          <w:tcPr>
            <w:tcW w:w="10810" w:type="dxa"/>
            <w:gridSpan w:val="5"/>
            <w:tcBorders>
              <w:tl2br w:val="nil"/>
              <w:tr2bl w:val="nil"/>
            </w:tcBorders>
            <w:vAlign w:val="center"/>
          </w:tcPr>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小写：</w:t>
            </w:r>
          </w:p>
          <w:p>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大写：</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baseline"/>
        <w:rPr>
          <w:rFonts w:hint="eastAsia" w:ascii="宋体" w:hAnsi="宋体" w:eastAsia="宋体" w:cs="宋体"/>
          <w:b/>
          <w:bCs/>
          <w:color w:val="auto"/>
          <w:highlight w:val="none"/>
        </w:rPr>
      </w:pPr>
      <w:r>
        <w:rPr>
          <w:rFonts w:hint="eastAsia" w:ascii="宋体" w:hAnsi="宋体" w:eastAsia="宋体" w:cs="宋体"/>
          <w:b/>
          <w:bCs/>
          <w:color w:val="auto"/>
          <w:kern w:val="0"/>
          <w:sz w:val="20"/>
          <w:szCs w:val="20"/>
          <w:highlight w:val="none"/>
          <w:lang w:val="en-US" w:eastAsia="zh-CN" w:bidi="ar"/>
        </w:rPr>
        <w:t>注：1.供应商结合行业实际情况并自行考虑服务过程中可能会发生的一切收费费用，不得要求采购人在收费内容之外支付其它任何费用，否则费用由供应商自行承担。2.单人服务报价合计应为各体检项目报价之和，</w:t>
      </w:r>
      <w:r>
        <w:rPr>
          <w:rFonts w:hint="eastAsia" w:ascii="宋体" w:hAnsi="宋体" w:eastAsia="宋体" w:cs="宋体"/>
          <w:b/>
          <w:bCs/>
          <w:color w:val="auto"/>
          <w:kern w:val="0"/>
          <w:sz w:val="21"/>
          <w:szCs w:val="21"/>
          <w:highlight w:val="none"/>
          <w:lang w:val="en-US" w:eastAsia="zh-CN" w:bidi="ar"/>
        </w:rPr>
        <w:t>磋商报价（单价总和）=</w:t>
      </w:r>
      <w:r>
        <w:rPr>
          <w:rFonts w:hint="eastAsia" w:ascii="宋体" w:hAnsi="宋体" w:eastAsia="宋体" w:cs="宋体"/>
          <w:b/>
          <w:bCs/>
          <w:color w:val="auto"/>
          <w:kern w:val="0"/>
          <w:sz w:val="21"/>
          <w:szCs w:val="21"/>
          <w:highlight w:val="none"/>
          <w:u w:val="none"/>
          <w:lang w:val="en-US" w:eastAsia="zh-CN" w:bidi="ar"/>
        </w:rPr>
        <w:t>①+②+③+④+⑤报价之和</w:t>
      </w:r>
      <w:r>
        <w:rPr>
          <w:rFonts w:hint="eastAsia" w:ascii="宋体" w:hAnsi="宋体" w:eastAsia="宋体" w:cs="宋体"/>
          <w:b/>
          <w:bCs/>
          <w:color w:val="auto"/>
          <w:kern w:val="0"/>
          <w:sz w:val="20"/>
          <w:szCs w:val="20"/>
          <w:highlight w:val="none"/>
          <w:lang w:val="en-US" w:eastAsia="zh-CN" w:bidi="ar"/>
        </w:rPr>
        <w:t>，最终合同支付金额按照实际参加体检人数*相对应的中标单价确定，据实结算，但不得超过采购预算。3.报价表格式仅供参考，表格不够，各投标单位可按此表复制。</w:t>
      </w: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法定代表人或</w:t>
      </w:r>
      <w:r>
        <w:rPr>
          <w:rFonts w:hint="eastAsia" w:ascii="宋体" w:hAnsi="宋体" w:eastAsia="宋体" w:cs="宋体"/>
          <w:color w:val="auto"/>
          <w:kern w:val="0"/>
          <w:szCs w:val="21"/>
          <w:highlight w:val="none"/>
        </w:rPr>
        <w:t>授权代表</w:t>
      </w:r>
      <w:r>
        <w:rPr>
          <w:rFonts w:hint="eastAsia" w:ascii="宋体" w:hAnsi="宋体" w:eastAsia="宋体" w:cs="宋体"/>
          <w:color w:val="auto"/>
          <w:spacing w:val="4"/>
          <w:szCs w:val="21"/>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idowControl w:val="0"/>
        <w:spacing w:before="156" w:beforeLines="50" w:after="156" w:afterLines="50"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pPr>
        <w:spacing w:before="156" w:beforeLines="50" w:line="360" w:lineRule="auto"/>
        <w:jc w:val="both"/>
        <w:outlineLvl w:val="1"/>
        <w:rPr>
          <w:rFonts w:hint="eastAsia" w:ascii="宋体" w:hAnsi="宋体" w:eastAsia="宋体" w:cs="宋体"/>
          <w:b/>
          <w:color w:val="auto"/>
          <w:sz w:val="28"/>
          <w:highlight w:val="none"/>
        </w:rPr>
      </w:pPr>
    </w:p>
    <w:p>
      <w:pPr>
        <w:pStyle w:val="18"/>
        <w:rPr>
          <w:rFonts w:hint="eastAsia" w:ascii="宋体" w:hAnsi="宋体" w:eastAsia="宋体" w:cs="宋体"/>
          <w:color w:val="auto"/>
          <w:highlight w:val="none"/>
        </w:rPr>
        <w:sectPr>
          <w:pgSz w:w="16838" w:h="11906" w:orient="landscape"/>
          <w:pgMar w:top="1588" w:right="1418" w:bottom="1418"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after="313" w:afterLines="100" w:line="360" w:lineRule="auto"/>
        <w:jc w:val="center"/>
        <w:textAlignment w:val="baseline"/>
        <w:outlineLvl w:val="1"/>
        <w:rPr>
          <w:rFonts w:hint="eastAsia" w:ascii="宋体" w:hAnsi="宋体" w:eastAsia="宋体" w:cs="宋体"/>
          <w:b/>
          <w:bCs/>
          <w:color w:val="auto"/>
          <w:sz w:val="32"/>
          <w:szCs w:val="32"/>
          <w:highlight w:val="none"/>
        </w:rPr>
      </w:pPr>
      <w:r>
        <w:rPr>
          <w:rFonts w:hint="eastAsia" w:ascii="宋体" w:hAnsi="宋体" w:eastAsia="宋体" w:cs="宋体"/>
          <w:b/>
          <w:color w:val="auto"/>
          <w:sz w:val="28"/>
          <w:highlight w:val="none"/>
        </w:rPr>
        <w:t>三、</w:t>
      </w:r>
      <w:r>
        <w:rPr>
          <w:rFonts w:hint="eastAsia" w:ascii="宋体" w:hAnsi="宋体" w:eastAsia="宋体" w:cs="宋体"/>
          <w:b/>
          <w:color w:val="auto"/>
          <w:spacing w:val="4"/>
          <w:sz w:val="28"/>
          <w:szCs w:val="28"/>
          <w:highlight w:val="none"/>
        </w:rPr>
        <w:t>磋商报价方案说明书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31"/>
          <w:rFonts w:hint="eastAsia" w:ascii="宋体" w:hAnsi="宋体" w:eastAsia="宋体" w:cs="宋体"/>
          <w:b/>
          <w:bCs/>
          <w:color w:val="auto"/>
          <w:sz w:val="21"/>
          <w:szCs w:val="21"/>
          <w:highlight w:val="none"/>
        </w:rPr>
      </w:pPr>
      <w:r>
        <w:rPr>
          <w:rFonts w:hint="eastAsia" w:ascii="宋体" w:hAnsi="宋体" w:eastAsia="宋体" w:cs="宋体"/>
          <w:b/>
          <w:bCs/>
          <w:color w:val="auto"/>
          <w:szCs w:val="21"/>
          <w:highlight w:val="none"/>
        </w:rPr>
        <w:t>按照磋商文件的要求编制报价方案说明书，</w:t>
      </w:r>
      <w:r>
        <w:rPr>
          <w:rStyle w:val="31"/>
          <w:rFonts w:hint="eastAsia" w:ascii="宋体" w:hAnsi="宋体" w:eastAsia="宋体" w:cs="宋体"/>
          <w:b/>
          <w:bCs/>
          <w:color w:val="auto"/>
          <w:sz w:val="21"/>
          <w:szCs w:val="21"/>
          <w:highlight w:val="none"/>
        </w:rPr>
        <w:t>至少应包括如下：</w:t>
      </w:r>
    </w:p>
    <w:p>
      <w:pPr>
        <w:keepNext w:val="0"/>
        <w:keepLines w:val="0"/>
        <w:pageBreakBefore w:val="0"/>
        <w:widowControl/>
        <w:kinsoku/>
        <w:wordWrap/>
        <w:overflowPunct/>
        <w:topLinePunct w:val="0"/>
        <w:autoSpaceDE/>
        <w:autoSpaceDN/>
        <w:bidi w:val="0"/>
        <w:adjustRightInd/>
        <w:snapToGrid/>
        <w:spacing w:before="157" w:beforeLines="50" w:line="360" w:lineRule="auto"/>
        <w:ind w:firstLine="843" w:firstLineChars="4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1）技术响应证明文件</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kern w:val="0"/>
          <w:szCs w:val="21"/>
          <w:highlight w:val="none"/>
          <w:lang w:val="en-US" w:eastAsia="zh-CN"/>
        </w:rPr>
        <w:t>服务方案</w:t>
      </w:r>
      <w:r>
        <w:rPr>
          <w:rFonts w:hint="eastAsia" w:ascii="宋体" w:hAnsi="宋体" w:eastAsia="宋体" w:cs="宋体"/>
          <w:color w:val="auto"/>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kern w:val="0"/>
          <w:szCs w:val="21"/>
          <w:highlight w:val="none"/>
          <w:lang w:val="en-US" w:eastAsia="zh-CN"/>
        </w:rPr>
        <w:t>体检信息系统；</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1.3配套服务；</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1.4服务器械设施；</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1.5人员配备；</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1.6应急响应方案；</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both"/>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1.7服务承诺及建议；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843" w:firstLineChars="4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2）商务响应文件</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业绩</w:t>
      </w:r>
      <w:r>
        <w:rPr>
          <w:rFonts w:hint="eastAsia" w:ascii="宋体" w:hAnsi="宋体" w:eastAsia="宋体" w:cs="宋体"/>
          <w:color w:val="auto"/>
          <w:szCs w:val="21"/>
          <w:highlight w:val="none"/>
          <w:lang w:eastAsia="zh-CN"/>
        </w:rPr>
        <w:t>；</w:t>
      </w:r>
    </w:p>
    <w:p>
      <w:pPr>
        <w:pStyle w:val="15"/>
        <w:keepNext w:val="0"/>
        <w:keepLines w:val="0"/>
        <w:pageBreakBefore w:val="0"/>
        <w:widowControl/>
        <w:kinsoku/>
        <w:wordWrap/>
        <w:overflowPunct/>
        <w:topLinePunct w:val="0"/>
        <w:autoSpaceDE/>
        <w:autoSpaceDN/>
        <w:bidi w:val="0"/>
        <w:adjustRightInd/>
        <w:snapToGrid/>
        <w:spacing w:before="625" w:beforeLines="200" w:line="360" w:lineRule="auto"/>
        <w:ind w:firstLine="422" w:firstLineChars="200"/>
        <w:textAlignment w:val="baseline"/>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说明：后附部分内容参考格式，其他内容供应商自行编制。</w:t>
      </w:r>
    </w:p>
    <w:p>
      <w:pPr>
        <w:pStyle w:val="15"/>
        <w:keepNext w:val="0"/>
        <w:keepLines w:val="0"/>
        <w:pageBreakBefore w:val="0"/>
        <w:widowControl/>
        <w:kinsoku/>
        <w:wordWrap/>
        <w:overflowPunct/>
        <w:topLinePunct w:val="0"/>
        <w:autoSpaceDE/>
        <w:autoSpaceDN/>
        <w:bidi w:val="0"/>
        <w:adjustRightInd/>
        <w:snapToGrid/>
        <w:spacing w:line="360" w:lineRule="auto"/>
        <w:ind w:firstLine="36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val="0"/>
        <w:spacing w:line="360" w:lineRule="auto"/>
        <w:textAlignment w:val="auto"/>
        <w:outlineLvl w:val="0"/>
        <w:rPr>
          <w:rFonts w:hint="eastAsia" w:ascii="宋体" w:hAnsi="宋体" w:eastAsia="宋体" w:cs="宋体"/>
          <w:color w:val="auto"/>
          <w:sz w:val="24"/>
          <w:szCs w:val="24"/>
          <w:highlight w:val="none"/>
        </w:rPr>
      </w:pPr>
      <w:bookmarkStart w:id="77" w:name="_Toc16226"/>
      <w:bookmarkStart w:id="78" w:name="_Toc3534"/>
      <w:r>
        <w:rPr>
          <w:rFonts w:hint="eastAsia" w:ascii="宋体" w:hAnsi="宋体" w:eastAsia="宋体" w:cs="宋体"/>
          <w:b/>
          <w:color w:val="auto"/>
          <w:sz w:val="24"/>
          <w:szCs w:val="24"/>
          <w:highlight w:val="none"/>
        </w:rPr>
        <w:t>附件：格式</w:t>
      </w:r>
      <w:bookmarkEnd w:id="77"/>
      <w:bookmarkEnd w:id="78"/>
    </w:p>
    <w:p>
      <w:pPr>
        <w:widowControl w:val="0"/>
        <w:spacing w:before="312" w:beforeLines="100" w:after="312" w:afterLines="10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商务偏离表</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供应商名称：</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 xml:space="preserve">              项目编号：</w:t>
      </w:r>
      <w:r>
        <w:rPr>
          <w:rFonts w:hint="eastAsia" w:ascii="宋体" w:hAnsi="宋体" w:eastAsia="宋体" w:cs="宋体"/>
          <w:b/>
          <w:bCs/>
          <w:color w:val="auto"/>
          <w:szCs w:val="21"/>
          <w:highlight w:val="none"/>
          <w:u w:val="single"/>
        </w:rPr>
        <w:t xml:space="preserve">                     </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94"/>
        <w:gridCol w:w="3134"/>
        <w:gridCol w:w="2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794"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磋商文件章节及条款号</w:t>
            </w:r>
          </w:p>
        </w:tc>
        <w:tc>
          <w:tcPr>
            <w:tcW w:w="3134"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磋商响应文件章节及条款号</w:t>
            </w:r>
          </w:p>
        </w:tc>
        <w:tc>
          <w:tcPr>
            <w:tcW w:w="2014"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794" w:type="dxa"/>
          </w:tcPr>
          <w:p>
            <w:pPr>
              <w:spacing w:line="440" w:lineRule="exact"/>
              <w:rPr>
                <w:rFonts w:hint="eastAsia" w:ascii="宋体" w:hAnsi="宋体" w:eastAsia="宋体" w:cs="宋体"/>
                <w:b/>
                <w:color w:val="auto"/>
                <w:sz w:val="32"/>
                <w:highlight w:val="none"/>
              </w:rPr>
            </w:pPr>
          </w:p>
        </w:tc>
        <w:tc>
          <w:tcPr>
            <w:tcW w:w="3134" w:type="dxa"/>
          </w:tcPr>
          <w:p>
            <w:pPr>
              <w:spacing w:line="440" w:lineRule="exact"/>
              <w:rPr>
                <w:rFonts w:hint="eastAsia" w:ascii="宋体" w:hAnsi="宋体" w:eastAsia="宋体" w:cs="宋体"/>
                <w:b/>
                <w:color w:val="auto"/>
                <w:sz w:val="32"/>
                <w:highlight w:val="none"/>
              </w:rPr>
            </w:pPr>
          </w:p>
        </w:tc>
        <w:tc>
          <w:tcPr>
            <w:tcW w:w="2014"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794" w:type="dxa"/>
          </w:tcPr>
          <w:p>
            <w:pPr>
              <w:spacing w:line="440" w:lineRule="exact"/>
              <w:rPr>
                <w:rFonts w:hint="eastAsia" w:ascii="宋体" w:hAnsi="宋体" w:eastAsia="宋体" w:cs="宋体"/>
                <w:b/>
                <w:color w:val="auto"/>
                <w:sz w:val="32"/>
                <w:highlight w:val="none"/>
              </w:rPr>
            </w:pPr>
          </w:p>
        </w:tc>
        <w:tc>
          <w:tcPr>
            <w:tcW w:w="3134" w:type="dxa"/>
          </w:tcPr>
          <w:p>
            <w:pPr>
              <w:spacing w:line="440" w:lineRule="exact"/>
              <w:rPr>
                <w:rFonts w:hint="eastAsia" w:ascii="宋体" w:hAnsi="宋体" w:eastAsia="宋体" w:cs="宋体"/>
                <w:b/>
                <w:color w:val="auto"/>
                <w:sz w:val="32"/>
                <w:highlight w:val="none"/>
              </w:rPr>
            </w:pPr>
          </w:p>
        </w:tc>
        <w:tc>
          <w:tcPr>
            <w:tcW w:w="2014"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794" w:type="dxa"/>
          </w:tcPr>
          <w:p>
            <w:pPr>
              <w:spacing w:line="440" w:lineRule="exact"/>
              <w:rPr>
                <w:rFonts w:hint="eastAsia" w:ascii="宋体" w:hAnsi="宋体" w:eastAsia="宋体" w:cs="宋体"/>
                <w:b/>
                <w:color w:val="auto"/>
                <w:sz w:val="32"/>
                <w:highlight w:val="none"/>
              </w:rPr>
            </w:pPr>
          </w:p>
        </w:tc>
        <w:tc>
          <w:tcPr>
            <w:tcW w:w="3134" w:type="dxa"/>
          </w:tcPr>
          <w:p>
            <w:pPr>
              <w:spacing w:line="440" w:lineRule="exact"/>
              <w:rPr>
                <w:rFonts w:hint="eastAsia" w:ascii="宋体" w:hAnsi="宋体" w:eastAsia="宋体" w:cs="宋体"/>
                <w:b/>
                <w:color w:val="auto"/>
                <w:sz w:val="32"/>
                <w:highlight w:val="none"/>
              </w:rPr>
            </w:pPr>
          </w:p>
        </w:tc>
        <w:tc>
          <w:tcPr>
            <w:tcW w:w="2014"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2794" w:type="dxa"/>
          </w:tcPr>
          <w:p>
            <w:pPr>
              <w:spacing w:line="440" w:lineRule="exact"/>
              <w:rPr>
                <w:rFonts w:hint="eastAsia" w:ascii="宋体" w:hAnsi="宋体" w:eastAsia="宋体" w:cs="宋体"/>
                <w:b/>
                <w:color w:val="auto"/>
                <w:sz w:val="32"/>
                <w:highlight w:val="none"/>
              </w:rPr>
            </w:pPr>
          </w:p>
        </w:tc>
        <w:tc>
          <w:tcPr>
            <w:tcW w:w="3134" w:type="dxa"/>
          </w:tcPr>
          <w:p>
            <w:pPr>
              <w:spacing w:line="440" w:lineRule="exact"/>
              <w:rPr>
                <w:rFonts w:hint="eastAsia" w:ascii="宋体" w:hAnsi="宋体" w:eastAsia="宋体" w:cs="宋体"/>
                <w:b/>
                <w:color w:val="auto"/>
                <w:sz w:val="32"/>
                <w:highlight w:val="none"/>
              </w:rPr>
            </w:pPr>
          </w:p>
        </w:tc>
        <w:tc>
          <w:tcPr>
            <w:tcW w:w="2014"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2794" w:type="dxa"/>
          </w:tcPr>
          <w:p>
            <w:pPr>
              <w:spacing w:line="440" w:lineRule="exact"/>
              <w:rPr>
                <w:rFonts w:hint="eastAsia" w:ascii="宋体" w:hAnsi="宋体" w:eastAsia="宋体" w:cs="宋体"/>
                <w:b/>
                <w:color w:val="auto"/>
                <w:sz w:val="32"/>
                <w:highlight w:val="none"/>
              </w:rPr>
            </w:pPr>
          </w:p>
        </w:tc>
        <w:tc>
          <w:tcPr>
            <w:tcW w:w="3134" w:type="dxa"/>
          </w:tcPr>
          <w:p>
            <w:pPr>
              <w:spacing w:line="440" w:lineRule="exact"/>
              <w:rPr>
                <w:rFonts w:hint="eastAsia" w:ascii="宋体" w:hAnsi="宋体" w:eastAsia="宋体" w:cs="宋体"/>
                <w:b/>
                <w:color w:val="auto"/>
                <w:sz w:val="32"/>
                <w:highlight w:val="none"/>
              </w:rPr>
            </w:pPr>
          </w:p>
        </w:tc>
        <w:tc>
          <w:tcPr>
            <w:tcW w:w="2014"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tcBorders>
              <w:bottom w:val="single" w:color="auto" w:sz="12" w:space="0"/>
            </w:tcBorders>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794" w:type="dxa"/>
            <w:tcBorders>
              <w:bottom w:val="single" w:color="auto" w:sz="12" w:space="0"/>
            </w:tcBorders>
          </w:tcPr>
          <w:p>
            <w:pPr>
              <w:spacing w:line="440" w:lineRule="exact"/>
              <w:rPr>
                <w:rFonts w:hint="eastAsia" w:ascii="宋体" w:hAnsi="宋体" w:eastAsia="宋体" w:cs="宋体"/>
                <w:b/>
                <w:color w:val="auto"/>
                <w:sz w:val="32"/>
                <w:highlight w:val="none"/>
              </w:rPr>
            </w:pPr>
          </w:p>
        </w:tc>
        <w:tc>
          <w:tcPr>
            <w:tcW w:w="3134" w:type="dxa"/>
            <w:tcBorders>
              <w:bottom w:val="single" w:color="auto" w:sz="12" w:space="0"/>
            </w:tcBorders>
          </w:tcPr>
          <w:p>
            <w:pPr>
              <w:spacing w:line="440" w:lineRule="exact"/>
              <w:rPr>
                <w:rFonts w:hint="eastAsia" w:ascii="宋体" w:hAnsi="宋体" w:eastAsia="宋体" w:cs="宋体"/>
                <w:b/>
                <w:color w:val="auto"/>
                <w:sz w:val="32"/>
                <w:highlight w:val="none"/>
              </w:rPr>
            </w:pPr>
          </w:p>
        </w:tc>
        <w:tc>
          <w:tcPr>
            <w:tcW w:w="2014" w:type="dxa"/>
            <w:tcBorders>
              <w:bottom w:val="single" w:color="auto" w:sz="12" w:space="0"/>
            </w:tcBorders>
          </w:tcPr>
          <w:p>
            <w:pPr>
              <w:spacing w:line="440" w:lineRule="exact"/>
              <w:rPr>
                <w:rFonts w:hint="eastAsia" w:ascii="宋体" w:hAnsi="宋体" w:eastAsia="宋体" w:cs="宋体"/>
                <w:b/>
                <w:color w:val="auto"/>
                <w:sz w:val="32"/>
                <w:highlight w:val="none"/>
              </w:rPr>
            </w:pPr>
          </w:p>
        </w:tc>
      </w:tr>
    </w:tbl>
    <w:p>
      <w:pPr>
        <w:snapToGrid w:val="0"/>
        <w:spacing w:line="500" w:lineRule="exact"/>
        <w:ind w:firstLine="211" w:firstLineChars="100"/>
        <w:outlineLvl w:val="0"/>
        <w:rPr>
          <w:rFonts w:hint="eastAsia" w:ascii="宋体" w:hAnsi="宋体" w:eastAsia="宋体" w:cs="宋体"/>
          <w:b/>
          <w:bCs/>
          <w:color w:val="auto"/>
          <w:highlight w:val="none"/>
        </w:rPr>
      </w:pPr>
      <w:bookmarkStart w:id="79" w:name="_Toc3258"/>
      <w:bookmarkStart w:id="80" w:name="_Toc2569"/>
      <w:r>
        <w:rPr>
          <w:rFonts w:hint="eastAsia" w:ascii="宋体" w:hAnsi="宋体" w:eastAsia="宋体" w:cs="宋体"/>
          <w:b/>
          <w:bCs/>
          <w:color w:val="auto"/>
          <w:highlight w:val="none"/>
        </w:rPr>
        <w:t>供应商保证：除商务偏离表列出的偏差外，供应商响应磋商文件的全部商务要求。</w:t>
      </w:r>
      <w:bookmarkEnd w:id="79"/>
      <w:bookmarkEnd w:id="80"/>
    </w:p>
    <w:p>
      <w:pPr>
        <w:spacing w:after="120"/>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81" w:name="_Toc6543"/>
      <w:bookmarkStart w:id="82" w:name="_Toc12735"/>
      <w:r>
        <w:rPr>
          <w:rFonts w:hint="eastAsia" w:ascii="宋体" w:hAnsi="宋体" w:eastAsia="宋体" w:cs="宋体"/>
          <w:b/>
          <w:color w:val="auto"/>
          <w:sz w:val="24"/>
          <w:szCs w:val="24"/>
          <w:highlight w:val="none"/>
        </w:rPr>
        <w:t>附件：格式</w:t>
      </w:r>
      <w:bookmarkEnd w:id="81"/>
      <w:bookmarkEnd w:id="82"/>
    </w:p>
    <w:p>
      <w:pPr>
        <w:widowControl w:val="0"/>
        <w:spacing w:before="312" w:beforeLines="100" w:after="312" w:afterLines="10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服务要求偏离表</w:t>
      </w:r>
    </w:p>
    <w:p>
      <w:pPr>
        <w:pStyle w:val="2"/>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baseline"/>
        <w:rPr>
          <w:rFonts w:hint="eastAsia" w:ascii="宋体" w:hAnsi="宋体" w:eastAsia="宋体" w:cs="宋体"/>
          <w:color w:val="auto"/>
          <w:highlight w:val="none"/>
        </w:rPr>
      </w:pPr>
      <w:r>
        <w:rPr>
          <w:rFonts w:hint="eastAsia" w:ascii="宋体" w:hAnsi="宋体" w:eastAsia="宋体" w:cs="宋体"/>
          <w:b/>
          <w:bCs/>
          <w:color w:val="auto"/>
          <w:szCs w:val="21"/>
          <w:highlight w:val="none"/>
        </w:rPr>
        <w:t>供应商名称：</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 xml:space="preserve">             项目编号：</w:t>
      </w:r>
      <w:r>
        <w:rPr>
          <w:rFonts w:hint="eastAsia" w:ascii="宋体" w:hAnsi="宋体" w:eastAsia="宋体" w:cs="宋体"/>
          <w:b/>
          <w:bCs/>
          <w:color w:val="auto"/>
          <w:szCs w:val="21"/>
          <w:highlight w:val="none"/>
          <w:u w:val="single"/>
        </w:rPr>
        <w:t xml:space="preserve">                     </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25"/>
        <w:gridCol w:w="2988"/>
        <w:gridCol w:w="17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725"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磋商文件章节及条款号</w:t>
            </w:r>
          </w:p>
        </w:tc>
        <w:tc>
          <w:tcPr>
            <w:tcW w:w="2988"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磋商响应文件章节及条款号</w:t>
            </w:r>
          </w:p>
        </w:tc>
        <w:tc>
          <w:tcPr>
            <w:tcW w:w="1700" w:type="dxa"/>
            <w:tcBorders>
              <w:top w:val="single" w:color="auto" w:sz="12" w:space="0"/>
            </w:tcBorders>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725" w:type="dxa"/>
          </w:tcPr>
          <w:p>
            <w:pPr>
              <w:spacing w:line="440" w:lineRule="exact"/>
              <w:rPr>
                <w:rFonts w:hint="eastAsia" w:ascii="宋体" w:hAnsi="宋体" w:eastAsia="宋体" w:cs="宋体"/>
                <w:b/>
                <w:color w:val="auto"/>
                <w:sz w:val="32"/>
                <w:highlight w:val="none"/>
              </w:rPr>
            </w:pPr>
          </w:p>
        </w:tc>
        <w:tc>
          <w:tcPr>
            <w:tcW w:w="2988" w:type="dxa"/>
          </w:tcPr>
          <w:p>
            <w:pPr>
              <w:spacing w:line="440" w:lineRule="exact"/>
              <w:rPr>
                <w:rFonts w:hint="eastAsia" w:ascii="宋体" w:hAnsi="宋体" w:eastAsia="宋体" w:cs="宋体"/>
                <w:b/>
                <w:color w:val="auto"/>
                <w:sz w:val="32"/>
                <w:highlight w:val="none"/>
              </w:rPr>
            </w:pPr>
          </w:p>
        </w:tc>
        <w:tc>
          <w:tcPr>
            <w:tcW w:w="1700"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725" w:type="dxa"/>
          </w:tcPr>
          <w:p>
            <w:pPr>
              <w:spacing w:line="440" w:lineRule="exact"/>
              <w:rPr>
                <w:rFonts w:hint="eastAsia" w:ascii="宋体" w:hAnsi="宋体" w:eastAsia="宋体" w:cs="宋体"/>
                <w:b/>
                <w:color w:val="auto"/>
                <w:sz w:val="32"/>
                <w:highlight w:val="none"/>
              </w:rPr>
            </w:pPr>
          </w:p>
        </w:tc>
        <w:tc>
          <w:tcPr>
            <w:tcW w:w="2988" w:type="dxa"/>
          </w:tcPr>
          <w:p>
            <w:pPr>
              <w:spacing w:line="440" w:lineRule="exact"/>
              <w:rPr>
                <w:rFonts w:hint="eastAsia" w:ascii="宋体" w:hAnsi="宋体" w:eastAsia="宋体" w:cs="宋体"/>
                <w:b/>
                <w:color w:val="auto"/>
                <w:sz w:val="32"/>
                <w:highlight w:val="none"/>
              </w:rPr>
            </w:pPr>
          </w:p>
        </w:tc>
        <w:tc>
          <w:tcPr>
            <w:tcW w:w="1700"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725" w:type="dxa"/>
          </w:tcPr>
          <w:p>
            <w:pPr>
              <w:spacing w:line="440" w:lineRule="exact"/>
              <w:rPr>
                <w:rFonts w:hint="eastAsia" w:ascii="宋体" w:hAnsi="宋体" w:eastAsia="宋体" w:cs="宋体"/>
                <w:b/>
                <w:color w:val="auto"/>
                <w:sz w:val="32"/>
                <w:highlight w:val="none"/>
              </w:rPr>
            </w:pPr>
          </w:p>
        </w:tc>
        <w:tc>
          <w:tcPr>
            <w:tcW w:w="2988" w:type="dxa"/>
          </w:tcPr>
          <w:p>
            <w:pPr>
              <w:spacing w:line="440" w:lineRule="exact"/>
              <w:rPr>
                <w:rFonts w:hint="eastAsia" w:ascii="宋体" w:hAnsi="宋体" w:eastAsia="宋体" w:cs="宋体"/>
                <w:b/>
                <w:color w:val="auto"/>
                <w:sz w:val="32"/>
                <w:highlight w:val="none"/>
              </w:rPr>
            </w:pPr>
          </w:p>
        </w:tc>
        <w:tc>
          <w:tcPr>
            <w:tcW w:w="1700"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2725" w:type="dxa"/>
          </w:tcPr>
          <w:p>
            <w:pPr>
              <w:spacing w:line="440" w:lineRule="exact"/>
              <w:rPr>
                <w:rFonts w:hint="eastAsia" w:ascii="宋体" w:hAnsi="宋体" w:eastAsia="宋体" w:cs="宋体"/>
                <w:b/>
                <w:color w:val="auto"/>
                <w:sz w:val="32"/>
                <w:highlight w:val="none"/>
              </w:rPr>
            </w:pPr>
          </w:p>
        </w:tc>
        <w:tc>
          <w:tcPr>
            <w:tcW w:w="2988" w:type="dxa"/>
          </w:tcPr>
          <w:p>
            <w:pPr>
              <w:spacing w:line="440" w:lineRule="exact"/>
              <w:rPr>
                <w:rFonts w:hint="eastAsia" w:ascii="宋体" w:hAnsi="宋体" w:eastAsia="宋体" w:cs="宋体"/>
                <w:b/>
                <w:color w:val="auto"/>
                <w:sz w:val="32"/>
                <w:highlight w:val="none"/>
              </w:rPr>
            </w:pPr>
          </w:p>
        </w:tc>
        <w:tc>
          <w:tcPr>
            <w:tcW w:w="1700"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 w:type="dxa"/>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2725" w:type="dxa"/>
          </w:tcPr>
          <w:p>
            <w:pPr>
              <w:spacing w:line="440" w:lineRule="exact"/>
              <w:rPr>
                <w:rFonts w:hint="eastAsia" w:ascii="宋体" w:hAnsi="宋体" w:eastAsia="宋体" w:cs="宋体"/>
                <w:b/>
                <w:color w:val="auto"/>
                <w:sz w:val="32"/>
                <w:highlight w:val="none"/>
              </w:rPr>
            </w:pPr>
          </w:p>
        </w:tc>
        <w:tc>
          <w:tcPr>
            <w:tcW w:w="2988" w:type="dxa"/>
          </w:tcPr>
          <w:p>
            <w:pPr>
              <w:spacing w:line="440" w:lineRule="exact"/>
              <w:rPr>
                <w:rFonts w:hint="eastAsia" w:ascii="宋体" w:hAnsi="宋体" w:eastAsia="宋体" w:cs="宋体"/>
                <w:b/>
                <w:color w:val="auto"/>
                <w:sz w:val="32"/>
                <w:highlight w:val="none"/>
              </w:rPr>
            </w:pPr>
          </w:p>
        </w:tc>
        <w:tc>
          <w:tcPr>
            <w:tcW w:w="1700" w:type="dxa"/>
          </w:tcPr>
          <w:p>
            <w:pPr>
              <w:spacing w:line="440" w:lineRule="exact"/>
              <w:rPr>
                <w:rFonts w:hint="eastAsia" w:ascii="宋体" w:hAnsi="宋体" w:eastAsia="宋体" w:cs="宋体"/>
                <w:b/>
                <w:color w:val="auto"/>
                <w:sz w:val="3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 w:type="dxa"/>
            <w:tcBorders>
              <w:bottom w:val="single" w:color="auto" w:sz="12" w:space="0"/>
            </w:tcBorders>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725" w:type="dxa"/>
            <w:tcBorders>
              <w:bottom w:val="single" w:color="auto" w:sz="12" w:space="0"/>
            </w:tcBorders>
          </w:tcPr>
          <w:p>
            <w:pPr>
              <w:spacing w:line="440" w:lineRule="exact"/>
              <w:rPr>
                <w:rFonts w:hint="eastAsia" w:ascii="宋体" w:hAnsi="宋体" w:eastAsia="宋体" w:cs="宋体"/>
                <w:b/>
                <w:color w:val="auto"/>
                <w:sz w:val="32"/>
                <w:highlight w:val="none"/>
              </w:rPr>
            </w:pPr>
          </w:p>
        </w:tc>
        <w:tc>
          <w:tcPr>
            <w:tcW w:w="2988" w:type="dxa"/>
            <w:tcBorders>
              <w:bottom w:val="single" w:color="auto" w:sz="12" w:space="0"/>
            </w:tcBorders>
          </w:tcPr>
          <w:p>
            <w:pPr>
              <w:spacing w:line="440" w:lineRule="exact"/>
              <w:rPr>
                <w:rFonts w:hint="eastAsia" w:ascii="宋体" w:hAnsi="宋体" w:eastAsia="宋体" w:cs="宋体"/>
                <w:b/>
                <w:color w:val="auto"/>
                <w:sz w:val="32"/>
                <w:highlight w:val="none"/>
              </w:rPr>
            </w:pPr>
          </w:p>
        </w:tc>
        <w:tc>
          <w:tcPr>
            <w:tcW w:w="1700" w:type="dxa"/>
            <w:tcBorders>
              <w:bottom w:val="single" w:color="auto" w:sz="12" w:space="0"/>
            </w:tcBorders>
          </w:tcPr>
          <w:p>
            <w:pPr>
              <w:spacing w:line="440" w:lineRule="exact"/>
              <w:rPr>
                <w:rFonts w:hint="eastAsia" w:ascii="宋体" w:hAnsi="宋体" w:eastAsia="宋体" w:cs="宋体"/>
                <w:b/>
                <w:color w:val="auto"/>
                <w:sz w:val="32"/>
                <w:highlight w:val="none"/>
              </w:rPr>
            </w:pPr>
          </w:p>
        </w:tc>
      </w:tr>
    </w:tbl>
    <w:p>
      <w:pPr>
        <w:snapToGrid w:val="0"/>
        <w:spacing w:line="500" w:lineRule="exact"/>
        <w:ind w:firstLine="422" w:firstLineChars="200"/>
        <w:outlineLvl w:val="0"/>
        <w:rPr>
          <w:rFonts w:hint="eastAsia" w:ascii="宋体" w:hAnsi="宋体" w:eastAsia="宋体" w:cs="宋体"/>
          <w:b/>
          <w:bCs/>
          <w:color w:val="auto"/>
          <w:highlight w:val="none"/>
        </w:rPr>
      </w:pPr>
      <w:bookmarkStart w:id="83" w:name="_Toc510"/>
      <w:bookmarkStart w:id="84" w:name="_Toc6721"/>
      <w:r>
        <w:rPr>
          <w:rFonts w:hint="eastAsia" w:ascii="宋体" w:hAnsi="宋体" w:eastAsia="宋体" w:cs="宋体"/>
          <w:b/>
          <w:bCs/>
          <w:color w:val="auto"/>
          <w:highlight w:val="none"/>
        </w:rPr>
        <w:t>供应商保证：除服务要求偏离表列出的偏差外，供应商响应磋商文件的全部服务要求。</w:t>
      </w:r>
      <w:bookmarkEnd w:id="83"/>
      <w:bookmarkEnd w:id="84"/>
    </w:p>
    <w:p>
      <w:pPr>
        <w:spacing w:line="480" w:lineRule="exact"/>
        <w:rPr>
          <w:rFonts w:hint="eastAsia" w:ascii="宋体" w:hAnsi="宋体" w:eastAsia="宋体" w:cs="宋体"/>
          <w:b/>
          <w:color w:val="auto"/>
          <w:sz w:val="24"/>
          <w:highlight w:val="none"/>
        </w:rPr>
      </w:pPr>
    </w:p>
    <w:p>
      <w:pPr>
        <w:spacing w:line="360" w:lineRule="auto"/>
        <w:outlineLvl w:val="0"/>
        <w:rPr>
          <w:rFonts w:hint="eastAsia" w:ascii="宋体" w:hAnsi="宋体" w:eastAsia="宋体" w:cs="宋体"/>
          <w:color w:val="auto"/>
          <w:sz w:val="36"/>
          <w:szCs w:val="36"/>
          <w:highlight w:val="none"/>
        </w:rPr>
      </w:pPr>
      <w:r>
        <w:rPr>
          <w:rFonts w:hint="eastAsia" w:ascii="宋体" w:hAnsi="宋体" w:eastAsia="宋体" w:cs="宋体"/>
          <w:b/>
          <w:color w:val="auto"/>
          <w:sz w:val="36"/>
          <w:highlight w:val="none"/>
        </w:rPr>
        <w:br w:type="page"/>
      </w:r>
      <w:bookmarkStart w:id="85" w:name="_Toc25400"/>
      <w:bookmarkStart w:id="86" w:name="_Toc4959"/>
      <w:r>
        <w:rPr>
          <w:rFonts w:hint="eastAsia" w:ascii="宋体" w:hAnsi="宋体" w:eastAsia="宋体" w:cs="宋体"/>
          <w:b/>
          <w:bCs/>
          <w:color w:val="auto"/>
          <w:sz w:val="24"/>
          <w:szCs w:val="24"/>
          <w:highlight w:val="none"/>
        </w:rPr>
        <w:t>附件：格式</w:t>
      </w:r>
      <w:bookmarkEnd w:id="85"/>
      <w:bookmarkEnd w:id="86"/>
    </w:p>
    <w:p>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拟派本项目人员</w:t>
      </w:r>
      <w:r>
        <w:rPr>
          <w:rFonts w:hint="eastAsia" w:ascii="宋体" w:hAnsi="宋体" w:eastAsia="宋体" w:cs="宋体"/>
          <w:b/>
          <w:color w:val="auto"/>
          <w:sz w:val="32"/>
          <w:szCs w:val="32"/>
          <w:highlight w:val="none"/>
        </w:rPr>
        <w:t>简历表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035"/>
        <w:gridCol w:w="1134"/>
        <w:gridCol w:w="1275"/>
        <w:gridCol w:w="2035"/>
        <w:gridCol w:w="19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35" w:type="dxa"/>
            <w:vAlign w:val="center"/>
          </w:tcPr>
          <w:p>
            <w:pPr>
              <w:jc w:val="center"/>
              <w:rPr>
                <w:rFonts w:hint="eastAsia" w:ascii="宋体" w:hAnsi="宋体" w:eastAsia="宋体" w:cs="宋体"/>
                <w:color w:val="auto"/>
                <w:szCs w:val="21"/>
                <w:highlight w:val="none"/>
              </w:rPr>
            </w:pP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275" w:type="dxa"/>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35" w:type="dxa"/>
            <w:vAlign w:val="center"/>
          </w:tcPr>
          <w:p>
            <w:pPr>
              <w:jc w:val="center"/>
              <w:rPr>
                <w:rFonts w:hint="eastAsia" w:ascii="宋体" w:hAnsi="宋体" w:eastAsia="宋体" w:cs="宋体"/>
                <w:color w:val="auto"/>
                <w:szCs w:val="21"/>
                <w:highlight w:val="none"/>
              </w:rPr>
            </w:pP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275" w:type="dxa"/>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425" w:type="dxa"/>
            <w:gridSpan w:val="5"/>
            <w:vAlign w:val="center"/>
          </w:tcPr>
          <w:p>
            <w:pPr>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9" w:type="dxa"/>
            <w:gridSpan w:val="6"/>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44" w:type="dxa"/>
            <w:gridSpan w:val="3"/>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203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项目概况说明</w:t>
            </w:r>
          </w:p>
        </w:tc>
        <w:tc>
          <w:tcPr>
            <w:tcW w:w="194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4" w:type="dxa"/>
            <w:vAlign w:val="center"/>
          </w:tcPr>
          <w:p>
            <w:pPr>
              <w:jc w:val="center"/>
              <w:rPr>
                <w:rFonts w:hint="eastAsia" w:ascii="宋体" w:hAnsi="宋体" w:eastAsia="宋体" w:cs="宋体"/>
                <w:color w:val="auto"/>
                <w:szCs w:val="21"/>
                <w:highlight w:val="none"/>
              </w:rPr>
            </w:pPr>
          </w:p>
        </w:tc>
        <w:tc>
          <w:tcPr>
            <w:tcW w:w="3444" w:type="dxa"/>
            <w:gridSpan w:val="3"/>
            <w:vAlign w:val="center"/>
          </w:tcPr>
          <w:p>
            <w:pPr>
              <w:jc w:val="center"/>
              <w:rPr>
                <w:rFonts w:hint="eastAsia" w:ascii="宋体" w:hAnsi="宋体" w:eastAsia="宋体" w:cs="宋体"/>
                <w:color w:val="auto"/>
                <w:szCs w:val="21"/>
                <w:highlight w:val="none"/>
              </w:rPr>
            </w:pPr>
          </w:p>
        </w:tc>
        <w:tc>
          <w:tcPr>
            <w:tcW w:w="2035" w:type="dxa"/>
            <w:vAlign w:val="center"/>
          </w:tcPr>
          <w:p>
            <w:pPr>
              <w:jc w:val="center"/>
              <w:rPr>
                <w:rFonts w:hint="eastAsia" w:ascii="宋体" w:hAnsi="宋体" w:eastAsia="宋体" w:cs="宋体"/>
                <w:color w:val="auto"/>
                <w:szCs w:val="21"/>
                <w:highlight w:val="none"/>
              </w:rPr>
            </w:pPr>
          </w:p>
        </w:tc>
        <w:tc>
          <w:tcPr>
            <w:tcW w:w="1946" w:type="dxa"/>
            <w:vAlign w:val="center"/>
          </w:tcPr>
          <w:p>
            <w:pPr>
              <w:jc w:val="center"/>
              <w:rPr>
                <w:rFonts w:hint="eastAsia" w:ascii="宋体" w:hAnsi="宋体" w:eastAsia="宋体" w:cs="宋体"/>
                <w:color w:val="auto"/>
                <w:szCs w:val="21"/>
                <w:highlight w:val="none"/>
              </w:rPr>
            </w:pPr>
          </w:p>
        </w:tc>
      </w:tr>
    </w:tbl>
    <w:p>
      <w:pPr>
        <w:spacing w:line="360" w:lineRule="auto"/>
        <w:ind w:firstLine="211" w:firstLineChars="1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注：1.后附证明如学历、相关认证证书等材料的复印件；2.服务团队其他人员参照上表编制。</w:t>
      </w:r>
    </w:p>
    <w:p>
      <w:pPr>
        <w:spacing w:line="360" w:lineRule="auto"/>
        <w:outlineLvl w:val="0"/>
        <w:rPr>
          <w:rFonts w:hint="eastAsia" w:ascii="宋体" w:hAnsi="宋体" w:eastAsia="宋体" w:cs="宋体"/>
          <w:color w:val="auto"/>
          <w:sz w:val="36"/>
          <w:szCs w:val="36"/>
          <w:highlight w:val="none"/>
        </w:rPr>
      </w:pPr>
      <w:r>
        <w:rPr>
          <w:rFonts w:hint="eastAsia" w:ascii="宋体" w:hAnsi="宋体" w:eastAsia="宋体" w:cs="宋体"/>
          <w:color w:val="auto"/>
          <w:szCs w:val="21"/>
          <w:highlight w:val="none"/>
          <w:u w:val="single"/>
        </w:rPr>
        <w:br w:type="page"/>
      </w:r>
      <w:bookmarkStart w:id="87" w:name="_Toc9544"/>
      <w:bookmarkStart w:id="88" w:name="_Toc4126"/>
      <w:r>
        <w:rPr>
          <w:rFonts w:hint="eastAsia" w:ascii="宋体" w:hAnsi="宋体" w:eastAsia="宋体" w:cs="宋体"/>
          <w:b/>
          <w:bCs/>
          <w:color w:val="auto"/>
          <w:sz w:val="24"/>
          <w:szCs w:val="24"/>
          <w:highlight w:val="none"/>
        </w:rPr>
        <w:t>附件：格式</w:t>
      </w:r>
    </w:p>
    <w:p>
      <w:pPr>
        <w:spacing w:after="12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拟投入本项目器械设施表</w:t>
      </w:r>
    </w:p>
    <w:tbl>
      <w:tblPr>
        <w:tblStyle w:val="20"/>
        <w:tblW w:w="492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244"/>
        <w:gridCol w:w="1244"/>
        <w:gridCol w:w="2068"/>
        <w:gridCol w:w="2068"/>
        <w:gridCol w:w="1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pct"/>
            <w:tcBorders>
              <w:top w:val="single" w:color="auto" w:sz="12" w:space="0"/>
            </w:tcBorders>
            <w:noWrap w:val="0"/>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692" w:type="pct"/>
            <w:tcBorders>
              <w:top w:val="single" w:color="auto" w:sz="12" w:space="0"/>
            </w:tcBorders>
            <w:noWrap w:val="0"/>
            <w:vAlign w:val="center"/>
          </w:tcPr>
          <w:p>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名称</w:t>
            </w:r>
          </w:p>
        </w:tc>
        <w:tc>
          <w:tcPr>
            <w:tcW w:w="692" w:type="pct"/>
            <w:tcBorders>
              <w:top w:val="single" w:color="auto" w:sz="12" w:space="0"/>
            </w:tcBorders>
            <w:noWrap w:val="0"/>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数量</w:t>
            </w:r>
          </w:p>
        </w:tc>
        <w:tc>
          <w:tcPr>
            <w:tcW w:w="1150" w:type="pct"/>
            <w:tcBorders>
              <w:top w:val="single" w:color="auto" w:sz="12" w:space="0"/>
            </w:tcBorders>
            <w:noWrap w:val="0"/>
            <w:vAlign w:val="center"/>
          </w:tcPr>
          <w:p>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lang w:val="en-US" w:eastAsia="zh-CN"/>
              </w:rPr>
              <w:t>规格型号</w:t>
            </w:r>
          </w:p>
        </w:tc>
        <w:tc>
          <w:tcPr>
            <w:tcW w:w="1150" w:type="pct"/>
            <w:tcBorders>
              <w:top w:val="single" w:color="auto" w:sz="12" w:space="0"/>
            </w:tcBorders>
            <w:noWrap w:val="0"/>
            <w:vAlign w:val="center"/>
          </w:tcPr>
          <w:p>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使用用途</w:t>
            </w:r>
          </w:p>
        </w:tc>
        <w:tc>
          <w:tcPr>
            <w:tcW w:w="623" w:type="pct"/>
            <w:tcBorders>
              <w:top w:val="single" w:color="auto" w:sz="12" w:space="0"/>
            </w:tcBorders>
            <w:noWrap w:val="0"/>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92" w:type="pct"/>
            <w:noWrap w:val="0"/>
            <w:vAlign w:val="center"/>
          </w:tcPr>
          <w:p>
            <w:pPr>
              <w:jc w:val="center"/>
              <w:rPr>
                <w:rFonts w:hint="eastAsia" w:ascii="宋体" w:hAnsi="宋体" w:eastAsia="宋体" w:cs="宋体"/>
                <w:color w:val="auto"/>
                <w:highlight w:val="none"/>
              </w:rPr>
            </w:pPr>
          </w:p>
        </w:tc>
        <w:tc>
          <w:tcPr>
            <w:tcW w:w="692"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623" w:type="pct"/>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91"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92" w:type="pct"/>
            <w:noWrap w:val="0"/>
            <w:vAlign w:val="center"/>
          </w:tcPr>
          <w:p>
            <w:pPr>
              <w:jc w:val="center"/>
              <w:rPr>
                <w:rFonts w:hint="eastAsia" w:ascii="宋体" w:hAnsi="宋体" w:eastAsia="宋体" w:cs="宋体"/>
                <w:color w:val="auto"/>
                <w:highlight w:val="none"/>
              </w:rPr>
            </w:pPr>
          </w:p>
        </w:tc>
        <w:tc>
          <w:tcPr>
            <w:tcW w:w="692"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623" w:type="pct"/>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92" w:type="pct"/>
            <w:noWrap w:val="0"/>
            <w:vAlign w:val="center"/>
          </w:tcPr>
          <w:p>
            <w:pPr>
              <w:jc w:val="center"/>
              <w:rPr>
                <w:rFonts w:hint="eastAsia" w:ascii="宋体" w:hAnsi="宋体" w:eastAsia="宋体" w:cs="宋体"/>
                <w:color w:val="auto"/>
                <w:highlight w:val="none"/>
              </w:rPr>
            </w:pPr>
          </w:p>
        </w:tc>
        <w:tc>
          <w:tcPr>
            <w:tcW w:w="692"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623" w:type="pct"/>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92" w:type="pct"/>
            <w:noWrap w:val="0"/>
            <w:vAlign w:val="center"/>
          </w:tcPr>
          <w:p>
            <w:pPr>
              <w:jc w:val="center"/>
              <w:rPr>
                <w:rFonts w:hint="eastAsia" w:ascii="宋体" w:hAnsi="宋体" w:eastAsia="宋体" w:cs="宋体"/>
                <w:color w:val="auto"/>
                <w:highlight w:val="none"/>
              </w:rPr>
            </w:pPr>
          </w:p>
        </w:tc>
        <w:tc>
          <w:tcPr>
            <w:tcW w:w="692"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623" w:type="pct"/>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691"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92" w:type="pct"/>
            <w:noWrap w:val="0"/>
            <w:vAlign w:val="center"/>
          </w:tcPr>
          <w:p>
            <w:pPr>
              <w:jc w:val="center"/>
              <w:rPr>
                <w:rFonts w:hint="eastAsia" w:ascii="宋体" w:hAnsi="宋体" w:eastAsia="宋体" w:cs="宋体"/>
                <w:color w:val="auto"/>
                <w:highlight w:val="none"/>
              </w:rPr>
            </w:pPr>
          </w:p>
        </w:tc>
        <w:tc>
          <w:tcPr>
            <w:tcW w:w="692"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1150" w:type="pct"/>
            <w:noWrap w:val="0"/>
            <w:vAlign w:val="center"/>
          </w:tcPr>
          <w:p>
            <w:pPr>
              <w:jc w:val="center"/>
              <w:rPr>
                <w:rFonts w:hint="eastAsia" w:ascii="宋体" w:hAnsi="宋体" w:eastAsia="宋体" w:cs="宋体"/>
                <w:color w:val="auto"/>
                <w:highlight w:val="none"/>
              </w:rPr>
            </w:pPr>
          </w:p>
        </w:tc>
        <w:tc>
          <w:tcPr>
            <w:tcW w:w="623" w:type="pct"/>
            <w:noWrap w:val="0"/>
            <w:vAlign w:val="center"/>
          </w:tcPr>
          <w:p>
            <w:pPr>
              <w:jc w:val="center"/>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1" w:type="pct"/>
            <w:tcBorders>
              <w:bottom w:val="single" w:color="auto" w:sz="1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692" w:type="pct"/>
            <w:tcBorders>
              <w:bottom w:val="single" w:color="auto" w:sz="1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692" w:type="pct"/>
            <w:tcBorders>
              <w:bottom w:val="single" w:color="auto" w:sz="12" w:space="0"/>
            </w:tcBorders>
            <w:noWrap w:val="0"/>
            <w:vAlign w:val="center"/>
          </w:tcPr>
          <w:p>
            <w:pPr>
              <w:jc w:val="center"/>
              <w:rPr>
                <w:rFonts w:hint="eastAsia" w:ascii="宋体" w:hAnsi="宋体" w:eastAsia="宋体" w:cs="宋体"/>
                <w:color w:val="auto"/>
                <w:highlight w:val="none"/>
              </w:rPr>
            </w:pPr>
          </w:p>
        </w:tc>
        <w:tc>
          <w:tcPr>
            <w:tcW w:w="1150" w:type="pct"/>
            <w:tcBorders>
              <w:bottom w:val="single" w:color="auto" w:sz="12" w:space="0"/>
            </w:tcBorders>
            <w:noWrap w:val="0"/>
            <w:vAlign w:val="center"/>
          </w:tcPr>
          <w:p>
            <w:pPr>
              <w:jc w:val="center"/>
              <w:rPr>
                <w:rFonts w:hint="eastAsia" w:ascii="宋体" w:hAnsi="宋体" w:eastAsia="宋体" w:cs="宋体"/>
                <w:color w:val="auto"/>
                <w:highlight w:val="none"/>
              </w:rPr>
            </w:pPr>
          </w:p>
        </w:tc>
        <w:tc>
          <w:tcPr>
            <w:tcW w:w="1150" w:type="pct"/>
            <w:tcBorders>
              <w:bottom w:val="single" w:color="auto" w:sz="12" w:space="0"/>
            </w:tcBorders>
            <w:noWrap w:val="0"/>
            <w:vAlign w:val="center"/>
          </w:tcPr>
          <w:p>
            <w:pPr>
              <w:jc w:val="center"/>
              <w:rPr>
                <w:rFonts w:hint="eastAsia" w:ascii="宋体" w:hAnsi="宋体" w:eastAsia="宋体" w:cs="宋体"/>
                <w:color w:val="auto"/>
                <w:highlight w:val="none"/>
              </w:rPr>
            </w:pPr>
          </w:p>
        </w:tc>
        <w:tc>
          <w:tcPr>
            <w:tcW w:w="623" w:type="pct"/>
            <w:tcBorders>
              <w:bottom w:val="single" w:color="auto" w:sz="12" w:space="0"/>
            </w:tcBorders>
            <w:noWrap w:val="0"/>
            <w:vAlign w:val="center"/>
          </w:tcPr>
          <w:p>
            <w:pPr>
              <w:jc w:val="center"/>
              <w:rPr>
                <w:rFonts w:hint="eastAsia" w:ascii="宋体" w:hAnsi="宋体" w:eastAsia="宋体" w:cs="宋体"/>
                <w:color w:val="auto"/>
                <w:highlight w:val="none"/>
              </w:rPr>
            </w:pPr>
          </w:p>
        </w:tc>
      </w:tr>
    </w:tbl>
    <w:p>
      <w:pPr>
        <w:spacing w:line="400" w:lineRule="exact"/>
        <w:outlineLvl w:val="1"/>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lang w:val="en-US" w:eastAsia="zh-CN"/>
        </w:rPr>
        <w:t>注：提供相关证明材料。</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pacing w:line="400" w:lineRule="exact"/>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t>附件：格式</w:t>
      </w:r>
      <w:bookmarkEnd w:id="87"/>
      <w:bookmarkEnd w:id="88"/>
    </w:p>
    <w:p>
      <w:pPr>
        <w:spacing w:after="120"/>
        <w:jc w:val="center"/>
        <w:rPr>
          <w:rFonts w:hint="eastAsia" w:ascii="宋体" w:hAnsi="宋体" w:eastAsia="宋体" w:cs="宋体"/>
          <w:b/>
          <w:color w:val="auto"/>
          <w:sz w:val="32"/>
          <w:szCs w:val="32"/>
          <w:highlight w:val="none"/>
        </w:rPr>
      </w:pPr>
      <w:bookmarkStart w:id="89" w:name="_Toc42518142"/>
      <w:bookmarkStart w:id="90" w:name="_Toc42794603"/>
      <w:bookmarkStart w:id="91" w:name="_Toc849"/>
      <w:r>
        <w:rPr>
          <w:rFonts w:hint="eastAsia" w:ascii="宋体" w:hAnsi="宋体" w:eastAsia="宋体" w:cs="宋体"/>
          <w:b/>
          <w:color w:val="auto"/>
          <w:sz w:val="32"/>
          <w:szCs w:val="32"/>
          <w:highlight w:val="none"/>
        </w:rPr>
        <w:t>供应商基本情况表</w:t>
      </w:r>
      <w:bookmarkEnd w:id="89"/>
      <w:bookmarkEnd w:id="90"/>
      <w:bookmarkEnd w:id="91"/>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6"/>
        <w:gridCol w:w="551"/>
        <w:gridCol w:w="501"/>
        <w:gridCol w:w="1249"/>
        <w:gridCol w:w="1398"/>
        <w:gridCol w:w="850"/>
        <w:gridCol w:w="1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7015" w:type="dxa"/>
            <w:gridSpan w:val="7"/>
          </w:tcPr>
          <w:p>
            <w:pP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047" w:type="dxa"/>
            <w:gridSpan w:val="4"/>
            <w:vAlign w:val="center"/>
          </w:tcPr>
          <w:p>
            <w:pPr>
              <w:jc w:val="center"/>
              <w:rPr>
                <w:rFonts w:hint="eastAsia" w:ascii="宋体" w:hAnsi="宋体" w:eastAsia="宋体" w:cs="宋体"/>
                <w:color w:val="auto"/>
                <w:szCs w:val="21"/>
                <w:highlight w:val="none"/>
              </w:rPr>
            </w:pPr>
          </w:p>
        </w:tc>
        <w:tc>
          <w:tcPr>
            <w:tcW w:w="13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570" w:type="dxa"/>
            <w:gridSpan w:val="2"/>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95"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297"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750" w:type="dxa"/>
            <w:gridSpan w:val="2"/>
            <w:vAlign w:val="center"/>
          </w:tcPr>
          <w:p>
            <w:pPr>
              <w:jc w:val="center"/>
              <w:rPr>
                <w:rFonts w:hint="eastAsia" w:ascii="宋体" w:hAnsi="宋体" w:eastAsia="宋体" w:cs="宋体"/>
                <w:color w:val="auto"/>
                <w:szCs w:val="21"/>
                <w:highlight w:val="none"/>
              </w:rPr>
            </w:pPr>
          </w:p>
        </w:tc>
        <w:tc>
          <w:tcPr>
            <w:tcW w:w="13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570" w:type="dxa"/>
            <w:gridSpan w:val="2"/>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4" w:hRule="atLeast"/>
          <w:jc w:val="center"/>
        </w:trPr>
        <w:tc>
          <w:tcPr>
            <w:tcW w:w="1895" w:type="dxa"/>
            <w:vMerge w:val="continue"/>
            <w:vAlign w:val="center"/>
          </w:tcPr>
          <w:p>
            <w:pPr>
              <w:jc w:val="center"/>
              <w:rPr>
                <w:rFonts w:hint="eastAsia" w:ascii="宋体" w:hAnsi="宋体" w:eastAsia="宋体" w:cs="宋体"/>
                <w:color w:val="auto"/>
                <w:szCs w:val="21"/>
                <w:highlight w:val="none"/>
              </w:rPr>
            </w:pPr>
          </w:p>
        </w:tc>
        <w:tc>
          <w:tcPr>
            <w:tcW w:w="1297"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1750" w:type="dxa"/>
            <w:gridSpan w:val="2"/>
            <w:vAlign w:val="center"/>
          </w:tcPr>
          <w:p>
            <w:pPr>
              <w:jc w:val="center"/>
              <w:rPr>
                <w:rFonts w:hint="eastAsia" w:ascii="宋体" w:hAnsi="宋体" w:eastAsia="宋体" w:cs="宋体"/>
                <w:color w:val="auto"/>
                <w:szCs w:val="21"/>
                <w:highlight w:val="none"/>
              </w:rPr>
            </w:pPr>
          </w:p>
        </w:tc>
        <w:tc>
          <w:tcPr>
            <w:tcW w:w="13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2570" w:type="dxa"/>
            <w:gridSpan w:val="2"/>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7015" w:type="dxa"/>
            <w:gridSpan w:val="7"/>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74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52" w:type="dxa"/>
            <w:gridSpan w:val="2"/>
            <w:vAlign w:val="center"/>
          </w:tcPr>
          <w:p>
            <w:pPr>
              <w:jc w:val="center"/>
              <w:rPr>
                <w:rFonts w:hint="eastAsia" w:ascii="宋体" w:hAnsi="宋体" w:eastAsia="宋体" w:cs="宋体"/>
                <w:color w:val="auto"/>
                <w:szCs w:val="21"/>
                <w:highlight w:val="none"/>
              </w:rPr>
            </w:pPr>
          </w:p>
        </w:tc>
        <w:tc>
          <w:tcPr>
            <w:tcW w:w="124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398" w:type="dxa"/>
            <w:vAlign w:val="center"/>
          </w:tcPr>
          <w:p>
            <w:pPr>
              <w:jc w:val="center"/>
              <w:rPr>
                <w:rFonts w:hint="eastAsia" w:ascii="宋体" w:hAnsi="宋体" w:eastAsia="宋体" w:cs="宋体"/>
                <w:color w:val="auto"/>
                <w:szCs w:val="21"/>
                <w:highlight w:val="none"/>
              </w:rPr>
            </w:pPr>
          </w:p>
        </w:tc>
        <w:tc>
          <w:tcPr>
            <w:tcW w:w="8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20"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74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52" w:type="dxa"/>
            <w:gridSpan w:val="2"/>
            <w:vAlign w:val="center"/>
          </w:tcPr>
          <w:p>
            <w:pPr>
              <w:jc w:val="center"/>
              <w:rPr>
                <w:rFonts w:hint="eastAsia" w:ascii="宋体" w:hAnsi="宋体" w:eastAsia="宋体" w:cs="宋体"/>
                <w:color w:val="auto"/>
                <w:szCs w:val="21"/>
                <w:highlight w:val="none"/>
              </w:rPr>
            </w:pPr>
          </w:p>
        </w:tc>
        <w:tc>
          <w:tcPr>
            <w:tcW w:w="124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398" w:type="dxa"/>
            <w:vAlign w:val="center"/>
          </w:tcPr>
          <w:p>
            <w:pPr>
              <w:jc w:val="center"/>
              <w:rPr>
                <w:rFonts w:hint="eastAsia" w:ascii="宋体" w:hAnsi="宋体" w:eastAsia="宋体" w:cs="宋体"/>
                <w:color w:val="auto"/>
                <w:szCs w:val="21"/>
                <w:highlight w:val="none"/>
              </w:rPr>
            </w:pPr>
          </w:p>
        </w:tc>
        <w:tc>
          <w:tcPr>
            <w:tcW w:w="8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720" w:type="dxa"/>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798" w:type="dxa"/>
            <w:gridSpan w:val="3"/>
            <w:vAlign w:val="center"/>
          </w:tcPr>
          <w:p>
            <w:pPr>
              <w:jc w:val="center"/>
              <w:rPr>
                <w:rFonts w:hint="eastAsia" w:ascii="宋体" w:hAnsi="宋体" w:eastAsia="宋体" w:cs="宋体"/>
                <w:color w:val="auto"/>
                <w:szCs w:val="21"/>
                <w:highlight w:val="none"/>
              </w:rPr>
            </w:pPr>
          </w:p>
        </w:tc>
        <w:tc>
          <w:tcPr>
            <w:tcW w:w="5217" w:type="dxa"/>
            <w:gridSpan w:val="4"/>
            <w:vAlign w:val="center"/>
          </w:tcPr>
          <w:p>
            <w:pPr>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89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经营范围备注</w:t>
            </w:r>
          </w:p>
        </w:tc>
        <w:tc>
          <w:tcPr>
            <w:tcW w:w="7015" w:type="dxa"/>
            <w:gridSpan w:val="7"/>
          </w:tcPr>
          <w:p>
            <w:pPr>
              <w:ind w:firstLine="420" w:firstLineChars="200"/>
              <w:rPr>
                <w:rFonts w:hint="eastAsia" w:ascii="宋体" w:hAnsi="宋体" w:eastAsia="宋体" w:cs="宋体"/>
                <w:color w:val="auto"/>
                <w:szCs w:val="21"/>
                <w:highlight w:val="none"/>
              </w:rPr>
            </w:pPr>
          </w:p>
        </w:tc>
      </w:tr>
    </w:tbl>
    <w:p>
      <w:pPr>
        <w:snapToGrid w:val="0"/>
        <w:spacing w:line="500" w:lineRule="exact"/>
        <w:outlineLvl w:val="0"/>
        <w:rPr>
          <w:rFonts w:hint="eastAsia" w:ascii="宋体" w:hAnsi="宋体" w:eastAsia="宋体" w:cs="宋体"/>
          <w:color w:val="auto"/>
          <w:szCs w:val="21"/>
          <w:highlight w:val="none"/>
          <w:u w:val="single"/>
        </w:rPr>
      </w:pPr>
      <w:bookmarkStart w:id="92" w:name="_Toc14347"/>
      <w:bookmarkStart w:id="93" w:name="_Toc42518143"/>
      <w:bookmarkStart w:id="94" w:name="_Toc42794604"/>
      <w:bookmarkStart w:id="95" w:name="_Toc23274"/>
      <w:bookmarkStart w:id="96" w:name="_Toc5228"/>
      <w:r>
        <w:rPr>
          <w:rFonts w:hint="eastAsia" w:ascii="宋体" w:hAnsi="宋体" w:eastAsia="宋体" w:cs="宋体"/>
          <w:b/>
          <w:bCs/>
          <w:color w:val="auto"/>
          <w:szCs w:val="21"/>
          <w:highlight w:val="none"/>
        </w:rPr>
        <w:t>注：填写上表后，供应商如认为有必要也可附其他文字或表格补充描述</w:t>
      </w:r>
      <w:r>
        <w:rPr>
          <w:rFonts w:hint="eastAsia" w:ascii="宋体" w:hAnsi="宋体" w:eastAsia="宋体" w:cs="宋体"/>
          <w:color w:val="auto"/>
          <w:szCs w:val="21"/>
          <w:highlight w:val="none"/>
        </w:rPr>
        <w:t>。</w:t>
      </w:r>
      <w:bookmarkEnd w:id="92"/>
      <w:bookmarkEnd w:id="93"/>
      <w:bookmarkEnd w:id="94"/>
      <w:bookmarkEnd w:id="95"/>
      <w:bookmarkEnd w:id="96"/>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spacing w:before="156" w:beforeLines="50" w:line="360" w:lineRule="auto"/>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（一）供应商基本信息</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如设立时间、隶属关系、经营范围、资质等级及单位人员情况。</w:t>
      </w:r>
    </w:p>
    <w:p>
      <w:pPr>
        <w:widowControl w:val="0"/>
        <w:spacing w:line="360" w:lineRule="auto"/>
        <w:ind w:firstLine="422" w:firstLineChars="200"/>
        <w:textAlignment w:val="auto"/>
        <w:outlineLvl w:val="1"/>
        <w:rPr>
          <w:rFonts w:hint="eastAsia" w:ascii="宋体" w:hAnsi="宋体" w:eastAsia="宋体" w:cs="宋体"/>
          <w:b/>
          <w:color w:val="auto"/>
          <w:highlight w:val="none"/>
        </w:rPr>
      </w:pPr>
      <w:bookmarkStart w:id="97" w:name="_Toc22763"/>
      <w:bookmarkStart w:id="98" w:name="_Toc24181"/>
      <w:r>
        <w:rPr>
          <w:rFonts w:hint="eastAsia" w:ascii="宋体" w:hAnsi="宋体" w:eastAsia="宋体" w:cs="宋体"/>
          <w:b/>
          <w:color w:val="auto"/>
          <w:highlight w:val="none"/>
        </w:rPr>
        <w:t>（二）供应商性质</w:t>
      </w:r>
      <w:bookmarkEnd w:id="97"/>
      <w:bookmarkEnd w:id="98"/>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中小企业单位投标时，应提供《中小企业声明函》</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未提供的不能享受招标文件规定的价格扣除，但不影响投标文件的有效性。</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残疾人福利性单位投标时，应当提供《残疾人福利性单位声明函》并对声明的真实性负责。无需提供其他证明声明函内容的材料</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未提供的不能享受招标文件规定的价格扣除，但不影响投标文件的有效性。</w:t>
      </w:r>
    </w:p>
    <w:p>
      <w:pPr>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监狱企业投标时，应当提供由省级以上监狱管理局、戒毒管理局（含新疆生产建设兵团）出具的属于监狱企业的证明文件（格式不做要求）</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未提供证明文件的不能享受招标文件规定的价格扣除，但不影响投标文件的有效性。</w:t>
      </w:r>
    </w:p>
    <w:p>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特别提醒：供应商性质（证明文件）将随成交公告一同公布。</w:t>
      </w:r>
    </w:p>
    <w:p>
      <w:pPr>
        <w:spacing w:before="156" w:beforeLines="50" w:line="360" w:lineRule="auto"/>
        <w:ind w:firstLine="422" w:firstLineChars="200"/>
        <w:outlineLvl w:val="1"/>
        <w:rPr>
          <w:rFonts w:hint="eastAsia" w:ascii="宋体" w:hAnsi="宋体" w:eastAsia="宋体" w:cs="宋体"/>
          <w:b/>
          <w:color w:val="auto"/>
          <w:highlight w:val="none"/>
        </w:rPr>
      </w:pPr>
      <w:bookmarkStart w:id="99" w:name="_Toc13785"/>
      <w:bookmarkStart w:id="100" w:name="_Toc17974"/>
      <w:r>
        <w:rPr>
          <w:rFonts w:hint="eastAsia" w:ascii="宋体" w:hAnsi="宋体" w:eastAsia="宋体" w:cs="宋体"/>
          <w:b/>
          <w:color w:val="auto"/>
          <w:highlight w:val="none"/>
        </w:rPr>
        <w:t>（三）其他</w:t>
      </w:r>
      <w:bookmarkEnd w:id="99"/>
      <w:bookmarkEnd w:id="100"/>
    </w:p>
    <w:p>
      <w:pPr>
        <w:tabs>
          <w:tab w:val="right" w:pos="8364"/>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如：经营状况、用户评价等。</w:t>
      </w:r>
    </w:p>
    <w:p>
      <w:pPr>
        <w:pStyle w:val="5"/>
        <w:keepNext w:val="0"/>
        <w:keepLines w:val="0"/>
        <w:spacing w:line="240" w:lineRule="auto"/>
        <w:jc w:val="both"/>
        <w:rPr>
          <w:rFonts w:hint="eastAsia" w:ascii="宋体" w:hAnsi="宋体" w:eastAsia="宋体" w:cs="宋体"/>
          <w:color w:val="auto"/>
          <w:sz w:val="36"/>
          <w:szCs w:val="36"/>
          <w:highlight w:val="none"/>
        </w:rPr>
      </w:pPr>
      <w:r>
        <w:rPr>
          <w:rFonts w:hint="eastAsia" w:ascii="宋体" w:hAnsi="宋体" w:eastAsia="宋体" w:cs="宋体"/>
          <w:color w:val="auto"/>
          <w:sz w:val="36"/>
          <w:highlight w:val="none"/>
        </w:rPr>
        <w:br w:type="page"/>
      </w:r>
      <w:r>
        <w:rPr>
          <w:rFonts w:hint="eastAsia" w:ascii="宋体" w:hAnsi="宋体" w:eastAsia="宋体" w:cs="宋体"/>
          <w:color w:val="auto"/>
          <w:sz w:val="24"/>
          <w:szCs w:val="24"/>
          <w:highlight w:val="none"/>
        </w:rPr>
        <w:t>附件：格式</w:t>
      </w:r>
    </w:p>
    <w:p>
      <w:pPr>
        <w:spacing w:after="120"/>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供应商业绩一览表</w:t>
      </w:r>
    </w:p>
    <w:tbl>
      <w:tblPr>
        <w:tblStyle w:val="20"/>
        <w:tblW w:w="0" w:type="auto"/>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6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779"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履行时间</w:t>
            </w:r>
          </w:p>
        </w:tc>
        <w:tc>
          <w:tcPr>
            <w:tcW w:w="6779"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779"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甲方名称</w:t>
            </w:r>
          </w:p>
        </w:tc>
        <w:tc>
          <w:tcPr>
            <w:tcW w:w="6779"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甲方联系人及电话</w:t>
            </w:r>
          </w:p>
        </w:tc>
        <w:tc>
          <w:tcPr>
            <w:tcW w:w="6779"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6779" w:type="dxa"/>
          </w:tcPr>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项目概况及供应商</w:t>
            </w:r>
          </w:p>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履约情况</w:t>
            </w:r>
          </w:p>
        </w:tc>
        <w:tc>
          <w:tcPr>
            <w:tcW w:w="6779" w:type="dxa"/>
          </w:tcPr>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p>
            <w:pPr>
              <w:topLinePunct/>
              <w:spacing w:line="4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3" w:type="dxa"/>
            <w:vAlign w:val="center"/>
          </w:tcPr>
          <w:p>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779" w:type="dxa"/>
          </w:tcPr>
          <w:p>
            <w:pPr>
              <w:topLinePunct/>
              <w:spacing w:line="440" w:lineRule="exact"/>
              <w:rPr>
                <w:rFonts w:hint="eastAsia" w:ascii="宋体" w:hAnsi="宋体" w:eastAsia="宋体" w:cs="宋体"/>
                <w:color w:val="auto"/>
                <w:szCs w:val="21"/>
                <w:highlight w:val="none"/>
              </w:rPr>
            </w:pPr>
          </w:p>
        </w:tc>
      </w:tr>
    </w:tbl>
    <w:p>
      <w:pPr>
        <w:snapToGrid w:val="0"/>
        <w:spacing w:line="500" w:lineRule="exact"/>
        <w:outlineLvl w:val="0"/>
        <w:rPr>
          <w:rFonts w:hint="eastAsia" w:ascii="宋体" w:hAnsi="宋体" w:eastAsia="宋体" w:cs="宋体"/>
          <w:color w:val="auto"/>
          <w:sz w:val="24"/>
          <w:szCs w:val="24"/>
          <w:highlight w:val="none"/>
          <w:u w:val="single"/>
        </w:rPr>
      </w:pPr>
      <w:bookmarkStart w:id="101" w:name="_Toc29999"/>
      <w:bookmarkStart w:id="102" w:name="_Toc929"/>
      <w:r>
        <w:rPr>
          <w:rFonts w:hint="eastAsia" w:ascii="宋体" w:hAnsi="宋体" w:eastAsia="宋体" w:cs="宋体"/>
          <w:b/>
          <w:bCs/>
          <w:color w:val="auto"/>
          <w:szCs w:val="21"/>
          <w:highlight w:val="none"/>
        </w:rPr>
        <w:t>注：每份有效业绩单独填写上表，后附合同复印件为依据。</w:t>
      </w:r>
      <w:bookmarkEnd w:id="101"/>
      <w:bookmarkEnd w:id="102"/>
    </w:p>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51"/>
        <w:sz w:val="18"/>
      </w:rPr>
    </w:pPr>
  </w:p>
  <w:p>
    <w:pPr>
      <w:pStyle w:val="15"/>
      <w:rPr>
        <w:rStyle w:val="31"/>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51"/>
        <w:sz w:val="18"/>
      </w:rPr>
    </w:pPr>
  </w:p>
  <w:p>
    <w:pPr>
      <w:pStyle w:val="15"/>
      <w:rPr>
        <w:rStyle w:val="31"/>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31"/>
        <w:sz w:val="18"/>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51"/>
        <w:sz w:val="18"/>
      </w:rPr>
    </w:pPr>
  </w:p>
  <w:p>
    <w:pPr>
      <w:pStyle w:val="15"/>
      <w:rPr>
        <w:rStyle w:val="31"/>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31"/>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31"/>
        <w:sz w:val="18"/>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000000" w:sz="4" w:space="0"/>
      </w:pBdr>
      <w:rPr>
        <w:rStyle w:val="31"/>
        <w:rFonts w:ascii="宋体" w:hAnsi="宋体" w:cs="Times New Roman"/>
        <w:color w:val="000000"/>
        <w:sz w:val="18"/>
        <w:szCs w:val="18"/>
      </w:rPr>
    </w:pPr>
    <w:r>
      <w:rPr>
        <w:rStyle w:val="31"/>
        <w:rFonts w:hint="eastAsia" w:ascii="宋体" w:hAnsi="宋体"/>
        <w:color w:val="000000"/>
        <w:sz w:val="18"/>
        <w:szCs w:val="18"/>
      </w:rPr>
      <w:t>西安市公安局交通警察支</w:t>
    </w:r>
    <w:r>
      <w:rPr>
        <w:rStyle w:val="31"/>
        <w:rFonts w:hint="eastAsia" w:ascii="宋体" w:hAnsi="宋体" w:cs="Times New Roman"/>
        <w:color w:val="000000"/>
        <w:sz w:val="18"/>
        <w:szCs w:val="18"/>
      </w:rPr>
      <w:t>队</w:t>
    </w:r>
    <w:r>
      <w:rPr>
        <w:rStyle w:val="31"/>
        <w:rFonts w:hint="eastAsia" w:ascii="宋体" w:hAnsi="宋体" w:cs="Times New Roman"/>
        <w:color w:val="000000"/>
        <w:sz w:val="18"/>
        <w:szCs w:val="18"/>
        <w:lang w:eastAsia="zh-CN"/>
      </w:rPr>
      <w:t>政治处辅警健康体检</w:t>
    </w:r>
    <w:r>
      <w:rPr>
        <w:rStyle w:val="31"/>
        <w:rFonts w:ascii="宋体" w:hAnsi="宋体" w:cs="Times New Roman"/>
        <w:color w:val="000000"/>
        <w:sz w:val="18"/>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000000" w:sz="0" w:space="1"/>
      </w:pBdr>
      <w:rPr>
        <w:rStyle w:val="3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000000" w:sz="4" w:space="0"/>
      </w:pBdr>
      <w:rPr>
        <w:rStyle w:val="31"/>
        <w:rFonts w:ascii="宋体" w:hAnsi="宋体"/>
        <w:color w:val="000000"/>
        <w:sz w:val="18"/>
        <w:szCs w:val="18"/>
      </w:rPr>
    </w:pPr>
    <w:r>
      <w:rPr>
        <w:rStyle w:val="31"/>
        <w:rFonts w:hint="eastAsia" w:ascii="宋体" w:hAnsi="宋体"/>
        <w:color w:val="000000"/>
        <w:sz w:val="18"/>
        <w:szCs w:val="18"/>
      </w:rPr>
      <w:t>西安市</w:t>
    </w:r>
    <w:r>
      <w:rPr>
        <w:rStyle w:val="31"/>
        <w:rFonts w:hint="eastAsia" w:ascii="宋体" w:hAnsi="宋体" w:cs="Times New Roman"/>
        <w:color w:val="000000"/>
        <w:sz w:val="18"/>
        <w:szCs w:val="18"/>
      </w:rPr>
      <w:t>公安局交通警察支队</w:t>
    </w:r>
    <w:r>
      <w:rPr>
        <w:rStyle w:val="31"/>
        <w:rFonts w:hint="eastAsia" w:ascii="宋体" w:hAnsi="宋体" w:cs="Times New Roman"/>
        <w:color w:val="000000"/>
        <w:sz w:val="18"/>
        <w:szCs w:val="18"/>
        <w:lang w:eastAsia="zh-CN"/>
      </w:rPr>
      <w:t>政治处辅警健康体检</w:t>
    </w:r>
    <w:r>
      <w:rPr>
        <w:rStyle w:val="31"/>
        <w:rFonts w:hint="eastAsia" w:ascii="宋体" w:hAnsi="宋体" w:cs="Times New Roman"/>
        <w:color w:val="000000"/>
        <w:sz w:val="18"/>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E9AA0"/>
    <w:multiLevelType w:val="singleLevel"/>
    <w:tmpl w:val="15EE9AA0"/>
    <w:lvl w:ilvl="0" w:tentative="0">
      <w:start w:val="3"/>
      <w:numFmt w:val="decimal"/>
      <w:suff w:val="nothing"/>
      <w:lvlText w:val="%1、"/>
      <w:lvlJc w:val="left"/>
    </w:lvl>
  </w:abstractNum>
  <w:abstractNum w:abstractNumId="1">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Yjc2ZWJmYTZjMGJkZGYxZTQ2NTNlNWJmM2VlNjEifQ=="/>
  </w:docVars>
  <w:rsids>
    <w:rsidRoot w:val="003F1B76"/>
    <w:rsid w:val="00002FBD"/>
    <w:rsid w:val="00003380"/>
    <w:rsid w:val="000164F3"/>
    <w:rsid w:val="00030974"/>
    <w:rsid w:val="0003127C"/>
    <w:rsid w:val="00052327"/>
    <w:rsid w:val="00061F0D"/>
    <w:rsid w:val="0006673E"/>
    <w:rsid w:val="000668BA"/>
    <w:rsid w:val="000730A1"/>
    <w:rsid w:val="000733AC"/>
    <w:rsid w:val="00081B94"/>
    <w:rsid w:val="00084492"/>
    <w:rsid w:val="00087E01"/>
    <w:rsid w:val="000B4F46"/>
    <w:rsid w:val="000C3DA7"/>
    <w:rsid w:val="000C5F81"/>
    <w:rsid w:val="000D2DDE"/>
    <w:rsid w:val="0010670A"/>
    <w:rsid w:val="001125F5"/>
    <w:rsid w:val="00112EB8"/>
    <w:rsid w:val="0011760F"/>
    <w:rsid w:val="0012662F"/>
    <w:rsid w:val="00132DC9"/>
    <w:rsid w:val="00140835"/>
    <w:rsid w:val="00142463"/>
    <w:rsid w:val="00145946"/>
    <w:rsid w:val="001564F2"/>
    <w:rsid w:val="001638FD"/>
    <w:rsid w:val="00176D30"/>
    <w:rsid w:val="00176FC1"/>
    <w:rsid w:val="001A2DC7"/>
    <w:rsid w:val="001A4839"/>
    <w:rsid w:val="001A64C4"/>
    <w:rsid w:val="001A67FD"/>
    <w:rsid w:val="001A7A75"/>
    <w:rsid w:val="001B04DA"/>
    <w:rsid w:val="001D122B"/>
    <w:rsid w:val="001D4854"/>
    <w:rsid w:val="001D736C"/>
    <w:rsid w:val="001D75C7"/>
    <w:rsid w:val="001E39AB"/>
    <w:rsid w:val="001E4438"/>
    <w:rsid w:val="001F1DA4"/>
    <w:rsid w:val="00201E13"/>
    <w:rsid w:val="00205402"/>
    <w:rsid w:val="002209CF"/>
    <w:rsid w:val="002243B2"/>
    <w:rsid w:val="00236768"/>
    <w:rsid w:val="002442E8"/>
    <w:rsid w:val="00250DA3"/>
    <w:rsid w:val="00251B33"/>
    <w:rsid w:val="00251F5B"/>
    <w:rsid w:val="00273A41"/>
    <w:rsid w:val="00290958"/>
    <w:rsid w:val="00291724"/>
    <w:rsid w:val="00295C9B"/>
    <w:rsid w:val="00296E4D"/>
    <w:rsid w:val="002B38E9"/>
    <w:rsid w:val="002B5CC9"/>
    <w:rsid w:val="002C02B6"/>
    <w:rsid w:val="002C50E2"/>
    <w:rsid w:val="002C61F7"/>
    <w:rsid w:val="002C62E7"/>
    <w:rsid w:val="002D4F2C"/>
    <w:rsid w:val="002D790F"/>
    <w:rsid w:val="002E28EE"/>
    <w:rsid w:val="002F2C7F"/>
    <w:rsid w:val="002F6176"/>
    <w:rsid w:val="00303F39"/>
    <w:rsid w:val="00304CC5"/>
    <w:rsid w:val="003102E5"/>
    <w:rsid w:val="00312880"/>
    <w:rsid w:val="003237F5"/>
    <w:rsid w:val="00324466"/>
    <w:rsid w:val="00326D57"/>
    <w:rsid w:val="003479C1"/>
    <w:rsid w:val="0035207C"/>
    <w:rsid w:val="003546CC"/>
    <w:rsid w:val="0035554D"/>
    <w:rsid w:val="0037087A"/>
    <w:rsid w:val="00383426"/>
    <w:rsid w:val="0038384E"/>
    <w:rsid w:val="003A45DF"/>
    <w:rsid w:val="003B4FB2"/>
    <w:rsid w:val="003C0F19"/>
    <w:rsid w:val="003C28DE"/>
    <w:rsid w:val="003C5CD4"/>
    <w:rsid w:val="003C6AAF"/>
    <w:rsid w:val="003D03B2"/>
    <w:rsid w:val="003D1FFE"/>
    <w:rsid w:val="003D2FE7"/>
    <w:rsid w:val="003E01FB"/>
    <w:rsid w:val="003E4951"/>
    <w:rsid w:val="003E4BA3"/>
    <w:rsid w:val="003E7574"/>
    <w:rsid w:val="003E78AF"/>
    <w:rsid w:val="003F0240"/>
    <w:rsid w:val="003F1B76"/>
    <w:rsid w:val="003F59CA"/>
    <w:rsid w:val="004019E8"/>
    <w:rsid w:val="0040343F"/>
    <w:rsid w:val="00405498"/>
    <w:rsid w:val="00412F8B"/>
    <w:rsid w:val="00431FF2"/>
    <w:rsid w:val="00432FA0"/>
    <w:rsid w:val="0044660F"/>
    <w:rsid w:val="00446A15"/>
    <w:rsid w:val="00453C60"/>
    <w:rsid w:val="00457602"/>
    <w:rsid w:val="00461B36"/>
    <w:rsid w:val="00464D2A"/>
    <w:rsid w:val="00473796"/>
    <w:rsid w:val="00481A7A"/>
    <w:rsid w:val="00483E28"/>
    <w:rsid w:val="004848E9"/>
    <w:rsid w:val="004A12CF"/>
    <w:rsid w:val="004A5C07"/>
    <w:rsid w:val="004B46EB"/>
    <w:rsid w:val="004C60D5"/>
    <w:rsid w:val="004C6579"/>
    <w:rsid w:val="004D1FB1"/>
    <w:rsid w:val="004D7A0D"/>
    <w:rsid w:val="004E211B"/>
    <w:rsid w:val="004E33CC"/>
    <w:rsid w:val="004E4E0C"/>
    <w:rsid w:val="004F1C37"/>
    <w:rsid w:val="005109BD"/>
    <w:rsid w:val="0051784B"/>
    <w:rsid w:val="00521026"/>
    <w:rsid w:val="00523EB0"/>
    <w:rsid w:val="005249EE"/>
    <w:rsid w:val="005260E7"/>
    <w:rsid w:val="00531214"/>
    <w:rsid w:val="00535B5A"/>
    <w:rsid w:val="00542EBF"/>
    <w:rsid w:val="005601EA"/>
    <w:rsid w:val="00565F89"/>
    <w:rsid w:val="00574305"/>
    <w:rsid w:val="005959E4"/>
    <w:rsid w:val="00596AB5"/>
    <w:rsid w:val="005A2639"/>
    <w:rsid w:val="005A3527"/>
    <w:rsid w:val="005B3044"/>
    <w:rsid w:val="005D0D53"/>
    <w:rsid w:val="005D3416"/>
    <w:rsid w:val="005F3881"/>
    <w:rsid w:val="0060174B"/>
    <w:rsid w:val="00601FBC"/>
    <w:rsid w:val="00604168"/>
    <w:rsid w:val="00621E74"/>
    <w:rsid w:val="00625DE5"/>
    <w:rsid w:val="00630BC0"/>
    <w:rsid w:val="006323BC"/>
    <w:rsid w:val="006417BC"/>
    <w:rsid w:val="00642548"/>
    <w:rsid w:val="00653ABA"/>
    <w:rsid w:val="00663923"/>
    <w:rsid w:val="00673ABB"/>
    <w:rsid w:val="00676B2D"/>
    <w:rsid w:val="00682D19"/>
    <w:rsid w:val="006857A3"/>
    <w:rsid w:val="00692C9E"/>
    <w:rsid w:val="00692FA7"/>
    <w:rsid w:val="006A3438"/>
    <w:rsid w:val="006A456A"/>
    <w:rsid w:val="006C77A5"/>
    <w:rsid w:val="006D2A98"/>
    <w:rsid w:val="006E66F8"/>
    <w:rsid w:val="006F595E"/>
    <w:rsid w:val="006F5A0F"/>
    <w:rsid w:val="00701DB1"/>
    <w:rsid w:val="00704131"/>
    <w:rsid w:val="00715851"/>
    <w:rsid w:val="00747C1F"/>
    <w:rsid w:val="00747E5F"/>
    <w:rsid w:val="00754385"/>
    <w:rsid w:val="00756A57"/>
    <w:rsid w:val="007648BF"/>
    <w:rsid w:val="007742A6"/>
    <w:rsid w:val="0077490F"/>
    <w:rsid w:val="00777AE2"/>
    <w:rsid w:val="007A19DC"/>
    <w:rsid w:val="007B017D"/>
    <w:rsid w:val="007B04C4"/>
    <w:rsid w:val="007B5594"/>
    <w:rsid w:val="007B6E24"/>
    <w:rsid w:val="007B751C"/>
    <w:rsid w:val="007C331F"/>
    <w:rsid w:val="007D1A55"/>
    <w:rsid w:val="007D74FF"/>
    <w:rsid w:val="007E33A7"/>
    <w:rsid w:val="007E4B9A"/>
    <w:rsid w:val="007F1044"/>
    <w:rsid w:val="007F1DA2"/>
    <w:rsid w:val="00811A4D"/>
    <w:rsid w:val="0081738D"/>
    <w:rsid w:val="008202D8"/>
    <w:rsid w:val="00836FB1"/>
    <w:rsid w:val="00856100"/>
    <w:rsid w:val="0085616F"/>
    <w:rsid w:val="00862FFD"/>
    <w:rsid w:val="00871E96"/>
    <w:rsid w:val="0089177B"/>
    <w:rsid w:val="008974CB"/>
    <w:rsid w:val="008A720B"/>
    <w:rsid w:val="008B3DD3"/>
    <w:rsid w:val="008B4E1B"/>
    <w:rsid w:val="008B7FA3"/>
    <w:rsid w:val="008C0C90"/>
    <w:rsid w:val="008C59BC"/>
    <w:rsid w:val="008E1B31"/>
    <w:rsid w:val="008E33CC"/>
    <w:rsid w:val="008E4184"/>
    <w:rsid w:val="008E487A"/>
    <w:rsid w:val="008F31CD"/>
    <w:rsid w:val="008F7D72"/>
    <w:rsid w:val="00903192"/>
    <w:rsid w:val="00921995"/>
    <w:rsid w:val="00922A40"/>
    <w:rsid w:val="00930024"/>
    <w:rsid w:val="00933CFA"/>
    <w:rsid w:val="00943004"/>
    <w:rsid w:val="009471B6"/>
    <w:rsid w:val="00950FCB"/>
    <w:rsid w:val="0096492A"/>
    <w:rsid w:val="00975C26"/>
    <w:rsid w:val="009763D3"/>
    <w:rsid w:val="00987DF4"/>
    <w:rsid w:val="0099500D"/>
    <w:rsid w:val="009A0E80"/>
    <w:rsid w:val="009A7605"/>
    <w:rsid w:val="009B256D"/>
    <w:rsid w:val="009B28B2"/>
    <w:rsid w:val="009C0BCC"/>
    <w:rsid w:val="009D2724"/>
    <w:rsid w:val="009E07CF"/>
    <w:rsid w:val="009E26D1"/>
    <w:rsid w:val="00A02E9D"/>
    <w:rsid w:val="00A13348"/>
    <w:rsid w:val="00A15879"/>
    <w:rsid w:val="00A2273F"/>
    <w:rsid w:val="00A305B8"/>
    <w:rsid w:val="00A32F2A"/>
    <w:rsid w:val="00A3470B"/>
    <w:rsid w:val="00A41637"/>
    <w:rsid w:val="00A467C7"/>
    <w:rsid w:val="00A46D42"/>
    <w:rsid w:val="00A519B1"/>
    <w:rsid w:val="00A6609B"/>
    <w:rsid w:val="00A73546"/>
    <w:rsid w:val="00A8759A"/>
    <w:rsid w:val="00A87B83"/>
    <w:rsid w:val="00A911F7"/>
    <w:rsid w:val="00AB0829"/>
    <w:rsid w:val="00AB1BB6"/>
    <w:rsid w:val="00AB3323"/>
    <w:rsid w:val="00AB489B"/>
    <w:rsid w:val="00AD74B2"/>
    <w:rsid w:val="00AF6457"/>
    <w:rsid w:val="00B101E3"/>
    <w:rsid w:val="00B12A9B"/>
    <w:rsid w:val="00B14616"/>
    <w:rsid w:val="00B21F86"/>
    <w:rsid w:val="00B302DB"/>
    <w:rsid w:val="00B30DE4"/>
    <w:rsid w:val="00B37DCB"/>
    <w:rsid w:val="00B4780B"/>
    <w:rsid w:val="00B5358F"/>
    <w:rsid w:val="00B67DBC"/>
    <w:rsid w:val="00B71CE0"/>
    <w:rsid w:val="00B77024"/>
    <w:rsid w:val="00B77560"/>
    <w:rsid w:val="00B83A22"/>
    <w:rsid w:val="00B86DC7"/>
    <w:rsid w:val="00B96ECD"/>
    <w:rsid w:val="00BB010A"/>
    <w:rsid w:val="00BB5689"/>
    <w:rsid w:val="00BC218D"/>
    <w:rsid w:val="00BC4905"/>
    <w:rsid w:val="00BC6E93"/>
    <w:rsid w:val="00BD7543"/>
    <w:rsid w:val="00BF13E0"/>
    <w:rsid w:val="00BF3B15"/>
    <w:rsid w:val="00C008DC"/>
    <w:rsid w:val="00C025D9"/>
    <w:rsid w:val="00C1170F"/>
    <w:rsid w:val="00C15781"/>
    <w:rsid w:val="00C2364A"/>
    <w:rsid w:val="00C26232"/>
    <w:rsid w:val="00C305B5"/>
    <w:rsid w:val="00C4793B"/>
    <w:rsid w:val="00C52557"/>
    <w:rsid w:val="00C57195"/>
    <w:rsid w:val="00C57B43"/>
    <w:rsid w:val="00C60416"/>
    <w:rsid w:val="00C611B4"/>
    <w:rsid w:val="00C61921"/>
    <w:rsid w:val="00C65EE8"/>
    <w:rsid w:val="00C71207"/>
    <w:rsid w:val="00C82121"/>
    <w:rsid w:val="00C84D6B"/>
    <w:rsid w:val="00C86922"/>
    <w:rsid w:val="00C96E40"/>
    <w:rsid w:val="00CA5201"/>
    <w:rsid w:val="00CA6EA9"/>
    <w:rsid w:val="00CC1DE8"/>
    <w:rsid w:val="00CC4141"/>
    <w:rsid w:val="00CE7028"/>
    <w:rsid w:val="00CF6944"/>
    <w:rsid w:val="00D02986"/>
    <w:rsid w:val="00D114DC"/>
    <w:rsid w:val="00D15E29"/>
    <w:rsid w:val="00D21481"/>
    <w:rsid w:val="00D22453"/>
    <w:rsid w:val="00D3325B"/>
    <w:rsid w:val="00D624A8"/>
    <w:rsid w:val="00D71B61"/>
    <w:rsid w:val="00D76D53"/>
    <w:rsid w:val="00D92A4A"/>
    <w:rsid w:val="00DA16F4"/>
    <w:rsid w:val="00DA3580"/>
    <w:rsid w:val="00DA3EA5"/>
    <w:rsid w:val="00DD4A4F"/>
    <w:rsid w:val="00DD6441"/>
    <w:rsid w:val="00DE0989"/>
    <w:rsid w:val="00DF14BB"/>
    <w:rsid w:val="00DF3515"/>
    <w:rsid w:val="00DF6BC2"/>
    <w:rsid w:val="00E01848"/>
    <w:rsid w:val="00E108C2"/>
    <w:rsid w:val="00E10FD5"/>
    <w:rsid w:val="00E15234"/>
    <w:rsid w:val="00E243F2"/>
    <w:rsid w:val="00E3089B"/>
    <w:rsid w:val="00E335C2"/>
    <w:rsid w:val="00E436C6"/>
    <w:rsid w:val="00E448D2"/>
    <w:rsid w:val="00E44CAF"/>
    <w:rsid w:val="00E45322"/>
    <w:rsid w:val="00E53590"/>
    <w:rsid w:val="00E5408B"/>
    <w:rsid w:val="00E560FE"/>
    <w:rsid w:val="00E64221"/>
    <w:rsid w:val="00E65AE7"/>
    <w:rsid w:val="00E74EE3"/>
    <w:rsid w:val="00EA4FDE"/>
    <w:rsid w:val="00EA7345"/>
    <w:rsid w:val="00EC6DD6"/>
    <w:rsid w:val="00ED02BE"/>
    <w:rsid w:val="00ED64CC"/>
    <w:rsid w:val="00EE16EB"/>
    <w:rsid w:val="00EE7139"/>
    <w:rsid w:val="00F21218"/>
    <w:rsid w:val="00F32878"/>
    <w:rsid w:val="00F3689A"/>
    <w:rsid w:val="00F44B78"/>
    <w:rsid w:val="00F47FB4"/>
    <w:rsid w:val="00F555FE"/>
    <w:rsid w:val="00F6182E"/>
    <w:rsid w:val="00F835B3"/>
    <w:rsid w:val="00F906C3"/>
    <w:rsid w:val="00F931E9"/>
    <w:rsid w:val="00F93410"/>
    <w:rsid w:val="00F934D3"/>
    <w:rsid w:val="00FA2FE8"/>
    <w:rsid w:val="00FA66E6"/>
    <w:rsid w:val="00FB15A6"/>
    <w:rsid w:val="00FB7440"/>
    <w:rsid w:val="00FC1860"/>
    <w:rsid w:val="00FD2E57"/>
    <w:rsid w:val="00FE20E5"/>
    <w:rsid w:val="00FE39E5"/>
    <w:rsid w:val="00FE5CA7"/>
    <w:rsid w:val="00FE64CF"/>
    <w:rsid w:val="00FE732D"/>
    <w:rsid w:val="00FE74C5"/>
    <w:rsid w:val="01086C64"/>
    <w:rsid w:val="01091480"/>
    <w:rsid w:val="010C0502"/>
    <w:rsid w:val="011348CB"/>
    <w:rsid w:val="01155AA1"/>
    <w:rsid w:val="01156777"/>
    <w:rsid w:val="011A035C"/>
    <w:rsid w:val="01213882"/>
    <w:rsid w:val="012F2443"/>
    <w:rsid w:val="013B2B96"/>
    <w:rsid w:val="014D28C9"/>
    <w:rsid w:val="016320EC"/>
    <w:rsid w:val="016E2F6B"/>
    <w:rsid w:val="016F10F0"/>
    <w:rsid w:val="0173585E"/>
    <w:rsid w:val="017B2F92"/>
    <w:rsid w:val="017B5688"/>
    <w:rsid w:val="017E6F26"/>
    <w:rsid w:val="018A7679"/>
    <w:rsid w:val="018C33F1"/>
    <w:rsid w:val="019A7384"/>
    <w:rsid w:val="01B251B6"/>
    <w:rsid w:val="01BD17FD"/>
    <w:rsid w:val="01DD2DCF"/>
    <w:rsid w:val="01FE5971"/>
    <w:rsid w:val="020E02AA"/>
    <w:rsid w:val="02160F0D"/>
    <w:rsid w:val="021A7C6C"/>
    <w:rsid w:val="0229329B"/>
    <w:rsid w:val="022C0730"/>
    <w:rsid w:val="02340617"/>
    <w:rsid w:val="0252420E"/>
    <w:rsid w:val="026A0DB1"/>
    <w:rsid w:val="02702D13"/>
    <w:rsid w:val="0295277A"/>
    <w:rsid w:val="0298679E"/>
    <w:rsid w:val="02A97B7B"/>
    <w:rsid w:val="02D36DFE"/>
    <w:rsid w:val="02DE7C7D"/>
    <w:rsid w:val="02E1776D"/>
    <w:rsid w:val="02F079B0"/>
    <w:rsid w:val="03086AA8"/>
    <w:rsid w:val="030A0A72"/>
    <w:rsid w:val="030C4158"/>
    <w:rsid w:val="03157416"/>
    <w:rsid w:val="03253AFD"/>
    <w:rsid w:val="03327FC8"/>
    <w:rsid w:val="0341020B"/>
    <w:rsid w:val="03561F09"/>
    <w:rsid w:val="03724869"/>
    <w:rsid w:val="037C1244"/>
    <w:rsid w:val="0388408C"/>
    <w:rsid w:val="03993BA4"/>
    <w:rsid w:val="03BF494D"/>
    <w:rsid w:val="03C44B67"/>
    <w:rsid w:val="03C75ED9"/>
    <w:rsid w:val="03DA48E8"/>
    <w:rsid w:val="03EE0393"/>
    <w:rsid w:val="04025BED"/>
    <w:rsid w:val="0409418A"/>
    <w:rsid w:val="04096F7B"/>
    <w:rsid w:val="040F3E66"/>
    <w:rsid w:val="04261BE1"/>
    <w:rsid w:val="042E1092"/>
    <w:rsid w:val="043D5655"/>
    <w:rsid w:val="044A30F0"/>
    <w:rsid w:val="047343F5"/>
    <w:rsid w:val="047C774D"/>
    <w:rsid w:val="049379E3"/>
    <w:rsid w:val="049A7BD3"/>
    <w:rsid w:val="049B394B"/>
    <w:rsid w:val="049C7DEF"/>
    <w:rsid w:val="04A722F0"/>
    <w:rsid w:val="04B048C4"/>
    <w:rsid w:val="04B70785"/>
    <w:rsid w:val="04B844FD"/>
    <w:rsid w:val="04BC5D9C"/>
    <w:rsid w:val="04C9495C"/>
    <w:rsid w:val="04CD4FB2"/>
    <w:rsid w:val="04D70E27"/>
    <w:rsid w:val="04E15802"/>
    <w:rsid w:val="04F01EE9"/>
    <w:rsid w:val="04FA68C4"/>
    <w:rsid w:val="05025778"/>
    <w:rsid w:val="05045994"/>
    <w:rsid w:val="05141EB3"/>
    <w:rsid w:val="052D2EAC"/>
    <w:rsid w:val="052E656D"/>
    <w:rsid w:val="05412745"/>
    <w:rsid w:val="054D2E98"/>
    <w:rsid w:val="056874FD"/>
    <w:rsid w:val="056F5A4C"/>
    <w:rsid w:val="05873604"/>
    <w:rsid w:val="059C4DC1"/>
    <w:rsid w:val="05BC0FEB"/>
    <w:rsid w:val="05E47814"/>
    <w:rsid w:val="05E51322"/>
    <w:rsid w:val="05F11A75"/>
    <w:rsid w:val="05F81055"/>
    <w:rsid w:val="06190FCC"/>
    <w:rsid w:val="0619721E"/>
    <w:rsid w:val="061B4D44"/>
    <w:rsid w:val="061B5E9F"/>
    <w:rsid w:val="0650315A"/>
    <w:rsid w:val="065F7326"/>
    <w:rsid w:val="0673692E"/>
    <w:rsid w:val="0680104B"/>
    <w:rsid w:val="068B011B"/>
    <w:rsid w:val="068E19BA"/>
    <w:rsid w:val="0696086E"/>
    <w:rsid w:val="069D39AB"/>
    <w:rsid w:val="06BC02D5"/>
    <w:rsid w:val="06BF1B73"/>
    <w:rsid w:val="06CD5A4C"/>
    <w:rsid w:val="06DA4BFF"/>
    <w:rsid w:val="06E710CA"/>
    <w:rsid w:val="07043A2A"/>
    <w:rsid w:val="07153E89"/>
    <w:rsid w:val="0728596A"/>
    <w:rsid w:val="073C7ECE"/>
    <w:rsid w:val="074309F6"/>
    <w:rsid w:val="074F739B"/>
    <w:rsid w:val="07550729"/>
    <w:rsid w:val="075A189C"/>
    <w:rsid w:val="075A7AEE"/>
    <w:rsid w:val="07697D31"/>
    <w:rsid w:val="078A2181"/>
    <w:rsid w:val="079131FB"/>
    <w:rsid w:val="07943000"/>
    <w:rsid w:val="07B3006B"/>
    <w:rsid w:val="07DE6406"/>
    <w:rsid w:val="07E51AAD"/>
    <w:rsid w:val="07EC4BEA"/>
    <w:rsid w:val="07F4584C"/>
    <w:rsid w:val="07F7358F"/>
    <w:rsid w:val="080865D4"/>
    <w:rsid w:val="080F08D8"/>
    <w:rsid w:val="08193505"/>
    <w:rsid w:val="081D2FF5"/>
    <w:rsid w:val="085B3B1D"/>
    <w:rsid w:val="088209C9"/>
    <w:rsid w:val="08844E22"/>
    <w:rsid w:val="088E7A4F"/>
    <w:rsid w:val="089808CE"/>
    <w:rsid w:val="08A242C7"/>
    <w:rsid w:val="08A54D99"/>
    <w:rsid w:val="08AF79C5"/>
    <w:rsid w:val="08C571E9"/>
    <w:rsid w:val="08C72F61"/>
    <w:rsid w:val="08CE42EF"/>
    <w:rsid w:val="08D3272D"/>
    <w:rsid w:val="08D35DAA"/>
    <w:rsid w:val="08E104C7"/>
    <w:rsid w:val="08F22133"/>
    <w:rsid w:val="08F91077"/>
    <w:rsid w:val="08FB2C0B"/>
    <w:rsid w:val="090B10A0"/>
    <w:rsid w:val="09173EE8"/>
    <w:rsid w:val="0918004E"/>
    <w:rsid w:val="091C32AD"/>
    <w:rsid w:val="09267305"/>
    <w:rsid w:val="093A7BD7"/>
    <w:rsid w:val="09434CDD"/>
    <w:rsid w:val="09447046"/>
    <w:rsid w:val="09487649"/>
    <w:rsid w:val="094D790A"/>
    <w:rsid w:val="095A0AF0"/>
    <w:rsid w:val="095E7633"/>
    <w:rsid w:val="095F3199"/>
    <w:rsid w:val="09734E1D"/>
    <w:rsid w:val="09734E97"/>
    <w:rsid w:val="098350DA"/>
    <w:rsid w:val="09906FB0"/>
    <w:rsid w:val="099077F7"/>
    <w:rsid w:val="099D1982"/>
    <w:rsid w:val="09B90AFC"/>
    <w:rsid w:val="09B9165B"/>
    <w:rsid w:val="09C000DC"/>
    <w:rsid w:val="09CF32F4"/>
    <w:rsid w:val="09E76629"/>
    <w:rsid w:val="09F45FD8"/>
    <w:rsid w:val="09F91884"/>
    <w:rsid w:val="0A0501E5"/>
    <w:rsid w:val="0A066C16"/>
    <w:rsid w:val="0A0B385A"/>
    <w:rsid w:val="0A0D2E48"/>
    <w:rsid w:val="0A1B17B6"/>
    <w:rsid w:val="0A1C108A"/>
    <w:rsid w:val="0A2110E0"/>
    <w:rsid w:val="0A572A77"/>
    <w:rsid w:val="0A5922DF"/>
    <w:rsid w:val="0A690774"/>
    <w:rsid w:val="0A79472F"/>
    <w:rsid w:val="0A7A3184"/>
    <w:rsid w:val="0A7C1AAA"/>
    <w:rsid w:val="0A943317"/>
    <w:rsid w:val="0AA277E2"/>
    <w:rsid w:val="0AB3379D"/>
    <w:rsid w:val="0ABD6228"/>
    <w:rsid w:val="0AEC4F01"/>
    <w:rsid w:val="0AEE6ECB"/>
    <w:rsid w:val="0AF82C5A"/>
    <w:rsid w:val="0B1756E0"/>
    <w:rsid w:val="0B2823DD"/>
    <w:rsid w:val="0B433ABE"/>
    <w:rsid w:val="0B464611"/>
    <w:rsid w:val="0B4D3BF1"/>
    <w:rsid w:val="0B551F76"/>
    <w:rsid w:val="0B5807E8"/>
    <w:rsid w:val="0B6F290B"/>
    <w:rsid w:val="0B7C44D7"/>
    <w:rsid w:val="0B7D3DAB"/>
    <w:rsid w:val="0B882A0B"/>
    <w:rsid w:val="0BAB4DBC"/>
    <w:rsid w:val="0BAD28E2"/>
    <w:rsid w:val="0BB359C0"/>
    <w:rsid w:val="0BB5791E"/>
    <w:rsid w:val="0BB772BD"/>
    <w:rsid w:val="0BBF43C3"/>
    <w:rsid w:val="0BCA3494"/>
    <w:rsid w:val="0BCB5886"/>
    <w:rsid w:val="0BDC4F75"/>
    <w:rsid w:val="0BE34556"/>
    <w:rsid w:val="0BE502CE"/>
    <w:rsid w:val="0BE63848"/>
    <w:rsid w:val="0BEA2A4D"/>
    <w:rsid w:val="0BFE4EEC"/>
    <w:rsid w:val="0C083FBC"/>
    <w:rsid w:val="0C2D57D1"/>
    <w:rsid w:val="0C2F1549"/>
    <w:rsid w:val="0C344DB1"/>
    <w:rsid w:val="0C346950"/>
    <w:rsid w:val="0C465E66"/>
    <w:rsid w:val="0C4B5C57"/>
    <w:rsid w:val="0C692CAD"/>
    <w:rsid w:val="0C8F1FE8"/>
    <w:rsid w:val="0CB90E13"/>
    <w:rsid w:val="0CC76A93"/>
    <w:rsid w:val="0CCA74C4"/>
    <w:rsid w:val="0CDD11A6"/>
    <w:rsid w:val="0CEE31B2"/>
    <w:rsid w:val="0CF779FA"/>
    <w:rsid w:val="0D077DD0"/>
    <w:rsid w:val="0D0F4ED6"/>
    <w:rsid w:val="0D1D5845"/>
    <w:rsid w:val="0D224637"/>
    <w:rsid w:val="0D3037CB"/>
    <w:rsid w:val="0D38442D"/>
    <w:rsid w:val="0D3D7C96"/>
    <w:rsid w:val="0D3F756A"/>
    <w:rsid w:val="0D411534"/>
    <w:rsid w:val="0D4C1C87"/>
    <w:rsid w:val="0D51729D"/>
    <w:rsid w:val="0D58687D"/>
    <w:rsid w:val="0D6B035F"/>
    <w:rsid w:val="0D7A6E39"/>
    <w:rsid w:val="0D7F205C"/>
    <w:rsid w:val="0D8838E1"/>
    <w:rsid w:val="0D8B4057"/>
    <w:rsid w:val="0D8E229F"/>
    <w:rsid w:val="0D98311E"/>
    <w:rsid w:val="0D996605"/>
    <w:rsid w:val="0DA47D15"/>
    <w:rsid w:val="0DA6583B"/>
    <w:rsid w:val="0DA65985"/>
    <w:rsid w:val="0DAD6BC9"/>
    <w:rsid w:val="0DAF0B93"/>
    <w:rsid w:val="0DBC3BF6"/>
    <w:rsid w:val="0DCD2DC7"/>
    <w:rsid w:val="0DE2767D"/>
    <w:rsid w:val="0E034A3B"/>
    <w:rsid w:val="0E100F06"/>
    <w:rsid w:val="0E171236"/>
    <w:rsid w:val="0E2624D8"/>
    <w:rsid w:val="0E27079D"/>
    <w:rsid w:val="0E2A15BE"/>
    <w:rsid w:val="0E2A1FC8"/>
    <w:rsid w:val="0E2B3F92"/>
    <w:rsid w:val="0E2D40FC"/>
    <w:rsid w:val="0E3A2BD7"/>
    <w:rsid w:val="0E4E4176"/>
    <w:rsid w:val="0E5C05EF"/>
    <w:rsid w:val="0E8D69FB"/>
    <w:rsid w:val="0E910299"/>
    <w:rsid w:val="0E963B01"/>
    <w:rsid w:val="0E990EFC"/>
    <w:rsid w:val="0ECC7523"/>
    <w:rsid w:val="0EDB5BD1"/>
    <w:rsid w:val="0EDC703A"/>
    <w:rsid w:val="0EE859DF"/>
    <w:rsid w:val="0EEF6D6E"/>
    <w:rsid w:val="0EF820C6"/>
    <w:rsid w:val="0F1113DA"/>
    <w:rsid w:val="0F1A6E6A"/>
    <w:rsid w:val="0F222E22"/>
    <w:rsid w:val="0F29457C"/>
    <w:rsid w:val="0F2A424A"/>
    <w:rsid w:val="0F360E40"/>
    <w:rsid w:val="0F601A19"/>
    <w:rsid w:val="0F6A6D45"/>
    <w:rsid w:val="0F707EAE"/>
    <w:rsid w:val="0F73799F"/>
    <w:rsid w:val="0F851480"/>
    <w:rsid w:val="0F873C06"/>
    <w:rsid w:val="0F8C0A60"/>
    <w:rsid w:val="0FBF2BE4"/>
    <w:rsid w:val="0FD83CA6"/>
    <w:rsid w:val="0FE4264A"/>
    <w:rsid w:val="100B407B"/>
    <w:rsid w:val="100D44E3"/>
    <w:rsid w:val="102551B2"/>
    <w:rsid w:val="103A04BC"/>
    <w:rsid w:val="104D1958"/>
    <w:rsid w:val="104F4132"/>
    <w:rsid w:val="105E064F"/>
    <w:rsid w:val="106237DA"/>
    <w:rsid w:val="106317C1"/>
    <w:rsid w:val="10685029"/>
    <w:rsid w:val="107B2FAF"/>
    <w:rsid w:val="108D4A90"/>
    <w:rsid w:val="10923E54"/>
    <w:rsid w:val="10B85FB1"/>
    <w:rsid w:val="10C413C2"/>
    <w:rsid w:val="10D12BCF"/>
    <w:rsid w:val="10DE7566"/>
    <w:rsid w:val="10E10D6A"/>
    <w:rsid w:val="10E50428"/>
    <w:rsid w:val="10F36FE9"/>
    <w:rsid w:val="11036B00"/>
    <w:rsid w:val="113D0264"/>
    <w:rsid w:val="114F2515"/>
    <w:rsid w:val="11691059"/>
    <w:rsid w:val="116972AB"/>
    <w:rsid w:val="116C0ACD"/>
    <w:rsid w:val="116C0B49"/>
    <w:rsid w:val="11782949"/>
    <w:rsid w:val="11785740"/>
    <w:rsid w:val="11867E5D"/>
    <w:rsid w:val="118D1444"/>
    <w:rsid w:val="119A7465"/>
    <w:rsid w:val="119B4F8B"/>
    <w:rsid w:val="11D30BC8"/>
    <w:rsid w:val="11DF30C9"/>
    <w:rsid w:val="11E76422"/>
    <w:rsid w:val="11E85FCF"/>
    <w:rsid w:val="11EE155E"/>
    <w:rsid w:val="11F16B6F"/>
    <w:rsid w:val="11F823DD"/>
    <w:rsid w:val="120B0362"/>
    <w:rsid w:val="12135469"/>
    <w:rsid w:val="1228313F"/>
    <w:rsid w:val="122A21A8"/>
    <w:rsid w:val="123011B5"/>
    <w:rsid w:val="12353631"/>
    <w:rsid w:val="12483364"/>
    <w:rsid w:val="12502219"/>
    <w:rsid w:val="12633CFA"/>
    <w:rsid w:val="12665599"/>
    <w:rsid w:val="126B0E01"/>
    <w:rsid w:val="126F119B"/>
    <w:rsid w:val="12902616"/>
    <w:rsid w:val="12993BC0"/>
    <w:rsid w:val="12B2450B"/>
    <w:rsid w:val="12B46304"/>
    <w:rsid w:val="12C549B5"/>
    <w:rsid w:val="12CC7AF2"/>
    <w:rsid w:val="12EB3CF0"/>
    <w:rsid w:val="12F91037"/>
    <w:rsid w:val="13010D7D"/>
    <w:rsid w:val="130E3A86"/>
    <w:rsid w:val="131E2317"/>
    <w:rsid w:val="13274D28"/>
    <w:rsid w:val="13285307"/>
    <w:rsid w:val="13385187"/>
    <w:rsid w:val="134C0C32"/>
    <w:rsid w:val="135B0819"/>
    <w:rsid w:val="136C3083"/>
    <w:rsid w:val="1370286E"/>
    <w:rsid w:val="13767A5D"/>
    <w:rsid w:val="1379754E"/>
    <w:rsid w:val="13873A19"/>
    <w:rsid w:val="13911C97"/>
    <w:rsid w:val="13914897"/>
    <w:rsid w:val="13916645"/>
    <w:rsid w:val="13936861"/>
    <w:rsid w:val="139F1BD5"/>
    <w:rsid w:val="13A66D9F"/>
    <w:rsid w:val="13AE5449"/>
    <w:rsid w:val="13F05A62"/>
    <w:rsid w:val="140B31B4"/>
    <w:rsid w:val="141379A2"/>
    <w:rsid w:val="14156866"/>
    <w:rsid w:val="142464C8"/>
    <w:rsid w:val="143A0A8B"/>
    <w:rsid w:val="143D5CE2"/>
    <w:rsid w:val="144638D4"/>
    <w:rsid w:val="14496F20"/>
    <w:rsid w:val="14631D00"/>
    <w:rsid w:val="14983A03"/>
    <w:rsid w:val="149C5646"/>
    <w:rsid w:val="14A800EA"/>
    <w:rsid w:val="14AA158F"/>
    <w:rsid w:val="14C86476"/>
    <w:rsid w:val="14CB3DD9"/>
    <w:rsid w:val="14CD7045"/>
    <w:rsid w:val="150A0454"/>
    <w:rsid w:val="151E215B"/>
    <w:rsid w:val="15274349"/>
    <w:rsid w:val="15284D87"/>
    <w:rsid w:val="153320AA"/>
    <w:rsid w:val="153F7F51"/>
    <w:rsid w:val="1542409B"/>
    <w:rsid w:val="1546345F"/>
    <w:rsid w:val="15466837"/>
    <w:rsid w:val="157E709D"/>
    <w:rsid w:val="15834F16"/>
    <w:rsid w:val="158F12AA"/>
    <w:rsid w:val="15915022"/>
    <w:rsid w:val="15B605E5"/>
    <w:rsid w:val="15B66837"/>
    <w:rsid w:val="15C4057F"/>
    <w:rsid w:val="15CC605B"/>
    <w:rsid w:val="15E2762C"/>
    <w:rsid w:val="15E92769"/>
    <w:rsid w:val="15F461BD"/>
    <w:rsid w:val="15F54816"/>
    <w:rsid w:val="15FA2BC8"/>
    <w:rsid w:val="160E03F1"/>
    <w:rsid w:val="160E6673"/>
    <w:rsid w:val="16175528"/>
    <w:rsid w:val="16297009"/>
    <w:rsid w:val="16302145"/>
    <w:rsid w:val="163C6D3C"/>
    <w:rsid w:val="16685D83"/>
    <w:rsid w:val="166F01F7"/>
    <w:rsid w:val="167C35DD"/>
    <w:rsid w:val="16AA4C09"/>
    <w:rsid w:val="16AD3796"/>
    <w:rsid w:val="16B234A2"/>
    <w:rsid w:val="16C46D32"/>
    <w:rsid w:val="16C531D6"/>
    <w:rsid w:val="16CC60C4"/>
    <w:rsid w:val="16DA0303"/>
    <w:rsid w:val="16E44BB0"/>
    <w:rsid w:val="16FC64CC"/>
    <w:rsid w:val="1701702A"/>
    <w:rsid w:val="17481711"/>
    <w:rsid w:val="17516817"/>
    <w:rsid w:val="1771220A"/>
    <w:rsid w:val="17BB4F81"/>
    <w:rsid w:val="17CE60BA"/>
    <w:rsid w:val="17DE2E95"/>
    <w:rsid w:val="17F13B56"/>
    <w:rsid w:val="17F453F5"/>
    <w:rsid w:val="18027B12"/>
    <w:rsid w:val="180A5720"/>
    <w:rsid w:val="183B1275"/>
    <w:rsid w:val="184A3267"/>
    <w:rsid w:val="185C36C6"/>
    <w:rsid w:val="1869193F"/>
    <w:rsid w:val="186F07F7"/>
    <w:rsid w:val="187A5C7E"/>
    <w:rsid w:val="18A137CE"/>
    <w:rsid w:val="18CB759E"/>
    <w:rsid w:val="18CD0120"/>
    <w:rsid w:val="18DE0BEA"/>
    <w:rsid w:val="18EB2C9C"/>
    <w:rsid w:val="190A1374"/>
    <w:rsid w:val="193261D5"/>
    <w:rsid w:val="193C6956"/>
    <w:rsid w:val="19455539"/>
    <w:rsid w:val="194A1770"/>
    <w:rsid w:val="19566367"/>
    <w:rsid w:val="19670897"/>
    <w:rsid w:val="19687E48"/>
    <w:rsid w:val="19763D46"/>
    <w:rsid w:val="199944A6"/>
    <w:rsid w:val="19C808E7"/>
    <w:rsid w:val="19D51ECE"/>
    <w:rsid w:val="19D90D46"/>
    <w:rsid w:val="19DF45AE"/>
    <w:rsid w:val="1A0E6C42"/>
    <w:rsid w:val="1A121912"/>
    <w:rsid w:val="1A1D50D7"/>
    <w:rsid w:val="1A385A6D"/>
    <w:rsid w:val="1A3B776D"/>
    <w:rsid w:val="1A3F7B5B"/>
    <w:rsid w:val="1A58277A"/>
    <w:rsid w:val="1A5F56EF"/>
    <w:rsid w:val="1A6D1019"/>
    <w:rsid w:val="1A734CF7"/>
    <w:rsid w:val="1A7F5449"/>
    <w:rsid w:val="1A8A3DEE"/>
    <w:rsid w:val="1A9B5FFB"/>
    <w:rsid w:val="1A9F5AEC"/>
    <w:rsid w:val="1AAB623F"/>
    <w:rsid w:val="1ABA2E0F"/>
    <w:rsid w:val="1ABD2416"/>
    <w:rsid w:val="1AC437A4"/>
    <w:rsid w:val="1AC63078"/>
    <w:rsid w:val="1ACB068F"/>
    <w:rsid w:val="1ACD2659"/>
    <w:rsid w:val="1ACD492B"/>
    <w:rsid w:val="1ADD6DAE"/>
    <w:rsid w:val="1AE52311"/>
    <w:rsid w:val="1AE93CEC"/>
    <w:rsid w:val="1AEB6F83"/>
    <w:rsid w:val="1B025687"/>
    <w:rsid w:val="1B0618BB"/>
    <w:rsid w:val="1B1D4C62"/>
    <w:rsid w:val="1B23671D"/>
    <w:rsid w:val="1B302BE8"/>
    <w:rsid w:val="1B3A26BB"/>
    <w:rsid w:val="1B4641B9"/>
    <w:rsid w:val="1B5E1503"/>
    <w:rsid w:val="1B646BBF"/>
    <w:rsid w:val="1B677EE2"/>
    <w:rsid w:val="1B6D5BEA"/>
    <w:rsid w:val="1B724FAE"/>
    <w:rsid w:val="1B891DA2"/>
    <w:rsid w:val="1BB455C7"/>
    <w:rsid w:val="1BBD091F"/>
    <w:rsid w:val="1BBE4697"/>
    <w:rsid w:val="1BD6553D"/>
    <w:rsid w:val="1BDD5CC2"/>
    <w:rsid w:val="1BDF0E28"/>
    <w:rsid w:val="1BE51C24"/>
    <w:rsid w:val="1BF2725A"/>
    <w:rsid w:val="1C115047"/>
    <w:rsid w:val="1C2269A1"/>
    <w:rsid w:val="1C365FDC"/>
    <w:rsid w:val="1C562403"/>
    <w:rsid w:val="1C784846"/>
    <w:rsid w:val="1C7B4336"/>
    <w:rsid w:val="1C8142FC"/>
    <w:rsid w:val="1C8A6328"/>
    <w:rsid w:val="1C907DE2"/>
    <w:rsid w:val="1CCC06EE"/>
    <w:rsid w:val="1CCE26B8"/>
    <w:rsid w:val="1CDB3570"/>
    <w:rsid w:val="1CDD6D9F"/>
    <w:rsid w:val="1CEB326A"/>
    <w:rsid w:val="1CF30371"/>
    <w:rsid w:val="1CF3211F"/>
    <w:rsid w:val="1CF814E3"/>
    <w:rsid w:val="1D2017AA"/>
    <w:rsid w:val="1D45521B"/>
    <w:rsid w:val="1D484219"/>
    <w:rsid w:val="1D6978E1"/>
    <w:rsid w:val="1D6D6F66"/>
    <w:rsid w:val="1D725739"/>
    <w:rsid w:val="1D8F67D2"/>
    <w:rsid w:val="1D9531D6"/>
    <w:rsid w:val="1DA17DCD"/>
    <w:rsid w:val="1DB53363"/>
    <w:rsid w:val="1DB55626"/>
    <w:rsid w:val="1DC046F7"/>
    <w:rsid w:val="1DC13FCB"/>
    <w:rsid w:val="1DC35F95"/>
    <w:rsid w:val="1DCA2E80"/>
    <w:rsid w:val="1DD957B9"/>
    <w:rsid w:val="1DDF4451"/>
    <w:rsid w:val="1DFE0D7B"/>
    <w:rsid w:val="1E05035C"/>
    <w:rsid w:val="1E114F52"/>
    <w:rsid w:val="1E1C7453"/>
    <w:rsid w:val="1E234C86"/>
    <w:rsid w:val="1E2B65AD"/>
    <w:rsid w:val="1E562965"/>
    <w:rsid w:val="1E6A6411"/>
    <w:rsid w:val="1E6E5F01"/>
    <w:rsid w:val="1E890F8D"/>
    <w:rsid w:val="1E8C1BDB"/>
    <w:rsid w:val="1E984D2C"/>
    <w:rsid w:val="1EA01E32"/>
    <w:rsid w:val="1EA37B56"/>
    <w:rsid w:val="1EBC3110"/>
    <w:rsid w:val="1EC27FFB"/>
    <w:rsid w:val="1EC45B21"/>
    <w:rsid w:val="1EC975DB"/>
    <w:rsid w:val="1ECC2C27"/>
    <w:rsid w:val="1EDC2EB3"/>
    <w:rsid w:val="1EED311A"/>
    <w:rsid w:val="1EFB350D"/>
    <w:rsid w:val="1F115C62"/>
    <w:rsid w:val="1F1F369F"/>
    <w:rsid w:val="1F234F3D"/>
    <w:rsid w:val="1F4648B3"/>
    <w:rsid w:val="1F522A54"/>
    <w:rsid w:val="1F6B68E4"/>
    <w:rsid w:val="1F7D3F22"/>
    <w:rsid w:val="1F9026E6"/>
    <w:rsid w:val="1F923E71"/>
    <w:rsid w:val="1F9768C5"/>
    <w:rsid w:val="1F9A0F77"/>
    <w:rsid w:val="1F9B7945"/>
    <w:rsid w:val="1F9E2816"/>
    <w:rsid w:val="1FAE057F"/>
    <w:rsid w:val="1FEC17D3"/>
    <w:rsid w:val="1FED0644"/>
    <w:rsid w:val="1FF02946"/>
    <w:rsid w:val="200A4B36"/>
    <w:rsid w:val="2014288C"/>
    <w:rsid w:val="201E3957"/>
    <w:rsid w:val="202F346E"/>
    <w:rsid w:val="20362A4E"/>
    <w:rsid w:val="203767C6"/>
    <w:rsid w:val="203B62B7"/>
    <w:rsid w:val="20673947"/>
    <w:rsid w:val="2080016D"/>
    <w:rsid w:val="20866C6D"/>
    <w:rsid w:val="2091237A"/>
    <w:rsid w:val="20C77B4A"/>
    <w:rsid w:val="20CE0AD0"/>
    <w:rsid w:val="20D03B09"/>
    <w:rsid w:val="20DA602C"/>
    <w:rsid w:val="20EF154A"/>
    <w:rsid w:val="210C7C53"/>
    <w:rsid w:val="2110329F"/>
    <w:rsid w:val="211508B6"/>
    <w:rsid w:val="212B632B"/>
    <w:rsid w:val="213845A4"/>
    <w:rsid w:val="214473ED"/>
    <w:rsid w:val="2152052D"/>
    <w:rsid w:val="2167118E"/>
    <w:rsid w:val="217575A6"/>
    <w:rsid w:val="217C26E3"/>
    <w:rsid w:val="2181419D"/>
    <w:rsid w:val="21900776"/>
    <w:rsid w:val="2198351F"/>
    <w:rsid w:val="219C02A2"/>
    <w:rsid w:val="21A353DB"/>
    <w:rsid w:val="21B04A82"/>
    <w:rsid w:val="21BF4CC5"/>
    <w:rsid w:val="21C127EB"/>
    <w:rsid w:val="21D60EF2"/>
    <w:rsid w:val="21D82BCD"/>
    <w:rsid w:val="21E464DA"/>
    <w:rsid w:val="21E5472C"/>
    <w:rsid w:val="22235F69"/>
    <w:rsid w:val="22372AAE"/>
    <w:rsid w:val="225B679C"/>
    <w:rsid w:val="226B2757"/>
    <w:rsid w:val="226C44AE"/>
    <w:rsid w:val="22721D38"/>
    <w:rsid w:val="22753536"/>
    <w:rsid w:val="22965A26"/>
    <w:rsid w:val="22A75E85"/>
    <w:rsid w:val="22B10AB2"/>
    <w:rsid w:val="22C73E32"/>
    <w:rsid w:val="22CC769A"/>
    <w:rsid w:val="22D16E1B"/>
    <w:rsid w:val="22D22E55"/>
    <w:rsid w:val="22DB5B2F"/>
    <w:rsid w:val="22DB78DD"/>
    <w:rsid w:val="22EB3FC4"/>
    <w:rsid w:val="22F8223D"/>
    <w:rsid w:val="22FB1D2D"/>
    <w:rsid w:val="23144B9D"/>
    <w:rsid w:val="231A0405"/>
    <w:rsid w:val="232474D6"/>
    <w:rsid w:val="23396B62"/>
    <w:rsid w:val="23566A91"/>
    <w:rsid w:val="2358717F"/>
    <w:rsid w:val="23654B0D"/>
    <w:rsid w:val="23757D31"/>
    <w:rsid w:val="237D3039"/>
    <w:rsid w:val="239131F4"/>
    <w:rsid w:val="239161EE"/>
    <w:rsid w:val="23922691"/>
    <w:rsid w:val="23A203FB"/>
    <w:rsid w:val="23AC3027"/>
    <w:rsid w:val="23AE6D9F"/>
    <w:rsid w:val="23CE7163"/>
    <w:rsid w:val="23D031BA"/>
    <w:rsid w:val="23D04F68"/>
    <w:rsid w:val="23E33518"/>
    <w:rsid w:val="23E40A13"/>
    <w:rsid w:val="23EA427B"/>
    <w:rsid w:val="23ED3C99"/>
    <w:rsid w:val="23F940BA"/>
    <w:rsid w:val="240A66CC"/>
    <w:rsid w:val="240B41F2"/>
    <w:rsid w:val="240D1D18"/>
    <w:rsid w:val="241B616B"/>
    <w:rsid w:val="24264B88"/>
    <w:rsid w:val="24347EF0"/>
    <w:rsid w:val="2438765C"/>
    <w:rsid w:val="243E45C7"/>
    <w:rsid w:val="244B0A92"/>
    <w:rsid w:val="24525F11"/>
    <w:rsid w:val="2455546D"/>
    <w:rsid w:val="246102B6"/>
    <w:rsid w:val="246758CC"/>
    <w:rsid w:val="246851A0"/>
    <w:rsid w:val="247B4ED4"/>
    <w:rsid w:val="247E49C4"/>
    <w:rsid w:val="249A1F8C"/>
    <w:rsid w:val="249E79F9"/>
    <w:rsid w:val="24B83CB6"/>
    <w:rsid w:val="24C22B02"/>
    <w:rsid w:val="24CF6FCD"/>
    <w:rsid w:val="24D665AE"/>
    <w:rsid w:val="24FB4266"/>
    <w:rsid w:val="25090731"/>
    <w:rsid w:val="2533755C"/>
    <w:rsid w:val="253F05F7"/>
    <w:rsid w:val="25401C79"/>
    <w:rsid w:val="25416050"/>
    <w:rsid w:val="254554E2"/>
    <w:rsid w:val="25545725"/>
    <w:rsid w:val="2556149D"/>
    <w:rsid w:val="25626093"/>
    <w:rsid w:val="256A4F48"/>
    <w:rsid w:val="259260F1"/>
    <w:rsid w:val="25994862"/>
    <w:rsid w:val="25A22934"/>
    <w:rsid w:val="25B12B77"/>
    <w:rsid w:val="25BA5ED0"/>
    <w:rsid w:val="25C91C6F"/>
    <w:rsid w:val="25CB5FAF"/>
    <w:rsid w:val="25F767DC"/>
    <w:rsid w:val="25FA2770"/>
    <w:rsid w:val="25FC3DF2"/>
    <w:rsid w:val="25FF1B34"/>
    <w:rsid w:val="2604539D"/>
    <w:rsid w:val="26141660"/>
    <w:rsid w:val="26153106"/>
    <w:rsid w:val="261A071C"/>
    <w:rsid w:val="26381ACC"/>
    <w:rsid w:val="26404627"/>
    <w:rsid w:val="2681079B"/>
    <w:rsid w:val="268838D8"/>
    <w:rsid w:val="268C0CBA"/>
    <w:rsid w:val="26995AE5"/>
    <w:rsid w:val="269B185D"/>
    <w:rsid w:val="269C4877"/>
    <w:rsid w:val="26A050C5"/>
    <w:rsid w:val="26AE0A34"/>
    <w:rsid w:val="26AF355A"/>
    <w:rsid w:val="26B50445"/>
    <w:rsid w:val="26C879F4"/>
    <w:rsid w:val="26DF742E"/>
    <w:rsid w:val="26E50D2A"/>
    <w:rsid w:val="26ED7BDF"/>
    <w:rsid w:val="26EF7DFB"/>
    <w:rsid w:val="26FE2F45"/>
    <w:rsid w:val="27005B64"/>
    <w:rsid w:val="270545E6"/>
    <w:rsid w:val="271433BD"/>
    <w:rsid w:val="27147861"/>
    <w:rsid w:val="271635D9"/>
    <w:rsid w:val="27206508"/>
    <w:rsid w:val="272C4BAB"/>
    <w:rsid w:val="273029BC"/>
    <w:rsid w:val="273B6528"/>
    <w:rsid w:val="27402404"/>
    <w:rsid w:val="274A56BE"/>
    <w:rsid w:val="275630C5"/>
    <w:rsid w:val="27593BC5"/>
    <w:rsid w:val="275A1718"/>
    <w:rsid w:val="27604855"/>
    <w:rsid w:val="27644FCF"/>
    <w:rsid w:val="276854B7"/>
    <w:rsid w:val="277976C4"/>
    <w:rsid w:val="277E3C29"/>
    <w:rsid w:val="27806CA5"/>
    <w:rsid w:val="2783199F"/>
    <w:rsid w:val="2783718F"/>
    <w:rsid w:val="27930786"/>
    <w:rsid w:val="27A877A0"/>
    <w:rsid w:val="27BF3329"/>
    <w:rsid w:val="27C070A1"/>
    <w:rsid w:val="27C748D4"/>
    <w:rsid w:val="27DA300E"/>
    <w:rsid w:val="27DB2090"/>
    <w:rsid w:val="27EB0257"/>
    <w:rsid w:val="27EB6814"/>
    <w:rsid w:val="27FB3942"/>
    <w:rsid w:val="27FB515C"/>
    <w:rsid w:val="280478D6"/>
    <w:rsid w:val="281F026C"/>
    <w:rsid w:val="281F6E41"/>
    <w:rsid w:val="28245175"/>
    <w:rsid w:val="2828152A"/>
    <w:rsid w:val="283B0969"/>
    <w:rsid w:val="28447CD2"/>
    <w:rsid w:val="285C7334"/>
    <w:rsid w:val="28643ED1"/>
    <w:rsid w:val="286E4D4F"/>
    <w:rsid w:val="287265EE"/>
    <w:rsid w:val="289E5635"/>
    <w:rsid w:val="28A16ED3"/>
    <w:rsid w:val="28A6273B"/>
    <w:rsid w:val="28B766F6"/>
    <w:rsid w:val="28CF1C92"/>
    <w:rsid w:val="28D41056"/>
    <w:rsid w:val="28EC2331"/>
    <w:rsid w:val="28F11C08"/>
    <w:rsid w:val="28F434A6"/>
    <w:rsid w:val="294C08DA"/>
    <w:rsid w:val="296C128F"/>
    <w:rsid w:val="296D5007"/>
    <w:rsid w:val="296F4C5F"/>
    <w:rsid w:val="29802F8C"/>
    <w:rsid w:val="29930F11"/>
    <w:rsid w:val="299D3B3E"/>
    <w:rsid w:val="29B11398"/>
    <w:rsid w:val="29B13146"/>
    <w:rsid w:val="29B97B43"/>
    <w:rsid w:val="29CE1F49"/>
    <w:rsid w:val="29D84B76"/>
    <w:rsid w:val="29DF5F05"/>
    <w:rsid w:val="29EA62A5"/>
    <w:rsid w:val="29F01EC0"/>
    <w:rsid w:val="2A1F27A5"/>
    <w:rsid w:val="2A202079"/>
    <w:rsid w:val="2A2D4EC2"/>
    <w:rsid w:val="2A314286"/>
    <w:rsid w:val="2A337FFE"/>
    <w:rsid w:val="2A3C3357"/>
    <w:rsid w:val="2A473AAA"/>
    <w:rsid w:val="2A570191"/>
    <w:rsid w:val="2A571F3F"/>
    <w:rsid w:val="2A5E32CD"/>
    <w:rsid w:val="2A6603D4"/>
    <w:rsid w:val="2A6F6748"/>
    <w:rsid w:val="2A73664D"/>
    <w:rsid w:val="2A84085A"/>
    <w:rsid w:val="2A9A007E"/>
    <w:rsid w:val="2AB4113F"/>
    <w:rsid w:val="2AB47391"/>
    <w:rsid w:val="2ABC7FF4"/>
    <w:rsid w:val="2AC31382"/>
    <w:rsid w:val="2ACB6489"/>
    <w:rsid w:val="2AFC2AE6"/>
    <w:rsid w:val="2B213D29"/>
    <w:rsid w:val="2B2B726B"/>
    <w:rsid w:val="2B2D4A4E"/>
    <w:rsid w:val="2B396377"/>
    <w:rsid w:val="2B471FB3"/>
    <w:rsid w:val="2B485D2C"/>
    <w:rsid w:val="2B5841C1"/>
    <w:rsid w:val="2B5B15BB"/>
    <w:rsid w:val="2B5E72FD"/>
    <w:rsid w:val="2B6C1A1A"/>
    <w:rsid w:val="2B6E0945"/>
    <w:rsid w:val="2B77090E"/>
    <w:rsid w:val="2B830541"/>
    <w:rsid w:val="2B8E3B75"/>
    <w:rsid w:val="2B9D2066"/>
    <w:rsid w:val="2BA80578"/>
    <w:rsid w:val="2BDF3F0E"/>
    <w:rsid w:val="2BF81500"/>
    <w:rsid w:val="2C161986"/>
    <w:rsid w:val="2C29216E"/>
    <w:rsid w:val="2C2F3AC5"/>
    <w:rsid w:val="2C3A5674"/>
    <w:rsid w:val="2C506C46"/>
    <w:rsid w:val="2C574478"/>
    <w:rsid w:val="2C5A1872"/>
    <w:rsid w:val="2C6D7C8B"/>
    <w:rsid w:val="2C7212B2"/>
    <w:rsid w:val="2C736DD8"/>
    <w:rsid w:val="2C75006C"/>
    <w:rsid w:val="2C7F2067"/>
    <w:rsid w:val="2C8114F5"/>
    <w:rsid w:val="2CA84CD4"/>
    <w:rsid w:val="2CAA6AF7"/>
    <w:rsid w:val="2CB216AE"/>
    <w:rsid w:val="2CD07D87"/>
    <w:rsid w:val="2CD258AD"/>
    <w:rsid w:val="2CD5539D"/>
    <w:rsid w:val="2CF07B24"/>
    <w:rsid w:val="2CF41CC7"/>
    <w:rsid w:val="2D0A1488"/>
    <w:rsid w:val="2D0A773C"/>
    <w:rsid w:val="2D4D7629"/>
    <w:rsid w:val="2D510EC7"/>
    <w:rsid w:val="2D5B3AF4"/>
    <w:rsid w:val="2D62795A"/>
    <w:rsid w:val="2D630BFB"/>
    <w:rsid w:val="2D6E6085"/>
    <w:rsid w:val="2D86398C"/>
    <w:rsid w:val="2D9B0395"/>
    <w:rsid w:val="2DC9792A"/>
    <w:rsid w:val="2DCC49F2"/>
    <w:rsid w:val="2DD438A6"/>
    <w:rsid w:val="2DD86FBB"/>
    <w:rsid w:val="2DDD09AD"/>
    <w:rsid w:val="2E1F2D74"/>
    <w:rsid w:val="2E3C1B78"/>
    <w:rsid w:val="2E580034"/>
    <w:rsid w:val="2E5C5D76"/>
    <w:rsid w:val="2E67471B"/>
    <w:rsid w:val="2E6B3CB5"/>
    <w:rsid w:val="2E953400"/>
    <w:rsid w:val="2EA15273"/>
    <w:rsid w:val="2EA63495"/>
    <w:rsid w:val="2EB55486"/>
    <w:rsid w:val="2EB822CA"/>
    <w:rsid w:val="2EB9643D"/>
    <w:rsid w:val="2EC3109B"/>
    <w:rsid w:val="2EE200F9"/>
    <w:rsid w:val="2F11721B"/>
    <w:rsid w:val="2F176141"/>
    <w:rsid w:val="2F1E74CF"/>
    <w:rsid w:val="2F436F36"/>
    <w:rsid w:val="2F513AA1"/>
    <w:rsid w:val="2F520F27"/>
    <w:rsid w:val="2F544C9F"/>
    <w:rsid w:val="2F624B4C"/>
    <w:rsid w:val="2F715851"/>
    <w:rsid w:val="2F740E9D"/>
    <w:rsid w:val="2F7964B4"/>
    <w:rsid w:val="2F9231AE"/>
    <w:rsid w:val="2F947791"/>
    <w:rsid w:val="2FAA2E62"/>
    <w:rsid w:val="2FC260AC"/>
    <w:rsid w:val="2FC736C3"/>
    <w:rsid w:val="2FEF6776"/>
    <w:rsid w:val="2FFD0A4E"/>
    <w:rsid w:val="2FFD4D31"/>
    <w:rsid w:val="30006BD5"/>
    <w:rsid w:val="300D56E3"/>
    <w:rsid w:val="300F506A"/>
    <w:rsid w:val="30185CCC"/>
    <w:rsid w:val="30274161"/>
    <w:rsid w:val="304940D8"/>
    <w:rsid w:val="30695649"/>
    <w:rsid w:val="307F7AFA"/>
    <w:rsid w:val="30A532D8"/>
    <w:rsid w:val="30A76E60"/>
    <w:rsid w:val="30BC6FA0"/>
    <w:rsid w:val="30D53BBD"/>
    <w:rsid w:val="30D62402"/>
    <w:rsid w:val="30DD6F16"/>
    <w:rsid w:val="30FD3114"/>
    <w:rsid w:val="311566B0"/>
    <w:rsid w:val="313C3C3D"/>
    <w:rsid w:val="317F1D7B"/>
    <w:rsid w:val="31905D36"/>
    <w:rsid w:val="319C292D"/>
    <w:rsid w:val="319D5A1B"/>
    <w:rsid w:val="319D73E5"/>
    <w:rsid w:val="31AF3FF6"/>
    <w:rsid w:val="31CB26CF"/>
    <w:rsid w:val="31D01159"/>
    <w:rsid w:val="31E00A6C"/>
    <w:rsid w:val="31F91B2E"/>
    <w:rsid w:val="31FE0EF2"/>
    <w:rsid w:val="32096215"/>
    <w:rsid w:val="320A5AE9"/>
    <w:rsid w:val="32361BEB"/>
    <w:rsid w:val="32377580"/>
    <w:rsid w:val="323B2146"/>
    <w:rsid w:val="32474FBC"/>
    <w:rsid w:val="324803BF"/>
    <w:rsid w:val="325032DD"/>
    <w:rsid w:val="3255017A"/>
    <w:rsid w:val="32573D8E"/>
    <w:rsid w:val="325D20BC"/>
    <w:rsid w:val="327105DD"/>
    <w:rsid w:val="328504C3"/>
    <w:rsid w:val="32981444"/>
    <w:rsid w:val="32BE4D71"/>
    <w:rsid w:val="32C71C2C"/>
    <w:rsid w:val="32D355BB"/>
    <w:rsid w:val="32DD1848"/>
    <w:rsid w:val="32E427DE"/>
    <w:rsid w:val="32E75E2A"/>
    <w:rsid w:val="33252710"/>
    <w:rsid w:val="332B21BB"/>
    <w:rsid w:val="3333106F"/>
    <w:rsid w:val="334C5DA5"/>
    <w:rsid w:val="33510E1D"/>
    <w:rsid w:val="33727DEA"/>
    <w:rsid w:val="33795E2F"/>
    <w:rsid w:val="337A0A4C"/>
    <w:rsid w:val="33863895"/>
    <w:rsid w:val="33CB12A8"/>
    <w:rsid w:val="33E67E90"/>
    <w:rsid w:val="341B3FDD"/>
    <w:rsid w:val="342C7F98"/>
    <w:rsid w:val="343B467F"/>
    <w:rsid w:val="343F46CF"/>
    <w:rsid w:val="344277BC"/>
    <w:rsid w:val="345831E6"/>
    <w:rsid w:val="347B0F20"/>
    <w:rsid w:val="348E2A01"/>
    <w:rsid w:val="349124F1"/>
    <w:rsid w:val="34983880"/>
    <w:rsid w:val="349B2BDB"/>
    <w:rsid w:val="349D49F2"/>
    <w:rsid w:val="34A71D15"/>
    <w:rsid w:val="34AA710F"/>
    <w:rsid w:val="34CA77B1"/>
    <w:rsid w:val="34F523AB"/>
    <w:rsid w:val="3502519D"/>
    <w:rsid w:val="3509718D"/>
    <w:rsid w:val="35171765"/>
    <w:rsid w:val="351D1FD7"/>
    <w:rsid w:val="35374E47"/>
    <w:rsid w:val="354B6B44"/>
    <w:rsid w:val="354C01C6"/>
    <w:rsid w:val="35531555"/>
    <w:rsid w:val="355A0026"/>
    <w:rsid w:val="35647C06"/>
    <w:rsid w:val="35696FCA"/>
    <w:rsid w:val="356A15C4"/>
    <w:rsid w:val="358362DE"/>
    <w:rsid w:val="35942299"/>
    <w:rsid w:val="359C73A0"/>
    <w:rsid w:val="35A40002"/>
    <w:rsid w:val="35A95619"/>
    <w:rsid w:val="35A973C7"/>
    <w:rsid w:val="35AB23A4"/>
    <w:rsid w:val="35C77473"/>
    <w:rsid w:val="35C80195"/>
    <w:rsid w:val="35D824D3"/>
    <w:rsid w:val="35EB2782"/>
    <w:rsid w:val="35FC192B"/>
    <w:rsid w:val="360B6A01"/>
    <w:rsid w:val="360F36CE"/>
    <w:rsid w:val="36157D8C"/>
    <w:rsid w:val="36203B2D"/>
    <w:rsid w:val="36211653"/>
    <w:rsid w:val="3632560E"/>
    <w:rsid w:val="3643781B"/>
    <w:rsid w:val="365E6403"/>
    <w:rsid w:val="3687595A"/>
    <w:rsid w:val="368F6343"/>
    <w:rsid w:val="36963DEF"/>
    <w:rsid w:val="369D33CF"/>
    <w:rsid w:val="36A549A2"/>
    <w:rsid w:val="36A93B22"/>
    <w:rsid w:val="36AE738B"/>
    <w:rsid w:val="36BD5820"/>
    <w:rsid w:val="36CC7811"/>
    <w:rsid w:val="36DD557A"/>
    <w:rsid w:val="36DE0C23"/>
    <w:rsid w:val="36E0506A"/>
    <w:rsid w:val="36F31241"/>
    <w:rsid w:val="36F823B4"/>
    <w:rsid w:val="36FB00F6"/>
    <w:rsid w:val="3700570C"/>
    <w:rsid w:val="37076126"/>
    <w:rsid w:val="370A20E7"/>
    <w:rsid w:val="371116C7"/>
    <w:rsid w:val="37335AE2"/>
    <w:rsid w:val="37465815"/>
    <w:rsid w:val="37620175"/>
    <w:rsid w:val="376358B3"/>
    <w:rsid w:val="376E6B1A"/>
    <w:rsid w:val="378C0D4E"/>
    <w:rsid w:val="37971BCD"/>
    <w:rsid w:val="37A07217"/>
    <w:rsid w:val="37A82B4C"/>
    <w:rsid w:val="37AB1B1C"/>
    <w:rsid w:val="37BA1D5F"/>
    <w:rsid w:val="37BF1123"/>
    <w:rsid w:val="37C66267"/>
    <w:rsid w:val="37DE77FC"/>
    <w:rsid w:val="37E42938"/>
    <w:rsid w:val="37E46B93"/>
    <w:rsid w:val="37E64902"/>
    <w:rsid w:val="37EB3CC7"/>
    <w:rsid w:val="38064FA4"/>
    <w:rsid w:val="38251020"/>
    <w:rsid w:val="3836053E"/>
    <w:rsid w:val="38390ED6"/>
    <w:rsid w:val="3842422E"/>
    <w:rsid w:val="384358B1"/>
    <w:rsid w:val="384855BD"/>
    <w:rsid w:val="384A30E3"/>
    <w:rsid w:val="384B3F24"/>
    <w:rsid w:val="38581833"/>
    <w:rsid w:val="38622067"/>
    <w:rsid w:val="38796219"/>
    <w:rsid w:val="387B504A"/>
    <w:rsid w:val="387C7014"/>
    <w:rsid w:val="389154E2"/>
    <w:rsid w:val="38A04FB0"/>
    <w:rsid w:val="38AC16A8"/>
    <w:rsid w:val="38C5276A"/>
    <w:rsid w:val="38C70AF3"/>
    <w:rsid w:val="38CA2875"/>
    <w:rsid w:val="38D155B2"/>
    <w:rsid w:val="38D34E86"/>
    <w:rsid w:val="38D429AD"/>
    <w:rsid w:val="38D8249D"/>
    <w:rsid w:val="38D97FC3"/>
    <w:rsid w:val="38F82B3F"/>
    <w:rsid w:val="38F90665"/>
    <w:rsid w:val="39045FAA"/>
    <w:rsid w:val="39227BBC"/>
    <w:rsid w:val="39317DFF"/>
    <w:rsid w:val="394A3B6E"/>
    <w:rsid w:val="394D487E"/>
    <w:rsid w:val="3958538C"/>
    <w:rsid w:val="396404E2"/>
    <w:rsid w:val="39693A3D"/>
    <w:rsid w:val="397877DC"/>
    <w:rsid w:val="397C776C"/>
    <w:rsid w:val="397D4DF2"/>
    <w:rsid w:val="39875C71"/>
    <w:rsid w:val="3995577A"/>
    <w:rsid w:val="399E5F5D"/>
    <w:rsid w:val="39A20CFD"/>
    <w:rsid w:val="39A700C1"/>
    <w:rsid w:val="39AD3929"/>
    <w:rsid w:val="39B60304"/>
    <w:rsid w:val="39C96DA5"/>
    <w:rsid w:val="39CB2002"/>
    <w:rsid w:val="39CE1AF2"/>
    <w:rsid w:val="39DA0497"/>
    <w:rsid w:val="3A022A5F"/>
    <w:rsid w:val="3A1E0383"/>
    <w:rsid w:val="3A345DF9"/>
    <w:rsid w:val="3A3758E9"/>
    <w:rsid w:val="3A461688"/>
    <w:rsid w:val="3A52627F"/>
    <w:rsid w:val="3A5A7A93"/>
    <w:rsid w:val="3A63223A"/>
    <w:rsid w:val="3A682CE2"/>
    <w:rsid w:val="3A6C5593"/>
    <w:rsid w:val="3A712BA9"/>
    <w:rsid w:val="3A862F24"/>
    <w:rsid w:val="3A8659CE"/>
    <w:rsid w:val="3A946897"/>
    <w:rsid w:val="3AD153F6"/>
    <w:rsid w:val="3ADA3168"/>
    <w:rsid w:val="3ADC45D0"/>
    <w:rsid w:val="3AE958FD"/>
    <w:rsid w:val="3AFC23EB"/>
    <w:rsid w:val="3AFE1F63"/>
    <w:rsid w:val="3B1654FE"/>
    <w:rsid w:val="3B19332B"/>
    <w:rsid w:val="3B1F759A"/>
    <w:rsid w:val="3B216955"/>
    <w:rsid w:val="3B273268"/>
    <w:rsid w:val="3B3F2CA7"/>
    <w:rsid w:val="3B443E1A"/>
    <w:rsid w:val="3B4E575D"/>
    <w:rsid w:val="3B561D9F"/>
    <w:rsid w:val="3B620744"/>
    <w:rsid w:val="3B6224F2"/>
    <w:rsid w:val="3B716BD9"/>
    <w:rsid w:val="3B806E1C"/>
    <w:rsid w:val="3B90705F"/>
    <w:rsid w:val="3B9528C7"/>
    <w:rsid w:val="3BAB5FA3"/>
    <w:rsid w:val="3BB0325D"/>
    <w:rsid w:val="3BBD1E1E"/>
    <w:rsid w:val="3BBD597A"/>
    <w:rsid w:val="3BD333EF"/>
    <w:rsid w:val="3BE13D5E"/>
    <w:rsid w:val="3BF92F2D"/>
    <w:rsid w:val="3C0435A9"/>
    <w:rsid w:val="3C1C08F2"/>
    <w:rsid w:val="3C277297"/>
    <w:rsid w:val="3C2B6D87"/>
    <w:rsid w:val="3C30439E"/>
    <w:rsid w:val="3C355E58"/>
    <w:rsid w:val="3C460065"/>
    <w:rsid w:val="3C683B38"/>
    <w:rsid w:val="3C6D73A0"/>
    <w:rsid w:val="3C7A1ABD"/>
    <w:rsid w:val="3C88242C"/>
    <w:rsid w:val="3C954118"/>
    <w:rsid w:val="3C9D2CE2"/>
    <w:rsid w:val="3CA052EC"/>
    <w:rsid w:val="3CDB69FF"/>
    <w:rsid w:val="3D026D87"/>
    <w:rsid w:val="3D0870C9"/>
    <w:rsid w:val="3D1B6DFC"/>
    <w:rsid w:val="3D3659E4"/>
    <w:rsid w:val="3D385C00"/>
    <w:rsid w:val="3D532A3A"/>
    <w:rsid w:val="3D57495F"/>
    <w:rsid w:val="3D600CB3"/>
    <w:rsid w:val="3D7309E6"/>
    <w:rsid w:val="3D7B3D3F"/>
    <w:rsid w:val="3D8B7DB9"/>
    <w:rsid w:val="3D9848F1"/>
    <w:rsid w:val="3DA21498"/>
    <w:rsid w:val="3DBD7EB3"/>
    <w:rsid w:val="3DC01751"/>
    <w:rsid w:val="3DC94AAA"/>
    <w:rsid w:val="3DD400FC"/>
    <w:rsid w:val="3DE83CFF"/>
    <w:rsid w:val="3DF24001"/>
    <w:rsid w:val="3DFF04CC"/>
    <w:rsid w:val="3E0437D5"/>
    <w:rsid w:val="3E1602FB"/>
    <w:rsid w:val="3E1C2E2C"/>
    <w:rsid w:val="3E39196F"/>
    <w:rsid w:val="3E3E7BDA"/>
    <w:rsid w:val="3E5C147A"/>
    <w:rsid w:val="3E6476BA"/>
    <w:rsid w:val="3E815385"/>
    <w:rsid w:val="3E8B7FB1"/>
    <w:rsid w:val="3E907376"/>
    <w:rsid w:val="3E9E1A93"/>
    <w:rsid w:val="3EB2553E"/>
    <w:rsid w:val="3EBF1A09"/>
    <w:rsid w:val="3EC62D97"/>
    <w:rsid w:val="3EC6723B"/>
    <w:rsid w:val="3EC978C8"/>
    <w:rsid w:val="3ECB6600"/>
    <w:rsid w:val="3ED731F7"/>
    <w:rsid w:val="3EE6168C"/>
    <w:rsid w:val="3EEA2F2A"/>
    <w:rsid w:val="3EED0FE4"/>
    <w:rsid w:val="3EF45B57"/>
    <w:rsid w:val="3EF67B21"/>
    <w:rsid w:val="3EFD0EAF"/>
    <w:rsid w:val="3F057D64"/>
    <w:rsid w:val="3F156188"/>
    <w:rsid w:val="3F163D1F"/>
    <w:rsid w:val="3F2D2E17"/>
    <w:rsid w:val="3F4C5993"/>
    <w:rsid w:val="3F5E1222"/>
    <w:rsid w:val="3F5E56C6"/>
    <w:rsid w:val="3F740A45"/>
    <w:rsid w:val="3F852C53"/>
    <w:rsid w:val="3F877BBC"/>
    <w:rsid w:val="3F8E0A52"/>
    <w:rsid w:val="3F8F762D"/>
    <w:rsid w:val="3F964E60"/>
    <w:rsid w:val="3F9E56B6"/>
    <w:rsid w:val="3FA23805"/>
    <w:rsid w:val="3FB3156E"/>
    <w:rsid w:val="3FC70145"/>
    <w:rsid w:val="3FC96FE3"/>
    <w:rsid w:val="3FD13129"/>
    <w:rsid w:val="3FD55988"/>
    <w:rsid w:val="3FDF4418"/>
    <w:rsid w:val="40181D19"/>
    <w:rsid w:val="401B7113"/>
    <w:rsid w:val="401D732F"/>
    <w:rsid w:val="40231C68"/>
    <w:rsid w:val="40284D6D"/>
    <w:rsid w:val="40380203"/>
    <w:rsid w:val="403F2E01"/>
    <w:rsid w:val="40442B0E"/>
    <w:rsid w:val="40491ED2"/>
    <w:rsid w:val="40493C80"/>
    <w:rsid w:val="407927B7"/>
    <w:rsid w:val="409273D5"/>
    <w:rsid w:val="40A25464"/>
    <w:rsid w:val="40BC23C2"/>
    <w:rsid w:val="40F41E3E"/>
    <w:rsid w:val="41010626"/>
    <w:rsid w:val="41014DAF"/>
    <w:rsid w:val="4105404B"/>
    <w:rsid w:val="41135D13"/>
    <w:rsid w:val="41230975"/>
    <w:rsid w:val="412B15D8"/>
    <w:rsid w:val="412C782A"/>
    <w:rsid w:val="41384420"/>
    <w:rsid w:val="41436921"/>
    <w:rsid w:val="41663199"/>
    <w:rsid w:val="41711C4E"/>
    <w:rsid w:val="41A73354"/>
    <w:rsid w:val="41A82C28"/>
    <w:rsid w:val="41CA2B9F"/>
    <w:rsid w:val="41CE08E1"/>
    <w:rsid w:val="41D103D1"/>
    <w:rsid w:val="41E40104"/>
    <w:rsid w:val="41E77BF5"/>
    <w:rsid w:val="41F67E38"/>
    <w:rsid w:val="41FA16D6"/>
    <w:rsid w:val="42073DF3"/>
    <w:rsid w:val="420936C7"/>
    <w:rsid w:val="421B789E"/>
    <w:rsid w:val="42213106"/>
    <w:rsid w:val="422830F8"/>
    <w:rsid w:val="423B5AA0"/>
    <w:rsid w:val="42442951"/>
    <w:rsid w:val="425012F6"/>
    <w:rsid w:val="42562684"/>
    <w:rsid w:val="42660B19"/>
    <w:rsid w:val="426D3627"/>
    <w:rsid w:val="42811065"/>
    <w:rsid w:val="428E3F7D"/>
    <w:rsid w:val="42976F25"/>
    <w:rsid w:val="429A6A15"/>
    <w:rsid w:val="429E0961"/>
    <w:rsid w:val="42A24307"/>
    <w:rsid w:val="42A47894"/>
    <w:rsid w:val="42A54CA5"/>
    <w:rsid w:val="42A84AAD"/>
    <w:rsid w:val="42B0448A"/>
    <w:rsid w:val="42B87DC4"/>
    <w:rsid w:val="42C731D6"/>
    <w:rsid w:val="42C840CC"/>
    <w:rsid w:val="42CD0B98"/>
    <w:rsid w:val="42D0308A"/>
    <w:rsid w:val="42D92A2D"/>
    <w:rsid w:val="42E61C5A"/>
    <w:rsid w:val="42E87780"/>
    <w:rsid w:val="430A7189"/>
    <w:rsid w:val="430B7913"/>
    <w:rsid w:val="432033BE"/>
    <w:rsid w:val="43317379"/>
    <w:rsid w:val="43370708"/>
    <w:rsid w:val="433C13D9"/>
    <w:rsid w:val="43512378"/>
    <w:rsid w:val="435E3EE6"/>
    <w:rsid w:val="43672D9B"/>
    <w:rsid w:val="43707776"/>
    <w:rsid w:val="43770B04"/>
    <w:rsid w:val="43A37B4B"/>
    <w:rsid w:val="43B458B4"/>
    <w:rsid w:val="43B72A7C"/>
    <w:rsid w:val="43B92ECB"/>
    <w:rsid w:val="43CC2BFE"/>
    <w:rsid w:val="43EE526A"/>
    <w:rsid w:val="43FB34E3"/>
    <w:rsid w:val="43FE2FD4"/>
    <w:rsid w:val="44044A8E"/>
    <w:rsid w:val="440E76BA"/>
    <w:rsid w:val="44112E01"/>
    <w:rsid w:val="44175659"/>
    <w:rsid w:val="44240C8C"/>
    <w:rsid w:val="44366C11"/>
    <w:rsid w:val="4447497A"/>
    <w:rsid w:val="444924A1"/>
    <w:rsid w:val="44687BB7"/>
    <w:rsid w:val="44800670"/>
    <w:rsid w:val="44A56CFE"/>
    <w:rsid w:val="44C318F1"/>
    <w:rsid w:val="44C67F95"/>
    <w:rsid w:val="44CE6E4A"/>
    <w:rsid w:val="44E63476"/>
    <w:rsid w:val="44ED4010"/>
    <w:rsid w:val="44F763A1"/>
    <w:rsid w:val="44FB183E"/>
    <w:rsid w:val="44FE772F"/>
    <w:rsid w:val="45060392"/>
    <w:rsid w:val="452B7DF8"/>
    <w:rsid w:val="452D1DC2"/>
    <w:rsid w:val="454B049A"/>
    <w:rsid w:val="45560C5A"/>
    <w:rsid w:val="45570DD2"/>
    <w:rsid w:val="455E7D15"/>
    <w:rsid w:val="45723C79"/>
    <w:rsid w:val="45725A27"/>
    <w:rsid w:val="4575370B"/>
    <w:rsid w:val="45763769"/>
    <w:rsid w:val="457B0D80"/>
    <w:rsid w:val="457B2B2E"/>
    <w:rsid w:val="45830DCE"/>
    <w:rsid w:val="45876A9C"/>
    <w:rsid w:val="45877724"/>
    <w:rsid w:val="45912351"/>
    <w:rsid w:val="459260C9"/>
    <w:rsid w:val="459534C4"/>
    <w:rsid w:val="459F0A3B"/>
    <w:rsid w:val="45A81449"/>
    <w:rsid w:val="45D264C6"/>
    <w:rsid w:val="45D73ADC"/>
    <w:rsid w:val="45DD7344"/>
    <w:rsid w:val="45FA6330"/>
    <w:rsid w:val="460067D6"/>
    <w:rsid w:val="4611581C"/>
    <w:rsid w:val="463F7FFF"/>
    <w:rsid w:val="465529F4"/>
    <w:rsid w:val="465670F7"/>
    <w:rsid w:val="467A2DE5"/>
    <w:rsid w:val="46846E53"/>
    <w:rsid w:val="46862201"/>
    <w:rsid w:val="469043B7"/>
    <w:rsid w:val="46906827"/>
    <w:rsid w:val="469A3487"/>
    <w:rsid w:val="46A24080"/>
    <w:rsid w:val="46A71167"/>
    <w:rsid w:val="46A95479"/>
    <w:rsid w:val="46C16C66"/>
    <w:rsid w:val="46D36999"/>
    <w:rsid w:val="46D77DCB"/>
    <w:rsid w:val="46EB5A91"/>
    <w:rsid w:val="46FD57C4"/>
    <w:rsid w:val="47024B89"/>
    <w:rsid w:val="47064679"/>
    <w:rsid w:val="47143894"/>
    <w:rsid w:val="47150D60"/>
    <w:rsid w:val="472B0583"/>
    <w:rsid w:val="4732546E"/>
    <w:rsid w:val="473C453F"/>
    <w:rsid w:val="473F5DDD"/>
    <w:rsid w:val="473F7B8B"/>
    <w:rsid w:val="474A04B2"/>
    <w:rsid w:val="474B6530"/>
    <w:rsid w:val="47571378"/>
    <w:rsid w:val="475B51B6"/>
    <w:rsid w:val="4779505F"/>
    <w:rsid w:val="47887784"/>
    <w:rsid w:val="478F28C0"/>
    <w:rsid w:val="479E6FA7"/>
    <w:rsid w:val="47A10846"/>
    <w:rsid w:val="47A3011A"/>
    <w:rsid w:val="47A45C40"/>
    <w:rsid w:val="47B43CCD"/>
    <w:rsid w:val="47B57E4D"/>
    <w:rsid w:val="47B916EB"/>
    <w:rsid w:val="47BB36B5"/>
    <w:rsid w:val="47C702AC"/>
    <w:rsid w:val="47C87B80"/>
    <w:rsid w:val="47D2612C"/>
    <w:rsid w:val="47DE55F6"/>
    <w:rsid w:val="47EF335F"/>
    <w:rsid w:val="47F6649C"/>
    <w:rsid w:val="47FB1D04"/>
    <w:rsid w:val="47FE5900"/>
    <w:rsid w:val="480D7C89"/>
    <w:rsid w:val="48104F02"/>
    <w:rsid w:val="4812163A"/>
    <w:rsid w:val="4817400F"/>
    <w:rsid w:val="48205C0E"/>
    <w:rsid w:val="48410AAD"/>
    <w:rsid w:val="484F3DFE"/>
    <w:rsid w:val="4860600B"/>
    <w:rsid w:val="486755EB"/>
    <w:rsid w:val="486A0C38"/>
    <w:rsid w:val="487877F8"/>
    <w:rsid w:val="487955F9"/>
    <w:rsid w:val="487A4D01"/>
    <w:rsid w:val="487B395F"/>
    <w:rsid w:val="48806DC5"/>
    <w:rsid w:val="48A04659"/>
    <w:rsid w:val="48B22D24"/>
    <w:rsid w:val="48B56357"/>
    <w:rsid w:val="48BD345D"/>
    <w:rsid w:val="48CB5B7A"/>
    <w:rsid w:val="491A265E"/>
    <w:rsid w:val="491F1A22"/>
    <w:rsid w:val="491F7C74"/>
    <w:rsid w:val="492D458E"/>
    <w:rsid w:val="492E7EB7"/>
    <w:rsid w:val="492F57E6"/>
    <w:rsid w:val="495C3C26"/>
    <w:rsid w:val="49757894"/>
    <w:rsid w:val="49857155"/>
    <w:rsid w:val="498875C7"/>
    <w:rsid w:val="499046CE"/>
    <w:rsid w:val="49A168DB"/>
    <w:rsid w:val="49B70B6D"/>
    <w:rsid w:val="49B760FE"/>
    <w:rsid w:val="49C32CF5"/>
    <w:rsid w:val="49C66341"/>
    <w:rsid w:val="49CA7BE0"/>
    <w:rsid w:val="49D02AB4"/>
    <w:rsid w:val="49D46CB0"/>
    <w:rsid w:val="49E623C6"/>
    <w:rsid w:val="49EF3C34"/>
    <w:rsid w:val="49EF5898"/>
    <w:rsid w:val="49F119BE"/>
    <w:rsid w:val="49F44C5D"/>
    <w:rsid w:val="4A07762E"/>
    <w:rsid w:val="4A1452FF"/>
    <w:rsid w:val="4A192915"/>
    <w:rsid w:val="4A281B27"/>
    <w:rsid w:val="4A34774F"/>
    <w:rsid w:val="4A4D7807"/>
    <w:rsid w:val="4A6242BC"/>
    <w:rsid w:val="4A6C513B"/>
    <w:rsid w:val="4A7D10F6"/>
    <w:rsid w:val="4A8F0E29"/>
    <w:rsid w:val="4A91694F"/>
    <w:rsid w:val="4A9E066B"/>
    <w:rsid w:val="4AB32D6A"/>
    <w:rsid w:val="4AC5484B"/>
    <w:rsid w:val="4ADF590D"/>
    <w:rsid w:val="4AE03433"/>
    <w:rsid w:val="4AE45A67"/>
    <w:rsid w:val="4AEC627C"/>
    <w:rsid w:val="4AFD2237"/>
    <w:rsid w:val="4B047121"/>
    <w:rsid w:val="4B201A81"/>
    <w:rsid w:val="4B2E23F0"/>
    <w:rsid w:val="4B43686F"/>
    <w:rsid w:val="4B477453"/>
    <w:rsid w:val="4B4C0AC8"/>
    <w:rsid w:val="4B5C0D0B"/>
    <w:rsid w:val="4B6202EC"/>
    <w:rsid w:val="4B6B71A0"/>
    <w:rsid w:val="4B731141"/>
    <w:rsid w:val="4B7818BD"/>
    <w:rsid w:val="4B94223B"/>
    <w:rsid w:val="4B9517FA"/>
    <w:rsid w:val="4BB072A9"/>
    <w:rsid w:val="4BBA0128"/>
    <w:rsid w:val="4BC476CE"/>
    <w:rsid w:val="4BCB5E91"/>
    <w:rsid w:val="4BCF5981"/>
    <w:rsid w:val="4BD42F98"/>
    <w:rsid w:val="4BE11211"/>
    <w:rsid w:val="4BE91E6C"/>
    <w:rsid w:val="4BEB5EDF"/>
    <w:rsid w:val="4BEE34D6"/>
    <w:rsid w:val="4BFE6267"/>
    <w:rsid w:val="4C0D0258"/>
    <w:rsid w:val="4C26756B"/>
    <w:rsid w:val="4C2C0660"/>
    <w:rsid w:val="4C2F4E4F"/>
    <w:rsid w:val="4C335354"/>
    <w:rsid w:val="4C341C88"/>
    <w:rsid w:val="4C5D11DF"/>
    <w:rsid w:val="4C5D62DF"/>
    <w:rsid w:val="4C63431C"/>
    <w:rsid w:val="4C6F4332"/>
    <w:rsid w:val="4C7C5DB0"/>
    <w:rsid w:val="4C837A5C"/>
    <w:rsid w:val="4C887B83"/>
    <w:rsid w:val="4C8B197D"/>
    <w:rsid w:val="4C9E35A6"/>
    <w:rsid w:val="4CAC5CC3"/>
    <w:rsid w:val="4CB22BAD"/>
    <w:rsid w:val="4CBB4158"/>
    <w:rsid w:val="4CBE77A4"/>
    <w:rsid w:val="4CE865CF"/>
    <w:rsid w:val="4CF3569F"/>
    <w:rsid w:val="4D2025A6"/>
    <w:rsid w:val="4D2717ED"/>
    <w:rsid w:val="4D2910C1"/>
    <w:rsid w:val="4D2B4E39"/>
    <w:rsid w:val="4D35333C"/>
    <w:rsid w:val="4D381304"/>
    <w:rsid w:val="4D3D13EC"/>
    <w:rsid w:val="4D551EB6"/>
    <w:rsid w:val="4D553C64"/>
    <w:rsid w:val="4D7367E0"/>
    <w:rsid w:val="4D801DCA"/>
    <w:rsid w:val="4D814F19"/>
    <w:rsid w:val="4D8D5CF2"/>
    <w:rsid w:val="4D930C30"/>
    <w:rsid w:val="4DB0533F"/>
    <w:rsid w:val="4DB253E2"/>
    <w:rsid w:val="4DB43081"/>
    <w:rsid w:val="4E0A501E"/>
    <w:rsid w:val="4E39718C"/>
    <w:rsid w:val="4E3A7BBE"/>
    <w:rsid w:val="4E4406E6"/>
    <w:rsid w:val="4E4F4B57"/>
    <w:rsid w:val="4E515AED"/>
    <w:rsid w:val="4E5403C0"/>
    <w:rsid w:val="4E5B5D9D"/>
    <w:rsid w:val="4E612ADD"/>
    <w:rsid w:val="4E630791"/>
    <w:rsid w:val="4E6600F3"/>
    <w:rsid w:val="4E663720"/>
    <w:rsid w:val="4E6C395B"/>
    <w:rsid w:val="4E712D20"/>
    <w:rsid w:val="4E7514FF"/>
    <w:rsid w:val="4E9702AC"/>
    <w:rsid w:val="4E9C3B15"/>
    <w:rsid w:val="4E9E163B"/>
    <w:rsid w:val="4EB66985"/>
    <w:rsid w:val="4EC015B1"/>
    <w:rsid w:val="4ED908C5"/>
    <w:rsid w:val="4EE47996"/>
    <w:rsid w:val="4EF37BD9"/>
    <w:rsid w:val="4EFE2294"/>
    <w:rsid w:val="4EFE6C40"/>
    <w:rsid w:val="4F19223A"/>
    <w:rsid w:val="4F367CAA"/>
    <w:rsid w:val="4F3F6F5E"/>
    <w:rsid w:val="4F490DEC"/>
    <w:rsid w:val="4F4915A7"/>
    <w:rsid w:val="4F532425"/>
    <w:rsid w:val="4F5B7535"/>
    <w:rsid w:val="4F756840"/>
    <w:rsid w:val="4F766114"/>
    <w:rsid w:val="4F806F93"/>
    <w:rsid w:val="4F836FD1"/>
    <w:rsid w:val="4F844CD5"/>
    <w:rsid w:val="4F9B065C"/>
    <w:rsid w:val="4F9F38BD"/>
    <w:rsid w:val="4FB530E0"/>
    <w:rsid w:val="4FBD6770"/>
    <w:rsid w:val="4FC74BC1"/>
    <w:rsid w:val="4FC96B8B"/>
    <w:rsid w:val="4FDA0C18"/>
    <w:rsid w:val="4FDA2B47"/>
    <w:rsid w:val="4FE52EC5"/>
    <w:rsid w:val="4FE65048"/>
    <w:rsid w:val="4FE87012"/>
    <w:rsid w:val="4FF529BA"/>
    <w:rsid w:val="50083210"/>
    <w:rsid w:val="50286811"/>
    <w:rsid w:val="502B33A2"/>
    <w:rsid w:val="505446A7"/>
    <w:rsid w:val="50715259"/>
    <w:rsid w:val="507E50D8"/>
    <w:rsid w:val="508310DE"/>
    <w:rsid w:val="508A1E77"/>
    <w:rsid w:val="508C2093"/>
    <w:rsid w:val="508F56DF"/>
    <w:rsid w:val="509B4084"/>
    <w:rsid w:val="50B46C20"/>
    <w:rsid w:val="50C03AEB"/>
    <w:rsid w:val="50C8299F"/>
    <w:rsid w:val="50CF1F80"/>
    <w:rsid w:val="50F54E92"/>
    <w:rsid w:val="50F9524E"/>
    <w:rsid w:val="512C5D61"/>
    <w:rsid w:val="512E169E"/>
    <w:rsid w:val="515801C7"/>
    <w:rsid w:val="515F1555"/>
    <w:rsid w:val="517344B8"/>
    <w:rsid w:val="517513E4"/>
    <w:rsid w:val="518014CC"/>
    <w:rsid w:val="51805200"/>
    <w:rsid w:val="51844B18"/>
    <w:rsid w:val="519D5BDA"/>
    <w:rsid w:val="51A303A1"/>
    <w:rsid w:val="51F16B3D"/>
    <w:rsid w:val="51F7178E"/>
    <w:rsid w:val="52151C14"/>
    <w:rsid w:val="522105B9"/>
    <w:rsid w:val="52260855"/>
    <w:rsid w:val="52262073"/>
    <w:rsid w:val="52410C5B"/>
    <w:rsid w:val="5244074B"/>
    <w:rsid w:val="52451A44"/>
    <w:rsid w:val="52466271"/>
    <w:rsid w:val="52481FEA"/>
    <w:rsid w:val="525119D9"/>
    <w:rsid w:val="52554706"/>
    <w:rsid w:val="5257222D"/>
    <w:rsid w:val="52826A4A"/>
    <w:rsid w:val="52974D1F"/>
    <w:rsid w:val="52A90188"/>
    <w:rsid w:val="52C22179"/>
    <w:rsid w:val="52CF6267"/>
    <w:rsid w:val="52D95337"/>
    <w:rsid w:val="52DE46FC"/>
    <w:rsid w:val="53015216"/>
    <w:rsid w:val="5302488E"/>
    <w:rsid w:val="53150458"/>
    <w:rsid w:val="531D5224"/>
    <w:rsid w:val="531F5D4D"/>
    <w:rsid w:val="53312A7E"/>
    <w:rsid w:val="53530C46"/>
    <w:rsid w:val="536015B5"/>
    <w:rsid w:val="536C1D08"/>
    <w:rsid w:val="536C7F5A"/>
    <w:rsid w:val="538306F2"/>
    <w:rsid w:val="538A6632"/>
    <w:rsid w:val="538C05FC"/>
    <w:rsid w:val="53966D85"/>
    <w:rsid w:val="539756DB"/>
    <w:rsid w:val="539D6365"/>
    <w:rsid w:val="53A94D0A"/>
    <w:rsid w:val="53AB6CD4"/>
    <w:rsid w:val="53B108C7"/>
    <w:rsid w:val="53BC2E44"/>
    <w:rsid w:val="53BD07B5"/>
    <w:rsid w:val="53DF697E"/>
    <w:rsid w:val="53E91790"/>
    <w:rsid w:val="53F029E0"/>
    <w:rsid w:val="53F1045F"/>
    <w:rsid w:val="53F7268F"/>
    <w:rsid w:val="53F817ED"/>
    <w:rsid w:val="5402266C"/>
    <w:rsid w:val="54136627"/>
    <w:rsid w:val="542425E2"/>
    <w:rsid w:val="544515DD"/>
    <w:rsid w:val="54491A54"/>
    <w:rsid w:val="545C3B2A"/>
    <w:rsid w:val="545D78A2"/>
    <w:rsid w:val="545F186C"/>
    <w:rsid w:val="54737723"/>
    <w:rsid w:val="54790B80"/>
    <w:rsid w:val="547F3670"/>
    <w:rsid w:val="54857525"/>
    <w:rsid w:val="548807D8"/>
    <w:rsid w:val="54921C42"/>
    <w:rsid w:val="549332C4"/>
    <w:rsid w:val="54AB6860"/>
    <w:rsid w:val="54B949B6"/>
    <w:rsid w:val="54E51D72"/>
    <w:rsid w:val="54E83610"/>
    <w:rsid w:val="54EF0E42"/>
    <w:rsid w:val="54EF499E"/>
    <w:rsid w:val="54FF3EA3"/>
    <w:rsid w:val="55001E74"/>
    <w:rsid w:val="551D4937"/>
    <w:rsid w:val="552324BF"/>
    <w:rsid w:val="55236D3E"/>
    <w:rsid w:val="552705DC"/>
    <w:rsid w:val="55306D65"/>
    <w:rsid w:val="55320D2F"/>
    <w:rsid w:val="553E5926"/>
    <w:rsid w:val="554C3BC2"/>
    <w:rsid w:val="554D5B69"/>
    <w:rsid w:val="55592760"/>
    <w:rsid w:val="55690BF5"/>
    <w:rsid w:val="556D03CA"/>
    <w:rsid w:val="556D490E"/>
    <w:rsid w:val="557430F6"/>
    <w:rsid w:val="55801A9A"/>
    <w:rsid w:val="55853555"/>
    <w:rsid w:val="55855303"/>
    <w:rsid w:val="558772CD"/>
    <w:rsid w:val="55884742"/>
    <w:rsid w:val="5596040F"/>
    <w:rsid w:val="55A25392"/>
    <w:rsid w:val="55B44E2B"/>
    <w:rsid w:val="55BA1450"/>
    <w:rsid w:val="55BD4A9D"/>
    <w:rsid w:val="55CA0F67"/>
    <w:rsid w:val="55E42029"/>
    <w:rsid w:val="55EA3332"/>
    <w:rsid w:val="55EC274D"/>
    <w:rsid w:val="55FF6E63"/>
    <w:rsid w:val="560E52F8"/>
    <w:rsid w:val="5621327D"/>
    <w:rsid w:val="56310FE7"/>
    <w:rsid w:val="563B3C13"/>
    <w:rsid w:val="564A7FD0"/>
    <w:rsid w:val="564E1B99"/>
    <w:rsid w:val="56617B1E"/>
    <w:rsid w:val="567C6706"/>
    <w:rsid w:val="56967D56"/>
    <w:rsid w:val="56A30136"/>
    <w:rsid w:val="56E30533"/>
    <w:rsid w:val="570109B9"/>
    <w:rsid w:val="571132F2"/>
    <w:rsid w:val="572D17AE"/>
    <w:rsid w:val="572F0CE8"/>
    <w:rsid w:val="574436DA"/>
    <w:rsid w:val="575431DF"/>
    <w:rsid w:val="576C6981"/>
    <w:rsid w:val="578F2469"/>
    <w:rsid w:val="57925AB5"/>
    <w:rsid w:val="57B343A9"/>
    <w:rsid w:val="57B63E99"/>
    <w:rsid w:val="57C91C94"/>
    <w:rsid w:val="57F624E8"/>
    <w:rsid w:val="57F86260"/>
    <w:rsid w:val="57FB18AC"/>
    <w:rsid w:val="57FE7699"/>
    <w:rsid w:val="580D42E8"/>
    <w:rsid w:val="58155C60"/>
    <w:rsid w:val="58262DCD"/>
    <w:rsid w:val="5829296E"/>
    <w:rsid w:val="583354EA"/>
    <w:rsid w:val="58337298"/>
    <w:rsid w:val="58495635"/>
    <w:rsid w:val="58761D2A"/>
    <w:rsid w:val="58845D45"/>
    <w:rsid w:val="58A12453"/>
    <w:rsid w:val="58A61818"/>
    <w:rsid w:val="58AB1524"/>
    <w:rsid w:val="58D75E75"/>
    <w:rsid w:val="590D5D3B"/>
    <w:rsid w:val="590F1AB3"/>
    <w:rsid w:val="59172716"/>
    <w:rsid w:val="594F3C5E"/>
    <w:rsid w:val="597731B4"/>
    <w:rsid w:val="5988716F"/>
    <w:rsid w:val="59A33FA9"/>
    <w:rsid w:val="59AD4E28"/>
    <w:rsid w:val="59BB12F3"/>
    <w:rsid w:val="59BB5797"/>
    <w:rsid w:val="59BF6AD5"/>
    <w:rsid w:val="59C503C4"/>
    <w:rsid w:val="59D56398"/>
    <w:rsid w:val="59D65269"/>
    <w:rsid w:val="59F42A57"/>
    <w:rsid w:val="59FD7B5D"/>
    <w:rsid w:val="5A00764E"/>
    <w:rsid w:val="5A0A3C4C"/>
    <w:rsid w:val="5A3115B5"/>
    <w:rsid w:val="5A446991"/>
    <w:rsid w:val="5A47527D"/>
    <w:rsid w:val="5A612F7B"/>
    <w:rsid w:val="5A753B98"/>
    <w:rsid w:val="5A76346C"/>
    <w:rsid w:val="5A821E11"/>
    <w:rsid w:val="5A934935"/>
    <w:rsid w:val="5A9658BC"/>
    <w:rsid w:val="5AD85ED5"/>
    <w:rsid w:val="5AE12FDB"/>
    <w:rsid w:val="5AF727FF"/>
    <w:rsid w:val="5AFA409D"/>
    <w:rsid w:val="5B044F1C"/>
    <w:rsid w:val="5B3752F1"/>
    <w:rsid w:val="5B3B10E1"/>
    <w:rsid w:val="5B3F5F54"/>
    <w:rsid w:val="5B7B3430"/>
    <w:rsid w:val="5B885B4D"/>
    <w:rsid w:val="5B8D4F11"/>
    <w:rsid w:val="5BA81D4B"/>
    <w:rsid w:val="5BC96332"/>
    <w:rsid w:val="5BD3501A"/>
    <w:rsid w:val="5BD963A8"/>
    <w:rsid w:val="5BE10DB9"/>
    <w:rsid w:val="5BEA4111"/>
    <w:rsid w:val="5BF77C5C"/>
    <w:rsid w:val="5C001B87"/>
    <w:rsid w:val="5C013225"/>
    <w:rsid w:val="5C1B251D"/>
    <w:rsid w:val="5C2D5D12"/>
    <w:rsid w:val="5C442095"/>
    <w:rsid w:val="5C5039F4"/>
    <w:rsid w:val="5C522CA9"/>
    <w:rsid w:val="5C7F2AAC"/>
    <w:rsid w:val="5C846314"/>
    <w:rsid w:val="5C853E3A"/>
    <w:rsid w:val="5CCB7A9F"/>
    <w:rsid w:val="5D0631CD"/>
    <w:rsid w:val="5D067842"/>
    <w:rsid w:val="5D096819"/>
    <w:rsid w:val="5D172CE4"/>
    <w:rsid w:val="5D335644"/>
    <w:rsid w:val="5D3F048D"/>
    <w:rsid w:val="5D4B0BE0"/>
    <w:rsid w:val="5D5A7075"/>
    <w:rsid w:val="5D5B76BD"/>
    <w:rsid w:val="5D6921F0"/>
    <w:rsid w:val="5D6A08A3"/>
    <w:rsid w:val="5D700646"/>
    <w:rsid w:val="5D942587"/>
    <w:rsid w:val="5DA36A06"/>
    <w:rsid w:val="5DA402F0"/>
    <w:rsid w:val="5DAB5B22"/>
    <w:rsid w:val="5DB20C5F"/>
    <w:rsid w:val="5DB20E44"/>
    <w:rsid w:val="5DBF57AC"/>
    <w:rsid w:val="5DC32E6C"/>
    <w:rsid w:val="5DC664B8"/>
    <w:rsid w:val="5DD5494D"/>
    <w:rsid w:val="5DE66B5A"/>
    <w:rsid w:val="5DF655A8"/>
    <w:rsid w:val="5DFD637E"/>
    <w:rsid w:val="5E062D59"/>
    <w:rsid w:val="5E1216FE"/>
    <w:rsid w:val="5E137ED9"/>
    <w:rsid w:val="5E20206C"/>
    <w:rsid w:val="5E240216"/>
    <w:rsid w:val="5E2E0A91"/>
    <w:rsid w:val="5E331DA0"/>
    <w:rsid w:val="5E3D2C1E"/>
    <w:rsid w:val="5E4775F9"/>
    <w:rsid w:val="5E563CE0"/>
    <w:rsid w:val="5E565A8E"/>
    <w:rsid w:val="5E5E7B70"/>
    <w:rsid w:val="5E693A13"/>
    <w:rsid w:val="5E8156D4"/>
    <w:rsid w:val="5E875C48"/>
    <w:rsid w:val="5E8C4BEE"/>
    <w:rsid w:val="5E8D17F3"/>
    <w:rsid w:val="5E99597B"/>
    <w:rsid w:val="5EB10F16"/>
    <w:rsid w:val="5EBB1D95"/>
    <w:rsid w:val="5EC46E9C"/>
    <w:rsid w:val="5ED15115"/>
    <w:rsid w:val="5EDA046D"/>
    <w:rsid w:val="5EF86B45"/>
    <w:rsid w:val="5F13701F"/>
    <w:rsid w:val="5F313E05"/>
    <w:rsid w:val="5F37703F"/>
    <w:rsid w:val="5F3A7FC8"/>
    <w:rsid w:val="5F4804F1"/>
    <w:rsid w:val="5F4973A1"/>
    <w:rsid w:val="5F4C0C3F"/>
    <w:rsid w:val="5F610B8F"/>
    <w:rsid w:val="5F666631"/>
    <w:rsid w:val="5F6E6B9E"/>
    <w:rsid w:val="5F774396"/>
    <w:rsid w:val="5F8B415F"/>
    <w:rsid w:val="5F9A7BFD"/>
    <w:rsid w:val="5FA665A1"/>
    <w:rsid w:val="5FA97E40"/>
    <w:rsid w:val="5FAB7A12"/>
    <w:rsid w:val="5FAD5B82"/>
    <w:rsid w:val="5FB45162"/>
    <w:rsid w:val="5FB92779"/>
    <w:rsid w:val="5FBC04FE"/>
    <w:rsid w:val="5FCF3D4A"/>
    <w:rsid w:val="5FE01AB3"/>
    <w:rsid w:val="5FEA0B84"/>
    <w:rsid w:val="60003F04"/>
    <w:rsid w:val="600339F4"/>
    <w:rsid w:val="601654D5"/>
    <w:rsid w:val="60251BBC"/>
    <w:rsid w:val="60324E7D"/>
    <w:rsid w:val="60392F9E"/>
    <w:rsid w:val="6071095D"/>
    <w:rsid w:val="607E307A"/>
    <w:rsid w:val="608508AD"/>
    <w:rsid w:val="6098413C"/>
    <w:rsid w:val="60A96349"/>
    <w:rsid w:val="60B72067"/>
    <w:rsid w:val="60B847DE"/>
    <w:rsid w:val="60DA0BF8"/>
    <w:rsid w:val="60E47381"/>
    <w:rsid w:val="60EE5136"/>
    <w:rsid w:val="60EE7713"/>
    <w:rsid w:val="60EF0297"/>
    <w:rsid w:val="60F26F59"/>
    <w:rsid w:val="61047A23"/>
    <w:rsid w:val="61092146"/>
    <w:rsid w:val="611B30E3"/>
    <w:rsid w:val="611F2AAF"/>
    <w:rsid w:val="61273712"/>
    <w:rsid w:val="612B4FB0"/>
    <w:rsid w:val="614A5956"/>
    <w:rsid w:val="614B7400"/>
    <w:rsid w:val="61750921"/>
    <w:rsid w:val="61767CE3"/>
    <w:rsid w:val="618D5C6B"/>
    <w:rsid w:val="618F19E3"/>
    <w:rsid w:val="61B9080E"/>
    <w:rsid w:val="61BF394A"/>
    <w:rsid w:val="61D7524C"/>
    <w:rsid w:val="61F47A98"/>
    <w:rsid w:val="62045801"/>
    <w:rsid w:val="620D6DAC"/>
    <w:rsid w:val="623065F6"/>
    <w:rsid w:val="6247406C"/>
    <w:rsid w:val="62614A02"/>
    <w:rsid w:val="629372B1"/>
    <w:rsid w:val="629D1EDE"/>
    <w:rsid w:val="62BC5A0C"/>
    <w:rsid w:val="62CA5084"/>
    <w:rsid w:val="62D32576"/>
    <w:rsid w:val="62E50DCE"/>
    <w:rsid w:val="62F44021"/>
    <w:rsid w:val="62FE1337"/>
    <w:rsid w:val="63027F93"/>
    <w:rsid w:val="631E203E"/>
    <w:rsid w:val="63361E76"/>
    <w:rsid w:val="63501494"/>
    <w:rsid w:val="638C5AAE"/>
    <w:rsid w:val="63A252D2"/>
    <w:rsid w:val="63A34404"/>
    <w:rsid w:val="63B1334D"/>
    <w:rsid w:val="63BD05A6"/>
    <w:rsid w:val="63BD3EBA"/>
    <w:rsid w:val="63E851F4"/>
    <w:rsid w:val="63F25DC5"/>
    <w:rsid w:val="63FF44D2"/>
    <w:rsid w:val="64284983"/>
    <w:rsid w:val="642F125B"/>
    <w:rsid w:val="643465D9"/>
    <w:rsid w:val="64370110"/>
    <w:rsid w:val="643A375C"/>
    <w:rsid w:val="643C1282"/>
    <w:rsid w:val="644C7266"/>
    <w:rsid w:val="64634A61"/>
    <w:rsid w:val="649D17D9"/>
    <w:rsid w:val="64C179D9"/>
    <w:rsid w:val="64C5396E"/>
    <w:rsid w:val="64D15E6F"/>
    <w:rsid w:val="64D579C6"/>
    <w:rsid w:val="64D67929"/>
    <w:rsid w:val="65056B91"/>
    <w:rsid w:val="650B01A2"/>
    <w:rsid w:val="650C50F9"/>
    <w:rsid w:val="6523084E"/>
    <w:rsid w:val="652C7549"/>
    <w:rsid w:val="653D1756"/>
    <w:rsid w:val="65474383"/>
    <w:rsid w:val="6549634D"/>
    <w:rsid w:val="654B3E73"/>
    <w:rsid w:val="65504D02"/>
    <w:rsid w:val="655266E4"/>
    <w:rsid w:val="657B5F8E"/>
    <w:rsid w:val="659375C8"/>
    <w:rsid w:val="6597783B"/>
    <w:rsid w:val="659B647C"/>
    <w:rsid w:val="65B35574"/>
    <w:rsid w:val="65D774B5"/>
    <w:rsid w:val="65F664EB"/>
    <w:rsid w:val="66077F48"/>
    <w:rsid w:val="660A5ADC"/>
    <w:rsid w:val="662E7BD7"/>
    <w:rsid w:val="662F6938"/>
    <w:rsid w:val="66320B8F"/>
    <w:rsid w:val="66434B4A"/>
    <w:rsid w:val="665E3732"/>
    <w:rsid w:val="66630D48"/>
    <w:rsid w:val="66660838"/>
    <w:rsid w:val="666920D7"/>
    <w:rsid w:val="667B14F1"/>
    <w:rsid w:val="66862C89"/>
    <w:rsid w:val="66882EA5"/>
    <w:rsid w:val="668B0780"/>
    <w:rsid w:val="668D04BB"/>
    <w:rsid w:val="668E5921"/>
    <w:rsid w:val="66AF3F8D"/>
    <w:rsid w:val="66BC66AA"/>
    <w:rsid w:val="66C37A39"/>
    <w:rsid w:val="66CD6B09"/>
    <w:rsid w:val="66E63727"/>
    <w:rsid w:val="66F44096"/>
    <w:rsid w:val="67043C7A"/>
    <w:rsid w:val="670B5FBB"/>
    <w:rsid w:val="67223B77"/>
    <w:rsid w:val="67310E46"/>
    <w:rsid w:val="67534942"/>
    <w:rsid w:val="676034DA"/>
    <w:rsid w:val="676B1407"/>
    <w:rsid w:val="67732BC2"/>
    <w:rsid w:val="67803B7C"/>
    <w:rsid w:val="67890C82"/>
    <w:rsid w:val="678E6299"/>
    <w:rsid w:val="679D472E"/>
    <w:rsid w:val="67D6379C"/>
    <w:rsid w:val="67EB7247"/>
    <w:rsid w:val="67FF2CF3"/>
    <w:rsid w:val="6808352E"/>
    <w:rsid w:val="680E73DA"/>
    <w:rsid w:val="681A18DB"/>
    <w:rsid w:val="681A5D7E"/>
    <w:rsid w:val="683F7593"/>
    <w:rsid w:val="68427338"/>
    <w:rsid w:val="68447540"/>
    <w:rsid w:val="684921C0"/>
    <w:rsid w:val="68563069"/>
    <w:rsid w:val="685C0145"/>
    <w:rsid w:val="685D30B1"/>
    <w:rsid w:val="686B0388"/>
    <w:rsid w:val="68907DEF"/>
    <w:rsid w:val="68994EF5"/>
    <w:rsid w:val="68B80943"/>
    <w:rsid w:val="68C4795E"/>
    <w:rsid w:val="68CD2DF1"/>
    <w:rsid w:val="68D26659"/>
    <w:rsid w:val="68D56296"/>
    <w:rsid w:val="68E814ED"/>
    <w:rsid w:val="68ED37CA"/>
    <w:rsid w:val="68FD36D6"/>
    <w:rsid w:val="69034A64"/>
    <w:rsid w:val="69182073"/>
    <w:rsid w:val="69286279"/>
    <w:rsid w:val="692A1FF1"/>
    <w:rsid w:val="692E6E22"/>
    <w:rsid w:val="693370F8"/>
    <w:rsid w:val="69342E70"/>
    <w:rsid w:val="693D1D24"/>
    <w:rsid w:val="69450332"/>
    <w:rsid w:val="694F3806"/>
    <w:rsid w:val="6954264D"/>
    <w:rsid w:val="695B664F"/>
    <w:rsid w:val="695B7FAD"/>
    <w:rsid w:val="695C667F"/>
    <w:rsid w:val="696F72C8"/>
    <w:rsid w:val="69731BEA"/>
    <w:rsid w:val="69823BDB"/>
    <w:rsid w:val="698F34F6"/>
    <w:rsid w:val="69A51678"/>
    <w:rsid w:val="69AC0C81"/>
    <w:rsid w:val="69AF2172"/>
    <w:rsid w:val="69C45FA2"/>
    <w:rsid w:val="69D34437"/>
    <w:rsid w:val="69DB63B6"/>
    <w:rsid w:val="69E71C90"/>
    <w:rsid w:val="69F60125"/>
    <w:rsid w:val="6A002D52"/>
    <w:rsid w:val="6A0B1E23"/>
    <w:rsid w:val="6A1707C7"/>
    <w:rsid w:val="6A1A02B8"/>
    <w:rsid w:val="6A1D3904"/>
    <w:rsid w:val="6A1D56B2"/>
    <w:rsid w:val="6A2E3D63"/>
    <w:rsid w:val="6A4F2E95"/>
    <w:rsid w:val="6A5C61DA"/>
    <w:rsid w:val="6A6C0315"/>
    <w:rsid w:val="6A75205E"/>
    <w:rsid w:val="6A8B6AC0"/>
    <w:rsid w:val="6A927E4E"/>
    <w:rsid w:val="6AA45DD3"/>
    <w:rsid w:val="6AAD6A36"/>
    <w:rsid w:val="6AC67AF8"/>
    <w:rsid w:val="6AE306AA"/>
    <w:rsid w:val="6AE663EC"/>
    <w:rsid w:val="6B1661FD"/>
    <w:rsid w:val="6B4E0D35"/>
    <w:rsid w:val="6B95409A"/>
    <w:rsid w:val="6B971DB3"/>
    <w:rsid w:val="6B981494"/>
    <w:rsid w:val="6B9E0A74"/>
    <w:rsid w:val="6BAA7419"/>
    <w:rsid w:val="6BAE0CB8"/>
    <w:rsid w:val="6BB564B9"/>
    <w:rsid w:val="6BB76C4C"/>
    <w:rsid w:val="6BB81B36"/>
    <w:rsid w:val="6BBA6991"/>
    <w:rsid w:val="6BBF2306"/>
    <w:rsid w:val="6BD83F86"/>
    <w:rsid w:val="6BED4A29"/>
    <w:rsid w:val="6BF07522"/>
    <w:rsid w:val="6BF568E6"/>
    <w:rsid w:val="6C25681A"/>
    <w:rsid w:val="6C262F44"/>
    <w:rsid w:val="6C2F78A6"/>
    <w:rsid w:val="6C315445"/>
    <w:rsid w:val="6C450EF0"/>
    <w:rsid w:val="6C4C174F"/>
    <w:rsid w:val="6C757A27"/>
    <w:rsid w:val="6C9854C4"/>
    <w:rsid w:val="6CB322FE"/>
    <w:rsid w:val="6CB542C8"/>
    <w:rsid w:val="6CE34991"/>
    <w:rsid w:val="6CF941B4"/>
    <w:rsid w:val="6CFC1CDD"/>
    <w:rsid w:val="6D010BDE"/>
    <w:rsid w:val="6D013069"/>
    <w:rsid w:val="6D050DAB"/>
    <w:rsid w:val="6D143EBC"/>
    <w:rsid w:val="6D3464F5"/>
    <w:rsid w:val="6D393E7F"/>
    <w:rsid w:val="6D400035"/>
    <w:rsid w:val="6D540CF5"/>
    <w:rsid w:val="6D57712D"/>
    <w:rsid w:val="6D7D4DE5"/>
    <w:rsid w:val="6D8048D6"/>
    <w:rsid w:val="6D9D5488"/>
    <w:rsid w:val="6DAE5A59"/>
    <w:rsid w:val="6DB002C5"/>
    <w:rsid w:val="6DB77BCC"/>
    <w:rsid w:val="6DBD56EC"/>
    <w:rsid w:val="6DDF784E"/>
    <w:rsid w:val="6DEC1F6B"/>
    <w:rsid w:val="6E00670D"/>
    <w:rsid w:val="6E113780"/>
    <w:rsid w:val="6E5F44EB"/>
    <w:rsid w:val="6E6C09B6"/>
    <w:rsid w:val="6E8C63CF"/>
    <w:rsid w:val="6E8E4DD0"/>
    <w:rsid w:val="6E91666F"/>
    <w:rsid w:val="6E925C1E"/>
    <w:rsid w:val="6EAB4A97"/>
    <w:rsid w:val="6EB760D5"/>
    <w:rsid w:val="6ED749C9"/>
    <w:rsid w:val="6ED924EF"/>
    <w:rsid w:val="6EE40E94"/>
    <w:rsid w:val="6EE60768"/>
    <w:rsid w:val="6F101C89"/>
    <w:rsid w:val="6F1524CD"/>
    <w:rsid w:val="6F20011E"/>
    <w:rsid w:val="6F234695"/>
    <w:rsid w:val="6F503A01"/>
    <w:rsid w:val="6F5E29F5"/>
    <w:rsid w:val="6F694B09"/>
    <w:rsid w:val="6F701E0B"/>
    <w:rsid w:val="6F7E219E"/>
    <w:rsid w:val="6F8D32DA"/>
    <w:rsid w:val="6F975F07"/>
    <w:rsid w:val="6FA922E6"/>
    <w:rsid w:val="6FB22D40"/>
    <w:rsid w:val="6FB865A9"/>
    <w:rsid w:val="6FDD1FFC"/>
    <w:rsid w:val="70007439"/>
    <w:rsid w:val="70025A76"/>
    <w:rsid w:val="70107966"/>
    <w:rsid w:val="701115CE"/>
    <w:rsid w:val="702459EC"/>
    <w:rsid w:val="703379DD"/>
    <w:rsid w:val="703F45D4"/>
    <w:rsid w:val="70473489"/>
    <w:rsid w:val="70611486"/>
    <w:rsid w:val="70745809"/>
    <w:rsid w:val="708C533F"/>
    <w:rsid w:val="70A97C9F"/>
    <w:rsid w:val="70D34D1C"/>
    <w:rsid w:val="710D6480"/>
    <w:rsid w:val="711A34A8"/>
    <w:rsid w:val="711D04D3"/>
    <w:rsid w:val="713A2FED"/>
    <w:rsid w:val="71445C1A"/>
    <w:rsid w:val="714D76FF"/>
    <w:rsid w:val="714F444D"/>
    <w:rsid w:val="71500A63"/>
    <w:rsid w:val="715B3690"/>
    <w:rsid w:val="715E6CDC"/>
    <w:rsid w:val="71641E18"/>
    <w:rsid w:val="717758D1"/>
    <w:rsid w:val="718D110B"/>
    <w:rsid w:val="71922E29"/>
    <w:rsid w:val="71B617FE"/>
    <w:rsid w:val="71C54FAD"/>
    <w:rsid w:val="71DB657E"/>
    <w:rsid w:val="71EC078C"/>
    <w:rsid w:val="71FE0B22"/>
    <w:rsid w:val="71FE5EBF"/>
    <w:rsid w:val="72165809"/>
    <w:rsid w:val="722D66AE"/>
    <w:rsid w:val="72331F17"/>
    <w:rsid w:val="72347C96"/>
    <w:rsid w:val="724C122A"/>
    <w:rsid w:val="724E32AE"/>
    <w:rsid w:val="72585F46"/>
    <w:rsid w:val="726E33A4"/>
    <w:rsid w:val="72702731"/>
    <w:rsid w:val="72721A31"/>
    <w:rsid w:val="727662A7"/>
    <w:rsid w:val="7284281E"/>
    <w:rsid w:val="72932DFF"/>
    <w:rsid w:val="72A559C3"/>
    <w:rsid w:val="72AE77EF"/>
    <w:rsid w:val="72C214EC"/>
    <w:rsid w:val="72C25048"/>
    <w:rsid w:val="72CA214F"/>
    <w:rsid w:val="72CE1C3F"/>
    <w:rsid w:val="72D336FA"/>
    <w:rsid w:val="72D37256"/>
    <w:rsid w:val="72E96A79"/>
    <w:rsid w:val="72F0605A"/>
    <w:rsid w:val="730F1287"/>
    <w:rsid w:val="73117D7E"/>
    <w:rsid w:val="73217FC1"/>
    <w:rsid w:val="73257F57"/>
    <w:rsid w:val="7329156C"/>
    <w:rsid w:val="732950C8"/>
    <w:rsid w:val="732E26DE"/>
    <w:rsid w:val="73344CB8"/>
    <w:rsid w:val="73421C3F"/>
    <w:rsid w:val="73426189"/>
    <w:rsid w:val="734C0DB6"/>
    <w:rsid w:val="73504231"/>
    <w:rsid w:val="7355410F"/>
    <w:rsid w:val="73571C35"/>
    <w:rsid w:val="735F2A69"/>
    <w:rsid w:val="73700F48"/>
    <w:rsid w:val="738A200A"/>
    <w:rsid w:val="738B7B30"/>
    <w:rsid w:val="73914A51"/>
    <w:rsid w:val="7399049F"/>
    <w:rsid w:val="739B4217"/>
    <w:rsid w:val="73AB01D2"/>
    <w:rsid w:val="73B66561"/>
    <w:rsid w:val="73D6524F"/>
    <w:rsid w:val="73D96AEE"/>
    <w:rsid w:val="73E334C8"/>
    <w:rsid w:val="73F05BE5"/>
    <w:rsid w:val="740022CC"/>
    <w:rsid w:val="74177616"/>
    <w:rsid w:val="741B5358"/>
    <w:rsid w:val="74281823"/>
    <w:rsid w:val="74373814"/>
    <w:rsid w:val="7439758C"/>
    <w:rsid w:val="743B50B2"/>
    <w:rsid w:val="7447614D"/>
    <w:rsid w:val="744F0B5E"/>
    <w:rsid w:val="744F337F"/>
    <w:rsid w:val="745B5755"/>
    <w:rsid w:val="747D391D"/>
    <w:rsid w:val="748922C2"/>
    <w:rsid w:val="749F7E91"/>
    <w:rsid w:val="74A0760B"/>
    <w:rsid w:val="74AE7F7A"/>
    <w:rsid w:val="74B15375"/>
    <w:rsid w:val="74C07CAE"/>
    <w:rsid w:val="74C759C7"/>
    <w:rsid w:val="74FB3256"/>
    <w:rsid w:val="75045DEC"/>
    <w:rsid w:val="751678CE"/>
    <w:rsid w:val="751C3136"/>
    <w:rsid w:val="75232716"/>
    <w:rsid w:val="75304351"/>
    <w:rsid w:val="7537163A"/>
    <w:rsid w:val="753A22BD"/>
    <w:rsid w:val="753F5076"/>
    <w:rsid w:val="755C1784"/>
    <w:rsid w:val="75634436"/>
    <w:rsid w:val="756B19C7"/>
    <w:rsid w:val="757F36C5"/>
    <w:rsid w:val="758B206A"/>
    <w:rsid w:val="75936EA0"/>
    <w:rsid w:val="759B0861"/>
    <w:rsid w:val="75A1363B"/>
    <w:rsid w:val="75A92504"/>
    <w:rsid w:val="75BC0475"/>
    <w:rsid w:val="75D91027"/>
    <w:rsid w:val="75E1612D"/>
    <w:rsid w:val="75E654F2"/>
    <w:rsid w:val="75E8126A"/>
    <w:rsid w:val="75EE68C3"/>
    <w:rsid w:val="75F714AD"/>
    <w:rsid w:val="760F67F7"/>
    <w:rsid w:val="76586CE3"/>
    <w:rsid w:val="766052A4"/>
    <w:rsid w:val="76676633"/>
    <w:rsid w:val="767B20DE"/>
    <w:rsid w:val="768A2321"/>
    <w:rsid w:val="768D3BBF"/>
    <w:rsid w:val="768E25B3"/>
    <w:rsid w:val="7693003E"/>
    <w:rsid w:val="76A020B9"/>
    <w:rsid w:val="76A258BD"/>
    <w:rsid w:val="76A55B76"/>
    <w:rsid w:val="76C021E7"/>
    <w:rsid w:val="76CC293A"/>
    <w:rsid w:val="76CF5F86"/>
    <w:rsid w:val="76D161A2"/>
    <w:rsid w:val="76D17F50"/>
    <w:rsid w:val="76D474B3"/>
    <w:rsid w:val="76D84886"/>
    <w:rsid w:val="76F033C4"/>
    <w:rsid w:val="76F37EC6"/>
    <w:rsid w:val="76F8372F"/>
    <w:rsid w:val="76FF2D0F"/>
    <w:rsid w:val="77000835"/>
    <w:rsid w:val="770B16B4"/>
    <w:rsid w:val="77106CCA"/>
    <w:rsid w:val="77277B70"/>
    <w:rsid w:val="77304C77"/>
    <w:rsid w:val="77416E84"/>
    <w:rsid w:val="77475601"/>
    <w:rsid w:val="774E16BB"/>
    <w:rsid w:val="77534E09"/>
    <w:rsid w:val="775748F9"/>
    <w:rsid w:val="77585F7B"/>
    <w:rsid w:val="776879A8"/>
    <w:rsid w:val="77725B0E"/>
    <w:rsid w:val="777A3AF4"/>
    <w:rsid w:val="777D3C34"/>
    <w:rsid w:val="77844AA8"/>
    <w:rsid w:val="778466B1"/>
    <w:rsid w:val="778877AE"/>
    <w:rsid w:val="778D20C9"/>
    <w:rsid w:val="779C230C"/>
    <w:rsid w:val="77A86F03"/>
    <w:rsid w:val="77AB254F"/>
    <w:rsid w:val="77AD4519"/>
    <w:rsid w:val="77B5517C"/>
    <w:rsid w:val="77C06211"/>
    <w:rsid w:val="77C27899"/>
    <w:rsid w:val="77C875A5"/>
    <w:rsid w:val="77C90C27"/>
    <w:rsid w:val="77D00208"/>
    <w:rsid w:val="77D608F3"/>
    <w:rsid w:val="77D73344"/>
    <w:rsid w:val="77DA4BE2"/>
    <w:rsid w:val="77DE2925"/>
    <w:rsid w:val="77E141C3"/>
    <w:rsid w:val="77E31CE9"/>
    <w:rsid w:val="77E3618D"/>
    <w:rsid w:val="77EB3293"/>
    <w:rsid w:val="77EE52A6"/>
    <w:rsid w:val="77F263D0"/>
    <w:rsid w:val="77F4039A"/>
    <w:rsid w:val="77F9775E"/>
    <w:rsid w:val="77FE2FC7"/>
    <w:rsid w:val="78144598"/>
    <w:rsid w:val="783130EA"/>
    <w:rsid w:val="78397B5B"/>
    <w:rsid w:val="783B1B25"/>
    <w:rsid w:val="783D2CA1"/>
    <w:rsid w:val="7866291A"/>
    <w:rsid w:val="787B63C5"/>
    <w:rsid w:val="7883527A"/>
    <w:rsid w:val="788F00C3"/>
    <w:rsid w:val="7890494D"/>
    <w:rsid w:val="78961451"/>
    <w:rsid w:val="789B25C4"/>
    <w:rsid w:val="78B64239"/>
    <w:rsid w:val="78C142DE"/>
    <w:rsid w:val="78C95383"/>
    <w:rsid w:val="78CA2EA9"/>
    <w:rsid w:val="78D15FE5"/>
    <w:rsid w:val="78E85B93"/>
    <w:rsid w:val="78F341AE"/>
    <w:rsid w:val="78F543CA"/>
    <w:rsid w:val="78FB3062"/>
    <w:rsid w:val="78FE1FE6"/>
    <w:rsid w:val="79321971"/>
    <w:rsid w:val="793D7B1F"/>
    <w:rsid w:val="7940316B"/>
    <w:rsid w:val="79524E8E"/>
    <w:rsid w:val="79600DAC"/>
    <w:rsid w:val="797378F1"/>
    <w:rsid w:val="797A48CF"/>
    <w:rsid w:val="7984020D"/>
    <w:rsid w:val="79892D64"/>
    <w:rsid w:val="799139C7"/>
    <w:rsid w:val="799759E4"/>
    <w:rsid w:val="79A365BC"/>
    <w:rsid w:val="79C36276"/>
    <w:rsid w:val="79F301DD"/>
    <w:rsid w:val="7A0643B5"/>
    <w:rsid w:val="7A0B5527"/>
    <w:rsid w:val="7A1545F8"/>
    <w:rsid w:val="7A1563A6"/>
    <w:rsid w:val="7A187C44"/>
    <w:rsid w:val="7A2111EE"/>
    <w:rsid w:val="7A287E87"/>
    <w:rsid w:val="7A3B0646"/>
    <w:rsid w:val="7A5549F4"/>
    <w:rsid w:val="7A6F3D08"/>
    <w:rsid w:val="7A85177D"/>
    <w:rsid w:val="7A8D418E"/>
    <w:rsid w:val="7A8F43AA"/>
    <w:rsid w:val="7AA4582C"/>
    <w:rsid w:val="7AA66827"/>
    <w:rsid w:val="7AAD65DE"/>
    <w:rsid w:val="7AAE38BE"/>
    <w:rsid w:val="7ABA01A0"/>
    <w:rsid w:val="7ABC4A73"/>
    <w:rsid w:val="7AD324E9"/>
    <w:rsid w:val="7AD93877"/>
    <w:rsid w:val="7ADA4499"/>
    <w:rsid w:val="7AFA4E57"/>
    <w:rsid w:val="7AFB1A3F"/>
    <w:rsid w:val="7B072192"/>
    <w:rsid w:val="7B0C08EF"/>
    <w:rsid w:val="7B0C1557"/>
    <w:rsid w:val="7B3029A3"/>
    <w:rsid w:val="7B3867F0"/>
    <w:rsid w:val="7B537186"/>
    <w:rsid w:val="7B566C76"/>
    <w:rsid w:val="7B6018A2"/>
    <w:rsid w:val="7B647AEE"/>
    <w:rsid w:val="7B6E5D6D"/>
    <w:rsid w:val="7B9D48A5"/>
    <w:rsid w:val="7BA07EF1"/>
    <w:rsid w:val="7BAA6303"/>
    <w:rsid w:val="7BAF698D"/>
    <w:rsid w:val="7BB816DF"/>
    <w:rsid w:val="7BBC76E2"/>
    <w:rsid w:val="7BC6204D"/>
    <w:rsid w:val="7BC97448"/>
    <w:rsid w:val="7BD52290"/>
    <w:rsid w:val="7BDC13DD"/>
    <w:rsid w:val="7BE61DA8"/>
    <w:rsid w:val="7BEC1388"/>
    <w:rsid w:val="7BF30969"/>
    <w:rsid w:val="7BF66C24"/>
    <w:rsid w:val="7C0E2551"/>
    <w:rsid w:val="7C1728A9"/>
    <w:rsid w:val="7C1C3A1B"/>
    <w:rsid w:val="7C2B0102"/>
    <w:rsid w:val="7C330D65"/>
    <w:rsid w:val="7C3A0D50"/>
    <w:rsid w:val="7C4F3DF1"/>
    <w:rsid w:val="7C55517F"/>
    <w:rsid w:val="7C602DF5"/>
    <w:rsid w:val="7C605FFE"/>
    <w:rsid w:val="7C63789C"/>
    <w:rsid w:val="7C6929D9"/>
    <w:rsid w:val="7C761AE2"/>
    <w:rsid w:val="7C831CEC"/>
    <w:rsid w:val="7CA1076C"/>
    <w:rsid w:val="7CAD6D69"/>
    <w:rsid w:val="7CC71CBE"/>
    <w:rsid w:val="7CC83BA3"/>
    <w:rsid w:val="7CC876FF"/>
    <w:rsid w:val="7CCD3799"/>
    <w:rsid w:val="7CEF1A0D"/>
    <w:rsid w:val="7CF74B9B"/>
    <w:rsid w:val="7D1312C2"/>
    <w:rsid w:val="7D4C6582"/>
    <w:rsid w:val="7D644010"/>
    <w:rsid w:val="7D692C90"/>
    <w:rsid w:val="7D6C09D3"/>
    <w:rsid w:val="7D731D61"/>
    <w:rsid w:val="7D781125"/>
    <w:rsid w:val="7D965A4F"/>
    <w:rsid w:val="7DA97531"/>
    <w:rsid w:val="7DB54128"/>
    <w:rsid w:val="7DB7677B"/>
    <w:rsid w:val="7DC205F3"/>
    <w:rsid w:val="7DD02D0F"/>
    <w:rsid w:val="7DDD542C"/>
    <w:rsid w:val="7DF42D49"/>
    <w:rsid w:val="7DFC4599"/>
    <w:rsid w:val="7E176B90"/>
    <w:rsid w:val="7E2117BD"/>
    <w:rsid w:val="7E350DC4"/>
    <w:rsid w:val="7E470AF8"/>
    <w:rsid w:val="7E486D4A"/>
    <w:rsid w:val="7E4E1E86"/>
    <w:rsid w:val="7E7318ED"/>
    <w:rsid w:val="7E941F8F"/>
    <w:rsid w:val="7E9E696A"/>
    <w:rsid w:val="7EB0669D"/>
    <w:rsid w:val="7EB663A9"/>
    <w:rsid w:val="7EBC14E6"/>
    <w:rsid w:val="7EC65E37"/>
    <w:rsid w:val="7ECD724F"/>
    <w:rsid w:val="7EF10BB6"/>
    <w:rsid w:val="7EFB5EB0"/>
    <w:rsid w:val="7F0F5AB9"/>
    <w:rsid w:val="7F1C738E"/>
    <w:rsid w:val="7F2F1CB8"/>
    <w:rsid w:val="7F345ABC"/>
    <w:rsid w:val="7F370B6C"/>
    <w:rsid w:val="7F460DAF"/>
    <w:rsid w:val="7F471A84"/>
    <w:rsid w:val="7F65392B"/>
    <w:rsid w:val="7F65523E"/>
    <w:rsid w:val="7F842003"/>
    <w:rsid w:val="7F996FE1"/>
    <w:rsid w:val="7FA04963"/>
    <w:rsid w:val="7FA75CF2"/>
    <w:rsid w:val="7FB421BD"/>
    <w:rsid w:val="7FC05006"/>
    <w:rsid w:val="7FD34D39"/>
    <w:rsid w:val="7FE24F7C"/>
    <w:rsid w:val="7FF27EF4"/>
    <w:rsid w:val="7FF77EA0"/>
    <w:rsid w:val="7FFF3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qFormat/>
    <w:uiPriority w:val="0"/>
    <w:pPr>
      <w:keepNext/>
      <w:spacing w:line="360" w:lineRule="auto"/>
      <w:jc w:val="center"/>
      <w:outlineLvl w:val="0"/>
    </w:pPr>
    <w:rPr>
      <w:b/>
      <w:sz w:val="36"/>
    </w:rPr>
  </w:style>
  <w:style w:type="paragraph" w:styleId="4">
    <w:name w:val="heading 2"/>
    <w:basedOn w:val="1"/>
    <w:next w:val="1"/>
    <w:link w:val="82"/>
    <w:qFormat/>
    <w:uiPriority w:val="0"/>
    <w:pPr>
      <w:keepNext/>
      <w:keepLines/>
      <w:widowControl w:val="0"/>
      <w:spacing w:before="260" w:after="260" w:line="416" w:lineRule="auto"/>
      <w:textAlignment w:val="auto"/>
      <w:outlineLvl w:val="1"/>
    </w:pPr>
    <w:rPr>
      <w:rFonts w:ascii="Arial" w:hAnsi="Arial" w:eastAsia="黑体" w:cs="Times New Roman"/>
      <w:b/>
      <w:bCs/>
      <w:sz w:val="32"/>
      <w:szCs w:val="32"/>
    </w:rPr>
  </w:style>
  <w:style w:type="paragraph" w:styleId="5">
    <w:name w:val="heading 4"/>
    <w:basedOn w:val="1"/>
    <w:next w:val="1"/>
    <w:qFormat/>
    <w:uiPriority w:val="99"/>
    <w:pPr>
      <w:keepNext/>
      <w:keepLines/>
      <w:adjustRightInd w:val="0"/>
      <w:spacing w:before="280" w:after="290" w:line="376" w:lineRule="atLeast"/>
      <w:outlineLvl w:val="3"/>
    </w:pPr>
    <w:rPr>
      <w:rFonts w:ascii="Arial" w:hAnsi="Arial"/>
      <w:b/>
      <w:spacing w:val="20"/>
      <w:sz w:val="28"/>
    </w:rPr>
  </w:style>
  <w:style w:type="paragraph" w:styleId="6">
    <w:name w:val="heading 6"/>
    <w:basedOn w:val="1"/>
    <w:next w:val="1"/>
    <w:qFormat/>
    <w:uiPriority w:val="9"/>
    <w:pPr>
      <w:keepNext/>
      <w:keepLines/>
      <w:spacing w:line="317"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annotation text"/>
    <w:basedOn w:val="1"/>
    <w:qFormat/>
    <w:uiPriority w:val="0"/>
    <w:pPr>
      <w:jc w:val="left"/>
    </w:pPr>
  </w:style>
  <w:style w:type="paragraph" w:styleId="8">
    <w:name w:val="Body Text"/>
    <w:basedOn w:val="1"/>
    <w:next w:val="1"/>
    <w:qFormat/>
    <w:uiPriority w:val="0"/>
    <w:pPr>
      <w:spacing w:after="120"/>
    </w:pPr>
    <w:rPr>
      <w:rFonts w:ascii="宋体"/>
      <w:kern w:val="0"/>
      <w:sz w:val="34"/>
    </w:rPr>
  </w:style>
  <w:style w:type="paragraph" w:styleId="9">
    <w:name w:val="Body Text Indent"/>
    <w:basedOn w:val="1"/>
    <w:next w:val="10"/>
    <w:link w:val="80"/>
    <w:qFormat/>
    <w:uiPriority w:val="0"/>
    <w:pPr>
      <w:spacing w:after="120"/>
      <w:ind w:left="420" w:leftChars="200"/>
    </w:pPr>
  </w:style>
  <w:style w:type="paragraph" w:styleId="10">
    <w:name w:val="Body Text First Indent 2"/>
    <w:basedOn w:val="9"/>
    <w:qFormat/>
    <w:uiPriority w:val="0"/>
    <w:pPr>
      <w:ind w:firstLine="420" w:firstLineChars="200"/>
    </w:pPr>
  </w:style>
  <w:style w:type="paragraph" w:styleId="11">
    <w:name w:val="Plain Text"/>
    <w:basedOn w:val="1"/>
    <w:link w:val="77"/>
    <w:qFormat/>
    <w:uiPriority w:val="0"/>
    <w:pPr>
      <w:widowControl w:val="0"/>
      <w:textAlignment w:val="auto"/>
    </w:pPr>
    <w:rPr>
      <w:rFonts w:ascii="宋体" w:hAnsi="Courier New" w:cs="Courier New"/>
      <w:szCs w:val="21"/>
    </w:rPr>
  </w:style>
  <w:style w:type="paragraph" w:styleId="12">
    <w:name w:val="Date"/>
    <w:basedOn w:val="1"/>
    <w:next w:val="1"/>
    <w:qFormat/>
    <w:uiPriority w:val="0"/>
    <w:rPr>
      <w:rFonts w:ascii="宋体"/>
      <w:sz w:val="24"/>
    </w:rPr>
  </w:style>
  <w:style w:type="paragraph" w:styleId="13">
    <w:name w:val="Body Text Indent 2"/>
    <w:basedOn w:val="1"/>
    <w:qFormat/>
    <w:uiPriority w:val="99"/>
    <w:pPr>
      <w:autoSpaceDE w:val="0"/>
      <w:autoSpaceDN w:val="0"/>
      <w:adjustRightInd w:val="0"/>
      <w:spacing w:line="640" w:lineRule="exact"/>
      <w:ind w:firstLine="645"/>
    </w:pPr>
    <w:rPr>
      <w:rFonts w:ascii="楷体_GB2312" w:eastAsia="楷体_GB2312"/>
      <w:kern w:val="0"/>
      <w:sz w:val="32"/>
      <w:szCs w:val="32"/>
    </w:rPr>
  </w:style>
  <w:style w:type="paragraph" w:styleId="14">
    <w:name w:val="Balloon Text"/>
    <w:basedOn w:val="1"/>
    <w:link w:val="73"/>
    <w:qFormat/>
    <w:uiPriority w:val="0"/>
    <w:rPr>
      <w:sz w:val="18"/>
      <w:szCs w:val="18"/>
    </w:rPr>
  </w:style>
  <w:style w:type="paragraph" w:styleId="15">
    <w:name w:val="footer"/>
    <w:basedOn w:val="1"/>
    <w:next w:val="1"/>
    <w:link w:val="72"/>
    <w:qFormat/>
    <w:uiPriority w:val="0"/>
    <w:pPr>
      <w:tabs>
        <w:tab w:val="center" w:pos="4153"/>
        <w:tab w:val="right" w:pos="8306"/>
      </w:tabs>
      <w:spacing w:line="240" w:lineRule="atLeast"/>
      <w:jc w:val="left"/>
    </w:pPr>
    <w:rPr>
      <w:kern w:val="0"/>
      <w:sz w:val="18"/>
    </w:rPr>
  </w:style>
  <w:style w:type="paragraph" w:styleId="16">
    <w:name w:val="header"/>
    <w:basedOn w:val="1"/>
    <w:link w:val="81"/>
    <w:qFormat/>
    <w:uiPriority w:val="99"/>
    <w:pPr>
      <w:pBdr>
        <w:bottom w:val="single" w:color="000000" w:sz="6" w:space="1"/>
      </w:pBdr>
      <w:tabs>
        <w:tab w:val="center" w:pos="4153"/>
        <w:tab w:val="right" w:pos="8306"/>
      </w:tabs>
      <w:snapToGrid w:val="0"/>
      <w:jc w:val="center"/>
    </w:pPr>
    <w:rPr>
      <w:sz w:val="18"/>
      <w:szCs w:val="18"/>
    </w:rPr>
  </w:style>
  <w:style w:type="paragraph" w:styleId="17">
    <w:name w:val="toc 2"/>
    <w:basedOn w:val="1"/>
    <w:next w:val="1"/>
    <w:qFormat/>
    <w:uiPriority w:val="39"/>
    <w:pPr>
      <w:ind w:left="420" w:leftChars="200"/>
    </w:pPr>
  </w:style>
  <w:style w:type="paragraph" w:styleId="18">
    <w:name w:val="Body Text 2"/>
    <w:basedOn w:val="1"/>
    <w:qFormat/>
    <w:uiPriority w:val="0"/>
    <w:pPr>
      <w:jc w:val="left"/>
    </w:pPr>
    <w:rPr>
      <w:rFonts w:ascii="仿宋_GB2312" w:hAnsi="宋体" w:eastAsia="仿宋_GB2312"/>
    </w:rPr>
  </w:style>
  <w:style w:type="paragraph" w:styleId="19">
    <w:name w:val="Normal (Web)"/>
    <w:basedOn w:val="1"/>
    <w:qFormat/>
    <w:uiPriority w:val="99"/>
    <w:pPr>
      <w:spacing w:before="100" w:beforeAutospacing="1" w:after="100" w:afterAutospacing="1"/>
      <w:jc w:val="left"/>
    </w:pPr>
    <w:rPr>
      <w:rFonts w:ascii="宋体" w:hAnsi="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sz w:val="21"/>
    </w:rPr>
  </w:style>
  <w:style w:type="character" w:styleId="24">
    <w:name w:val="page number"/>
    <w:qFormat/>
    <w:uiPriority w:val="0"/>
  </w:style>
  <w:style w:type="character" w:styleId="25">
    <w:name w:val="Hyperlink"/>
    <w:basedOn w:val="22"/>
    <w:qFormat/>
    <w:uiPriority w:val="99"/>
    <w:rPr>
      <w:color w:val="0000FF"/>
      <w:sz w:val="24"/>
      <w:szCs w:val="24"/>
      <w:u w:val="single"/>
    </w:rPr>
  </w:style>
  <w:style w:type="character" w:styleId="26">
    <w:name w:val="annotation reference"/>
    <w:basedOn w:val="22"/>
    <w:qFormat/>
    <w:uiPriority w:val="0"/>
    <w:rPr>
      <w:sz w:val="21"/>
      <w:szCs w:val="21"/>
    </w:rPr>
  </w:style>
  <w:style w:type="paragraph" w:customStyle="1" w:styleId="27">
    <w:name w:val="Heading1"/>
    <w:basedOn w:val="1"/>
    <w:next w:val="1"/>
    <w:qFormat/>
    <w:uiPriority w:val="0"/>
    <w:pPr>
      <w:keepNext/>
      <w:spacing w:line="360" w:lineRule="auto"/>
      <w:jc w:val="center"/>
    </w:pPr>
    <w:rPr>
      <w:b/>
      <w:sz w:val="36"/>
    </w:rPr>
  </w:style>
  <w:style w:type="paragraph" w:customStyle="1" w:styleId="28">
    <w:name w:val="Heading2"/>
    <w:basedOn w:val="1"/>
    <w:next w:val="1"/>
    <w:qFormat/>
    <w:uiPriority w:val="0"/>
    <w:pPr>
      <w:keepNext/>
      <w:keepLines/>
      <w:spacing w:line="360" w:lineRule="auto"/>
      <w:jc w:val="center"/>
    </w:pPr>
    <w:rPr>
      <w:rFonts w:ascii="Arial" w:hAnsi="Arial" w:cs="Times New Roman"/>
      <w:b/>
      <w:bCs/>
      <w:sz w:val="32"/>
      <w:szCs w:val="32"/>
    </w:rPr>
  </w:style>
  <w:style w:type="paragraph" w:customStyle="1" w:styleId="29">
    <w:name w:val="Heading3"/>
    <w:basedOn w:val="1"/>
    <w:next w:val="1"/>
    <w:qFormat/>
    <w:uiPriority w:val="0"/>
    <w:pPr>
      <w:keepNext/>
      <w:keepLines/>
      <w:spacing w:before="260" w:after="260" w:line="416" w:lineRule="auto"/>
    </w:pPr>
    <w:rPr>
      <w:rFonts w:cs="Times New Roman"/>
      <w:b/>
      <w:bCs/>
      <w:sz w:val="32"/>
      <w:szCs w:val="32"/>
    </w:rPr>
  </w:style>
  <w:style w:type="paragraph" w:customStyle="1" w:styleId="30">
    <w:name w:val="Heading4"/>
    <w:basedOn w:val="1"/>
    <w:next w:val="1"/>
    <w:qFormat/>
    <w:uiPriority w:val="0"/>
    <w:pPr>
      <w:keepNext/>
      <w:keepLines/>
      <w:spacing w:before="280" w:after="290" w:line="372" w:lineRule="auto"/>
    </w:pPr>
    <w:rPr>
      <w:rFonts w:ascii="Arial" w:hAnsi="Arial" w:eastAsia="黑体"/>
      <w:b/>
      <w:sz w:val="28"/>
    </w:rPr>
  </w:style>
  <w:style w:type="character" w:customStyle="1" w:styleId="31">
    <w:name w:val="NormalCharacter"/>
    <w:semiHidden/>
    <w:qFormat/>
    <w:uiPriority w:val="0"/>
    <w:rPr>
      <w:sz w:val="24"/>
      <w:szCs w:val="24"/>
    </w:rPr>
  </w:style>
  <w:style w:type="table" w:customStyle="1" w:styleId="32">
    <w:name w:val="TableNormal"/>
    <w:semiHidden/>
    <w:qFormat/>
    <w:uiPriority w:val="0"/>
    <w:tblPr>
      <w:tblCellMar>
        <w:top w:w="0" w:type="dxa"/>
        <w:left w:w="0" w:type="dxa"/>
        <w:bottom w:w="0" w:type="dxa"/>
        <w:right w:w="0" w:type="dxa"/>
      </w:tblCellMar>
    </w:tblPr>
  </w:style>
  <w:style w:type="paragraph" w:customStyle="1" w:styleId="33">
    <w:name w:val="NavPane"/>
    <w:basedOn w:val="1"/>
    <w:link w:val="34"/>
    <w:qFormat/>
    <w:uiPriority w:val="0"/>
    <w:rPr>
      <w:rFonts w:ascii="宋体"/>
      <w:sz w:val="18"/>
      <w:szCs w:val="18"/>
    </w:rPr>
  </w:style>
  <w:style w:type="character" w:customStyle="1" w:styleId="34">
    <w:name w:val="UserStyle_0"/>
    <w:link w:val="33"/>
    <w:qFormat/>
    <w:uiPriority w:val="0"/>
    <w:rPr>
      <w:rFonts w:ascii="宋体"/>
      <w:kern w:val="2"/>
      <w:sz w:val="18"/>
      <w:szCs w:val="18"/>
    </w:rPr>
  </w:style>
  <w:style w:type="paragraph" w:customStyle="1" w:styleId="35">
    <w:name w:val="AnnotationText"/>
    <w:basedOn w:val="1"/>
    <w:link w:val="36"/>
    <w:qFormat/>
    <w:uiPriority w:val="0"/>
    <w:pPr>
      <w:jc w:val="left"/>
    </w:pPr>
    <w:rPr>
      <w:szCs w:val="24"/>
    </w:rPr>
  </w:style>
  <w:style w:type="character" w:customStyle="1" w:styleId="36">
    <w:name w:val="UserStyle_1"/>
    <w:link w:val="35"/>
    <w:qFormat/>
    <w:uiPriority w:val="0"/>
    <w:rPr>
      <w:kern w:val="2"/>
      <w:sz w:val="21"/>
      <w:szCs w:val="24"/>
    </w:rPr>
  </w:style>
  <w:style w:type="paragraph" w:customStyle="1" w:styleId="37">
    <w:name w:val="BodyText"/>
    <w:basedOn w:val="1"/>
    <w:next w:val="1"/>
    <w:link w:val="38"/>
    <w:qFormat/>
    <w:uiPriority w:val="0"/>
    <w:pPr>
      <w:spacing w:after="120"/>
    </w:pPr>
    <w:rPr>
      <w:szCs w:val="24"/>
    </w:rPr>
  </w:style>
  <w:style w:type="character" w:customStyle="1" w:styleId="38">
    <w:name w:val="UserStyle_2"/>
    <w:link w:val="37"/>
    <w:qFormat/>
    <w:uiPriority w:val="0"/>
    <w:rPr>
      <w:kern w:val="2"/>
      <w:sz w:val="21"/>
      <w:szCs w:val="24"/>
    </w:rPr>
  </w:style>
  <w:style w:type="paragraph" w:customStyle="1" w:styleId="39">
    <w:name w:val="BodyTextIndent"/>
    <w:basedOn w:val="1"/>
    <w:qFormat/>
    <w:uiPriority w:val="0"/>
    <w:pPr>
      <w:ind w:firstLine="552"/>
    </w:pPr>
    <w:rPr>
      <w:rFonts w:ascii="宋体"/>
      <w:sz w:val="28"/>
    </w:rPr>
  </w:style>
  <w:style w:type="paragraph" w:customStyle="1" w:styleId="40">
    <w:name w:val="TOC3"/>
    <w:basedOn w:val="1"/>
    <w:next w:val="1"/>
    <w:qFormat/>
    <w:uiPriority w:val="0"/>
    <w:pPr>
      <w:ind w:left="840" w:leftChars="400"/>
    </w:pPr>
  </w:style>
  <w:style w:type="paragraph" w:customStyle="1" w:styleId="41">
    <w:name w:val="PlainText"/>
    <w:basedOn w:val="1"/>
    <w:qFormat/>
    <w:uiPriority w:val="0"/>
    <w:rPr>
      <w:rFonts w:ascii="宋体" w:hAnsi="Courier New"/>
    </w:rPr>
  </w:style>
  <w:style w:type="paragraph" w:customStyle="1" w:styleId="42">
    <w:name w:val="Acetate"/>
    <w:basedOn w:val="1"/>
    <w:link w:val="43"/>
    <w:qFormat/>
    <w:uiPriority w:val="0"/>
    <w:rPr>
      <w:sz w:val="18"/>
      <w:szCs w:val="18"/>
    </w:rPr>
  </w:style>
  <w:style w:type="character" w:customStyle="1" w:styleId="43">
    <w:name w:val="UserStyle_3"/>
    <w:link w:val="42"/>
    <w:qFormat/>
    <w:uiPriority w:val="0"/>
    <w:rPr>
      <w:kern w:val="2"/>
      <w:sz w:val="18"/>
      <w:szCs w:val="18"/>
    </w:rPr>
  </w:style>
  <w:style w:type="paragraph" w:customStyle="1" w:styleId="44">
    <w:name w:val="TOC1"/>
    <w:basedOn w:val="1"/>
    <w:next w:val="1"/>
    <w:qFormat/>
    <w:uiPriority w:val="0"/>
  </w:style>
  <w:style w:type="paragraph" w:customStyle="1" w:styleId="45">
    <w:name w:val="TOC2"/>
    <w:basedOn w:val="1"/>
    <w:next w:val="1"/>
    <w:qFormat/>
    <w:uiPriority w:val="0"/>
    <w:pPr>
      <w:ind w:left="420" w:leftChars="200"/>
    </w:pPr>
  </w:style>
  <w:style w:type="paragraph" w:customStyle="1" w:styleId="46">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7">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48">
    <w:name w:val="AnnotationSubject"/>
    <w:basedOn w:val="35"/>
    <w:next w:val="35"/>
    <w:link w:val="49"/>
    <w:qFormat/>
    <w:uiPriority w:val="0"/>
    <w:rPr>
      <w:rFonts w:cs="Times New Roman"/>
      <w:b/>
      <w:bCs/>
    </w:rPr>
  </w:style>
  <w:style w:type="character" w:customStyle="1" w:styleId="49">
    <w:name w:val="UserStyle_5"/>
    <w:link w:val="48"/>
    <w:qFormat/>
    <w:uiPriority w:val="0"/>
    <w:rPr>
      <w:rFonts w:cs="Times New Roman"/>
      <w:b/>
      <w:bCs/>
      <w:kern w:val="2"/>
      <w:sz w:val="21"/>
      <w:szCs w:val="24"/>
    </w:rPr>
  </w:style>
  <w:style w:type="table" w:customStyle="1" w:styleId="50">
    <w:name w:val="TableGrid"/>
    <w:basedOn w:val="32"/>
    <w:qFormat/>
    <w:uiPriority w:val="0"/>
  </w:style>
  <w:style w:type="character" w:customStyle="1" w:styleId="51">
    <w:name w:val="PageNumber"/>
    <w:basedOn w:val="31"/>
    <w:qFormat/>
    <w:uiPriority w:val="0"/>
    <w:rPr>
      <w:sz w:val="24"/>
      <w:szCs w:val="24"/>
    </w:rPr>
  </w:style>
  <w:style w:type="character" w:customStyle="1" w:styleId="52">
    <w:name w:val="AnnotationReference"/>
    <w:qFormat/>
    <w:uiPriority w:val="0"/>
    <w:rPr>
      <w:sz w:val="21"/>
      <w:szCs w:val="21"/>
    </w:rPr>
  </w:style>
  <w:style w:type="character" w:customStyle="1" w:styleId="53">
    <w:name w:val="UserStyle_6"/>
    <w:qFormat/>
    <w:uiPriority w:val="0"/>
    <w:rPr>
      <w:rFonts w:ascii="仿宋_GB2312" w:eastAsia="仿宋_GB2312"/>
      <w:color w:val="000000"/>
      <w:sz w:val="20"/>
      <w:szCs w:val="20"/>
    </w:rPr>
  </w:style>
  <w:style w:type="character" w:customStyle="1" w:styleId="54">
    <w:name w:val="UserStyle_7"/>
    <w:qFormat/>
    <w:uiPriority w:val="0"/>
    <w:rPr>
      <w:rFonts w:ascii="仿宋_GB2312" w:eastAsia="仿宋_GB2312"/>
      <w:color w:val="FF0000"/>
      <w:sz w:val="20"/>
      <w:szCs w:val="20"/>
    </w:rPr>
  </w:style>
  <w:style w:type="character" w:customStyle="1" w:styleId="55">
    <w:name w:val="UserStyle_8"/>
    <w:qFormat/>
    <w:uiPriority w:val="0"/>
    <w:rPr>
      <w:rFonts w:ascii="宋体" w:hAnsi="宋体" w:eastAsia="宋体"/>
      <w:color w:val="000000"/>
      <w:sz w:val="20"/>
      <w:szCs w:val="20"/>
    </w:rPr>
  </w:style>
  <w:style w:type="character" w:customStyle="1" w:styleId="56">
    <w:name w:val="UserStyle_9"/>
    <w:qFormat/>
    <w:uiPriority w:val="0"/>
    <w:rPr>
      <w:rFonts w:ascii="仿宋_GB2312" w:eastAsia="仿宋_GB2312"/>
      <w:color w:val="000000"/>
      <w:sz w:val="20"/>
      <w:szCs w:val="20"/>
    </w:rPr>
  </w:style>
  <w:style w:type="character" w:customStyle="1" w:styleId="57">
    <w:name w:val="UserStyle_10"/>
    <w:qFormat/>
    <w:uiPriority w:val="0"/>
    <w:rPr>
      <w:rFonts w:ascii="宋体" w:hAnsi="宋体" w:eastAsia="宋体"/>
      <w:color w:val="000000"/>
      <w:sz w:val="18"/>
      <w:szCs w:val="18"/>
    </w:rPr>
  </w:style>
  <w:style w:type="character" w:customStyle="1" w:styleId="58">
    <w:name w:val="UserStyle_11"/>
    <w:qFormat/>
    <w:uiPriority w:val="0"/>
    <w:rPr>
      <w:rFonts w:ascii="宋体" w:hAnsi="宋体" w:eastAsia="宋体"/>
      <w:color w:val="000000"/>
      <w:sz w:val="22"/>
      <w:szCs w:val="22"/>
    </w:rPr>
  </w:style>
  <w:style w:type="character" w:customStyle="1" w:styleId="59">
    <w:name w:val="UserStyle_12"/>
    <w:qFormat/>
    <w:uiPriority w:val="0"/>
    <w:rPr>
      <w:rFonts w:ascii="宋体" w:hAnsi="宋体" w:eastAsia="宋体"/>
      <w:color w:val="FF0000"/>
      <w:sz w:val="20"/>
      <w:szCs w:val="20"/>
    </w:rPr>
  </w:style>
  <w:style w:type="character" w:customStyle="1" w:styleId="60">
    <w:name w:val="UserStyle_13"/>
    <w:qFormat/>
    <w:uiPriority w:val="0"/>
    <w:rPr>
      <w:rFonts w:ascii="仿宋_GB2312" w:eastAsia="仿宋_GB2312"/>
      <w:color w:val="00B0F0"/>
      <w:sz w:val="20"/>
      <w:szCs w:val="20"/>
    </w:rPr>
  </w:style>
  <w:style w:type="character" w:customStyle="1" w:styleId="61">
    <w:name w:val="UserStyle_14"/>
    <w:qFormat/>
    <w:uiPriority w:val="0"/>
    <w:rPr>
      <w:rFonts w:ascii="宋体" w:hAnsi="宋体" w:eastAsia="宋体"/>
      <w:color w:val="000000"/>
      <w:sz w:val="20"/>
      <w:szCs w:val="20"/>
    </w:rPr>
  </w:style>
  <w:style w:type="character" w:customStyle="1" w:styleId="62">
    <w:name w:val="UserStyle_15"/>
    <w:qFormat/>
    <w:uiPriority w:val="0"/>
    <w:rPr>
      <w:rFonts w:ascii="宋体" w:hAnsi="宋体" w:eastAsia="宋体"/>
      <w:color w:val="000000"/>
      <w:sz w:val="20"/>
      <w:szCs w:val="20"/>
    </w:rPr>
  </w:style>
  <w:style w:type="paragraph" w:customStyle="1" w:styleId="63">
    <w:name w:val="UserStyle_16"/>
    <w:basedOn w:val="1"/>
    <w:qFormat/>
    <w:uiPriority w:val="0"/>
    <w:pPr>
      <w:tabs>
        <w:tab w:val="left" w:pos="360"/>
      </w:tabs>
      <w:ind w:left="360" w:hanging="360" w:hangingChars="200"/>
    </w:pPr>
    <w:rPr>
      <w:sz w:val="24"/>
      <w:szCs w:val="24"/>
    </w:rPr>
  </w:style>
  <w:style w:type="paragraph" w:customStyle="1" w:styleId="64">
    <w:name w:val="UserStyle_17"/>
    <w:basedOn w:val="27"/>
    <w:qFormat/>
    <w:uiPriority w:val="0"/>
    <w:pPr>
      <w:keepLines/>
      <w:spacing w:before="340" w:after="330" w:line="240" w:lineRule="auto"/>
    </w:pPr>
    <w:rPr>
      <w:rFonts w:ascii="黑体" w:eastAsia="黑体" w:cs="Times New Roman"/>
      <w:b w:val="0"/>
      <w:bCs/>
      <w:kern w:val="44"/>
      <w:szCs w:val="36"/>
    </w:rPr>
  </w:style>
  <w:style w:type="paragraph" w:customStyle="1" w:styleId="65">
    <w:name w:val="UserStyle_18"/>
    <w:basedOn w:val="1"/>
    <w:qFormat/>
    <w:uiPriority w:val="0"/>
    <w:rPr>
      <w:rFonts w:ascii="Tahoma" w:hAnsi="Tahoma"/>
      <w:sz w:val="24"/>
    </w:rPr>
  </w:style>
  <w:style w:type="paragraph" w:customStyle="1" w:styleId="66">
    <w:name w:val="UserStyle_19"/>
    <w:basedOn w:val="1"/>
    <w:qFormat/>
    <w:uiPriority w:val="0"/>
    <w:pPr>
      <w:spacing w:line="360" w:lineRule="auto"/>
    </w:pPr>
  </w:style>
  <w:style w:type="paragraph" w:customStyle="1" w:styleId="67">
    <w:name w:val="UserStyle_20"/>
    <w:basedOn w:val="1"/>
    <w:qFormat/>
    <w:uiPriority w:val="0"/>
    <w:pPr>
      <w:spacing w:line="400" w:lineRule="exact"/>
      <w:ind w:firstLine="200" w:firstLineChars="200"/>
    </w:pPr>
    <w:rPr>
      <w:sz w:val="24"/>
      <w:szCs w:val="24"/>
    </w:rPr>
  </w:style>
  <w:style w:type="paragraph" w:customStyle="1" w:styleId="68">
    <w:name w:val="UserStyle_21"/>
    <w:basedOn w:val="1"/>
    <w:qFormat/>
    <w:uiPriority w:val="0"/>
    <w:pPr>
      <w:ind w:firstLine="420" w:firstLineChars="200"/>
    </w:pPr>
  </w:style>
  <w:style w:type="paragraph" w:customStyle="1" w:styleId="69">
    <w:name w:val="UserStyle_22"/>
    <w:basedOn w:val="1"/>
    <w:qFormat/>
    <w:uiPriority w:val="0"/>
    <w:pPr>
      <w:spacing w:after="160" w:line="240" w:lineRule="exact"/>
      <w:jc w:val="left"/>
    </w:pPr>
    <w:rPr>
      <w:rFonts w:ascii="Verdana" w:hAnsi="Verdana" w:eastAsia="仿宋_GB2312"/>
      <w:kern w:val="0"/>
      <w:sz w:val="24"/>
      <w:lang w:eastAsia="en-US"/>
    </w:rPr>
  </w:style>
  <w:style w:type="paragraph" w:customStyle="1" w:styleId="70">
    <w:name w:val="178"/>
    <w:qFormat/>
    <w:uiPriority w:val="0"/>
    <w:pPr>
      <w:textAlignment w:val="baseline"/>
    </w:pPr>
    <w:rPr>
      <w:rFonts w:ascii="Times New Roman" w:hAnsi="Times New Roman" w:eastAsia="宋体" w:cstheme="minorBidi"/>
      <w:kern w:val="2"/>
      <w:sz w:val="21"/>
      <w:lang w:val="en-US" w:eastAsia="zh-CN" w:bidi="ar-SA"/>
    </w:rPr>
  </w:style>
  <w:style w:type="paragraph" w:customStyle="1" w:styleId="71">
    <w:name w:val="179"/>
    <w:basedOn w:val="1"/>
    <w:qFormat/>
    <w:uiPriority w:val="0"/>
    <w:pPr>
      <w:ind w:left="720"/>
      <w:contextualSpacing/>
      <w:jc w:val="left"/>
    </w:pPr>
    <w:rPr>
      <w:rFonts w:ascii="Calibri" w:hAnsi="Calibri"/>
      <w:kern w:val="0"/>
      <w:sz w:val="24"/>
      <w:lang w:eastAsia="en-US" w:bidi="en-US"/>
    </w:rPr>
  </w:style>
  <w:style w:type="character" w:customStyle="1" w:styleId="72">
    <w:name w:val="页脚 Char"/>
    <w:basedOn w:val="31"/>
    <w:link w:val="15"/>
    <w:qFormat/>
    <w:uiPriority w:val="0"/>
    <w:rPr>
      <w:sz w:val="18"/>
      <w:szCs w:val="24"/>
    </w:rPr>
  </w:style>
  <w:style w:type="character" w:customStyle="1" w:styleId="73">
    <w:name w:val="批注框文本 Char"/>
    <w:basedOn w:val="22"/>
    <w:link w:val="14"/>
    <w:qFormat/>
    <w:uiPriority w:val="0"/>
    <w:rPr>
      <w:kern w:val="2"/>
      <w:sz w:val="18"/>
      <w:szCs w:val="18"/>
    </w:rPr>
  </w:style>
  <w:style w:type="paragraph" w:customStyle="1" w:styleId="74">
    <w:name w:val="WPSOffice手动目录 1"/>
    <w:qFormat/>
    <w:uiPriority w:val="0"/>
    <w:rPr>
      <w:rFonts w:ascii="Times New Roman" w:hAnsi="Times New Roman" w:eastAsia="宋体" w:cstheme="minorBidi"/>
      <w:lang w:val="en-US" w:eastAsia="zh-CN" w:bidi="ar-SA"/>
    </w:rPr>
  </w:style>
  <w:style w:type="paragraph" w:customStyle="1" w:styleId="75">
    <w:name w:val="WPSOffice手动目录 2"/>
    <w:qFormat/>
    <w:uiPriority w:val="0"/>
    <w:pPr>
      <w:ind w:left="200" w:leftChars="200"/>
    </w:pPr>
    <w:rPr>
      <w:rFonts w:ascii="Times New Roman" w:hAnsi="Times New Roman" w:eastAsia="宋体" w:cstheme="minorBidi"/>
      <w:lang w:val="en-US" w:eastAsia="zh-CN" w:bidi="ar-SA"/>
    </w:rPr>
  </w:style>
  <w:style w:type="paragraph" w:customStyle="1" w:styleId="76">
    <w:name w:val="列出段落1"/>
    <w:basedOn w:val="1"/>
    <w:qFormat/>
    <w:uiPriority w:val="34"/>
    <w:pPr>
      <w:ind w:firstLine="420" w:firstLineChars="200"/>
    </w:pPr>
  </w:style>
  <w:style w:type="character" w:customStyle="1" w:styleId="77">
    <w:name w:val="纯文本 Char"/>
    <w:basedOn w:val="22"/>
    <w:link w:val="11"/>
    <w:qFormat/>
    <w:uiPriority w:val="0"/>
    <w:rPr>
      <w:rFonts w:ascii="宋体" w:hAnsi="Courier New" w:cs="Courier New"/>
      <w:kern w:val="2"/>
      <w:sz w:val="21"/>
      <w:szCs w:val="21"/>
    </w:rPr>
  </w:style>
  <w:style w:type="paragraph" w:customStyle="1" w:styleId="7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9">
    <w:name w:val="p0"/>
    <w:basedOn w:val="1"/>
    <w:qFormat/>
    <w:uiPriority w:val="0"/>
    <w:pPr>
      <w:textAlignment w:val="auto"/>
    </w:pPr>
    <w:rPr>
      <w:rFonts w:cs="Times New Roman"/>
      <w:kern w:val="0"/>
      <w:szCs w:val="21"/>
    </w:rPr>
  </w:style>
  <w:style w:type="character" w:customStyle="1" w:styleId="80">
    <w:name w:val="正文文本缩进 Char"/>
    <w:basedOn w:val="22"/>
    <w:link w:val="9"/>
    <w:qFormat/>
    <w:uiPriority w:val="0"/>
    <w:rPr>
      <w:rFonts w:cstheme="minorBidi"/>
      <w:kern w:val="2"/>
      <w:sz w:val="21"/>
    </w:rPr>
  </w:style>
  <w:style w:type="character" w:customStyle="1" w:styleId="81">
    <w:name w:val="页眉 Char"/>
    <w:link w:val="16"/>
    <w:qFormat/>
    <w:uiPriority w:val="99"/>
    <w:rPr>
      <w:rFonts w:cstheme="minorBidi"/>
      <w:kern w:val="2"/>
      <w:sz w:val="18"/>
      <w:szCs w:val="18"/>
    </w:rPr>
  </w:style>
  <w:style w:type="character" w:customStyle="1" w:styleId="82">
    <w:name w:val="标题 2 Char"/>
    <w:basedOn w:val="22"/>
    <w:link w:val="4"/>
    <w:qFormat/>
    <w:uiPriority w:val="0"/>
    <w:rPr>
      <w:rFonts w:ascii="Arial" w:hAnsi="Arial" w:eastAsia="黑体"/>
      <w:b/>
      <w:bCs/>
      <w:kern w:val="2"/>
      <w:sz w:val="32"/>
      <w:szCs w:val="32"/>
    </w:rPr>
  </w:style>
  <w:style w:type="paragraph" w:styleId="83">
    <w:name w:val="List Paragraph"/>
    <w:basedOn w:val="1"/>
    <w:qFormat/>
    <w:uiPriority w:val="34"/>
    <w:pPr>
      <w:ind w:firstLine="420" w:firstLineChars="200"/>
    </w:pPr>
  </w:style>
  <w:style w:type="paragraph" w:customStyle="1" w:styleId="84">
    <w:name w:val="表格内容"/>
    <w:basedOn w:val="85"/>
    <w:qFormat/>
    <w:uiPriority w:val="0"/>
    <w:pPr>
      <w:spacing w:line="240" w:lineRule="auto"/>
      <w:ind w:firstLine="0" w:firstLineChars="0"/>
    </w:pPr>
    <w:rPr>
      <w:rFonts w:ascii="宋体" w:hAnsi="宋体"/>
      <w:bCs/>
    </w:rPr>
  </w:style>
  <w:style w:type="paragraph" w:customStyle="1" w:styleId="85">
    <w:name w:val="正文-自"/>
    <w:basedOn w:val="1"/>
    <w:qFormat/>
    <w:uiPriority w:val="0"/>
    <w:pPr>
      <w:spacing w:line="360" w:lineRule="auto"/>
      <w:ind w:firstLine="480" w:firstLineChars="200"/>
    </w:pPr>
    <w:rPr>
      <w:sz w:val="24"/>
    </w:rPr>
  </w:style>
  <w:style w:type="paragraph" w:customStyle="1" w:styleId="86">
    <w:name w:val="正文内容"/>
    <w:basedOn w:val="1"/>
    <w:qFormat/>
    <w:uiPriority w:val="0"/>
    <w:pPr>
      <w:ind w:firstLine="200"/>
    </w:pPr>
  </w:style>
  <w:style w:type="paragraph" w:customStyle="1" w:styleId="87">
    <w:name w:val="图表内容"/>
    <w:basedOn w:val="88"/>
    <w:next w:val="1"/>
    <w:qFormat/>
    <w:uiPriority w:val="0"/>
    <w:pPr>
      <w:jc w:val="center"/>
    </w:pPr>
    <w:rPr>
      <w:rFonts w:ascii="Times New Roman" w:hAnsi="Times New Roman" w:eastAsia="宋体" w:cs="Times New Roman"/>
      <w:szCs w:val="24"/>
    </w:rPr>
  </w:style>
  <w:style w:type="paragraph" w:styleId="88">
    <w:name w:val="No Spacing"/>
    <w:qFormat/>
    <w:uiPriority w:val="9"/>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正文文本1"/>
    <w:basedOn w:val="1"/>
    <w:qFormat/>
    <w:uiPriority w:val="0"/>
    <w:pPr>
      <w:spacing w:after="130" w:line="324" w:lineRule="auto"/>
      <w:ind w:firstLine="400"/>
      <w:jc w:val="left"/>
    </w:pPr>
    <w:rPr>
      <w:rFonts w:ascii="宋体" w:hAnsi="宋体" w:eastAsia="宋体" w:cs="宋体"/>
      <w:color w:val="E47A6E"/>
      <w:sz w:val="20"/>
      <w:szCs w:val="20"/>
      <w:lang w:val="zh-CN" w:bidi="zh-CN"/>
    </w:rPr>
  </w:style>
  <w:style w:type="paragraph" w:customStyle="1" w:styleId="90">
    <w:name w:val="标题 #4"/>
    <w:basedOn w:val="1"/>
    <w:qFormat/>
    <w:uiPriority w:val="0"/>
    <w:pPr>
      <w:spacing w:after="80" w:line="397" w:lineRule="exact"/>
      <w:ind w:left="460" w:firstLine="560"/>
      <w:jc w:val="left"/>
      <w:outlineLvl w:val="3"/>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2229B-737D-41F1-853B-2C0ECBDCF8A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63</Pages>
  <Words>27304</Words>
  <Characters>29011</Characters>
  <Lines>235</Lines>
  <Paragraphs>66</Paragraphs>
  <TotalTime>0</TotalTime>
  <ScaleCrop>false</ScaleCrop>
  <LinksUpToDate>false</LinksUpToDate>
  <CharactersWithSpaces>30581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2022-09-27T09:41:00Z</dcterms:created>
  <dc:creator>ASUS</dc:creator>
  <cp:lastModifiedBy>韩敏</cp:lastModifiedBy>
  <cp:lastPrinted>2023-04-25T05:45:00Z</cp:lastPrinted>
  <dcterms:modified xsi:type="dcterms:W3CDTF">2023-05-11T08:42:36Z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643770A8E7D04E78AB9782B5DA85AA46</vt:lpwstr>
  </property>
</Properties>
</file>