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cs="华文中宋"/>
          <w:color w:val="auto"/>
          <w:sz w:val="24"/>
          <w:highlight w:val="none"/>
        </w:rPr>
      </w:pPr>
      <w:bookmarkStart w:id="0" w:name="_Toc23193"/>
      <w:bookmarkStart w:id="1" w:name="_Toc85180766"/>
      <w:bookmarkStart w:id="9" w:name="_GoBack"/>
      <w:bookmarkEnd w:id="9"/>
    </w:p>
    <w:p>
      <w:pPr>
        <w:pStyle w:val="2"/>
        <w:jc w:val="left"/>
        <w:rPr>
          <w:rFonts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采购项目编号：</w:t>
      </w:r>
      <w:bookmarkEnd w:id="0"/>
      <w:bookmarkEnd w:id="1"/>
      <w:r>
        <w:rPr>
          <w:rFonts w:hint="eastAsia" w:ascii="华文中宋" w:hAnsi="华文中宋" w:eastAsia="华文中宋" w:cs="华文中宋"/>
          <w:color w:val="auto"/>
          <w:sz w:val="24"/>
          <w:highlight w:val="none"/>
        </w:rPr>
        <w:t>JXZB2023-N117</w:t>
      </w:r>
    </w:p>
    <w:p>
      <w:pPr>
        <w:pStyle w:val="2"/>
        <w:jc w:val="left"/>
        <w:rPr>
          <w:color w:val="auto"/>
          <w:highlight w:val="none"/>
        </w:rPr>
      </w:pPr>
      <w:r>
        <w:rPr>
          <w:rFonts w:hint="eastAsia" w:ascii="华文中宋" w:hAnsi="华文中宋" w:eastAsia="华文中宋" w:cs="华文中宋"/>
          <w:color w:val="auto"/>
          <w:sz w:val="24"/>
          <w:highlight w:val="none"/>
        </w:rPr>
        <w:t xml:space="preserve"> </w:t>
      </w:r>
    </w:p>
    <w:p>
      <w:pPr>
        <w:spacing w:line="360" w:lineRule="auto"/>
        <w:jc w:val="center"/>
        <w:rPr>
          <w:rFonts w:ascii="华文中宋" w:hAnsi="华文中宋" w:eastAsia="华文中宋"/>
          <w:b/>
          <w:color w:val="auto"/>
          <w:sz w:val="52"/>
          <w:szCs w:val="52"/>
          <w:highlight w:val="none"/>
        </w:rPr>
      </w:pPr>
    </w:p>
    <w:p>
      <w:pPr>
        <w:spacing w:line="360" w:lineRule="auto"/>
        <w:jc w:val="center"/>
        <w:rPr>
          <w:rFonts w:ascii="华文中宋" w:hAnsi="华文中宋" w:eastAsia="华文中宋"/>
          <w:b/>
          <w:color w:val="auto"/>
          <w:sz w:val="44"/>
          <w:szCs w:val="44"/>
          <w:highlight w:val="none"/>
        </w:rPr>
      </w:pPr>
      <w:r>
        <w:rPr>
          <w:rFonts w:hint="eastAsia" w:ascii="华文中宋" w:hAnsi="华文中宋" w:eastAsia="华文中宋"/>
          <w:b/>
          <w:color w:val="auto"/>
          <w:sz w:val="72"/>
          <w:szCs w:val="72"/>
          <w:highlight w:val="none"/>
        </w:rPr>
        <w:t>智能听证室建设项目</w:t>
      </w:r>
    </w:p>
    <w:p>
      <w:pPr>
        <w:pStyle w:val="2"/>
        <w:rPr>
          <w:color w:val="auto"/>
          <w:highlight w:val="none"/>
        </w:rPr>
      </w:pPr>
    </w:p>
    <w:p>
      <w:pPr>
        <w:spacing w:line="360" w:lineRule="auto"/>
        <w:ind w:right="33"/>
        <w:rPr>
          <w:rFonts w:ascii="Tahoma" w:hAnsi="Tahoma" w:eastAsia="华文中宋" w:cs="Tahoma"/>
          <w:color w:val="auto"/>
          <w:sz w:val="22"/>
          <w:highlight w:val="none"/>
        </w:rPr>
      </w:pPr>
    </w:p>
    <w:p>
      <w:pPr>
        <w:widowControl/>
        <w:tabs>
          <w:tab w:val="left" w:pos="3828"/>
        </w:tabs>
        <w:autoSpaceDE w:val="0"/>
        <w:autoSpaceDN w:val="0"/>
        <w:jc w:val="center"/>
        <w:textAlignment w:val="bottom"/>
        <w:rPr>
          <w:rFonts w:ascii="华文中宋" w:hAnsi="华文中宋" w:eastAsia="华文中宋"/>
          <w:b/>
          <w:color w:val="auto"/>
          <w:spacing w:val="66"/>
          <w:kern w:val="0"/>
          <w:sz w:val="72"/>
          <w:szCs w:val="112"/>
          <w:highlight w:val="none"/>
        </w:rPr>
      </w:pPr>
    </w:p>
    <w:p>
      <w:pPr>
        <w:widowControl/>
        <w:tabs>
          <w:tab w:val="left" w:pos="3828"/>
        </w:tabs>
        <w:autoSpaceDE w:val="0"/>
        <w:autoSpaceDN w:val="0"/>
        <w:jc w:val="center"/>
        <w:textAlignment w:val="bottom"/>
        <w:rPr>
          <w:rFonts w:ascii="华文中宋" w:hAnsi="华文中宋" w:eastAsia="华文中宋"/>
          <w:b/>
          <w:color w:val="auto"/>
          <w:spacing w:val="66"/>
          <w:kern w:val="0"/>
          <w:sz w:val="72"/>
          <w:szCs w:val="112"/>
          <w:highlight w:val="none"/>
        </w:rPr>
      </w:pPr>
    </w:p>
    <w:p>
      <w:pPr>
        <w:widowControl/>
        <w:tabs>
          <w:tab w:val="left" w:pos="3828"/>
        </w:tabs>
        <w:autoSpaceDE w:val="0"/>
        <w:autoSpaceDN w:val="0"/>
        <w:jc w:val="center"/>
        <w:textAlignment w:val="bottom"/>
        <w:rPr>
          <w:rFonts w:ascii="华文中宋" w:hAnsi="华文中宋" w:eastAsia="华文中宋"/>
          <w:b/>
          <w:color w:val="auto"/>
          <w:spacing w:val="66"/>
          <w:kern w:val="0"/>
          <w:sz w:val="72"/>
          <w:szCs w:val="112"/>
          <w:highlight w:val="none"/>
        </w:rPr>
      </w:pPr>
      <w:r>
        <w:rPr>
          <w:rFonts w:hint="eastAsia" w:ascii="华文中宋" w:hAnsi="华文中宋" w:eastAsia="华文中宋"/>
          <w:b/>
          <w:color w:val="auto"/>
          <w:spacing w:val="66"/>
          <w:kern w:val="0"/>
          <w:sz w:val="72"/>
          <w:szCs w:val="112"/>
          <w:highlight w:val="none"/>
        </w:rPr>
        <w:t>竞争性谈判文件</w:t>
      </w:r>
    </w:p>
    <w:p>
      <w:pPr>
        <w:autoSpaceDE w:val="0"/>
        <w:autoSpaceDN w:val="0"/>
        <w:adjustRightInd w:val="0"/>
        <w:jc w:val="center"/>
        <w:outlineLvl w:val="0"/>
        <w:rPr>
          <w:rFonts w:ascii="华文中宋" w:hAnsi="华文中宋" w:eastAsia="华文中宋" w:cs="宋体"/>
          <w:color w:val="auto"/>
          <w:sz w:val="40"/>
          <w:szCs w:val="40"/>
          <w:highlight w:val="none"/>
        </w:rPr>
      </w:pPr>
    </w:p>
    <w:p>
      <w:pPr>
        <w:spacing w:before="240" w:beforeLines="100" w:after="240" w:afterLines="100" w:line="800" w:lineRule="exact"/>
        <w:jc w:val="left"/>
        <w:rPr>
          <w:rFonts w:eastAsia="华文中宋"/>
          <w:b/>
          <w:bCs/>
          <w:color w:val="auto"/>
          <w:sz w:val="32"/>
          <w:szCs w:val="32"/>
          <w:highlight w:val="none"/>
          <w:lang w:val="es-ES"/>
        </w:rPr>
      </w:pPr>
    </w:p>
    <w:p>
      <w:pPr>
        <w:spacing w:before="240" w:beforeLines="100" w:after="240" w:afterLines="100" w:line="800" w:lineRule="exact"/>
        <w:jc w:val="left"/>
        <w:rPr>
          <w:rFonts w:eastAsia="华文中宋"/>
          <w:b/>
          <w:bCs/>
          <w:color w:val="auto"/>
          <w:sz w:val="32"/>
          <w:szCs w:val="32"/>
          <w:highlight w:val="none"/>
          <w:lang w:val="es-ES"/>
        </w:rPr>
      </w:pPr>
    </w:p>
    <w:p>
      <w:pPr>
        <w:pStyle w:val="2"/>
        <w:jc w:val="both"/>
        <w:rPr>
          <w:color w:val="auto"/>
          <w:highlight w:val="none"/>
          <w:lang w:val="es-ES"/>
        </w:rPr>
      </w:pPr>
    </w:p>
    <w:p>
      <w:pPr>
        <w:pStyle w:val="2"/>
        <w:rPr>
          <w:color w:val="auto"/>
          <w:highlight w:val="none"/>
          <w:lang w:val="es-ES"/>
        </w:rPr>
      </w:pPr>
    </w:p>
    <w:p>
      <w:pPr>
        <w:pStyle w:val="2"/>
        <w:rPr>
          <w:color w:val="auto"/>
          <w:highlight w:val="none"/>
          <w:lang w:val="es-ES"/>
        </w:rPr>
      </w:pPr>
    </w:p>
    <w:p>
      <w:pPr>
        <w:spacing w:before="120" w:beforeLines="50" w:after="120" w:afterLines="50" w:line="600" w:lineRule="exact"/>
        <w:jc w:val="left"/>
        <w:rPr>
          <w:rFonts w:eastAsia="华文中宋"/>
          <w:b/>
          <w:bCs/>
          <w:color w:val="auto"/>
          <w:sz w:val="32"/>
          <w:szCs w:val="32"/>
          <w:highlight w:val="none"/>
          <w:lang w:val="es-ES"/>
        </w:rPr>
      </w:pPr>
      <w:r>
        <w:rPr>
          <w:rFonts w:hint="eastAsia" w:eastAsia="华文中宋"/>
          <w:b/>
          <w:bCs/>
          <w:color w:val="auto"/>
          <w:sz w:val="32"/>
          <w:szCs w:val="32"/>
          <w:highlight w:val="none"/>
          <w:lang w:val="es-ES"/>
        </w:rPr>
        <w:t xml:space="preserve">        采   购   人：西安市阎良区人民检察院</w:t>
      </w:r>
    </w:p>
    <w:p>
      <w:pPr>
        <w:spacing w:before="120" w:beforeLines="50" w:after="120" w:afterLines="50" w:line="600" w:lineRule="exact"/>
        <w:jc w:val="left"/>
        <w:rPr>
          <w:rFonts w:eastAsia="华文中宋"/>
          <w:b/>
          <w:bCs/>
          <w:color w:val="auto"/>
          <w:sz w:val="32"/>
          <w:szCs w:val="32"/>
          <w:highlight w:val="none"/>
        </w:rPr>
      </w:pPr>
      <w:r>
        <w:rPr>
          <w:rFonts w:hint="eastAsia" w:eastAsia="华文中宋"/>
          <w:b/>
          <w:bCs/>
          <w:color w:val="auto"/>
          <w:sz w:val="32"/>
          <w:szCs w:val="32"/>
          <w:highlight w:val="none"/>
          <w:lang w:val="es-ES"/>
        </w:rPr>
        <w:t xml:space="preserve">        采购代理机构：</w:t>
      </w:r>
      <w:r>
        <w:rPr>
          <w:rFonts w:hint="eastAsia" w:eastAsia="华文中宋"/>
          <w:b/>
          <w:bCs/>
          <w:color w:val="auto"/>
          <w:sz w:val="32"/>
          <w:szCs w:val="32"/>
          <w:highlight w:val="none"/>
        </w:rPr>
        <w:t>中天久信管理咨询集团有限公司</w:t>
      </w:r>
    </w:p>
    <w:p>
      <w:pPr>
        <w:spacing w:before="120" w:beforeLines="50" w:after="120" w:afterLines="50" w:line="600" w:lineRule="exact"/>
        <w:jc w:val="left"/>
        <w:rPr>
          <w:rFonts w:eastAsia="华文中宋"/>
          <w:b/>
          <w:bCs/>
          <w:color w:val="auto"/>
          <w:sz w:val="32"/>
          <w:szCs w:val="32"/>
          <w:highlight w:val="none"/>
          <w:lang w:val="es-ES"/>
        </w:rPr>
        <w:sectPr>
          <w:headerReference r:id="rId3" w:type="default"/>
          <w:type w:val="nextColumn"/>
          <w:pgSz w:w="11906" w:h="16838"/>
          <w:pgMar w:top="1276" w:right="1361" w:bottom="1304" w:left="1361" w:header="851" w:footer="851" w:gutter="0"/>
          <w:cols w:space="720" w:num="1"/>
          <w:docGrid w:linePitch="312" w:charSpace="0"/>
        </w:sectPr>
      </w:pPr>
      <w:r>
        <w:rPr>
          <w:rFonts w:hint="eastAsia" w:eastAsia="华文中宋"/>
          <w:b/>
          <w:bCs/>
          <w:color w:val="auto"/>
          <w:sz w:val="32"/>
          <w:szCs w:val="32"/>
          <w:highlight w:val="none"/>
          <w:lang w:val="es-ES"/>
        </w:rPr>
        <w:t xml:space="preserve">        日        期：</w:t>
      </w:r>
      <w:r>
        <w:rPr>
          <w:rFonts w:hint="eastAsia" w:eastAsia="华文中宋"/>
          <w:b/>
          <w:bCs/>
          <w:color w:val="auto"/>
          <w:sz w:val="32"/>
          <w:szCs w:val="32"/>
          <w:highlight w:val="none"/>
        </w:rPr>
        <w:t>2023年4月</w:t>
      </w:r>
      <w:r>
        <w:rPr>
          <w:rFonts w:hint="eastAsia" w:eastAsia="华文中宋"/>
          <w:b/>
          <w:bCs/>
          <w:color w:val="auto"/>
          <w:sz w:val="32"/>
          <w:szCs w:val="32"/>
          <w:highlight w:val="none"/>
          <w:lang w:val="es-ES"/>
        </w:rPr>
        <w:t xml:space="preserve"> </w:t>
      </w:r>
    </w:p>
    <w:p>
      <w:pPr>
        <w:pStyle w:val="2"/>
        <w:rPr>
          <w:color w:val="auto"/>
          <w:highlight w:val="none"/>
          <w:lang w:val="es-ES"/>
        </w:rPr>
      </w:pPr>
    </w:p>
    <w:p>
      <w:pPr>
        <w:pStyle w:val="2"/>
        <w:jc w:val="both"/>
        <w:rPr>
          <w:color w:val="auto"/>
          <w:highlight w:val="none"/>
          <w:lang w:val="es-ES"/>
        </w:rPr>
      </w:pPr>
    </w:p>
    <w:p>
      <w:pPr>
        <w:tabs>
          <w:tab w:val="left" w:pos="1440"/>
          <w:tab w:val="center" w:pos="4653"/>
        </w:tabs>
        <w:jc w:val="left"/>
        <w:rPr>
          <w:rFonts w:ascii="宋体" w:hAnsi="宋体" w:cs="宋体"/>
          <w:b/>
          <w:bCs/>
          <w:color w:val="auto"/>
          <w:sz w:val="36"/>
          <w:szCs w:val="36"/>
          <w:highlight w:val="none"/>
        </w:rPr>
      </w:pPr>
      <w:r>
        <w:rPr>
          <w:rFonts w:hint="eastAsia" w:ascii="宋体" w:hAnsi="宋体" w:cs="宋体"/>
          <w:b/>
          <w:bCs/>
          <w:color w:val="auto"/>
          <w:sz w:val="36"/>
          <w:szCs w:val="36"/>
          <w:highlight w:val="none"/>
          <w:lang w:val="zh-CN"/>
        </w:rPr>
        <w:tab/>
      </w:r>
      <w:r>
        <w:rPr>
          <w:rFonts w:hint="eastAsia" w:ascii="宋体" w:hAnsi="宋体" w:cs="宋体"/>
          <w:b/>
          <w:bCs/>
          <w:color w:val="auto"/>
          <w:sz w:val="36"/>
          <w:szCs w:val="36"/>
          <w:highlight w:val="none"/>
          <w:lang w:val="zh-CN"/>
        </w:rPr>
        <w:tab/>
      </w:r>
      <w:r>
        <w:rPr>
          <w:rFonts w:hint="eastAsia" w:ascii="宋体" w:hAnsi="宋体" w:cs="宋体"/>
          <w:b/>
          <w:bCs/>
          <w:color w:val="auto"/>
          <w:sz w:val="36"/>
          <w:szCs w:val="36"/>
          <w:highlight w:val="none"/>
          <w:lang w:val="zh-CN"/>
        </w:rPr>
        <w:t>目   录</w:t>
      </w:r>
    </w:p>
    <w:p>
      <w:pPr>
        <w:pStyle w:val="28"/>
        <w:tabs>
          <w:tab w:val="right" w:leader="dot" w:pos="9183"/>
          <w:tab w:val="clear" w:pos="8280"/>
          <w:tab w:val="clear" w:pos="9360"/>
        </w:tabs>
        <w:spacing w:line="480" w:lineRule="auto"/>
        <w:ind w:firstLine="461"/>
        <w:rPr>
          <w:color w:val="auto"/>
          <w:highlight w:val="none"/>
        </w:rPr>
      </w:pPr>
      <w:r>
        <w:rPr>
          <w:rFonts w:hint="eastAsia" w:cs="宋体"/>
          <w:color w:val="auto"/>
          <w:sz w:val="24"/>
          <w:highlight w:val="none"/>
        </w:rPr>
        <w:fldChar w:fldCharType="begin"/>
      </w:r>
      <w:r>
        <w:rPr>
          <w:rFonts w:hint="eastAsia" w:cs="宋体"/>
          <w:color w:val="auto"/>
          <w:sz w:val="24"/>
          <w:highlight w:val="none"/>
        </w:rPr>
        <w:instrText xml:space="preserve">TOC \o "1-1" \h \u </w:instrText>
      </w:r>
      <w:r>
        <w:rPr>
          <w:rFonts w:hint="eastAsia" w:cs="宋体"/>
          <w:color w:val="auto"/>
          <w:sz w:val="24"/>
          <w:highlight w:val="none"/>
        </w:rPr>
        <w:fldChar w:fldCharType="separate"/>
      </w:r>
      <w:r>
        <w:rPr>
          <w:color w:val="auto"/>
          <w:highlight w:val="none"/>
        </w:rPr>
        <w:fldChar w:fldCharType="begin"/>
      </w:r>
      <w:r>
        <w:rPr>
          <w:color w:val="auto"/>
          <w:highlight w:val="none"/>
        </w:rPr>
        <w:instrText xml:space="preserve"> HYPERLINK \l "_Toc3684" </w:instrText>
      </w:r>
      <w:r>
        <w:rPr>
          <w:color w:val="auto"/>
          <w:highlight w:val="none"/>
        </w:rPr>
        <w:fldChar w:fldCharType="separate"/>
      </w:r>
      <w:r>
        <w:rPr>
          <w:rFonts w:hint="eastAsia" w:cs="宋体"/>
          <w:color w:val="auto"/>
          <w:szCs w:val="36"/>
          <w:highlight w:val="none"/>
        </w:rPr>
        <w:t>第一章  竞争性谈判公告</w:t>
      </w:r>
      <w:r>
        <w:rPr>
          <w:color w:val="auto"/>
          <w:highlight w:val="none"/>
        </w:rPr>
        <w:tab/>
      </w:r>
      <w:r>
        <w:rPr>
          <w:color w:val="auto"/>
          <w:highlight w:val="none"/>
        </w:rPr>
        <w:fldChar w:fldCharType="begin"/>
      </w:r>
      <w:r>
        <w:rPr>
          <w:color w:val="auto"/>
          <w:highlight w:val="none"/>
        </w:rPr>
        <w:instrText xml:space="preserve"> PAGEREF _Toc3684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8"/>
        <w:tabs>
          <w:tab w:val="right" w:leader="dot" w:pos="9183"/>
          <w:tab w:val="clear" w:pos="8280"/>
          <w:tab w:val="clear" w:pos="9360"/>
        </w:tabs>
        <w:spacing w:line="480" w:lineRule="auto"/>
        <w:rPr>
          <w:color w:val="auto"/>
          <w:highlight w:val="none"/>
        </w:rPr>
      </w:pPr>
      <w:r>
        <w:rPr>
          <w:color w:val="auto"/>
          <w:highlight w:val="none"/>
        </w:rPr>
        <w:fldChar w:fldCharType="begin"/>
      </w:r>
      <w:r>
        <w:rPr>
          <w:color w:val="auto"/>
          <w:highlight w:val="none"/>
        </w:rPr>
        <w:instrText xml:space="preserve"> HYPERLINK \l "_Toc6072" </w:instrText>
      </w:r>
      <w:r>
        <w:rPr>
          <w:color w:val="auto"/>
          <w:highlight w:val="none"/>
        </w:rPr>
        <w:fldChar w:fldCharType="separate"/>
      </w:r>
      <w:r>
        <w:rPr>
          <w:rFonts w:hint="eastAsia" w:cs="宋体"/>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_Toc6072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8"/>
        <w:tabs>
          <w:tab w:val="right" w:leader="dot" w:pos="9183"/>
          <w:tab w:val="clear" w:pos="8280"/>
          <w:tab w:val="clear" w:pos="9360"/>
        </w:tabs>
        <w:spacing w:line="480" w:lineRule="auto"/>
        <w:rPr>
          <w:color w:val="auto"/>
          <w:highlight w:val="none"/>
        </w:rPr>
      </w:pPr>
      <w:r>
        <w:rPr>
          <w:color w:val="auto"/>
          <w:highlight w:val="none"/>
        </w:rPr>
        <w:fldChar w:fldCharType="begin"/>
      </w:r>
      <w:r>
        <w:rPr>
          <w:color w:val="auto"/>
          <w:highlight w:val="none"/>
        </w:rPr>
        <w:instrText xml:space="preserve"> HYPERLINK \l "_Toc27311" </w:instrText>
      </w:r>
      <w:r>
        <w:rPr>
          <w:color w:val="auto"/>
          <w:highlight w:val="none"/>
        </w:rPr>
        <w:fldChar w:fldCharType="separate"/>
      </w:r>
      <w:r>
        <w:rPr>
          <w:rFonts w:hint="eastAsia" w:cs="宋体"/>
          <w:color w:val="auto"/>
          <w:szCs w:val="36"/>
          <w:highlight w:val="none"/>
        </w:rPr>
        <w:t>第三章  评审办法</w:t>
      </w:r>
      <w:r>
        <w:rPr>
          <w:color w:val="auto"/>
          <w:highlight w:val="none"/>
        </w:rPr>
        <w:tab/>
      </w:r>
      <w:r>
        <w:rPr>
          <w:color w:val="auto"/>
          <w:highlight w:val="none"/>
        </w:rPr>
        <w:fldChar w:fldCharType="begin"/>
      </w:r>
      <w:r>
        <w:rPr>
          <w:color w:val="auto"/>
          <w:highlight w:val="none"/>
        </w:rPr>
        <w:instrText xml:space="preserve"> PAGEREF _Toc27311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8"/>
        <w:tabs>
          <w:tab w:val="right" w:leader="dot" w:pos="9183"/>
          <w:tab w:val="clear" w:pos="8280"/>
          <w:tab w:val="clear" w:pos="9360"/>
        </w:tabs>
        <w:spacing w:line="480" w:lineRule="auto"/>
        <w:rPr>
          <w:color w:val="auto"/>
          <w:highlight w:val="none"/>
        </w:rPr>
      </w:pPr>
      <w:r>
        <w:rPr>
          <w:color w:val="auto"/>
          <w:highlight w:val="none"/>
        </w:rPr>
        <w:fldChar w:fldCharType="begin"/>
      </w:r>
      <w:r>
        <w:rPr>
          <w:color w:val="auto"/>
          <w:highlight w:val="none"/>
        </w:rPr>
        <w:instrText xml:space="preserve"> HYPERLINK \l "_Toc8487" </w:instrText>
      </w:r>
      <w:r>
        <w:rPr>
          <w:color w:val="auto"/>
          <w:highlight w:val="none"/>
        </w:rPr>
        <w:fldChar w:fldCharType="separate"/>
      </w:r>
      <w:r>
        <w:rPr>
          <w:rFonts w:hint="eastAsia" w:cs="宋体"/>
          <w:color w:val="auto"/>
          <w:szCs w:val="36"/>
          <w:highlight w:val="none"/>
        </w:rPr>
        <w:t>第四章  采购内容及技术要求</w:t>
      </w:r>
      <w:r>
        <w:rPr>
          <w:color w:val="auto"/>
          <w:highlight w:val="none"/>
        </w:rPr>
        <w:tab/>
      </w:r>
      <w:r>
        <w:rPr>
          <w:color w:val="auto"/>
          <w:highlight w:val="none"/>
        </w:rPr>
        <w:fldChar w:fldCharType="begin"/>
      </w:r>
      <w:r>
        <w:rPr>
          <w:color w:val="auto"/>
          <w:highlight w:val="none"/>
        </w:rPr>
        <w:instrText xml:space="preserve"> PAGEREF _Toc8487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8"/>
        <w:tabs>
          <w:tab w:val="right" w:leader="dot" w:pos="9183"/>
          <w:tab w:val="clear" w:pos="8280"/>
          <w:tab w:val="clear" w:pos="9360"/>
        </w:tabs>
        <w:spacing w:line="480" w:lineRule="auto"/>
        <w:rPr>
          <w:color w:val="auto"/>
          <w:highlight w:val="none"/>
        </w:rPr>
      </w:pPr>
      <w:r>
        <w:rPr>
          <w:color w:val="auto"/>
          <w:highlight w:val="none"/>
        </w:rPr>
        <w:fldChar w:fldCharType="begin"/>
      </w:r>
      <w:r>
        <w:rPr>
          <w:color w:val="auto"/>
          <w:highlight w:val="none"/>
        </w:rPr>
        <w:instrText xml:space="preserve"> HYPERLINK \l "_Toc15129" </w:instrText>
      </w:r>
      <w:r>
        <w:rPr>
          <w:color w:val="auto"/>
          <w:highlight w:val="none"/>
        </w:rPr>
        <w:fldChar w:fldCharType="separate"/>
      </w:r>
      <w:r>
        <w:rPr>
          <w:rFonts w:hint="eastAsia" w:cs="宋体"/>
          <w:color w:val="auto"/>
          <w:szCs w:val="36"/>
          <w:highlight w:val="none"/>
        </w:rPr>
        <w:t>第五章  合同条款</w:t>
      </w:r>
      <w:r>
        <w:rPr>
          <w:color w:val="auto"/>
          <w:highlight w:val="none"/>
        </w:rPr>
        <w:tab/>
      </w:r>
      <w:r>
        <w:rPr>
          <w:color w:val="auto"/>
          <w:highlight w:val="none"/>
        </w:rPr>
        <w:fldChar w:fldCharType="begin"/>
      </w:r>
      <w:r>
        <w:rPr>
          <w:color w:val="auto"/>
          <w:highlight w:val="none"/>
        </w:rPr>
        <w:instrText xml:space="preserve"> PAGEREF _Toc15129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8"/>
        <w:tabs>
          <w:tab w:val="right" w:leader="dot" w:pos="9183"/>
          <w:tab w:val="clear" w:pos="8280"/>
          <w:tab w:val="clear" w:pos="9360"/>
        </w:tabs>
        <w:spacing w:line="480" w:lineRule="auto"/>
        <w:rPr>
          <w:color w:val="auto"/>
          <w:highlight w:val="none"/>
        </w:rPr>
      </w:pPr>
      <w:r>
        <w:rPr>
          <w:color w:val="auto"/>
          <w:highlight w:val="none"/>
        </w:rPr>
        <w:fldChar w:fldCharType="begin"/>
      </w:r>
      <w:r>
        <w:rPr>
          <w:color w:val="auto"/>
          <w:highlight w:val="none"/>
        </w:rPr>
        <w:instrText xml:space="preserve"> HYPERLINK \l "_Toc4831" </w:instrText>
      </w:r>
      <w:r>
        <w:rPr>
          <w:color w:val="auto"/>
          <w:highlight w:val="none"/>
        </w:rPr>
        <w:fldChar w:fldCharType="separate"/>
      </w:r>
      <w:r>
        <w:rPr>
          <w:rFonts w:hint="eastAsia" w:cs="宋体"/>
          <w:color w:val="auto"/>
          <w:szCs w:val="36"/>
          <w:highlight w:val="none"/>
        </w:rPr>
        <w:t>第六章  竞争性谈判响应文件格式</w:t>
      </w:r>
      <w:r>
        <w:rPr>
          <w:color w:val="auto"/>
          <w:highlight w:val="none"/>
        </w:rPr>
        <w:tab/>
      </w:r>
      <w:r>
        <w:rPr>
          <w:color w:val="auto"/>
          <w:highlight w:val="none"/>
        </w:rPr>
        <w:fldChar w:fldCharType="begin"/>
      </w:r>
      <w:r>
        <w:rPr>
          <w:color w:val="auto"/>
          <w:highlight w:val="none"/>
        </w:rPr>
        <w:instrText xml:space="preserve"> PAGEREF _Toc4831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2"/>
        <w:rPr>
          <w:rFonts w:ascii="宋体" w:hAnsi="宋体" w:cs="宋体"/>
          <w:bCs/>
          <w:color w:val="auto"/>
          <w:sz w:val="24"/>
          <w:highlight w:val="none"/>
        </w:rPr>
      </w:pPr>
      <w:r>
        <w:rPr>
          <w:rFonts w:hint="eastAsia" w:ascii="宋体" w:hAnsi="宋体" w:cs="宋体"/>
          <w:bCs/>
          <w:color w:val="auto"/>
          <w:highlight w:val="none"/>
        </w:rPr>
        <w:fldChar w:fldCharType="end"/>
      </w: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jc w:val="both"/>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pStyle w:val="2"/>
        <w:rPr>
          <w:rFonts w:ascii="宋体" w:hAnsi="宋体" w:cs="宋体"/>
          <w:bCs/>
          <w:color w:val="auto"/>
          <w:sz w:val="24"/>
          <w:highlight w:val="none"/>
        </w:rPr>
      </w:pPr>
    </w:p>
    <w:p>
      <w:pPr>
        <w:rPr>
          <w:rFonts w:ascii="宋体" w:hAnsi="宋体" w:cs="宋体"/>
          <w:b/>
          <w:bCs/>
          <w:color w:val="auto"/>
          <w:sz w:val="28"/>
          <w:szCs w:val="36"/>
          <w:highlight w:val="none"/>
        </w:rPr>
      </w:pPr>
      <w:r>
        <w:rPr>
          <w:rFonts w:hint="eastAsia" w:ascii="宋体" w:hAnsi="宋体" w:cs="宋体"/>
          <w:b/>
          <w:bCs/>
          <w:color w:val="auto"/>
          <w:sz w:val="28"/>
          <w:szCs w:val="36"/>
          <w:highlight w:val="none"/>
        </w:rPr>
        <w:br w:type="page"/>
      </w:r>
    </w:p>
    <w:p>
      <w:pPr>
        <w:pStyle w:val="3"/>
        <w:numPr>
          <w:ilvl w:val="0"/>
          <w:numId w:val="0"/>
        </w:numPr>
        <w:tabs>
          <w:tab w:val="clear" w:pos="324"/>
        </w:tabs>
        <w:spacing w:line="360" w:lineRule="auto"/>
        <w:rPr>
          <w:rFonts w:ascii="宋体" w:hAnsi="宋体" w:eastAsia="宋体" w:cs="宋体"/>
          <w:b/>
          <w:bCs/>
          <w:color w:val="auto"/>
          <w:sz w:val="28"/>
          <w:szCs w:val="36"/>
          <w:highlight w:val="none"/>
        </w:rPr>
      </w:pPr>
      <w:bookmarkStart w:id="2" w:name="_Toc3684"/>
      <w:r>
        <w:rPr>
          <w:rFonts w:hint="eastAsia" w:ascii="宋体" w:hAnsi="宋体" w:eastAsia="宋体" w:cs="宋体"/>
          <w:b/>
          <w:bCs/>
          <w:color w:val="auto"/>
          <w:sz w:val="28"/>
          <w:szCs w:val="36"/>
          <w:highlight w:val="none"/>
        </w:rPr>
        <w:t>第一章  竞争性谈判公告</w:t>
      </w:r>
      <w:bookmarkEnd w:id="2"/>
    </w:p>
    <w:p>
      <w:pPr>
        <w:pStyle w:val="10"/>
        <w:keepNext w:val="0"/>
        <w:keepLines w:val="0"/>
        <w:spacing w:before="150" w:after="150" w:line="360" w:lineRule="auto"/>
        <w:ind w:left="0" w:firstLine="0"/>
        <w:textAlignment w:val="baseline"/>
        <w:rPr>
          <w:rFonts w:ascii="宋体" w:hAnsi="宋体" w:eastAsia="宋体" w:cs="宋体"/>
          <w:b w:val="0"/>
          <w:bCs w:val="0"/>
          <w:color w:val="auto"/>
          <w:sz w:val="21"/>
          <w:szCs w:val="21"/>
          <w:highlight w:val="none"/>
        </w:rPr>
      </w:pPr>
      <w:r>
        <w:rPr>
          <w:rStyle w:val="41"/>
          <w:rFonts w:hint="eastAsia" w:ascii="宋体" w:hAnsi="宋体" w:eastAsia="宋体" w:cs="宋体"/>
          <w:b/>
          <w:bCs/>
          <w:color w:val="auto"/>
          <w:sz w:val="21"/>
          <w:szCs w:val="21"/>
          <w:highlight w:val="none"/>
          <w:shd w:val="clear" w:color="auto" w:fill="FFFFFF"/>
        </w:rPr>
        <w:t>项目概况</w:t>
      </w:r>
    </w:p>
    <w:p>
      <w:pPr>
        <w:pStyle w:val="33"/>
        <w:spacing w:before="150" w:beforeAutospacing="0" w:after="15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智能听证室建</w:t>
      </w:r>
      <w:r>
        <w:rPr>
          <w:rFonts w:hint="eastAsia"/>
          <w:color w:val="auto"/>
          <w:sz w:val="21"/>
          <w:szCs w:val="21"/>
          <w:highlight w:val="none"/>
          <w:shd w:val="clear" w:color="auto" w:fill="FFFFFF"/>
        </w:rPr>
        <w:t>设项目的潜在供应商应在西安市高新区唐延路11号禾盛京广中心E座23层获取采购文件，并于2023年</w:t>
      </w:r>
      <w:r>
        <w:rPr>
          <w:rFonts w:hint="eastAsia"/>
          <w:color w:val="auto"/>
          <w:sz w:val="21"/>
          <w:szCs w:val="21"/>
          <w:highlight w:val="none"/>
          <w:shd w:val="clear" w:color="auto" w:fill="FFFFFF"/>
          <w:lang w:val="en-US" w:eastAsia="zh-CN"/>
        </w:rPr>
        <w:t>4</w:t>
      </w:r>
      <w:r>
        <w:rPr>
          <w:rFonts w:hint="eastAsia"/>
          <w:color w:val="auto"/>
          <w:sz w:val="21"/>
          <w:szCs w:val="21"/>
          <w:highlight w:val="none"/>
          <w:shd w:val="clear" w:color="auto" w:fill="FFFFFF"/>
        </w:rPr>
        <w:t>月</w:t>
      </w:r>
      <w:r>
        <w:rPr>
          <w:rFonts w:hint="eastAsia"/>
          <w:color w:val="auto"/>
          <w:sz w:val="21"/>
          <w:szCs w:val="21"/>
          <w:highlight w:val="none"/>
          <w:shd w:val="clear" w:color="auto" w:fill="FFFFFF"/>
          <w:lang w:val="en-US" w:eastAsia="zh-CN"/>
        </w:rPr>
        <w:t>14</w:t>
      </w:r>
      <w:r>
        <w:rPr>
          <w:rFonts w:hint="eastAsia"/>
          <w:color w:val="auto"/>
          <w:sz w:val="21"/>
          <w:szCs w:val="21"/>
          <w:highlight w:val="none"/>
          <w:shd w:val="clear" w:color="auto" w:fill="FFFFFF"/>
        </w:rPr>
        <w:t xml:space="preserve">日 </w:t>
      </w:r>
      <w:r>
        <w:rPr>
          <w:rFonts w:hint="eastAsia"/>
          <w:color w:val="auto"/>
          <w:sz w:val="21"/>
          <w:szCs w:val="21"/>
          <w:highlight w:val="none"/>
          <w:shd w:val="clear" w:color="auto" w:fill="FFFFFF"/>
          <w:lang w:val="en-US" w:eastAsia="zh-CN"/>
        </w:rPr>
        <w:t>10</w:t>
      </w:r>
      <w:r>
        <w:rPr>
          <w:rFonts w:hint="eastAsia"/>
          <w:color w:val="auto"/>
          <w:sz w:val="21"/>
          <w:szCs w:val="21"/>
          <w:highlight w:val="none"/>
          <w:shd w:val="clear" w:color="auto" w:fill="FFFFFF"/>
        </w:rPr>
        <w:t>时</w:t>
      </w:r>
      <w:r>
        <w:rPr>
          <w:rFonts w:hint="eastAsia"/>
          <w:color w:val="auto"/>
          <w:sz w:val="21"/>
          <w:szCs w:val="21"/>
          <w:highlight w:val="none"/>
          <w:shd w:val="clear" w:color="auto" w:fill="FFFFFF"/>
          <w:lang w:val="en-US" w:eastAsia="zh-CN"/>
        </w:rPr>
        <w:t>0</w:t>
      </w:r>
      <w:r>
        <w:rPr>
          <w:rFonts w:hint="eastAsia"/>
          <w:color w:val="auto"/>
          <w:sz w:val="21"/>
          <w:szCs w:val="21"/>
          <w:highlight w:val="none"/>
          <w:shd w:val="clear" w:color="auto" w:fill="FFFFFF"/>
        </w:rPr>
        <w:t>0分（</w:t>
      </w:r>
      <w:r>
        <w:rPr>
          <w:rFonts w:hint="eastAsia"/>
          <w:color w:val="auto"/>
          <w:sz w:val="21"/>
          <w:szCs w:val="21"/>
          <w:highlight w:val="none"/>
          <w:shd w:val="clear" w:color="auto" w:fill="FFFFFF"/>
        </w:rPr>
        <w:t>北京时间）前提交响应文件。</w:t>
      </w:r>
    </w:p>
    <w:p>
      <w:pPr>
        <w:pStyle w:val="8"/>
        <w:keepNext w:val="0"/>
        <w:widowControl/>
        <w:numPr>
          <w:ilvl w:val="0"/>
          <w:numId w:val="0"/>
        </w:numPr>
        <w:shd w:val="clear" w:color="auto" w:fill="FFFFFF"/>
        <w:spacing w:before="150" w:line="360" w:lineRule="auto"/>
        <w:jc w:val="left"/>
        <w:textAlignment w:val="baseline"/>
        <w:rPr>
          <w:rFonts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shd w:val="clear" w:color="auto" w:fill="FFFFFF"/>
        </w:rPr>
        <w:t>一、项目基本情况</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项目编号：JXZB2023-N117</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项目名称：智能听证室建设项目</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采购方式：竞争性谈判</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预算金额：710,800元</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采购需求：</w:t>
      </w:r>
    </w:p>
    <w:p>
      <w:pPr>
        <w:pStyle w:val="33"/>
        <w:spacing w:before="0" w:beforeAutospacing="0" w:after="0" w:afterAutospacing="0" w:line="360" w:lineRule="auto"/>
        <w:ind w:firstLine="630"/>
        <w:jc w:val="both"/>
        <w:textAlignment w:val="baseline"/>
        <w:rPr>
          <w:color w:val="auto"/>
          <w:sz w:val="21"/>
          <w:szCs w:val="21"/>
          <w:highlight w:val="none"/>
        </w:rPr>
      </w:pPr>
      <w:r>
        <w:rPr>
          <w:rFonts w:hint="eastAsia"/>
          <w:color w:val="auto"/>
          <w:sz w:val="21"/>
          <w:szCs w:val="21"/>
          <w:highlight w:val="none"/>
          <w:shd w:val="clear" w:color="auto" w:fill="FFFFFF"/>
        </w:rPr>
        <w:t>合同包预算金额：710,800元</w:t>
      </w:r>
    </w:p>
    <w:p>
      <w:pPr>
        <w:pStyle w:val="33"/>
        <w:spacing w:before="0" w:beforeAutospacing="0" w:after="0" w:afterAutospacing="0" w:line="360" w:lineRule="auto"/>
        <w:ind w:firstLine="630"/>
        <w:jc w:val="both"/>
        <w:textAlignment w:val="baseline"/>
        <w:rPr>
          <w:color w:val="auto"/>
          <w:sz w:val="21"/>
          <w:szCs w:val="21"/>
          <w:highlight w:val="none"/>
        </w:rPr>
      </w:pPr>
      <w:r>
        <w:rPr>
          <w:rFonts w:hint="eastAsia"/>
          <w:color w:val="auto"/>
          <w:sz w:val="21"/>
          <w:szCs w:val="21"/>
          <w:highlight w:val="none"/>
          <w:shd w:val="clear" w:color="auto" w:fill="FFFFFF"/>
        </w:rPr>
        <w:t>合同包最高限价：710,800元</w:t>
      </w:r>
    </w:p>
    <w:tbl>
      <w:tblPr>
        <w:tblStyle w:val="38"/>
        <w:tblW w:w="9156" w:type="dxa"/>
        <w:tblInd w:w="0" w:type="dxa"/>
        <w:tblLayout w:type="autofit"/>
        <w:tblCellMar>
          <w:top w:w="0" w:type="dxa"/>
          <w:left w:w="0" w:type="dxa"/>
          <w:bottom w:w="0" w:type="dxa"/>
          <w:right w:w="0" w:type="dxa"/>
        </w:tblCellMar>
      </w:tblPr>
      <w:tblGrid>
        <w:gridCol w:w="825"/>
        <w:gridCol w:w="1725"/>
        <w:gridCol w:w="1290"/>
        <w:gridCol w:w="1035"/>
        <w:gridCol w:w="1475"/>
        <w:gridCol w:w="1456"/>
        <w:gridCol w:w="1350"/>
      </w:tblGrid>
      <w:tr>
        <w:tblPrEx>
          <w:tblCellMar>
            <w:top w:w="0" w:type="dxa"/>
            <w:left w:w="0" w:type="dxa"/>
            <w:bottom w:w="0" w:type="dxa"/>
            <w:right w:w="0" w:type="dxa"/>
          </w:tblCellMar>
        </w:tblPrEx>
        <w:trPr>
          <w:trHeight w:val="728" w:hRule="atLeast"/>
          <w:tblHeader/>
        </w:trPr>
        <w:tc>
          <w:tcPr>
            <w:tcW w:w="8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品目号</w:t>
            </w:r>
          </w:p>
        </w:tc>
        <w:tc>
          <w:tcPr>
            <w:tcW w:w="17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品目名称</w:t>
            </w:r>
          </w:p>
        </w:tc>
        <w:tc>
          <w:tcPr>
            <w:tcW w:w="12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采购标的</w:t>
            </w:r>
          </w:p>
        </w:tc>
        <w:tc>
          <w:tcPr>
            <w:tcW w:w="10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数量（单位）</w:t>
            </w:r>
          </w:p>
        </w:tc>
        <w:tc>
          <w:tcPr>
            <w:tcW w:w="147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技术规格、参数及要求</w:t>
            </w:r>
          </w:p>
        </w:tc>
        <w:tc>
          <w:tcPr>
            <w:tcW w:w="145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品目预算(元)</w:t>
            </w:r>
          </w:p>
        </w:tc>
        <w:tc>
          <w:tcPr>
            <w:tcW w:w="13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最高限价(元)</w:t>
            </w:r>
          </w:p>
        </w:tc>
      </w:tr>
      <w:tr>
        <w:tblPrEx>
          <w:tblCellMar>
            <w:top w:w="0" w:type="dxa"/>
            <w:left w:w="0" w:type="dxa"/>
            <w:bottom w:w="0" w:type="dxa"/>
            <w:right w:w="0" w:type="dxa"/>
          </w:tblCellMar>
        </w:tblPrEx>
        <w:trPr>
          <w:trHeight w:val="480" w:hRule="atLeast"/>
        </w:trPr>
        <w:tc>
          <w:tcPr>
            <w:tcW w:w="8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17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color w:val="auto"/>
                <w:szCs w:val="21"/>
                <w:highlight w:val="none"/>
              </w:rPr>
            </w:pPr>
            <w:r>
              <w:rPr>
                <w:rFonts w:hint="eastAsia" w:eastAsia="宋体" w:cs="宋体"/>
                <w:i w:val="0"/>
                <w:iCs w:val="0"/>
                <w:caps w:val="0"/>
                <w:color w:val="auto"/>
                <w:spacing w:val="0"/>
                <w:sz w:val="21"/>
                <w:szCs w:val="21"/>
                <w:highlight w:val="none"/>
                <w:shd w:val="clear" w:color="auto" w:fill="FFFFFF"/>
                <w:vertAlign w:val="baseline"/>
                <w:lang w:val="en-US" w:eastAsia="zh-CN"/>
              </w:rPr>
              <w:t>通信配套设备</w:t>
            </w:r>
          </w:p>
        </w:tc>
        <w:tc>
          <w:tcPr>
            <w:tcW w:w="12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color w:val="auto"/>
                <w:szCs w:val="21"/>
                <w:highlight w:val="none"/>
              </w:rPr>
            </w:pPr>
            <w:r>
              <w:rPr>
                <w:rFonts w:hint="eastAsia" w:cs="宋体"/>
                <w:color w:val="auto"/>
                <w:szCs w:val="21"/>
                <w:highlight w:val="none"/>
                <w:shd w:val="clear" w:color="auto" w:fill="FFFFFF"/>
              </w:rPr>
              <w:t>智能听证室建设</w:t>
            </w:r>
            <w:r>
              <w:rPr>
                <w:rFonts w:hint="eastAsia" w:ascii="宋体" w:hAnsi="宋体" w:cs="宋体"/>
                <w:color w:val="auto"/>
                <w:szCs w:val="21"/>
                <w:highlight w:val="none"/>
                <w:shd w:val="clear" w:color="auto" w:fill="FFFFFF"/>
              </w:rPr>
              <w:t>项目</w:t>
            </w:r>
          </w:p>
        </w:tc>
        <w:tc>
          <w:tcPr>
            <w:tcW w:w="10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1(项)</w:t>
            </w:r>
          </w:p>
        </w:tc>
        <w:tc>
          <w:tcPr>
            <w:tcW w:w="147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详见采购文件</w:t>
            </w:r>
          </w:p>
        </w:tc>
        <w:tc>
          <w:tcPr>
            <w:tcW w:w="145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right"/>
              <w:textAlignment w:val="center"/>
              <w:rPr>
                <w:rFonts w:ascii="宋体" w:hAnsi="宋体" w:cs="宋体"/>
                <w:color w:val="auto"/>
                <w:szCs w:val="21"/>
                <w:highlight w:val="none"/>
              </w:rPr>
            </w:pPr>
            <w:r>
              <w:rPr>
                <w:rFonts w:hint="eastAsia" w:cs="宋体"/>
                <w:color w:val="auto"/>
                <w:szCs w:val="21"/>
                <w:highlight w:val="none"/>
                <w:shd w:val="clear" w:color="auto" w:fill="FFFFFF"/>
              </w:rPr>
              <w:t>710,800</w:t>
            </w:r>
          </w:p>
        </w:tc>
        <w:tc>
          <w:tcPr>
            <w:tcW w:w="13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right"/>
              <w:textAlignment w:val="center"/>
              <w:rPr>
                <w:rFonts w:ascii="宋体" w:hAnsi="宋体" w:cs="宋体"/>
                <w:color w:val="auto"/>
                <w:szCs w:val="21"/>
                <w:highlight w:val="none"/>
              </w:rPr>
            </w:pPr>
            <w:r>
              <w:rPr>
                <w:rFonts w:hint="eastAsia" w:cs="宋体"/>
                <w:color w:val="auto"/>
                <w:szCs w:val="21"/>
                <w:highlight w:val="none"/>
                <w:shd w:val="clear" w:color="auto" w:fill="FFFFFF"/>
              </w:rPr>
              <w:t>710,800</w:t>
            </w:r>
          </w:p>
        </w:tc>
      </w:tr>
    </w:tbl>
    <w:p>
      <w:pPr>
        <w:pStyle w:val="33"/>
        <w:spacing w:before="0" w:beforeAutospacing="0" w:after="0" w:afterAutospacing="0" w:line="360" w:lineRule="auto"/>
        <w:ind w:firstLine="630"/>
        <w:jc w:val="both"/>
        <w:textAlignment w:val="baseline"/>
        <w:rPr>
          <w:color w:val="auto"/>
          <w:sz w:val="21"/>
          <w:szCs w:val="21"/>
          <w:highlight w:val="none"/>
        </w:rPr>
      </w:pPr>
      <w:r>
        <w:rPr>
          <w:rFonts w:hint="eastAsia"/>
          <w:color w:val="auto"/>
          <w:sz w:val="21"/>
          <w:szCs w:val="21"/>
          <w:highlight w:val="none"/>
          <w:shd w:val="clear" w:color="auto" w:fill="FFFFFF"/>
        </w:rPr>
        <w:t>本合同包不接受联合体投标</w:t>
      </w:r>
    </w:p>
    <w:p>
      <w:pPr>
        <w:pStyle w:val="33"/>
        <w:spacing w:before="0" w:beforeAutospacing="0" w:after="0" w:afterAutospacing="0" w:line="360" w:lineRule="auto"/>
        <w:ind w:firstLine="630"/>
        <w:jc w:val="both"/>
        <w:textAlignment w:val="baseline"/>
        <w:rPr>
          <w:color w:val="auto"/>
          <w:sz w:val="21"/>
          <w:szCs w:val="21"/>
          <w:highlight w:val="none"/>
        </w:rPr>
      </w:pPr>
      <w:r>
        <w:rPr>
          <w:rFonts w:hint="eastAsia"/>
          <w:color w:val="auto"/>
          <w:sz w:val="21"/>
          <w:szCs w:val="21"/>
          <w:highlight w:val="none"/>
          <w:shd w:val="clear" w:color="auto" w:fill="FFFFFF"/>
        </w:rPr>
        <w:t>合同履行期限：最终合同履行期限以合同签订时间为准</w:t>
      </w:r>
    </w:p>
    <w:p>
      <w:pPr>
        <w:pStyle w:val="8"/>
        <w:keepNext w:val="0"/>
        <w:widowControl/>
        <w:numPr>
          <w:ilvl w:val="0"/>
          <w:numId w:val="0"/>
        </w:numPr>
        <w:shd w:val="clear" w:color="auto" w:fill="FFFFFF"/>
        <w:spacing w:before="150" w:line="360" w:lineRule="auto"/>
        <w:jc w:val="left"/>
        <w:textAlignment w:val="baseline"/>
        <w:rPr>
          <w:rFonts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shd w:val="clear" w:color="auto" w:fill="FFFFFF"/>
        </w:rPr>
        <w:t>二、申请人的资格要求：</w:t>
      </w:r>
    </w:p>
    <w:p>
      <w:pPr>
        <w:pStyle w:val="33"/>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1.满足《中华人民共和国政府采购法》第二十二条规定;</w:t>
      </w:r>
    </w:p>
    <w:p>
      <w:pPr>
        <w:pStyle w:val="33"/>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2.落实政府采购政策需满足的资格要求：</w:t>
      </w:r>
    </w:p>
    <w:p>
      <w:pPr>
        <w:pStyle w:val="33"/>
        <w:spacing w:before="0" w:beforeAutospacing="0" w:after="0" w:afterAutospacing="0" w:line="360" w:lineRule="auto"/>
        <w:ind w:left="480"/>
        <w:jc w:val="both"/>
        <w:textAlignment w:val="baseline"/>
        <w:rPr>
          <w:color w:val="auto"/>
          <w:sz w:val="21"/>
          <w:szCs w:val="21"/>
          <w:highlight w:val="none"/>
        </w:rPr>
      </w:pPr>
      <w:r>
        <w:rPr>
          <w:rFonts w:hint="eastAsia"/>
          <w:color w:val="auto"/>
          <w:sz w:val="21"/>
          <w:szCs w:val="21"/>
          <w:highlight w:val="none"/>
          <w:shd w:val="clear" w:color="auto" w:fill="FFFFFF"/>
        </w:rPr>
        <w:t>（1）《政府采购促进中小企业发展管理办法》（财库【2020】46号）；（2）《财政部司法部关于政府采购支持监狱企业发展有关问题的通知》（财库【2014】68号）；（3）《财政部发展改革委生态环境部市场监管总局关于调整优化节能产品、环境标志产品政府采购执行机制的通知》（财库【2019】9号）；（4）《国务院办公厅关于建立政府强制采购节能产品制度的通知》（国办发【2007】51号）；（5）《财政部国家发展改革委关于印发〈节能产品政府采购实施意见〉的通知》（财库【2004】185号）；（6）《财政部环保总局关于环境标志产品政府采购实施的意见》（财库【2006】90号）；（7）《三部门联合发布关于促进残疾人就业政府采购政策的通知》（财库【2017】141号）；（8）《陕西省中小企业政府采购信用融资办法》（陕财办采〔2018〕23号）；（9）《陕西省财政厅关于加快推进我省中小企业政府采购信用融资工作的通知》--陕财办采〔2020〕15号；（10）《关于运用政府采购政策支持乡村产业振兴的通知》（财库〔2021〕19号）；（11）《关于在政府采购活动中查询及使用信用记录有关问题的通知》（财库【2016】125号）；（12）《财政部 关于进一步加大政府采购支持中小企业力度的通知（2022）19号》；（13）其他需要落实的政府采购政策。</w:t>
      </w:r>
    </w:p>
    <w:p>
      <w:pPr>
        <w:pStyle w:val="33"/>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3.本项目的特定资格要求：</w:t>
      </w:r>
    </w:p>
    <w:p>
      <w:pPr>
        <w:pStyle w:val="33"/>
        <w:spacing w:before="0" w:beforeAutospacing="0" w:after="0" w:afterAutospacing="0" w:line="360" w:lineRule="auto"/>
        <w:ind w:left="480"/>
        <w:jc w:val="both"/>
        <w:textAlignment w:val="baseline"/>
        <w:rPr>
          <w:color w:val="auto"/>
          <w:sz w:val="21"/>
          <w:szCs w:val="21"/>
          <w:highlight w:val="none"/>
        </w:rPr>
      </w:pPr>
      <w:r>
        <w:rPr>
          <w:rFonts w:hint="eastAsia"/>
          <w:color w:val="auto"/>
          <w:sz w:val="21"/>
          <w:szCs w:val="21"/>
          <w:highlight w:val="none"/>
          <w:shd w:val="clear" w:color="auto" w:fill="FFFFFF"/>
        </w:rPr>
        <w:t>（1）供应商须具备独立承担民事责任能力的法人、其他组织或自然人，提供营业执照/事业单位法人证书/非企业专业服务机构执业许可证/自然人身份证；（2）法定代表人授权书及授权代表身份证明（法定代表人直接参加投标的须提供法定代表人证明书及其身份证明），非法人单位参照执行；（3）财务状况报告：法人提供经审计的202</w:t>
      </w:r>
      <w:r>
        <w:rPr>
          <w:rFonts w:hint="eastAsia"/>
          <w:color w:val="auto"/>
          <w:sz w:val="21"/>
          <w:szCs w:val="21"/>
          <w:highlight w:val="none"/>
          <w:shd w:val="clear" w:color="auto" w:fill="FFFFFF"/>
          <w:lang w:val="en-US" w:eastAsia="zh-CN"/>
        </w:rPr>
        <w:t>1</w:t>
      </w:r>
      <w:r>
        <w:rPr>
          <w:rFonts w:hint="eastAsia"/>
          <w:color w:val="auto"/>
          <w:sz w:val="21"/>
          <w:szCs w:val="21"/>
          <w:highlight w:val="none"/>
          <w:shd w:val="clear" w:color="auto" w:fill="FFFFFF"/>
        </w:rPr>
        <w:t>或202</w:t>
      </w:r>
      <w:r>
        <w:rPr>
          <w:rFonts w:hint="eastAsia"/>
          <w:color w:val="auto"/>
          <w:sz w:val="21"/>
          <w:szCs w:val="21"/>
          <w:highlight w:val="none"/>
          <w:shd w:val="clear" w:color="auto" w:fill="FFFFFF"/>
          <w:lang w:val="en-US" w:eastAsia="zh-CN"/>
        </w:rPr>
        <w:t>2</w:t>
      </w:r>
      <w:r>
        <w:rPr>
          <w:rFonts w:hint="eastAsia"/>
          <w:color w:val="auto"/>
          <w:sz w:val="21"/>
          <w:szCs w:val="21"/>
          <w:highlight w:val="none"/>
          <w:shd w:val="clear" w:color="auto" w:fill="FFFFFF"/>
        </w:rPr>
        <w:t>年度的财务报告（包括审计报告、资产负债表、利润表、现金流量表及附注）或202</w:t>
      </w:r>
      <w:r>
        <w:rPr>
          <w:rFonts w:hint="eastAsia"/>
          <w:color w:val="auto"/>
          <w:sz w:val="21"/>
          <w:szCs w:val="21"/>
          <w:highlight w:val="none"/>
          <w:shd w:val="clear" w:color="auto" w:fill="FFFFFF"/>
          <w:lang w:val="en-US" w:eastAsia="zh-CN"/>
        </w:rPr>
        <w:t>3</w:t>
      </w:r>
      <w:r>
        <w:rPr>
          <w:rFonts w:hint="eastAsia"/>
          <w:color w:val="auto"/>
          <w:sz w:val="21"/>
          <w:szCs w:val="21"/>
          <w:highlight w:val="none"/>
          <w:shd w:val="clear" w:color="auto" w:fill="FFFFFF"/>
        </w:rPr>
        <w:t>年1月1日内以来基本账户开户银行出具的资信证明（附开户许可证或开户备案证明或基本账户信息），或信用担保机构出具的投标担保函（以上三种形式的资料提供任何一种即可）；其他组织和自然人提供银行出具的资信证明或财务报表；（4）税收缴纳证明：提供投标截止时间前12个月内任意一个月缴纳税收的凭据；依法免税的投标人应提供相关文件证明；（5）社会保障资金缴纳证明：提供投标截止时间前12个月内任意一个月已缴纳的社会保障资金的凭据（专用收据或社会保险缴纳清单）；依法不需要缴纳社会保障资金的投标人应提供相关文件证明；（6）提供具有履行本合同所必需的设备和专业技术能力的承诺；（7）参加政府采购活动前3年内在经营活动中没有重大违法记录的书面声明；（8）投标人的信用记录须符合财库【2016】125号文《财政部关于在政府采购活动中查询及使用信用记录有关问题的通知》的规定。投标人被“信用中国”网站列入失信被执行人、重大税收违法案件当事人名单的，投标人被“中国政府采购网”网站列入政府采购严重违法失信名单的，不得参与本项目投标；（9）单位负责人为同一人或者存在直接控股、管理关系的不同投标人，不得参加同一合同项下的政府采购活动。</w:t>
      </w:r>
    </w:p>
    <w:p>
      <w:pPr>
        <w:pStyle w:val="8"/>
        <w:keepNext w:val="0"/>
        <w:widowControl/>
        <w:numPr>
          <w:ilvl w:val="0"/>
          <w:numId w:val="0"/>
        </w:numPr>
        <w:shd w:val="clear" w:color="auto" w:fill="FFFFFF"/>
        <w:spacing w:before="150" w:line="360" w:lineRule="auto"/>
        <w:jc w:val="left"/>
        <w:textAlignment w:val="baseline"/>
        <w:rPr>
          <w:rFonts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shd w:val="clear" w:color="auto" w:fill="FFFFFF"/>
        </w:rPr>
        <w:t>三、获取招标文件</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时间：</w:t>
      </w:r>
      <w:r>
        <w:rPr>
          <w:rFonts w:hint="eastAsia"/>
          <w:color w:val="auto"/>
          <w:sz w:val="21"/>
          <w:szCs w:val="21"/>
          <w:highlight w:val="none"/>
          <w:shd w:val="clear" w:color="auto" w:fill="FFFFFF"/>
        </w:rPr>
        <w:t>2023年</w:t>
      </w:r>
      <w:r>
        <w:rPr>
          <w:rFonts w:hint="eastAsia"/>
          <w:color w:val="auto"/>
          <w:sz w:val="21"/>
          <w:szCs w:val="21"/>
          <w:highlight w:val="none"/>
          <w:shd w:val="clear" w:color="auto" w:fill="FFFFFF"/>
          <w:lang w:val="en-US" w:eastAsia="zh-CN"/>
        </w:rPr>
        <w:t>4</w:t>
      </w:r>
      <w:r>
        <w:rPr>
          <w:rFonts w:hint="eastAsia"/>
          <w:color w:val="auto"/>
          <w:sz w:val="21"/>
          <w:szCs w:val="21"/>
          <w:highlight w:val="none"/>
          <w:shd w:val="clear" w:color="auto" w:fill="FFFFFF"/>
        </w:rPr>
        <w:t>月</w:t>
      </w:r>
      <w:r>
        <w:rPr>
          <w:rFonts w:hint="eastAsia"/>
          <w:color w:val="auto"/>
          <w:sz w:val="21"/>
          <w:szCs w:val="21"/>
          <w:highlight w:val="none"/>
          <w:shd w:val="clear" w:color="auto" w:fill="FFFFFF"/>
          <w:lang w:val="en-US" w:eastAsia="zh-CN"/>
        </w:rPr>
        <w:t>10</w:t>
      </w:r>
      <w:r>
        <w:rPr>
          <w:rFonts w:hint="eastAsia"/>
          <w:color w:val="auto"/>
          <w:sz w:val="21"/>
          <w:szCs w:val="21"/>
          <w:highlight w:val="none"/>
          <w:shd w:val="clear" w:color="auto" w:fill="FFFFFF"/>
        </w:rPr>
        <w:t>日至2023年</w:t>
      </w:r>
      <w:r>
        <w:rPr>
          <w:rFonts w:hint="eastAsia"/>
          <w:color w:val="auto"/>
          <w:sz w:val="21"/>
          <w:szCs w:val="21"/>
          <w:highlight w:val="none"/>
          <w:shd w:val="clear" w:color="auto" w:fill="FFFFFF"/>
          <w:lang w:val="en-US" w:eastAsia="zh-CN"/>
        </w:rPr>
        <w:t>4</w:t>
      </w:r>
      <w:r>
        <w:rPr>
          <w:rFonts w:hint="eastAsia"/>
          <w:color w:val="auto"/>
          <w:sz w:val="21"/>
          <w:szCs w:val="21"/>
          <w:highlight w:val="none"/>
          <w:shd w:val="clear" w:color="auto" w:fill="FFFFFF"/>
        </w:rPr>
        <w:t>月</w:t>
      </w:r>
      <w:r>
        <w:rPr>
          <w:rFonts w:hint="eastAsia"/>
          <w:color w:val="auto"/>
          <w:sz w:val="21"/>
          <w:szCs w:val="21"/>
          <w:highlight w:val="none"/>
          <w:shd w:val="clear" w:color="auto" w:fill="FFFFFF"/>
          <w:lang w:val="en-US" w:eastAsia="zh-CN"/>
        </w:rPr>
        <w:t>12</w:t>
      </w:r>
      <w:r>
        <w:rPr>
          <w:rFonts w:hint="eastAsia"/>
          <w:color w:val="auto"/>
          <w:sz w:val="21"/>
          <w:szCs w:val="21"/>
          <w:highlight w:val="none"/>
          <w:shd w:val="clear" w:color="auto" w:fill="FFFFFF"/>
        </w:rPr>
        <w:t>日，每天上午09:00:00至12:00:00，下午12:00:00至17:00:00（北京时间）</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途径：西安市高新区唐延路11号禾盛京广中心E座23层</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方式：现场获取</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售价：0元</w:t>
      </w:r>
    </w:p>
    <w:p>
      <w:pPr>
        <w:pStyle w:val="8"/>
        <w:keepNext w:val="0"/>
        <w:widowControl/>
        <w:numPr>
          <w:ilvl w:val="0"/>
          <w:numId w:val="0"/>
        </w:numPr>
        <w:shd w:val="clear" w:color="auto" w:fill="FFFFFF"/>
        <w:spacing w:before="150" w:line="360" w:lineRule="auto"/>
        <w:jc w:val="left"/>
        <w:textAlignment w:val="baseline"/>
        <w:rPr>
          <w:rFonts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shd w:val="clear" w:color="auto" w:fill="FFFFFF"/>
        </w:rPr>
        <w:t>四、提交投标文件截止时间、开标时间和地点</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时间：2023年</w:t>
      </w:r>
      <w:r>
        <w:rPr>
          <w:rFonts w:hint="eastAsia"/>
          <w:color w:val="auto"/>
          <w:sz w:val="21"/>
          <w:szCs w:val="21"/>
          <w:highlight w:val="none"/>
          <w:shd w:val="clear" w:color="auto" w:fill="FFFFFF"/>
          <w:lang w:val="en-US" w:eastAsia="zh-CN"/>
        </w:rPr>
        <w:t>4</w:t>
      </w:r>
      <w:r>
        <w:rPr>
          <w:rFonts w:hint="eastAsia"/>
          <w:color w:val="auto"/>
          <w:sz w:val="21"/>
          <w:szCs w:val="21"/>
          <w:highlight w:val="none"/>
          <w:shd w:val="clear" w:color="auto" w:fill="FFFFFF"/>
        </w:rPr>
        <w:t>月</w:t>
      </w:r>
      <w:r>
        <w:rPr>
          <w:rFonts w:hint="eastAsia"/>
          <w:color w:val="auto"/>
          <w:sz w:val="21"/>
          <w:szCs w:val="21"/>
          <w:highlight w:val="none"/>
          <w:shd w:val="clear" w:color="auto" w:fill="FFFFFF"/>
          <w:lang w:val="en-US" w:eastAsia="zh-CN"/>
        </w:rPr>
        <w:t>14</w:t>
      </w:r>
      <w:r>
        <w:rPr>
          <w:rFonts w:hint="eastAsia"/>
          <w:color w:val="auto"/>
          <w:sz w:val="21"/>
          <w:szCs w:val="21"/>
          <w:highlight w:val="none"/>
          <w:shd w:val="clear" w:color="auto" w:fill="FFFFFF"/>
        </w:rPr>
        <w:t xml:space="preserve">日 </w:t>
      </w:r>
      <w:r>
        <w:rPr>
          <w:rFonts w:hint="eastAsia"/>
          <w:color w:val="auto"/>
          <w:sz w:val="21"/>
          <w:szCs w:val="21"/>
          <w:highlight w:val="none"/>
          <w:shd w:val="clear" w:color="auto" w:fill="FFFFFF"/>
          <w:lang w:val="en-US" w:eastAsia="zh-CN"/>
        </w:rPr>
        <w:t>10</w:t>
      </w:r>
      <w:r>
        <w:rPr>
          <w:rFonts w:hint="eastAsia"/>
          <w:color w:val="auto"/>
          <w:sz w:val="21"/>
          <w:szCs w:val="21"/>
          <w:highlight w:val="none"/>
          <w:shd w:val="clear" w:color="auto" w:fill="FFFFFF"/>
        </w:rPr>
        <w:t>时</w:t>
      </w:r>
      <w:r>
        <w:rPr>
          <w:rFonts w:hint="eastAsia"/>
          <w:color w:val="auto"/>
          <w:sz w:val="21"/>
          <w:szCs w:val="21"/>
          <w:highlight w:val="none"/>
          <w:shd w:val="clear" w:color="auto" w:fill="FFFFFF"/>
          <w:lang w:val="en-US" w:eastAsia="zh-CN"/>
        </w:rPr>
        <w:t>0</w:t>
      </w:r>
      <w:r>
        <w:rPr>
          <w:rFonts w:hint="eastAsia"/>
          <w:color w:val="auto"/>
          <w:sz w:val="21"/>
          <w:szCs w:val="21"/>
          <w:highlight w:val="none"/>
          <w:shd w:val="clear" w:color="auto" w:fill="FFFFFF"/>
        </w:rPr>
        <w:t>0分00秒（北京时间）</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提交投标文件地点：西安市高新区唐延路11号禾盛京广中心E座23层</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开标地点：西安市高新区唐延路11号禾盛京广中心E座23层</w:t>
      </w:r>
    </w:p>
    <w:p>
      <w:pPr>
        <w:pStyle w:val="8"/>
        <w:keepNext w:val="0"/>
        <w:widowControl/>
        <w:numPr>
          <w:ilvl w:val="0"/>
          <w:numId w:val="0"/>
        </w:numPr>
        <w:shd w:val="clear" w:color="auto" w:fill="FFFFFF"/>
        <w:spacing w:before="150" w:line="360" w:lineRule="auto"/>
        <w:jc w:val="left"/>
        <w:textAlignment w:val="baseline"/>
        <w:rPr>
          <w:rFonts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shd w:val="clear" w:color="auto" w:fill="FFFFFF"/>
        </w:rPr>
        <w:t>五、公告期限</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rPr>
      </w:pPr>
      <w:r>
        <w:rPr>
          <w:rFonts w:hint="eastAsia"/>
          <w:color w:val="auto"/>
          <w:sz w:val="21"/>
          <w:szCs w:val="21"/>
          <w:highlight w:val="none"/>
          <w:shd w:val="clear" w:color="auto" w:fill="FFFFFF"/>
        </w:rPr>
        <w:t>自本公告发布之日起3个工作日。</w:t>
      </w:r>
    </w:p>
    <w:p>
      <w:pPr>
        <w:pStyle w:val="8"/>
        <w:keepNext w:val="0"/>
        <w:widowControl/>
        <w:numPr>
          <w:ilvl w:val="0"/>
          <w:numId w:val="0"/>
        </w:numPr>
        <w:shd w:val="clear" w:color="auto" w:fill="FFFFFF"/>
        <w:spacing w:before="150" w:line="360" w:lineRule="auto"/>
        <w:jc w:val="left"/>
        <w:textAlignment w:val="baseline"/>
        <w:rPr>
          <w:rFonts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shd w:val="clear" w:color="auto" w:fill="FFFFFF"/>
        </w:rPr>
        <w:t>六、其他补充事宜</w:t>
      </w:r>
    </w:p>
    <w:p>
      <w:pPr>
        <w:pStyle w:val="33"/>
        <w:spacing w:before="0" w:beforeAutospacing="0" w:after="0" w:afterAutospacing="0" w:line="360" w:lineRule="auto"/>
        <w:ind w:firstLine="480"/>
        <w:jc w:val="both"/>
        <w:textAlignment w:val="baseline"/>
        <w:rPr>
          <w:color w:val="auto"/>
          <w:sz w:val="21"/>
          <w:szCs w:val="21"/>
          <w:highlight w:val="none"/>
        </w:rPr>
      </w:pPr>
      <w:r>
        <w:rPr>
          <w:rStyle w:val="41"/>
          <w:rFonts w:hint="eastAsia"/>
          <w:color w:val="auto"/>
          <w:sz w:val="21"/>
          <w:szCs w:val="21"/>
          <w:highlight w:val="none"/>
          <w:shd w:val="clear" w:color="auto" w:fill="FFFFFF"/>
          <w:lang w:bidi="ar"/>
        </w:rPr>
        <w:t>1.获取磋商文件请携带单位介绍信加盖公章、经办人身份证原件及加盖公章的身份证复印件；</w:t>
      </w:r>
    </w:p>
    <w:p>
      <w:pPr>
        <w:pStyle w:val="33"/>
        <w:spacing w:before="0" w:beforeAutospacing="0" w:after="0" w:afterAutospacing="0" w:line="360" w:lineRule="auto"/>
        <w:ind w:firstLine="480"/>
        <w:jc w:val="both"/>
        <w:textAlignment w:val="baseline"/>
        <w:rPr>
          <w:rStyle w:val="41"/>
          <w:color w:val="auto"/>
          <w:sz w:val="21"/>
          <w:szCs w:val="21"/>
          <w:highlight w:val="none"/>
          <w:shd w:val="clear" w:color="auto" w:fill="FFFFFF"/>
          <w:lang w:bidi="ar"/>
        </w:rPr>
      </w:pPr>
      <w:r>
        <w:rPr>
          <w:rStyle w:val="41"/>
          <w:rFonts w:hint="eastAsia"/>
          <w:color w:val="auto"/>
          <w:sz w:val="21"/>
          <w:szCs w:val="21"/>
          <w:highlight w:val="none"/>
          <w:shd w:val="clear" w:color="auto" w:fill="FFFFFF"/>
          <w:lang w:bidi="ar"/>
        </w:rPr>
        <w:t>2.请投标人按照陕西省财政厅关于政府采购供应商注册登记有关事项的通知中的要求，通过陕西省政府采购网（http://www.ccgp-shaanxi.gov.cn/）注册登记加入陕西省政府采购供应商库；</w:t>
      </w:r>
    </w:p>
    <w:p>
      <w:pPr>
        <w:pStyle w:val="33"/>
        <w:spacing w:before="0" w:beforeAutospacing="0" w:after="0" w:afterAutospacing="0" w:line="360" w:lineRule="auto"/>
        <w:ind w:firstLine="480"/>
        <w:jc w:val="both"/>
        <w:textAlignment w:val="baseline"/>
        <w:rPr>
          <w:rStyle w:val="41"/>
          <w:rFonts w:hint="eastAsia" w:ascii="Times New Roman" w:hAnsi="Times New Roman" w:cs="Times New Roman"/>
          <w:color w:val="auto"/>
          <w:sz w:val="21"/>
          <w:szCs w:val="21"/>
          <w:highlight w:val="none"/>
          <w:shd w:val="clear" w:color="auto" w:fill="FFFFFF"/>
          <w:lang w:bidi="ar"/>
        </w:rPr>
      </w:pPr>
      <w:r>
        <w:rPr>
          <w:rStyle w:val="41"/>
          <w:rFonts w:hint="eastAsia"/>
          <w:color w:val="auto"/>
          <w:sz w:val="21"/>
          <w:szCs w:val="21"/>
          <w:highlight w:val="none"/>
          <w:shd w:val="clear" w:color="auto" w:fill="FFFFFF"/>
          <w:lang w:bidi="ar"/>
        </w:rPr>
        <w:t>3.本项目为</w:t>
      </w:r>
      <w:r>
        <w:rPr>
          <w:rStyle w:val="41"/>
          <w:rFonts w:hint="eastAsia" w:ascii="Times New Roman" w:hAnsi="Times New Roman" w:cs="Times New Roman"/>
          <w:color w:val="auto"/>
          <w:sz w:val="21"/>
          <w:szCs w:val="21"/>
          <w:highlight w:val="none"/>
          <w:shd w:val="clear" w:color="auto" w:fill="FFFFFF"/>
          <w:lang w:bidi="ar"/>
        </w:rPr>
        <w:t>非专门面向中小企业的采购。</w:t>
      </w:r>
    </w:p>
    <w:p>
      <w:pPr>
        <w:pStyle w:val="8"/>
        <w:keepNext w:val="0"/>
        <w:widowControl/>
        <w:numPr>
          <w:ilvl w:val="0"/>
          <w:numId w:val="0"/>
        </w:numPr>
        <w:shd w:val="clear" w:color="auto" w:fill="FFFFFF"/>
        <w:spacing w:before="150" w:line="360" w:lineRule="auto"/>
        <w:jc w:val="left"/>
        <w:textAlignment w:val="baseline"/>
        <w:rPr>
          <w:rFonts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shd w:val="clear" w:color="auto" w:fill="FFFFFF"/>
        </w:rPr>
        <w:t>七、对本次招标提出询问，请按以下方式联系。</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shd w:val="clear" w:color="auto" w:fill="FFFFFF"/>
        </w:rPr>
      </w:pPr>
      <w:r>
        <w:rPr>
          <w:rFonts w:hint="eastAsia"/>
          <w:color w:val="auto"/>
          <w:sz w:val="21"/>
          <w:szCs w:val="21"/>
          <w:highlight w:val="none"/>
          <w:shd w:val="clear" w:color="auto" w:fill="FFFFFF"/>
        </w:rPr>
        <w:t>1.采购人信息</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shd w:val="clear" w:color="auto" w:fill="FFFFFF"/>
        </w:rPr>
      </w:pPr>
      <w:r>
        <w:rPr>
          <w:rFonts w:hint="eastAsia"/>
          <w:color w:val="auto"/>
          <w:sz w:val="21"/>
          <w:szCs w:val="21"/>
          <w:highlight w:val="none"/>
          <w:shd w:val="clear" w:color="auto" w:fill="FFFFFF"/>
        </w:rPr>
        <w:t>名称：西安市阎良区人民检察院</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shd w:val="clear" w:color="auto" w:fill="FFFFFF"/>
        </w:rPr>
      </w:pPr>
      <w:r>
        <w:rPr>
          <w:rFonts w:hint="eastAsia"/>
          <w:color w:val="auto"/>
          <w:sz w:val="21"/>
          <w:szCs w:val="21"/>
          <w:highlight w:val="none"/>
          <w:shd w:val="clear" w:color="auto" w:fill="FFFFFF"/>
        </w:rPr>
        <w:t>地址：陕西省西安市阎良区延安街7号</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shd w:val="clear" w:color="auto" w:fill="FFFFFF"/>
        </w:rPr>
      </w:pPr>
      <w:r>
        <w:rPr>
          <w:rFonts w:hint="eastAsia"/>
          <w:color w:val="auto"/>
          <w:sz w:val="21"/>
          <w:szCs w:val="21"/>
          <w:highlight w:val="none"/>
          <w:shd w:val="clear" w:color="auto" w:fill="FFFFFF"/>
        </w:rPr>
        <w:t>联系方式：</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shd w:val="clear" w:color="auto" w:fill="FFFFFF"/>
        </w:rPr>
      </w:pPr>
      <w:r>
        <w:rPr>
          <w:rFonts w:hint="eastAsia"/>
          <w:color w:val="auto"/>
          <w:sz w:val="21"/>
          <w:szCs w:val="21"/>
          <w:highlight w:val="none"/>
          <w:shd w:val="clear" w:color="auto" w:fill="FFFFFF"/>
        </w:rPr>
        <w:t>2.采购代理机构信息</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shd w:val="clear" w:color="auto" w:fill="FFFFFF"/>
        </w:rPr>
      </w:pPr>
      <w:r>
        <w:rPr>
          <w:rFonts w:hint="eastAsia"/>
          <w:color w:val="auto"/>
          <w:sz w:val="21"/>
          <w:szCs w:val="21"/>
          <w:highlight w:val="none"/>
          <w:shd w:val="clear" w:color="auto" w:fill="FFFFFF"/>
        </w:rPr>
        <w:t>名称：中天久信管理咨询集团有限公司</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shd w:val="clear" w:color="auto" w:fill="FFFFFF"/>
        </w:rPr>
      </w:pPr>
      <w:r>
        <w:rPr>
          <w:rFonts w:hint="eastAsia"/>
          <w:color w:val="auto"/>
          <w:sz w:val="21"/>
          <w:szCs w:val="21"/>
          <w:highlight w:val="none"/>
          <w:shd w:val="clear" w:color="auto" w:fill="FFFFFF"/>
        </w:rPr>
        <w:t>地址：西安市高新区唐延路11号禾盛京广中心E座23层</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shd w:val="clear" w:color="auto" w:fill="FFFFFF"/>
        </w:rPr>
      </w:pPr>
      <w:r>
        <w:rPr>
          <w:rFonts w:hint="eastAsia"/>
          <w:color w:val="auto"/>
          <w:sz w:val="21"/>
          <w:szCs w:val="21"/>
          <w:highlight w:val="none"/>
          <w:shd w:val="clear" w:color="auto" w:fill="FFFFFF"/>
        </w:rPr>
        <w:t>联系方式：029-89525802转8002</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shd w:val="clear" w:color="auto" w:fill="FFFFFF"/>
        </w:rPr>
      </w:pPr>
      <w:r>
        <w:rPr>
          <w:rFonts w:hint="eastAsia"/>
          <w:color w:val="auto"/>
          <w:sz w:val="21"/>
          <w:szCs w:val="21"/>
          <w:highlight w:val="none"/>
          <w:shd w:val="clear" w:color="auto" w:fill="FFFFFF"/>
        </w:rPr>
        <w:t>3.项目联系方式</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shd w:val="clear" w:color="auto" w:fill="FFFFFF"/>
        </w:rPr>
      </w:pPr>
      <w:r>
        <w:rPr>
          <w:rFonts w:hint="eastAsia"/>
          <w:color w:val="auto"/>
          <w:sz w:val="21"/>
          <w:szCs w:val="21"/>
          <w:highlight w:val="none"/>
          <w:shd w:val="clear" w:color="auto" w:fill="FFFFFF"/>
        </w:rPr>
        <w:t>项目联系人：庞冰倩</w:t>
      </w:r>
    </w:p>
    <w:p>
      <w:pPr>
        <w:pStyle w:val="33"/>
        <w:shd w:val="clear" w:color="auto" w:fill="FFFFFF"/>
        <w:spacing w:before="0" w:beforeAutospacing="0" w:after="0" w:afterAutospacing="0" w:line="360" w:lineRule="auto"/>
        <w:ind w:firstLine="480"/>
        <w:jc w:val="both"/>
        <w:textAlignment w:val="baseline"/>
        <w:rPr>
          <w:color w:val="auto"/>
          <w:sz w:val="21"/>
          <w:szCs w:val="21"/>
          <w:highlight w:val="none"/>
          <w:shd w:val="clear" w:color="auto" w:fill="FFFFFF"/>
        </w:rPr>
      </w:pPr>
      <w:r>
        <w:rPr>
          <w:rFonts w:hint="eastAsia"/>
          <w:color w:val="auto"/>
          <w:sz w:val="21"/>
          <w:szCs w:val="21"/>
          <w:highlight w:val="none"/>
          <w:shd w:val="clear" w:color="auto" w:fill="FFFFFF"/>
        </w:rPr>
        <w:t>电话：029-89525802转8002</w:t>
      </w:r>
    </w:p>
    <w:p>
      <w:pPr>
        <w:pStyle w:val="33"/>
        <w:shd w:val="clear" w:color="auto" w:fill="FFFFFF"/>
        <w:spacing w:before="0" w:beforeAutospacing="0" w:after="0" w:afterAutospacing="0" w:line="360" w:lineRule="auto"/>
        <w:ind w:firstLine="480"/>
        <w:jc w:val="right"/>
        <w:textAlignment w:val="baseline"/>
        <w:rPr>
          <w:color w:val="auto"/>
          <w:sz w:val="21"/>
          <w:szCs w:val="21"/>
          <w:highlight w:val="none"/>
          <w:shd w:val="clear" w:color="auto" w:fill="FFFFFF"/>
        </w:rPr>
      </w:pPr>
    </w:p>
    <w:p>
      <w:pPr>
        <w:pStyle w:val="33"/>
        <w:shd w:val="clear" w:color="auto" w:fill="FFFFFF"/>
        <w:spacing w:before="0" w:beforeAutospacing="0" w:after="0" w:afterAutospacing="0" w:line="360" w:lineRule="auto"/>
        <w:ind w:firstLine="480"/>
        <w:jc w:val="right"/>
        <w:textAlignment w:val="baseline"/>
        <w:rPr>
          <w:color w:val="auto"/>
          <w:sz w:val="21"/>
          <w:szCs w:val="21"/>
          <w:highlight w:val="none"/>
          <w:shd w:val="clear" w:color="auto" w:fill="FFFFFF"/>
        </w:rPr>
      </w:pPr>
    </w:p>
    <w:p>
      <w:pPr>
        <w:pStyle w:val="33"/>
        <w:shd w:val="clear" w:color="auto" w:fill="FFFFFF"/>
        <w:spacing w:before="0" w:beforeAutospacing="0" w:after="0" w:afterAutospacing="0" w:line="360" w:lineRule="auto"/>
        <w:ind w:firstLine="480"/>
        <w:jc w:val="right"/>
        <w:textAlignment w:val="baseline"/>
        <w:rPr>
          <w:color w:val="auto"/>
          <w:sz w:val="21"/>
          <w:szCs w:val="21"/>
          <w:highlight w:val="none"/>
          <w:shd w:val="clear" w:color="auto" w:fill="FFFFFF"/>
        </w:rPr>
      </w:pPr>
    </w:p>
    <w:p>
      <w:pPr>
        <w:pStyle w:val="33"/>
        <w:shd w:val="clear" w:color="auto" w:fill="FFFFFF"/>
        <w:spacing w:before="0" w:beforeAutospacing="0" w:after="0" w:afterAutospacing="0" w:line="360" w:lineRule="auto"/>
        <w:ind w:firstLine="480"/>
        <w:jc w:val="right"/>
        <w:textAlignment w:val="baseline"/>
        <w:rPr>
          <w:color w:val="auto"/>
          <w:sz w:val="21"/>
          <w:szCs w:val="21"/>
          <w:highlight w:val="none"/>
        </w:rPr>
      </w:pPr>
      <w:r>
        <w:rPr>
          <w:rFonts w:hint="eastAsia"/>
          <w:color w:val="auto"/>
          <w:sz w:val="21"/>
          <w:szCs w:val="21"/>
          <w:highlight w:val="none"/>
          <w:shd w:val="clear" w:color="auto" w:fill="FFFFFF"/>
        </w:rPr>
        <w:t>中天久信管理咨询集团有限公司</w:t>
      </w: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3"/>
        <w:numPr>
          <w:ilvl w:val="0"/>
          <w:numId w:val="0"/>
        </w:numPr>
        <w:tabs>
          <w:tab w:val="clear" w:pos="324"/>
        </w:tabs>
        <w:spacing w:line="360" w:lineRule="auto"/>
        <w:rPr>
          <w:rFonts w:ascii="宋体" w:hAnsi="宋体" w:eastAsia="宋体" w:cs="宋体"/>
          <w:b/>
          <w:bCs/>
          <w:color w:val="auto"/>
          <w:sz w:val="28"/>
          <w:szCs w:val="36"/>
          <w:highlight w:val="none"/>
        </w:rPr>
      </w:pPr>
      <w:bookmarkStart w:id="3" w:name="_Toc6072"/>
      <w:r>
        <w:rPr>
          <w:rFonts w:hint="eastAsia" w:ascii="宋体" w:hAnsi="宋体" w:eastAsia="宋体" w:cs="宋体"/>
          <w:b/>
          <w:bCs/>
          <w:color w:val="auto"/>
          <w:sz w:val="28"/>
          <w:szCs w:val="36"/>
          <w:highlight w:val="none"/>
        </w:rPr>
        <w:t>第二章  供应商须知</w:t>
      </w:r>
      <w:bookmarkEnd w:id="3"/>
    </w:p>
    <w:p>
      <w:pPr>
        <w:pStyle w:val="7"/>
        <w:numPr>
          <w:ilvl w:val="0"/>
          <w:numId w:val="0"/>
        </w:numPr>
        <w:rPr>
          <w:color w:val="auto"/>
          <w:szCs w:val="21"/>
          <w:highlight w:val="none"/>
        </w:rPr>
      </w:pPr>
      <w:r>
        <w:rPr>
          <w:rFonts w:hint="eastAsia" w:ascii="宋体" w:hAnsi="宋体" w:eastAsia="宋体" w:cs="宋体"/>
          <w:b/>
          <w:bCs/>
          <w:color w:val="auto"/>
          <w:sz w:val="28"/>
          <w:szCs w:val="28"/>
          <w:highlight w:val="none"/>
        </w:rPr>
        <w:t>供应商须知前附表</w:t>
      </w:r>
    </w:p>
    <w:tbl>
      <w:tblPr>
        <w:tblStyle w:val="38"/>
        <w:tblW w:w="10042" w:type="dxa"/>
        <w:tblInd w:w="-35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6"/>
        <w:gridCol w:w="3061"/>
        <w:gridCol w:w="623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tcPr>
          <w:p>
            <w:pPr>
              <w:spacing w:line="400" w:lineRule="exact"/>
              <w:jc w:val="center"/>
              <w:rPr>
                <w:b/>
                <w:color w:val="auto"/>
                <w:szCs w:val="21"/>
                <w:highlight w:val="none"/>
              </w:rPr>
            </w:pPr>
            <w:r>
              <w:rPr>
                <w:b/>
                <w:color w:val="auto"/>
                <w:szCs w:val="21"/>
                <w:highlight w:val="none"/>
              </w:rPr>
              <w:t>序号</w:t>
            </w:r>
          </w:p>
        </w:tc>
        <w:tc>
          <w:tcPr>
            <w:tcW w:w="3061" w:type="dxa"/>
          </w:tcPr>
          <w:p>
            <w:pPr>
              <w:spacing w:line="400" w:lineRule="exact"/>
              <w:jc w:val="center"/>
              <w:rPr>
                <w:b/>
                <w:color w:val="auto"/>
                <w:szCs w:val="21"/>
                <w:highlight w:val="none"/>
              </w:rPr>
            </w:pPr>
            <w:r>
              <w:rPr>
                <w:b/>
                <w:color w:val="auto"/>
                <w:szCs w:val="21"/>
                <w:highlight w:val="none"/>
              </w:rPr>
              <w:t>条款名称</w:t>
            </w:r>
          </w:p>
        </w:tc>
        <w:tc>
          <w:tcPr>
            <w:tcW w:w="6235" w:type="dxa"/>
            <w:vAlign w:val="center"/>
          </w:tcPr>
          <w:p>
            <w:pPr>
              <w:spacing w:line="400" w:lineRule="exact"/>
              <w:jc w:val="center"/>
              <w:rPr>
                <w:b/>
                <w:color w:val="auto"/>
                <w:szCs w:val="21"/>
                <w:highlight w:val="none"/>
              </w:rPr>
            </w:pPr>
            <w:r>
              <w:rPr>
                <w:b/>
                <w:color w:val="auto"/>
                <w:szCs w:val="21"/>
                <w:highlight w:val="none"/>
              </w:rPr>
              <w:t>具体信息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746" w:type="dxa"/>
            <w:vAlign w:val="center"/>
          </w:tcPr>
          <w:p>
            <w:pPr>
              <w:spacing w:line="400" w:lineRule="exact"/>
              <w:jc w:val="center"/>
              <w:rPr>
                <w:color w:val="auto"/>
                <w:szCs w:val="21"/>
                <w:highlight w:val="none"/>
              </w:rPr>
            </w:pPr>
            <w:r>
              <w:rPr>
                <w:color w:val="auto"/>
                <w:szCs w:val="21"/>
                <w:highlight w:val="none"/>
              </w:rPr>
              <w:t>1</w:t>
            </w:r>
          </w:p>
        </w:tc>
        <w:tc>
          <w:tcPr>
            <w:tcW w:w="3061" w:type="dxa"/>
            <w:vAlign w:val="center"/>
          </w:tcPr>
          <w:p>
            <w:pPr>
              <w:spacing w:line="400" w:lineRule="exact"/>
              <w:jc w:val="center"/>
              <w:rPr>
                <w:b/>
                <w:color w:val="auto"/>
                <w:szCs w:val="21"/>
                <w:highlight w:val="none"/>
              </w:rPr>
            </w:pPr>
            <w:r>
              <w:rPr>
                <w:color w:val="auto"/>
                <w:szCs w:val="21"/>
                <w:highlight w:val="none"/>
              </w:rPr>
              <w:t>采购人</w:t>
            </w:r>
          </w:p>
        </w:tc>
        <w:tc>
          <w:tcPr>
            <w:tcW w:w="6235" w:type="dxa"/>
            <w:vAlign w:val="center"/>
          </w:tcPr>
          <w:p>
            <w:pPr>
              <w:spacing w:line="400" w:lineRule="exact"/>
              <w:rPr>
                <w:color w:val="auto"/>
                <w:szCs w:val="21"/>
                <w:highlight w:val="none"/>
              </w:rPr>
            </w:pPr>
            <w:r>
              <w:rPr>
                <w:rFonts w:hint="eastAsia"/>
                <w:color w:val="auto"/>
                <w:szCs w:val="21"/>
                <w:highlight w:val="none"/>
              </w:rPr>
              <w:t>名  称：西安市阎良区人民检察院</w:t>
            </w:r>
          </w:p>
          <w:p>
            <w:pPr>
              <w:spacing w:line="400" w:lineRule="exact"/>
              <w:rPr>
                <w:color w:val="auto"/>
                <w:szCs w:val="21"/>
                <w:highlight w:val="none"/>
              </w:rPr>
            </w:pPr>
            <w:r>
              <w:rPr>
                <w:rFonts w:hint="eastAsia"/>
                <w:color w:val="auto"/>
                <w:szCs w:val="21"/>
                <w:highlight w:val="none"/>
              </w:rPr>
              <w:t>地  址：陕西省西安市阎良区延安街7号</w:t>
            </w:r>
          </w:p>
          <w:p>
            <w:pPr>
              <w:spacing w:line="400" w:lineRule="exact"/>
              <w:rPr>
                <w:rFonts w:hint="default" w:eastAsia="宋体"/>
                <w:color w:val="auto"/>
                <w:szCs w:val="21"/>
                <w:highlight w:val="none"/>
                <w:lang w:val="en-US" w:eastAsia="zh-CN"/>
              </w:rPr>
            </w:pPr>
            <w:r>
              <w:rPr>
                <w:rFonts w:hint="eastAsia"/>
                <w:color w:val="auto"/>
                <w:szCs w:val="21"/>
                <w:highlight w:val="none"/>
              </w:rPr>
              <w:t>电  话：</w:t>
            </w:r>
            <w:r>
              <w:rPr>
                <w:rFonts w:hint="eastAsia"/>
                <w:color w:val="auto"/>
                <w:szCs w:val="21"/>
                <w:highlight w:val="none"/>
                <w:lang w:val="en-US" w:eastAsia="zh-CN"/>
              </w:rPr>
              <w:t>029-86209361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trPr>
        <w:tc>
          <w:tcPr>
            <w:tcW w:w="746" w:type="dxa"/>
            <w:vAlign w:val="center"/>
          </w:tcPr>
          <w:p>
            <w:pPr>
              <w:spacing w:line="400" w:lineRule="exact"/>
              <w:jc w:val="center"/>
              <w:rPr>
                <w:color w:val="auto"/>
                <w:szCs w:val="21"/>
                <w:highlight w:val="none"/>
              </w:rPr>
            </w:pPr>
            <w:r>
              <w:rPr>
                <w:color w:val="auto"/>
                <w:szCs w:val="21"/>
                <w:highlight w:val="none"/>
              </w:rPr>
              <w:t>2</w:t>
            </w:r>
          </w:p>
        </w:tc>
        <w:tc>
          <w:tcPr>
            <w:tcW w:w="3061" w:type="dxa"/>
            <w:vAlign w:val="center"/>
          </w:tcPr>
          <w:p>
            <w:pPr>
              <w:spacing w:line="400" w:lineRule="exact"/>
              <w:jc w:val="center"/>
              <w:rPr>
                <w:color w:val="auto"/>
                <w:szCs w:val="21"/>
                <w:highlight w:val="none"/>
              </w:rPr>
            </w:pPr>
            <w:r>
              <w:rPr>
                <w:color w:val="auto"/>
                <w:szCs w:val="21"/>
                <w:highlight w:val="none"/>
              </w:rPr>
              <w:t>采购代理机构</w:t>
            </w:r>
          </w:p>
        </w:tc>
        <w:tc>
          <w:tcPr>
            <w:tcW w:w="6235" w:type="dxa"/>
            <w:vAlign w:val="center"/>
          </w:tcPr>
          <w:p>
            <w:pPr>
              <w:spacing w:line="400" w:lineRule="exact"/>
              <w:rPr>
                <w:color w:val="auto"/>
                <w:szCs w:val="21"/>
                <w:highlight w:val="none"/>
              </w:rPr>
            </w:pPr>
            <w:r>
              <w:rPr>
                <w:rFonts w:hint="eastAsia"/>
                <w:color w:val="auto"/>
                <w:szCs w:val="21"/>
                <w:highlight w:val="none"/>
              </w:rPr>
              <w:t>名  称：中天久信管理咨询集团有限公司</w:t>
            </w:r>
          </w:p>
          <w:p>
            <w:pPr>
              <w:spacing w:line="400" w:lineRule="exact"/>
              <w:rPr>
                <w:color w:val="auto"/>
                <w:szCs w:val="21"/>
                <w:highlight w:val="none"/>
              </w:rPr>
            </w:pPr>
            <w:r>
              <w:rPr>
                <w:rFonts w:hint="eastAsia"/>
                <w:color w:val="auto"/>
                <w:szCs w:val="21"/>
                <w:highlight w:val="none"/>
              </w:rPr>
              <w:t>地  址：西安市雁塔区唐延路11号禾盛京广中心E座23楼</w:t>
            </w:r>
          </w:p>
          <w:p>
            <w:pPr>
              <w:spacing w:line="400" w:lineRule="exact"/>
              <w:rPr>
                <w:color w:val="auto"/>
                <w:szCs w:val="21"/>
                <w:highlight w:val="none"/>
              </w:rPr>
            </w:pPr>
            <w:r>
              <w:rPr>
                <w:rFonts w:hint="eastAsia"/>
                <w:color w:val="auto"/>
                <w:szCs w:val="21"/>
                <w:highlight w:val="none"/>
              </w:rPr>
              <w:t>联系人：庞冰倩</w:t>
            </w:r>
          </w:p>
          <w:p>
            <w:pPr>
              <w:spacing w:line="400" w:lineRule="exact"/>
              <w:rPr>
                <w:color w:val="auto"/>
                <w:szCs w:val="21"/>
                <w:highlight w:val="none"/>
              </w:rPr>
            </w:pPr>
            <w:r>
              <w:rPr>
                <w:rFonts w:hint="eastAsia"/>
                <w:color w:val="auto"/>
                <w:szCs w:val="21"/>
                <w:highlight w:val="none"/>
              </w:rPr>
              <w:t>电话/传真：029-89525802转8002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2" w:hRule="atLeast"/>
        </w:trPr>
        <w:tc>
          <w:tcPr>
            <w:tcW w:w="746" w:type="dxa"/>
            <w:vAlign w:val="center"/>
          </w:tcPr>
          <w:p>
            <w:pPr>
              <w:spacing w:line="400" w:lineRule="exact"/>
              <w:jc w:val="center"/>
              <w:rPr>
                <w:color w:val="auto"/>
                <w:szCs w:val="21"/>
                <w:highlight w:val="none"/>
              </w:rPr>
            </w:pPr>
            <w:r>
              <w:rPr>
                <w:color w:val="auto"/>
                <w:szCs w:val="21"/>
                <w:highlight w:val="none"/>
              </w:rPr>
              <w:t>3</w:t>
            </w:r>
          </w:p>
        </w:tc>
        <w:tc>
          <w:tcPr>
            <w:tcW w:w="3061" w:type="dxa"/>
            <w:vAlign w:val="center"/>
          </w:tcPr>
          <w:p>
            <w:pPr>
              <w:spacing w:line="400" w:lineRule="exact"/>
              <w:jc w:val="center"/>
              <w:rPr>
                <w:color w:val="auto"/>
                <w:szCs w:val="21"/>
                <w:highlight w:val="none"/>
              </w:rPr>
            </w:pPr>
            <w:r>
              <w:rPr>
                <w:color w:val="auto"/>
                <w:szCs w:val="21"/>
                <w:highlight w:val="none"/>
              </w:rPr>
              <w:t>采购项目名称</w:t>
            </w:r>
          </w:p>
        </w:tc>
        <w:tc>
          <w:tcPr>
            <w:tcW w:w="6235" w:type="dxa"/>
            <w:vAlign w:val="center"/>
          </w:tcPr>
          <w:p>
            <w:pPr>
              <w:spacing w:line="400" w:lineRule="exact"/>
              <w:rPr>
                <w:color w:val="auto"/>
                <w:szCs w:val="21"/>
                <w:highlight w:val="none"/>
              </w:rPr>
            </w:pPr>
            <w:r>
              <w:rPr>
                <w:rFonts w:hint="eastAsia"/>
                <w:color w:val="auto"/>
                <w:szCs w:val="21"/>
                <w:highlight w:val="none"/>
              </w:rPr>
              <w:t>智能听证室建设项目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vAlign w:val="center"/>
          </w:tcPr>
          <w:p>
            <w:pPr>
              <w:spacing w:line="400" w:lineRule="exact"/>
              <w:jc w:val="center"/>
              <w:rPr>
                <w:color w:val="auto"/>
                <w:szCs w:val="21"/>
                <w:highlight w:val="none"/>
              </w:rPr>
            </w:pPr>
            <w:r>
              <w:rPr>
                <w:color w:val="auto"/>
                <w:szCs w:val="21"/>
                <w:highlight w:val="none"/>
              </w:rPr>
              <w:t>4</w:t>
            </w:r>
          </w:p>
        </w:tc>
        <w:tc>
          <w:tcPr>
            <w:tcW w:w="3061" w:type="dxa"/>
            <w:vAlign w:val="center"/>
          </w:tcPr>
          <w:p>
            <w:pPr>
              <w:spacing w:line="400" w:lineRule="exact"/>
              <w:jc w:val="center"/>
              <w:rPr>
                <w:color w:val="auto"/>
                <w:szCs w:val="21"/>
                <w:highlight w:val="none"/>
              </w:rPr>
            </w:pPr>
            <w:r>
              <w:rPr>
                <w:color w:val="auto"/>
                <w:szCs w:val="21"/>
                <w:highlight w:val="none"/>
              </w:rPr>
              <w:t>采购项目编号</w:t>
            </w:r>
          </w:p>
        </w:tc>
        <w:tc>
          <w:tcPr>
            <w:tcW w:w="6235" w:type="dxa"/>
            <w:vAlign w:val="center"/>
          </w:tcPr>
          <w:p>
            <w:pPr>
              <w:spacing w:line="400" w:lineRule="exact"/>
              <w:rPr>
                <w:color w:val="auto"/>
                <w:szCs w:val="21"/>
                <w:highlight w:val="none"/>
              </w:rPr>
            </w:pPr>
            <w:r>
              <w:rPr>
                <w:rFonts w:hint="eastAsia"/>
                <w:color w:val="auto"/>
                <w:szCs w:val="21"/>
                <w:highlight w:val="none"/>
              </w:rPr>
              <w:t>JXZB2023-N117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7" w:hRule="atLeast"/>
        </w:trPr>
        <w:tc>
          <w:tcPr>
            <w:tcW w:w="746" w:type="dxa"/>
            <w:vAlign w:val="center"/>
          </w:tcPr>
          <w:p>
            <w:pPr>
              <w:spacing w:line="400" w:lineRule="exact"/>
              <w:jc w:val="center"/>
              <w:rPr>
                <w:color w:val="auto"/>
                <w:szCs w:val="21"/>
                <w:highlight w:val="none"/>
              </w:rPr>
            </w:pPr>
            <w:r>
              <w:rPr>
                <w:color w:val="auto"/>
                <w:szCs w:val="21"/>
                <w:highlight w:val="none"/>
              </w:rPr>
              <w:t>5</w:t>
            </w:r>
          </w:p>
        </w:tc>
        <w:tc>
          <w:tcPr>
            <w:tcW w:w="3061" w:type="dxa"/>
            <w:vAlign w:val="center"/>
          </w:tcPr>
          <w:p>
            <w:pPr>
              <w:spacing w:line="400" w:lineRule="exact"/>
              <w:jc w:val="center"/>
              <w:rPr>
                <w:color w:val="auto"/>
                <w:szCs w:val="21"/>
                <w:highlight w:val="none"/>
              </w:rPr>
            </w:pPr>
            <w:r>
              <w:rPr>
                <w:color w:val="auto"/>
                <w:szCs w:val="21"/>
                <w:highlight w:val="none"/>
              </w:rPr>
              <w:t>资金来源及采购预算</w:t>
            </w:r>
          </w:p>
        </w:tc>
        <w:tc>
          <w:tcPr>
            <w:tcW w:w="6235" w:type="dxa"/>
            <w:vAlign w:val="center"/>
          </w:tcPr>
          <w:p>
            <w:pPr>
              <w:spacing w:line="400" w:lineRule="exact"/>
              <w:rPr>
                <w:color w:val="auto"/>
                <w:szCs w:val="21"/>
                <w:highlight w:val="none"/>
              </w:rPr>
            </w:pPr>
            <w:r>
              <w:rPr>
                <w:rFonts w:hint="eastAsia"/>
                <w:color w:val="auto"/>
                <w:szCs w:val="21"/>
                <w:highlight w:val="none"/>
              </w:rPr>
              <w:t>财政</w:t>
            </w:r>
            <w:r>
              <w:rPr>
                <w:color w:val="auto"/>
                <w:szCs w:val="21"/>
                <w:highlight w:val="none"/>
              </w:rPr>
              <w:t>资金</w:t>
            </w:r>
            <w:r>
              <w:rPr>
                <w:rFonts w:hint="eastAsia"/>
                <w:color w:val="auto"/>
                <w:szCs w:val="21"/>
                <w:highlight w:val="none"/>
              </w:rPr>
              <w:t>：</w:t>
            </w:r>
            <w:r>
              <w:rPr>
                <w:rFonts w:hint="eastAsia"/>
                <w:color w:val="auto"/>
                <w:highlight w:val="none"/>
              </w:rPr>
              <w:t>710800</w:t>
            </w:r>
            <w:r>
              <w:rPr>
                <w:color w:val="auto"/>
                <w:highlight w:val="none"/>
              </w:rPr>
              <w:t>.00元</w:t>
            </w:r>
            <w:r>
              <w:rPr>
                <w:rFonts w:hint="eastAsia"/>
                <w:color w:val="auto"/>
                <w:highlight w:val="none"/>
              </w:rPr>
              <w:t>。</w:t>
            </w:r>
            <w:r>
              <w:rPr>
                <w:color w:val="auto"/>
                <w:szCs w:val="21"/>
                <w:highlight w:val="none"/>
              </w:rPr>
              <w:t>供应商报价不允许超出采购预算，否则按无效报价处理。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746" w:type="dxa"/>
            <w:vAlign w:val="center"/>
          </w:tcPr>
          <w:p>
            <w:pPr>
              <w:spacing w:line="400" w:lineRule="exact"/>
              <w:jc w:val="center"/>
              <w:rPr>
                <w:color w:val="auto"/>
                <w:szCs w:val="21"/>
                <w:highlight w:val="none"/>
              </w:rPr>
            </w:pPr>
            <w:r>
              <w:rPr>
                <w:rFonts w:hint="eastAsia"/>
                <w:color w:val="auto"/>
                <w:szCs w:val="21"/>
                <w:highlight w:val="none"/>
              </w:rPr>
              <w:t>6</w:t>
            </w:r>
          </w:p>
        </w:tc>
        <w:tc>
          <w:tcPr>
            <w:tcW w:w="3061" w:type="dxa"/>
            <w:vAlign w:val="center"/>
          </w:tcPr>
          <w:p>
            <w:pPr>
              <w:spacing w:line="400" w:lineRule="exact"/>
              <w:jc w:val="center"/>
              <w:rPr>
                <w:color w:val="auto"/>
                <w:szCs w:val="21"/>
                <w:highlight w:val="none"/>
              </w:rPr>
            </w:pPr>
            <w:r>
              <w:rPr>
                <w:color w:val="auto"/>
                <w:szCs w:val="21"/>
                <w:highlight w:val="none"/>
              </w:rPr>
              <w:t>采购方式</w:t>
            </w:r>
          </w:p>
        </w:tc>
        <w:tc>
          <w:tcPr>
            <w:tcW w:w="6235" w:type="dxa"/>
            <w:vAlign w:val="center"/>
          </w:tcPr>
          <w:p>
            <w:pPr>
              <w:spacing w:line="400" w:lineRule="exact"/>
              <w:rPr>
                <w:color w:val="auto"/>
                <w:szCs w:val="21"/>
                <w:highlight w:val="none"/>
              </w:rPr>
            </w:pPr>
            <w:r>
              <w:rPr>
                <w:rFonts w:hint="eastAsia"/>
                <w:color w:val="auto"/>
                <w:szCs w:val="21"/>
                <w:highlight w:val="none"/>
              </w:rPr>
              <w:t>竞争性谈判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0" w:hRule="atLeast"/>
        </w:trPr>
        <w:tc>
          <w:tcPr>
            <w:tcW w:w="746" w:type="dxa"/>
            <w:vAlign w:val="center"/>
          </w:tcPr>
          <w:p>
            <w:pPr>
              <w:spacing w:line="400" w:lineRule="exact"/>
              <w:jc w:val="center"/>
              <w:rPr>
                <w:color w:val="auto"/>
                <w:szCs w:val="21"/>
                <w:highlight w:val="none"/>
              </w:rPr>
            </w:pPr>
            <w:r>
              <w:rPr>
                <w:rFonts w:hint="eastAsia"/>
                <w:color w:val="auto"/>
                <w:szCs w:val="21"/>
                <w:highlight w:val="none"/>
              </w:rPr>
              <w:t>7</w:t>
            </w:r>
          </w:p>
        </w:tc>
        <w:tc>
          <w:tcPr>
            <w:tcW w:w="3061" w:type="dxa"/>
            <w:vAlign w:val="center"/>
          </w:tcPr>
          <w:p>
            <w:pPr>
              <w:spacing w:line="400" w:lineRule="exact"/>
              <w:jc w:val="center"/>
              <w:rPr>
                <w:color w:val="auto"/>
                <w:szCs w:val="21"/>
                <w:highlight w:val="none"/>
              </w:rPr>
            </w:pPr>
            <w:r>
              <w:rPr>
                <w:color w:val="auto"/>
                <w:szCs w:val="21"/>
                <w:highlight w:val="none"/>
              </w:rPr>
              <w:t>采购内容</w:t>
            </w:r>
          </w:p>
        </w:tc>
        <w:tc>
          <w:tcPr>
            <w:tcW w:w="6235" w:type="dxa"/>
            <w:vAlign w:val="center"/>
          </w:tcPr>
          <w:p>
            <w:pPr>
              <w:spacing w:line="400" w:lineRule="exact"/>
              <w:rPr>
                <w:color w:val="auto"/>
                <w:szCs w:val="21"/>
                <w:highlight w:val="none"/>
              </w:rPr>
            </w:pPr>
            <w:r>
              <w:rPr>
                <w:rFonts w:hint="eastAsia"/>
                <w:color w:val="auto"/>
                <w:szCs w:val="21"/>
                <w:highlight w:val="none"/>
              </w:rPr>
              <w:t>智能听证室建设项目，具体内容详见谈判文件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vAlign w:val="center"/>
          </w:tcPr>
          <w:p>
            <w:pPr>
              <w:spacing w:line="400" w:lineRule="exact"/>
              <w:jc w:val="center"/>
              <w:rPr>
                <w:color w:val="auto"/>
                <w:szCs w:val="21"/>
                <w:highlight w:val="none"/>
              </w:rPr>
            </w:pPr>
            <w:r>
              <w:rPr>
                <w:rFonts w:hint="eastAsia"/>
                <w:color w:val="auto"/>
                <w:szCs w:val="21"/>
                <w:highlight w:val="none"/>
              </w:rPr>
              <w:t>8</w:t>
            </w:r>
          </w:p>
        </w:tc>
        <w:tc>
          <w:tcPr>
            <w:tcW w:w="3061" w:type="dxa"/>
            <w:vAlign w:val="center"/>
          </w:tcPr>
          <w:p>
            <w:pPr>
              <w:spacing w:line="400" w:lineRule="exact"/>
              <w:jc w:val="center"/>
              <w:rPr>
                <w:color w:val="auto"/>
                <w:szCs w:val="21"/>
                <w:highlight w:val="none"/>
              </w:rPr>
            </w:pPr>
            <w:r>
              <w:rPr>
                <w:color w:val="auto"/>
                <w:szCs w:val="21"/>
                <w:highlight w:val="none"/>
              </w:rPr>
              <w:t>交货时间（期限）、地点</w:t>
            </w:r>
          </w:p>
        </w:tc>
        <w:tc>
          <w:tcPr>
            <w:tcW w:w="6235" w:type="dxa"/>
            <w:vAlign w:val="center"/>
          </w:tcPr>
          <w:p>
            <w:pPr>
              <w:spacing w:line="400" w:lineRule="exact"/>
              <w:rPr>
                <w:color w:val="auto"/>
                <w:szCs w:val="21"/>
                <w:highlight w:val="none"/>
              </w:rPr>
            </w:pPr>
            <w:r>
              <w:rPr>
                <w:color w:val="auto"/>
                <w:szCs w:val="21"/>
                <w:highlight w:val="none"/>
              </w:rPr>
              <w:t>交货时间（期限）：</w:t>
            </w:r>
            <w:r>
              <w:rPr>
                <w:rFonts w:hint="eastAsia"/>
                <w:color w:val="auto"/>
                <w:szCs w:val="21"/>
                <w:highlight w:val="none"/>
                <w:u w:val="single"/>
                <w:lang w:val="en-US" w:eastAsia="zh-CN"/>
              </w:rPr>
              <w:t>30</w:t>
            </w:r>
            <w:r>
              <w:rPr>
                <w:color w:val="auto"/>
                <w:szCs w:val="21"/>
                <w:highlight w:val="none"/>
              </w:rPr>
              <w:t>日历</w:t>
            </w:r>
            <w:r>
              <w:rPr>
                <w:rFonts w:hint="eastAsia"/>
                <w:color w:val="auto"/>
                <w:szCs w:val="21"/>
                <w:highlight w:val="none"/>
              </w:rPr>
              <w:t>天</w:t>
            </w:r>
          </w:p>
          <w:p>
            <w:pPr>
              <w:spacing w:line="400" w:lineRule="exact"/>
              <w:rPr>
                <w:color w:val="auto"/>
                <w:szCs w:val="21"/>
                <w:highlight w:val="none"/>
              </w:rPr>
            </w:pPr>
            <w:r>
              <w:rPr>
                <w:color w:val="auto"/>
                <w:szCs w:val="21"/>
                <w:highlight w:val="none"/>
              </w:rPr>
              <w:t>交货地点：</w:t>
            </w:r>
            <w:r>
              <w:rPr>
                <w:rFonts w:hint="eastAsia"/>
                <w:color w:val="auto"/>
                <w:szCs w:val="21"/>
                <w:highlight w:val="none"/>
              </w:rPr>
              <w:t xml:space="preserve">西安市阎良区延安街7号。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746" w:type="dxa"/>
            <w:vAlign w:val="center"/>
          </w:tcPr>
          <w:p>
            <w:pPr>
              <w:spacing w:line="400" w:lineRule="exact"/>
              <w:jc w:val="center"/>
              <w:rPr>
                <w:color w:val="auto"/>
                <w:szCs w:val="21"/>
                <w:highlight w:val="none"/>
              </w:rPr>
            </w:pPr>
            <w:r>
              <w:rPr>
                <w:rFonts w:hint="eastAsia"/>
                <w:color w:val="auto"/>
                <w:szCs w:val="21"/>
                <w:highlight w:val="none"/>
              </w:rPr>
              <w:t>9</w:t>
            </w:r>
          </w:p>
        </w:tc>
        <w:tc>
          <w:tcPr>
            <w:tcW w:w="3061" w:type="dxa"/>
            <w:vAlign w:val="center"/>
          </w:tcPr>
          <w:p>
            <w:pPr>
              <w:spacing w:line="400" w:lineRule="exact"/>
              <w:jc w:val="center"/>
              <w:rPr>
                <w:color w:val="auto"/>
                <w:szCs w:val="21"/>
                <w:highlight w:val="none"/>
              </w:rPr>
            </w:pPr>
            <w:r>
              <w:rPr>
                <w:color w:val="auto"/>
                <w:szCs w:val="21"/>
                <w:highlight w:val="none"/>
              </w:rPr>
              <w:t>质量要求及验收标准</w:t>
            </w:r>
          </w:p>
        </w:tc>
        <w:tc>
          <w:tcPr>
            <w:tcW w:w="6235" w:type="dxa"/>
            <w:vAlign w:val="center"/>
          </w:tcPr>
          <w:p>
            <w:pPr>
              <w:spacing w:line="400" w:lineRule="exact"/>
              <w:rPr>
                <w:color w:val="auto"/>
                <w:szCs w:val="21"/>
                <w:highlight w:val="none"/>
              </w:rPr>
            </w:pPr>
            <w:r>
              <w:rPr>
                <w:color w:val="auto"/>
                <w:szCs w:val="21"/>
                <w:highlight w:val="none"/>
              </w:rPr>
              <w:t>质量要求：达到国家现行技术标准。</w:t>
            </w:r>
          </w:p>
          <w:p>
            <w:pPr>
              <w:spacing w:line="400" w:lineRule="exact"/>
              <w:rPr>
                <w:color w:val="auto"/>
                <w:szCs w:val="21"/>
                <w:highlight w:val="none"/>
              </w:rPr>
            </w:pPr>
            <w:r>
              <w:rPr>
                <w:color w:val="auto"/>
                <w:szCs w:val="21"/>
                <w:highlight w:val="none"/>
              </w:rPr>
              <w:t>验收标准：国家标准、行业标准、企业标准。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746" w:type="dxa"/>
            <w:vAlign w:val="center"/>
          </w:tcPr>
          <w:p>
            <w:pPr>
              <w:jc w:val="center"/>
              <w:rPr>
                <w:color w:val="auto"/>
                <w:szCs w:val="21"/>
                <w:highlight w:val="none"/>
              </w:rPr>
            </w:pPr>
            <w:r>
              <w:rPr>
                <w:color w:val="auto"/>
                <w:szCs w:val="21"/>
                <w:highlight w:val="none"/>
              </w:rPr>
              <w:t>1</w:t>
            </w:r>
            <w:r>
              <w:rPr>
                <w:rFonts w:hint="eastAsia"/>
                <w:color w:val="auto"/>
                <w:szCs w:val="21"/>
                <w:highlight w:val="none"/>
              </w:rPr>
              <w:t>0</w:t>
            </w:r>
          </w:p>
        </w:tc>
        <w:tc>
          <w:tcPr>
            <w:tcW w:w="3061" w:type="dxa"/>
            <w:vAlign w:val="center"/>
          </w:tcPr>
          <w:p>
            <w:pPr>
              <w:jc w:val="center"/>
              <w:rPr>
                <w:color w:val="auto"/>
                <w:szCs w:val="21"/>
                <w:highlight w:val="none"/>
              </w:rPr>
            </w:pPr>
            <w:r>
              <w:rPr>
                <w:color w:val="auto"/>
                <w:szCs w:val="21"/>
                <w:highlight w:val="none"/>
              </w:rPr>
              <w:t>中小企业或</w:t>
            </w:r>
          </w:p>
          <w:p>
            <w:pPr>
              <w:jc w:val="center"/>
              <w:rPr>
                <w:color w:val="auto"/>
                <w:szCs w:val="21"/>
                <w:highlight w:val="none"/>
              </w:rPr>
            </w:pPr>
            <w:r>
              <w:rPr>
                <w:color w:val="auto"/>
                <w:szCs w:val="21"/>
                <w:highlight w:val="none"/>
              </w:rPr>
              <w:t>小微型企业</w:t>
            </w:r>
          </w:p>
        </w:tc>
        <w:tc>
          <w:tcPr>
            <w:tcW w:w="6235" w:type="dxa"/>
            <w:vAlign w:val="center"/>
          </w:tcPr>
          <w:p>
            <w:pPr>
              <w:jc w:val="left"/>
              <w:rPr>
                <w:color w:val="auto"/>
                <w:szCs w:val="21"/>
                <w:highlight w:val="none"/>
              </w:rPr>
            </w:pPr>
            <w:r>
              <w:rPr>
                <w:color w:val="auto"/>
                <w:szCs w:val="21"/>
                <w:highlight w:val="none"/>
              </w:rPr>
              <w:sym w:font="Wingdings 2" w:char="F052"/>
            </w:r>
            <w:r>
              <w:rPr>
                <w:color w:val="auto"/>
                <w:szCs w:val="21"/>
                <w:highlight w:val="none"/>
              </w:rPr>
              <w:t>否，非专门面对中小企业或小微型企业采购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7" w:hRule="atLeast"/>
        </w:trPr>
        <w:tc>
          <w:tcPr>
            <w:tcW w:w="746" w:type="dxa"/>
            <w:vAlign w:val="center"/>
          </w:tcPr>
          <w:p>
            <w:pPr>
              <w:jc w:val="center"/>
              <w:rPr>
                <w:color w:val="auto"/>
                <w:szCs w:val="21"/>
                <w:highlight w:val="none"/>
              </w:rPr>
            </w:pPr>
            <w:r>
              <w:rPr>
                <w:rFonts w:hint="eastAsia"/>
                <w:color w:val="auto"/>
                <w:szCs w:val="21"/>
                <w:highlight w:val="none"/>
              </w:rPr>
              <w:t>11</w:t>
            </w:r>
          </w:p>
        </w:tc>
        <w:tc>
          <w:tcPr>
            <w:tcW w:w="3061" w:type="dxa"/>
            <w:vAlign w:val="center"/>
          </w:tcPr>
          <w:p>
            <w:pPr>
              <w:jc w:val="center"/>
              <w:rPr>
                <w:color w:val="auto"/>
                <w:szCs w:val="21"/>
                <w:highlight w:val="none"/>
              </w:rPr>
            </w:pPr>
            <w:r>
              <w:rPr>
                <w:color w:val="auto"/>
                <w:szCs w:val="21"/>
                <w:highlight w:val="none"/>
              </w:rPr>
              <w:t>本项目所属行业</w:t>
            </w:r>
          </w:p>
        </w:tc>
        <w:tc>
          <w:tcPr>
            <w:tcW w:w="6235" w:type="dxa"/>
            <w:vAlign w:val="center"/>
          </w:tcPr>
          <w:p>
            <w:pPr>
              <w:jc w:val="left"/>
              <w:rPr>
                <w:color w:val="auto"/>
                <w:szCs w:val="21"/>
                <w:highlight w:val="none"/>
              </w:rPr>
            </w:pPr>
            <w:r>
              <w:rPr>
                <w:rFonts w:hint="eastAsia"/>
                <w:color w:val="auto"/>
                <w:szCs w:val="21"/>
                <w:highlight w:val="none"/>
              </w:rPr>
              <w:t>工业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trPr>
        <w:tc>
          <w:tcPr>
            <w:tcW w:w="746" w:type="dxa"/>
            <w:vAlign w:val="center"/>
          </w:tcPr>
          <w:p>
            <w:pPr>
              <w:spacing w:line="400" w:lineRule="exact"/>
              <w:jc w:val="center"/>
              <w:rPr>
                <w:color w:val="auto"/>
                <w:szCs w:val="21"/>
                <w:highlight w:val="none"/>
              </w:rPr>
            </w:pPr>
            <w:r>
              <w:rPr>
                <w:color w:val="auto"/>
                <w:szCs w:val="21"/>
                <w:highlight w:val="none"/>
              </w:rPr>
              <w:t>1</w:t>
            </w:r>
            <w:r>
              <w:rPr>
                <w:rFonts w:hint="eastAsia"/>
                <w:color w:val="auto"/>
                <w:szCs w:val="21"/>
                <w:highlight w:val="none"/>
              </w:rPr>
              <w:t>2</w:t>
            </w:r>
          </w:p>
        </w:tc>
        <w:tc>
          <w:tcPr>
            <w:tcW w:w="3061" w:type="dxa"/>
            <w:vAlign w:val="center"/>
          </w:tcPr>
          <w:p>
            <w:pPr>
              <w:spacing w:line="400" w:lineRule="exact"/>
              <w:jc w:val="center"/>
              <w:rPr>
                <w:color w:val="auto"/>
                <w:szCs w:val="21"/>
                <w:highlight w:val="none"/>
              </w:rPr>
            </w:pPr>
            <w:r>
              <w:rPr>
                <w:color w:val="auto"/>
                <w:szCs w:val="21"/>
                <w:highlight w:val="none"/>
              </w:rPr>
              <w:t>资格证明文件</w:t>
            </w:r>
          </w:p>
        </w:tc>
        <w:tc>
          <w:tcPr>
            <w:tcW w:w="6235" w:type="dxa"/>
            <w:vAlign w:val="center"/>
          </w:tcPr>
          <w:p>
            <w:pPr>
              <w:numPr>
                <w:ilvl w:val="0"/>
                <w:numId w:val="8"/>
              </w:numPr>
              <w:adjustRightInd w:val="0"/>
              <w:snapToGrid w:val="0"/>
              <w:spacing w:line="360" w:lineRule="auto"/>
              <w:rPr>
                <w:color w:val="auto"/>
                <w:szCs w:val="21"/>
                <w:highlight w:val="none"/>
              </w:rPr>
            </w:pPr>
            <w:r>
              <w:rPr>
                <w:color w:val="auto"/>
                <w:szCs w:val="21"/>
                <w:highlight w:val="none"/>
              </w:rPr>
              <w:t>供应商须符合《中华人民共和国政府采购法》第二十二条有关规定：</w:t>
            </w:r>
          </w:p>
          <w:p>
            <w:pPr>
              <w:widowControl/>
              <w:numPr>
                <w:ilvl w:val="0"/>
                <w:numId w:val="9"/>
              </w:numPr>
              <w:shd w:val="clear" w:color="auto" w:fill="FFFFFF"/>
              <w:adjustRightInd w:val="0"/>
              <w:snapToGrid w:val="0"/>
              <w:spacing w:line="420" w:lineRule="exact"/>
              <w:jc w:val="left"/>
              <w:textAlignment w:val="baseline"/>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须具备独立承担民事责任能力的法人、其他组织或自然人，提供营业执照/事业单位法人证书/非企业专业服务机构执业许可证/自然人身份证；（2）法定代表人授权书及授权代表身份证明（法定代表人直接参加投标的须提供法定代表人证明书及其身份证明），非法人单位参照执行；（3）</w:t>
            </w:r>
            <w:r>
              <w:rPr>
                <w:rFonts w:hint="eastAsia"/>
                <w:color w:val="auto"/>
                <w:sz w:val="21"/>
                <w:szCs w:val="21"/>
                <w:highlight w:val="none"/>
                <w:shd w:val="clear" w:color="auto" w:fill="FFFFFF"/>
              </w:rPr>
              <w:t>财务状况报告：法人提供经审计的202</w:t>
            </w:r>
            <w:r>
              <w:rPr>
                <w:rFonts w:hint="eastAsia"/>
                <w:color w:val="auto"/>
                <w:sz w:val="21"/>
                <w:szCs w:val="21"/>
                <w:highlight w:val="none"/>
                <w:shd w:val="clear" w:color="auto" w:fill="FFFFFF"/>
                <w:lang w:val="en-US" w:eastAsia="zh-CN"/>
              </w:rPr>
              <w:t>1</w:t>
            </w:r>
            <w:r>
              <w:rPr>
                <w:rFonts w:hint="eastAsia"/>
                <w:color w:val="auto"/>
                <w:sz w:val="21"/>
                <w:szCs w:val="21"/>
                <w:highlight w:val="none"/>
                <w:shd w:val="clear" w:color="auto" w:fill="FFFFFF"/>
              </w:rPr>
              <w:t>或202</w:t>
            </w:r>
            <w:r>
              <w:rPr>
                <w:rFonts w:hint="eastAsia"/>
                <w:color w:val="auto"/>
                <w:sz w:val="21"/>
                <w:szCs w:val="21"/>
                <w:highlight w:val="none"/>
                <w:shd w:val="clear" w:color="auto" w:fill="FFFFFF"/>
                <w:lang w:val="en-US" w:eastAsia="zh-CN"/>
              </w:rPr>
              <w:t>2</w:t>
            </w:r>
            <w:r>
              <w:rPr>
                <w:rFonts w:hint="eastAsia"/>
                <w:color w:val="auto"/>
                <w:sz w:val="21"/>
                <w:szCs w:val="21"/>
                <w:highlight w:val="none"/>
                <w:shd w:val="clear" w:color="auto" w:fill="FFFFFF"/>
              </w:rPr>
              <w:t>年度的财务报告（包括审计报告、资产负债表、利润表、现金流量表及附注）或202</w:t>
            </w:r>
            <w:r>
              <w:rPr>
                <w:rFonts w:hint="eastAsia"/>
                <w:color w:val="auto"/>
                <w:sz w:val="21"/>
                <w:szCs w:val="21"/>
                <w:highlight w:val="none"/>
                <w:shd w:val="clear" w:color="auto" w:fill="FFFFFF"/>
                <w:lang w:val="en-US" w:eastAsia="zh-CN"/>
              </w:rPr>
              <w:t>3</w:t>
            </w:r>
            <w:r>
              <w:rPr>
                <w:rFonts w:hint="eastAsia"/>
                <w:color w:val="auto"/>
                <w:sz w:val="21"/>
                <w:szCs w:val="21"/>
                <w:highlight w:val="none"/>
                <w:shd w:val="clear" w:color="auto" w:fill="FFFFFF"/>
              </w:rPr>
              <w:t>年1月1日内以来基本账户开户银行出具的资信证明（附开户许可证或开户备案证明或基本账户信息），或信用担保机构出具的投标担保函（以上三种形式的资料提供任何一种即可）；其他组织和自然人提供银行出具的资信证明或财务报表</w:t>
            </w:r>
            <w:r>
              <w:rPr>
                <w:rFonts w:hint="eastAsia" w:ascii="宋体" w:hAnsi="宋体" w:cs="宋体"/>
                <w:color w:val="auto"/>
                <w:szCs w:val="21"/>
                <w:highlight w:val="none"/>
                <w:shd w:val="clear" w:color="auto" w:fill="FFFFFF"/>
              </w:rPr>
              <w:t>；（4）税收缴纳证明：提供投标截止时间前12个月内任意一个月缴纳税收的凭据；依法免税的投标人应提供相关文件证明；（5）社会保障资金缴纳证明：提供投标截止时间前12个月内任意一个月已缴纳的社会保障资金的凭据（专用收据或社会保险缴纳清单）；依法不需要缴纳社会保障资金的投标人应提供相关文件证明；（</w:t>
            </w:r>
            <w:r>
              <w:rPr>
                <w:rFonts w:hint="eastAsia" w:cs="宋体"/>
                <w:color w:val="auto"/>
                <w:szCs w:val="21"/>
                <w:highlight w:val="none"/>
                <w:shd w:val="clear" w:color="auto" w:fill="FFFFFF"/>
              </w:rPr>
              <w:t>6</w:t>
            </w:r>
            <w:r>
              <w:rPr>
                <w:rFonts w:hint="eastAsia" w:ascii="宋体" w:hAnsi="宋体" w:cs="宋体"/>
                <w:color w:val="auto"/>
                <w:szCs w:val="21"/>
                <w:highlight w:val="none"/>
                <w:shd w:val="clear" w:color="auto" w:fill="FFFFFF"/>
              </w:rPr>
              <w:t>）提供具有履行本合同所必需的设备和专业技术能力的承诺；（</w:t>
            </w:r>
            <w:r>
              <w:rPr>
                <w:rFonts w:hint="eastAsia" w:cs="宋体"/>
                <w:color w:val="auto"/>
                <w:szCs w:val="21"/>
                <w:highlight w:val="none"/>
                <w:shd w:val="clear" w:color="auto" w:fill="FFFFFF"/>
              </w:rPr>
              <w:t>7</w:t>
            </w:r>
            <w:r>
              <w:rPr>
                <w:rFonts w:hint="eastAsia" w:ascii="宋体" w:hAnsi="宋体" w:cs="宋体"/>
                <w:color w:val="auto"/>
                <w:szCs w:val="21"/>
                <w:highlight w:val="none"/>
                <w:shd w:val="clear" w:color="auto" w:fill="FFFFFF"/>
              </w:rPr>
              <w:t>）参加政府采购活动前3年内在经营活动中没有重大违法记录的书面声明；（</w:t>
            </w:r>
            <w:r>
              <w:rPr>
                <w:rFonts w:hint="eastAsia" w:cs="宋体"/>
                <w:color w:val="auto"/>
                <w:szCs w:val="21"/>
                <w:highlight w:val="none"/>
                <w:shd w:val="clear" w:color="auto" w:fill="FFFFFF"/>
              </w:rPr>
              <w:t>8</w:t>
            </w:r>
            <w:r>
              <w:rPr>
                <w:rFonts w:hint="eastAsia" w:ascii="宋体" w:hAnsi="宋体" w:cs="宋体"/>
                <w:color w:val="auto"/>
                <w:szCs w:val="21"/>
                <w:highlight w:val="none"/>
                <w:shd w:val="clear" w:color="auto" w:fill="FFFFFF"/>
              </w:rPr>
              <w:t>）投标人的信用记录须符合财库【2016】125号文《财政部关于在政府采购活动中查询及使用信用记录有关问题的通知》的规定。投标人被“信用中国”网站列入失信被执行人、重大税收违法案件当事人名单的，投标人被“中国政府采购网”网站列入政府采购严重违法失信名单的，不得参与本项目投标；（</w:t>
            </w:r>
            <w:r>
              <w:rPr>
                <w:rFonts w:hint="eastAsia" w:cs="宋体"/>
                <w:color w:val="auto"/>
                <w:szCs w:val="21"/>
                <w:highlight w:val="none"/>
                <w:shd w:val="clear" w:color="auto" w:fill="FFFFFF"/>
              </w:rPr>
              <w:t>9</w:t>
            </w:r>
            <w:r>
              <w:rPr>
                <w:rFonts w:hint="eastAsia" w:ascii="宋体" w:hAnsi="宋体" w:cs="宋体"/>
                <w:color w:val="auto"/>
                <w:szCs w:val="21"/>
                <w:highlight w:val="none"/>
                <w:shd w:val="clear" w:color="auto" w:fill="FFFFFF"/>
              </w:rPr>
              <w:t>）单位负责人为同一人或者存在直接控股、管理关系的不同投标人，不得参加同一合同项下的政府采购活动。</w:t>
            </w:r>
          </w:p>
          <w:p>
            <w:pPr>
              <w:spacing w:line="400" w:lineRule="exact"/>
              <w:rPr>
                <w:b/>
                <w:bCs/>
                <w:color w:val="auto"/>
                <w:szCs w:val="21"/>
                <w:highlight w:val="none"/>
              </w:rPr>
            </w:pPr>
            <w:r>
              <w:rPr>
                <w:color w:val="auto"/>
                <w:szCs w:val="21"/>
                <w:highlight w:val="none"/>
                <w:shd w:val="clear" w:color="auto" w:fill="FFFFFF"/>
              </w:rPr>
              <w:t>注：上述资格证明文件为必备资质，欠缺其中任何一项或某项达不到要求，按无效竞争性磋商响应文件处理。</w:t>
            </w:r>
            <w:r>
              <w:rPr>
                <w:rFonts w:hint="eastAsia"/>
                <w:b/>
                <w:bCs/>
                <w:color w:val="auto"/>
                <w:szCs w:val="21"/>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746" w:type="dxa"/>
            <w:vAlign w:val="center"/>
          </w:tcPr>
          <w:p>
            <w:pPr>
              <w:spacing w:line="400" w:lineRule="exact"/>
              <w:jc w:val="center"/>
              <w:rPr>
                <w:color w:val="auto"/>
                <w:szCs w:val="21"/>
                <w:highlight w:val="none"/>
              </w:rPr>
            </w:pPr>
            <w:r>
              <w:rPr>
                <w:color w:val="auto"/>
                <w:szCs w:val="21"/>
                <w:highlight w:val="none"/>
              </w:rPr>
              <w:t>1</w:t>
            </w:r>
            <w:r>
              <w:rPr>
                <w:rFonts w:hint="eastAsia"/>
                <w:color w:val="auto"/>
                <w:szCs w:val="21"/>
                <w:highlight w:val="none"/>
              </w:rPr>
              <w:t>3</w:t>
            </w:r>
          </w:p>
        </w:tc>
        <w:tc>
          <w:tcPr>
            <w:tcW w:w="3061" w:type="dxa"/>
          </w:tcPr>
          <w:p>
            <w:pPr>
              <w:spacing w:line="400" w:lineRule="exact"/>
              <w:jc w:val="center"/>
              <w:rPr>
                <w:color w:val="auto"/>
                <w:szCs w:val="21"/>
                <w:highlight w:val="none"/>
              </w:rPr>
            </w:pPr>
            <w:r>
              <w:rPr>
                <w:color w:val="auto"/>
                <w:szCs w:val="21"/>
                <w:highlight w:val="none"/>
              </w:rPr>
              <w:t>是否接受联合体</w:t>
            </w:r>
            <w:r>
              <w:rPr>
                <w:rFonts w:hint="eastAsia"/>
                <w:color w:val="auto"/>
                <w:szCs w:val="21"/>
                <w:highlight w:val="none"/>
              </w:rPr>
              <w:t>谈判</w:t>
            </w:r>
          </w:p>
        </w:tc>
        <w:tc>
          <w:tcPr>
            <w:tcW w:w="6235" w:type="dxa"/>
            <w:vAlign w:val="center"/>
          </w:tcPr>
          <w:p>
            <w:pPr>
              <w:spacing w:line="400" w:lineRule="exact"/>
              <w:rPr>
                <w:color w:val="auto"/>
                <w:szCs w:val="21"/>
                <w:highlight w:val="none"/>
              </w:rPr>
            </w:pPr>
            <w:r>
              <w:rPr>
                <w:color w:val="auto"/>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746" w:type="dxa"/>
            <w:vAlign w:val="center"/>
          </w:tcPr>
          <w:p>
            <w:pPr>
              <w:spacing w:line="400" w:lineRule="exact"/>
              <w:jc w:val="center"/>
              <w:rPr>
                <w:color w:val="auto"/>
                <w:szCs w:val="21"/>
                <w:highlight w:val="none"/>
              </w:rPr>
            </w:pPr>
            <w:r>
              <w:rPr>
                <w:color w:val="auto"/>
                <w:szCs w:val="21"/>
                <w:highlight w:val="none"/>
              </w:rPr>
              <w:t>1</w:t>
            </w:r>
            <w:r>
              <w:rPr>
                <w:rFonts w:hint="eastAsia"/>
                <w:color w:val="auto"/>
                <w:szCs w:val="21"/>
                <w:highlight w:val="none"/>
              </w:rPr>
              <w:t>4</w:t>
            </w:r>
          </w:p>
        </w:tc>
        <w:tc>
          <w:tcPr>
            <w:tcW w:w="3061" w:type="dxa"/>
            <w:vAlign w:val="center"/>
          </w:tcPr>
          <w:p>
            <w:pPr>
              <w:spacing w:line="400" w:lineRule="exact"/>
              <w:jc w:val="center"/>
              <w:rPr>
                <w:color w:val="auto"/>
                <w:szCs w:val="21"/>
                <w:highlight w:val="none"/>
              </w:rPr>
            </w:pPr>
            <w:r>
              <w:rPr>
                <w:color w:val="auto"/>
                <w:szCs w:val="21"/>
                <w:highlight w:val="none"/>
              </w:rPr>
              <w:t>现场踏勘及答疑</w:t>
            </w:r>
          </w:p>
        </w:tc>
        <w:tc>
          <w:tcPr>
            <w:tcW w:w="6235" w:type="dxa"/>
            <w:vAlign w:val="center"/>
          </w:tcPr>
          <w:p>
            <w:pPr>
              <w:spacing w:line="400" w:lineRule="exact"/>
              <w:rPr>
                <w:color w:val="auto"/>
                <w:szCs w:val="21"/>
                <w:highlight w:val="none"/>
              </w:rPr>
            </w:pPr>
            <w:r>
              <w:rPr>
                <w:rFonts w:hint="eastAsia"/>
                <w:snapToGrid w:val="0"/>
                <w:color w:val="auto"/>
                <w:szCs w:val="21"/>
                <w:highlight w:val="none"/>
              </w:rPr>
              <w:t>不组织。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746" w:type="dxa"/>
            <w:vAlign w:val="center"/>
          </w:tcPr>
          <w:p>
            <w:pPr>
              <w:spacing w:line="400" w:lineRule="exact"/>
              <w:jc w:val="center"/>
              <w:rPr>
                <w:color w:val="auto"/>
                <w:szCs w:val="21"/>
                <w:highlight w:val="none"/>
              </w:rPr>
            </w:pPr>
            <w:r>
              <w:rPr>
                <w:rFonts w:hint="eastAsia"/>
                <w:color w:val="auto"/>
                <w:szCs w:val="21"/>
                <w:highlight w:val="none"/>
              </w:rPr>
              <w:t>15</w:t>
            </w:r>
          </w:p>
        </w:tc>
        <w:tc>
          <w:tcPr>
            <w:tcW w:w="3061" w:type="dxa"/>
            <w:vAlign w:val="center"/>
          </w:tcPr>
          <w:p>
            <w:pPr>
              <w:spacing w:line="400" w:lineRule="exact"/>
              <w:jc w:val="center"/>
              <w:rPr>
                <w:color w:val="auto"/>
                <w:szCs w:val="21"/>
                <w:highlight w:val="none"/>
              </w:rPr>
            </w:pPr>
            <w:r>
              <w:rPr>
                <w:rFonts w:hint="eastAsia"/>
                <w:color w:val="auto"/>
                <w:szCs w:val="21"/>
                <w:highlight w:val="none"/>
              </w:rPr>
              <w:t>供应商</w:t>
            </w:r>
            <w:r>
              <w:rPr>
                <w:color w:val="auto"/>
                <w:szCs w:val="21"/>
                <w:highlight w:val="none"/>
              </w:rPr>
              <w:t>提出询问和质疑的时间</w:t>
            </w:r>
          </w:p>
        </w:tc>
        <w:tc>
          <w:tcPr>
            <w:tcW w:w="6235" w:type="dxa"/>
            <w:vAlign w:val="center"/>
          </w:tcPr>
          <w:p>
            <w:pPr>
              <w:spacing w:line="400" w:lineRule="exact"/>
              <w:rPr>
                <w:snapToGrid w:val="0"/>
                <w:color w:val="auto"/>
                <w:szCs w:val="21"/>
                <w:highlight w:val="none"/>
              </w:rPr>
            </w:pPr>
            <w:r>
              <w:rPr>
                <w:rFonts w:hint="eastAsia"/>
                <w:snapToGrid w:val="0"/>
                <w:color w:val="auto"/>
                <w:szCs w:val="21"/>
                <w:highlight w:val="none"/>
              </w:rPr>
              <w:t>已依法获取谈判文件的供应商对谈判文件有质疑的，应当在获取采购文件或者采购文件公告期限届满之日起7个工作日内提出，以书面形式（陕西省政府采购网上政府采购供应商质疑函范本）向采购代理机构提出，在此之后提出的询问和质疑均为无效，采购代理机构不予受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746" w:type="dxa"/>
            <w:vAlign w:val="center"/>
          </w:tcPr>
          <w:p>
            <w:pPr>
              <w:spacing w:line="400" w:lineRule="exact"/>
              <w:jc w:val="center"/>
              <w:rPr>
                <w:color w:val="auto"/>
                <w:szCs w:val="21"/>
                <w:highlight w:val="none"/>
              </w:rPr>
            </w:pPr>
            <w:r>
              <w:rPr>
                <w:rFonts w:hint="eastAsia"/>
                <w:color w:val="auto"/>
                <w:szCs w:val="21"/>
                <w:highlight w:val="none"/>
              </w:rPr>
              <w:t>16</w:t>
            </w:r>
          </w:p>
        </w:tc>
        <w:tc>
          <w:tcPr>
            <w:tcW w:w="3061" w:type="dxa"/>
            <w:vAlign w:val="center"/>
          </w:tcPr>
          <w:p>
            <w:pPr>
              <w:spacing w:line="400" w:lineRule="exact"/>
              <w:jc w:val="center"/>
              <w:rPr>
                <w:color w:val="auto"/>
                <w:szCs w:val="21"/>
                <w:highlight w:val="none"/>
              </w:rPr>
            </w:pPr>
            <w:r>
              <w:rPr>
                <w:rFonts w:hint="eastAsia"/>
                <w:color w:val="auto"/>
                <w:szCs w:val="21"/>
                <w:highlight w:val="none"/>
              </w:rPr>
              <w:t>采购代理机构答疑的时间</w:t>
            </w:r>
          </w:p>
        </w:tc>
        <w:tc>
          <w:tcPr>
            <w:tcW w:w="6235" w:type="dxa"/>
            <w:vAlign w:val="center"/>
          </w:tcPr>
          <w:p>
            <w:pPr>
              <w:spacing w:line="400" w:lineRule="exact"/>
              <w:rPr>
                <w:snapToGrid w:val="0"/>
                <w:color w:val="auto"/>
                <w:szCs w:val="21"/>
                <w:highlight w:val="none"/>
              </w:rPr>
            </w:pPr>
            <w:r>
              <w:rPr>
                <w:rFonts w:hint="eastAsia"/>
                <w:snapToGrid w:val="0"/>
                <w:color w:val="auto"/>
                <w:szCs w:val="21"/>
                <w:highlight w:val="none"/>
              </w:rPr>
              <w:t>对于供应商在规定时间内依法提出的质疑，采购代理机构将在7个工作日内作出答复，质疑答复的内容不得涉及商业秘密。若对谈判文件做出实质性变动，则按照相关规定延长谈判截止时间。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vAlign w:val="center"/>
          </w:tcPr>
          <w:p>
            <w:pPr>
              <w:spacing w:line="400" w:lineRule="exact"/>
              <w:jc w:val="center"/>
              <w:rPr>
                <w:color w:val="auto"/>
                <w:szCs w:val="21"/>
                <w:highlight w:val="none"/>
              </w:rPr>
            </w:pPr>
            <w:r>
              <w:rPr>
                <w:rFonts w:hint="eastAsia"/>
                <w:color w:val="auto"/>
                <w:szCs w:val="21"/>
                <w:highlight w:val="none"/>
              </w:rPr>
              <w:t>17</w:t>
            </w:r>
          </w:p>
        </w:tc>
        <w:tc>
          <w:tcPr>
            <w:tcW w:w="3061" w:type="dxa"/>
            <w:vAlign w:val="center"/>
          </w:tcPr>
          <w:p>
            <w:pPr>
              <w:spacing w:line="400" w:lineRule="exact"/>
              <w:jc w:val="center"/>
              <w:rPr>
                <w:color w:val="auto"/>
                <w:szCs w:val="21"/>
                <w:highlight w:val="none"/>
              </w:rPr>
            </w:pPr>
            <w:r>
              <w:rPr>
                <w:rFonts w:hint="eastAsia"/>
                <w:color w:val="auto"/>
                <w:szCs w:val="21"/>
                <w:highlight w:val="none"/>
              </w:rPr>
              <w:t>谈判</w:t>
            </w:r>
            <w:r>
              <w:rPr>
                <w:color w:val="auto"/>
                <w:szCs w:val="21"/>
                <w:highlight w:val="none"/>
              </w:rPr>
              <w:t>有效期</w:t>
            </w:r>
          </w:p>
        </w:tc>
        <w:tc>
          <w:tcPr>
            <w:tcW w:w="6235" w:type="dxa"/>
            <w:vAlign w:val="center"/>
          </w:tcPr>
          <w:p>
            <w:pPr>
              <w:spacing w:line="400" w:lineRule="exact"/>
              <w:rPr>
                <w:color w:val="auto"/>
                <w:szCs w:val="21"/>
                <w:highlight w:val="none"/>
              </w:rPr>
            </w:pPr>
            <w:r>
              <w:rPr>
                <w:color w:val="auto"/>
                <w:szCs w:val="21"/>
                <w:highlight w:val="none"/>
              </w:rPr>
              <w:t>90个日历</w:t>
            </w:r>
            <w:r>
              <w:rPr>
                <w:rFonts w:hint="eastAsia"/>
                <w:color w:val="auto"/>
                <w:szCs w:val="21"/>
                <w:highlight w:val="none"/>
              </w:rPr>
              <w:t>天</w:t>
            </w:r>
            <w:r>
              <w:rPr>
                <w:color w:val="auto"/>
                <w:szCs w:val="21"/>
                <w:highlight w:val="none"/>
              </w:rPr>
              <w:t>（从</w:t>
            </w:r>
            <w:r>
              <w:rPr>
                <w:rFonts w:hint="eastAsia"/>
                <w:color w:val="auto"/>
                <w:szCs w:val="21"/>
                <w:highlight w:val="none"/>
              </w:rPr>
              <w:t>提交谈判响应文件</w:t>
            </w:r>
            <w:r>
              <w:rPr>
                <w:color w:val="auto"/>
                <w:szCs w:val="21"/>
                <w:highlight w:val="none"/>
              </w:rPr>
              <w:t>截止之日算起）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vAlign w:val="center"/>
          </w:tcPr>
          <w:p>
            <w:pPr>
              <w:spacing w:line="400" w:lineRule="exact"/>
              <w:jc w:val="center"/>
              <w:rPr>
                <w:color w:val="auto"/>
                <w:szCs w:val="21"/>
                <w:highlight w:val="none"/>
              </w:rPr>
            </w:pPr>
            <w:r>
              <w:rPr>
                <w:color w:val="auto"/>
                <w:szCs w:val="21"/>
                <w:highlight w:val="none"/>
              </w:rPr>
              <w:t>1</w:t>
            </w:r>
            <w:r>
              <w:rPr>
                <w:rFonts w:hint="eastAsia"/>
                <w:color w:val="auto"/>
                <w:szCs w:val="21"/>
                <w:highlight w:val="none"/>
              </w:rPr>
              <w:t>8</w:t>
            </w:r>
          </w:p>
        </w:tc>
        <w:tc>
          <w:tcPr>
            <w:tcW w:w="3061" w:type="dxa"/>
            <w:vAlign w:val="center"/>
          </w:tcPr>
          <w:p>
            <w:pPr>
              <w:spacing w:line="400" w:lineRule="exact"/>
              <w:jc w:val="center"/>
              <w:rPr>
                <w:color w:val="auto"/>
                <w:szCs w:val="21"/>
                <w:highlight w:val="none"/>
              </w:rPr>
            </w:pPr>
            <w:r>
              <w:rPr>
                <w:rFonts w:hint="eastAsia"/>
                <w:color w:val="auto"/>
                <w:szCs w:val="21"/>
                <w:highlight w:val="none"/>
              </w:rPr>
              <w:t>谈判</w:t>
            </w:r>
            <w:r>
              <w:rPr>
                <w:color w:val="auto"/>
                <w:szCs w:val="21"/>
                <w:highlight w:val="none"/>
              </w:rPr>
              <w:t>保证金金额及递交时间</w:t>
            </w:r>
          </w:p>
        </w:tc>
        <w:tc>
          <w:tcPr>
            <w:tcW w:w="6235" w:type="dxa"/>
            <w:vAlign w:val="center"/>
          </w:tcPr>
          <w:p>
            <w:pPr>
              <w:spacing w:line="400" w:lineRule="exact"/>
              <w:jc w:val="left"/>
              <w:rPr>
                <w:color w:val="auto"/>
                <w:szCs w:val="21"/>
                <w:highlight w:val="none"/>
              </w:rPr>
            </w:pPr>
            <w:r>
              <w:rPr>
                <w:rFonts w:hint="eastAsia"/>
                <w:color w:val="auto"/>
                <w:szCs w:val="21"/>
                <w:highlight w:val="none"/>
              </w:rPr>
              <w:t>根据</w:t>
            </w:r>
            <w:r>
              <w:rPr>
                <w:color w:val="auto"/>
                <w:szCs w:val="21"/>
                <w:highlight w:val="none"/>
              </w:rPr>
              <w:t>财政部关于促进政府采购公平竞争优化营商环境的通知</w:t>
            </w:r>
            <w:r>
              <w:rPr>
                <w:rFonts w:hint="eastAsia"/>
                <w:color w:val="auto"/>
                <w:szCs w:val="21"/>
                <w:highlight w:val="none"/>
              </w:rPr>
              <w:t xml:space="preserve">  </w:t>
            </w:r>
            <w:r>
              <w:rPr>
                <w:color w:val="auto"/>
                <w:szCs w:val="21"/>
                <w:highlight w:val="none"/>
              </w:rPr>
              <w:t>财库</w:t>
            </w:r>
            <w:r>
              <w:rPr>
                <w:rFonts w:hint="eastAsia"/>
                <w:color w:val="auto"/>
                <w:szCs w:val="21"/>
                <w:highlight w:val="none"/>
              </w:rPr>
              <w:t>【</w:t>
            </w:r>
            <w:r>
              <w:rPr>
                <w:color w:val="auto"/>
                <w:szCs w:val="21"/>
                <w:highlight w:val="none"/>
              </w:rPr>
              <w:t>2019</w:t>
            </w:r>
            <w:r>
              <w:rPr>
                <w:rFonts w:hint="eastAsia"/>
                <w:color w:val="auto"/>
                <w:szCs w:val="21"/>
                <w:highlight w:val="none"/>
              </w:rPr>
              <w:t>】</w:t>
            </w:r>
            <w:r>
              <w:rPr>
                <w:color w:val="auto"/>
                <w:szCs w:val="21"/>
                <w:highlight w:val="none"/>
              </w:rPr>
              <w:t>38号</w:t>
            </w:r>
            <w:r>
              <w:rPr>
                <w:rFonts w:hint="eastAsia"/>
                <w:color w:val="auto"/>
                <w:szCs w:val="21"/>
                <w:highlight w:val="none"/>
              </w:rPr>
              <w:t>及西安市财政局关于促进政府采购公平竞争优化营商环境的通知（市财函【2021】431号），本谈判项目不收取谈判保证金。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6" w:type="dxa"/>
            <w:vAlign w:val="center"/>
          </w:tcPr>
          <w:p>
            <w:pPr>
              <w:spacing w:line="400" w:lineRule="exact"/>
              <w:jc w:val="center"/>
              <w:rPr>
                <w:color w:val="auto"/>
                <w:szCs w:val="21"/>
                <w:highlight w:val="none"/>
              </w:rPr>
            </w:pPr>
            <w:r>
              <w:rPr>
                <w:rFonts w:hint="eastAsia"/>
                <w:color w:val="auto"/>
                <w:szCs w:val="21"/>
                <w:highlight w:val="none"/>
              </w:rPr>
              <w:t>19</w:t>
            </w:r>
          </w:p>
        </w:tc>
        <w:tc>
          <w:tcPr>
            <w:tcW w:w="3061" w:type="dxa"/>
            <w:vAlign w:val="center"/>
          </w:tcPr>
          <w:p>
            <w:pPr>
              <w:spacing w:line="400" w:lineRule="exact"/>
              <w:jc w:val="center"/>
              <w:rPr>
                <w:color w:val="auto"/>
                <w:szCs w:val="21"/>
                <w:highlight w:val="none"/>
              </w:rPr>
            </w:pPr>
            <w:r>
              <w:rPr>
                <w:rFonts w:hint="eastAsia"/>
                <w:color w:val="auto"/>
                <w:szCs w:val="21"/>
                <w:highlight w:val="none"/>
              </w:rPr>
              <w:t>谈判文件</w:t>
            </w:r>
            <w:r>
              <w:rPr>
                <w:color w:val="auto"/>
                <w:szCs w:val="21"/>
                <w:highlight w:val="none"/>
              </w:rPr>
              <w:t>发售</w:t>
            </w:r>
          </w:p>
        </w:tc>
        <w:tc>
          <w:tcPr>
            <w:tcW w:w="6235"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时 </w:t>
            </w:r>
            <w:r>
              <w:rPr>
                <w:rFonts w:hint="eastAsia" w:ascii="宋体" w:hAnsi="宋体" w:cs="宋体"/>
                <w:color w:val="auto"/>
                <w:szCs w:val="21"/>
                <w:highlight w:val="none"/>
              </w:rPr>
              <w:t>间：2023年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日至2023年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日，每日上午9:00时至12:00时，下午12:00时至17:00时（节假日除外）。</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地 点：中天久信管理咨询集团有限公司（西安市雁塔区唐延路11号禾盛京广中心E座23楼）</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磋商文件售价：0元/份。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vAlign w:val="center"/>
          </w:tcPr>
          <w:p>
            <w:pPr>
              <w:spacing w:line="400" w:lineRule="exact"/>
              <w:jc w:val="center"/>
              <w:rPr>
                <w:color w:val="auto"/>
                <w:szCs w:val="21"/>
                <w:highlight w:val="none"/>
              </w:rPr>
            </w:pPr>
            <w:r>
              <w:rPr>
                <w:rFonts w:hint="eastAsia"/>
                <w:color w:val="auto"/>
                <w:szCs w:val="21"/>
                <w:highlight w:val="none"/>
              </w:rPr>
              <w:t>20</w:t>
            </w:r>
          </w:p>
        </w:tc>
        <w:tc>
          <w:tcPr>
            <w:tcW w:w="3061" w:type="dxa"/>
            <w:vAlign w:val="center"/>
          </w:tcPr>
          <w:p>
            <w:pPr>
              <w:spacing w:line="400" w:lineRule="exact"/>
              <w:jc w:val="center"/>
              <w:rPr>
                <w:color w:val="auto"/>
                <w:szCs w:val="21"/>
                <w:highlight w:val="none"/>
              </w:rPr>
            </w:pPr>
            <w:r>
              <w:rPr>
                <w:color w:val="auto"/>
                <w:szCs w:val="21"/>
                <w:highlight w:val="none"/>
              </w:rPr>
              <w:t>备选</w:t>
            </w:r>
            <w:r>
              <w:rPr>
                <w:rFonts w:hint="eastAsia"/>
                <w:color w:val="auto"/>
                <w:szCs w:val="21"/>
                <w:highlight w:val="none"/>
              </w:rPr>
              <w:t>谈判</w:t>
            </w:r>
            <w:r>
              <w:rPr>
                <w:color w:val="auto"/>
                <w:szCs w:val="21"/>
                <w:highlight w:val="none"/>
              </w:rPr>
              <w:t>方案和报价</w:t>
            </w:r>
          </w:p>
        </w:tc>
        <w:tc>
          <w:tcPr>
            <w:tcW w:w="6235" w:type="dxa"/>
            <w:vAlign w:val="center"/>
          </w:tcPr>
          <w:p>
            <w:pPr>
              <w:spacing w:line="400" w:lineRule="exact"/>
              <w:rPr>
                <w:color w:val="auto"/>
                <w:szCs w:val="21"/>
                <w:highlight w:val="none"/>
              </w:rPr>
            </w:pPr>
            <w:r>
              <w:rPr>
                <w:color w:val="auto"/>
                <w:szCs w:val="21"/>
                <w:highlight w:val="none"/>
              </w:rPr>
              <w:t>本项目不接受备选</w:t>
            </w:r>
            <w:r>
              <w:rPr>
                <w:rFonts w:hint="eastAsia"/>
                <w:color w:val="auto"/>
                <w:szCs w:val="21"/>
                <w:highlight w:val="none"/>
              </w:rPr>
              <w:t>谈判</w:t>
            </w:r>
            <w:r>
              <w:rPr>
                <w:color w:val="auto"/>
                <w:szCs w:val="21"/>
                <w:highlight w:val="none"/>
              </w:rPr>
              <w:t>方案。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vAlign w:val="center"/>
          </w:tcPr>
          <w:p>
            <w:pPr>
              <w:spacing w:line="400" w:lineRule="exact"/>
              <w:jc w:val="center"/>
              <w:rPr>
                <w:color w:val="auto"/>
                <w:szCs w:val="21"/>
                <w:highlight w:val="none"/>
              </w:rPr>
            </w:pPr>
            <w:r>
              <w:rPr>
                <w:rFonts w:hint="eastAsia"/>
                <w:color w:val="auto"/>
                <w:szCs w:val="21"/>
                <w:highlight w:val="none"/>
              </w:rPr>
              <w:t>21</w:t>
            </w:r>
          </w:p>
        </w:tc>
        <w:tc>
          <w:tcPr>
            <w:tcW w:w="3061" w:type="dxa"/>
            <w:vAlign w:val="center"/>
          </w:tcPr>
          <w:p>
            <w:pPr>
              <w:spacing w:line="400" w:lineRule="exact"/>
              <w:jc w:val="center"/>
              <w:rPr>
                <w:color w:val="auto"/>
                <w:szCs w:val="21"/>
                <w:highlight w:val="none"/>
              </w:rPr>
            </w:pPr>
            <w:r>
              <w:rPr>
                <w:rFonts w:hint="eastAsia"/>
                <w:color w:val="auto"/>
                <w:szCs w:val="21"/>
                <w:highlight w:val="none"/>
              </w:rPr>
              <w:t>竞争性谈判响应文件</w:t>
            </w:r>
            <w:r>
              <w:rPr>
                <w:color w:val="auto"/>
                <w:szCs w:val="21"/>
                <w:highlight w:val="none"/>
              </w:rPr>
              <w:t>份数</w:t>
            </w:r>
            <w:r>
              <w:rPr>
                <w:rFonts w:hint="eastAsia"/>
                <w:color w:val="auto"/>
                <w:szCs w:val="21"/>
                <w:highlight w:val="none"/>
              </w:rPr>
              <w:t>及要求</w:t>
            </w:r>
          </w:p>
        </w:tc>
        <w:tc>
          <w:tcPr>
            <w:tcW w:w="6235" w:type="dxa"/>
            <w:vAlign w:val="center"/>
          </w:tcPr>
          <w:p>
            <w:pPr>
              <w:snapToGrid w:val="0"/>
              <w:spacing w:line="400" w:lineRule="exact"/>
              <w:ind w:left="630" w:hanging="630" w:hangingChars="300"/>
              <w:rPr>
                <w:rFonts w:ascii="宋体" w:hAnsi="宋体" w:cs="宋体"/>
                <w:color w:val="auto"/>
                <w:szCs w:val="21"/>
                <w:highlight w:val="none"/>
              </w:rPr>
            </w:pPr>
            <w:r>
              <w:rPr>
                <w:rFonts w:hint="eastAsia" w:ascii="宋体" w:hAnsi="宋体" w:cs="宋体"/>
                <w:color w:val="auto"/>
                <w:szCs w:val="21"/>
                <w:highlight w:val="none"/>
              </w:rPr>
              <w:t>正本的份数：壹份；副本的份数：贰份；竞争性谈判报价一览表：壹份；</w:t>
            </w:r>
          </w:p>
          <w:p>
            <w:pPr>
              <w:snapToGrid w:val="0"/>
              <w:spacing w:line="400" w:lineRule="exact"/>
              <w:ind w:left="630" w:hanging="630" w:hangingChars="300"/>
              <w:rPr>
                <w:rFonts w:ascii="宋体" w:hAnsi="宋体" w:cs="宋体"/>
                <w:color w:val="auto"/>
                <w:szCs w:val="21"/>
                <w:highlight w:val="none"/>
              </w:rPr>
            </w:pPr>
            <w:r>
              <w:rPr>
                <w:rFonts w:hint="eastAsia" w:ascii="宋体" w:hAnsi="宋体" w:cs="宋体"/>
                <w:color w:val="auto"/>
                <w:szCs w:val="21"/>
                <w:highlight w:val="none"/>
              </w:rPr>
              <w:t>电子版（U盘）：壹份（需标注供应商全称、项目名称、项目编号）。</w:t>
            </w:r>
          </w:p>
          <w:p>
            <w:pPr>
              <w:snapToGrid w:val="0"/>
              <w:spacing w:line="400" w:lineRule="exact"/>
              <w:ind w:left="630" w:hanging="630" w:hangingChars="300"/>
              <w:rPr>
                <w:rFonts w:ascii="宋体" w:hAnsi="宋体" w:cs="宋体"/>
                <w:color w:val="auto"/>
                <w:szCs w:val="21"/>
                <w:highlight w:val="none"/>
              </w:rPr>
            </w:pPr>
            <w:r>
              <w:rPr>
                <w:rFonts w:hint="eastAsia" w:ascii="宋体" w:hAnsi="宋体" w:cs="宋体"/>
                <w:color w:val="auto"/>
                <w:szCs w:val="21"/>
                <w:highlight w:val="none"/>
              </w:rPr>
              <w:t>电子版包括：</w:t>
            </w:r>
          </w:p>
          <w:p>
            <w:pPr>
              <w:snapToGrid w:val="0"/>
              <w:spacing w:line="400" w:lineRule="exact"/>
              <w:ind w:left="630" w:hanging="630" w:hangingChars="300"/>
              <w:rPr>
                <w:rFonts w:ascii="宋体" w:hAnsi="宋体" w:cs="宋体"/>
                <w:color w:val="auto"/>
                <w:szCs w:val="21"/>
                <w:highlight w:val="none"/>
              </w:rPr>
            </w:pPr>
            <w:r>
              <w:rPr>
                <w:rFonts w:hint="eastAsia" w:ascii="宋体" w:hAnsi="宋体" w:cs="宋体"/>
                <w:color w:val="auto"/>
                <w:szCs w:val="21"/>
                <w:highlight w:val="none"/>
              </w:rPr>
              <w:t>（1）word版响应文件；</w:t>
            </w:r>
          </w:p>
          <w:p>
            <w:pPr>
              <w:snapToGrid w:val="0"/>
              <w:spacing w:line="400" w:lineRule="exact"/>
              <w:ind w:left="630" w:hanging="630" w:hangingChars="300"/>
              <w:rPr>
                <w:color w:val="auto"/>
                <w:szCs w:val="21"/>
                <w:highlight w:val="none"/>
              </w:rPr>
            </w:pPr>
            <w:r>
              <w:rPr>
                <w:rFonts w:hint="eastAsia" w:ascii="宋体" w:hAnsi="宋体" w:cs="宋体"/>
                <w:color w:val="auto"/>
                <w:szCs w:val="21"/>
                <w:highlight w:val="none"/>
              </w:rPr>
              <w:t>（2）响应文件正本签字盖章后的PDF格式扫描件，与正本具有同等法律效力。</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vAlign w:val="center"/>
          </w:tcPr>
          <w:p>
            <w:pPr>
              <w:spacing w:line="400" w:lineRule="exact"/>
              <w:jc w:val="center"/>
              <w:rPr>
                <w:color w:val="auto"/>
                <w:szCs w:val="21"/>
                <w:highlight w:val="none"/>
              </w:rPr>
            </w:pPr>
            <w:r>
              <w:rPr>
                <w:color w:val="auto"/>
                <w:szCs w:val="21"/>
                <w:highlight w:val="none"/>
              </w:rPr>
              <w:t>2</w:t>
            </w:r>
            <w:r>
              <w:rPr>
                <w:rFonts w:hint="eastAsia"/>
                <w:color w:val="auto"/>
                <w:szCs w:val="21"/>
                <w:highlight w:val="none"/>
              </w:rPr>
              <w:t>2</w:t>
            </w:r>
          </w:p>
        </w:tc>
        <w:tc>
          <w:tcPr>
            <w:tcW w:w="3061" w:type="dxa"/>
            <w:vAlign w:val="center"/>
          </w:tcPr>
          <w:p>
            <w:pPr>
              <w:spacing w:line="400" w:lineRule="exact"/>
              <w:jc w:val="center"/>
              <w:rPr>
                <w:color w:val="auto"/>
                <w:szCs w:val="21"/>
                <w:highlight w:val="none"/>
              </w:rPr>
            </w:pPr>
            <w:r>
              <w:rPr>
                <w:rFonts w:hint="eastAsia"/>
                <w:color w:val="auto"/>
                <w:szCs w:val="21"/>
                <w:highlight w:val="none"/>
              </w:rPr>
              <w:t>竞争性谈判响应文件</w:t>
            </w:r>
            <w:r>
              <w:rPr>
                <w:color w:val="auto"/>
                <w:szCs w:val="21"/>
                <w:highlight w:val="none"/>
              </w:rPr>
              <w:t>的装订、密封和标记</w:t>
            </w:r>
          </w:p>
        </w:tc>
        <w:tc>
          <w:tcPr>
            <w:tcW w:w="6235" w:type="dxa"/>
            <w:vAlign w:val="center"/>
          </w:tcPr>
          <w:p>
            <w:pPr>
              <w:snapToGrid w:val="0"/>
              <w:spacing w:line="400" w:lineRule="exact"/>
              <w:ind w:hanging="10"/>
              <w:rPr>
                <w:rFonts w:ascii="宋体" w:hAnsi="宋体" w:cs="宋体"/>
                <w:color w:val="auto"/>
                <w:szCs w:val="21"/>
                <w:highlight w:val="none"/>
              </w:rPr>
            </w:pPr>
            <w:r>
              <w:rPr>
                <w:rFonts w:hint="eastAsia" w:ascii="宋体" w:hAnsi="宋体" w:cs="宋体"/>
                <w:color w:val="auto"/>
                <w:szCs w:val="21"/>
                <w:highlight w:val="none"/>
              </w:rPr>
              <w:t>竞争性谈判响应文件一律采用书籍（胶装）方式装订成册，装订应牢固、不易拆散和换页，不得采用活页装订。</w:t>
            </w:r>
          </w:p>
          <w:p>
            <w:pPr>
              <w:snapToGrid w:val="0"/>
              <w:spacing w:line="400" w:lineRule="exact"/>
              <w:ind w:hanging="10"/>
              <w:rPr>
                <w:rFonts w:ascii="宋体" w:hAnsi="宋体" w:cs="宋体"/>
                <w:color w:val="auto"/>
                <w:szCs w:val="21"/>
                <w:highlight w:val="none"/>
              </w:rPr>
            </w:pPr>
            <w:r>
              <w:rPr>
                <w:rFonts w:hint="eastAsia" w:ascii="宋体" w:hAnsi="宋体" w:cs="宋体"/>
                <w:color w:val="auto"/>
                <w:szCs w:val="21"/>
                <w:highlight w:val="none"/>
              </w:rPr>
              <w:t>1、密封包装方式：</w:t>
            </w:r>
            <w:bookmarkStart w:id="4" w:name="_Hlk85458373"/>
            <w:r>
              <w:rPr>
                <w:rFonts w:hint="eastAsia" w:ascii="宋体" w:hAnsi="宋体" w:cs="宋体"/>
                <w:color w:val="auto"/>
                <w:szCs w:val="21"/>
                <w:highlight w:val="none"/>
              </w:rPr>
              <w:t>供应商应将响应文件正本、所有副本、电子版、竞争性谈判报价一览表分别单独密封在封袋中（封袋不得有破损）。封袋应加贴封条，并在封线处加盖供应商公章和法定代表人章（或委托代理人签字）。</w:t>
            </w:r>
          </w:p>
          <w:p>
            <w:pPr>
              <w:snapToGrid w:val="0"/>
              <w:spacing w:line="400" w:lineRule="exact"/>
              <w:ind w:left="630" w:hanging="630" w:hangingChars="300"/>
              <w:rPr>
                <w:rFonts w:ascii="宋体" w:hAnsi="宋体" w:cs="宋体"/>
                <w:color w:val="auto"/>
                <w:szCs w:val="21"/>
                <w:highlight w:val="none"/>
              </w:rPr>
            </w:pPr>
            <w:r>
              <w:rPr>
                <w:rFonts w:hint="eastAsia" w:ascii="宋体" w:hAnsi="宋体" w:cs="宋体"/>
                <w:color w:val="auto"/>
                <w:szCs w:val="21"/>
                <w:highlight w:val="none"/>
              </w:rPr>
              <w:t>2、外层包装请按以下要求标记：</w:t>
            </w:r>
          </w:p>
          <w:p>
            <w:pPr>
              <w:snapToGrid w:val="0"/>
              <w:spacing w:line="400" w:lineRule="exact"/>
              <w:ind w:left="630" w:hanging="630" w:hangingChars="300"/>
              <w:rPr>
                <w:rFonts w:ascii="宋体" w:hAnsi="宋体" w:cs="宋体"/>
                <w:color w:val="auto"/>
                <w:szCs w:val="21"/>
                <w:highlight w:val="none"/>
              </w:rPr>
            </w:pPr>
            <w:r>
              <w:rPr>
                <w:rFonts w:hint="eastAsia" w:ascii="宋体" w:hAnsi="宋体" w:cs="宋体"/>
                <w:color w:val="auto"/>
                <w:szCs w:val="21"/>
                <w:highlight w:val="none"/>
              </w:rPr>
              <w:t>（1) 供应商的名称；</w:t>
            </w:r>
          </w:p>
          <w:p>
            <w:pPr>
              <w:snapToGrid w:val="0"/>
              <w:spacing w:line="400" w:lineRule="exact"/>
              <w:ind w:left="630" w:hanging="630" w:hangingChars="300"/>
              <w:rPr>
                <w:rFonts w:ascii="宋体" w:hAnsi="宋体" w:cs="宋体"/>
                <w:color w:val="auto"/>
                <w:szCs w:val="21"/>
                <w:highlight w:val="none"/>
              </w:rPr>
            </w:pPr>
            <w:r>
              <w:rPr>
                <w:rFonts w:hint="eastAsia" w:ascii="宋体" w:hAnsi="宋体" w:cs="宋体"/>
                <w:color w:val="auto"/>
                <w:szCs w:val="21"/>
                <w:highlight w:val="none"/>
              </w:rPr>
              <w:t>（2）项目名称、项目编号、包号；</w:t>
            </w:r>
          </w:p>
          <w:p>
            <w:pPr>
              <w:snapToGrid w:val="0"/>
              <w:spacing w:line="400" w:lineRule="exact"/>
              <w:ind w:left="630" w:hanging="630" w:hangingChars="300"/>
              <w:rPr>
                <w:color w:val="auto"/>
                <w:szCs w:val="21"/>
                <w:highlight w:val="none"/>
              </w:rPr>
            </w:pPr>
            <w:r>
              <w:rPr>
                <w:rFonts w:hint="eastAsia" w:ascii="宋体" w:hAnsi="宋体" w:cs="宋体"/>
                <w:color w:val="auto"/>
                <w:szCs w:val="21"/>
                <w:highlight w:val="none"/>
              </w:rPr>
              <w:t>（3）“正本”、“副本”、“电子版”、“竞争性谈判报价一览表”及“请勿在2023年   月   日   时   分之前启封”。</w:t>
            </w:r>
            <w:bookmarkEnd w:id="4"/>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vAlign w:val="center"/>
          </w:tcPr>
          <w:p>
            <w:pPr>
              <w:spacing w:line="400" w:lineRule="exact"/>
              <w:jc w:val="center"/>
              <w:rPr>
                <w:color w:val="auto"/>
                <w:szCs w:val="21"/>
                <w:highlight w:val="none"/>
              </w:rPr>
            </w:pPr>
            <w:r>
              <w:rPr>
                <w:color w:val="auto"/>
                <w:szCs w:val="21"/>
                <w:highlight w:val="none"/>
              </w:rPr>
              <w:t>2</w:t>
            </w:r>
            <w:r>
              <w:rPr>
                <w:rFonts w:hint="eastAsia"/>
                <w:color w:val="auto"/>
                <w:szCs w:val="21"/>
                <w:highlight w:val="none"/>
              </w:rPr>
              <w:t>3</w:t>
            </w:r>
          </w:p>
        </w:tc>
        <w:tc>
          <w:tcPr>
            <w:tcW w:w="3061" w:type="dxa"/>
            <w:vAlign w:val="center"/>
          </w:tcPr>
          <w:p>
            <w:pPr>
              <w:spacing w:line="400" w:lineRule="exact"/>
              <w:jc w:val="center"/>
              <w:rPr>
                <w:color w:val="auto"/>
                <w:szCs w:val="21"/>
                <w:highlight w:val="none"/>
              </w:rPr>
            </w:pPr>
            <w:r>
              <w:rPr>
                <w:rFonts w:hint="eastAsia"/>
                <w:color w:val="auto"/>
                <w:szCs w:val="21"/>
                <w:highlight w:val="none"/>
              </w:rPr>
              <w:t>竞争性谈判响应文件</w:t>
            </w:r>
            <w:r>
              <w:rPr>
                <w:color w:val="auto"/>
                <w:szCs w:val="21"/>
                <w:highlight w:val="none"/>
              </w:rPr>
              <w:t>提交地点及截止时间</w:t>
            </w:r>
          </w:p>
        </w:tc>
        <w:tc>
          <w:tcPr>
            <w:tcW w:w="6235" w:type="dxa"/>
            <w:vAlign w:val="center"/>
          </w:tcPr>
          <w:p>
            <w:pPr>
              <w:spacing w:line="400" w:lineRule="exact"/>
              <w:rPr>
                <w:rFonts w:hint="default" w:eastAsia="宋体"/>
                <w:color w:val="auto"/>
                <w:szCs w:val="21"/>
                <w:highlight w:val="none"/>
                <w:lang w:val="en-US" w:eastAsia="zh-CN"/>
              </w:rPr>
            </w:pPr>
            <w:r>
              <w:rPr>
                <w:color w:val="auto"/>
                <w:szCs w:val="21"/>
                <w:highlight w:val="none"/>
              </w:rPr>
              <w:t>时  间：</w:t>
            </w:r>
            <w:r>
              <w:rPr>
                <w:rFonts w:hint="eastAsia"/>
                <w:color w:val="auto"/>
                <w:szCs w:val="21"/>
                <w:highlight w:val="none"/>
              </w:rPr>
              <w:t>2023</w:t>
            </w:r>
            <w:r>
              <w:rPr>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rPr>
              <w:t>日</w:t>
            </w:r>
            <w:r>
              <w:rPr>
                <w:rFonts w:hint="eastAsia"/>
                <w:color w:val="auto"/>
                <w:szCs w:val="21"/>
                <w:highlight w:val="none"/>
                <w:lang w:val="en-US" w:eastAsia="zh-CN"/>
              </w:rPr>
              <w:t>10:00</w:t>
            </w:r>
          </w:p>
          <w:p>
            <w:pPr>
              <w:tabs>
                <w:tab w:val="left" w:pos="9720"/>
              </w:tabs>
              <w:spacing w:line="400" w:lineRule="exact"/>
              <w:rPr>
                <w:color w:val="auto"/>
                <w:szCs w:val="21"/>
                <w:highlight w:val="none"/>
              </w:rPr>
            </w:pPr>
            <w:r>
              <w:rPr>
                <w:color w:val="auto"/>
                <w:szCs w:val="21"/>
                <w:highlight w:val="none"/>
              </w:rPr>
              <w:t>地  点：中天久信管理咨询集团有限公</w:t>
            </w:r>
            <w:r>
              <w:rPr>
                <w:color w:val="auto"/>
                <w:szCs w:val="21"/>
                <w:highlight w:val="none"/>
              </w:rPr>
              <w:t>司（西安市雁塔区唐延路11号禾盛京广中心E座23楼）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vAlign w:val="center"/>
          </w:tcPr>
          <w:p>
            <w:pPr>
              <w:spacing w:line="400" w:lineRule="exact"/>
              <w:jc w:val="center"/>
              <w:rPr>
                <w:color w:val="auto"/>
                <w:szCs w:val="21"/>
                <w:highlight w:val="none"/>
              </w:rPr>
            </w:pPr>
            <w:r>
              <w:rPr>
                <w:color w:val="auto"/>
                <w:szCs w:val="21"/>
                <w:highlight w:val="none"/>
              </w:rPr>
              <w:t>2</w:t>
            </w:r>
            <w:r>
              <w:rPr>
                <w:rFonts w:hint="eastAsia"/>
                <w:color w:val="auto"/>
                <w:szCs w:val="21"/>
                <w:highlight w:val="none"/>
              </w:rPr>
              <w:t>4</w:t>
            </w:r>
          </w:p>
        </w:tc>
        <w:tc>
          <w:tcPr>
            <w:tcW w:w="3061" w:type="dxa"/>
            <w:vAlign w:val="center"/>
          </w:tcPr>
          <w:p>
            <w:pPr>
              <w:spacing w:line="400" w:lineRule="exact"/>
              <w:jc w:val="center"/>
              <w:rPr>
                <w:color w:val="auto"/>
                <w:szCs w:val="21"/>
                <w:highlight w:val="none"/>
              </w:rPr>
            </w:pPr>
            <w:r>
              <w:rPr>
                <w:rFonts w:hint="eastAsia"/>
                <w:color w:val="auto"/>
                <w:szCs w:val="21"/>
                <w:highlight w:val="none"/>
              </w:rPr>
              <w:t>谈判会议</w:t>
            </w:r>
          </w:p>
        </w:tc>
        <w:tc>
          <w:tcPr>
            <w:tcW w:w="6235" w:type="dxa"/>
            <w:vAlign w:val="center"/>
          </w:tcPr>
          <w:p>
            <w:pPr>
              <w:spacing w:line="400" w:lineRule="exact"/>
              <w:rPr>
                <w:color w:val="auto"/>
                <w:szCs w:val="21"/>
                <w:highlight w:val="none"/>
              </w:rPr>
            </w:pPr>
            <w:r>
              <w:rPr>
                <w:rFonts w:hint="eastAsia"/>
                <w:color w:val="auto"/>
                <w:szCs w:val="21"/>
                <w:highlight w:val="none"/>
              </w:rPr>
              <w:t>谈判</w:t>
            </w:r>
            <w:r>
              <w:rPr>
                <w:color w:val="auto"/>
                <w:szCs w:val="21"/>
                <w:highlight w:val="none"/>
              </w:rPr>
              <w:t>时间：</w:t>
            </w:r>
            <w:r>
              <w:rPr>
                <w:rFonts w:hint="eastAsia"/>
                <w:color w:val="auto"/>
                <w:szCs w:val="21"/>
                <w:highlight w:val="none"/>
              </w:rPr>
              <w:t>同竞争性谈判响应文件截止时间</w:t>
            </w:r>
          </w:p>
          <w:p>
            <w:pPr>
              <w:spacing w:line="400" w:lineRule="exact"/>
              <w:rPr>
                <w:color w:val="auto"/>
                <w:szCs w:val="21"/>
                <w:highlight w:val="none"/>
              </w:rPr>
            </w:pPr>
            <w:r>
              <w:rPr>
                <w:rFonts w:hint="eastAsia"/>
                <w:color w:val="auto"/>
                <w:szCs w:val="21"/>
                <w:highlight w:val="none"/>
              </w:rPr>
              <w:t>谈判</w:t>
            </w:r>
            <w:r>
              <w:rPr>
                <w:color w:val="auto"/>
                <w:szCs w:val="21"/>
                <w:highlight w:val="none"/>
              </w:rPr>
              <w:t>地点：</w:t>
            </w:r>
            <w:r>
              <w:rPr>
                <w:rFonts w:ascii="宋体" w:hAnsi="宋体" w:cs="Segoe UI Symbol"/>
                <w:color w:val="auto"/>
                <w:szCs w:val="21"/>
                <w:highlight w:val="none"/>
              </w:rPr>
              <w:t>同</w:t>
            </w:r>
            <w:r>
              <w:rPr>
                <w:rFonts w:hint="eastAsia"/>
                <w:color w:val="auto"/>
                <w:szCs w:val="21"/>
                <w:highlight w:val="none"/>
              </w:rPr>
              <w:t>竞争性谈判响应文件</w:t>
            </w:r>
            <w:r>
              <w:rPr>
                <w:rFonts w:ascii="宋体" w:hAnsi="宋体" w:cs="Segoe UI Symbol"/>
                <w:color w:val="auto"/>
                <w:szCs w:val="21"/>
                <w:highlight w:val="none"/>
              </w:rPr>
              <w:t>递交地点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vAlign w:val="center"/>
          </w:tcPr>
          <w:p>
            <w:pPr>
              <w:spacing w:line="400" w:lineRule="exact"/>
              <w:jc w:val="center"/>
              <w:rPr>
                <w:color w:val="auto"/>
                <w:szCs w:val="21"/>
                <w:highlight w:val="none"/>
              </w:rPr>
            </w:pPr>
            <w:r>
              <w:rPr>
                <w:rFonts w:hint="eastAsia"/>
                <w:color w:val="auto"/>
                <w:szCs w:val="21"/>
                <w:highlight w:val="none"/>
              </w:rPr>
              <w:t>25</w:t>
            </w:r>
          </w:p>
        </w:tc>
        <w:tc>
          <w:tcPr>
            <w:tcW w:w="3061" w:type="dxa"/>
            <w:vAlign w:val="center"/>
          </w:tcPr>
          <w:p>
            <w:pPr>
              <w:spacing w:line="400" w:lineRule="exact"/>
              <w:jc w:val="center"/>
              <w:rPr>
                <w:color w:val="auto"/>
                <w:szCs w:val="21"/>
                <w:highlight w:val="none"/>
              </w:rPr>
            </w:pPr>
            <w:r>
              <w:rPr>
                <w:rFonts w:hint="eastAsia"/>
                <w:color w:val="auto"/>
                <w:szCs w:val="21"/>
                <w:highlight w:val="none"/>
              </w:rPr>
              <w:t>谈判小组</w:t>
            </w:r>
          </w:p>
        </w:tc>
        <w:tc>
          <w:tcPr>
            <w:tcW w:w="6235" w:type="dxa"/>
            <w:vAlign w:val="center"/>
          </w:tcPr>
          <w:p>
            <w:pPr>
              <w:spacing w:line="400" w:lineRule="exact"/>
              <w:rPr>
                <w:color w:val="auto"/>
                <w:szCs w:val="21"/>
                <w:highlight w:val="none"/>
              </w:rPr>
            </w:pPr>
            <w:r>
              <w:rPr>
                <w:rFonts w:hint="eastAsia"/>
                <w:color w:val="auto"/>
                <w:szCs w:val="21"/>
                <w:highlight w:val="none"/>
              </w:rPr>
              <w:t>谈判小组的构成：3人；</w:t>
            </w:r>
          </w:p>
          <w:p>
            <w:pPr>
              <w:spacing w:line="400" w:lineRule="exact"/>
              <w:rPr>
                <w:color w:val="auto"/>
                <w:szCs w:val="21"/>
                <w:highlight w:val="none"/>
              </w:rPr>
            </w:pPr>
            <w:r>
              <w:rPr>
                <w:rFonts w:hint="eastAsia"/>
                <w:color w:val="auto"/>
                <w:szCs w:val="21"/>
                <w:highlight w:val="none"/>
              </w:rPr>
              <w:t>谈判小组成员确定方式：从依法设立的评标专家库中随机抽取。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vAlign w:val="center"/>
          </w:tcPr>
          <w:p>
            <w:pPr>
              <w:spacing w:line="400" w:lineRule="exact"/>
              <w:jc w:val="center"/>
              <w:rPr>
                <w:color w:val="auto"/>
                <w:szCs w:val="21"/>
                <w:highlight w:val="none"/>
              </w:rPr>
            </w:pPr>
            <w:r>
              <w:rPr>
                <w:rFonts w:hint="eastAsia"/>
                <w:color w:val="auto"/>
                <w:szCs w:val="21"/>
                <w:highlight w:val="none"/>
              </w:rPr>
              <w:t>26</w:t>
            </w:r>
          </w:p>
        </w:tc>
        <w:tc>
          <w:tcPr>
            <w:tcW w:w="3061" w:type="dxa"/>
            <w:vAlign w:val="center"/>
          </w:tcPr>
          <w:p>
            <w:pPr>
              <w:spacing w:line="420" w:lineRule="exact"/>
              <w:jc w:val="center"/>
              <w:rPr>
                <w:color w:val="auto"/>
                <w:szCs w:val="21"/>
                <w:highlight w:val="none"/>
              </w:rPr>
            </w:pPr>
            <w:r>
              <w:rPr>
                <w:rFonts w:hint="eastAsia"/>
                <w:color w:val="auto"/>
                <w:szCs w:val="21"/>
                <w:highlight w:val="none"/>
              </w:rPr>
              <w:t>谈判</w:t>
            </w:r>
            <w:r>
              <w:rPr>
                <w:color w:val="auto"/>
                <w:szCs w:val="21"/>
                <w:highlight w:val="none"/>
              </w:rPr>
              <w:t>报价次数、</w:t>
            </w:r>
            <w:r>
              <w:rPr>
                <w:rFonts w:hint="eastAsia"/>
                <w:color w:val="auto"/>
                <w:szCs w:val="21"/>
                <w:highlight w:val="none"/>
              </w:rPr>
              <w:t>谈判</w:t>
            </w:r>
            <w:r>
              <w:rPr>
                <w:color w:val="auto"/>
                <w:szCs w:val="21"/>
                <w:highlight w:val="none"/>
              </w:rPr>
              <w:t>程序</w:t>
            </w:r>
          </w:p>
        </w:tc>
        <w:tc>
          <w:tcPr>
            <w:tcW w:w="6235" w:type="dxa"/>
            <w:vAlign w:val="center"/>
          </w:tcPr>
          <w:p>
            <w:pPr>
              <w:spacing w:line="420" w:lineRule="exact"/>
              <w:rPr>
                <w:color w:val="auto"/>
                <w:highlight w:val="none"/>
              </w:rPr>
            </w:pPr>
            <w:r>
              <w:rPr>
                <w:color w:val="auto"/>
                <w:highlight w:val="none"/>
              </w:rPr>
              <w:t>本次</w:t>
            </w:r>
            <w:r>
              <w:rPr>
                <w:rFonts w:hint="eastAsia"/>
                <w:color w:val="auto"/>
                <w:highlight w:val="none"/>
              </w:rPr>
              <w:t>谈判</w:t>
            </w:r>
            <w:r>
              <w:rPr>
                <w:color w:val="auto"/>
                <w:highlight w:val="none"/>
              </w:rPr>
              <w:t>采用二</w:t>
            </w:r>
            <w:r>
              <w:rPr>
                <w:rFonts w:hint="eastAsia"/>
                <w:color w:val="auto"/>
                <w:highlight w:val="none"/>
              </w:rPr>
              <w:t>轮</w:t>
            </w:r>
            <w:r>
              <w:rPr>
                <w:color w:val="auto"/>
                <w:highlight w:val="none"/>
              </w:rPr>
              <w:t>报价</w:t>
            </w:r>
            <w:r>
              <w:rPr>
                <w:rFonts w:hint="eastAsia"/>
                <w:color w:val="auto"/>
                <w:highlight w:val="none"/>
              </w:rPr>
              <w:t>，第二轮</w:t>
            </w:r>
            <w:r>
              <w:rPr>
                <w:color w:val="auto"/>
                <w:highlight w:val="none"/>
              </w:rPr>
              <w:t>报价为最终报价。</w:t>
            </w:r>
          </w:p>
          <w:p>
            <w:pPr>
              <w:spacing w:line="420" w:lineRule="exact"/>
              <w:rPr>
                <w:color w:val="auto"/>
                <w:highlight w:val="none"/>
              </w:rPr>
            </w:pPr>
            <w:r>
              <w:rPr>
                <w:rFonts w:hint="eastAsia"/>
                <w:color w:val="auto"/>
                <w:highlight w:val="none"/>
              </w:rPr>
              <w:t>谈判</w:t>
            </w:r>
            <w:r>
              <w:rPr>
                <w:color w:val="auto"/>
                <w:highlight w:val="none"/>
              </w:rPr>
              <w:t>程序为：</w:t>
            </w:r>
          </w:p>
          <w:p>
            <w:pPr>
              <w:spacing w:line="420" w:lineRule="exact"/>
              <w:rPr>
                <w:color w:val="auto"/>
                <w:highlight w:val="none"/>
              </w:rPr>
            </w:pPr>
            <w:r>
              <w:rPr>
                <w:color w:val="auto"/>
                <w:highlight w:val="none"/>
              </w:rPr>
              <w:t>1、</w:t>
            </w:r>
            <w:r>
              <w:rPr>
                <w:rFonts w:hint="eastAsia"/>
                <w:color w:val="auto"/>
                <w:highlight w:val="none"/>
              </w:rPr>
              <w:t>谈判</w:t>
            </w:r>
            <w:r>
              <w:rPr>
                <w:color w:val="auto"/>
                <w:highlight w:val="none"/>
              </w:rPr>
              <w:t>小组对所有提交的响应文件进行评审；</w:t>
            </w:r>
          </w:p>
          <w:p>
            <w:pPr>
              <w:spacing w:line="420" w:lineRule="exact"/>
              <w:rPr>
                <w:color w:val="auto"/>
                <w:highlight w:val="none"/>
              </w:rPr>
            </w:pPr>
            <w:r>
              <w:rPr>
                <w:color w:val="auto"/>
                <w:highlight w:val="none"/>
              </w:rPr>
              <w:t>2、</w:t>
            </w:r>
            <w:r>
              <w:rPr>
                <w:rFonts w:hint="eastAsia"/>
                <w:color w:val="auto"/>
                <w:highlight w:val="none"/>
              </w:rPr>
              <w:t>谈判</w:t>
            </w:r>
            <w:r>
              <w:rPr>
                <w:color w:val="auto"/>
                <w:highlight w:val="none"/>
              </w:rPr>
              <w:t>小组所有成员集中与单一供应商分别进行</w:t>
            </w:r>
            <w:r>
              <w:rPr>
                <w:rFonts w:hint="eastAsia"/>
                <w:color w:val="auto"/>
                <w:highlight w:val="none"/>
              </w:rPr>
              <w:t>谈判</w:t>
            </w:r>
            <w:r>
              <w:rPr>
                <w:color w:val="auto"/>
                <w:highlight w:val="none"/>
              </w:rPr>
              <w:t>；</w:t>
            </w:r>
          </w:p>
          <w:p>
            <w:pPr>
              <w:spacing w:line="420" w:lineRule="exact"/>
              <w:rPr>
                <w:color w:val="auto"/>
                <w:highlight w:val="none"/>
              </w:rPr>
            </w:pPr>
            <w:r>
              <w:rPr>
                <w:color w:val="auto"/>
                <w:highlight w:val="none"/>
              </w:rPr>
              <w:t>3、供应商按照要求密封提交</w:t>
            </w:r>
            <w:r>
              <w:rPr>
                <w:rFonts w:hint="eastAsia"/>
                <w:color w:val="auto"/>
                <w:highlight w:val="none"/>
              </w:rPr>
              <w:t>第二轮</w:t>
            </w:r>
            <w:r>
              <w:rPr>
                <w:color w:val="auto"/>
                <w:highlight w:val="none"/>
              </w:rPr>
              <w:t>报价；</w:t>
            </w:r>
          </w:p>
          <w:p>
            <w:pPr>
              <w:spacing w:line="420" w:lineRule="exact"/>
              <w:rPr>
                <w:color w:val="auto"/>
                <w:highlight w:val="none"/>
              </w:rPr>
            </w:pPr>
            <w:r>
              <w:rPr>
                <w:color w:val="auto"/>
                <w:highlight w:val="none"/>
              </w:rPr>
              <w:t>4、</w:t>
            </w:r>
            <w:r>
              <w:rPr>
                <w:rFonts w:hint="eastAsia"/>
                <w:color w:val="auto"/>
                <w:highlight w:val="none"/>
              </w:rPr>
              <w:t>谈判</w:t>
            </w:r>
            <w:r>
              <w:rPr>
                <w:color w:val="auto"/>
                <w:highlight w:val="none"/>
              </w:rPr>
              <w:t>小组评审、推荐成交候选人。</w:t>
            </w:r>
          </w:p>
          <w:p>
            <w:pPr>
              <w:spacing w:line="420" w:lineRule="exact"/>
              <w:rPr>
                <w:color w:val="auto"/>
                <w:highlight w:val="none"/>
              </w:rPr>
            </w:pPr>
            <w:r>
              <w:rPr>
                <w:color w:val="auto"/>
                <w:highlight w:val="none"/>
              </w:rPr>
              <w:t>注：供应商须手持授权委托人身份证原件（法定代表人直接参加投标的须提供法定代表人身份证原件）供</w:t>
            </w:r>
            <w:r>
              <w:rPr>
                <w:rFonts w:hint="eastAsia"/>
                <w:color w:val="auto"/>
                <w:highlight w:val="none"/>
              </w:rPr>
              <w:t>谈判</w:t>
            </w:r>
            <w:r>
              <w:rPr>
                <w:color w:val="auto"/>
                <w:highlight w:val="none"/>
              </w:rPr>
              <w:t>小组核验身份。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6" w:type="dxa"/>
            <w:vAlign w:val="center"/>
          </w:tcPr>
          <w:p>
            <w:pPr>
              <w:spacing w:line="400" w:lineRule="exact"/>
              <w:jc w:val="center"/>
              <w:rPr>
                <w:color w:val="auto"/>
                <w:szCs w:val="21"/>
                <w:highlight w:val="none"/>
              </w:rPr>
            </w:pPr>
            <w:r>
              <w:rPr>
                <w:color w:val="auto"/>
                <w:szCs w:val="21"/>
                <w:highlight w:val="none"/>
              </w:rPr>
              <w:t>2</w:t>
            </w:r>
            <w:r>
              <w:rPr>
                <w:rFonts w:hint="eastAsia"/>
                <w:color w:val="auto"/>
                <w:szCs w:val="21"/>
                <w:highlight w:val="none"/>
              </w:rPr>
              <w:t>7</w:t>
            </w:r>
          </w:p>
        </w:tc>
        <w:tc>
          <w:tcPr>
            <w:tcW w:w="3061" w:type="dxa"/>
            <w:vAlign w:val="center"/>
          </w:tcPr>
          <w:p>
            <w:pPr>
              <w:spacing w:line="400" w:lineRule="exact"/>
              <w:jc w:val="center"/>
              <w:rPr>
                <w:color w:val="auto"/>
                <w:szCs w:val="21"/>
                <w:highlight w:val="none"/>
              </w:rPr>
            </w:pPr>
            <w:r>
              <w:rPr>
                <w:rFonts w:hint="eastAsia"/>
                <w:color w:val="auto"/>
                <w:szCs w:val="21"/>
                <w:highlight w:val="none"/>
              </w:rPr>
              <w:t>评审办法</w:t>
            </w:r>
            <w:r>
              <w:rPr>
                <w:color w:val="auto"/>
                <w:szCs w:val="21"/>
                <w:highlight w:val="none"/>
              </w:rPr>
              <w:t>及标准</w:t>
            </w:r>
          </w:p>
        </w:tc>
        <w:tc>
          <w:tcPr>
            <w:tcW w:w="6235" w:type="dxa"/>
            <w:vAlign w:val="center"/>
          </w:tcPr>
          <w:p>
            <w:pPr>
              <w:spacing w:line="400" w:lineRule="exact"/>
              <w:rPr>
                <w:color w:val="auto"/>
                <w:szCs w:val="21"/>
                <w:highlight w:val="none"/>
              </w:rPr>
            </w:pPr>
            <w:r>
              <w:rPr>
                <w:color w:val="auto"/>
                <w:szCs w:val="21"/>
                <w:highlight w:val="none"/>
              </w:rPr>
              <w:t>详见</w:t>
            </w:r>
            <w:r>
              <w:rPr>
                <w:rFonts w:hint="eastAsia"/>
                <w:color w:val="auto"/>
                <w:szCs w:val="21"/>
                <w:highlight w:val="none"/>
              </w:rPr>
              <w:t>谈判文件第三章评审办法</w:t>
            </w:r>
            <w:r>
              <w:rPr>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6" w:type="dxa"/>
            <w:vAlign w:val="center"/>
          </w:tcPr>
          <w:p>
            <w:pPr>
              <w:spacing w:line="400" w:lineRule="exact"/>
              <w:jc w:val="center"/>
              <w:rPr>
                <w:color w:val="auto"/>
                <w:szCs w:val="21"/>
                <w:highlight w:val="none"/>
              </w:rPr>
            </w:pPr>
            <w:r>
              <w:rPr>
                <w:rFonts w:hint="eastAsia"/>
                <w:color w:val="auto"/>
                <w:szCs w:val="21"/>
                <w:highlight w:val="none"/>
              </w:rPr>
              <w:t>28</w:t>
            </w:r>
          </w:p>
        </w:tc>
        <w:tc>
          <w:tcPr>
            <w:tcW w:w="3061" w:type="dxa"/>
            <w:vAlign w:val="center"/>
          </w:tcPr>
          <w:p>
            <w:pPr>
              <w:spacing w:line="400" w:lineRule="exact"/>
              <w:jc w:val="center"/>
              <w:rPr>
                <w:color w:val="auto"/>
                <w:szCs w:val="21"/>
                <w:highlight w:val="none"/>
              </w:rPr>
            </w:pPr>
            <w:r>
              <w:rPr>
                <w:rFonts w:hint="eastAsia"/>
                <w:color w:val="auto"/>
                <w:szCs w:val="21"/>
                <w:highlight w:val="none"/>
              </w:rPr>
              <w:t xml:space="preserve">相同品牌产 </w:t>
            </w:r>
          </w:p>
          <w:p>
            <w:pPr>
              <w:spacing w:line="400" w:lineRule="exact"/>
              <w:jc w:val="center"/>
              <w:rPr>
                <w:color w:val="auto"/>
                <w:szCs w:val="21"/>
                <w:highlight w:val="none"/>
              </w:rPr>
            </w:pPr>
            <w:r>
              <w:rPr>
                <w:rFonts w:hint="eastAsia"/>
                <w:color w:val="auto"/>
                <w:szCs w:val="21"/>
                <w:highlight w:val="none"/>
              </w:rPr>
              <w:t>品说明</w:t>
            </w:r>
          </w:p>
          <w:p>
            <w:pPr>
              <w:spacing w:line="400" w:lineRule="exact"/>
              <w:jc w:val="center"/>
              <w:rPr>
                <w:color w:val="auto"/>
                <w:szCs w:val="21"/>
                <w:highlight w:val="none"/>
              </w:rPr>
            </w:pPr>
          </w:p>
        </w:tc>
        <w:tc>
          <w:tcPr>
            <w:tcW w:w="6235" w:type="dxa"/>
            <w:vAlign w:val="center"/>
          </w:tcPr>
          <w:p>
            <w:pPr>
              <w:spacing w:line="420" w:lineRule="exact"/>
              <w:rPr>
                <w:color w:val="auto"/>
                <w:highlight w:val="none"/>
              </w:rPr>
            </w:pPr>
            <w:r>
              <w:rPr>
                <w:rFonts w:hint="eastAsia"/>
                <w:color w:val="auto"/>
                <w:highlight w:val="none"/>
              </w:rPr>
              <w:t xml:space="preserve">1、提供相同品牌产品的不同供应商参加同一合同项下谈判的，以其中通过资格审查、符合性审查且报价最低的供应商参加评审；报价相同的，由采购人或者采购人委托谈判小组按照谈判文件规定的方式确定一个供应商参加评审，谈判文件未规定的采取随机抽取方式确定。 </w:t>
            </w:r>
          </w:p>
          <w:p>
            <w:pPr>
              <w:spacing w:line="420" w:lineRule="exact"/>
              <w:rPr>
                <w:color w:val="auto"/>
                <w:szCs w:val="21"/>
                <w:highlight w:val="none"/>
              </w:rPr>
            </w:pPr>
            <w:r>
              <w:rPr>
                <w:rFonts w:hint="eastAsia"/>
                <w:color w:val="auto"/>
                <w:highlight w:val="none"/>
              </w:rPr>
              <w:t>2、非单一产品采购项目，采购人应当根据采购项目技术构成、产品价格比重等合理确定核心产品，并在谈判文件中载明。多家供应商提供的核心产品品牌相同的，按前款规定处理。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6" w:type="dxa"/>
            <w:vAlign w:val="center"/>
          </w:tcPr>
          <w:p>
            <w:pPr>
              <w:spacing w:line="400" w:lineRule="exact"/>
              <w:jc w:val="center"/>
              <w:rPr>
                <w:color w:val="auto"/>
                <w:szCs w:val="21"/>
                <w:highlight w:val="none"/>
              </w:rPr>
            </w:pPr>
            <w:r>
              <w:rPr>
                <w:rFonts w:hint="eastAsia"/>
                <w:color w:val="auto"/>
                <w:szCs w:val="21"/>
                <w:highlight w:val="none"/>
              </w:rPr>
              <w:t>29</w:t>
            </w:r>
          </w:p>
        </w:tc>
        <w:tc>
          <w:tcPr>
            <w:tcW w:w="3061" w:type="dxa"/>
            <w:vAlign w:val="center"/>
          </w:tcPr>
          <w:p>
            <w:pPr>
              <w:spacing w:line="400" w:lineRule="exact"/>
              <w:jc w:val="center"/>
              <w:rPr>
                <w:color w:val="auto"/>
                <w:szCs w:val="21"/>
                <w:highlight w:val="none"/>
              </w:rPr>
            </w:pPr>
            <w:r>
              <w:rPr>
                <w:rFonts w:hint="eastAsia"/>
                <w:color w:val="auto"/>
                <w:szCs w:val="21"/>
                <w:highlight w:val="none"/>
              </w:rPr>
              <w:t>采购</w:t>
            </w:r>
            <w:r>
              <w:rPr>
                <w:color w:val="auto"/>
                <w:szCs w:val="21"/>
                <w:highlight w:val="none"/>
              </w:rPr>
              <w:t>代理服务费</w:t>
            </w:r>
          </w:p>
        </w:tc>
        <w:tc>
          <w:tcPr>
            <w:tcW w:w="6235" w:type="dxa"/>
            <w:vAlign w:val="center"/>
          </w:tcPr>
          <w:p>
            <w:pPr>
              <w:spacing w:line="400" w:lineRule="exact"/>
              <w:rPr>
                <w:color w:val="auto"/>
                <w:szCs w:val="21"/>
                <w:highlight w:val="none"/>
              </w:rPr>
            </w:pPr>
            <w:r>
              <w:rPr>
                <w:rFonts w:hint="eastAsia"/>
                <w:color w:val="auto"/>
                <w:szCs w:val="21"/>
                <w:highlight w:val="none"/>
                <w:shd w:val="clear" w:color="auto" w:fill="FFFFFF"/>
              </w:rPr>
              <w:t>成交供应商</w:t>
            </w:r>
            <w:r>
              <w:rPr>
                <w:color w:val="auto"/>
                <w:szCs w:val="21"/>
                <w:highlight w:val="none"/>
                <w:shd w:val="clear" w:color="auto" w:fill="FFFFFF"/>
              </w:rPr>
              <w:t>在领取《</w:t>
            </w:r>
            <w:r>
              <w:rPr>
                <w:rFonts w:hint="eastAsia"/>
                <w:color w:val="auto"/>
                <w:szCs w:val="21"/>
                <w:highlight w:val="none"/>
                <w:shd w:val="clear" w:color="auto" w:fill="FFFFFF"/>
              </w:rPr>
              <w:t>成交通知书</w:t>
            </w:r>
            <w:r>
              <w:rPr>
                <w:color w:val="auto"/>
                <w:szCs w:val="21"/>
                <w:highlight w:val="none"/>
                <w:shd w:val="clear" w:color="auto" w:fill="FFFFFF"/>
              </w:rPr>
              <w:t>》之前，向采购代理机构一次付清招标代理服务费。</w:t>
            </w:r>
            <w:r>
              <w:rPr>
                <w:rFonts w:hint="eastAsia"/>
                <w:color w:val="auto"/>
                <w:szCs w:val="21"/>
                <w:highlight w:val="none"/>
                <w:shd w:val="clear" w:color="auto" w:fill="FFFFFF"/>
              </w:rPr>
              <w:t>采购代理服务费的金额参照《国家计委关于印发&lt;招标代理服务收费管理暂行办法&gt;的通知》（计价格[2002]1980号）和国家发改委办公厅颁发的《关于招标代理服务收费有关问题的通知》（发改办价格【2003】857号）、《国家发展改革委关于降低部分建设项目收费标准规范收费行为等有关问题的通知》（发改价格[2011]534号）的有关规定收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6" w:type="dxa"/>
            <w:vAlign w:val="center"/>
          </w:tcPr>
          <w:p>
            <w:pPr>
              <w:spacing w:line="400" w:lineRule="exact"/>
              <w:jc w:val="center"/>
              <w:rPr>
                <w:color w:val="auto"/>
                <w:szCs w:val="21"/>
                <w:highlight w:val="none"/>
              </w:rPr>
            </w:pPr>
            <w:r>
              <w:rPr>
                <w:rFonts w:hint="eastAsia"/>
                <w:color w:val="auto"/>
                <w:szCs w:val="21"/>
                <w:highlight w:val="none"/>
              </w:rPr>
              <w:t>30</w:t>
            </w:r>
          </w:p>
        </w:tc>
        <w:tc>
          <w:tcPr>
            <w:tcW w:w="3061" w:type="dxa"/>
            <w:vAlign w:val="center"/>
          </w:tcPr>
          <w:p>
            <w:pPr>
              <w:adjustRightInd w:val="0"/>
              <w:snapToGrid w:val="0"/>
              <w:jc w:val="center"/>
              <w:rPr>
                <w:color w:val="auto"/>
                <w:szCs w:val="21"/>
                <w:highlight w:val="none"/>
              </w:rPr>
            </w:pPr>
            <w:r>
              <w:rPr>
                <w:rFonts w:hint="eastAsia" w:ascii="宋体" w:hAnsi="宋体"/>
                <w:color w:val="auto"/>
                <w:szCs w:val="21"/>
                <w:highlight w:val="none"/>
              </w:rPr>
              <w:t>采购</w:t>
            </w:r>
            <w:r>
              <w:rPr>
                <w:rFonts w:ascii="宋体" w:hAnsi="宋体"/>
                <w:color w:val="auto"/>
                <w:szCs w:val="21"/>
                <w:highlight w:val="none"/>
              </w:rPr>
              <w:t>代理服务费账户</w:t>
            </w:r>
          </w:p>
        </w:tc>
        <w:tc>
          <w:tcPr>
            <w:tcW w:w="6235" w:type="dxa"/>
            <w:vAlign w:val="center"/>
          </w:tcPr>
          <w:p>
            <w:pPr>
              <w:spacing w:line="400" w:lineRule="exact"/>
              <w:rPr>
                <w:color w:val="auto"/>
                <w:szCs w:val="21"/>
                <w:highlight w:val="none"/>
                <w:shd w:val="clear" w:color="auto" w:fill="FFFFFF"/>
              </w:rPr>
            </w:pPr>
            <w:r>
              <w:rPr>
                <w:rFonts w:hint="eastAsia"/>
                <w:color w:val="auto"/>
                <w:szCs w:val="21"/>
                <w:highlight w:val="none"/>
                <w:shd w:val="clear" w:color="auto" w:fill="FFFFFF"/>
              </w:rPr>
              <w:t>户 名：中天久信管理咨询集团有限公司</w:t>
            </w:r>
          </w:p>
          <w:p>
            <w:pPr>
              <w:spacing w:line="400" w:lineRule="exact"/>
              <w:rPr>
                <w:color w:val="auto"/>
                <w:szCs w:val="21"/>
                <w:highlight w:val="none"/>
                <w:shd w:val="clear" w:color="auto" w:fill="FFFFFF"/>
              </w:rPr>
            </w:pPr>
            <w:r>
              <w:rPr>
                <w:rFonts w:hint="eastAsia"/>
                <w:color w:val="auto"/>
                <w:szCs w:val="21"/>
                <w:highlight w:val="none"/>
                <w:shd w:val="clear" w:color="auto" w:fill="FFFFFF"/>
              </w:rPr>
              <w:t>账 号：61001744100052500118</w:t>
            </w:r>
          </w:p>
          <w:p>
            <w:pPr>
              <w:spacing w:line="400" w:lineRule="exact"/>
              <w:rPr>
                <w:color w:val="auto"/>
                <w:szCs w:val="21"/>
                <w:highlight w:val="none"/>
                <w:shd w:val="clear" w:color="auto" w:fill="FFFFFF"/>
              </w:rPr>
            </w:pPr>
            <w:r>
              <w:rPr>
                <w:rFonts w:hint="eastAsia"/>
                <w:color w:val="auto"/>
                <w:szCs w:val="21"/>
                <w:highlight w:val="none"/>
                <w:shd w:val="clear" w:color="auto" w:fill="FFFFFF"/>
              </w:rPr>
              <w:t>开户行：建行西安丰禾路支行</w:t>
            </w:r>
          </w:p>
          <w:p>
            <w:pPr>
              <w:spacing w:line="400" w:lineRule="exact"/>
              <w:rPr>
                <w:color w:val="auto"/>
                <w:szCs w:val="21"/>
                <w:highlight w:val="none"/>
                <w:shd w:val="clear" w:color="auto" w:fill="FFFFFF"/>
              </w:rPr>
            </w:pPr>
            <w:r>
              <w:rPr>
                <w:rFonts w:hint="eastAsia"/>
                <w:color w:val="auto"/>
                <w:szCs w:val="21"/>
                <w:highlight w:val="none"/>
                <w:shd w:val="clear" w:color="auto" w:fill="FFFFFF"/>
              </w:rPr>
              <w:t>开户行联行号：105791011071</w:t>
            </w:r>
          </w:p>
          <w:p>
            <w:pPr>
              <w:spacing w:line="400" w:lineRule="exact"/>
              <w:rPr>
                <w:color w:val="auto"/>
                <w:szCs w:val="21"/>
                <w:highlight w:val="none"/>
                <w:shd w:val="clear" w:color="auto" w:fill="FFFFFF"/>
              </w:rPr>
            </w:pPr>
            <w:r>
              <w:rPr>
                <w:rFonts w:hint="eastAsia"/>
                <w:color w:val="auto"/>
                <w:szCs w:val="21"/>
                <w:highlight w:val="none"/>
                <w:shd w:val="clear" w:color="auto" w:fill="FFFFFF"/>
              </w:rPr>
              <w:t>请中标供应商按照要求将采购代理服务费转入以上指定账户，如因自身原因发生错误，产生的不利后果均由供应商自行承担。</w:t>
            </w:r>
          </w:p>
        </w:tc>
      </w:tr>
    </w:tbl>
    <w:p>
      <w:pPr>
        <w:spacing w:line="500" w:lineRule="exact"/>
        <w:ind w:firstLine="420"/>
        <w:rPr>
          <w:rFonts w:ascii="宋体" w:hAnsi="宋体"/>
          <w:color w:val="auto"/>
          <w:szCs w:val="21"/>
          <w:highlight w:val="none"/>
        </w:rPr>
      </w:pPr>
    </w:p>
    <w:p>
      <w:pPr>
        <w:spacing w:line="500" w:lineRule="exact"/>
        <w:ind w:firstLine="420"/>
        <w:rPr>
          <w:rFonts w:ascii="宋体" w:hAnsi="宋体"/>
          <w:color w:val="auto"/>
          <w:szCs w:val="21"/>
          <w:highlight w:val="none"/>
        </w:rPr>
      </w:pPr>
    </w:p>
    <w:p>
      <w:pPr>
        <w:spacing w:line="500" w:lineRule="exact"/>
        <w:rPr>
          <w:color w:val="auto"/>
          <w:szCs w:val="21"/>
          <w:highlight w:val="none"/>
        </w:rPr>
      </w:pPr>
    </w:p>
    <w:p>
      <w:pPr>
        <w:spacing w:line="500" w:lineRule="exact"/>
        <w:rPr>
          <w:color w:val="auto"/>
          <w:szCs w:val="21"/>
          <w:highlight w:val="none"/>
        </w:rPr>
      </w:pPr>
    </w:p>
    <w:p>
      <w:pPr>
        <w:rPr>
          <w:color w:val="auto"/>
          <w:highlight w:val="none"/>
          <w:lang w:val="es-ES"/>
        </w:rPr>
      </w:pPr>
      <w:r>
        <w:rPr>
          <w:color w:val="auto"/>
          <w:highlight w:val="none"/>
          <w:lang w:val="es-ES"/>
        </w:rPr>
        <w:br w:type="page"/>
      </w:r>
    </w:p>
    <w:p>
      <w:pPr>
        <w:autoSpaceDE w:val="0"/>
        <w:autoSpaceDN w:val="0"/>
        <w:adjustRightInd w:val="0"/>
        <w:spacing w:line="500" w:lineRule="exact"/>
        <w:ind w:right="6"/>
        <w:jc w:val="center"/>
        <w:rPr>
          <w:rFonts w:ascii="宋体" w:hAnsi="宋体" w:cs="宋体"/>
          <w:b/>
          <w:bCs/>
          <w:color w:val="auto"/>
          <w:sz w:val="20"/>
          <w:highlight w:val="none"/>
        </w:rPr>
      </w:pPr>
      <w:r>
        <w:rPr>
          <w:rFonts w:hint="eastAsia" w:ascii="宋体" w:hAnsi="宋体" w:cs="宋体"/>
          <w:b/>
          <w:bCs/>
          <w:color w:val="auto"/>
          <w:sz w:val="24"/>
          <w:szCs w:val="28"/>
          <w:highlight w:val="none"/>
        </w:rPr>
        <w:t>供应商须知</w:t>
      </w:r>
    </w:p>
    <w:p>
      <w:pPr>
        <w:spacing w:before="240" w:after="120"/>
        <w:jc w:val="center"/>
        <w:outlineLvl w:val="2"/>
        <w:rPr>
          <w:rFonts w:ascii="宋体" w:hAnsi="宋体" w:cs="宋体"/>
          <w:b/>
          <w:bCs/>
          <w:color w:val="auto"/>
          <w:sz w:val="24"/>
          <w:highlight w:val="none"/>
        </w:rPr>
      </w:pPr>
      <w:r>
        <w:rPr>
          <w:rFonts w:hint="eastAsia" w:ascii="宋体" w:hAnsi="宋体" w:cs="宋体"/>
          <w:b/>
          <w:bCs/>
          <w:color w:val="auto"/>
          <w:sz w:val="24"/>
          <w:highlight w:val="none"/>
        </w:rPr>
        <w:t>一、总则</w:t>
      </w:r>
    </w:p>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1、适用范围</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1.1  本谈判文件仅适用于本次竞争性谈判所叙</w:t>
      </w:r>
      <w:r>
        <w:rPr>
          <w:rFonts w:hint="eastAsia"/>
          <w:color w:val="auto"/>
          <w:sz w:val="24"/>
          <w:highlight w:val="none"/>
        </w:rPr>
        <w:t>述的工程/货物/服务项目采</w:t>
      </w:r>
      <w:r>
        <w:rPr>
          <w:rFonts w:hint="eastAsia"/>
          <w:color w:val="auto"/>
          <w:sz w:val="24"/>
          <w:highlight w:val="none"/>
        </w:rPr>
        <w:t>购活动。</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1.2  本谈判文件的解释权归采购人。</w:t>
      </w:r>
    </w:p>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2、名词解释</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2.1  “采购人”系指依法进行政府采购的国家机关、事业单位、团体组织。本次招标的采购人是西安市阎良区人民检察院。</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2.2  “采购代理机构”系指根据采购人的委托依法办理招标事宜的代理机构。本次招标的采购代理机构是</w:t>
      </w:r>
      <w:r>
        <w:rPr>
          <w:color w:val="auto"/>
          <w:kern w:val="0"/>
          <w:sz w:val="24"/>
          <w:highlight w:val="none"/>
        </w:rPr>
        <w:t>中天久信管理咨询集团有限公司</w:t>
      </w:r>
      <w:r>
        <w:rPr>
          <w:rFonts w:hint="eastAsia"/>
          <w:color w:val="auto"/>
          <w:sz w:val="24"/>
          <w:highlight w:val="none"/>
        </w:rPr>
        <w:t>。</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2.3  “供应商”系指购买了谈判文件拟参加谈判和向采购人提供货物及相应服务的谈判单位。</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2.4  “工程”系指供应商为完成本项目所做的</w:t>
      </w:r>
      <w:r>
        <w:rPr>
          <w:rFonts w:hint="eastAsia"/>
          <w:color w:val="auto"/>
          <w:sz w:val="24"/>
          <w:highlight w:val="none"/>
        </w:rPr>
        <w:t>基础建设、辅助工程</w:t>
      </w:r>
      <w:r>
        <w:rPr>
          <w:rFonts w:hint="eastAsia"/>
          <w:color w:val="auto"/>
          <w:sz w:val="24"/>
          <w:highlight w:val="none"/>
        </w:rPr>
        <w:t>等建设工程，包括建筑物和构筑物的新建、改建、扩建、装修、拆除、修缮等。</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2.5  “货物”系指供应商按谈判文件规定，须向采购人提供的满足谈判文件要求的产品、设备、机械、仪器仪表、包装、备品配件、工具、使用说明以及所有有关的文件和材料。</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2.6  “服务”系指谈判文件规定供应商须承担的产品设计及生产、有关运输、保险、技术支持以及其他使货物正常运转所必需的义务。</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2.7  节能产品或者环保产品是指财政部发布的《节能产品政府采购清单》或者《环境标志产品政府采购清单》的产品。</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2.8  进口产品是指通过中国海关报关验放进入中国境内且产自关境外的产品，详见《政府采购进口产品管理办法》(财库[2007]119号)。</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2.9  中小企业是指符合《工业和信息化部、国家统计局、国家发展和改革委员会、财政部关于印发中小企业划型标准规定的通知》（工信部联企业[2011]300号）规定的对中小企业的划分标准的企业。</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2.10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2.11  残疾人福利性单位是指符合《财政部民政部中国残疾人联合会关于促进残疾人就业政府采购政策的通知》（财库{2017}141号）的企业。</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2.12  《财政部 发展改革委 生态环境部 市场监管总局关于调整优化节能产品、环境标志产品政府采购执行机制的通知》（财库〔2019〕9号）。</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2.13  《财政部 国务院扶贫办关于运用政府采购政策支持脱贫攻坚的通知》（财库〔2019〕27号）。</w:t>
      </w:r>
    </w:p>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3、合格的供应商</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3.1  合格的供应商应具备以下条件：</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w:t>
      </w:r>
      <w:r>
        <w:rPr>
          <w:color w:val="auto"/>
          <w:sz w:val="24"/>
          <w:highlight w:val="none"/>
        </w:rPr>
        <w:t>合格供应商应具备“</w:t>
      </w:r>
      <w:r>
        <w:rPr>
          <w:rFonts w:hint="eastAsia"/>
          <w:color w:val="auto"/>
          <w:sz w:val="24"/>
          <w:highlight w:val="none"/>
        </w:rPr>
        <w:t>谈判</w:t>
      </w:r>
      <w:r>
        <w:rPr>
          <w:color w:val="auto"/>
          <w:sz w:val="24"/>
          <w:highlight w:val="none"/>
        </w:rPr>
        <w:t>须知前附表”中要求供应商应具备的资格条件和能力</w:t>
      </w:r>
      <w:r>
        <w:rPr>
          <w:rFonts w:hint="eastAsia"/>
          <w:color w:val="auto"/>
          <w:sz w:val="24"/>
          <w:highlight w:val="none"/>
        </w:rPr>
        <w:t>；</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（2）依法向采购代理机构获取了谈判文件；</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3.2  供应商不得直接或间接地与采购单位（包括采购代理机构、采购人及用户）有任何关联，亦不得是采购单位的附属机构。如果供应商在谈判中隐瞒了上述关系，则该谈判无效。</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3.3  如果在谈判文件中接受联合体谈判（见供应商须知前附表），则两个以上供应商可以组成一个谈判联合体，以一个供应商的身份谈判。以联合体形式参加谈判的，联合体各方均应当符合政府采购法第二十二条第一款规定的条件。采购人根据采购项目的特殊要求规定供应商特定条件的，联合体各方中至少应当有一方符合采购人规定的特定条件。联合体中有同类资质的供应商按照联合体分工承担相同工作的，按照资质等级较低的供应商确定资质等级。</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联合体各方之间应当签订共同谈判协议，明确约定联合体各方承担的工作和相应的责任，并将共同谈判协议附在竞争性谈判响应文件中一并提交。联合体各方签订共同谈判协议后，不得再以自己名义单独在同一项目中谈判，也不得组成新的联合体参加同一项目谈判，否则，其相关谈判均为无效。</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3.5 “信用中国”（www.creditchina.gov.cn）及“中国政府采购网”（www.ccgp.gov.cn）为供应商信用信息查询渠道，如果供应商被查实在投标截止日前已列入失信被执行人，重大税收违法案件当事人名单、政府采购严重违法失信行为记录名单，</w:t>
      </w:r>
      <w:r>
        <w:rPr>
          <w:rFonts w:hint="eastAsia"/>
          <w:bCs/>
          <w:color w:val="auto"/>
          <w:sz w:val="24"/>
          <w:highlight w:val="none"/>
        </w:rPr>
        <w:t>其谈判为无效。</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4、竞争性谈判响应文件内容的真实性</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供应商应保证其竞争性谈判响应文件中所提供的所有有关谈判的资料、信息是真实的，并且来源于合法的渠道。因竞争性谈判响应文件中所提供的有关谈判的资料、信息不真实，或者其来源不合法而导致的所有法律责任，由供应商自行承担。</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5、费用</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5.1  供应商应承担所有与编写和提交竞争性谈判响应文件有关的费用，无论谈判过程中的做法和结果如何，采购人和采购代理机构在任何情况下均无义务和责任承担这些费用。</w:t>
      </w:r>
    </w:p>
    <w:p>
      <w:pPr>
        <w:spacing w:before="240" w:after="120"/>
        <w:jc w:val="center"/>
        <w:outlineLvl w:val="2"/>
        <w:rPr>
          <w:rFonts w:ascii="宋体" w:hAnsi="宋体" w:cs="宋体"/>
          <w:b/>
          <w:bCs/>
          <w:color w:val="auto"/>
          <w:sz w:val="24"/>
          <w:highlight w:val="none"/>
        </w:rPr>
      </w:pPr>
      <w:r>
        <w:rPr>
          <w:rFonts w:hint="eastAsia" w:ascii="宋体" w:hAnsi="宋体" w:cs="宋体"/>
          <w:b/>
          <w:bCs/>
          <w:color w:val="auto"/>
          <w:sz w:val="24"/>
          <w:highlight w:val="none"/>
        </w:rPr>
        <w:t>二、谈判文件</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6、谈判文件的构成</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6.1  谈判文件是供应商准备竞争性谈判响应文件和参加谈判会议的依据，同时也是评审的重要依据。谈判文件用以阐明采购项目所需的资质、技术、服务及报价等要求、招标谈判程序、评审办法与标准、有关规定和注意事项以及合同主要条款等。本谈判文件包括以下内容：</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（1）竞争性谈判公告；</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（2）供应商须知；</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（3）评审办法；</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（4）采购内容及技术要求；</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（5）合同条款；</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（6）竞争性谈判响应文件格式。</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6.2  供应商应认真阅读和充分理解谈判文件中所有的事项、格式条款和规范要求。如果供应商没有按照谈判文件要求提交全部资料，或者竞争性谈判响应文件没有对谈判文件在各方面都做出实质性响应，由此带来的不利于供应商的评审结果，其风险由供应商承担。</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6.3  本谈判文件的解释权归采购人和采购代理机构。</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7、谈判文件的澄清和修改</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7.1  提交首次响应文件截止之日前，采购人、采购代理机构或者谈判小组可以对已发出的谈判文件进行必要的澄清或者修改，澄清或者修改的内容作为谈判文件的组成部分。</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7.2  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该澄清或者修改的内容为谈判文件的组成部分。供应商在收到上述通知后，应立即以书面形式（传真或邮件）向采购代理机构确认。</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 xml:space="preserve">7.3  </w:t>
      </w:r>
      <w:r>
        <w:rPr>
          <w:rFonts w:hint="eastAsia"/>
          <w:snapToGrid w:val="0"/>
          <w:color w:val="auto"/>
          <w:sz w:val="24"/>
          <w:highlight w:val="none"/>
        </w:rPr>
        <w:t>已依法获取谈判文件的供应商对谈判文件有质疑的，应当在获取采购文件或者采购文件公告期限届满之日起7个工作日内提出，以书面形式向采购代理机构提出，在此之后提出的询问和质疑均为无效，采购代理机构不予受理</w:t>
      </w:r>
      <w:r>
        <w:rPr>
          <w:rFonts w:hint="eastAsia"/>
          <w:color w:val="auto"/>
          <w:sz w:val="24"/>
          <w:highlight w:val="none"/>
        </w:rPr>
        <w:t>。</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 xml:space="preserve">7.4  </w:t>
      </w:r>
      <w:r>
        <w:rPr>
          <w:rFonts w:hint="eastAsia"/>
          <w:snapToGrid w:val="0"/>
          <w:color w:val="auto"/>
          <w:sz w:val="24"/>
          <w:highlight w:val="none"/>
        </w:rPr>
        <w:t>对于供应商在规定时间内依法提出的质疑，采购代理机构将在7个工作日内作出答复，质疑答复的内容不得涉及商业秘密。若对谈判文件做出实质性变动，则按照相关规定延长谈判截止时间。</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7.5  供应商提出质疑应当有明确的请求和必要的证明材料。严格执行</w:t>
      </w:r>
      <w:r>
        <w:rPr>
          <w:color w:val="auto"/>
          <w:sz w:val="24"/>
          <w:highlight w:val="none"/>
        </w:rPr>
        <w:t>中华人民共和国财政部令第94号--</w:t>
      </w:r>
      <w:r>
        <w:rPr>
          <w:rFonts w:hint="eastAsia"/>
          <w:color w:val="auto"/>
          <w:sz w:val="24"/>
          <w:highlight w:val="none"/>
        </w:rPr>
        <w:t>《</w:t>
      </w:r>
      <w:r>
        <w:rPr>
          <w:color w:val="auto"/>
          <w:sz w:val="24"/>
          <w:highlight w:val="none"/>
        </w:rPr>
        <w:t>政府采购质疑和投诉办法</w:t>
      </w:r>
      <w:r>
        <w:rPr>
          <w:rFonts w:hint="eastAsia"/>
          <w:color w:val="auto"/>
          <w:sz w:val="24"/>
          <w:highlight w:val="none"/>
        </w:rPr>
        <w:t>》。质疑函范本格式在中国政府采购网站（http://www.ccgp.gov.cn/）自行下载。</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7.6  谈判文件的澄清或修改内容均以书面形式明确的内容为准。当谈判文件的澄清、修改、补充等在同一内容的表述上不一致时，以最后发出的书面文件为准。所有补充文件将作为谈判文件的组成部分，对所有供应商具有约束力。</w:t>
      </w:r>
    </w:p>
    <w:p>
      <w:pPr>
        <w:autoSpaceDE w:val="0"/>
        <w:autoSpaceDN w:val="0"/>
        <w:adjustRightInd w:val="0"/>
        <w:spacing w:line="500" w:lineRule="exact"/>
        <w:ind w:right="6" w:firstLine="480" w:firstLineChars="200"/>
        <w:rPr>
          <w:color w:val="auto"/>
          <w:sz w:val="24"/>
          <w:highlight w:val="none"/>
        </w:rPr>
      </w:pPr>
      <w:r>
        <w:rPr>
          <w:rFonts w:hint="eastAsia"/>
          <w:color w:val="auto"/>
          <w:sz w:val="24"/>
          <w:highlight w:val="none"/>
        </w:rPr>
        <w:t>7.7  谈判截止时间的延长：采购代理机构可以视采购具体情况，延长谈判截止时间。延长谈判截止时间将在财政部门指定的媒体上发布变更公告，同时将变更时间书面通知所有购买谈判文件的单位。</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8、答疑会和现场踏勘</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8.1  不组织。谈判单位可根据自身情况及需要，自行组织踏勘。</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8.2  供应商踏勘现场所发生的一切费用由供应商自己承担。</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8.3  采购人向供应商提供的有关现场的数据和资料，是采购人现有的能被供应商利用的资料，采购人对供应商做出的任何推论、理解和结论均不负责任。一旦成交，成交供应商不得以任何借口，提出额外补偿，或延长合同期限的要求。</w:t>
      </w:r>
    </w:p>
    <w:p>
      <w:pPr>
        <w:spacing w:before="240" w:after="120"/>
        <w:jc w:val="center"/>
        <w:outlineLvl w:val="2"/>
        <w:rPr>
          <w:rFonts w:ascii="宋体" w:hAnsi="宋体" w:cs="宋体"/>
          <w:b/>
          <w:bCs/>
          <w:color w:val="auto"/>
          <w:sz w:val="24"/>
          <w:highlight w:val="none"/>
        </w:rPr>
      </w:pPr>
      <w:r>
        <w:rPr>
          <w:rFonts w:hint="eastAsia" w:ascii="宋体" w:hAnsi="宋体" w:cs="宋体"/>
          <w:b/>
          <w:bCs/>
          <w:color w:val="auto"/>
          <w:sz w:val="24"/>
          <w:highlight w:val="none"/>
        </w:rPr>
        <w:t>三、竞争性谈判响应文件</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9、竞争性谈判响应文件编制的原则</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9.1  供应商应在认真阅读谈判文件所有内容的基础上，按照谈判文件的要求编制完整的竞争性谈判响应文件。供应商提交的竞争性谈判响应文件应当使用谈判文件规定的全部格式（表格可以按同样格式扩展）编写，装订成册。</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9.2  供应商必须保证竞争性谈判响应文件所提供的全部资料真实可靠，并接受对其中任何资料进一步审查的要求。供应商在政府采购过程中提供不真实的材料，无论其材料是否重要，采购人均有权拒绝，并取消其谈判资格，供应商需承担相应的后果及法律责任。</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9.3  竞争性谈判响应文件须对谈判文件中的内容做出实质性和完整的响应，否则其谈判将被拒绝。</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10、竞争性谈判响应文件的语言</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10.1  供应商提交的竞争性谈判响应文件和往来信件均须使用中文书写。竞争性谈判响应文件中如附有外文资料，必须逐一对应翻译成中文并加盖供应商公章后附在相关外文资料后面。</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10.2  翻译的中文资料与外文资料如果出现差异和矛盾时，以中文为准。必要时采购人可以要求供应商提供附有公证书的中文翻译文件或者与原版文件签章相一致的中文翻译文件。</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11、计量单位</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除技术规格及要求中另有规定外，本次采购项目下的谈判均采用国家法定的计量单位。</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12、谈判货币</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本次采购项目的谈判均以人民币报价，单位：元。</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13、知识产权</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13.1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13.2  采购人享有本项目实施过程中产生的知识成果及知识产权。</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13.3  供应商如欲在项目实施过程中采用自有知识成果，需在竞争性谈判响应文件中声明，并提供相关知识产权证明文件。使用该知识成果后，供应商需提供开发接口和开发手册等技术文档，并承诺提供无限期技术支持，采购人享有永久使用权。</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13.4  如采用供应商所不拥有的知识产权，则在谈判报价中必须包括合法获取该知识产权的相关费用。</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14、竞争性谈判响应文件的组成</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所有采购货物只允许供应商有一个谈判方案，不接受任何有选择的方案和报价（包括有条件的折扣）。供应商未按要求，提供了选择方案报价的，其谈判将被拒绝。供应商编写的竞争性谈判响应文件应包括下列内容：</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一、法定代表人身份证明书</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二、法定代表人授权书</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三、谈判响应函</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四、竞争性谈判报价一览表</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五、分项报价表</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六、资格文件</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七、谈判方案</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八、供应商认为有必要补充说明的事宜</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九、《拒绝政府采购领域商业贿赂承诺书》</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w:t>
      </w:r>
      <w:r>
        <w:rPr>
          <w:rFonts w:hint="eastAsia"/>
          <w:color w:val="auto"/>
          <w:sz w:val="24"/>
          <w:highlight w:val="none"/>
        </w:rPr>
        <w:t xml:space="preserve"> </w:t>
      </w:r>
      <w:r>
        <w:rPr>
          <w:rFonts w:hint="eastAsia"/>
          <w:color w:val="auto"/>
          <w:sz w:val="24"/>
          <w:highlight w:val="none"/>
        </w:rPr>
        <w:t>注：供应商应对谈判文件的技术要求完全响应，不得负偏离，优于处做出注明和说明；对谈判文件的商务要求完全响应，偏离处做出注明和说明。</w:t>
      </w:r>
    </w:p>
    <w:p>
      <w:pPr>
        <w:autoSpaceDE w:val="0"/>
        <w:autoSpaceDN w:val="0"/>
        <w:adjustRightInd w:val="0"/>
        <w:spacing w:line="500" w:lineRule="exact"/>
        <w:ind w:right="6"/>
        <w:rPr>
          <w:color w:val="auto"/>
          <w:sz w:val="24"/>
          <w:highlight w:val="none"/>
        </w:rPr>
      </w:pPr>
      <w:r>
        <w:rPr>
          <w:rFonts w:hint="eastAsia" w:ascii="宋体" w:hAnsi="宋体" w:cs="宋体"/>
          <w:b/>
          <w:bCs/>
          <w:color w:val="auto"/>
          <w:kern w:val="0"/>
          <w:sz w:val="24"/>
          <w:highlight w:val="none"/>
        </w:rPr>
        <w:t>15、谈判报价</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15.1  供应商应按照“供应商须知前附表”中的规定和要求报价，</w:t>
      </w:r>
      <w:r>
        <w:rPr>
          <w:rFonts w:hint="eastAsia" w:ascii="新宋体" w:hAnsi="新宋体" w:eastAsia="新宋体" w:cs="新宋体"/>
          <w:b/>
          <w:bCs/>
          <w:color w:val="auto"/>
          <w:sz w:val="24"/>
          <w:highlight w:val="none"/>
          <w:shd w:val="clear" w:color="auto" w:fill="FFFFFF"/>
        </w:rPr>
        <w:t>报价超过谈判文件中规定的最高限价的</w:t>
      </w:r>
      <w:r>
        <w:rPr>
          <w:rFonts w:hint="eastAsia"/>
          <w:b/>
          <w:bCs/>
          <w:color w:val="auto"/>
          <w:sz w:val="24"/>
          <w:highlight w:val="none"/>
        </w:rPr>
        <w:t>将按照无效谈判处理。</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15.2  供应商应按照谈判报价表的内容标明谈判的所有单项价格和总价。谈判报价是完成采购内容所需的全部费用。谈判报价表成交明的价格应为履行合同的固定价格，不得以任何理由予以变更。任何有选择的报价以及可调整价格提交的谈判均按照无效谈判处理。</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15.3  如果在谈判文件中没有允许提供备选方案，则每个供应商只允许提交一个谈判方案，否则，其谈判按照无效谈判处理。如果允许提供备选方案，则按照评审方法中的规定对备选方案进行评审。</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15.4  凡因供应商对谈判文件阅读不深、理解不透、误解、疏漏、或因市场行情了解不清造成的后果和风险均由供应商自行负责。</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15.5  谈判过程中所产生的一切费用由供应商自行承担。</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16、证明供应商资格的证明文件</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16.1 供应商须按谈判文件“供应商须知前附表”的要求，提交证明文件（在竞争性谈判响应文件中提交合格的资格证明文件加盖公章的复印件），以证明其有资格参加谈判和成交后有履行合同的能力，并作为其竞争性谈判响应文件的一部分。如果资格证明文件不全或不合格的，其谈判将按无效竞争性谈判响应文件处理。</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16.2 供应商还应按照谈判文件的要求，提交其他的证明其实力、信誉、业绩等的证明文件。</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17、谈判保证金</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根据</w:t>
      </w:r>
      <w:r>
        <w:rPr>
          <w:color w:val="auto"/>
          <w:sz w:val="24"/>
          <w:highlight w:val="none"/>
        </w:rPr>
        <w:t>财政部关于促进政府采购公平竞争优化营商环境的通知</w:t>
      </w:r>
      <w:r>
        <w:rPr>
          <w:rFonts w:hint="eastAsia"/>
          <w:color w:val="auto"/>
          <w:sz w:val="24"/>
          <w:highlight w:val="none"/>
        </w:rPr>
        <w:t xml:space="preserve">  </w:t>
      </w:r>
      <w:r>
        <w:rPr>
          <w:color w:val="auto"/>
          <w:sz w:val="24"/>
          <w:highlight w:val="none"/>
        </w:rPr>
        <w:t>财库</w:t>
      </w:r>
      <w:r>
        <w:rPr>
          <w:rFonts w:hint="eastAsia"/>
          <w:color w:val="auto"/>
          <w:sz w:val="24"/>
          <w:highlight w:val="none"/>
        </w:rPr>
        <w:t>【</w:t>
      </w:r>
      <w:r>
        <w:rPr>
          <w:color w:val="auto"/>
          <w:sz w:val="24"/>
          <w:highlight w:val="none"/>
        </w:rPr>
        <w:t>2019</w:t>
      </w:r>
      <w:r>
        <w:rPr>
          <w:rFonts w:hint="eastAsia"/>
          <w:color w:val="auto"/>
          <w:sz w:val="24"/>
          <w:highlight w:val="none"/>
        </w:rPr>
        <w:t>】</w:t>
      </w:r>
      <w:r>
        <w:rPr>
          <w:color w:val="auto"/>
          <w:sz w:val="24"/>
          <w:highlight w:val="none"/>
        </w:rPr>
        <w:t>38号</w:t>
      </w:r>
      <w:r>
        <w:rPr>
          <w:rFonts w:hint="eastAsia"/>
          <w:color w:val="auto"/>
          <w:sz w:val="24"/>
          <w:highlight w:val="none"/>
        </w:rPr>
        <w:t>及西安市财政局关于促进政府采购公平竞争优化营商环境的通知（市财函【2021】431号），本谈判项目不收取谈判保证金。</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18、谈判有效期</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18.1  谈判有效期见供应商须知前附表。谈判有效期短于此规定期限的谈判，将被拒绝。在有效期内竞争性谈判响应文件对供应商具有法律约束力，以保证采购人完成评审、定标以及合同签订事项。成交单位的竞争性谈判响应文件有效期自动延长至合同执行完毕。</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18.2  特殊情况需延长谈判有效期的，采购代理机构可于谈判有效期届满之前，要求供应商同意延长有效期，采购代理机构的要求与供应商的答复均应为书面形式。供应商拒绝延长的，其谈判在原谈判有效期期届满后将不再有效，但有权收回其谈判保证金；供应商同意延长的，应相应延长其谈判保证金的有效期，但不允许修改或撤回竞争性谈判响应文件。</w:t>
      </w:r>
    </w:p>
    <w:p>
      <w:pPr>
        <w:spacing w:before="240" w:after="120"/>
        <w:jc w:val="center"/>
        <w:outlineLvl w:val="2"/>
        <w:rPr>
          <w:rFonts w:ascii="宋体" w:hAnsi="宋体" w:cs="宋体"/>
          <w:b/>
          <w:bCs/>
          <w:color w:val="auto"/>
          <w:sz w:val="24"/>
          <w:highlight w:val="none"/>
        </w:rPr>
      </w:pPr>
      <w:r>
        <w:rPr>
          <w:rFonts w:hint="eastAsia" w:ascii="宋体" w:hAnsi="宋体" w:cs="宋体"/>
          <w:b/>
          <w:bCs/>
          <w:color w:val="auto"/>
          <w:sz w:val="24"/>
          <w:highlight w:val="none"/>
        </w:rPr>
        <w:t>四、谈判</w:t>
      </w:r>
      <w:r>
        <w:rPr>
          <w:rFonts w:hint="eastAsia" w:ascii="宋体" w:hAnsi="宋体" w:cs="宋体"/>
          <w:b/>
          <w:bCs/>
          <w:color w:val="auto"/>
          <w:kern w:val="0"/>
          <w:sz w:val="24"/>
          <w:highlight w:val="none"/>
        </w:rPr>
        <w:t>响应文件的递交</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19、竞争性谈判响应文件的密封和标注</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19.1 供应商应按“供应商须知前附表”要求提供竞争性谈判响应文件的份数。谈判单位须依据谈判文件内容和竞争性谈判响应文件格式的要求编制竞争性谈判响应文件。供应商应填写全称，同时按谈判文件要求加盖公章及签署，签署、盖章和内容应完整</w:t>
      </w:r>
      <w:r>
        <w:rPr>
          <w:rFonts w:hint="eastAsia"/>
          <w:b/>
          <w:bCs/>
          <w:color w:val="auto"/>
          <w:sz w:val="24"/>
          <w:highlight w:val="none"/>
        </w:rPr>
        <w:t>。</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19.2 供应商应按“供应商须知前附表”准备竞争性谈判响应文件正本、副本、竞争性谈判报价一览表及相应的电子文档。竞争性谈判响应文件的正本和所有的副本均须用A4纸打印或用不褪色的蓝（黑）墨水填写，字迹应清晰易于辨认。</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19.3 供应商应将投标文件正本、所有副本、电子版、谈判报价一览表分别单独密封在封袋中（封袋不得有破损）。封袋应加贴封条，并在封线处加盖供应商公章和法定代表人章（或委托代理人签字）。封面清楚地注明“正本”或“副本”或“竞争性谈判报价一览表”、供应商名称、项目名称、项目编号及“请勿在   年  月  日  时  分之前启封”等字样。如果供应商未对响应文件按上述要求进行完好密封，由此产生的不利后果由供应商自行承担。</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19.4 单独密封竞争性谈判报价一览表报价必须与谈判响应文件正本中的竞争性谈判报价一览表报价一致，若不一致，则按单独密封的竞争性谈判报价一览表为准。竞争性谈判响应文件均应统一胶装、编码；若正本和副本有不一致的内容，以正本竞争性谈判响应文件为准。</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19.5 除供应商对错处作必要修改外，竞争性谈判响应文件中不许有加行、涂抹或改写。若有修改须由签署竞争性谈判响应文件的委托代理人在旁边签字才有效。字迹潦草、表达不清或可能导致非唯一理解造成不利后果的谈判响应文件由供应商自己负责。</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19.6  采购人拒绝接受以电报、电话、传真、电子邮件、邮寄形式的谈判。</w:t>
      </w:r>
    </w:p>
    <w:p>
      <w:pPr>
        <w:autoSpaceDE w:val="0"/>
        <w:autoSpaceDN w:val="0"/>
        <w:adjustRightInd w:val="0"/>
        <w:spacing w:line="500" w:lineRule="exact"/>
        <w:ind w:right="6"/>
        <w:rPr>
          <w:b/>
          <w:bCs/>
          <w:color w:val="auto"/>
          <w:sz w:val="24"/>
          <w:highlight w:val="none"/>
        </w:rPr>
      </w:pPr>
      <w:r>
        <w:rPr>
          <w:rFonts w:hint="eastAsia"/>
          <w:b/>
          <w:bCs/>
          <w:color w:val="auto"/>
          <w:sz w:val="24"/>
          <w:highlight w:val="none"/>
        </w:rPr>
        <w:t xml:space="preserve">20、竞争性谈判响应文件的递交 </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20.1  竞争性谈判响应文件的截止时间及谈判地点见本须知前附表的规定，供应商应在谈判文件规定的谈判截止时间前，将竞争性谈判响应文件按供应商须知前附表的规定密封后送达谈判地点。谈判截止时间以后送达的竞争性谈判响应文件将被拒绝。</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20.2  采购代理机构项目接收人在谈判文件规定的竞争性谈判响应文件递交截止时间前，只负责竞争性谈判响应文件的接收、清点、造册登记工作，并请递交人签字确认，对其有效性不负任何责任。</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20.3  在采购过程中符合要求的供应商或者报价未超过采购预算的供应商不足3家的，采购代理机构应当终止竞争性谈判采购活动，发布项目终止公告并说明原因，重新开展采购活动；</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20.4  采购人可按本须知的规定以修改补充通知的方式，酌情延长提交竞争性谈判响应文件的截止时间。在此情况下，供应商的所有权利和义务以及供应商受制约的截止时间，均以延长后新的谈判截止时间为准。</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20.5  本次招标不接受邮寄的竞争性谈判响应文件。</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21、竞争性谈判响应文件的补充、修改和撤回</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21.1  供应商在递交竞争性谈判响应文件以后，可以修改或撤回其竞争性谈判响应文件，但必须在规定的谈判截止时间前，且以书面形式通知采购人。补充、修改的内容为竞争性谈判响应文件的组成部分。</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21.2  供应商对竞争性谈判响应文件的修改、补充和撤回，应按本须知的有关规定密封、标记和提交，并在竞争性谈判响应文件密封袋上清楚标明“补充、修改”或“撤回”字样。采购代理机构不退还供应商已撤回的竞争性谈判响应文件（包括纸质和电子版）。</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21.3  在谈判截止时间之后，供应商不得对其递交的竞争性谈判响应文件做任何补充、修改或撤回谈判。</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21.4  在谈判截止时间至谈判有效期满之前，供应商不得撤回其竞争性谈判响应文件，否则其谈判保证金将被没收。</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22、谈判纪律要求</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22.1  供应商参加谈判不得有下列情形：</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（1）提供虚假材料谋取成交；</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（2）采取不正当手段诋毁、排挤其他供应商；</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（3）与采购单位、其他供应商恶意串通；</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（4）向采购人、采购代理机构单位、谈判小组成员行贿或者提供其他不正当利益；</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（5）在采购过程中与采购单位进行协商谈判；</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（6）拒绝有关部门的监督检查或者向监督检查部门提供虚假情况。</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有上述情形之一的供应商，属于不合格供应商，其谈判或成交资格将被取消。</w:t>
      </w:r>
    </w:p>
    <w:p>
      <w:pPr>
        <w:spacing w:before="240" w:after="120"/>
        <w:jc w:val="center"/>
        <w:outlineLvl w:val="2"/>
        <w:rPr>
          <w:rFonts w:ascii="宋体" w:hAnsi="宋体" w:cs="宋体"/>
          <w:b/>
          <w:bCs/>
          <w:color w:val="auto"/>
          <w:sz w:val="24"/>
          <w:highlight w:val="none"/>
        </w:rPr>
      </w:pPr>
      <w:r>
        <w:rPr>
          <w:rFonts w:hint="eastAsia" w:ascii="宋体" w:hAnsi="宋体" w:cs="宋体"/>
          <w:b/>
          <w:bCs/>
          <w:color w:val="auto"/>
          <w:sz w:val="24"/>
          <w:highlight w:val="none"/>
        </w:rPr>
        <w:t>五、谈判</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23、谈判时间和地点</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23.1  采购代理机构在供应商须知前附表中规定的谈判截止时间和地点组织公开谈判，采购人、供应商须派代表参加并签到以证明其出席。</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23.2  按本须知规定为无效的竞争性谈判响应文件，不予送交谈判小组评审。</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24、谈判</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24.1  谈判会议由采购代理机构主持；</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24.2  谈判会议开始，由供应商的法人代表或授权代表与采购人监标代表共同检查竞争性谈判响应文件的密封情况，签字确认并宣读检查结果。</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24.3 谈判时，由采购人检查各供应商的资格证明文件，签字确认并宣读检查结果。未通过资格性审查的按无效竞争性谈判响应文件处理，竞争性谈判响应文件不退。</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24.4 谈判开始后，在谈判小组对响应文件进行评审时，依据谈判文件规定的程序、评定成交的标准等事项与实质性响应谈判文件要求的供应商进行谈判。未实质性响应谈判文件的响应文件按无效处理，谈判小组将告知供应商。</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24.5  谈判小组所有成员集中与单一报价人分别进行谈判，并给予所有参加谈判的报价人平等的谈判机会。</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24.6  谈判结束后，谈判小组要求所有继续参加谈判的报价人在规定时间内提交最后报价，最后报价是报价人响应文件的有效组成部分。</w:t>
      </w:r>
    </w:p>
    <w:p>
      <w:pPr>
        <w:spacing w:before="240" w:after="120"/>
        <w:jc w:val="center"/>
        <w:outlineLvl w:val="2"/>
        <w:rPr>
          <w:rFonts w:ascii="宋体" w:hAnsi="宋体" w:cs="宋体"/>
          <w:b/>
          <w:bCs/>
          <w:color w:val="auto"/>
          <w:sz w:val="24"/>
          <w:highlight w:val="none"/>
        </w:rPr>
      </w:pPr>
      <w:r>
        <w:rPr>
          <w:rFonts w:hint="eastAsia" w:ascii="宋体" w:hAnsi="宋体" w:cs="宋体"/>
          <w:b/>
          <w:bCs/>
          <w:color w:val="auto"/>
          <w:sz w:val="24"/>
          <w:highlight w:val="none"/>
        </w:rPr>
        <w:t>六、评审</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25、谈判小组</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25.1  采购人将根据本次采购项目的特点，参照《中华人民共和国政府采购法》、中华人民共和国2015年第658号国务院令--《中华人民共和国政府采购法实施条例》和</w:t>
      </w:r>
      <w:r>
        <w:rPr>
          <w:rFonts w:hint="eastAsia" w:ascii="宋体" w:hAnsi="宋体" w:cs="宋体"/>
          <w:color w:val="auto"/>
          <w:sz w:val="24"/>
          <w:highlight w:val="none"/>
        </w:rPr>
        <w:t>《政府采购非招标采购方式管理办法》</w:t>
      </w:r>
      <w:r>
        <w:rPr>
          <w:rFonts w:hint="eastAsia"/>
          <w:color w:val="auto"/>
          <w:sz w:val="24"/>
          <w:highlight w:val="none"/>
        </w:rPr>
        <w:t>等政策法规的规定，依法组建谈判小组。谈判小组按照谈判文件规定的评审方法独立进行评审工作。</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25.2  谈判小组成员到位后，推荐一名评审专家担任评审组长，并由评审组长牵头组织该项目评审工作，采购人授权的评审专家，不得担任评审组长。</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25.3  谈判小组</w:t>
      </w:r>
      <w:r>
        <w:rPr>
          <w:color w:val="auto"/>
          <w:sz w:val="24"/>
          <w:highlight w:val="none"/>
        </w:rPr>
        <w:t>不得有下列行为</w:t>
      </w:r>
      <w:r>
        <w:rPr>
          <w:rFonts w:hint="eastAsia"/>
          <w:color w:val="auto"/>
          <w:sz w:val="24"/>
          <w:highlight w:val="none"/>
        </w:rPr>
        <w:t>，</w:t>
      </w:r>
      <w:r>
        <w:rPr>
          <w:color w:val="auto"/>
          <w:sz w:val="24"/>
          <w:highlight w:val="none"/>
        </w:rPr>
        <w:t>其评审意见无效，并不得获取评审劳务报酬和报销异地评审差旅费</w:t>
      </w:r>
    </w:p>
    <w:p>
      <w:pPr>
        <w:autoSpaceDE w:val="0"/>
        <w:autoSpaceDN w:val="0"/>
        <w:adjustRightInd w:val="0"/>
        <w:spacing w:line="500" w:lineRule="exact"/>
        <w:ind w:right="6" w:firstLine="420"/>
        <w:rPr>
          <w:color w:val="auto"/>
          <w:sz w:val="24"/>
          <w:highlight w:val="none"/>
        </w:rPr>
      </w:pPr>
      <w:r>
        <w:rPr>
          <w:color w:val="auto"/>
          <w:sz w:val="24"/>
          <w:highlight w:val="none"/>
        </w:rPr>
        <w:t>（</w:t>
      </w:r>
      <w:r>
        <w:rPr>
          <w:rFonts w:hint="eastAsia"/>
          <w:color w:val="auto"/>
          <w:sz w:val="24"/>
          <w:highlight w:val="none"/>
        </w:rPr>
        <w:t>1</w:t>
      </w:r>
      <w:r>
        <w:rPr>
          <w:color w:val="auto"/>
          <w:sz w:val="24"/>
          <w:highlight w:val="none"/>
        </w:rPr>
        <w:t>）确定参与</w:t>
      </w:r>
      <w:r>
        <w:rPr>
          <w:rFonts w:hint="eastAsia"/>
          <w:color w:val="auto"/>
          <w:sz w:val="24"/>
          <w:highlight w:val="none"/>
        </w:rPr>
        <w:t>谈判</w:t>
      </w:r>
      <w:r>
        <w:rPr>
          <w:color w:val="auto"/>
          <w:sz w:val="24"/>
          <w:highlight w:val="none"/>
        </w:rPr>
        <w:t>至</w:t>
      </w:r>
      <w:r>
        <w:rPr>
          <w:rFonts w:hint="eastAsia"/>
          <w:color w:val="auto"/>
          <w:sz w:val="24"/>
          <w:highlight w:val="none"/>
        </w:rPr>
        <w:t>谈判</w:t>
      </w:r>
      <w:r>
        <w:rPr>
          <w:color w:val="auto"/>
          <w:sz w:val="24"/>
          <w:highlight w:val="none"/>
        </w:rPr>
        <w:t>结束前私自接触</w:t>
      </w:r>
      <w:r>
        <w:rPr>
          <w:rFonts w:hint="eastAsia"/>
          <w:color w:val="auto"/>
          <w:sz w:val="24"/>
          <w:highlight w:val="none"/>
        </w:rPr>
        <w:t>供应商</w:t>
      </w:r>
      <w:r>
        <w:rPr>
          <w:color w:val="auto"/>
          <w:sz w:val="24"/>
          <w:highlight w:val="none"/>
        </w:rPr>
        <w:t>；</w:t>
      </w:r>
    </w:p>
    <w:p>
      <w:pPr>
        <w:autoSpaceDE w:val="0"/>
        <w:autoSpaceDN w:val="0"/>
        <w:adjustRightInd w:val="0"/>
        <w:spacing w:line="500" w:lineRule="exact"/>
        <w:ind w:right="6" w:firstLine="420"/>
        <w:rPr>
          <w:color w:val="auto"/>
          <w:sz w:val="24"/>
          <w:highlight w:val="none"/>
        </w:rPr>
      </w:pPr>
      <w:r>
        <w:rPr>
          <w:color w:val="auto"/>
          <w:sz w:val="24"/>
          <w:highlight w:val="none"/>
        </w:rPr>
        <w:t>（</w:t>
      </w:r>
      <w:r>
        <w:rPr>
          <w:rFonts w:hint="eastAsia"/>
          <w:color w:val="auto"/>
          <w:sz w:val="24"/>
          <w:highlight w:val="none"/>
        </w:rPr>
        <w:t>2</w:t>
      </w:r>
      <w:r>
        <w:rPr>
          <w:color w:val="auto"/>
          <w:sz w:val="24"/>
          <w:highlight w:val="none"/>
        </w:rPr>
        <w:t>）接受</w:t>
      </w:r>
      <w:r>
        <w:rPr>
          <w:rFonts w:hint="eastAsia"/>
          <w:color w:val="auto"/>
          <w:sz w:val="24"/>
          <w:highlight w:val="none"/>
        </w:rPr>
        <w:t>供应商</w:t>
      </w:r>
      <w:r>
        <w:rPr>
          <w:color w:val="auto"/>
          <w:sz w:val="24"/>
          <w:highlight w:val="none"/>
        </w:rPr>
        <w:t>提出的与</w:t>
      </w:r>
      <w:r>
        <w:rPr>
          <w:rFonts w:hint="eastAsia"/>
          <w:color w:val="auto"/>
          <w:sz w:val="24"/>
          <w:highlight w:val="none"/>
        </w:rPr>
        <w:t>谈判响应</w:t>
      </w:r>
      <w:r>
        <w:rPr>
          <w:color w:val="auto"/>
          <w:sz w:val="24"/>
          <w:highlight w:val="none"/>
        </w:rPr>
        <w:t>文件不一致的澄清或者说明；</w:t>
      </w:r>
    </w:p>
    <w:p>
      <w:pPr>
        <w:autoSpaceDE w:val="0"/>
        <w:autoSpaceDN w:val="0"/>
        <w:adjustRightInd w:val="0"/>
        <w:spacing w:line="500" w:lineRule="exact"/>
        <w:ind w:right="6" w:firstLine="420"/>
        <w:rPr>
          <w:color w:val="auto"/>
          <w:sz w:val="24"/>
          <w:highlight w:val="none"/>
        </w:rPr>
      </w:pPr>
      <w:r>
        <w:rPr>
          <w:color w:val="auto"/>
          <w:sz w:val="24"/>
          <w:highlight w:val="none"/>
        </w:rPr>
        <w:t>（</w:t>
      </w:r>
      <w:r>
        <w:rPr>
          <w:rFonts w:hint="eastAsia"/>
          <w:color w:val="auto"/>
          <w:sz w:val="24"/>
          <w:highlight w:val="none"/>
        </w:rPr>
        <w:t>3</w:t>
      </w:r>
      <w:r>
        <w:rPr>
          <w:color w:val="auto"/>
          <w:sz w:val="24"/>
          <w:highlight w:val="none"/>
        </w:rPr>
        <w:t>）违反评标纪律发表倾向性意见或者征询采购人的倾向性意见；</w:t>
      </w:r>
    </w:p>
    <w:p>
      <w:pPr>
        <w:autoSpaceDE w:val="0"/>
        <w:autoSpaceDN w:val="0"/>
        <w:adjustRightInd w:val="0"/>
        <w:spacing w:line="500" w:lineRule="exact"/>
        <w:ind w:right="6" w:firstLine="420"/>
        <w:rPr>
          <w:color w:val="auto"/>
          <w:sz w:val="24"/>
          <w:highlight w:val="none"/>
        </w:rPr>
      </w:pPr>
      <w:r>
        <w:rPr>
          <w:color w:val="auto"/>
          <w:sz w:val="24"/>
          <w:highlight w:val="none"/>
        </w:rPr>
        <w:t>（</w:t>
      </w:r>
      <w:r>
        <w:rPr>
          <w:rFonts w:hint="eastAsia"/>
          <w:color w:val="auto"/>
          <w:sz w:val="24"/>
          <w:highlight w:val="none"/>
        </w:rPr>
        <w:t>4</w:t>
      </w:r>
      <w:r>
        <w:rPr>
          <w:color w:val="auto"/>
          <w:sz w:val="24"/>
          <w:highlight w:val="none"/>
        </w:rPr>
        <w:t>）对需要专业判断的主观评审因素协商评分；</w:t>
      </w:r>
    </w:p>
    <w:p>
      <w:pPr>
        <w:autoSpaceDE w:val="0"/>
        <w:autoSpaceDN w:val="0"/>
        <w:adjustRightInd w:val="0"/>
        <w:spacing w:line="500" w:lineRule="exact"/>
        <w:ind w:right="6" w:firstLine="420"/>
        <w:rPr>
          <w:color w:val="auto"/>
          <w:sz w:val="24"/>
          <w:highlight w:val="none"/>
        </w:rPr>
      </w:pPr>
      <w:r>
        <w:rPr>
          <w:color w:val="auto"/>
          <w:sz w:val="24"/>
          <w:highlight w:val="none"/>
        </w:rPr>
        <w:t>（</w:t>
      </w:r>
      <w:r>
        <w:rPr>
          <w:rFonts w:hint="eastAsia"/>
          <w:color w:val="auto"/>
          <w:sz w:val="24"/>
          <w:highlight w:val="none"/>
        </w:rPr>
        <w:t>5</w:t>
      </w:r>
      <w:r>
        <w:rPr>
          <w:color w:val="auto"/>
          <w:sz w:val="24"/>
          <w:highlight w:val="none"/>
        </w:rPr>
        <w:t>）在</w:t>
      </w:r>
      <w:r>
        <w:rPr>
          <w:rFonts w:hint="eastAsia"/>
          <w:color w:val="auto"/>
          <w:sz w:val="24"/>
          <w:highlight w:val="none"/>
        </w:rPr>
        <w:t>谈判</w:t>
      </w:r>
      <w:r>
        <w:rPr>
          <w:color w:val="auto"/>
          <w:sz w:val="24"/>
          <w:highlight w:val="none"/>
        </w:rPr>
        <w:t>过程中擅离职守，影响</w:t>
      </w:r>
      <w:r>
        <w:rPr>
          <w:rFonts w:hint="eastAsia"/>
          <w:color w:val="auto"/>
          <w:sz w:val="24"/>
          <w:highlight w:val="none"/>
        </w:rPr>
        <w:t>谈判</w:t>
      </w:r>
      <w:r>
        <w:rPr>
          <w:color w:val="auto"/>
          <w:sz w:val="24"/>
          <w:highlight w:val="none"/>
        </w:rPr>
        <w:t>程序正常进行的；</w:t>
      </w:r>
    </w:p>
    <w:p>
      <w:pPr>
        <w:autoSpaceDE w:val="0"/>
        <w:autoSpaceDN w:val="0"/>
        <w:adjustRightInd w:val="0"/>
        <w:spacing w:line="500" w:lineRule="exact"/>
        <w:ind w:right="6" w:firstLine="420"/>
        <w:rPr>
          <w:color w:val="auto"/>
          <w:sz w:val="24"/>
          <w:highlight w:val="none"/>
        </w:rPr>
      </w:pPr>
      <w:r>
        <w:rPr>
          <w:color w:val="auto"/>
          <w:sz w:val="24"/>
          <w:highlight w:val="none"/>
        </w:rPr>
        <w:t>（</w:t>
      </w:r>
      <w:r>
        <w:rPr>
          <w:rFonts w:hint="eastAsia"/>
          <w:color w:val="auto"/>
          <w:sz w:val="24"/>
          <w:highlight w:val="none"/>
        </w:rPr>
        <w:t>6</w:t>
      </w:r>
      <w:r>
        <w:rPr>
          <w:color w:val="auto"/>
          <w:sz w:val="24"/>
          <w:highlight w:val="none"/>
        </w:rPr>
        <w:t>）记录、复制或者带走任何</w:t>
      </w:r>
      <w:r>
        <w:rPr>
          <w:rFonts w:hint="eastAsia"/>
          <w:color w:val="auto"/>
          <w:sz w:val="24"/>
          <w:highlight w:val="none"/>
        </w:rPr>
        <w:t>谈判</w:t>
      </w:r>
      <w:r>
        <w:rPr>
          <w:color w:val="auto"/>
          <w:sz w:val="24"/>
          <w:highlight w:val="none"/>
        </w:rPr>
        <w:t>资料；</w:t>
      </w:r>
    </w:p>
    <w:p>
      <w:pPr>
        <w:autoSpaceDE w:val="0"/>
        <w:autoSpaceDN w:val="0"/>
        <w:adjustRightInd w:val="0"/>
        <w:spacing w:line="500" w:lineRule="exact"/>
        <w:ind w:right="6" w:firstLine="420"/>
        <w:rPr>
          <w:color w:val="auto"/>
          <w:sz w:val="24"/>
          <w:highlight w:val="none"/>
        </w:rPr>
      </w:pPr>
      <w:r>
        <w:rPr>
          <w:color w:val="auto"/>
          <w:sz w:val="24"/>
          <w:highlight w:val="none"/>
        </w:rPr>
        <w:t>（</w:t>
      </w:r>
      <w:r>
        <w:rPr>
          <w:rFonts w:hint="eastAsia"/>
          <w:color w:val="auto"/>
          <w:sz w:val="24"/>
          <w:highlight w:val="none"/>
        </w:rPr>
        <w:t>7</w:t>
      </w:r>
      <w:r>
        <w:rPr>
          <w:color w:val="auto"/>
          <w:sz w:val="24"/>
          <w:highlight w:val="none"/>
        </w:rPr>
        <w:t>）其他不遵守评标纪律的行为。</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25.3  谈判小组成员有下列情形之一的，应当回避：</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（1）参加采购活动前三年内，与供应商存在劳动关系，或者担任过供应商的董事、监事，或者是供应商的控股股东或实际控制人；</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（2）与供应商的法定代表人或者负责人有夫妻、直系血亲、三代以内旁系血亲或者近姻亲关系；</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（3）与供应商有其他可能影响政府采购活动公平、公正进行的关系；</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（4）曾因在招标、评审以及其他与招标谈判有关活动中从事违法行为而受过行政处罚或刑事处罚的。</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25.4  谈判文件和竞争性谈判响应文件是评审的依据。在评审中，不得改变谈判文件中规定的评审标准、方法和成交条件。供应商不得在谈判后使用任何方式对竞争性谈判响应文件的实质性内容做任何更改。</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25.5  在评审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25.6  如果供应商在澄清规定期限内，未能答复或拒绝答复谈判小组提出的澄清要求，将由谈判小组根据其竞争性谈判响应文件按最大风险进行评审。</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25.7  谈判小组成员对各供应商竞争性谈判响应文件进行审查、质疑、评估和比较，并推荐出3名成交候选人。</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26、评审原则</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评审原则应遵循公平、公正、科学和择优的原则，并以相同的评审程序和标准对待所有的供应商。</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27、评审</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27.1  谈判小组严格按照中华人民共和国财政部2013年第74号令——《政府采购非招标采购方式管理办法》规定的程序和谈判文件规定的评审办法及标准对各竞争性谈判响应文件进行评审。</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27.2  谈判小组负责具体评审事务，并独立履行下列职责：</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（1）审查竞争性谈判响应文件是否符合谈判文件要求，并做出评价；</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（2）以书面形式要求供应商就竞争性谈判响应文件中含义不明确的内容及有关事项做出解释或者澄清，并提供相关材料；</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（3）推荐成交候选供应商名单，或者受采购人委托按照事先确定的办法直接确定成交供应商；</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（4）配合采购人、采购代理机构答复各供应商提出的质疑；</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（5）向采购单位或者有关部门报告非法干预评审工作的行为。</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27.3  评审过程严格保密</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（1）谈判小组成员和与评审活动有关的工作人员不得泄露有关竞争性谈判响应文件的评审和比较、成交候选人的推荐以及与评审有关的其他情况。</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在评审过程中，如果供应商试图在竞争性谈判响应文件的评审和比较、成交候选人的推荐以及与评审有关的其他方面，向评审人、采购人和采购代理机构施加任何影响的任何行为，都将会导致其谈判被拒绝。</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成交供应商确定后，采购人和代理机构不对未成交供应商就评审过程以及未能成交原因作出任何解释。未成交供应商不得向谈判小组组成人员或其他有关人员索问评审过程的情况和材料，其竞争性谈判响应文件不予退还（含纸质及电子版文件）。</w:t>
      </w:r>
    </w:p>
    <w:p>
      <w:pPr>
        <w:spacing w:before="240" w:after="120"/>
        <w:jc w:val="center"/>
        <w:outlineLvl w:val="2"/>
        <w:rPr>
          <w:rFonts w:ascii="宋体" w:hAnsi="宋体" w:cs="宋体"/>
          <w:b/>
          <w:bCs/>
          <w:color w:val="auto"/>
          <w:sz w:val="24"/>
          <w:highlight w:val="none"/>
        </w:rPr>
      </w:pPr>
      <w:r>
        <w:rPr>
          <w:rFonts w:hint="eastAsia" w:ascii="宋体" w:hAnsi="宋体" w:cs="宋体"/>
          <w:b/>
          <w:bCs/>
          <w:color w:val="auto"/>
          <w:sz w:val="24"/>
          <w:highlight w:val="none"/>
        </w:rPr>
        <w:t>七、定标</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28、定标原则</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采购人根据谈判小组推荐的成交候选人名单，按顺序确定成交供应商。</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29、定标程序</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29.1  谈判小组根据评审办法的规定对供应商进行评审排序，推荐三个以上成交候选人，形成评审报告，评审报告由谈判小组全体成员签字确认。</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29.2  采购代理机构应在评审结束后2个工作日内，将评审报告送采购人定标。</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29.3  采购人在收到评审报告后5个工作日内，根据</w:t>
      </w:r>
      <w:r>
        <w:rPr>
          <w:color w:val="auto"/>
          <w:sz w:val="24"/>
          <w:highlight w:val="none"/>
        </w:rPr>
        <w:t>在评标报告确定的中标候选人名单中按顺序确定中标人</w:t>
      </w:r>
      <w:r>
        <w:rPr>
          <w:rFonts w:hint="eastAsia"/>
          <w:color w:val="auto"/>
          <w:sz w:val="24"/>
          <w:highlight w:val="none"/>
        </w:rPr>
        <w:t>，同时复函采购代理机构。</w:t>
      </w:r>
      <w:r>
        <w:rPr>
          <w:color w:val="auto"/>
          <w:sz w:val="24"/>
          <w:highlight w:val="none"/>
        </w:rPr>
        <w:t>采购人在收到评标报告5个工作日内未按评标报告推荐的中标候选人顺序确定中标人，又不能说明合法理由的，视同按评标报告推荐的顺序确定排名第一的中标候选人为中标人。</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29.4  采购代理机构在接到采购人的定标复函之日起2个工作日内，根据采购人确定的成交供应商，在财政部门指定的政府采购信息发布媒体上公告</w:t>
      </w:r>
      <w:r>
        <w:rPr>
          <w:color w:val="auto"/>
          <w:sz w:val="24"/>
          <w:highlight w:val="none"/>
        </w:rPr>
        <w:t>中标结果。在公告中标结果的同时，采购人或者采购代理机构应当向中标人发出中标通知书</w:t>
      </w:r>
      <w:r>
        <w:rPr>
          <w:rFonts w:hint="eastAsia" w:ascii="Arial" w:hAnsi="Arial" w:cs="Arial"/>
          <w:color w:val="auto"/>
          <w:kern w:val="0"/>
          <w:sz w:val="24"/>
          <w:highlight w:val="none"/>
        </w:rPr>
        <w:t>。</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29.5  供应商对中标或者成交结果使自己的权益受到损害的，可以在知道或者应知其权益受到损害之日起7个工作日内，以书面形式向采购人、采购代理机构提出质疑。</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29.7  成交供应商拒绝与采购人签订合同的，采购人可以按照评审报告推荐的成交候选人名单排序，确定下一候选人为成交供应商，也可以重新开展政府采购活动。</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30、成交通知书</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30.1  成交供应商确定之后，采购代理机构将发出《成交通知书》。</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30.2  成交通知书为签订政府采购合同的依据，是合同的重要组成部分。</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30.3  成交通知书对采购人和成交供应商均具有法律效力。成交通知书发出后，采购人改变成交结果，或者成交供应商无正当理由放弃成交的，应当承担相应的法律责任。</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30.4  </w:t>
      </w:r>
      <w:r>
        <w:rPr>
          <w:rFonts w:hint="eastAsia"/>
          <w:color w:val="auto"/>
          <w:sz w:val="24"/>
          <w:highlight w:val="none"/>
        </w:rPr>
        <w:t>若排名第一的成交候选人放弃成交、因不可抗力不能履行合同、或者被查实存在影响成交结果的违法行为等情形，不符合成交条件的，采购人可以按照谈判小组提出的成交候选人名单排序依次确定其他成交候选人为成交供应商，也可以重新招标。</w:t>
      </w:r>
      <w:r>
        <w:rPr>
          <w:rFonts w:hint="eastAsia"/>
          <w:color w:val="auto"/>
          <w:sz w:val="24"/>
          <w:highlight w:val="none"/>
        </w:rPr>
        <w:t xml:space="preserve"> </w:t>
      </w:r>
    </w:p>
    <w:p>
      <w:pPr>
        <w:spacing w:before="240" w:after="120"/>
        <w:jc w:val="center"/>
        <w:outlineLvl w:val="2"/>
        <w:rPr>
          <w:rFonts w:ascii="宋体" w:hAnsi="宋体" w:cs="宋体"/>
          <w:b/>
          <w:bCs/>
          <w:color w:val="auto"/>
          <w:sz w:val="24"/>
          <w:highlight w:val="none"/>
        </w:rPr>
      </w:pPr>
      <w:r>
        <w:rPr>
          <w:rFonts w:hint="eastAsia" w:ascii="宋体" w:hAnsi="宋体" w:cs="宋体"/>
          <w:b/>
          <w:bCs/>
          <w:color w:val="auto"/>
          <w:sz w:val="24"/>
          <w:highlight w:val="none"/>
        </w:rPr>
        <w:t>八、废标</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31、废标的情形</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31.1  招标采购中，出现下列情形之一的，予以废标：</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w:t>
      </w:r>
      <w:r>
        <w:rPr>
          <w:color w:val="auto"/>
          <w:sz w:val="24"/>
          <w:highlight w:val="none"/>
        </w:rPr>
        <w:t>投标文件未按招标文件要求签署、盖章的</w:t>
      </w:r>
      <w:r>
        <w:rPr>
          <w:rFonts w:hint="eastAsia"/>
          <w:color w:val="auto"/>
          <w:sz w:val="24"/>
          <w:highlight w:val="none"/>
        </w:rPr>
        <w:t>；</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w:t>
      </w:r>
      <w:r>
        <w:rPr>
          <w:color w:val="auto"/>
          <w:sz w:val="24"/>
          <w:highlight w:val="none"/>
        </w:rPr>
        <w:t>报价超过招标文件中规定最高限价的</w:t>
      </w:r>
      <w:r>
        <w:rPr>
          <w:rFonts w:hint="eastAsia"/>
          <w:color w:val="auto"/>
          <w:sz w:val="24"/>
          <w:highlight w:val="none"/>
        </w:rPr>
        <w:t>；</w:t>
      </w:r>
    </w:p>
    <w:p>
      <w:pPr>
        <w:autoSpaceDE w:val="0"/>
        <w:autoSpaceDN w:val="0"/>
        <w:adjustRightInd w:val="0"/>
        <w:spacing w:line="500" w:lineRule="exact"/>
        <w:ind w:right="6" w:firstLine="480" w:firstLineChars="200"/>
        <w:rPr>
          <w:color w:val="auto"/>
          <w:sz w:val="24"/>
          <w:highlight w:val="none"/>
        </w:rPr>
      </w:pPr>
      <w:r>
        <w:rPr>
          <w:rFonts w:hint="eastAsia"/>
          <w:color w:val="auto"/>
          <w:sz w:val="24"/>
          <w:highlight w:val="none"/>
        </w:rPr>
        <w:t>（3）</w:t>
      </w:r>
      <w:r>
        <w:rPr>
          <w:color w:val="auto"/>
          <w:sz w:val="24"/>
          <w:highlight w:val="none"/>
        </w:rPr>
        <w:t>不具备招标文件中规定的资格要求</w:t>
      </w:r>
      <w:r>
        <w:rPr>
          <w:rFonts w:hint="eastAsia"/>
          <w:color w:val="auto"/>
          <w:sz w:val="24"/>
          <w:highlight w:val="none"/>
        </w:rPr>
        <w:t>、符合性要求</w:t>
      </w:r>
      <w:r>
        <w:rPr>
          <w:color w:val="auto"/>
          <w:sz w:val="24"/>
          <w:highlight w:val="none"/>
        </w:rPr>
        <w:t>的</w:t>
      </w:r>
      <w:r>
        <w:rPr>
          <w:rFonts w:hint="eastAsia"/>
          <w:color w:val="auto"/>
          <w:sz w:val="24"/>
          <w:highlight w:val="none"/>
        </w:rPr>
        <w:t>；</w:t>
      </w:r>
    </w:p>
    <w:p>
      <w:pPr>
        <w:autoSpaceDE w:val="0"/>
        <w:autoSpaceDN w:val="0"/>
        <w:adjustRightInd w:val="0"/>
        <w:spacing w:line="500" w:lineRule="exact"/>
        <w:ind w:right="6" w:firstLine="480" w:firstLineChars="200"/>
        <w:rPr>
          <w:color w:val="auto"/>
          <w:sz w:val="24"/>
          <w:highlight w:val="none"/>
        </w:rPr>
      </w:pPr>
      <w:r>
        <w:rPr>
          <w:rFonts w:hint="eastAsia"/>
          <w:color w:val="auto"/>
          <w:sz w:val="24"/>
          <w:highlight w:val="none"/>
        </w:rPr>
        <w:t xml:space="preserve">（4）没有按照谈判文件要求提供的谈判响应文件、谈判响应文件构成有重 </w:t>
      </w:r>
    </w:p>
    <w:p>
      <w:pPr>
        <w:autoSpaceDE w:val="0"/>
        <w:autoSpaceDN w:val="0"/>
        <w:adjustRightInd w:val="0"/>
        <w:spacing w:line="500" w:lineRule="exact"/>
        <w:ind w:right="6"/>
        <w:rPr>
          <w:color w:val="auto"/>
          <w:sz w:val="24"/>
          <w:highlight w:val="none"/>
        </w:rPr>
      </w:pPr>
      <w:r>
        <w:rPr>
          <w:rFonts w:hint="eastAsia"/>
          <w:color w:val="auto"/>
          <w:sz w:val="24"/>
          <w:highlight w:val="none"/>
        </w:rPr>
        <w:t>大缺项、谈判响应文件格式不符合谈判要求；</w:t>
      </w:r>
    </w:p>
    <w:p>
      <w:pPr>
        <w:autoSpaceDE w:val="0"/>
        <w:autoSpaceDN w:val="0"/>
        <w:adjustRightInd w:val="0"/>
        <w:spacing w:line="500" w:lineRule="exact"/>
        <w:ind w:right="6" w:firstLine="480" w:firstLineChars="200"/>
        <w:rPr>
          <w:color w:val="auto"/>
          <w:sz w:val="24"/>
          <w:highlight w:val="none"/>
        </w:rPr>
      </w:pPr>
      <w:r>
        <w:rPr>
          <w:rFonts w:hint="eastAsia"/>
          <w:color w:val="auto"/>
          <w:sz w:val="24"/>
          <w:highlight w:val="none"/>
        </w:rPr>
        <w:t xml:space="preserve">（5）供应商在同一份谈判响应文件中，对同一谈判内容报有两个或多个报价的； </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（6）</w:t>
      </w:r>
      <w:r>
        <w:rPr>
          <w:color w:val="auto"/>
          <w:sz w:val="24"/>
          <w:highlight w:val="none"/>
        </w:rPr>
        <w:t>投标文件含有采购人不能接受的附加条件的</w:t>
      </w:r>
      <w:r>
        <w:rPr>
          <w:rFonts w:hint="eastAsia"/>
          <w:color w:val="auto"/>
          <w:sz w:val="24"/>
          <w:highlight w:val="none"/>
        </w:rPr>
        <w:t>；</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（7）</w:t>
      </w:r>
      <w:r>
        <w:rPr>
          <w:color w:val="auto"/>
          <w:sz w:val="24"/>
          <w:highlight w:val="none"/>
        </w:rPr>
        <w:t>法律、法规和招标文件规定的其他无效情形。</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31.2  </w:t>
      </w:r>
      <w:r>
        <w:rPr>
          <w:color w:val="auto"/>
          <w:sz w:val="24"/>
          <w:highlight w:val="none"/>
        </w:rPr>
        <w:t>第三十七条有下列情形之一的，视为</w:t>
      </w:r>
      <w:r>
        <w:rPr>
          <w:rFonts w:hint="eastAsia"/>
          <w:color w:val="auto"/>
          <w:sz w:val="24"/>
          <w:highlight w:val="none"/>
        </w:rPr>
        <w:t>供应商</w:t>
      </w:r>
      <w:r>
        <w:rPr>
          <w:color w:val="auto"/>
          <w:sz w:val="24"/>
          <w:highlight w:val="none"/>
        </w:rPr>
        <w:t>串通</w:t>
      </w:r>
      <w:r>
        <w:rPr>
          <w:rFonts w:hint="eastAsia"/>
          <w:color w:val="auto"/>
          <w:sz w:val="24"/>
          <w:highlight w:val="none"/>
        </w:rPr>
        <w:t>谈判</w:t>
      </w:r>
      <w:r>
        <w:rPr>
          <w:color w:val="auto"/>
          <w:sz w:val="24"/>
          <w:highlight w:val="none"/>
        </w:rPr>
        <w:t>，其</w:t>
      </w:r>
      <w:r>
        <w:rPr>
          <w:rFonts w:hint="eastAsia"/>
          <w:color w:val="auto"/>
          <w:sz w:val="24"/>
          <w:highlight w:val="none"/>
        </w:rPr>
        <w:t>谈判</w:t>
      </w:r>
      <w:r>
        <w:rPr>
          <w:color w:val="auto"/>
          <w:sz w:val="24"/>
          <w:highlight w:val="none"/>
        </w:rPr>
        <w:t>无效：</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w:t>
      </w:r>
      <w:r>
        <w:rPr>
          <w:color w:val="auto"/>
          <w:sz w:val="24"/>
          <w:highlight w:val="none"/>
        </w:rPr>
        <w:t>不同</w:t>
      </w:r>
      <w:r>
        <w:rPr>
          <w:rFonts w:hint="eastAsia"/>
          <w:color w:val="auto"/>
          <w:sz w:val="24"/>
          <w:highlight w:val="none"/>
        </w:rPr>
        <w:t>供应商</w:t>
      </w:r>
      <w:r>
        <w:rPr>
          <w:color w:val="auto"/>
          <w:sz w:val="24"/>
          <w:highlight w:val="none"/>
        </w:rPr>
        <w:t>的</w:t>
      </w:r>
      <w:r>
        <w:rPr>
          <w:rFonts w:hint="eastAsia"/>
          <w:color w:val="auto"/>
          <w:sz w:val="24"/>
          <w:highlight w:val="none"/>
        </w:rPr>
        <w:t>谈判响应</w:t>
      </w:r>
      <w:r>
        <w:rPr>
          <w:color w:val="auto"/>
          <w:sz w:val="24"/>
          <w:highlight w:val="none"/>
        </w:rPr>
        <w:t>文件由同一单位或者个人编制；</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w:t>
      </w:r>
      <w:r>
        <w:rPr>
          <w:color w:val="auto"/>
          <w:sz w:val="24"/>
          <w:highlight w:val="none"/>
        </w:rPr>
        <w:t>不同</w:t>
      </w:r>
      <w:r>
        <w:rPr>
          <w:rFonts w:hint="eastAsia"/>
          <w:color w:val="auto"/>
          <w:sz w:val="24"/>
          <w:highlight w:val="none"/>
        </w:rPr>
        <w:t>供应商</w:t>
      </w:r>
      <w:r>
        <w:rPr>
          <w:color w:val="auto"/>
          <w:sz w:val="24"/>
          <w:highlight w:val="none"/>
        </w:rPr>
        <w:t>委托同一单位或者个人办理投标事宜；</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w:t>
      </w:r>
      <w:r>
        <w:rPr>
          <w:color w:val="auto"/>
          <w:sz w:val="24"/>
          <w:highlight w:val="none"/>
        </w:rPr>
        <w:t>不同</w:t>
      </w:r>
      <w:r>
        <w:rPr>
          <w:rFonts w:hint="eastAsia"/>
          <w:color w:val="auto"/>
          <w:sz w:val="24"/>
          <w:highlight w:val="none"/>
        </w:rPr>
        <w:t>供应商</w:t>
      </w:r>
      <w:r>
        <w:rPr>
          <w:color w:val="auto"/>
          <w:sz w:val="24"/>
          <w:highlight w:val="none"/>
        </w:rPr>
        <w:t>的</w:t>
      </w:r>
      <w:r>
        <w:rPr>
          <w:rFonts w:hint="eastAsia"/>
          <w:color w:val="auto"/>
          <w:sz w:val="24"/>
          <w:highlight w:val="none"/>
        </w:rPr>
        <w:t>谈判响应</w:t>
      </w:r>
      <w:r>
        <w:rPr>
          <w:color w:val="auto"/>
          <w:sz w:val="24"/>
          <w:highlight w:val="none"/>
        </w:rPr>
        <w:t>文件载明的项目管理成员或者联系人员为同一人；</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（4）</w:t>
      </w:r>
      <w:r>
        <w:rPr>
          <w:color w:val="auto"/>
          <w:sz w:val="24"/>
          <w:highlight w:val="none"/>
        </w:rPr>
        <w:t>不同</w:t>
      </w:r>
      <w:r>
        <w:rPr>
          <w:rFonts w:hint="eastAsia"/>
          <w:color w:val="auto"/>
          <w:sz w:val="24"/>
          <w:highlight w:val="none"/>
        </w:rPr>
        <w:t>供应商</w:t>
      </w:r>
      <w:r>
        <w:rPr>
          <w:color w:val="auto"/>
          <w:sz w:val="24"/>
          <w:highlight w:val="none"/>
        </w:rPr>
        <w:t>的</w:t>
      </w:r>
      <w:r>
        <w:rPr>
          <w:rFonts w:hint="eastAsia"/>
          <w:color w:val="auto"/>
          <w:sz w:val="24"/>
          <w:highlight w:val="none"/>
        </w:rPr>
        <w:t>谈判响应</w:t>
      </w:r>
      <w:r>
        <w:rPr>
          <w:color w:val="auto"/>
          <w:sz w:val="24"/>
          <w:highlight w:val="none"/>
        </w:rPr>
        <w:t>文件异常一致或者投标报价呈规律性差异；</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（5）</w:t>
      </w:r>
      <w:r>
        <w:rPr>
          <w:color w:val="auto"/>
          <w:sz w:val="24"/>
          <w:highlight w:val="none"/>
        </w:rPr>
        <w:t>不同</w:t>
      </w:r>
      <w:r>
        <w:rPr>
          <w:rFonts w:hint="eastAsia"/>
          <w:color w:val="auto"/>
          <w:sz w:val="24"/>
          <w:highlight w:val="none"/>
        </w:rPr>
        <w:t>供应商</w:t>
      </w:r>
      <w:r>
        <w:rPr>
          <w:color w:val="auto"/>
          <w:sz w:val="24"/>
          <w:highlight w:val="none"/>
        </w:rPr>
        <w:t>的</w:t>
      </w:r>
      <w:r>
        <w:rPr>
          <w:rFonts w:hint="eastAsia"/>
          <w:color w:val="auto"/>
          <w:sz w:val="24"/>
          <w:highlight w:val="none"/>
        </w:rPr>
        <w:t>谈判响应</w:t>
      </w:r>
      <w:r>
        <w:rPr>
          <w:color w:val="auto"/>
          <w:sz w:val="24"/>
          <w:highlight w:val="none"/>
        </w:rPr>
        <w:t>文件相互混装；</w:t>
      </w:r>
    </w:p>
    <w:p>
      <w:pPr>
        <w:spacing w:before="240" w:after="120"/>
        <w:jc w:val="center"/>
        <w:outlineLvl w:val="2"/>
        <w:rPr>
          <w:rFonts w:ascii="宋体" w:hAnsi="宋体" w:cs="宋体"/>
          <w:b/>
          <w:bCs/>
          <w:color w:val="auto"/>
          <w:sz w:val="24"/>
          <w:highlight w:val="none"/>
        </w:rPr>
      </w:pPr>
      <w:r>
        <w:rPr>
          <w:rFonts w:hint="eastAsia" w:ascii="宋体" w:hAnsi="宋体" w:cs="宋体"/>
          <w:b/>
          <w:bCs/>
          <w:color w:val="auto"/>
          <w:sz w:val="24"/>
          <w:highlight w:val="none"/>
        </w:rPr>
        <w:t>九、合同授予</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32、签订合同</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32.1  采购人应当自《成交通知书》发出之日起30日内，按照谈判文件和成交供应商竞争性谈判响应文件（包括评审中形成的澄清文件）的约定，与成交供应商签订书面合同。所签订的合同不得对谈判文件和成交供应商的竞争性谈判响应文件（包括评审中形成的澄清文件）作实质性修改。</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32.2  成交供应商因不可抗力或者自身原因不能履行采购合同或放弃成交的，采购人可以与排在成交供应商之后第一位的成交候选人签订政府采购合同，以此类推。</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32.3  采购人自政府采购合同签订之日起2个工作日内，将政府采购合同在省级以上人民政府财政部门指定的媒体上公告，但政府采购合同中涉及国家秘密、商业秘密的内容除外。</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33、合同实施</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33.1  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33.2  政府采购合同履行中，采购人需追加与合同标的相同的货物的，在不改变合同其他条款的前提下，可以与供应商签订补充合同，但所补充合同的采购金额不得超过原合同采购金额的百分之十。签订补充合同的应按规定备案。</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34、转包与分包</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34.1  本项目不允许采取转包方式履行合同。</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34.2  本项目经采购人同意，可以将成交项目的部分非主体、非关键性工作分包给他人完成，本项目“主体和关键性工作”是指：</w:t>
      </w:r>
      <w:r>
        <w:rPr>
          <w:rFonts w:hint="eastAsia"/>
          <w:color w:val="auto"/>
          <w:sz w:val="24"/>
          <w:highlight w:val="none"/>
          <w:u w:val="single"/>
        </w:rPr>
        <w:t xml:space="preserve">       /    </w:t>
      </w:r>
      <w:r>
        <w:rPr>
          <w:rFonts w:hint="eastAsia"/>
          <w:color w:val="auto"/>
          <w:sz w:val="24"/>
          <w:highlight w:val="none"/>
        </w:rPr>
        <w:t xml:space="preserve"> 【根据项目具体情况确定】。接受分包的供应商应当具备相应的资格条件，并不得再次分包。</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34.3  采购合同实行分包履行的，成交供应商就采购项目和分包项目向采购人负责，分包供应商就分包项目承担责任。</w:t>
      </w:r>
    </w:p>
    <w:p>
      <w:pPr>
        <w:spacing w:before="240" w:after="120"/>
        <w:jc w:val="center"/>
        <w:outlineLvl w:val="2"/>
        <w:rPr>
          <w:rFonts w:ascii="宋体" w:hAnsi="宋体" w:cs="宋体"/>
          <w:b/>
          <w:bCs/>
          <w:color w:val="auto"/>
          <w:sz w:val="24"/>
          <w:highlight w:val="none"/>
        </w:rPr>
      </w:pPr>
      <w:r>
        <w:rPr>
          <w:rFonts w:hint="eastAsia" w:ascii="宋体" w:hAnsi="宋体" w:cs="宋体"/>
          <w:b/>
          <w:bCs/>
          <w:color w:val="auto"/>
          <w:sz w:val="24"/>
          <w:highlight w:val="none"/>
        </w:rPr>
        <w:t>十、其他</w:t>
      </w:r>
    </w:p>
    <w:p>
      <w:pPr>
        <w:pStyle w:val="2"/>
        <w:rPr>
          <w:color w:val="auto"/>
          <w:sz w:val="24"/>
          <w:highlight w:val="none"/>
        </w:rPr>
      </w:pP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35、采购代理服务费</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35.1  不论谈判结果如何，供应商应承担其参加本招标活动自身所发生的全部费用。</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35.2  成交供应商应向采购代理机构交纳采购代理服务费。</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35.3  采购代理服务费的交纳方式：成交供应商在领取《成交通知书》前，须向采购代理机构交纳采购代理服务费，采用现金、银行转账方式一次性交纳。</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35.4  采购代理服务费参照《国家计委关于印发&lt;招标代理服务收费管理暂行办法&gt;的通知》（计价格[2002]1980号）和国家发展改革委员会办公厅颁发的《关于招标代理服务收费有关问题的通知》（发改办价格『2003』857号）、《国家发展改革委关于降低部分建设项目收费标准规范收费行为等有关问题的通知》（发改价格[2011]534号）的有关规定收取。</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36、重新招标或者变更采购方式</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36.1  谈判会议开始后，出现下列情形之一的，采购人或者采购代理机构应当终止竞争性谈判采购活动，发布项目终止公告并说明原因，重新开展采购活动：</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（1）因情况变化，不再符合规定的竞争性谈判采购方式适用情形的；</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（2）出现影响采购公正的违法、违规行为的；</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（3）除《政府采购非招标采购方式管理办法》办法第二十七条第二款规定的情形外，在采购过程中符合要求的供应商或者谈判报价未超过采购预算的供应商不足3家的。</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36.2  评审过程中，提交最后报价的供应商为2家时，可以继续进行谈判的情形：</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（1）符合《政府采购非招标采购方式管理办法》第二十七条第二款规定的情形的；</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37、投诉 </w:t>
      </w:r>
    </w:p>
    <w:p>
      <w:pPr>
        <w:autoSpaceDE w:val="0"/>
        <w:autoSpaceDN w:val="0"/>
        <w:adjustRightInd w:val="0"/>
        <w:spacing w:line="500" w:lineRule="exact"/>
        <w:ind w:right="6" w:firstLine="480" w:firstLineChars="200"/>
        <w:rPr>
          <w:color w:val="auto"/>
          <w:sz w:val="24"/>
          <w:highlight w:val="none"/>
        </w:rPr>
      </w:pPr>
      <w:r>
        <w:rPr>
          <w:rFonts w:hint="eastAsia"/>
          <w:color w:val="auto"/>
          <w:sz w:val="24"/>
          <w:highlight w:val="none"/>
        </w:rPr>
        <w:t>质疑供应商对采购人、采购代理机构的答复不满意，或者采购人、采购代理机构未在规定时间内作出答复的，可以在答复期满后15个工作日内向《政府采购质疑和投诉办法》第六条规定的财政部门提起投诉。投诉人投诉时,应当提交投诉书和必要的证明材料。严格执行中华人民共和国财政部令第94号--《政府采购质疑和投诉办法》。投诉书范本格式在中国政府采购网站（http://www.ccgp.gov.cn/）自行下载。</w:t>
      </w:r>
    </w:p>
    <w:p>
      <w:pPr>
        <w:autoSpaceDE w:val="0"/>
        <w:autoSpaceDN w:val="0"/>
        <w:adjustRightInd w:val="0"/>
        <w:spacing w:line="500" w:lineRule="exact"/>
        <w:ind w:right="6"/>
        <w:rPr>
          <w:rFonts w:ascii="宋体" w:hAnsi="宋体" w:cs="宋体"/>
          <w:b/>
          <w:bCs/>
          <w:color w:val="auto"/>
          <w:kern w:val="0"/>
          <w:sz w:val="24"/>
          <w:highlight w:val="none"/>
        </w:rPr>
      </w:pPr>
      <w:r>
        <w:rPr>
          <w:rFonts w:hint="eastAsia" w:ascii="宋体" w:hAnsi="宋体" w:cs="宋体"/>
          <w:b/>
          <w:bCs/>
          <w:color w:val="auto"/>
          <w:kern w:val="0"/>
          <w:sz w:val="24"/>
          <w:highlight w:val="none"/>
        </w:rPr>
        <w:t>38、享受政府采购政策</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38.1  所投产品符合政府采购强制采购政策的，实行强制采购。</w:t>
      </w:r>
    </w:p>
    <w:p>
      <w:pPr>
        <w:autoSpaceDE w:val="0"/>
        <w:autoSpaceDN w:val="0"/>
        <w:adjustRightInd w:val="0"/>
        <w:spacing w:line="500" w:lineRule="exact"/>
        <w:ind w:right="6" w:firstLine="480" w:firstLineChars="200"/>
        <w:rPr>
          <w:color w:val="auto"/>
          <w:sz w:val="24"/>
          <w:highlight w:val="none"/>
        </w:rPr>
      </w:pPr>
      <w:r>
        <w:rPr>
          <w:rFonts w:hint="eastAsia"/>
          <w:color w:val="auto"/>
          <w:sz w:val="24"/>
          <w:highlight w:val="none"/>
        </w:rPr>
        <w:t>38.2  符合政府采购优先采购政策的，所供产品属于“节能产品、环境标志产品政府采购品目清单”中品目的产品，该清单可在中国政府采购网（http://www.ccgp.gov.cn/）上查找；采购的产品属于品目清单范围的，供应商应当依据国家确定的认证机构出具的、处于有效期之内的节能产品、环境标志产品认证证书。</w:t>
      </w:r>
    </w:p>
    <w:p>
      <w:pPr>
        <w:autoSpaceDE w:val="0"/>
        <w:autoSpaceDN w:val="0"/>
        <w:adjustRightInd w:val="0"/>
        <w:spacing w:line="500" w:lineRule="exact"/>
        <w:ind w:right="6"/>
        <w:rPr>
          <w:color w:val="auto"/>
          <w:sz w:val="24"/>
          <w:highlight w:val="none"/>
        </w:rPr>
      </w:pPr>
      <w:r>
        <w:rPr>
          <w:rFonts w:hint="eastAsia"/>
          <w:color w:val="auto"/>
          <w:sz w:val="24"/>
          <w:highlight w:val="none"/>
        </w:rPr>
        <w:t xml:space="preserve">    38.3  供应商享受支持中小型企业发展政策优惠的，可以同时享受节能产品、环境标志产品优先采购政策。依照《财政部、司法部关于政府采购支持监狱企业发展有关问题的通知》（财库〔2014〕68号）之规定，监狱企业参加政府采购活动时，</w:t>
      </w:r>
      <w:r>
        <w:rPr>
          <w:color w:val="auto"/>
          <w:sz w:val="24"/>
          <w:highlight w:val="none"/>
        </w:rPr>
        <w:t>视同小型、微型企业</w:t>
      </w:r>
      <w:r>
        <w:rPr>
          <w:rFonts w:hint="eastAsia"/>
          <w:color w:val="auto"/>
          <w:sz w:val="24"/>
          <w:highlight w:val="none"/>
        </w:rPr>
        <w:t>。同一项目中部分产品属于优先采购政策的，评审时只对该部分产品实行优先采购。</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1）根据《政府采购促进中小企业发展管理办法》（财库〔2020〕46号）的有关规定，参加政府采购活动的中小企业应当提供《中小企业声明函》（见竞争性谈判响应文件格式），不提供的或提供有瑕疵的，在评审时不享受政府采购优惠政策。本办法所称中小企业，是指在中华人民共和国境内依法设立，依据国务院批准的中小企业划分标准确定的中型企业、小型企业和微型企业，但与大企业的负责人为同一人，或者与大企业存在直接控股、管理关系的除外。以联合体形式参加政府采购活动，联合体各方均为中小企业的，联合体视同中小企业。其中，联合体各方均为小微企业的，联合体视同小微企业。大中型企业与小微企业组成联合体或者允许大中型企业向一家或者多家小微企业分包的采购项目，组成联合体或者接受分包的小微企业与联合体内其他企业、分包企业之间存在直接控股、管理关系的，不享受价格扣除优惠政策。</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（2）参加政府采购活动的监狱企业应当提供由省级以上监狱管理局、戒毒管理局出具的属于监狱企业的证明文件，不提供的不视为</w:t>
      </w:r>
      <w:r>
        <w:rPr>
          <w:color w:val="auto"/>
          <w:sz w:val="24"/>
          <w:highlight w:val="none"/>
        </w:rPr>
        <w:t>小型、微型企业</w:t>
      </w:r>
      <w:r>
        <w:rPr>
          <w:rFonts w:hint="eastAsia"/>
          <w:color w:val="auto"/>
          <w:sz w:val="24"/>
          <w:highlight w:val="none"/>
        </w:rPr>
        <w:t>。</w:t>
      </w:r>
    </w:p>
    <w:p>
      <w:pPr>
        <w:autoSpaceDE w:val="0"/>
        <w:autoSpaceDN w:val="0"/>
        <w:adjustRightInd w:val="0"/>
        <w:spacing w:line="500" w:lineRule="exact"/>
        <w:ind w:right="6" w:firstLine="420"/>
        <w:rPr>
          <w:color w:val="auto"/>
          <w:sz w:val="24"/>
          <w:highlight w:val="none"/>
        </w:rPr>
      </w:pPr>
      <w:r>
        <w:rPr>
          <w:rFonts w:hint="eastAsia"/>
          <w:color w:val="auto"/>
          <w:sz w:val="24"/>
          <w:highlight w:val="none"/>
        </w:rPr>
        <w:t>（3）参加政府采购活动的残疾人福利性单位应当提供《残疾人福利性单位声明函》（详见文件格式，）不提供的或提供有瑕疵的，在评审时不享受政府采购优惠政策。政府采购活动中，残疾人福利性单位视同小型、微型企业，享受预留份额、评审中价格扣除等促进中小企业发展的政府采购政策。残疾人福利性单位属于小型、微型企业的，不重复享受政策。</w:t>
      </w:r>
    </w:p>
    <w:p>
      <w:pPr>
        <w:autoSpaceDE w:val="0"/>
        <w:autoSpaceDN w:val="0"/>
        <w:adjustRightInd w:val="0"/>
        <w:snapToGrid w:val="0"/>
        <w:spacing w:line="460" w:lineRule="exact"/>
        <w:ind w:right="6" w:firstLine="480" w:firstLineChars="200"/>
        <w:rPr>
          <w:color w:val="auto"/>
          <w:sz w:val="24"/>
          <w:highlight w:val="none"/>
        </w:rPr>
      </w:pPr>
      <w:r>
        <w:rPr>
          <w:rFonts w:hint="eastAsia"/>
          <w:color w:val="auto"/>
          <w:sz w:val="24"/>
          <w:highlight w:val="none"/>
        </w:rPr>
        <w:t>（4）</w:t>
      </w:r>
      <w:r>
        <w:rPr>
          <w:color w:val="auto"/>
          <w:sz w:val="24"/>
          <w:highlight w:val="none"/>
        </w:rPr>
        <w:t>为支持和促进中小企业发展，进一步发挥政府采购政策功能作用，根据《财政部关于开展政府采购信用担保试点工作的通知》（财库（2011）124号）、《陕西省财政厅关于印发&lt;陕西省中小企业政府采购信用融资办法&gt;的通知》（陕财办采〔2018〕23号）、《陕西省财政厅关于加快推进我省中小企业政府采购信用融资工作的通知》（陕财办采[2020]15号）及各级财政部门关于政府采购信用融资工作的规定，为参与陕西省政府采购项目的供应商提供政府采购信用担保和融资服务，并按照程序确定了合作的担保机构和商业银行。</w:t>
      </w:r>
    </w:p>
    <w:p>
      <w:pPr>
        <w:autoSpaceDE w:val="0"/>
        <w:autoSpaceDN w:val="0"/>
        <w:adjustRightInd w:val="0"/>
        <w:spacing w:line="500" w:lineRule="exact"/>
        <w:ind w:right="6" w:firstLine="420"/>
        <w:rPr>
          <w:color w:val="auto"/>
          <w:highlight w:val="none"/>
        </w:rPr>
      </w:pPr>
      <w:r>
        <w:rPr>
          <w:rFonts w:hint="eastAsia"/>
          <w:color w:val="auto"/>
          <w:sz w:val="24"/>
          <w:highlight w:val="none"/>
        </w:rPr>
        <w:t>成交</w:t>
      </w:r>
      <w:r>
        <w:rPr>
          <w:color w:val="auto"/>
          <w:sz w:val="24"/>
          <w:highlight w:val="none"/>
        </w:rPr>
        <w:t>人如果需要融资贷款服务</w:t>
      </w:r>
      <w:r>
        <w:rPr>
          <w:rFonts w:hint="eastAsia"/>
          <w:color w:val="auto"/>
          <w:sz w:val="24"/>
          <w:highlight w:val="none"/>
        </w:rPr>
        <w:t>需求</w:t>
      </w:r>
      <w:r>
        <w:rPr>
          <w:color w:val="auto"/>
          <w:sz w:val="24"/>
          <w:highlight w:val="none"/>
        </w:rPr>
        <w:t>的，可凭</w:t>
      </w:r>
      <w:r>
        <w:rPr>
          <w:rFonts w:hint="eastAsia"/>
          <w:color w:val="auto"/>
          <w:sz w:val="24"/>
          <w:highlight w:val="none"/>
        </w:rPr>
        <w:t>成交</w:t>
      </w:r>
      <w:r>
        <w:rPr>
          <w:color w:val="auto"/>
          <w:sz w:val="24"/>
          <w:highlight w:val="none"/>
        </w:rPr>
        <w:t>通知书、政府采购合同等相关资料，按照文件规定的相关政策、业务流程申请办理，具体规定可登陆陕西省政府采购信用融资平台（http://www.ccgp-shaanxi.gov.cn/zcdservice/zcd/shanxi/）查询了解</w:t>
      </w:r>
      <w:r>
        <w:rPr>
          <w:rFonts w:hint="eastAsia"/>
          <w:color w:val="auto"/>
          <w:sz w:val="24"/>
          <w:highlight w:val="none"/>
        </w:rPr>
        <w:t>。</w:t>
      </w:r>
    </w:p>
    <w:p>
      <w:pPr>
        <w:rPr>
          <w:color w:val="auto"/>
          <w:highlight w:val="none"/>
        </w:rPr>
      </w:pPr>
      <w:r>
        <w:rPr>
          <w:rFonts w:hint="eastAsia"/>
          <w:color w:val="auto"/>
          <w:highlight w:val="none"/>
        </w:rPr>
        <w:br w:type="page"/>
      </w:r>
    </w:p>
    <w:p>
      <w:pPr>
        <w:spacing w:line="500" w:lineRule="exact"/>
        <w:rPr>
          <w:rFonts w:ascii="宋体" w:hAnsi="宋体"/>
          <w:color w:val="auto"/>
          <w:szCs w:val="21"/>
          <w:highlight w:val="none"/>
        </w:rPr>
      </w:pPr>
      <w:r>
        <w:rPr>
          <w:color w:val="auto"/>
          <w:szCs w:val="21"/>
          <w:highlight w:val="none"/>
        </w:rPr>
        <w:t>附件1：</w:t>
      </w:r>
    </w:p>
    <w:p>
      <w:pPr>
        <w:spacing w:line="500" w:lineRule="exact"/>
        <w:ind w:firstLine="562" w:firstLineChars="200"/>
        <w:jc w:val="center"/>
        <w:rPr>
          <w:rFonts w:ascii="宋体" w:hAnsi="宋体"/>
          <w:color w:val="auto"/>
          <w:szCs w:val="21"/>
          <w:highlight w:val="none"/>
        </w:rPr>
      </w:pPr>
      <w:r>
        <w:rPr>
          <w:rFonts w:hint="eastAsia" w:ascii="宋体" w:hAnsi="宋体"/>
          <w:b/>
          <w:color w:val="auto"/>
          <w:sz w:val="28"/>
          <w:szCs w:val="28"/>
          <w:highlight w:val="none"/>
        </w:rPr>
        <w:t>采购代理服务费用收取说明</w:t>
      </w:r>
    </w:p>
    <w:tbl>
      <w:tblPr>
        <w:tblStyle w:val="38"/>
        <w:tblW w:w="8128"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28" w:type="dxa"/>
            <w:tcBorders>
              <w:tl2br w:val="nil"/>
              <w:tr2bl w:val="nil"/>
            </w:tcBorders>
            <w:vAlign w:val="center"/>
          </w:tcPr>
          <w:p>
            <w:pPr>
              <w:spacing w:line="500" w:lineRule="exact"/>
              <w:rPr>
                <w:color w:val="auto"/>
                <w:szCs w:val="21"/>
                <w:highlight w:val="none"/>
              </w:rPr>
            </w:pPr>
            <w:r>
              <w:rPr>
                <w:rFonts w:hint="eastAsia" w:ascii="宋体" w:hAnsi="宋体"/>
                <w:color w:val="auto"/>
                <w:szCs w:val="21"/>
                <w:highlight w:val="none"/>
              </w:rPr>
              <w:t xml:space="preserve">   </w:t>
            </w:r>
            <w:r>
              <w:rPr>
                <w:color w:val="auto"/>
                <w:szCs w:val="21"/>
                <w:highlight w:val="none"/>
              </w:rPr>
              <w:t>招标代理服务费专用户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28" w:type="dxa"/>
            <w:tcBorders>
              <w:tl2br w:val="nil"/>
              <w:tr2bl w:val="nil"/>
            </w:tcBorders>
            <w:vAlign w:val="center"/>
          </w:tcPr>
          <w:p>
            <w:pPr>
              <w:spacing w:line="500" w:lineRule="exact"/>
              <w:ind w:left="630" w:leftChars="300"/>
              <w:rPr>
                <w:color w:val="auto"/>
                <w:szCs w:val="21"/>
                <w:highlight w:val="none"/>
              </w:rPr>
            </w:pPr>
            <w:r>
              <w:rPr>
                <w:color w:val="auto"/>
                <w:szCs w:val="21"/>
                <w:highlight w:val="none"/>
              </w:rPr>
              <w:t>名  称：中天久信管理咨询集团有限公司</w:t>
            </w:r>
            <w:r>
              <w:rPr>
                <w:rFonts w:hint="eastAsia"/>
                <w:color w:val="auto"/>
                <w:szCs w:val="21"/>
                <w:highlight w:val="none"/>
              </w:rPr>
              <w:t xml:space="preserve"> </w:t>
            </w:r>
          </w:p>
          <w:p>
            <w:pPr>
              <w:spacing w:line="500" w:lineRule="exact"/>
              <w:ind w:left="630" w:leftChars="300"/>
              <w:rPr>
                <w:color w:val="auto"/>
                <w:szCs w:val="21"/>
                <w:highlight w:val="none"/>
              </w:rPr>
            </w:pPr>
            <w:r>
              <w:rPr>
                <w:color w:val="auto"/>
                <w:szCs w:val="21"/>
                <w:highlight w:val="none"/>
              </w:rPr>
              <w:t>开户行：建行西安丰禾路支行</w:t>
            </w:r>
            <w:r>
              <w:rPr>
                <w:rFonts w:hint="eastAsia"/>
                <w:color w:val="auto"/>
                <w:szCs w:val="21"/>
                <w:highlight w:val="none"/>
              </w:rPr>
              <w:t xml:space="preserve"> </w:t>
            </w:r>
          </w:p>
          <w:p>
            <w:pPr>
              <w:spacing w:line="500" w:lineRule="exact"/>
              <w:ind w:left="630" w:leftChars="300"/>
              <w:rPr>
                <w:color w:val="auto"/>
                <w:szCs w:val="21"/>
                <w:highlight w:val="none"/>
              </w:rPr>
            </w:pPr>
            <w:r>
              <w:rPr>
                <w:color w:val="auto"/>
                <w:szCs w:val="21"/>
                <w:highlight w:val="none"/>
              </w:rPr>
              <w:t>帐  号：61001744100052500118</w:t>
            </w:r>
            <w:r>
              <w:rPr>
                <w:rFonts w:hint="eastAsia"/>
                <w:color w:val="auto"/>
                <w:szCs w:val="21"/>
                <w:highlight w:val="none"/>
              </w:rPr>
              <w:t xml:space="preserve"> </w:t>
            </w:r>
          </w:p>
          <w:p>
            <w:pPr>
              <w:spacing w:line="500" w:lineRule="exact"/>
              <w:ind w:left="630" w:leftChars="300"/>
              <w:rPr>
                <w:color w:val="auto"/>
                <w:szCs w:val="21"/>
                <w:highlight w:val="none"/>
              </w:rPr>
            </w:pPr>
            <w:r>
              <w:rPr>
                <w:color w:val="auto"/>
                <w:szCs w:val="21"/>
                <w:highlight w:val="none"/>
              </w:rPr>
              <w:t>备</w:t>
            </w:r>
            <w:r>
              <w:rPr>
                <w:rFonts w:hint="eastAsia"/>
                <w:color w:val="auto"/>
                <w:szCs w:val="21"/>
                <w:highlight w:val="none"/>
              </w:rPr>
              <w:t xml:space="preserve">  </w:t>
            </w:r>
            <w:r>
              <w:rPr>
                <w:color w:val="auto"/>
                <w:szCs w:val="21"/>
                <w:highlight w:val="none"/>
              </w:rPr>
              <w:t>注：转账时请注明项目编号信息</w:t>
            </w:r>
            <w:r>
              <w:rPr>
                <w:rFonts w:hint="eastAsia"/>
                <w:color w:val="auto"/>
                <w:szCs w:val="21"/>
                <w:highlight w:val="none"/>
              </w:rPr>
              <w:t xml:space="preserve">“      </w:t>
            </w:r>
            <w:r>
              <w:rPr>
                <w:color w:val="auto"/>
                <w:szCs w:val="21"/>
                <w:highlight w:val="none"/>
              </w:rPr>
              <w:t>项目招标代理服务费</w:t>
            </w:r>
            <w:r>
              <w:rPr>
                <w:rFonts w:hint="eastAsia"/>
                <w:color w:val="auto"/>
                <w:szCs w:val="21"/>
                <w:highlight w:val="none"/>
              </w:rPr>
              <w:t>”</w:t>
            </w:r>
          </w:p>
        </w:tc>
      </w:tr>
    </w:tbl>
    <w:p>
      <w:pPr>
        <w:autoSpaceDE w:val="0"/>
        <w:autoSpaceDN w:val="0"/>
        <w:adjustRightInd w:val="0"/>
        <w:spacing w:before="120" w:beforeLines="50" w:after="120" w:afterLines="50" w:line="440" w:lineRule="exact"/>
        <w:ind w:right="6"/>
        <w:jc w:val="center"/>
        <w:rPr>
          <w:b/>
          <w:bCs/>
          <w:color w:val="auto"/>
          <w:sz w:val="36"/>
          <w:szCs w:val="36"/>
          <w:highlight w:val="none"/>
        </w:rPr>
      </w:pPr>
    </w:p>
    <w:p>
      <w:pPr>
        <w:autoSpaceDE w:val="0"/>
        <w:autoSpaceDN w:val="0"/>
        <w:adjustRightInd w:val="0"/>
        <w:spacing w:before="120" w:beforeLines="50" w:after="120" w:afterLines="50" w:line="440" w:lineRule="exact"/>
        <w:ind w:right="6"/>
        <w:jc w:val="center"/>
        <w:rPr>
          <w:b/>
          <w:bCs/>
          <w:color w:val="auto"/>
          <w:sz w:val="36"/>
          <w:szCs w:val="36"/>
          <w:highlight w:val="none"/>
        </w:rPr>
      </w:pPr>
    </w:p>
    <w:p>
      <w:pPr>
        <w:autoSpaceDE w:val="0"/>
        <w:autoSpaceDN w:val="0"/>
        <w:adjustRightInd w:val="0"/>
        <w:spacing w:before="120" w:beforeLines="50" w:after="120" w:afterLines="50" w:line="440" w:lineRule="exact"/>
        <w:ind w:right="6"/>
        <w:jc w:val="center"/>
        <w:rPr>
          <w:b/>
          <w:bCs/>
          <w:color w:val="auto"/>
          <w:sz w:val="36"/>
          <w:szCs w:val="36"/>
          <w:highlight w:val="none"/>
        </w:rPr>
      </w:pPr>
    </w:p>
    <w:p>
      <w:pPr>
        <w:autoSpaceDE w:val="0"/>
        <w:autoSpaceDN w:val="0"/>
        <w:adjustRightInd w:val="0"/>
        <w:spacing w:before="120" w:beforeLines="50" w:after="120" w:afterLines="50" w:line="440" w:lineRule="exact"/>
        <w:ind w:right="6"/>
        <w:jc w:val="center"/>
        <w:rPr>
          <w:b/>
          <w:bCs/>
          <w:color w:val="auto"/>
          <w:sz w:val="36"/>
          <w:szCs w:val="36"/>
          <w:highlight w:val="none"/>
        </w:rPr>
      </w:pPr>
    </w:p>
    <w:p>
      <w:pPr>
        <w:spacing w:line="500" w:lineRule="exact"/>
        <w:ind w:firstLine="420" w:firstLineChars="200"/>
        <w:jc w:val="left"/>
        <w:rPr>
          <w:rFonts w:ascii="宋体" w:hAnsi="宋体"/>
          <w:b/>
          <w:color w:val="auto"/>
          <w:sz w:val="28"/>
          <w:szCs w:val="28"/>
          <w:highlight w:val="none"/>
        </w:rPr>
      </w:pPr>
      <w:r>
        <w:rPr>
          <w:rFonts w:hint="eastAsia"/>
          <w:color w:val="auto"/>
          <w:szCs w:val="21"/>
          <w:highlight w:val="none"/>
        </w:rPr>
        <w:t>附件2：</w:t>
      </w:r>
    </w:p>
    <w:p>
      <w:pPr>
        <w:spacing w:line="50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确认函</w:t>
      </w:r>
    </w:p>
    <w:p>
      <w:pPr>
        <w:pStyle w:val="2"/>
        <w:jc w:val="left"/>
        <w:rPr>
          <w:b/>
          <w:bCs/>
          <w:color w:val="auto"/>
          <w:sz w:val="24"/>
          <w:highlight w:val="none"/>
        </w:rPr>
      </w:pPr>
    </w:p>
    <w:p>
      <w:pPr>
        <w:adjustRightInd w:val="0"/>
        <w:snapToGrid w:val="0"/>
        <w:spacing w:line="460" w:lineRule="exact"/>
        <w:rPr>
          <w:rFonts w:ascii="宋体" w:hAnsi="宋体"/>
          <w:color w:val="auto"/>
          <w:szCs w:val="21"/>
          <w:highlight w:val="none"/>
        </w:rPr>
      </w:pPr>
      <w:r>
        <w:rPr>
          <w:rFonts w:hint="eastAsia" w:ascii="宋体" w:hAnsi="宋体"/>
          <w:color w:val="auto"/>
          <w:szCs w:val="21"/>
          <w:highlight w:val="none"/>
        </w:rPr>
        <w:t>中天久信管理咨询有限公司</w:t>
      </w:r>
      <w:r>
        <w:rPr>
          <w:rFonts w:ascii="宋体" w:hAnsi="宋体"/>
          <w:color w:val="auto"/>
          <w:szCs w:val="21"/>
          <w:highlight w:val="none"/>
        </w:rPr>
        <w:t>：</w:t>
      </w:r>
    </w:p>
    <w:p>
      <w:pPr>
        <w:adjustRightInd w:val="0"/>
        <w:snapToGrid w:val="0"/>
        <w:spacing w:line="460" w:lineRule="exact"/>
        <w:ind w:firstLine="420" w:firstLineChars="200"/>
        <w:rPr>
          <w:rFonts w:ascii="宋体" w:hAnsi="宋体"/>
          <w:b/>
          <w:color w:val="auto"/>
          <w:szCs w:val="21"/>
          <w:highlight w:val="none"/>
          <w:u w:val="single"/>
        </w:rPr>
      </w:pPr>
      <w:r>
        <w:rPr>
          <w:rFonts w:ascii="宋体" w:hAnsi="宋体"/>
          <w:color w:val="auto"/>
          <w:szCs w:val="21"/>
          <w:highlight w:val="none"/>
        </w:rPr>
        <w:t>我方已</w:t>
      </w:r>
      <w:r>
        <w:rPr>
          <w:rFonts w:hint="eastAsia" w:ascii="宋体" w:hAnsi="宋体"/>
          <w:color w:val="auto"/>
          <w:szCs w:val="21"/>
          <w:highlight w:val="none"/>
        </w:rPr>
        <w:t>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2023 </w:t>
      </w:r>
      <w:r>
        <w:rPr>
          <w:rFonts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日收到你方</w:t>
      </w:r>
      <w:r>
        <w:rPr>
          <w:rFonts w:hint="eastAsia" w:ascii="宋体" w:hAnsi="宋体"/>
          <w:color w:val="auto"/>
          <w:szCs w:val="21"/>
          <w:highlight w:val="none"/>
        </w:rPr>
        <w:t>关于</w:t>
      </w:r>
      <w:r>
        <w:rPr>
          <w:rFonts w:hint="eastAsia" w:ascii="宋体" w:hAnsi="宋体"/>
          <w:b/>
          <w:color w:val="auto"/>
          <w:szCs w:val="21"/>
          <w:highlight w:val="none"/>
          <w:u w:val="single"/>
        </w:rPr>
        <w:t xml:space="preserve"> </w:t>
      </w:r>
      <w:r>
        <w:rPr>
          <w:rFonts w:ascii="宋体" w:hAnsi="宋体"/>
          <w:b/>
          <w:color w:val="auto"/>
          <w:szCs w:val="21"/>
          <w:highlight w:val="none"/>
          <w:u w:val="single"/>
        </w:rPr>
        <w:t xml:space="preserve">              </w:t>
      </w:r>
      <w:r>
        <w:rPr>
          <w:rFonts w:ascii="宋体" w:hAnsi="宋体"/>
          <w:color w:val="auto"/>
          <w:szCs w:val="21"/>
          <w:highlight w:val="none"/>
        </w:rPr>
        <w:t>（项目名称）</w:t>
      </w:r>
      <w:r>
        <w:rPr>
          <w:rFonts w:hint="eastAsia" w:ascii="宋体" w:hAnsi="宋体"/>
          <w:color w:val="auto"/>
          <w:szCs w:val="21"/>
          <w:highlight w:val="none"/>
        </w:rPr>
        <w:t>的答疑纪要、澄清通知（编号：0</w:t>
      </w:r>
      <w:r>
        <w:rPr>
          <w:rFonts w:ascii="宋体" w:hAnsi="宋体"/>
          <w:color w:val="auto"/>
          <w:szCs w:val="21"/>
          <w:highlight w:val="none"/>
        </w:rPr>
        <w:t>01</w:t>
      </w:r>
      <w:r>
        <w:rPr>
          <w:rFonts w:hint="eastAsia" w:ascii="宋体" w:hAnsi="宋体"/>
          <w:color w:val="auto"/>
          <w:szCs w:val="21"/>
          <w:highlight w:val="none"/>
        </w:rPr>
        <w:t>）</w:t>
      </w:r>
      <w:r>
        <w:rPr>
          <w:rFonts w:hint="eastAsia" w:ascii="宋体" w:hAnsi="宋体"/>
          <w:bCs/>
          <w:color w:val="auto"/>
          <w:szCs w:val="21"/>
          <w:highlight w:val="none"/>
        </w:rPr>
        <w:t>。</w:t>
      </w:r>
    </w:p>
    <w:p>
      <w:pPr>
        <w:adjustRightInd w:val="0"/>
        <w:snapToGrid w:val="0"/>
        <w:spacing w:line="460" w:lineRule="exact"/>
        <w:ind w:firstLine="525" w:firstLineChars="250"/>
        <w:rPr>
          <w:rFonts w:ascii="宋体" w:hAnsi="宋体"/>
          <w:color w:val="auto"/>
          <w:szCs w:val="21"/>
          <w:highlight w:val="none"/>
        </w:rPr>
      </w:pPr>
      <w:r>
        <w:rPr>
          <w:rFonts w:ascii="宋体" w:hAnsi="宋体"/>
          <w:color w:val="auto"/>
          <w:szCs w:val="21"/>
          <w:highlight w:val="none"/>
        </w:rPr>
        <w:t>特此确认。</w:t>
      </w:r>
    </w:p>
    <w:p>
      <w:pPr>
        <w:adjustRightInd w:val="0"/>
        <w:snapToGrid w:val="0"/>
        <w:spacing w:line="460" w:lineRule="exact"/>
        <w:rPr>
          <w:rFonts w:ascii="宋体" w:hAnsi="宋体"/>
          <w:color w:val="auto"/>
          <w:szCs w:val="21"/>
          <w:highlight w:val="none"/>
        </w:rPr>
      </w:pPr>
    </w:p>
    <w:p>
      <w:pPr>
        <w:adjustRightInd w:val="0"/>
        <w:snapToGrid w:val="0"/>
        <w:spacing w:line="460" w:lineRule="exact"/>
        <w:rPr>
          <w:rFonts w:ascii="宋体" w:hAnsi="宋体"/>
          <w:color w:val="auto"/>
          <w:szCs w:val="21"/>
          <w:highlight w:val="none"/>
        </w:rPr>
      </w:pPr>
    </w:p>
    <w:p>
      <w:pPr>
        <w:adjustRightInd w:val="0"/>
        <w:snapToGrid w:val="0"/>
        <w:spacing w:line="46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单位名称：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pPr>
        <w:adjustRightInd w:val="0"/>
        <w:snapToGrid w:val="0"/>
        <w:spacing w:line="460" w:lineRule="exact"/>
        <w:ind w:right="480"/>
        <w:jc w:val="center"/>
        <w:rPr>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年     月     日</w:t>
      </w:r>
    </w:p>
    <w:p>
      <w:pPr>
        <w:autoSpaceDE w:val="0"/>
        <w:autoSpaceDN w:val="0"/>
        <w:adjustRightInd w:val="0"/>
        <w:spacing w:before="120" w:beforeLines="50" w:after="120" w:afterLines="50" w:line="440" w:lineRule="exact"/>
        <w:ind w:right="6"/>
        <w:jc w:val="center"/>
        <w:rPr>
          <w:b/>
          <w:bCs/>
          <w:color w:val="auto"/>
          <w:szCs w:val="21"/>
          <w:highlight w:val="none"/>
        </w:rPr>
      </w:pPr>
    </w:p>
    <w:p>
      <w:pPr>
        <w:autoSpaceDE w:val="0"/>
        <w:autoSpaceDN w:val="0"/>
        <w:adjustRightInd w:val="0"/>
        <w:spacing w:before="120" w:beforeLines="50" w:after="120" w:afterLines="50" w:line="440" w:lineRule="exact"/>
        <w:ind w:right="6"/>
        <w:rPr>
          <w:b/>
          <w:bCs/>
          <w:color w:val="auto"/>
          <w:sz w:val="36"/>
          <w:szCs w:val="36"/>
          <w:highlight w:val="none"/>
        </w:rPr>
      </w:pPr>
    </w:p>
    <w:p>
      <w:pPr>
        <w:pStyle w:val="2"/>
        <w:jc w:val="both"/>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jc w:val="both"/>
        <w:rPr>
          <w:color w:val="auto"/>
          <w:highlight w:val="none"/>
        </w:rPr>
      </w:pPr>
    </w:p>
    <w:p>
      <w:pPr>
        <w:widowControl/>
        <w:jc w:val="left"/>
        <w:rPr>
          <w:color w:val="auto"/>
          <w:highlight w:val="none"/>
        </w:rPr>
      </w:pPr>
      <w:r>
        <w:rPr>
          <w:color w:val="auto"/>
          <w:highlight w:val="none"/>
        </w:rPr>
        <w:br w:type="page"/>
      </w:r>
    </w:p>
    <w:p>
      <w:pPr>
        <w:pStyle w:val="3"/>
        <w:numPr>
          <w:ilvl w:val="0"/>
          <w:numId w:val="0"/>
        </w:numPr>
        <w:tabs>
          <w:tab w:val="clear" w:pos="324"/>
        </w:tabs>
        <w:spacing w:line="360" w:lineRule="auto"/>
        <w:rPr>
          <w:rFonts w:ascii="宋体" w:hAnsi="宋体" w:eastAsia="宋体" w:cs="宋体"/>
          <w:b/>
          <w:bCs/>
          <w:color w:val="auto"/>
          <w:sz w:val="28"/>
          <w:szCs w:val="36"/>
          <w:highlight w:val="none"/>
        </w:rPr>
      </w:pPr>
      <w:bookmarkStart w:id="5" w:name="_Toc27311"/>
      <w:r>
        <w:rPr>
          <w:rFonts w:hint="eastAsia" w:ascii="宋体" w:hAnsi="宋体" w:eastAsia="宋体" w:cs="宋体"/>
          <w:b/>
          <w:bCs/>
          <w:color w:val="auto"/>
          <w:sz w:val="28"/>
          <w:szCs w:val="36"/>
          <w:highlight w:val="none"/>
        </w:rPr>
        <w:t>第三章  评审办法</w:t>
      </w:r>
      <w:bookmarkEnd w:id="5"/>
    </w:p>
    <w:p>
      <w:pPr>
        <w:spacing w:line="500" w:lineRule="exact"/>
        <w:ind w:firstLine="420"/>
        <w:rPr>
          <w:rFonts w:ascii="宋体" w:hAnsi="宋体" w:cs="宋体"/>
          <w:color w:val="auto"/>
          <w:sz w:val="24"/>
          <w:highlight w:val="none"/>
        </w:rPr>
      </w:pPr>
      <w:r>
        <w:rPr>
          <w:rFonts w:hint="eastAsia" w:ascii="宋体" w:hAnsi="宋体" w:cs="宋体"/>
          <w:color w:val="auto"/>
          <w:sz w:val="24"/>
          <w:highlight w:val="none"/>
        </w:rPr>
        <w:t>根据《中华人民共和国政府采购法》、中华人民共和国2015年第658号国务院令--《中华人民共和国政府采购法实施条例》、中华人民共和国财政部2017年第87号令--《政府采购货物和服务招标投标管理办法》和中华人民共和国财政部财库2013年第74号令--《政府采购非招标采购方式管理办法》的规定，结合采购项目特点制定本评审办法。</w:t>
      </w:r>
    </w:p>
    <w:p>
      <w:pPr>
        <w:spacing w:before="240" w:after="120"/>
        <w:jc w:val="left"/>
        <w:outlineLvl w:val="2"/>
        <w:rPr>
          <w:rFonts w:ascii="宋体" w:hAnsi="宋体" w:cs="宋体"/>
          <w:b/>
          <w:bCs/>
          <w:color w:val="auto"/>
          <w:sz w:val="24"/>
          <w:highlight w:val="none"/>
        </w:rPr>
      </w:pPr>
      <w:r>
        <w:rPr>
          <w:rFonts w:hint="eastAsia" w:ascii="宋体" w:hAnsi="宋体" w:cs="宋体"/>
          <w:b/>
          <w:bCs/>
          <w:color w:val="auto"/>
          <w:sz w:val="24"/>
          <w:highlight w:val="none"/>
        </w:rPr>
        <w:t>1、评审程序</w:t>
      </w:r>
    </w:p>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1.1  本采购项目评审按照下列工作程序进行：</w:t>
      </w:r>
    </w:p>
    <w:p>
      <w:pPr>
        <w:spacing w:line="500" w:lineRule="exact"/>
        <w:rPr>
          <w:color w:val="auto"/>
          <w:sz w:val="24"/>
          <w:highlight w:val="none"/>
        </w:rPr>
      </w:pPr>
      <w:r>
        <w:rPr>
          <w:rFonts w:hint="eastAsia"/>
          <w:color w:val="auto"/>
          <w:sz w:val="24"/>
          <w:highlight w:val="none"/>
        </w:rPr>
        <w:t xml:space="preserve">    </w:t>
      </w:r>
      <w:r>
        <w:rPr>
          <w:color w:val="auto"/>
          <w:sz w:val="24"/>
          <w:highlight w:val="none"/>
        </w:rPr>
        <w:t xml:space="preserve">1.1.1 </w:t>
      </w:r>
      <w:r>
        <w:rPr>
          <w:rFonts w:hint="eastAsia"/>
          <w:color w:val="auto"/>
          <w:sz w:val="24"/>
          <w:highlight w:val="none"/>
        </w:rPr>
        <w:t>竞争性谈判响应文件的初审</w:t>
      </w:r>
      <w:r>
        <w:rPr>
          <w:color w:val="auto"/>
          <w:sz w:val="24"/>
          <w:highlight w:val="none"/>
        </w:rPr>
        <w:t>；</w:t>
      </w:r>
    </w:p>
    <w:p>
      <w:pPr>
        <w:spacing w:line="500" w:lineRule="exact"/>
        <w:ind w:firstLine="480" w:firstLineChars="200"/>
        <w:rPr>
          <w:color w:val="auto"/>
          <w:sz w:val="24"/>
          <w:highlight w:val="none"/>
        </w:rPr>
      </w:pPr>
      <w:r>
        <w:rPr>
          <w:color w:val="auto"/>
          <w:sz w:val="24"/>
          <w:highlight w:val="none"/>
        </w:rPr>
        <w:t xml:space="preserve">1.1.2 </w:t>
      </w:r>
      <w:r>
        <w:rPr>
          <w:rFonts w:hint="eastAsia"/>
          <w:color w:val="auto"/>
          <w:sz w:val="24"/>
          <w:highlight w:val="none"/>
        </w:rPr>
        <w:t>澄清有关问题</w:t>
      </w:r>
      <w:r>
        <w:rPr>
          <w:color w:val="auto"/>
          <w:sz w:val="24"/>
          <w:highlight w:val="none"/>
        </w:rPr>
        <w:t>；</w:t>
      </w:r>
    </w:p>
    <w:p>
      <w:pPr>
        <w:spacing w:line="500" w:lineRule="exact"/>
        <w:ind w:firstLine="480" w:firstLineChars="200"/>
        <w:rPr>
          <w:color w:val="auto"/>
          <w:sz w:val="24"/>
          <w:highlight w:val="none"/>
        </w:rPr>
      </w:pPr>
      <w:r>
        <w:rPr>
          <w:color w:val="auto"/>
          <w:sz w:val="24"/>
          <w:highlight w:val="none"/>
        </w:rPr>
        <w:t xml:space="preserve">1.1.3 </w:t>
      </w:r>
      <w:r>
        <w:rPr>
          <w:rFonts w:hint="eastAsia"/>
          <w:color w:val="auto"/>
          <w:sz w:val="24"/>
          <w:highlight w:val="none"/>
        </w:rPr>
        <w:t>竞争性谈判</w:t>
      </w:r>
      <w:r>
        <w:rPr>
          <w:color w:val="auto"/>
          <w:sz w:val="24"/>
          <w:highlight w:val="none"/>
        </w:rPr>
        <w:t>；</w:t>
      </w:r>
    </w:p>
    <w:p>
      <w:pPr>
        <w:spacing w:line="500" w:lineRule="exact"/>
        <w:ind w:firstLine="480" w:firstLineChars="200"/>
        <w:rPr>
          <w:color w:val="auto"/>
          <w:sz w:val="24"/>
          <w:highlight w:val="none"/>
        </w:rPr>
      </w:pPr>
      <w:r>
        <w:rPr>
          <w:rFonts w:hint="eastAsia"/>
          <w:color w:val="auto"/>
          <w:sz w:val="24"/>
          <w:highlight w:val="none"/>
        </w:rPr>
        <w:t>1.1.4 比较与评价；</w:t>
      </w:r>
    </w:p>
    <w:p>
      <w:pPr>
        <w:spacing w:line="500" w:lineRule="exact"/>
        <w:ind w:firstLine="480" w:firstLineChars="200"/>
        <w:rPr>
          <w:color w:val="auto"/>
          <w:sz w:val="24"/>
          <w:highlight w:val="none"/>
        </w:rPr>
      </w:pPr>
      <w:r>
        <w:rPr>
          <w:color w:val="auto"/>
          <w:sz w:val="24"/>
          <w:highlight w:val="none"/>
        </w:rPr>
        <w:t>1.1.</w:t>
      </w:r>
      <w:r>
        <w:rPr>
          <w:rFonts w:hint="eastAsia"/>
          <w:color w:val="auto"/>
          <w:sz w:val="24"/>
          <w:highlight w:val="none"/>
        </w:rPr>
        <w:t>5</w:t>
      </w:r>
      <w:r>
        <w:rPr>
          <w:color w:val="auto"/>
          <w:sz w:val="24"/>
          <w:highlight w:val="none"/>
        </w:rPr>
        <w:t xml:space="preserve"> 推荐</w:t>
      </w:r>
      <w:r>
        <w:rPr>
          <w:rFonts w:hint="eastAsia"/>
          <w:color w:val="auto"/>
          <w:sz w:val="24"/>
          <w:highlight w:val="none"/>
        </w:rPr>
        <w:t>成交候选供应商</w:t>
      </w:r>
      <w:r>
        <w:rPr>
          <w:color w:val="auto"/>
          <w:sz w:val="24"/>
          <w:highlight w:val="none"/>
        </w:rPr>
        <w:t>名单</w:t>
      </w:r>
      <w:r>
        <w:rPr>
          <w:rFonts w:hint="eastAsia"/>
          <w:color w:val="auto"/>
          <w:sz w:val="24"/>
          <w:highlight w:val="none"/>
        </w:rPr>
        <w:t>。</w:t>
      </w:r>
    </w:p>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1.2  竞争性谈判响应文件的初审</w:t>
      </w:r>
    </w:p>
    <w:p>
      <w:pPr>
        <w:spacing w:line="500" w:lineRule="exact"/>
        <w:ind w:firstLine="480" w:firstLineChars="200"/>
        <w:rPr>
          <w:color w:val="auto"/>
          <w:sz w:val="24"/>
          <w:highlight w:val="none"/>
        </w:rPr>
      </w:pPr>
      <w:r>
        <w:rPr>
          <w:rFonts w:hint="eastAsia"/>
          <w:color w:val="auto"/>
          <w:sz w:val="24"/>
          <w:highlight w:val="none"/>
        </w:rPr>
        <w:t>初审分为资格性检查和符合性检查。分别按照以下内容对竞争性谈判响应文件进行检查，一项不合格即按照无效谈判处理。</w:t>
      </w:r>
    </w:p>
    <w:p>
      <w:pPr>
        <w:spacing w:line="500" w:lineRule="exact"/>
        <w:rPr>
          <w:color w:val="auto"/>
          <w:sz w:val="24"/>
          <w:highlight w:val="none"/>
        </w:rPr>
      </w:pPr>
      <w:r>
        <w:rPr>
          <w:rFonts w:hint="eastAsia"/>
          <w:color w:val="auto"/>
          <w:sz w:val="24"/>
          <w:highlight w:val="none"/>
        </w:rPr>
        <w:t xml:space="preserve">    1.</w:t>
      </w:r>
      <w:r>
        <w:rPr>
          <w:color w:val="auto"/>
          <w:sz w:val="24"/>
          <w:highlight w:val="none"/>
        </w:rPr>
        <w:t xml:space="preserve">2.1 </w:t>
      </w:r>
      <w:r>
        <w:rPr>
          <w:rFonts w:hint="eastAsia"/>
          <w:color w:val="auto"/>
          <w:sz w:val="24"/>
          <w:highlight w:val="none"/>
        </w:rPr>
        <w:t>竞争性谈判响应文件</w:t>
      </w:r>
      <w:r>
        <w:rPr>
          <w:color w:val="auto"/>
          <w:sz w:val="24"/>
          <w:highlight w:val="none"/>
        </w:rPr>
        <w:t>的</w:t>
      </w:r>
      <w:r>
        <w:rPr>
          <w:b/>
          <w:color w:val="auto"/>
          <w:sz w:val="24"/>
          <w:highlight w:val="none"/>
        </w:rPr>
        <w:t>资格性审查：</w:t>
      </w:r>
    </w:p>
    <w:p>
      <w:pPr>
        <w:spacing w:line="500" w:lineRule="exact"/>
        <w:ind w:firstLine="480" w:firstLineChars="200"/>
        <w:rPr>
          <w:color w:val="auto"/>
          <w:sz w:val="24"/>
          <w:highlight w:val="none"/>
        </w:rPr>
      </w:pPr>
      <w:r>
        <w:rPr>
          <w:rFonts w:hint="eastAsia"/>
          <w:color w:val="auto"/>
          <w:sz w:val="24"/>
          <w:highlight w:val="none"/>
        </w:rPr>
        <w:t>（1）由采购人审查资格证明文件是否符合国家法律法规和谈判文件的要求，并且齐全、真实、有效。</w:t>
      </w:r>
    </w:p>
    <w:p>
      <w:pPr>
        <w:spacing w:line="500" w:lineRule="exact"/>
        <w:rPr>
          <w:color w:val="auto"/>
          <w:sz w:val="24"/>
          <w:highlight w:val="none"/>
        </w:rPr>
      </w:pPr>
      <w:r>
        <w:rPr>
          <w:rFonts w:hint="eastAsia"/>
          <w:color w:val="auto"/>
          <w:sz w:val="24"/>
          <w:highlight w:val="none"/>
        </w:rPr>
        <w:t xml:space="preserve">    1.</w:t>
      </w:r>
      <w:r>
        <w:rPr>
          <w:color w:val="auto"/>
          <w:sz w:val="24"/>
          <w:highlight w:val="none"/>
        </w:rPr>
        <w:t xml:space="preserve">2.2 </w:t>
      </w:r>
      <w:r>
        <w:rPr>
          <w:rFonts w:hint="eastAsia"/>
          <w:color w:val="auto"/>
          <w:sz w:val="24"/>
          <w:highlight w:val="none"/>
        </w:rPr>
        <w:t>竞争性谈判响应文件</w:t>
      </w:r>
      <w:r>
        <w:rPr>
          <w:color w:val="auto"/>
          <w:sz w:val="24"/>
          <w:highlight w:val="none"/>
        </w:rPr>
        <w:t>的</w:t>
      </w:r>
      <w:r>
        <w:rPr>
          <w:b/>
          <w:color w:val="auto"/>
          <w:sz w:val="24"/>
          <w:highlight w:val="none"/>
        </w:rPr>
        <w:t>符合性审查：</w:t>
      </w:r>
      <w:r>
        <w:rPr>
          <w:color w:val="auto"/>
          <w:sz w:val="24"/>
          <w:highlight w:val="none"/>
        </w:rPr>
        <w:t xml:space="preserve"> </w:t>
      </w:r>
    </w:p>
    <w:p>
      <w:pPr>
        <w:spacing w:before="240" w:after="120"/>
        <w:jc w:val="left"/>
        <w:outlineLvl w:val="2"/>
        <w:rPr>
          <w:color w:val="auto"/>
          <w:sz w:val="24"/>
          <w:highlight w:val="none"/>
        </w:rPr>
      </w:pPr>
      <w:r>
        <w:rPr>
          <w:rFonts w:hint="eastAsia"/>
          <w:color w:val="auto"/>
          <w:sz w:val="24"/>
          <w:highlight w:val="none"/>
        </w:rPr>
        <w:t xml:space="preserve">    由谈判小组根据符合性审查内容对竞争性谈判响应文件进行</w:t>
      </w:r>
      <w:r>
        <w:rPr>
          <w:color w:val="auto"/>
          <w:sz w:val="24"/>
          <w:highlight w:val="none"/>
        </w:rPr>
        <w:t>符合性审查。</w:t>
      </w:r>
    </w:p>
    <w:p>
      <w:pPr>
        <w:spacing w:before="240" w:after="120"/>
        <w:ind w:firstLine="480" w:firstLineChars="200"/>
        <w:jc w:val="left"/>
        <w:outlineLvl w:val="2"/>
        <w:rPr>
          <w:color w:val="auto"/>
          <w:sz w:val="24"/>
          <w:highlight w:val="none"/>
        </w:rPr>
      </w:pPr>
      <w:r>
        <w:rPr>
          <w:rFonts w:hint="eastAsia"/>
          <w:color w:val="auto"/>
          <w:sz w:val="24"/>
          <w:highlight w:val="none"/>
        </w:rPr>
        <w:t>（1）竞争性谈判响应文件实质性内容是否按照谈判文件要求的格式编写；</w:t>
      </w:r>
    </w:p>
    <w:p>
      <w:pPr>
        <w:spacing w:line="500" w:lineRule="exact"/>
        <w:ind w:firstLine="481"/>
        <w:jc w:val="left"/>
        <w:outlineLvl w:val="2"/>
        <w:rPr>
          <w:color w:val="auto"/>
          <w:sz w:val="24"/>
          <w:highlight w:val="none"/>
        </w:rPr>
      </w:pPr>
      <w:r>
        <w:rPr>
          <w:rFonts w:hint="eastAsia"/>
          <w:color w:val="auto"/>
          <w:sz w:val="24"/>
          <w:highlight w:val="none"/>
        </w:rPr>
        <w:t>（2）谈判内容是否有重大缺漏项。</w:t>
      </w:r>
    </w:p>
    <w:p>
      <w:pPr>
        <w:spacing w:line="500" w:lineRule="exact"/>
        <w:ind w:firstLine="481"/>
        <w:jc w:val="left"/>
        <w:outlineLvl w:val="2"/>
        <w:rPr>
          <w:color w:val="auto"/>
          <w:sz w:val="24"/>
          <w:highlight w:val="none"/>
        </w:rPr>
      </w:pPr>
      <w:r>
        <w:rPr>
          <w:rFonts w:hint="eastAsia"/>
          <w:color w:val="auto"/>
          <w:sz w:val="24"/>
          <w:highlight w:val="none"/>
        </w:rPr>
        <w:t>（3）与采购内容一致，“★”条款技术参数完全响应（提供佐证材料），不能出现负偏离，不提供佐证材料则视为没有实质性响应招标文件要求。</w:t>
      </w:r>
    </w:p>
    <w:p>
      <w:pPr>
        <w:spacing w:line="500" w:lineRule="exact"/>
        <w:ind w:firstLine="480" w:firstLineChars="200"/>
        <w:rPr>
          <w:color w:val="auto"/>
          <w:sz w:val="24"/>
          <w:highlight w:val="none"/>
        </w:rPr>
      </w:pPr>
      <w:r>
        <w:rPr>
          <w:rFonts w:hint="eastAsia"/>
          <w:color w:val="auto"/>
          <w:sz w:val="24"/>
          <w:highlight w:val="none"/>
        </w:rPr>
        <w:t>1.2.3 在竞争性谈判响应文件初审过程中，如果出现谈判小组成员意见不一致的情况，按照少数服从多数的原则确定。</w:t>
      </w:r>
    </w:p>
    <w:p>
      <w:pPr>
        <w:spacing w:line="500" w:lineRule="exact"/>
        <w:ind w:firstLine="480" w:firstLineChars="200"/>
        <w:rPr>
          <w:color w:val="auto"/>
          <w:sz w:val="24"/>
          <w:highlight w:val="none"/>
        </w:rPr>
      </w:pPr>
      <w:r>
        <w:rPr>
          <w:rFonts w:hint="eastAsia"/>
          <w:color w:val="auto"/>
          <w:sz w:val="24"/>
          <w:highlight w:val="none"/>
        </w:rPr>
        <w:t>1.2.4 在详细评审之前，根据规定，谈判小组要审查每份谈判响应文件是否实质上响应了谈判文件的要求。实质上响应的谈判应该是与谈判文件要求的全部条款、谈判有效期、质量要求、技术标准和要求、采购范围等实质性内容作出响应并相符，没有重大偏离的谈判。对关键条文的偏离、保留或反对将被认为是实质上的偏离。谈判小组决定谈判的响应性只根据谈判响应文件本身的内容，而不寻求外部的证据。</w:t>
      </w:r>
    </w:p>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1.</w:t>
      </w:r>
      <w:r>
        <w:rPr>
          <w:rFonts w:ascii="宋体" w:hAnsi="宋体" w:cs="宋体"/>
          <w:b/>
          <w:bCs/>
          <w:color w:val="auto"/>
          <w:kern w:val="0"/>
          <w:sz w:val="24"/>
          <w:highlight w:val="none"/>
        </w:rPr>
        <w:t>3</w:t>
      </w:r>
      <w:r>
        <w:rPr>
          <w:rFonts w:hint="eastAsia" w:ascii="宋体" w:hAnsi="宋体" w:cs="宋体"/>
          <w:b/>
          <w:bCs/>
          <w:color w:val="auto"/>
          <w:kern w:val="0"/>
          <w:sz w:val="24"/>
          <w:highlight w:val="none"/>
        </w:rPr>
        <w:t xml:space="preserve">  澄清有关问题</w:t>
      </w:r>
    </w:p>
    <w:p>
      <w:pPr>
        <w:spacing w:line="500" w:lineRule="exact"/>
        <w:ind w:firstLine="480" w:firstLineChars="200"/>
        <w:rPr>
          <w:color w:val="auto"/>
          <w:sz w:val="24"/>
          <w:highlight w:val="none"/>
        </w:rPr>
      </w:pPr>
      <w:r>
        <w:rPr>
          <w:rFonts w:hint="eastAsia"/>
          <w:color w:val="auto"/>
          <w:sz w:val="24"/>
          <w:highlight w:val="none"/>
        </w:rPr>
        <w:t>1.</w:t>
      </w:r>
      <w:r>
        <w:rPr>
          <w:color w:val="auto"/>
          <w:sz w:val="24"/>
          <w:highlight w:val="none"/>
        </w:rPr>
        <w:t>3.1 对于可能出现的</w:t>
      </w:r>
      <w:r>
        <w:rPr>
          <w:rFonts w:hint="eastAsia"/>
          <w:color w:val="auto"/>
          <w:sz w:val="24"/>
          <w:highlight w:val="none"/>
        </w:rPr>
        <w:t>谈判</w:t>
      </w:r>
      <w:r>
        <w:rPr>
          <w:color w:val="auto"/>
          <w:sz w:val="24"/>
          <w:highlight w:val="none"/>
        </w:rPr>
        <w:t>报价不一致和文字文本差异按以下方法确认更正。</w:t>
      </w:r>
    </w:p>
    <w:p>
      <w:pPr>
        <w:spacing w:line="500" w:lineRule="exact"/>
        <w:ind w:firstLine="420"/>
        <w:rPr>
          <w:color w:val="auto"/>
          <w:sz w:val="24"/>
          <w:highlight w:val="none"/>
        </w:rPr>
      </w:pPr>
      <w:r>
        <w:rPr>
          <w:rFonts w:hint="eastAsia"/>
          <w:color w:val="auto"/>
          <w:sz w:val="24"/>
          <w:highlight w:val="none"/>
        </w:rPr>
        <w:t>（1）</w:t>
      </w:r>
      <w:r>
        <w:rPr>
          <w:color w:val="auto"/>
          <w:sz w:val="24"/>
          <w:highlight w:val="none"/>
        </w:rPr>
        <w:t>大写金额和小写金额不一致的，以大写金额为准；总价金额与按单价汇总金额不一致的，以单价金额计算结果为准；单价金额小数点有明显错位的，应以总价为准，并修改单价；对不同文字文本</w:t>
      </w:r>
      <w:r>
        <w:rPr>
          <w:rFonts w:hint="eastAsia"/>
          <w:color w:val="auto"/>
          <w:sz w:val="24"/>
          <w:highlight w:val="none"/>
        </w:rPr>
        <w:t>竞争性谈判响应文件</w:t>
      </w:r>
      <w:r>
        <w:rPr>
          <w:color w:val="auto"/>
          <w:sz w:val="24"/>
          <w:highlight w:val="none"/>
        </w:rPr>
        <w:t>的解释发生异议的，以中文文本为准。</w:t>
      </w:r>
    </w:p>
    <w:p>
      <w:pPr>
        <w:spacing w:line="500" w:lineRule="exact"/>
        <w:ind w:firstLine="480" w:firstLineChars="200"/>
        <w:rPr>
          <w:color w:val="auto"/>
          <w:sz w:val="24"/>
          <w:highlight w:val="none"/>
        </w:rPr>
      </w:pPr>
      <w:r>
        <w:rPr>
          <w:rFonts w:hint="eastAsia"/>
          <w:color w:val="auto"/>
          <w:sz w:val="24"/>
          <w:highlight w:val="none"/>
        </w:rPr>
        <w:t>（2）谈判小组</w:t>
      </w:r>
      <w:r>
        <w:rPr>
          <w:color w:val="auto"/>
          <w:sz w:val="24"/>
          <w:highlight w:val="none"/>
        </w:rPr>
        <w:t>将按照上述原则修正</w:t>
      </w:r>
      <w:r>
        <w:rPr>
          <w:rFonts w:hint="eastAsia"/>
          <w:color w:val="auto"/>
          <w:sz w:val="24"/>
          <w:highlight w:val="none"/>
        </w:rPr>
        <w:t>竞争性谈判响应文件</w:t>
      </w:r>
      <w:r>
        <w:rPr>
          <w:color w:val="auto"/>
          <w:sz w:val="24"/>
          <w:highlight w:val="none"/>
        </w:rPr>
        <w:t>中的</w:t>
      </w:r>
      <w:r>
        <w:rPr>
          <w:rFonts w:hint="eastAsia"/>
          <w:color w:val="auto"/>
          <w:sz w:val="24"/>
          <w:highlight w:val="none"/>
        </w:rPr>
        <w:t>谈判</w:t>
      </w:r>
      <w:r>
        <w:rPr>
          <w:color w:val="auto"/>
          <w:sz w:val="24"/>
          <w:highlight w:val="none"/>
        </w:rPr>
        <w:t>报价，修正后的价格对</w:t>
      </w:r>
      <w:r>
        <w:rPr>
          <w:rFonts w:hint="eastAsia"/>
          <w:color w:val="auto"/>
          <w:sz w:val="24"/>
          <w:highlight w:val="none"/>
        </w:rPr>
        <w:t>供应商</w:t>
      </w:r>
      <w:r>
        <w:rPr>
          <w:color w:val="auto"/>
          <w:sz w:val="24"/>
          <w:highlight w:val="none"/>
        </w:rPr>
        <w:t>具有约束力。如果</w:t>
      </w:r>
      <w:r>
        <w:rPr>
          <w:rFonts w:hint="eastAsia"/>
          <w:color w:val="auto"/>
          <w:sz w:val="24"/>
          <w:highlight w:val="none"/>
        </w:rPr>
        <w:t>供应商</w:t>
      </w:r>
      <w:r>
        <w:rPr>
          <w:color w:val="auto"/>
          <w:sz w:val="24"/>
          <w:highlight w:val="none"/>
        </w:rPr>
        <w:t>不接受修正后的价格，其</w:t>
      </w:r>
      <w:r>
        <w:rPr>
          <w:rFonts w:hint="eastAsia"/>
          <w:color w:val="auto"/>
          <w:sz w:val="24"/>
          <w:highlight w:val="none"/>
        </w:rPr>
        <w:t>谈判</w:t>
      </w:r>
      <w:r>
        <w:rPr>
          <w:color w:val="auto"/>
          <w:sz w:val="24"/>
          <w:highlight w:val="none"/>
        </w:rPr>
        <w:t>按照无效</w:t>
      </w:r>
      <w:r>
        <w:rPr>
          <w:rFonts w:hint="eastAsia"/>
          <w:color w:val="auto"/>
          <w:sz w:val="24"/>
          <w:highlight w:val="none"/>
        </w:rPr>
        <w:t>谈判</w:t>
      </w:r>
      <w:r>
        <w:rPr>
          <w:color w:val="auto"/>
          <w:sz w:val="24"/>
          <w:highlight w:val="none"/>
        </w:rPr>
        <w:t>处理。</w:t>
      </w:r>
    </w:p>
    <w:p>
      <w:pPr>
        <w:spacing w:line="500" w:lineRule="exact"/>
        <w:ind w:firstLine="420"/>
        <w:rPr>
          <w:rFonts w:ascii="宋体" w:hAnsi="宋体" w:cs="宋体"/>
          <w:b/>
          <w:bCs/>
          <w:color w:val="auto"/>
          <w:kern w:val="0"/>
          <w:sz w:val="24"/>
          <w:highlight w:val="none"/>
        </w:rPr>
      </w:pPr>
      <w:r>
        <w:rPr>
          <w:rFonts w:hint="eastAsia"/>
          <w:color w:val="auto"/>
          <w:sz w:val="24"/>
          <w:highlight w:val="none"/>
        </w:rPr>
        <w:t>1.</w:t>
      </w:r>
      <w:r>
        <w:rPr>
          <w:color w:val="auto"/>
          <w:sz w:val="24"/>
          <w:highlight w:val="none"/>
        </w:rPr>
        <w:t>3.2 对于</w:t>
      </w:r>
      <w:r>
        <w:rPr>
          <w:rFonts w:hint="eastAsia"/>
          <w:color w:val="auto"/>
          <w:sz w:val="24"/>
          <w:highlight w:val="none"/>
        </w:rPr>
        <w:t>竞争性谈判响应文件</w:t>
      </w:r>
      <w:r>
        <w:rPr>
          <w:color w:val="auto"/>
          <w:sz w:val="24"/>
          <w:highlight w:val="none"/>
        </w:rPr>
        <w:t>中的非重大偏离，如果出现含义不明确、同类问题表述不一致或者有明显文字和计算错误的内容，</w:t>
      </w:r>
      <w:r>
        <w:rPr>
          <w:rFonts w:hint="eastAsia"/>
          <w:color w:val="auto"/>
          <w:sz w:val="24"/>
          <w:highlight w:val="none"/>
        </w:rPr>
        <w:t>谈判小组</w:t>
      </w:r>
      <w:r>
        <w:rPr>
          <w:color w:val="auto"/>
          <w:sz w:val="24"/>
          <w:highlight w:val="none"/>
        </w:rPr>
        <w:t>可以书面形式（由</w:t>
      </w:r>
      <w:r>
        <w:rPr>
          <w:rFonts w:hint="eastAsia"/>
          <w:color w:val="auto"/>
          <w:sz w:val="24"/>
          <w:highlight w:val="none"/>
        </w:rPr>
        <w:t>谈判小组</w:t>
      </w:r>
      <w:r>
        <w:rPr>
          <w:color w:val="auto"/>
          <w:sz w:val="24"/>
          <w:highlight w:val="none"/>
        </w:rPr>
        <w:t>专家签字）要求</w:t>
      </w:r>
      <w:r>
        <w:rPr>
          <w:rFonts w:hint="eastAsia"/>
          <w:color w:val="auto"/>
          <w:sz w:val="24"/>
          <w:highlight w:val="none"/>
        </w:rPr>
        <w:t>供应商</w:t>
      </w:r>
      <w:r>
        <w:rPr>
          <w:color w:val="auto"/>
          <w:sz w:val="24"/>
          <w:highlight w:val="none"/>
        </w:rPr>
        <w:t>作出必要的澄清、说明或者纠正。</w:t>
      </w:r>
      <w:r>
        <w:rPr>
          <w:rFonts w:hint="eastAsia"/>
          <w:color w:val="auto"/>
          <w:sz w:val="24"/>
          <w:highlight w:val="none"/>
        </w:rPr>
        <w:t>供应商</w:t>
      </w:r>
      <w:r>
        <w:rPr>
          <w:color w:val="auto"/>
          <w:sz w:val="24"/>
          <w:highlight w:val="none"/>
        </w:rPr>
        <w:t>的澄清、说明或者补正应当采用书面形式，由其授权的</w:t>
      </w:r>
      <w:r>
        <w:rPr>
          <w:rFonts w:hint="eastAsia"/>
          <w:color w:val="auto"/>
          <w:sz w:val="24"/>
          <w:highlight w:val="none"/>
        </w:rPr>
        <w:t>谈判</w:t>
      </w:r>
      <w:r>
        <w:rPr>
          <w:color w:val="auto"/>
          <w:sz w:val="24"/>
          <w:highlight w:val="none"/>
        </w:rPr>
        <w:t>代表签字，并不得超出</w:t>
      </w:r>
      <w:r>
        <w:rPr>
          <w:rFonts w:hint="eastAsia"/>
          <w:color w:val="auto"/>
          <w:sz w:val="24"/>
          <w:highlight w:val="none"/>
        </w:rPr>
        <w:t>竞争性谈判响应文件</w:t>
      </w:r>
      <w:r>
        <w:rPr>
          <w:color w:val="auto"/>
          <w:sz w:val="24"/>
          <w:highlight w:val="none"/>
        </w:rPr>
        <w:t>的范围或者改变</w:t>
      </w:r>
      <w:r>
        <w:rPr>
          <w:rFonts w:hint="eastAsia"/>
          <w:color w:val="auto"/>
          <w:sz w:val="24"/>
          <w:highlight w:val="none"/>
        </w:rPr>
        <w:t>竞争性谈判响应文件</w:t>
      </w:r>
      <w:r>
        <w:rPr>
          <w:color w:val="auto"/>
          <w:sz w:val="24"/>
          <w:highlight w:val="none"/>
        </w:rPr>
        <w:t>的实质性内容。</w:t>
      </w:r>
    </w:p>
    <w:p>
      <w:pPr>
        <w:spacing w:line="500" w:lineRule="exact"/>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1.4  竞争性谈判</w:t>
      </w:r>
    </w:p>
    <w:p>
      <w:pPr>
        <w:spacing w:line="500" w:lineRule="exact"/>
        <w:ind w:firstLine="481"/>
        <w:jc w:val="left"/>
        <w:outlineLvl w:val="2"/>
        <w:rPr>
          <w:color w:val="auto"/>
          <w:sz w:val="24"/>
          <w:highlight w:val="none"/>
        </w:rPr>
      </w:pPr>
      <w:r>
        <w:rPr>
          <w:rFonts w:hint="eastAsia"/>
          <w:color w:val="auto"/>
          <w:sz w:val="24"/>
          <w:highlight w:val="none"/>
        </w:rPr>
        <w:t>1.4.1 谈判方式：</w:t>
      </w:r>
    </w:p>
    <w:p>
      <w:pPr>
        <w:spacing w:line="500" w:lineRule="exact"/>
        <w:ind w:firstLine="481"/>
        <w:jc w:val="left"/>
        <w:outlineLvl w:val="2"/>
        <w:rPr>
          <w:color w:val="auto"/>
          <w:sz w:val="24"/>
          <w:highlight w:val="none"/>
        </w:rPr>
      </w:pPr>
      <w:r>
        <w:rPr>
          <w:rFonts w:hint="eastAsia"/>
          <w:color w:val="auto"/>
          <w:sz w:val="24"/>
          <w:highlight w:val="none"/>
        </w:rPr>
        <w:t>1.4.1.1 对资格性检查和符合性检查合格的供应商，即入围供应商，进入本次谈判程序。</w:t>
      </w:r>
    </w:p>
    <w:p>
      <w:pPr>
        <w:spacing w:line="500" w:lineRule="exact"/>
        <w:ind w:firstLine="481"/>
        <w:jc w:val="left"/>
        <w:outlineLvl w:val="2"/>
        <w:rPr>
          <w:color w:val="auto"/>
          <w:sz w:val="24"/>
          <w:highlight w:val="none"/>
        </w:rPr>
      </w:pPr>
      <w:r>
        <w:rPr>
          <w:rFonts w:hint="eastAsia"/>
          <w:color w:val="auto"/>
          <w:sz w:val="24"/>
          <w:highlight w:val="none"/>
        </w:rPr>
        <w:t>1.4.1.2 在谈判期间，供应商应派代表参加谈判，代表人数不超过2人。</w:t>
      </w:r>
    </w:p>
    <w:p>
      <w:pPr>
        <w:spacing w:line="500" w:lineRule="exact"/>
        <w:ind w:firstLine="481"/>
        <w:jc w:val="left"/>
        <w:outlineLvl w:val="2"/>
        <w:rPr>
          <w:color w:val="auto"/>
          <w:sz w:val="24"/>
          <w:highlight w:val="none"/>
        </w:rPr>
      </w:pPr>
      <w:r>
        <w:rPr>
          <w:rFonts w:hint="eastAsia"/>
          <w:color w:val="auto"/>
          <w:sz w:val="24"/>
          <w:highlight w:val="none"/>
        </w:rPr>
        <w:t>1.4.1.3 谈判小组通过随机方式确定参加谈判供应商的谈判顺序，所有成员集中与单一供应商按照顺序分别进行谈判，并给予所有参加谈判的供应商平等的谈判机会。在谈判中，谈判的任何一方不得透露与谈判有关的其他供应商的技术资料、价格和其他信息。</w:t>
      </w:r>
    </w:p>
    <w:p>
      <w:pPr>
        <w:spacing w:line="500" w:lineRule="exact"/>
        <w:ind w:firstLine="481"/>
        <w:jc w:val="left"/>
        <w:outlineLvl w:val="2"/>
        <w:rPr>
          <w:color w:val="auto"/>
          <w:sz w:val="24"/>
          <w:highlight w:val="none"/>
        </w:rPr>
      </w:pPr>
      <w:r>
        <w:rPr>
          <w:rFonts w:hint="eastAsia"/>
          <w:color w:val="auto"/>
          <w:sz w:val="24"/>
          <w:highlight w:val="none"/>
        </w:rPr>
        <w:t>1.4.1.4 在谈判过程中，谈判小组可以根据谈判文件和采购需求中的技术、服务要求以及合同草案条款，但不得变动谈判文件中的其他内容。谈判小组应当要求所有实质性响应的供应商在规定时间内提交最后报价，提交最后报价的供应商不得少于3家；谈判文件不能详细列明采购标的的技术、服务要求，需经谈判由供应商提供最终设计方案或解决方案的，谈判小组应当按照少数服从多数的原则投票推荐3家以上供应商的设计方案或者解决方案，并要求其在规定时间内提交最后报价。最后报价是供应商响应文件的有效组成部分。符合《政府采购非招标采购方式管理办法》第二十七条第二款规定的情形的，提交最后报价的供应商可以为2家。</w:t>
      </w:r>
    </w:p>
    <w:p>
      <w:pPr>
        <w:spacing w:line="500" w:lineRule="exact"/>
        <w:ind w:firstLine="481"/>
        <w:jc w:val="left"/>
        <w:outlineLvl w:val="2"/>
        <w:rPr>
          <w:color w:val="auto"/>
          <w:sz w:val="24"/>
          <w:highlight w:val="none"/>
        </w:rPr>
      </w:pPr>
      <w:r>
        <w:rPr>
          <w:rFonts w:hint="eastAsia"/>
          <w:color w:val="auto"/>
          <w:sz w:val="24"/>
          <w:highlight w:val="none"/>
        </w:rPr>
        <w:t>1.4.1.5 已提交谈判响应文件的供应商，在提交最后报价之前，可以根据谈判情况退出谈判，采购代理机构应当退还其谈判保证金。</w:t>
      </w:r>
    </w:p>
    <w:p>
      <w:pPr>
        <w:spacing w:line="500" w:lineRule="exact"/>
        <w:ind w:firstLine="481"/>
        <w:jc w:val="left"/>
        <w:outlineLvl w:val="2"/>
        <w:rPr>
          <w:rFonts w:ascii="宋体" w:hAnsi="宋体" w:cs="宋体"/>
          <w:color w:val="auto"/>
          <w:sz w:val="24"/>
          <w:highlight w:val="none"/>
        </w:rPr>
      </w:pPr>
      <w:r>
        <w:rPr>
          <w:rFonts w:hint="eastAsia"/>
          <w:color w:val="auto"/>
          <w:sz w:val="24"/>
          <w:highlight w:val="none"/>
        </w:rPr>
        <w:t>1.4.2 谈判小组逐一与实质性响应谈判文件要求的供应商进行谈判。</w:t>
      </w:r>
    </w:p>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1.5  比较与评价：</w:t>
      </w:r>
    </w:p>
    <w:p>
      <w:pPr>
        <w:spacing w:line="500" w:lineRule="exact"/>
        <w:ind w:firstLine="481"/>
        <w:jc w:val="left"/>
        <w:outlineLvl w:val="2"/>
        <w:rPr>
          <w:color w:val="auto"/>
          <w:sz w:val="24"/>
          <w:highlight w:val="none"/>
        </w:rPr>
      </w:pPr>
      <w:r>
        <w:rPr>
          <w:rFonts w:hint="eastAsia"/>
          <w:color w:val="auto"/>
          <w:sz w:val="24"/>
          <w:highlight w:val="none"/>
        </w:rPr>
        <w:t>对所有有效文件进行了评标价确认之后，由谈判小组各成员按照评标价由低到高的顺序对所有有效报价进行排序。</w:t>
      </w:r>
    </w:p>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1.6  推荐成交候选供应商名单</w:t>
      </w:r>
    </w:p>
    <w:p>
      <w:pPr>
        <w:spacing w:line="500" w:lineRule="exact"/>
        <w:ind w:firstLine="481"/>
        <w:jc w:val="left"/>
        <w:outlineLvl w:val="2"/>
        <w:rPr>
          <w:color w:val="auto"/>
          <w:sz w:val="24"/>
          <w:highlight w:val="none"/>
        </w:rPr>
      </w:pPr>
      <w:r>
        <w:rPr>
          <w:rFonts w:hint="eastAsia"/>
          <w:color w:val="auto"/>
          <w:sz w:val="24"/>
          <w:highlight w:val="none"/>
        </w:rPr>
        <w:t>谈判小组应当从质量和服务均能满足采购文件实质性响应要求的供应商中，按照最后报价由低到高的顺序提出3名以上成交候选人，并编写评审报告。</w:t>
      </w:r>
    </w:p>
    <w:p>
      <w:pPr>
        <w:spacing w:before="240" w:after="120"/>
        <w:jc w:val="left"/>
        <w:outlineLvl w:val="2"/>
        <w:rPr>
          <w:rFonts w:ascii="宋体" w:hAnsi="宋体" w:cs="宋体"/>
          <w:b/>
          <w:bCs/>
          <w:color w:val="auto"/>
          <w:sz w:val="24"/>
          <w:highlight w:val="none"/>
        </w:rPr>
      </w:pPr>
      <w:r>
        <w:rPr>
          <w:rFonts w:hint="eastAsia" w:ascii="宋体" w:hAnsi="宋体" w:cs="宋体"/>
          <w:b/>
          <w:bCs/>
          <w:color w:val="auto"/>
          <w:sz w:val="24"/>
          <w:highlight w:val="none"/>
        </w:rPr>
        <w:t>2</w:t>
      </w:r>
      <w:r>
        <w:rPr>
          <w:rFonts w:ascii="宋体" w:hAnsi="宋体" w:cs="宋体"/>
          <w:b/>
          <w:bCs/>
          <w:color w:val="auto"/>
          <w:sz w:val="24"/>
          <w:highlight w:val="none"/>
        </w:rPr>
        <w:t>、</w:t>
      </w:r>
      <w:r>
        <w:rPr>
          <w:rFonts w:hint="eastAsia" w:ascii="宋体" w:hAnsi="宋体" w:cs="宋体"/>
          <w:b/>
          <w:bCs/>
          <w:color w:val="auto"/>
          <w:sz w:val="24"/>
          <w:highlight w:val="none"/>
        </w:rPr>
        <w:t>评审办法</w:t>
      </w:r>
    </w:p>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2.1  最低评审价</w:t>
      </w:r>
      <w:r>
        <w:rPr>
          <w:rFonts w:ascii="宋体" w:hAnsi="宋体" w:cs="宋体"/>
          <w:b/>
          <w:bCs/>
          <w:color w:val="auto"/>
          <w:kern w:val="0"/>
          <w:sz w:val="24"/>
          <w:highlight w:val="none"/>
        </w:rPr>
        <w:t>法</w:t>
      </w:r>
    </w:p>
    <w:p>
      <w:pPr>
        <w:spacing w:line="500" w:lineRule="exact"/>
        <w:ind w:firstLine="420"/>
        <w:rPr>
          <w:color w:val="auto"/>
          <w:sz w:val="24"/>
          <w:highlight w:val="none"/>
        </w:rPr>
      </w:pPr>
      <w:r>
        <w:rPr>
          <w:rFonts w:hint="eastAsia"/>
          <w:color w:val="auto"/>
          <w:sz w:val="24"/>
          <w:highlight w:val="none"/>
        </w:rPr>
        <w:t>本次评审</w:t>
      </w:r>
      <w:r>
        <w:rPr>
          <w:color w:val="auto"/>
          <w:sz w:val="24"/>
          <w:highlight w:val="none"/>
        </w:rPr>
        <w:t>采用</w:t>
      </w:r>
      <w:r>
        <w:rPr>
          <w:rFonts w:hint="eastAsia"/>
          <w:color w:val="auto"/>
          <w:sz w:val="24"/>
          <w:highlight w:val="none"/>
        </w:rPr>
        <w:t>最低评审价</w:t>
      </w:r>
      <w:r>
        <w:rPr>
          <w:color w:val="auto"/>
          <w:sz w:val="24"/>
          <w:highlight w:val="none"/>
        </w:rPr>
        <w:t>法。</w:t>
      </w:r>
      <w:r>
        <w:rPr>
          <w:rFonts w:hint="eastAsia"/>
          <w:color w:val="auto"/>
          <w:sz w:val="24"/>
          <w:highlight w:val="none"/>
        </w:rPr>
        <w:t>从质量和服务均能满足采购文件实质性响应要求的供应商中，按照最后报价由低到高的顺序提出3名以上成交候选人。</w:t>
      </w:r>
    </w:p>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2.</w:t>
      </w:r>
      <w:r>
        <w:rPr>
          <w:rFonts w:ascii="宋体" w:hAnsi="宋体" w:cs="宋体"/>
          <w:b/>
          <w:bCs/>
          <w:color w:val="auto"/>
          <w:kern w:val="0"/>
          <w:sz w:val="24"/>
          <w:highlight w:val="none"/>
        </w:rPr>
        <w:t>2</w:t>
      </w:r>
      <w:r>
        <w:rPr>
          <w:rFonts w:hint="eastAsia" w:ascii="宋体" w:hAnsi="宋体" w:cs="宋体"/>
          <w:b/>
          <w:bCs/>
          <w:color w:val="auto"/>
          <w:kern w:val="0"/>
          <w:sz w:val="24"/>
          <w:highlight w:val="none"/>
        </w:rPr>
        <w:t xml:space="preserve">  评审细则及标准</w:t>
      </w:r>
    </w:p>
    <w:p>
      <w:pPr>
        <w:spacing w:before="240" w:after="120"/>
        <w:ind w:firstLine="480" w:firstLineChars="200"/>
        <w:jc w:val="left"/>
        <w:outlineLvl w:val="2"/>
        <w:rPr>
          <w:color w:val="auto"/>
          <w:sz w:val="24"/>
          <w:highlight w:val="none"/>
        </w:rPr>
      </w:pPr>
      <w:r>
        <w:rPr>
          <w:rFonts w:hint="eastAsia"/>
          <w:color w:val="auto"/>
          <w:sz w:val="24"/>
          <w:highlight w:val="none"/>
        </w:rPr>
        <w:t xml:space="preserve">2.2.1评审价格的确定： </w:t>
      </w:r>
    </w:p>
    <w:p>
      <w:pPr>
        <w:spacing w:line="460" w:lineRule="exact"/>
        <w:ind w:firstLine="420"/>
        <w:rPr>
          <w:color w:val="auto"/>
          <w:sz w:val="24"/>
          <w:highlight w:val="none"/>
        </w:rPr>
      </w:pPr>
      <w:r>
        <w:rPr>
          <w:rFonts w:hint="eastAsia"/>
          <w:color w:val="auto"/>
          <w:sz w:val="24"/>
          <w:highlight w:val="none"/>
        </w:rPr>
        <w:t>经初审评审合格的文件，为有效文件，可以参加谈判现场报价（后一次报价不得高于上一次报价）。第一轮报价与响应文件一同递交。</w:t>
      </w:r>
    </w:p>
    <w:p>
      <w:pPr>
        <w:spacing w:line="460" w:lineRule="exact"/>
        <w:ind w:firstLine="420"/>
        <w:rPr>
          <w:rFonts w:ascii="宋体" w:hAnsi="宋体" w:cs="宋体"/>
          <w:color w:val="auto"/>
          <w:sz w:val="24"/>
          <w:highlight w:val="none"/>
        </w:rPr>
      </w:pPr>
      <w:r>
        <w:rPr>
          <w:rFonts w:hint="eastAsia"/>
          <w:color w:val="auto"/>
          <w:sz w:val="24"/>
          <w:highlight w:val="none"/>
        </w:rPr>
        <w:t>对于所有有效谈判报价的现场最终报价按照以下规则进行评标价格的确定：</w:t>
      </w:r>
    </w:p>
    <w:p>
      <w:pPr>
        <w:spacing w:line="500" w:lineRule="exact"/>
        <w:ind w:firstLine="480" w:firstLineChars="200"/>
        <w:rPr>
          <w:color w:val="auto"/>
          <w:sz w:val="24"/>
          <w:highlight w:val="none"/>
        </w:rPr>
      </w:pPr>
      <w:r>
        <w:rPr>
          <w:rFonts w:hint="eastAsia"/>
          <w:color w:val="auto"/>
          <w:sz w:val="24"/>
          <w:highlight w:val="none"/>
        </w:rPr>
        <w:t>2.2.1.1 中小企业（含联合体）、监狱企业、残疾人福利性企业</w:t>
      </w:r>
      <w:r>
        <w:rPr>
          <w:color w:val="auto"/>
          <w:sz w:val="24"/>
          <w:highlight w:val="none"/>
        </w:rPr>
        <w:t>的</w:t>
      </w:r>
      <w:r>
        <w:rPr>
          <w:rFonts w:hint="eastAsia"/>
          <w:color w:val="auto"/>
          <w:sz w:val="24"/>
          <w:highlight w:val="none"/>
        </w:rPr>
        <w:t>评审价计算规则</w:t>
      </w:r>
      <w:r>
        <w:rPr>
          <w:color w:val="auto"/>
          <w:sz w:val="24"/>
          <w:highlight w:val="none"/>
        </w:rPr>
        <w:t>：</w:t>
      </w:r>
    </w:p>
    <w:p>
      <w:pPr>
        <w:spacing w:line="500" w:lineRule="exact"/>
        <w:ind w:firstLine="480" w:firstLineChars="200"/>
        <w:rPr>
          <w:color w:val="auto"/>
          <w:sz w:val="24"/>
          <w:highlight w:val="none"/>
        </w:rPr>
      </w:pPr>
      <w:r>
        <w:rPr>
          <w:rFonts w:hint="eastAsia"/>
          <w:color w:val="auto"/>
          <w:sz w:val="24"/>
          <w:highlight w:val="none"/>
        </w:rPr>
        <w:t>《政府采购促进中小企业发展暂行办法》（财库[2020]46号）中所称中小企业（含中型、小型、微型企业，下同）应当同时符合以下条件：</w:t>
      </w:r>
    </w:p>
    <w:p>
      <w:pPr>
        <w:spacing w:line="500" w:lineRule="exact"/>
        <w:ind w:firstLine="480" w:firstLineChars="200"/>
        <w:rPr>
          <w:color w:val="auto"/>
          <w:sz w:val="24"/>
          <w:highlight w:val="none"/>
        </w:rPr>
      </w:pPr>
      <w:r>
        <w:rPr>
          <w:rFonts w:hint="eastAsia"/>
          <w:color w:val="auto"/>
          <w:sz w:val="24"/>
          <w:highlight w:val="none"/>
        </w:rPr>
        <w:t>（1）、本办法所称中小企业划分标准，是指国务院有关部门根据企业从业人员、营业收入、资产总额等指标制定的中小企业划型标准（工信部联企业〔2011〕300号）；</w:t>
      </w:r>
    </w:p>
    <w:p>
      <w:pPr>
        <w:spacing w:line="500" w:lineRule="exact"/>
        <w:ind w:firstLine="480" w:firstLineChars="200"/>
        <w:rPr>
          <w:color w:val="auto"/>
          <w:sz w:val="24"/>
          <w:highlight w:val="none"/>
        </w:rPr>
      </w:pPr>
      <w:r>
        <w:rPr>
          <w:rFonts w:hint="eastAsia"/>
          <w:color w:val="auto"/>
          <w:sz w:val="24"/>
          <w:highlight w:val="none"/>
        </w:rPr>
        <w:t>（2）、在政府采购活动中，供应商提供的货物、工程或者服务符合下列情形的，享受本办法规定的中小企业扶持政策：</w:t>
      </w:r>
    </w:p>
    <w:p>
      <w:pPr>
        <w:spacing w:line="500" w:lineRule="exact"/>
        <w:ind w:firstLine="480" w:firstLineChars="200"/>
        <w:rPr>
          <w:color w:val="auto"/>
          <w:sz w:val="24"/>
          <w:highlight w:val="none"/>
        </w:rPr>
      </w:pPr>
      <w:r>
        <w:rPr>
          <w:rFonts w:hint="eastAsia"/>
          <w:color w:val="auto"/>
          <w:sz w:val="24"/>
          <w:highlight w:val="none"/>
        </w:rPr>
        <w:t xml:space="preserve">a、在货物采购项目中，货物由中小企业制造，即货物由中小企业生产且使用该中小企业商号或者注册商标； </w:t>
      </w:r>
    </w:p>
    <w:p>
      <w:pPr>
        <w:spacing w:line="500" w:lineRule="exact"/>
        <w:ind w:firstLine="480" w:firstLineChars="200"/>
        <w:rPr>
          <w:color w:val="auto"/>
          <w:sz w:val="24"/>
          <w:highlight w:val="none"/>
        </w:rPr>
      </w:pPr>
      <w:r>
        <w:rPr>
          <w:rFonts w:hint="eastAsia"/>
          <w:color w:val="auto"/>
          <w:sz w:val="24"/>
          <w:highlight w:val="none"/>
        </w:rPr>
        <w:t xml:space="preserve">b、在工程采购项目中，工程由中小企业承建，即工程施工单位为中小企业； </w:t>
      </w:r>
    </w:p>
    <w:p>
      <w:pPr>
        <w:spacing w:line="500" w:lineRule="exact"/>
        <w:ind w:firstLine="480" w:firstLineChars="200"/>
        <w:rPr>
          <w:color w:val="auto"/>
          <w:sz w:val="24"/>
          <w:highlight w:val="none"/>
        </w:rPr>
      </w:pPr>
      <w:r>
        <w:rPr>
          <w:rFonts w:hint="eastAsia"/>
          <w:color w:val="auto"/>
          <w:sz w:val="24"/>
          <w:highlight w:val="none"/>
        </w:rPr>
        <w:t>c、在服务采购项目中，服务由中小企业承接，即提供服务的人员为中小企业依照《中华人民共和国劳动合同法》订立劳动合同的从业人员。</w:t>
      </w:r>
    </w:p>
    <w:p>
      <w:pPr>
        <w:spacing w:line="500" w:lineRule="exact"/>
        <w:ind w:firstLine="480" w:firstLineChars="200"/>
        <w:rPr>
          <w:color w:val="auto"/>
          <w:sz w:val="24"/>
          <w:highlight w:val="none"/>
        </w:rPr>
      </w:pPr>
      <w:r>
        <w:rPr>
          <w:rFonts w:hint="eastAsia"/>
          <w:color w:val="auto"/>
          <w:sz w:val="24"/>
          <w:highlight w:val="none"/>
        </w:rPr>
        <w:t>d、在货物采购项目中，供应商提供的货物既有中小企业制造货物，也有大型企业制造货物的，不享受本办法规定的中小企业扶持政策。</w:t>
      </w:r>
    </w:p>
    <w:p>
      <w:pPr>
        <w:spacing w:line="500" w:lineRule="exact"/>
        <w:ind w:firstLine="480" w:firstLineChars="200"/>
        <w:rPr>
          <w:color w:val="auto"/>
          <w:sz w:val="24"/>
          <w:highlight w:val="none"/>
        </w:rPr>
      </w:pPr>
      <w:r>
        <w:rPr>
          <w:rFonts w:hint="eastAsia"/>
          <w:color w:val="auto"/>
          <w:sz w:val="24"/>
          <w:highlight w:val="none"/>
        </w:rPr>
        <w:t>（3）</w:t>
      </w:r>
      <w:r>
        <w:rPr>
          <w:color w:val="auto"/>
          <w:sz w:val="24"/>
          <w:highlight w:val="none"/>
        </w:rPr>
        <w:t>中小企业、监狱和戒毒企业</w:t>
      </w:r>
      <w:r>
        <w:rPr>
          <w:rFonts w:hint="eastAsia"/>
          <w:color w:val="auto"/>
          <w:sz w:val="24"/>
          <w:highlight w:val="none"/>
        </w:rPr>
        <w:t>、</w:t>
      </w:r>
      <w:r>
        <w:rPr>
          <w:rFonts w:hint="eastAsia" w:ascii="宋体" w:hAnsi="宋体"/>
          <w:color w:val="auto"/>
          <w:sz w:val="24"/>
          <w:highlight w:val="none"/>
        </w:rPr>
        <w:t>残疾人福利性企业</w:t>
      </w:r>
      <w:r>
        <w:rPr>
          <w:color w:val="auto"/>
          <w:sz w:val="24"/>
          <w:highlight w:val="none"/>
        </w:rPr>
        <w:t>须提供</w:t>
      </w:r>
      <w:r>
        <w:rPr>
          <w:b/>
          <w:color w:val="auto"/>
          <w:sz w:val="24"/>
          <w:highlight w:val="none"/>
        </w:rPr>
        <w:t>证明文件</w:t>
      </w:r>
      <w:r>
        <w:rPr>
          <w:color w:val="auto"/>
          <w:sz w:val="24"/>
          <w:highlight w:val="none"/>
        </w:rPr>
        <w:t>：</w:t>
      </w:r>
    </w:p>
    <w:p>
      <w:pPr>
        <w:spacing w:line="500" w:lineRule="exact"/>
        <w:rPr>
          <w:color w:val="auto"/>
          <w:sz w:val="24"/>
          <w:highlight w:val="none"/>
        </w:rPr>
      </w:pPr>
      <w:r>
        <w:rPr>
          <w:rFonts w:hint="eastAsia"/>
          <w:color w:val="auto"/>
          <w:sz w:val="24"/>
          <w:highlight w:val="none"/>
        </w:rPr>
        <w:t xml:space="preserve">    a、</w:t>
      </w:r>
      <w:r>
        <w:rPr>
          <w:color w:val="auto"/>
          <w:sz w:val="24"/>
          <w:highlight w:val="none"/>
        </w:rPr>
        <w:t>中小企业应符合《政府采购促进中小企业发展暂行办法》的规定，并提供《中小企业声明函》</w:t>
      </w:r>
      <w:r>
        <w:rPr>
          <w:rFonts w:hint="eastAsia"/>
          <w:color w:val="auto"/>
          <w:sz w:val="24"/>
          <w:highlight w:val="none"/>
        </w:rPr>
        <w:t>；</w:t>
      </w:r>
    </w:p>
    <w:p>
      <w:pPr>
        <w:spacing w:line="500" w:lineRule="exact"/>
        <w:rPr>
          <w:color w:val="auto"/>
          <w:sz w:val="24"/>
          <w:highlight w:val="none"/>
        </w:rPr>
      </w:pPr>
      <w:r>
        <w:rPr>
          <w:rFonts w:hint="eastAsia"/>
          <w:color w:val="auto"/>
          <w:sz w:val="24"/>
          <w:highlight w:val="none"/>
        </w:rPr>
        <w:t xml:space="preserve">    b、</w:t>
      </w:r>
      <w:r>
        <w:rPr>
          <w:color w:val="auto"/>
          <w:sz w:val="24"/>
          <w:highlight w:val="none"/>
        </w:rPr>
        <w:t>监狱和戒毒企业应符合《财政部 司法部关于政府采购支持监狱企业发展有关问题的通知》，并提供由省级以上监狱管理局、戒毒管理局（含新疆生产建设兵团）出具的属于监狱企业的证明文件。</w:t>
      </w:r>
    </w:p>
    <w:p>
      <w:pPr>
        <w:spacing w:line="500" w:lineRule="exact"/>
        <w:rPr>
          <w:color w:val="auto"/>
          <w:sz w:val="24"/>
          <w:highlight w:val="none"/>
        </w:rPr>
      </w:pPr>
      <w:r>
        <w:rPr>
          <w:rFonts w:hint="eastAsia"/>
          <w:color w:val="auto"/>
          <w:sz w:val="24"/>
          <w:highlight w:val="none"/>
        </w:rPr>
        <w:t xml:space="preserve">    c、残疾人福利性企业应按照</w:t>
      </w:r>
      <w:r>
        <w:rPr>
          <w:color w:val="auto"/>
          <w:sz w:val="24"/>
          <w:highlight w:val="none"/>
        </w:rPr>
        <w:t>《</w:t>
      </w:r>
      <w:r>
        <w:rPr>
          <w:rFonts w:hint="eastAsia"/>
          <w:color w:val="auto"/>
          <w:sz w:val="24"/>
          <w:highlight w:val="none"/>
        </w:rPr>
        <w:t>关于促进残疾人就业政府采购政策的通知</w:t>
      </w:r>
      <w:r>
        <w:rPr>
          <w:color w:val="auto"/>
          <w:sz w:val="24"/>
          <w:highlight w:val="none"/>
        </w:rPr>
        <w:t>》</w:t>
      </w:r>
      <w:r>
        <w:rPr>
          <w:rFonts w:hint="eastAsia"/>
          <w:color w:val="auto"/>
          <w:sz w:val="24"/>
          <w:highlight w:val="none"/>
        </w:rPr>
        <w:t>的规定，并提供《残疾人福利性单位声明函》，</w:t>
      </w:r>
      <w:r>
        <w:rPr>
          <w:rFonts w:hint="eastAsia" w:ascii="宋体" w:hAnsi="宋体"/>
          <w:color w:val="auto"/>
          <w:sz w:val="24"/>
          <w:highlight w:val="none"/>
        </w:rPr>
        <w:t>若残疾人福利性单位属于小型、微型企业的，不重复享受政策。</w:t>
      </w:r>
    </w:p>
    <w:p>
      <w:pPr>
        <w:spacing w:line="500" w:lineRule="exact"/>
        <w:ind w:firstLine="480" w:firstLineChars="200"/>
        <w:rPr>
          <w:color w:val="auto"/>
          <w:sz w:val="24"/>
          <w:highlight w:val="none"/>
        </w:rPr>
      </w:pPr>
      <w:r>
        <w:rPr>
          <w:rFonts w:hint="eastAsia"/>
          <w:color w:val="auto"/>
          <w:sz w:val="24"/>
          <w:highlight w:val="none"/>
        </w:rPr>
        <w:t>（4）、中小企业、监狱和</w:t>
      </w:r>
      <w:r>
        <w:rPr>
          <w:color w:val="auto"/>
          <w:sz w:val="24"/>
          <w:highlight w:val="none"/>
        </w:rPr>
        <w:t>戒毒企业</w:t>
      </w:r>
      <w:r>
        <w:rPr>
          <w:rFonts w:hint="eastAsia"/>
          <w:color w:val="auto"/>
          <w:sz w:val="24"/>
          <w:highlight w:val="none"/>
        </w:rPr>
        <w:t>、</w:t>
      </w:r>
      <w:r>
        <w:rPr>
          <w:rFonts w:hint="eastAsia" w:ascii="宋体" w:hAnsi="宋体"/>
          <w:color w:val="auto"/>
          <w:sz w:val="24"/>
          <w:highlight w:val="none"/>
        </w:rPr>
        <w:t>残疾人福利性企业</w:t>
      </w:r>
      <w:r>
        <w:rPr>
          <w:rFonts w:hint="eastAsia"/>
          <w:b/>
          <w:color w:val="auto"/>
          <w:sz w:val="24"/>
          <w:highlight w:val="none"/>
        </w:rPr>
        <w:t>评审价</w:t>
      </w:r>
      <w:r>
        <w:rPr>
          <w:rFonts w:hint="eastAsia"/>
          <w:color w:val="auto"/>
          <w:sz w:val="24"/>
          <w:highlight w:val="none"/>
        </w:rPr>
        <w:t>的计算：</w:t>
      </w:r>
    </w:p>
    <w:p>
      <w:pPr>
        <w:spacing w:line="500" w:lineRule="exact"/>
        <w:jc w:val="left"/>
        <w:rPr>
          <w:b/>
          <w:bCs/>
          <w:color w:val="auto"/>
          <w:sz w:val="24"/>
          <w:highlight w:val="none"/>
        </w:rPr>
      </w:pPr>
      <w:r>
        <w:rPr>
          <w:rFonts w:hint="eastAsia"/>
          <w:color w:val="auto"/>
          <w:sz w:val="24"/>
          <w:highlight w:val="none"/>
        </w:rPr>
        <w:t xml:space="preserve">    a、供应商为非联合体谈判的情况：</w:t>
      </w:r>
      <w:r>
        <w:rPr>
          <w:rFonts w:hint="eastAsia"/>
          <w:b/>
          <w:bCs/>
          <w:color w:val="auto"/>
          <w:sz w:val="24"/>
          <w:highlight w:val="none"/>
        </w:rPr>
        <w:t>评审</w:t>
      </w:r>
      <w:r>
        <w:rPr>
          <w:b/>
          <w:bCs/>
          <w:color w:val="auto"/>
          <w:sz w:val="24"/>
          <w:highlight w:val="none"/>
        </w:rPr>
        <w:t>价=</w:t>
      </w:r>
      <w:r>
        <w:rPr>
          <w:rFonts w:hint="eastAsia"/>
          <w:b/>
          <w:bCs/>
          <w:color w:val="auto"/>
          <w:sz w:val="24"/>
          <w:highlight w:val="none"/>
        </w:rPr>
        <w:t>谈判</w:t>
      </w:r>
      <w:r>
        <w:rPr>
          <w:b/>
          <w:bCs/>
          <w:color w:val="auto"/>
          <w:sz w:val="24"/>
          <w:highlight w:val="none"/>
        </w:rPr>
        <w:t>报价*（1-</w:t>
      </w:r>
      <w:r>
        <w:rPr>
          <w:rFonts w:hint="eastAsia"/>
          <w:b/>
          <w:bCs/>
          <w:color w:val="auto"/>
          <w:sz w:val="24"/>
          <w:highlight w:val="none"/>
        </w:rPr>
        <w:t>10</w:t>
      </w:r>
      <w:r>
        <w:rPr>
          <w:b/>
          <w:bCs/>
          <w:color w:val="auto"/>
          <w:sz w:val="24"/>
          <w:highlight w:val="none"/>
        </w:rPr>
        <w:t>%）；</w:t>
      </w:r>
    </w:p>
    <w:p>
      <w:pPr>
        <w:spacing w:line="500" w:lineRule="exact"/>
        <w:jc w:val="left"/>
        <w:rPr>
          <w:color w:val="auto"/>
          <w:sz w:val="24"/>
          <w:highlight w:val="none"/>
        </w:rPr>
      </w:pPr>
      <w:r>
        <w:rPr>
          <w:rFonts w:hint="eastAsia"/>
          <w:color w:val="auto"/>
          <w:sz w:val="24"/>
          <w:highlight w:val="none"/>
        </w:rPr>
        <w:t xml:space="preserve">    b、若接受大中型企业与小微企业组成联合体或者允许大中型企业向一家或者多家小微企业分包的采购项目，对于联合协议或者分包意向协议约定小微企业的合同份额占到合同总金额 30%以上的</w:t>
      </w:r>
      <w:r>
        <w:rPr>
          <w:color w:val="auto"/>
          <w:sz w:val="24"/>
          <w:highlight w:val="none"/>
        </w:rPr>
        <w:t>，</w:t>
      </w:r>
      <w:r>
        <w:rPr>
          <w:rFonts w:hint="eastAsia"/>
          <w:color w:val="auto"/>
          <w:sz w:val="24"/>
          <w:highlight w:val="none"/>
        </w:rPr>
        <w:t>按照以下规则进行评审价计算：</w:t>
      </w:r>
      <w:r>
        <w:rPr>
          <w:rFonts w:hint="eastAsia"/>
          <w:b/>
          <w:bCs/>
          <w:color w:val="auto"/>
          <w:sz w:val="24"/>
          <w:highlight w:val="none"/>
        </w:rPr>
        <w:t>评审</w:t>
      </w:r>
      <w:r>
        <w:rPr>
          <w:b/>
          <w:bCs/>
          <w:color w:val="auto"/>
          <w:sz w:val="24"/>
          <w:highlight w:val="none"/>
        </w:rPr>
        <w:t>价=</w:t>
      </w:r>
      <w:r>
        <w:rPr>
          <w:rFonts w:hint="eastAsia"/>
          <w:b/>
          <w:bCs/>
          <w:color w:val="auto"/>
          <w:sz w:val="24"/>
          <w:highlight w:val="none"/>
        </w:rPr>
        <w:t>谈判</w:t>
      </w:r>
      <w:r>
        <w:rPr>
          <w:b/>
          <w:bCs/>
          <w:color w:val="auto"/>
          <w:sz w:val="24"/>
          <w:highlight w:val="none"/>
        </w:rPr>
        <w:t>报价*（1-</w:t>
      </w:r>
      <w:r>
        <w:rPr>
          <w:rFonts w:hint="eastAsia"/>
          <w:b/>
          <w:bCs/>
          <w:color w:val="auto"/>
          <w:sz w:val="24"/>
          <w:highlight w:val="none"/>
        </w:rPr>
        <w:t>4</w:t>
      </w:r>
      <w:r>
        <w:rPr>
          <w:b/>
          <w:bCs/>
          <w:color w:val="auto"/>
          <w:sz w:val="24"/>
          <w:highlight w:val="none"/>
        </w:rPr>
        <w:t>%）；</w:t>
      </w:r>
    </w:p>
    <w:p>
      <w:pPr>
        <w:spacing w:line="500" w:lineRule="exact"/>
        <w:ind w:firstLine="480" w:firstLineChars="200"/>
        <w:rPr>
          <w:b/>
          <w:bCs/>
          <w:color w:val="auto"/>
          <w:sz w:val="24"/>
          <w:highlight w:val="none"/>
        </w:rPr>
      </w:pPr>
      <w:r>
        <w:rPr>
          <w:rFonts w:hint="eastAsia"/>
          <w:color w:val="auto"/>
          <w:sz w:val="24"/>
          <w:highlight w:val="none"/>
        </w:rPr>
        <w:t>2.2.1.2 对于不享受以上政策性优惠价格调整的，其评审价=按照修正后的谈判总价。</w:t>
      </w:r>
    </w:p>
    <w:p>
      <w:pPr>
        <w:spacing w:line="500" w:lineRule="exact"/>
        <w:ind w:firstLine="480" w:firstLineChars="200"/>
        <w:rPr>
          <w:color w:val="auto"/>
          <w:sz w:val="24"/>
          <w:highlight w:val="none"/>
        </w:rPr>
      </w:pPr>
      <w:r>
        <w:rPr>
          <w:rFonts w:hint="eastAsia"/>
          <w:color w:val="auto"/>
          <w:sz w:val="24"/>
          <w:highlight w:val="none"/>
        </w:rPr>
        <w:t>2.2.1.3 采用最低评标价法的采购项目，提供相同品牌产品的不同供应商参加同一合同项下谈判的，以其中通过资格审查、符合性审查且报价最低的参加评标。</w:t>
      </w:r>
    </w:p>
    <w:p>
      <w:pPr>
        <w:spacing w:line="500" w:lineRule="exact"/>
        <w:ind w:firstLine="480" w:firstLineChars="200"/>
        <w:rPr>
          <w:color w:val="auto"/>
          <w:sz w:val="24"/>
          <w:highlight w:val="none"/>
        </w:rPr>
      </w:pPr>
      <w:r>
        <w:rPr>
          <w:rFonts w:hint="eastAsia"/>
          <w:color w:val="auto"/>
          <w:sz w:val="24"/>
          <w:highlight w:val="none"/>
        </w:rPr>
        <w:t>2.</w:t>
      </w:r>
      <w:r>
        <w:rPr>
          <w:color w:val="auto"/>
          <w:sz w:val="24"/>
          <w:highlight w:val="none"/>
        </w:rPr>
        <w:t>2.</w:t>
      </w:r>
      <w:r>
        <w:rPr>
          <w:rFonts w:hint="eastAsia"/>
          <w:color w:val="auto"/>
          <w:sz w:val="24"/>
          <w:highlight w:val="none"/>
        </w:rPr>
        <w:t xml:space="preserve">2 </w:t>
      </w:r>
      <w:r>
        <w:rPr>
          <w:color w:val="auto"/>
          <w:sz w:val="24"/>
          <w:highlight w:val="none"/>
        </w:rPr>
        <w:t>本采购项目的</w:t>
      </w:r>
      <w:r>
        <w:rPr>
          <w:rFonts w:hint="eastAsia"/>
          <w:color w:val="auto"/>
          <w:sz w:val="24"/>
          <w:highlight w:val="none"/>
        </w:rPr>
        <w:t>评审</w:t>
      </w:r>
      <w:r>
        <w:rPr>
          <w:color w:val="auto"/>
          <w:sz w:val="24"/>
          <w:highlight w:val="none"/>
        </w:rPr>
        <w:t>因素和标准见下列表。</w:t>
      </w:r>
    </w:p>
    <w:p>
      <w:pPr>
        <w:widowControl/>
        <w:autoSpaceDE w:val="0"/>
        <w:autoSpaceDN w:val="0"/>
        <w:spacing w:after="240" w:afterLines="100" w:line="500" w:lineRule="exact"/>
        <w:ind w:right="53"/>
        <w:jc w:val="center"/>
        <w:textAlignment w:val="bottom"/>
        <w:rPr>
          <w:rFonts w:ascii="新宋体" w:hAnsi="新宋体"/>
          <w:b/>
          <w:bCs/>
          <w:color w:val="auto"/>
          <w:sz w:val="28"/>
          <w:szCs w:val="28"/>
          <w:highlight w:val="none"/>
        </w:rPr>
      </w:pPr>
      <w:r>
        <w:rPr>
          <w:rFonts w:hint="eastAsia" w:ascii="新宋体" w:hAnsi="新宋体"/>
          <w:b/>
          <w:bCs/>
          <w:color w:val="auto"/>
          <w:sz w:val="28"/>
          <w:szCs w:val="28"/>
          <w:highlight w:val="none"/>
        </w:rPr>
        <w:t>一、资格性审查内容</w:t>
      </w:r>
    </w:p>
    <w:tbl>
      <w:tblPr>
        <w:tblStyle w:val="39"/>
        <w:tblW w:w="93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385"/>
        <w:gridCol w:w="59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88" w:type="dxa"/>
            <w:tcBorders>
              <w:tl2br w:val="nil"/>
              <w:tr2bl w:val="nil"/>
            </w:tcBorders>
            <w:vAlign w:val="center"/>
          </w:tcPr>
          <w:p>
            <w:pPr>
              <w:pStyle w:val="33"/>
              <w:spacing w:before="0" w:beforeAutospacing="0" w:after="0" w:afterAutospacing="0" w:line="500" w:lineRule="exact"/>
              <w:jc w:val="center"/>
              <w:rPr>
                <w:rFonts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序号</w:t>
            </w:r>
          </w:p>
        </w:tc>
        <w:tc>
          <w:tcPr>
            <w:tcW w:w="8328" w:type="dxa"/>
            <w:gridSpan w:val="2"/>
            <w:tcBorders>
              <w:tl2br w:val="nil"/>
              <w:tr2bl w:val="nil"/>
            </w:tcBorders>
            <w:vAlign w:val="center"/>
          </w:tcPr>
          <w:p>
            <w:pPr>
              <w:pStyle w:val="33"/>
              <w:spacing w:before="0" w:beforeAutospacing="0" w:after="0" w:afterAutospacing="0" w:line="500" w:lineRule="exact"/>
              <w:jc w:val="center"/>
              <w:rPr>
                <w:rFonts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l2br w:val="nil"/>
              <w:tr2bl w:val="nil"/>
            </w:tcBorders>
            <w:vAlign w:val="center"/>
          </w:tcPr>
          <w:p>
            <w:pPr>
              <w:pStyle w:val="33"/>
              <w:spacing w:before="0" w:beforeAutospacing="0" w:after="0" w:afterAutospacing="0" w:line="500" w:lineRule="exact"/>
              <w:jc w:val="center"/>
              <w:rPr>
                <w:rFonts w:ascii="Times New Roman" w:hAnsi="Times New Roman" w:eastAsia="新宋体" w:cs="Times New Roman"/>
                <w:color w:val="auto"/>
                <w:sz w:val="21"/>
                <w:szCs w:val="21"/>
                <w:highlight w:val="none"/>
              </w:rPr>
            </w:pPr>
            <w:r>
              <w:rPr>
                <w:rFonts w:ascii="Times New Roman" w:hAnsi="Times New Roman" w:eastAsia="新宋体" w:cs="Times New Roman"/>
                <w:color w:val="auto"/>
                <w:sz w:val="21"/>
                <w:szCs w:val="21"/>
                <w:highlight w:val="none"/>
              </w:rPr>
              <w:t>1</w:t>
            </w:r>
          </w:p>
        </w:tc>
        <w:tc>
          <w:tcPr>
            <w:tcW w:w="2385" w:type="dxa"/>
            <w:tcBorders>
              <w:tl2br w:val="nil"/>
              <w:tr2bl w:val="nil"/>
            </w:tcBorders>
            <w:vAlign w:val="center"/>
          </w:tcPr>
          <w:p>
            <w:pPr>
              <w:pStyle w:val="33"/>
              <w:spacing w:before="0" w:beforeAutospacing="0" w:after="0" w:afterAutospacing="0" w:line="500" w:lineRule="exact"/>
              <w:jc w:val="both"/>
              <w:rPr>
                <w:rFonts w:ascii="新宋体" w:hAnsi="新宋体" w:cs="新宋体"/>
                <w:color w:val="auto"/>
                <w:sz w:val="21"/>
                <w:szCs w:val="21"/>
                <w:highlight w:val="none"/>
              </w:rPr>
            </w:pPr>
            <w:r>
              <w:rPr>
                <w:rFonts w:hint="eastAsia" w:ascii="新宋体" w:hAnsi="新宋体" w:cs="新宋体"/>
                <w:color w:val="auto"/>
                <w:sz w:val="21"/>
                <w:szCs w:val="21"/>
                <w:highlight w:val="none"/>
              </w:rPr>
              <w:t>供应商须符合《中华人民共和国政府采购法》第二十二条有关规定：</w:t>
            </w:r>
          </w:p>
          <w:p>
            <w:pPr>
              <w:spacing w:line="400" w:lineRule="exact"/>
              <w:rPr>
                <w:color w:val="auto"/>
                <w:szCs w:val="21"/>
                <w:highlight w:val="none"/>
              </w:rPr>
            </w:pPr>
          </w:p>
        </w:tc>
        <w:tc>
          <w:tcPr>
            <w:tcW w:w="5943" w:type="dxa"/>
            <w:tcBorders>
              <w:tl2br w:val="nil"/>
              <w:tr2bl w:val="nil"/>
            </w:tcBorders>
            <w:vAlign w:val="center"/>
          </w:tcPr>
          <w:p>
            <w:pPr>
              <w:spacing w:line="480" w:lineRule="exact"/>
              <w:rPr>
                <w:color w:val="auto"/>
                <w:szCs w:val="21"/>
                <w:highlight w:val="none"/>
              </w:rPr>
            </w:pPr>
            <w:r>
              <w:rPr>
                <w:rFonts w:hint="eastAsia"/>
                <w:color w:val="auto"/>
                <w:szCs w:val="21"/>
                <w:highlight w:val="none"/>
              </w:rPr>
              <w:t>（1）法人</w:t>
            </w:r>
            <w:r>
              <w:rPr>
                <w:color w:val="auto"/>
                <w:szCs w:val="21"/>
                <w:highlight w:val="none"/>
              </w:rPr>
              <w:t>提供经审计的202</w:t>
            </w:r>
            <w:r>
              <w:rPr>
                <w:rFonts w:hint="eastAsia"/>
                <w:color w:val="auto"/>
                <w:szCs w:val="21"/>
                <w:highlight w:val="none"/>
                <w:lang w:val="en-US" w:eastAsia="zh-CN"/>
              </w:rPr>
              <w:t>1</w:t>
            </w:r>
            <w:r>
              <w:rPr>
                <w:color w:val="auto"/>
                <w:szCs w:val="21"/>
                <w:highlight w:val="none"/>
              </w:rPr>
              <w:t>或202</w:t>
            </w:r>
            <w:r>
              <w:rPr>
                <w:rFonts w:hint="eastAsia"/>
                <w:color w:val="auto"/>
                <w:szCs w:val="21"/>
                <w:highlight w:val="none"/>
                <w:lang w:val="en-US" w:eastAsia="zh-CN"/>
              </w:rPr>
              <w:t>2</w:t>
            </w:r>
            <w:r>
              <w:rPr>
                <w:color w:val="auto"/>
                <w:szCs w:val="21"/>
                <w:highlight w:val="none"/>
              </w:rPr>
              <w:t>年度的财务报告（包括审计报告、资产负债表、利润表、现金流量表及附注）或202</w:t>
            </w:r>
            <w:r>
              <w:rPr>
                <w:rFonts w:hint="eastAsia"/>
                <w:color w:val="auto"/>
                <w:szCs w:val="21"/>
                <w:highlight w:val="none"/>
                <w:lang w:val="en-US" w:eastAsia="zh-CN"/>
              </w:rPr>
              <w:t>3</w:t>
            </w:r>
            <w:r>
              <w:rPr>
                <w:color w:val="auto"/>
                <w:szCs w:val="21"/>
                <w:highlight w:val="none"/>
              </w:rPr>
              <w:t>年1月1日内以来基本账户开户银行出具的资信证明（附开户许可证或开户备案证明或基本账户信息），或信用担保机构出具的投标担保函（以上三种形式的资料提供任何一种即可）；其他组织和自然人提供银行出具的资信证明或财务报表；</w:t>
            </w:r>
          </w:p>
          <w:p>
            <w:pPr>
              <w:spacing w:line="400" w:lineRule="exact"/>
              <w:rPr>
                <w:color w:val="auto"/>
                <w:szCs w:val="21"/>
                <w:highlight w:val="none"/>
              </w:rPr>
            </w:pPr>
            <w:r>
              <w:rPr>
                <w:rFonts w:hint="eastAsia"/>
                <w:color w:val="auto"/>
                <w:szCs w:val="21"/>
                <w:highlight w:val="none"/>
              </w:rPr>
              <w:t>（2）依法缴纳税收的良好记录（提供谈判截止时间前12个月内任一月份的纳税缴费凭据,依法免税的单位应提供相关证明材料）；</w:t>
            </w:r>
          </w:p>
          <w:p>
            <w:pPr>
              <w:spacing w:line="400" w:lineRule="exact"/>
              <w:rPr>
                <w:color w:val="auto"/>
                <w:szCs w:val="21"/>
                <w:highlight w:val="none"/>
              </w:rPr>
            </w:pPr>
            <w:r>
              <w:rPr>
                <w:rFonts w:hint="eastAsia"/>
                <w:color w:val="auto"/>
                <w:szCs w:val="21"/>
                <w:highlight w:val="none"/>
              </w:rPr>
              <w:t>（3）依法缴纳社会保障资金的良好记录（提供谈判截止时间前12个月内任一月份的缴费凭据或社保机构开具的社会保险参保缴费情况证明，依法不需要缴纳社会保障资金的单位应提供相关证明材料）；</w:t>
            </w:r>
          </w:p>
          <w:p>
            <w:pPr>
              <w:spacing w:line="480" w:lineRule="exact"/>
              <w:rPr>
                <w:color w:val="auto"/>
                <w:szCs w:val="21"/>
                <w:highlight w:val="none"/>
              </w:rPr>
            </w:pPr>
            <w:r>
              <w:rPr>
                <w:rFonts w:hint="eastAsia"/>
                <w:color w:val="auto"/>
                <w:szCs w:val="21"/>
                <w:highlight w:val="none"/>
              </w:rPr>
              <w:t>（4）参加政府采购活动前3年内在经营活动中没有重大违法记录的书面声明；</w:t>
            </w:r>
          </w:p>
          <w:p>
            <w:pPr>
              <w:pStyle w:val="2"/>
              <w:rPr>
                <w:color w:val="auto"/>
                <w:szCs w:val="21"/>
                <w:highlight w:val="none"/>
              </w:rPr>
            </w:pPr>
            <w:r>
              <w:rPr>
                <w:rFonts w:hint="eastAsia" w:ascii="宋体" w:hAnsi="宋体"/>
                <w:color w:val="auto"/>
                <w:szCs w:val="21"/>
                <w:highlight w:val="none"/>
              </w:rPr>
              <w:t>（5）</w:t>
            </w:r>
            <w:r>
              <w:rPr>
                <w:color w:val="auto"/>
                <w:szCs w:val="21"/>
                <w:highlight w:val="none"/>
                <w:shd w:val="clear" w:color="auto" w:fill="FFFFFF"/>
              </w:rPr>
              <w:t>提供具有履行本合同所必需的设备和专业技术能力的承诺</w:t>
            </w:r>
            <w:r>
              <w:rPr>
                <w:rFonts w:hint="eastAsia"/>
                <w:color w:val="auto"/>
                <w:szCs w:val="21"/>
                <w:highlight w:val="none"/>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l2br w:val="nil"/>
              <w:tr2bl w:val="nil"/>
            </w:tcBorders>
            <w:vAlign w:val="center"/>
          </w:tcPr>
          <w:p>
            <w:pPr>
              <w:spacing w:line="400" w:lineRule="exact"/>
              <w:jc w:val="center"/>
              <w:rPr>
                <w:color w:val="auto"/>
                <w:szCs w:val="21"/>
                <w:highlight w:val="none"/>
              </w:rPr>
            </w:pPr>
            <w:r>
              <w:rPr>
                <w:color w:val="auto"/>
                <w:szCs w:val="21"/>
                <w:highlight w:val="none"/>
              </w:rPr>
              <w:t>2</w:t>
            </w:r>
          </w:p>
        </w:tc>
        <w:tc>
          <w:tcPr>
            <w:tcW w:w="2385" w:type="dxa"/>
            <w:tcBorders>
              <w:tl2br w:val="nil"/>
              <w:tr2bl w:val="nil"/>
            </w:tcBorders>
            <w:vAlign w:val="center"/>
          </w:tcPr>
          <w:p>
            <w:pPr>
              <w:spacing w:line="400" w:lineRule="exact"/>
              <w:jc w:val="center"/>
              <w:rPr>
                <w:color w:val="auto"/>
                <w:szCs w:val="21"/>
                <w:highlight w:val="none"/>
              </w:rPr>
            </w:pPr>
            <w:r>
              <w:rPr>
                <w:rFonts w:hint="eastAsia"/>
                <w:color w:val="auto"/>
                <w:szCs w:val="21"/>
                <w:highlight w:val="none"/>
              </w:rPr>
              <w:t>供应商身份证明</w:t>
            </w:r>
          </w:p>
        </w:tc>
        <w:tc>
          <w:tcPr>
            <w:tcW w:w="5943" w:type="dxa"/>
            <w:tcBorders>
              <w:tl2br w:val="nil"/>
              <w:tr2bl w:val="nil"/>
            </w:tcBorders>
            <w:vAlign w:val="center"/>
          </w:tcPr>
          <w:p>
            <w:pPr>
              <w:spacing w:line="400" w:lineRule="exact"/>
              <w:rPr>
                <w:color w:val="auto"/>
                <w:szCs w:val="21"/>
                <w:highlight w:val="none"/>
              </w:rPr>
            </w:pPr>
            <w:r>
              <w:rPr>
                <w:color w:val="auto"/>
                <w:szCs w:val="21"/>
                <w:highlight w:val="none"/>
              </w:rPr>
              <w:t>供应商须具备独立承担民事责任能力的法人、其他组织或自然人，提供营业执照/事业单位法人证书/非企业专业服务机构执业许可证/自然人身份证</w:t>
            </w:r>
            <w:r>
              <w:rPr>
                <w:rFonts w:hint="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88" w:type="dxa"/>
            <w:tcBorders>
              <w:tl2br w:val="nil"/>
              <w:tr2bl w:val="nil"/>
            </w:tcBorders>
            <w:vAlign w:val="center"/>
          </w:tcPr>
          <w:p>
            <w:pPr>
              <w:spacing w:line="400" w:lineRule="exact"/>
              <w:jc w:val="center"/>
              <w:rPr>
                <w:color w:val="auto"/>
                <w:szCs w:val="21"/>
                <w:highlight w:val="none"/>
              </w:rPr>
            </w:pPr>
            <w:r>
              <w:rPr>
                <w:rFonts w:hint="eastAsia"/>
                <w:color w:val="auto"/>
                <w:szCs w:val="21"/>
                <w:highlight w:val="none"/>
              </w:rPr>
              <w:t>3</w:t>
            </w:r>
          </w:p>
        </w:tc>
        <w:tc>
          <w:tcPr>
            <w:tcW w:w="2385" w:type="dxa"/>
            <w:tcBorders>
              <w:tl2br w:val="nil"/>
              <w:tr2bl w:val="nil"/>
            </w:tcBorders>
            <w:vAlign w:val="center"/>
          </w:tcPr>
          <w:p>
            <w:pPr>
              <w:spacing w:line="400" w:lineRule="exact"/>
              <w:jc w:val="center"/>
              <w:rPr>
                <w:color w:val="auto"/>
                <w:szCs w:val="21"/>
                <w:highlight w:val="none"/>
              </w:rPr>
            </w:pPr>
            <w:r>
              <w:rPr>
                <w:rFonts w:hint="eastAsia"/>
                <w:color w:val="auto"/>
                <w:szCs w:val="21"/>
                <w:highlight w:val="none"/>
              </w:rPr>
              <w:t>法定代表人证明书或法定代表人授权书</w:t>
            </w:r>
          </w:p>
        </w:tc>
        <w:tc>
          <w:tcPr>
            <w:tcW w:w="5943" w:type="dxa"/>
            <w:tcBorders>
              <w:right w:val="single" w:color="auto" w:sz="4" w:space="0"/>
              <w:tl2br w:val="nil"/>
              <w:tr2bl w:val="nil"/>
            </w:tcBorders>
            <w:vAlign w:val="center"/>
          </w:tcPr>
          <w:p>
            <w:pPr>
              <w:spacing w:line="400" w:lineRule="exact"/>
              <w:rPr>
                <w:color w:val="auto"/>
                <w:szCs w:val="21"/>
                <w:highlight w:val="none"/>
              </w:rPr>
            </w:pPr>
            <w:r>
              <w:rPr>
                <w:rFonts w:hint="eastAsia"/>
                <w:color w:val="auto"/>
                <w:szCs w:val="21"/>
                <w:highlight w:val="none"/>
              </w:rPr>
              <w:t>具有合格有效的法定代表人授权书及被授权人身份证明（法定代表人直接参加谈判的须提供法定代表人证明书及其身份证明），非法人单位参照执行；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8" w:type="dxa"/>
            <w:tcBorders>
              <w:tl2br w:val="nil"/>
              <w:tr2bl w:val="nil"/>
            </w:tcBorders>
            <w:vAlign w:val="center"/>
          </w:tcPr>
          <w:p>
            <w:pPr>
              <w:spacing w:line="400" w:lineRule="exact"/>
              <w:jc w:val="center"/>
              <w:rPr>
                <w:color w:val="auto"/>
                <w:szCs w:val="21"/>
                <w:highlight w:val="none"/>
              </w:rPr>
            </w:pPr>
            <w:r>
              <w:rPr>
                <w:rFonts w:hint="eastAsia"/>
                <w:color w:val="auto"/>
                <w:szCs w:val="21"/>
                <w:highlight w:val="none"/>
              </w:rPr>
              <w:t>4</w:t>
            </w:r>
          </w:p>
        </w:tc>
        <w:tc>
          <w:tcPr>
            <w:tcW w:w="2385" w:type="dxa"/>
            <w:tcBorders>
              <w:right w:val="single" w:color="auto" w:sz="4" w:space="0"/>
              <w:tl2br w:val="nil"/>
              <w:tr2bl w:val="nil"/>
            </w:tcBorders>
            <w:vAlign w:val="center"/>
          </w:tcPr>
          <w:p>
            <w:pPr>
              <w:spacing w:line="400" w:lineRule="exact"/>
              <w:jc w:val="center"/>
              <w:rPr>
                <w:color w:val="auto"/>
                <w:szCs w:val="21"/>
                <w:highlight w:val="none"/>
              </w:rPr>
            </w:pPr>
            <w:r>
              <w:rPr>
                <w:rFonts w:hint="eastAsia"/>
                <w:color w:val="auto"/>
                <w:szCs w:val="21"/>
                <w:highlight w:val="none"/>
              </w:rPr>
              <w:t>信用记录</w:t>
            </w:r>
          </w:p>
        </w:tc>
        <w:tc>
          <w:tcPr>
            <w:tcW w:w="5943" w:type="dxa"/>
            <w:tcBorders>
              <w:right w:val="single" w:color="auto" w:sz="4" w:space="0"/>
              <w:tl2br w:val="nil"/>
              <w:tr2bl w:val="nil"/>
            </w:tcBorders>
            <w:vAlign w:val="center"/>
          </w:tcPr>
          <w:p>
            <w:pPr>
              <w:spacing w:line="400" w:lineRule="exact"/>
              <w:rPr>
                <w:color w:val="auto"/>
                <w:szCs w:val="21"/>
                <w:highlight w:val="none"/>
              </w:rPr>
            </w:pPr>
            <w:r>
              <w:rPr>
                <w:rFonts w:hint="eastAsia"/>
                <w:color w:val="auto"/>
                <w:szCs w:val="21"/>
                <w:highlight w:val="none"/>
              </w:rPr>
              <w:t>供应商的信用记录须符合财库[2016]125号文《财政部关于在政府采购活动中查询及使用信用记录有关问题的通知》的规定。供应商被“信用中国”网站列入失信被执行人、重大税收违法案件当事人名单的,供应商被“中国政府采购网”网站列入政府采购严重违法失信名单的，不得参与本项目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88" w:type="dxa"/>
            <w:tcBorders>
              <w:tl2br w:val="nil"/>
              <w:tr2bl w:val="nil"/>
            </w:tcBorders>
            <w:vAlign w:val="center"/>
          </w:tcPr>
          <w:p>
            <w:pPr>
              <w:spacing w:line="400" w:lineRule="exact"/>
              <w:jc w:val="center"/>
              <w:rPr>
                <w:color w:val="auto"/>
                <w:szCs w:val="21"/>
                <w:highlight w:val="none"/>
              </w:rPr>
            </w:pPr>
            <w:r>
              <w:rPr>
                <w:rFonts w:hint="eastAsia"/>
                <w:color w:val="auto"/>
                <w:szCs w:val="21"/>
                <w:highlight w:val="none"/>
              </w:rPr>
              <w:t>5</w:t>
            </w:r>
          </w:p>
        </w:tc>
        <w:tc>
          <w:tcPr>
            <w:tcW w:w="2385" w:type="dxa"/>
            <w:tcBorders>
              <w:right w:val="single" w:color="auto" w:sz="4" w:space="0"/>
              <w:tl2br w:val="nil"/>
              <w:tr2bl w:val="nil"/>
            </w:tcBorders>
            <w:vAlign w:val="center"/>
          </w:tcPr>
          <w:p>
            <w:pPr>
              <w:spacing w:line="400" w:lineRule="exact"/>
              <w:jc w:val="center"/>
              <w:rPr>
                <w:color w:val="auto"/>
                <w:szCs w:val="21"/>
                <w:highlight w:val="none"/>
              </w:rPr>
            </w:pPr>
            <w:r>
              <w:rPr>
                <w:rFonts w:hint="eastAsia"/>
                <w:color w:val="auto"/>
                <w:szCs w:val="21"/>
                <w:highlight w:val="none"/>
              </w:rPr>
              <w:t>其他</w:t>
            </w:r>
          </w:p>
        </w:tc>
        <w:tc>
          <w:tcPr>
            <w:tcW w:w="5943" w:type="dxa"/>
            <w:tcBorders>
              <w:right w:val="single" w:color="auto" w:sz="4" w:space="0"/>
              <w:tl2br w:val="nil"/>
              <w:tr2bl w:val="nil"/>
            </w:tcBorders>
            <w:vAlign w:val="center"/>
          </w:tcPr>
          <w:p>
            <w:pPr>
              <w:spacing w:line="400" w:lineRule="exact"/>
              <w:rPr>
                <w:color w:val="auto"/>
                <w:szCs w:val="21"/>
                <w:highlight w:val="none"/>
              </w:rPr>
            </w:pPr>
            <w:r>
              <w:rPr>
                <w:rFonts w:hint="eastAsia"/>
                <w:color w:val="auto"/>
                <w:szCs w:val="21"/>
                <w:highlight w:val="none"/>
              </w:rPr>
              <w:t>1、单位负责人为同一人或者存在直接控股、管理关系的不同供应商，不得参加同一合同项下的政府采购活动。</w:t>
            </w:r>
          </w:p>
          <w:p>
            <w:pPr>
              <w:spacing w:line="400" w:lineRule="exact"/>
              <w:rPr>
                <w:color w:val="auto"/>
                <w:szCs w:val="21"/>
                <w:highlight w:val="none"/>
              </w:rPr>
            </w:pPr>
            <w:r>
              <w:rPr>
                <w:rFonts w:hint="eastAsia"/>
                <w:color w:val="auto"/>
                <w:szCs w:val="21"/>
                <w:highlight w:val="none"/>
              </w:rPr>
              <w:t>2、本谈判不接受联合体。</w:t>
            </w:r>
          </w:p>
        </w:tc>
      </w:tr>
    </w:tbl>
    <w:p>
      <w:pPr>
        <w:widowControl/>
        <w:autoSpaceDE w:val="0"/>
        <w:autoSpaceDN w:val="0"/>
        <w:spacing w:after="240" w:afterLines="100" w:line="500" w:lineRule="exact"/>
        <w:ind w:right="53"/>
        <w:jc w:val="center"/>
        <w:textAlignment w:val="bottom"/>
        <w:rPr>
          <w:rFonts w:ascii="宋体" w:hAnsi="宋体" w:cs="宋体"/>
          <w:b/>
          <w:bCs/>
          <w:color w:val="auto"/>
          <w:sz w:val="28"/>
          <w:szCs w:val="28"/>
          <w:highlight w:val="none"/>
        </w:rPr>
      </w:pPr>
      <w:r>
        <w:rPr>
          <w:rFonts w:hint="eastAsia" w:ascii="新宋体" w:hAnsi="新宋体"/>
          <w:b/>
          <w:bCs/>
          <w:color w:val="auto"/>
          <w:sz w:val="28"/>
          <w:szCs w:val="28"/>
          <w:highlight w:val="none"/>
        </w:rPr>
        <w:t>二、符合性审查内容</w:t>
      </w:r>
    </w:p>
    <w:tbl>
      <w:tblPr>
        <w:tblStyle w:val="39"/>
        <w:tblW w:w="93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3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0" w:type="dxa"/>
            <w:vAlign w:val="center"/>
          </w:tcPr>
          <w:p>
            <w:pPr>
              <w:pStyle w:val="33"/>
              <w:spacing w:before="0" w:beforeAutospacing="0" w:after="0" w:afterAutospacing="0" w:line="500" w:lineRule="exact"/>
              <w:jc w:val="center"/>
              <w:rPr>
                <w:rFonts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序号</w:t>
            </w:r>
          </w:p>
        </w:tc>
        <w:tc>
          <w:tcPr>
            <w:tcW w:w="8350" w:type="dxa"/>
            <w:vAlign w:val="center"/>
          </w:tcPr>
          <w:p>
            <w:pPr>
              <w:pStyle w:val="33"/>
              <w:spacing w:before="0" w:beforeAutospacing="0" w:after="0" w:afterAutospacing="0" w:line="500" w:lineRule="exact"/>
              <w:jc w:val="center"/>
              <w:rPr>
                <w:rFonts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8" w:hRule="atLeast"/>
        </w:trPr>
        <w:tc>
          <w:tcPr>
            <w:tcW w:w="990" w:type="dxa"/>
            <w:vAlign w:val="center"/>
          </w:tcPr>
          <w:p>
            <w:pPr>
              <w:pStyle w:val="33"/>
              <w:spacing w:before="0" w:beforeAutospacing="0" w:after="0" w:afterAutospacing="0" w:line="500" w:lineRule="exact"/>
              <w:jc w:val="center"/>
              <w:rPr>
                <w:rFonts w:ascii="Times New Roman" w:hAnsi="Times New Roman" w:eastAsia="新宋体" w:cs="Times New Roman"/>
                <w:color w:val="auto"/>
                <w:sz w:val="21"/>
                <w:szCs w:val="21"/>
                <w:highlight w:val="none"/>
              </w:rPr>
            </w:pPr>
            <w:r>
              <w:rPr>
                <w:rFonts w:hint="eastAsia" w:ascii="Times New Roman" w:hAnsi="Times New Roman" w:eastAsia="新宋体" w:cs="Times New Roman"/>
                <w:color w:val="auto"/>
                <w:sz w:val="21"/>
                <w:szCs w:val="21"/>
                <w:highlight w:val="none"/>
              </w:rPr>
              <w:t>1</w:t>
            </w:r>
          </w:p>
        </w:tc>
        <w:tc>
          <w:tcPr>
            <w:tcW w:w="8350" w:type="dxa"/>
            <w:vAlign w:val="center"/>
          </w:tcPr>
          <w:p>
            <w:pPr>
              <w:pStyle w:val="33"/>
              <w:spacing w:before="0" w:beforeAutospacing="0" w:after="0" w:afterAutospacing="0" w:line="500" w:lineRule="exact"/>
              <w:jc w:val="both"/>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谈判内容是否</w:t>
            </w:r>
            <w:r>
              <w:rPr>
                <w:rFonts w:ascii="Times New Roman" w:hAnsi="Times New Roman" w:cs="Times New Roman"/>
                <w:color w:val="auto"/>
                <w:sz w:val="21"/>
                <w:szCs w:val="21"/>
                <w:highlight w:val="none"/>
              </w:rPr>
              <w:t>有重大缺漏项</w:t>
            </w:r>
            <w:r>
              <w:rPr>
                <w:rFonts w:hint="eastAsia"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vAlign w:val="center"/>
          </w:tcPr>
          <w:p>
            <w:pPr>
              <w:pStyle w:val="33"/>
              <w:spacing w:before="0" w:beforeAutospacing="0" w:after="0" w:afterAutospacing="0" w:line="500" w:lineRule="exact"/>
              <w:jc w:val="center"/>
              <w:rPr>
                <w:rFonts w:ascii="Times New Roman" w:hAnsi="Times New Roman" w:eastAsia="新宋体" w:cs="Times New Roman"/>
                <w:color w:val="auto"/>
                <w:sz w:val="21"/>
                <w:szCs w:val="21"/>
                <w:highlight w:val="none"/>
              </w:rPr>
            </w:pPr>
            <w:r>
              <w:rPr>
                <w:rFonts w:hint="eastAsia" w:ascii="Times New Roman" w:hAnsi="Times New Roman" w:eastAsia="新宋体" w:cs="Times New Roman"/>
                <w:color w:val="auto"/>
                <w:sz w:val="21"/>
                <w:szCs w:val="21"/>
                <w:highlight w:val="none"/>
              </w:rPr>
              <w:t>2</w:t>
            </w:r>
          </w:p>
        </w:tc>
        <w:tc>
          <w:tcPr>
            <w:tcW w:w="8350" w:type="dxa"/>
            <w:vAlign w:val="center"/>
          </w:tcPr>
          <w:p>
            <w:pPr>
              <w:pStyle w:val="33"/>
              <w:spacing w:before="0" w:beforeAutospacing="0" w:after="0" w:afterAutospacing="0" w:line="500" w:lineRule="exact"/>
              <w:jc w:val="both"/>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谈判有效期是否满足要求；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90" w:type="dxa"/>
            <w:vAlign w:val="center"/>
          </w:tcPr>
          <w:p>
            <w:pPr>
              <w:pStyle w:val="33"/>
              <w:spacing w:before="0" w:beforeAutospacing="0" w:after="0" w:afterAutospacing="0" w:line="500" w:lineRule="exact"/>
              <w:jc w:val="center"/>
              <w:rPr>
                <w:rFonts w:ascii="Times New Roman" w:hAnsi="Times New Roman" w:eastAsia="新宋体" w:cs="Times New Roman"/>
                <w:color w:val="auto"/>
                <w:sz w:val="21"/>
                <w:szCs w:val="21"/>
                <w:highlight w:val="none"/>
              </w:rPr>
            </w:pPr>
            <w:r>
              <w:rPr>
                <w:rFonts w:hint="eastAsia" w:ascii="Times New Roman" w:hAnsi="Times New Roman" w:eastAsia="新宋体" w:cs="Times New Roman"/>
                <w:color w:val="auto"/>
                <w:sz w:val="21"/>
                <w:szCs w:val="21"/>
                <w:highlight w:val="none"/>
              </w:rPr>
              <w:t>3</w:t>
            </w:r>
          </w:p>
        </w:tc>
        <w:tc>
          <w:tcPr>
            <w:tcW w:w="8350" w:type="dxa"/>
            <w:vAlign w:val="center"/>
          </w:tcPr>
          <w:p>
            <w:pPr>
              <w:pStyle w:val="33"/>
              <w:spacing w:before="0" w:beforeAutospacing="0" w:after="0" w:afterAutospacing="0" w:line="500" w:lineRule="exact"/>
              <w:jc w:val="both"/>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谈判报价是否未超过最高限价；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90" w:type="dxa"/>
            <w:vAlign w:val="center"/>
          </w:tcPr>
          <w:p>
            <w:pPr>
              <w:pStyle w:val="33"/>
              <w:spacing w:before="0" w:beforeAutospacing="0" w:after="0" w:afterAutospacing="0" w:line="500" w:lineRule="exact"/>
              <w:jc w:val="center"/>
              <w:rPr>
                <w:rFonts w:ascii="Times New Roman" w:hAnsi="Times New Roman" w:eastAsia="新宋体" w:cs="Times New Roman"/>
                <w:color w:val="auto"/>
                <w:sz w:val="21"/>
                <w:szCs w:val="21"/>
                <w:highlight w:val="none"/>
              </w:rPr>
            </w:pPr>
            <w:r>
              <w:rPr>
                <w:rFonts w:hint="eastAsia" w:ascii="Times New Roman" w:hAnsi="Times New Roman" w:eastAsia="新宋体" w:cs="Times New Roman"/>
                <w:color w:val="auto"/>
                <w:sz w:val="21"/>
                <w:szCs w:val="21"/>
                <w:highlight w:val="none"/>
              </w:rPr>
              <w:t>4</w:t>
            </w:r>
          </w:p>
        </w:tc>
        <w:tc>
          <w:tcPr>
            <w:tcW w:w="8350" w:type="dxa"/>
            <w:vAlign w:val="center"/>
          </w:tcPr>
          <w:p>
            <w:pPr>
              <w:pStyle w:val="33"/>
              <w:spacing w:before="0" w:beforeAutospacing="0" w:after="0" w:afterAutospacing="0" w:line="500" w:lineRule="exact"/>
              <w:jc w:val="both"/>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竞争性谈判响应文件响应内容是否符合国家法律法规，是否实质性响应了谈判文件要求的全部条款、条件和规格要求，与采购内容一致，“★”条款技术参数完全响应（提供佐证材料），不能出现负偏离，不提供佐证材料则视为没有实质性响应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90" w:type="dxa"/>
            <w:vAlign w:val="center"/>
          </w:tcPr>
          <w:p>
            <w:pPr>
              <w:pStyle w:val="33"/>
              <w:spacing w:before="0" w:beforeAutospacing="0" w:after="0" w:afterAutospacing="0" w:line="500" w:lineRule="exact"/>
              <w:jc w:val="center"/>
              <w:rPr>
                <w:rFonts w:ascii="Times New Roman" w:hAnsi="Times New Roman" w:eastAsia="新宋体" w:cs="Times New Roman"/>
                <w:color w:val="auto"/>
                <w:sz w:val="21"/>
                <w:szCs w:val="21"/>
                <w:highlight w:val="none"/>
              </w:rPr>
            </w:pPr>
            <w:r>
              <w:rPr>
                <w:rFonts w:hint="eastAsia" w:ascii="Times New Roman" w:hAnsi="Times New Roman" w:eastAsia="新宋体" w:cs="Times New Roman"/>
                <w:color w:val="auto"/>
                <w:sz w:val="21"/>
                <w:szCs w:val="21"/>
                <w:highlight w:val="none"/>
              </w:rPr>
              <w:t>5</w:t>
            </w:r>
          </w:p>
        </w:tc>
        <w:tc>
          <w:tcPr>
            <w:tcW w:w="8350" w:type="dxa"/>
            <w:vAlign w:val="center"/>
          </w:tcPr>
          <w:p>
            <w:pPr>
              <w:pStyle w:val="33"/>
              <w:spacing w:before="0" w:beforeAutospacing="0" w:after="0" w:afterAutospacing="0" w:line="500" w:lineRule="exact"/>
              <w:jc w:val="both"/>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交货期是否满足要求；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90" w:type="dxa"/>
            <w:vAlign w:val="center"/>
          </w:tcPr>
          <w:p>
            <w:pPr>
              <w:pStyle w:val="33"/>
              <w:spacing w:before="0" w:beforeAutospacing="0" w:after="0" w:afterAutospacing="0" w:line="500" w:lineRule="exact"/>
              <w:jc w:val="center"/>
              <w:rPr>
                <w:rFonts w:ascii="Times New Roman" w:hAnsi="Times New Roman" w:eastAsia="新宋体" w:cs="Times New Roman"/>
                <w:color w:val="auto"/>
                <w:sz w:val="21"/>
                <w:szCs w:val="21"/>
                <w:highlight w:val="none"/>
              </w:rPr>
            </w:pPr>
            <w:r>
              <w:rPr>
                <w:rFonts w:hint="eastAsia" w:ascii="Times New Roman" w:hAnsi="Times New Roman" w:eastAsia="新宋体" w:cs="Times New Roman"/>
                <w:color w:val="auto"/>
                <w:sz w:val="21"/>
                <w:szCs w:val="21"/>
                <w:highlight w:val="none"/>
              </w:rPr>
              <w:t>6</w:t>
            </w:r>
          </w:p>
        </w:tc>
        <w:tc>
          <w:tcPr>
            <w:tcW w:w="8350" w:type="dxa"/>
            <w:vAlign w:val="center"/>
          </w:tcPr>
          <w:p>
            <w:pPr>
              <w:pStyle w:val="33"/>
              <w:spacing w:before="0" w:beforeAutospacing="0" w:after="0" w:afterAutospacing="0" w:line="500" w:lineRule="exact"/>
              <w:jc w:val="both"/>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付款方式是否完全响应；</w:t>
            </w:r>
          </w:p>
        </w:tc>
      </w:tr>
    </w:tbl>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2.3  特殊情况的处理</w:t>
      </w:r>
    </w:p>
    <w:p>
      <w:pPr>
        <w:spacing w:line="500" w:lineRule="exact"/>
        <w:ind w:firstLine="420"/>
        <w:rPr>
          <w:color w:val="auto"/>
          <w:sz w:val="24"/>
          <w:highlight w:val="none"/>
        </w:rPr>
      </w:pPr>
      <w:r>
        <w:rPr>
          <w:rFonts w:hint="eastAsia"/>
          <w:color w:val="auto"/>
          <w:sz w:val="24"/>
          <w:highlight w:val="none"/>
        </w:rPr>
        <w:t>2.3.1 竞争性谈判响应文件中如果出现计算错误，可按以下原则进行修正：</w:t>
      </w:r>
    </w:p>
    <w:p>
      <w:pPr>
        <w:spacing w:line="500" w:lineRule="exact"/>
        <w:ind w:firstLine="420"/>
        <w:rPr>
          <w:color w:val="auto"/>
          <w:sz w:val="24"/>
          <w:highlight w:val="none"/>
        </w:rPr>
      </w:pPr>
      <w:r>
        <w:rPr>
          <w:rFonts w:hint="eastAsia"/>
          <w:color w:val="auto"/>
          <w:sz w:val="24"/>
          <w:highlight w:val="none"/>
        </w:rPr>
        <w:t>（1）竞争性谈判响应文件中的大写金额与小写金额不一致的，以大写金额为准；</w:t>
      </w:r>
    </w:p>
    <w:p>
      <w:pPr>
        <w:spacing w:line="500" w:lineRule="exact"/>
        <w:ind w:firstLine="420"/>
        <w:rPr>
          <w:color w:val="auto"/>
          <w:sz w:val="24"/>
          <w:highlight w:val="none"/>
        </w:rPr>
      </w:pPr>
      <w:r>
        <w:rPr>
          <w:rFonts w:hint="eastAsia"/>
          <w:color w:val="auto"/>
          <w:sz w:val="24"/>
          <w:highlight w:val="none"/>
        </w:rPr>
        <w:t>（2）竞争性谈判响应文件中的总价金额与按单价计算的汇总金额不一致的，以单价计算的汇总金额为准；</w:t>
      </w:r>
    </w:p>
    <w:p>
      <w:pPr>
        <w:spacing w:line="500" w:lineRule="exact"/>
        <w:ind w:firstLine="420"/>
        <w:rPr>
          <w:color w:val="auto"/>
          <w:sz w:val="24"/>
          <w:highlight w:val="none"/>
        </w:rPr>
      </w:pPr>
      <w:r>
        <w:rPr>
          <w:rFonts w:hint="eastAsia"/>
          <w:color w:val="auto"/>
          <w:sz w:val="24"/>
          <w:highlight w:val="none"/>
        </w:rPr>
        <w:t>（3）竞争性谈判响应文件中的单价金额有明显小数点错误的，以总价为准，并修改单价；</w:t>
      </w:r>
    </w:p>
    <w:p>
      <w:pPr>
        <w:spacing w:line="500" w:lineRule="exact"/>
        <w:ind w:firstLine="420"/>
        <w:rPr>
          <w:color w:val="auto"/>
          <w:sz w:val="24"/>
          <w:highlight w:val="none"/>
        </w:rPr>
      </w:pPr>
      <w:r>
        <w:rPr>
          <w:rFonts w:hint="eastAsia"/>
          <w:color w:val="auto"/>
          <w:sz w:val="24"/>
          <w:highlight w:val="none"/>
        </w:rPr>
        <w:t>（4）竞争性谈判响应文件中有关分项表内容与“竞争性谈判报价一览表”不一致的，以“竞争性谈判报价一览表”为准；</w:t>
      </w:r>
    </w:p>
    <w:p>
      <w:pPr>
        <w:spacing w:line="500" w:lineRule="exact"/>
        <w:ind w:firstLine="420"/>
        <w:rPr>
          <w:color w:val="auto"/>
          <w:sz w:val="24"/>
          <w:highlight w:val="none"/>
        </w:rPr>
      </w:pPr>
      <w:r>
        <w:rPr>
          <w:rFonts w:hint="eastAsia"/>
          <w:color w:val="auto"/>
          <w:sz w:val="24"/>
          <w:highlight w:val="none"/>
        </w:rPr>
        <w:t>（5）竞争性谈判响应文件中图表与文字表述不一致的，以文字表述为准；</w:t>
      </w:r>
    </w:p>
    <w:p>
      <w:pPr>
        <w:spacing w:line="500" w:lineRule="exact"/>
        <w:ind w:firstLine="420"/>
        <w:rPr>
          <w:color w:val="auto"/>
          <w:sz w:val="24"/>
          <w:highlight w:val="none"/>
        </w:rPr>
      </w:pPr>
      <w:r>
        <w:rPr>
          <w:rFonts w:hint="eastAsia"/>
          <w:color w:val="auto"/>
          <w:sz w:val="24"/>
          <w:highlight w:val="none"/>
        </w:rPr>
        <w:t>（6）竞争性谈判响应文件正本与副本不一致的，以正本为准；</w:t>
      </w:r>
    </w:p>
    <w:p>
      <w:pPr>
        <w:spacing w:line="500" w:lineRule="exact"/>
        <w:ind w:firstLine="420"/>
        <w:rPr>
          <w:color w:val="auto"/>
          <w:sz w:val="24"/>
          <w:highlight w:val="none"/>
        </w:rPr>
      </w:pPr>
      <w:r>
        <w:rPr>
          <w:rFonts w:hint="eastAsia"/>
          <w:color w:val="auto"/>
          <w:sz w:val="24"/>
          <w:highlight w:val="none"/>
        </w:rPr>
        <w:t>（7）对不同文字文本竞争性谈判响应文件的解释发生异议的，以中文文本为准。</w:t>
      </w:r>
    </w:p>
    <w:p>
      <w:pPr>
        <w:spacing w:line="500" w:lineRule="exact"/>
        <w:ind w:firstLine="420"/>
        <w:rPr>
          <w:color w:val="auto"/>
          <w:sz w:val="24"/>
          <w:highlight w:val="none"/>
        </w:rPr>
      </w:pPr>
      <w:r>
        <w:rPr>
          <w:rFonts w:hint="eastAsia"/>
          <w:color w:val="auto"/>
          <w:sz w:val="24"/>
          <w:highlight w:val="none"/>
        </w:rPr>
        <w:t>按上述修正错误的方法调整的谈判报价应对供应商具有约束力。如果供应商不接受修正后的价格，其谈判将被拒绝。</w:t>
      </w:r>
    </w:p>
    <w:p>
      <w:pPr>
        <w:spacing w:line="500" w:lineRule="exact"/>
        <w:ind w:firstLine="420"/>
        <w:rPr>
          <w:color w:val="auto"/>
          <w:sz w:val="24"/>
          <w:highlight w:val="none"/>
        </w:rPr>
      </w:pPr>
      <w:r>
        <w:rPr>
          <w:rFonts w:hint="eastAsia"/>
          <w:color w:val="auto"/>
          <w:sz w:val="24"/>
          <w:highlight w:val="none"/>
        </w:rPr>
        <w:t>2.3.2 评审结果汇总完成后，除下列情形外，任何人不得修改评审结果：</w:t>
      </w:r>
    </w:p>
    <w:p>
      <w:pPr>
        <w:spacing w:line="500" w:lineRule="exact"/>
        <w:ind w:firstLine="420"/>
        <w:rPr>
          <w:color w:val="auto"/>
          <w:sz w:val="24"/>
          <w:highlight w:val="none"/>
        </w:rPr>
      </w:pPr>
      <w:r>
        <w:rPr>
          <w:rFonts w:hint="eastAsia"/>
          <w:color w:val="auto"/>
          <w:sz w:val="24"/>
          <w:highlight w:val="none"/>
        </w:rPr>
        <w:t>（1）分值汇总计算错误的；</w:t>
      </w:r>
    </w:p>
    <w:p>
      <w:pPr>
        <w:spacing w:line="500" w:lineRule="exact"/>
        <w:ind w:firstLine="420"/>
        <w:rPr>
          <w:color w:val="auto"/>
          <w:sz w:val="24"/>
          <w:highlight w:val="none"/>
        </w:rPr>
      </w:pPr>
      <w:r>
        <w:rPr>
          <w:rFonts w:hint="eastAsia"/>
          <w:color w:val="auto"/>
          <w:sz w:val="24"/>
          <w:highlight w:val="none"/>
        </w:rPr>
        <w:t>（2）分项评分超出评分标准范围的；</w:t>
      </w:r>
    </w:p>
    <w:p>
      <w:pPr>
        <w:spacing w:line="500" w:lineRule="exact"/>
        <w:ind w:firstLine="420"/>
        <w:rPr>
          <w:color w:val="auto"/>
          <w:sz w:val="24"/>
          <w:highlight w:val="none"/>
        </w:rPr>
      </w:pPr>
      <w:r>
        <w:rPr>
          <w:rFonts w:hint="eastAsia"/>
          <w:color w:val="auto"/>
          <w:sz w:val="24"/>
          <w:highlight w:val="none"/>
        </w:rPr>
        <w:t>（3）评标委员会成员对客观评审因素评分不一致的；</w:t>
      </w:r>
    </w:p>
    <w:p>
      <w:pPr>
        <w:spacing w:line="500" w:lineRule="exact"/>
        <w:ind w:firstLine="420"/>
        <w:rPr>
          <w:color w:val="auto"/>
          <w:sz w:val="24"/>
          <w:highlight w:val="none"/>
        </w:rPr>
      </w:pPr>
      <w:r>
        <w:rPr>
          <w:rFonts w:hint="eastAsia"/>
          <w:color w:val="auto"/>
          <w:sz w:val="24"/>
          <w:highlight w:val="none"/>
        </w:rPr>
        <w:t>（4）经评标委员会认定评分畸高、畸低的。</w:t>
      </w:r>
    </w:p>
    <w:p>
      <w:pPr>
        <w:spacing w:line="500" w:lineRule="exact"/>
        <w:ind w:firstLine="420"/>
        <w:rPr>
          <w:color w:val="auto"/>
          <w:sz w:val="24"/>
          <w:highlight w:val="none"/>
        </w:rPr>
      </w:pPr>
      <w:r>
        <w:rPr>
          <w:rFonts w:hint="eastAsia"/>
          <w:color w:val="auto"/>
          <w:sz w:val="24"/>
          <w:highlight w:val="none"/>
        </w:rPr>
        <w:t>评审报告签署前，经复核发现存在以上情形之一的，谈判小组应当当场修改评审结果，并在评审报告中记载；评审报告签署后，采购人或者采购代理机构发现存在以上情形之一的，应当组织原谈判小组进行重新评审，重新评审改变成交结果的，书面报本级财政部门认定。</w:t>
      </w:r>
    </w:p>
    <w:p>
      <w:pPr>
        <w:spacing w:line="500" w:lineRule="exact"/>
        <w:ind w:firstLine="420"/>
        <w:rPr>
          <w:color w:val="auto"/>
          <w:sz w:val="24"/>
          <w:highlight w:val="none"/>
        </w:rPr>
      </w:pPr>
      <w:r>
        <w:rPr>
          <w:rFonts w:hint="eastAsia"/>
          <w:color w:val="auto"/>
          <w:sz w:val="24"/>
          <w:highlight w:val="none"/>
        </w:rPr>
        <w:t>2.3.3 排名第一的候选人，主动放弃成交，或因不可抗力不能履行合同，或被查实存在影响成交结果的违法行为等情形，已不再符合成交条件的，采购人可以按照谈判小组提出的成交候选人名单排序依次确定其他成交候选人为成交供应商，也可以根据实际情况需要，依法重新招标。</w:t>
      </w:r>
    </w:p>
    <w:p>
      <w:pPr>
        <w:spacing w:before="240" w:after="120"/>
        <w:jc w:val="left"/>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2.4  与采购人、采购代理机构和谈判小组接触</w:t>
      </w:r>
    </w:p>
    <w:p>
      <w:pPr>
        <w:spacing w:line="500" w:lineRule="exact"/>
        <w:ind w:firstLine="420"/>
        <w:rPr>
          <w:rFonts w:ascii="新宋体" w:hAnsi="新宋体"/>
          <w:b/>
          <w:bCs/>
          <w:color w:val="auto"/>
          <w:sz w:val="24"/>
          <w:highlight w:val="none"/>
        </w:rPr>
      </w:pPr>
      <w:r>
        <w:rPr>
          <w:rFonts w:hint="eastAsia"/>
          <w:color w:val="auto"/>
          <w:sz w:val="24"/>
          <w:highlight w:val="none"/>
        </w:rPr>
        <w:t>供应商试图对采购人、采购代理机构和谈判小组的评审、比较或授予合同的决定进行影响，都可能导致其谈判被拒绝。</w:t>
      </w:r>
    </w:p>
    <w:p>
      <w:pPr>
        <w:rPr>
          <w:rFonts w:ascii="宋体" w:hAnsi="宋体" w:cs="宋体"/>
          <w:b/>
          <w:bCs/>
          <w:color w:val="auto"/>
          <w:sz w:val="28"/>
          <w:szCs w:val="36"/>
          <w:highlight w:val="none"/>
        </w:rPr>
      </w:pPr>
      <w:r>
        <w:rPr>
          <w:rFonts w:hint="eastAsia" w:ascii="宋体" w:hAnsi="宋体" w:cs="宋体"/>
          <w:b/>
          <w:bCs/>
          <w:color w:val="auto"/>
          <w:sz w:val="28"/>
          <w:szCs w:val="36"/>
          <w:highlight w:val="none"/>
        </w:rPr>
        <w:br w:type="page"/>
      </w:r>
    </w:p>
    <w:p>
      <w:pPr>
        <w:pStyle w:val="3"/>
        <w:numPr>
          <w:ilvl w:val="0"/>
          <w:numId w:val="0"/>
        </w:numPr>
        <w:tabs>
          <w:tab w:val="clear" w:pos="324"/>
        </w:tabs>
        <w:spacing w:line="360" w:lineRule="auto"/>
        <w:rPr>
          <w:rFonts w:ascii="宋体" w:hAnsi="宋体" w:eastAsia="宋体" w:cs="宋体"/>
          <w:b/>
          <w:bCs/>
          <w:color w:val="auto"/>
          <w:sz w:val="28"/>
          <w:szCs w:val="36"/>
          <w:highlight w:val="none"/>
        </w:rPr>
      </w:pPr>
      <w:bookmarkStart w:id="6" w:name="_Toc8487"/>
      <w:r>
        <w:rPr>
          <w:rFonts w:hint="eastAsia" w:ascii="宋体" w:hAnsi="宋体" w:eastAsia="宋体" w:cs="宋体"/>
          <w:b/>
          <w:bCs/>
          <w:color w:val="auto"/>
          <w:sz w:val="28"/>
          <w:szCs w:val="36"/>
          <w:highlight w:val="none"/>
        </w:rPr>
        <w:t>第四章  采购内容及技术要求</w:t>
      </w:r>
      <w:bookmarkEnd w:id="6"/>
    </w:p>
    <w:p>
      <w:pPr>
        <w:spacing w:line="500" w:lineRule="exact"/>
        <w:ind w:firstLine="420"/>
        <w:rPr>
          <w:b/>
          <w:bCs/>
          <w:color w:val="auto"/>
          <w:sz w:val="24"/>
          <w:highlight w:val="none"/>
        </w:rPr>
      </w:pPr>
      <w:r>
        <w:rPr>
          <w:rFonts w:hint="eastAsia"/>
          <w:b/>
          <w:bCs/>
          <w:color w:val="auto"/>
          <w:sz w:val="24"/>
          <w:highlight w:val="none"/>
        </w:rPr>
        <w:t>一、项目概况</w:t>
      </w:r>
    </w:p>
    <w:p>
      <w:pPr>
        <w:spacing w:line="500" w:lineRule="exact"/>
        <w:ind w:firstLine="420"/>
        <w:rPr>
          <w:color w:val="auto"/>
          <w:sz w:val="24"/>
          <w:highlight w:val="none"/>
        </w:rPr>
      </w:pPr>
      <w:r>
        <w:rPr>
          <w:rFonts w:hint="eastAsia"/>
          <w:color w:val="auto"/>
          <w:sz w:val="24"/>
          <w:highlight w:val="none"/>
        </w:rPr>
        <w:t>检察听证是检察机关主动转变司法办案理念，接受外部监督的一项制度创新，是满足新时代人民群众在民主、法治、公平、正义、安全、环境等方面新需求的重要举措，是进一步提升检察人员办案能力，努力做到案结事了的重要途径。</w:t>
      </w:r>
    </w:p>
    <w:p>
      <w:pPr>
        <w:spacing w:line="500" w:lineRule="exact"/>
        <w:ind w:firstLine="420"/>
        <w:rPr>
          <w:color w:val="auto"/>
          <w:sz w:val="24"/>
          <w:highlight w:val="none"/>
        </w:rPr>
      </w:pPr>
      <w:r>
        <w:rPr>
          <w:rFonts w:hint="eastAsia"/>
          <w:color w:val="auto"/>
          <w:sz w:val="24"/>
          <w:highlight w:val="none"/>
        </w:rPr>
        <w:t>去年最高检举行了多场公开听证会，今年各地、各级检察院要全面推开，不仅要在申诉案件中多做、做实，还要在审查逮捕、审查起诉案件中广泛充分运用。因此阎良检察紧跟国家政策，以《检察机关公开听证室建设技术指引》为依据，建设规范化、透明化、智能化的听证室。</w:t>
      </w:r>
    </w:p>
    <w:p>
      <w:pPr>
        <w:spacing w:line="500" w:lineRule="exact"/>
        <w:ind w:firstLine="420"/>
        <w:rPr>
          <w:b/>
          <w:bCs/>
          <w:color w:val="auto"/>
          <w:sz w:val="24"/>
          <w:highlight w:val="none"/>
        </w:rPr>
      </w:pPr>
      <w:r>
        <w:rPr>
          <w:rFonts w:hint="eastAsia"/>
          <w:b/>
          <w:bCs/>
          <w:color w:val="auto"/>
          <w:sz w:val="24"/>
          <w:highlight w:val="none"/>
        </w:rPr>
        <w:t>二、建设内容</w:t>
      </w:r>
    </w:p>
    <w:p>
      <w:pPr>
        <w:spacing w:line="500" w:lineRule="exact"/>
        <w:ind w:firstLine="420"/>
        <w:rPr>
          <w:color w:val="auto"/>
          <w:sz w:val="24"/>
          <w:highlight w:val="none"/>
        </w:rPr>
      </w:pPr>
      <w:r>
        <w:rPr>
          <w:rFonts w:hint="eastAsia"/>
          <w:color w:val="auto"/>
          <w:sz w:val="24"/>
          <w:highlight w:val="none"/>
        </w:rPr>
        <w:t>阎良检察公开听证系统遵循“以高起点规划为引领，以高质量建设为基础，以高效率运行为目标”的原则，充分利用网络、通信、多媒体等技术和软硬件产品，扩展、延伸检察听证功能，满足检察机关在实际公开听证过程中对业务规范开展、过程有效留痕、设备便捷管理的需求，并通过实时互联网公开直播实现公开听证室对内听证工作质效提升、对外为广大群众提供公开听证“零距离”的接触与体验，整体提升阎良检察院工作规范性、管理效力和司法公信力。</w:t>
      </w:r>
    </w:p>
    <w:p>
      <w:pPr>
        <w:spacing w:line="500" w:lineRule="exact"/>
        <w:ind w:firstLine="420"/>
        <w:rPr>
          <w:b/>
          <w:bCs/>
          <w:color w:val="auto"/>
          <w:sz w:val="24"/>
          <w:highlight w:val="none"/>
        </w:rPr>
      </w:pPr>
      <w:r>
        <w:rPr>
          <w:rFonts w:hint="eastAsia"/>
          <w:b/>
          <w:bCs/>
          <w:color w:val="auto"/>
          <w:sz w:val="24"/>
          <w:highlight w:val="none"/>
        </w:rPr>
        <w:t>三、清单列表</w:t>
      </w:r>
    </w:p>
    <w:tbl>
      <w:tblPr>
        <w:tblStyle w:val="38"/>
        <w:tblpPr w:leftFromText="180" w:rightFromText="180" w:vertAnchor="text" w:horzAnchor="page" w:tblpXSpec="center" w:tblpY="524"/>
        <w:tblOverlap w:val="never"/>
        <w:tblW w:w="5000" w:type="pct"/>
        <w:jc w:val="center"/>
        <w:tblLayout w:type="autofit"/>
        <w:tblCellMar>
          <w:top w:w="0" w:type="dxa"/>
          <w:left w:w="108" w:type="dxa"/>
          <w:bottom w:w="0" w:type="dxa"/>
          <w:right w:w="108" w:type="dxa"/>
        </w:tblCellMar>
      </w:tblPr>
      <w:tblGrid>
        <w:gridCol w:w="1428"/>
        <w:gridCol w:w="4238"/>
        <w:gridCol w:w="1433"/>
        <w:gridCol w:w="1429"/>
      </w:tblGrid>
      <w:tr>
        <w:tblPrEx>
          <w:tblCellMar>
            <w:top w:w="0" w:type="dxa"/>
            <w:left w:w="108" w:type="dxa"/>
            <w:bottom w:w="0" w:type="dxa"/>
            <w:right w:w="108" w:type="dxa"/>
          </w:tblCellMar>
        </w:tblPrEx>
        <w:trPr>
          <w:trHeight w:val="624" w:hRule="atLeast"/>
          <w:tblHeader/>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序号</w:t>
            </w:r>
          </w:p>
        </w:tc>
        <w:tc>
          <w:tcPr>
            <w:tcW w:w="2485"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产品</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单位</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数量</w:t>
            </w:r>
          </w:p>
        </w:tc>
      </w:tr>
      <w:tr>
        <w:tblPrEx>
          <w:tblCellMar>
            <w:top w:w="0" w:type="dxa"/>
            <w:left w:w="108" w:type="dxa"/>
            <w:bottom w:w="0" w:type="dxa"/>
            <w:right w:w="108" w:type="dxa"/>
          </w:tblCellMar>
        </w:tblPrEx>
        <w:trPr>
          <w:trHeight w:val="4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一、</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b/>
                <w:color w:val="auto"/>
                <w:highlight w:val="none"/>
              </w:rPr>
            </w:pPr>
            <w:r>
              <w:rPr>
                <w:rFonts w:hint="eastAsia" w:ascii="宋体" w:hAnsi="宋体" w:cs="宋体"/>
                <w:b/>
                <w:color w:val="auto"/>
                <w:highlight w:val="none"/>
              </w:rPr>
              <w:t>听证室设备</w:t>
            </w:r>
          </w:p>
        </w:tc>
        <w:tc>
          <w:tcPr>
            <w:tcW w:w="84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　</w:t>
            </w:r>
          </w:p>
        </w:tc>
      </w:tr>
      <w:tr>
        <w:tblPrEx>
          <w:tblCellMar>
            <w:top w:w="0" w:type="dxa"/>
            <w:left w:w="108" w:type="dxa"/>
            <w:bottom w:w="0" w:type="dxa"/>
            <w:right w:w="108" w:type="dxa"/>
          </w:tblCellMar>
        </w:tblPrEx>
        <w:trPr>
          <w:trHeight w:val="549"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听证主机</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43"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智能听证接入终端</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6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监控级硬盘</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块</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59"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全景摄像机</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53"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特写摄像机</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r>
      <w:tr>
        <w:tblPrEx>
          <w:tblCellMar>
            <w:top w:w="0" w:type="dxa"/>
            <w:left w:w="108" w:type="dxa"/>
            <w:bottom w:w="0" w:type="dxa"/>
            <w:right w:w="108" w:type="dxa"/>
          </w:tblCellMar>
        </w:tblPrEx>
        <w:trPr>
          <w:trHeight w:val="561"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6</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光盘打印刻录一体机</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413"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7</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可打印光盘</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片</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100</w:t>
            </w:r>
          </w:p>
        </w:tc>
      </w:tr>
      <w:tr>
        <w:tblPrEx>
          <w:tblCellMar>
            <w:top w:w="0" w:type="dxa"/>
            <w:left w:w="108" w:type="dxa"/>
            <w:bottom w:w="0" w:type="dxa"/>
            <w:right w:w="108" w:type="dxa"/>
          </w:tblCellMar>
        </w:tblPrEx>
        <w:trPr>
          <w:trHeight w:val="561"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8</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示证展台</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5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9</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桌面液晶显示屏（壁挂）</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r>
      <w:tr>
        <w:tblPrEx>
          <w:tblCellMar>
            <w:top w:w="0" w:type="dxa"/>
            <w:left w:w="108" w:type="dxa"/>
            <w:bottom w:w="0" w:type="dxa"/>
            <w:right w:w="108" w:type="dxa"/>
          </w:tblCellMar>
        </w:tblPrEx>
        <w:trPr>
          <w:trHeight w:val="549"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10</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桌面液晶显示屏（移动支架）</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r>
      <w:tr>
        <w:tblPrEx>
          <w:tblCellMar>
            <w:top w:w="0" w:type="dxa"/>
            <w:left w:w="108" w:type="dxa"/>
            <w:bottom w:w="0" w:type="dxa"/>
            <w:right w:w="108" w:type="dxa"/>
          </w:tblCellMar>
        </w:tblPrEx>
        <w:trPr>
          <w:trHeight w:val="557"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11</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HDMI视频分配器</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6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12</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解码器</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4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13</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彩色激光打印、复印、扫描多功能一体机</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67"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14</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检察官电脑</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61"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15</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控制电脑</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5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16</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网络交换机</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49"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17</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路由器</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768"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18</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机柜</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416"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19</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电源时序器</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50"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20</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高清HDMI编码器</w:t>
            </w:r>
          </w:p>
        </w:tc>
        <w:tc>
          <w:tcPr>
            <w:tcW w:w="840"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58"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二、</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b/>
                <w:color w:val="auto"/>
                <w:highlight w:val="none"/>
              </w:rPr>
            </w:pPr>
            <w:r>
              <w:rPr>
                <w:rFonts w:hint="eastAsia" w:ascii="宋体" w:hAnsi="宋体" w:cs="宋体"/>
                <w:b/>
                <w:color w:val="auto"/>
                <w:highlight w:val="none"/>
              </w:rPr>
              <w:t>会议扩声系统</w:t>
            </w:r>
          </w:p>
        </w:tc>
        <w:tc>
          <w:tcPr>
            <w:tcW w:w="84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w:t>
            </w:r>
          </w:p>
        </w:tc>
      </w:tr>
      <w:tr>
        <w:tblPrEx>
          <w:tblCellMar>
            <w:top w:w="0" w:type="dxa"/>
            <w:left w:w="108" w:type="dxa"/>
            <w:bottom w:w="0" w:type="dxa"/>
            <w:right w:w="108" w:type="dxa"/>
          </w:tblCellMar>
        </w:tblPrEx>
        <w:trPr>
          <w:trHeight w:val="56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无线会议控制主机</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59" w:hRule="atLeast"/>
          <w:jc w:val="center"/>
        </w:trPr>
        <w:tc>
          <w:tcPr>
            <w:tcW w:w="837" w:type="pct"/>
            <w:tcBorders>
              <w:top w:val="single" w:color="auto" w:sz="4" w:space="0"/>
              <w:left w:val="single" w:color="auto" w:sz="4" w:space="0"/>
              <w:bottom w:val="single" w:color="auto" w:sz="4" w:space="0"/>
              <w:right w:val="nil"/>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无线会议控制主机嵌入软件</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53"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无线会议主席话筒</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61" w:hRule="atLeast"/>
          <w:jc w:val="center"/>
        </w:trPr>
        <w:tc>
          <w:tcPr>
            <w:tcW w:w="837" w:type="pct"/>
            <w:tcBorders>
              <w:top w:val="single" w:color="auto" w:sz="4" w:space="0"/>
              <w:left w:val="single" w:color="auto" w:sz="4" w:space="0"/>
              <w:bottom w:val="single" w:color="auto" w:sz="4" w:space="0"/>
              <w:right w:val="nil"/>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无线会议话筒嵌入软件</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5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无线会议代表话筒</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4</w:t>
            </w:r>
          </w:p>
        </w:tc>
      </w:tr>
      <w:tr>
        <w:tblPrEx>
          <w:tblCellMar>
            <w:top w:w="0" w:type="dxa"/>
            <w:left w:w="108" w:type="dxa"/>
            <w:bottom w:w="0" w:type="dxa"/>
            <w:right w:w="108" w:type="dxa"/>
          </w:tblCellMar>
        </w:tblPrEx>
        <w:trPr>
          <w:trHeight w:val="549" w:hRule="atLeast"/>
          <w:jc w:val="center"/>
        </w:trPr>
        <w:tc>
          <w:tcPr>
            <w:tcW w:w="837" w:type="pct"/>
            <w:tcBorders>
              <w:top w:val="single" w:color="auto" w:sz="4" w:space="0"/>
              <w:left w:val="single" w:color="auto" w:sz="4" w:space="0"/>
              <w:bottom w:val="single" w:color="auto" w:sz="4" w:space="0"/>
              <w:right w:val="nil"/>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6</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无线会议话筒嵌入软件</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4</w:t>
            </w:r>
          </w:p>
        </w:tc>
      </w:tr>
      <w:tr>
        <w:tblPrEx>
          <w:tblCellMar>
            <w:top w:w="0" w:type="dxa"/>
            <w:left w:w="108" w:type="dxa"/>
            <w:bottom w:w="0" w:type="dxa"/>
            <w:right w:w="108" w:type="dxa"/>
          </w:tblCellMar>
        </w:tblPrEx>
        <w:trPr>
          <w:trHeight w:val="557"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7</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数字反馈抑制器</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65" w:hRule="atLeast"/>
          <w:jc w:val="center"/>
        </w:trPr>
        <w:tc>
          <w:tcPr>
            <w:tcW w:w="837" w:type="pct"/>
            <w:tcBorders>
              <w:top w:val="single" w:color="auto" w:sz="4" w:space="0"/>
              <w:left w:val="single" w:color="auto" w:sz="4" w:space="0"/>
              <w:bottom w:val="single" w:color="auto" w:sz="4" w:space="0"/>
              <w:right w:val="nil"/>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8</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3.5立体声对双莲花线</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条</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59"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9</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卡侬公对卡侬母线</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条</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4</w:t>
            </w:r>
          </w:p>
        </w:tc>
      </w:tr>
      <w:tr>
        <w:tblPrEx>
          <w:tblCellMar>
            <w:top w:w="0" w:type="dxa"/>
            <w:left w:w="108" w:type="dxa"/>
            <w:bottom w:w="0" w:type="dxa"/>
            <w:right w:w="108" w:type="dxa"/>
          </w:tblCellMar>
        </w:tblPrEx>
        <w:trPr>
          <w:trHeight w:val="553" w:hRule="atLeast"/>
          <w:jc w:val="center"/>
        </w:trPr>
        <w:tc>
          <w:tcPr>
            <w:tcW w:w="837" w:type="pct"/>
            <w:tcBorders>
              <w:top w:val="single" w:color="auto" w:sz="4" w:space="0"/>
              <w:left w:val="single" w:color="auto" w:sz="4" w:space="0"/>
              <w:bottom w:val="single" w:color="auto" w:sz="4" w:space="0"/>
              <w:right w:val="nil"/>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10</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卡侬公对6.35单声道线</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条</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2</w:t>
            </w:r>
          </w:p>
        </w:tc>
      </w:tr>
      <w:tr>
        <w:tblPrEx>
          <w:tblCellMar>
            <w:top w:w="0" w:type="dxa"/>
            <w:left w:w="108" w:type="dxa"/>
            <w:bottom w:w="0" w:type="dxa"/>
            <w:right w:w="108" w:type="dxa"/>
          </w:tblCellMar>
        </w:tblPrEx>
        <w:trPr>
          <w:trHeight w:val="499"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三、</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b/>
                <w:color w:val="auto"/>
                <w:highlight w:val="none"/>
              </w:rPr>
            </w:pPr>
            <w:r>
              <w:rPr>
                <w:rFonts w:hint="eastAsia" w:ascii="宋体" w:hAnsi="宋体" w:cs="宋体"/>
                <w:b/>
                <w:color w:val="auto"/>
                <w:highlight w:val="none"/>
              </w:rPr>
              <w:t>应用基础软件</w:t>
            </w:r>
          </w:p>
        </w:tc>
        <w:tc>
          <w:tcPr>
            <w:tcW w:w="84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w:t>
            </w:r>
          </w:p>
        </w:tc>
      </w:tr>
      <w:tr>
        <w:tblPrEx>
          <w:tblCellMar>
            <w:top w:w="0" w:type="dxa"/>
            <w:left w:w="108" w:type="dxa"/>
            <w:bottom w:w="0" w:type="dxa"/>
            <w:right w:w="108" w:type="dxa"/>
          </w:tblCellMar>
        </w:tblPrEx>
        <w:trPr>
          <w:trHeight w:val="351"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听证系统</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557"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应用服务器</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406"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网络存储设备</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412"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企业级硬盘</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块</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4</w:t>
            </w:r>
          </w:p>
        </w:tc>
      </w:tr>
      <w:tr>
        <w:tblPrEx>
          <w:tblCellMar>
            <w:top w:w="0" w:type="dxa"/>
            <w:left w:w="108" w:type="dxa"/>
            <w:bottom w:w="0" w:type="dxa"/>
            <w:right w:w="108" w:type="dxa"/>
          </w:tblCellMar>
        </w:tblPrEx>
        <w:trPr>
          <w:trHeight w:val="408"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四、</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b/>
                <w:color w:val="auto"/>
                <w:highlight w:val="none"/>
              </w:rPr>
            </w:pPr>
            <w:r>
              <w:rPr>
                <w:rFonts w:hint="eastAsia" w:ascii="宋体" w:hAnsi="宋体" w:cs="宋体"/>
                <w:b/>
                <w:color w:val="auto"/>
                <w:highlight w:val="none"/>
              </w:rPr>
              <w:t>互联网直播扩展</w:t>
            </w:r>
          </w:p>
        </w:tc>
        <w:tc>
          <w:tcPr>
            <w:tcW w:w="84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w:t>
            </w:r>
          </w:p>
        </w:tc>
      </w:tr>
      <w:tr>
        <w:tblPrEx>
          <w:tblCellMar>
            <w:top w:w="0" w:type="dxa"/>
            <w:left w:w="108" w:type="dxa"/>
            <w:bottom w:w="0" w:type="dxa"/>
            <w:right w:w="108" w:type="dxa"/>
          </w:tblCellMar>
        </w:tblPrEx>
        <w:trPr>
          <w:trHeight w:val="419"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互联网接入终端</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4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五、</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b/>
                <w:color w:val="auto"/>
                <w:highlight w:val="none"/>
              </w:rPr>
            </w:pPr>
            <w:r>
              <w:rPr>
                <w:rFonts w:hint="eastAsia" w:ascii="宋体" w:hAnsi="宋体" w:cs="宋体"/>
                <w:b/>
                <w:color w:val="auto"/>
                <w:highlight w:val="none"/>
              </w:rPr>
              <w:t>会议室电子屏</w:t>
            </w:r>
          </w:p>
        </w:tc>
        <w:tc>
          <w:tcPr>
            <w:tcW w:w="84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w:t>
            </w:r>
          </w:p>
        </w:tc>
      </w:tr>
      <w:tr>
        <w:tblPrEx>
          <w:tblCellMar>
            <w:top w:w="0" w:type="dxa"/>
            <w:left w:w="108" w:type="dxa"/>
            <w:bottom w:w="0" w:type="dxa"/>
            <w:right w:w="108" w:type="dxa"/>
          </w:tblCellMar>
        </w:tblPrEx>
        <w:trPr>
          <w:trHeight w:val="569"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（一）</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jc w:val="left"/>
              <w:rPr>
                <w:rFonts w:ascii="宋体" w:hAnsi="宋体" w:cs="宋体"/>
                <w:b/>
                <w:color w:val="auto"/>
                <w:highlight w:val="none"/>
              </w:rPr>
            </w:pPr>
            <w:r>
              <w:rPr>
                <w:rFonts w:hint="eastAsia" w:ascii="宋体" w:hAnsi="宋体" w:cs="宋体"/>
                <w:b/>
                <w:color w:val="auto"/>
                <w:highlight w:val="none"/>
              </w:rPr>
              <w:t>听证室电子屏：单屏体净显示尺寸:宽3.52米×高1.92米=6.76平米</w:t>
            </w:r>
          </w:p>
        </w:tc>
        <w:tc>
          <w:tcPr>
            <w:tcW w:w="84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color w:val="auto"/>
                <w:highlight w:val="none"/>
              </w:rPr>
            </w:pPr>
          </w:p>
        </w:tc>
      </w:tr>
      <w:tr>
        <w:tblPrEx>
          <w:tblCellMar>
            <w:top w:w="0" w:type="dxa"/>
            <w:left w:w="108" w:type="dxa"/>
            <w:bottom w:w="0" w:type="dxa"/>
            <w:right w:w="108" w:type="dxa"/>
          </w:tblCellMar>
        </w:tblPrEx>
        <w:trPr>
          <w:trHeight w:val="538"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P1.8全彩LED显示屏</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r>
      <w:tr>
        <w:tblPrEx>
          <w:tblCellMar>
            <w:top w:w="0" w:type="dxa"/>
            <w:left w:w="108" w:type="dxa"/>
            <w:bottom w:w="0" w:type="dxa"/>
            <w:right w:w="108" w:type="dxa"/>
          </w:tblCellMar>
        </w:tblPrEx>
        <w:trPr>
          <w:trHeight w:val="496"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电源及排线</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r>
      <w:tr>
        <w:tblPrEx>
          <w:tblCellMar>
            <w:top w:w="0" w:type="dxa"/>
            <w:left w:w="108" w:type="dxa"/>
            <w:bottom w:w="0" w:type="dxa"/>
            <w:right w:w="108" w:type="dxa"/>
          </w:tblCellMar>
        </w:tblPrEx>
        <w:trPr>
          <w:trHeight w:val="416"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LED处理器</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407"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LED控制器</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张</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22</w:t>
            </w:r>
          </w:p>
        </w:tc>
      </w:tr>
      <w:tr>
        <w:tblPrEx>
          <w:tblCellMar>
            <w:top w:w="0" w:type="dxa"/>
            <w:left w:w="108" w:type="dxa"/>
            <w:bottom w:w="0" w:type="dxa"/>
            <w:right w:w="108" w:type="dxa"/>
          </w:tblCellMar>
        </w:tblPrEx>
        <w:trPr>
          <w:trHeight w:val="41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控制软件</w:t>
            </w:r>
          </w:p>
        </w:tc>
        <w:tc>
          <w:tcPr>
            <w:tcW w:w="840" w:type="pct"/>
            <w:tcBorders>
              <w:top w:val="single" w:color="auto" w:sz="4" w:space="0"/>
              <w:left w:val="nil"/>
              <w:bottom w:val="single" w:color="auto" w:sz="4" w:space="0"/>
              <w:right w:val="nil"/>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0</w:t>
            </w:r>
          </w:p>
        </w:tc>
      </w:tr>
      <w:tr>
        <w:tblPrEx>
          <w:tblCellMar>
            <w:top w:w="0" w:type="dxa"/>
            <w:left w:w="108" w:type="dxa"/>
            <w:bottom w:w="0" w:type="dxa"/>
            <w:right w:w="108" w:type="dxa"/>
          </w:tblCellMar>
        </w:tblPrEx>
        <w:trPr>
          <w:trHeight w:val="422"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6</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智能配电柜</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41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7</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钢结构</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r>
      <w:tr>
        <w:tblPrEx>
          <w:tblCellMar>
            <w:top w:w="0" w:type="dxa"/>
            <w:left w:w="108" w:type="dxa"/>
            <w:bottom w:w="0" w:type="dxa"/>
            <w:right w:w="108" w:type="dxa"/>
          </w:tblCellMar>
        </w:tblPrEx>
        <w:trPr>
          <w:trHeight w:val="41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（二）</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jc w:val="left"/>
              <w:rPr>
                <w:rFonts w:ascii="宋体" w:hAnsi="宋体" w:cs="宋体"/>
                <w:b/>
                <w:bCs w:val="0"/>
                <w:color w:val="auto"/>
                <w:highlight w:val="none"/>
              </w:rPr>
            </w:pPr>
            <w:r>
              <w:rPr>
                <w:rFonts w:hint="eastAsia" w:ascii="宋体" w:hAnsi="宋体" w:cs="宋体"/>
                <w:b/>
                <w:bCs w:val="0"/>
                <w:color w:val="auto"/>
                <w:highlight w:val="none"/>
              </w:rPr>
              <w:t>视频会议室电子屏：单屏体净显示尺寸:宽3.84米×高1.76米=6.76平米</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p>
        </w:tc>
      </w:tr>
      <w:tr>
        <w:tblPrEx>
          <w:tblCellMar>
            <w:top w:w="0" w:type="dxa"/>
            <w:left w:w="108" w:type="dxa"/>
            <w:bottom w:w="0" w:type="dxa"/>
            <w:right w:w="108" w:type="dxa"/>
          </w:tblCellMar>
        </w:tblPrEx>
        <w:trPr>
          <w:trHeight w:val="563"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P1.8全彩LED显示屏</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r>
      <w:tr>
        <w:tblPrEx>
          <w:tblCellMar>
            <w:top w:w="0" w:type="dxa"/>
            <w:left w:w="108" w:type="dxa"/>
            <w:bottom w:w="0" w:type="dxa"/>
            <w:right w:w="108" w:type="dxa"/>
          </w:tblCellMar>
        </w:tblPrEx>
        <w:trPr>
          <w:trHeight w:val="557"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电源及排线</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r>
      <w:tr>
        <w:tblPrEx>
          <w:tblCellMar>
            <w:top w:w="0" w:type="dxa"/>
            <w:left w:w="108" w:type="dxa"/>
            <w:bottom w:w="0" w:type="dxa"/>
            <w:right w:w="108" w:type="dxa"/>
          </w:tblCellMar>
        </w:tblPrEx>
        <w:trPr>
          <w:trHeight w:val="551"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LED处理器</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440"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LED控制器</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张</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24</w:t>
            </w:r>
          </w:p>
        </w:tc>
      </w:tr>
      <w:tr>
        <w:tblPrEx>
          <w:tblCellMar>
            <w:top w:w="0" w:type="dxa"/>
            <w:left w:w="108" w:type="dxa"/>
            <w:bottom w:w="0" w:type="dxa"/>
            <w:right w:w="108" w:type="dxa"/>
          </w:tblCellMar>
        </w:tblPrEx>
        <w:trPr>
          <w:trHeight w:val="43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控制软件</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0</w:t>
            </w:r>
          </w:p>
        </w:tc>
      </w:tr>
      <w:tr>
        <w:tblPrEx>
          <w:tblCellMar>
            <w:top w:w="0" w:type="dxa"/>
            <w:left w:w="108" w:type="dxa"/>
            <w:bottom w:w="0" w:type="dxa"/>
            <w:right w:w="108" w:type="dxa"/>
          </w:tblCellMar>
        </w:tblPrEx>
        <w:trPr>
          <w:trHeight w:val="443"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6</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智能配电柜</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437"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7</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钢结构</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r>
      <w:tr>
        <w:tblPrEx>
          <w:tblCellMar>
            <w:top w:w="0" w:type="dxa"/>
            <w:left w:w="108" w:type="dxa"/>
            <w:bottom w:w="0" w:type="dxa"/>
            <w:right w:w="108" w:type="dxa"/>
          </w:tblCellMar>
        </w:tblPrEx>
        <w:trPr>
          <w:trHeight w:val="55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六、</w:t>
            </w:r>
          </w:p>
        </w:tc>
        <w:tc>
          <w:tcPr>
            <w:tcW w:w="248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辅材</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w:t>
            </w:r>
          </w:p>
        </w:tc>
      </w:tr>
      <w:tr>
        <w:tblPrEx>
          <w:tblCellMar>
            <w:top w:w="0" w:type="dxa"/>
            <w:left w:w="108" w:type="dxa"/>
            <w:bottom w:w="0" w:type="dxa"/>
            <w:right w:w="108" w:type="dxa"/>
          </w:tblCellMar>
        </w:tblPrEx>
        <w:trPr>
          <w:trHeight w:val="438"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网线</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箱</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r>
      <w:tr>
        <w:tblPrEx>
          <w:tblCellMar>
            <w:top w:w="0" w:type="dxa"/>
            <w:left w:w="108" w:type="dxa"/>
            <w:bottom w:w="0" w:type="dxa"/>
            <w:right w:w="108" w:type="dxa"/>
          </w:tblCellMar>
        </w:tblPrEx>
        <w:trPr>
          <w:trHeight w:val="419" w:hRule="atLeast"/>
          <w:jc w:val="center"/>
        </w:trPr>
        <w:tc>
          <w:tcPr>
            <w:tcW w:w="8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24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HDMI线</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条</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5</w:t>
            </w:r>
          </w:p>
        </w:tc>
      </w:tr>
      <w:tr>
        <w:trPr>
          <w:trHeight w:val="427" w:hRule="atLeast"/>
          <w:jc w:val="center"/>
        </w:trPr>
        <w:tc>
          <w:tcPr>
            <w:tcW w:w="8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p>
        </w:tc>
        <w:tc>
          <w:tcPr>
            <w:tcW w:w="24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条</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5</w:t>
            </w:r>
          </w:p>
        </w:tc>
      </w:tr>
      <w:tr>
        <w:tblPrEx>
          <w:tblCellMar>
            <w:top w:w="0" w:type="dxa"/>
            <w:left w:w="108" w:type="dxa"/>
            <w:bottom w:w="0" w:type="dxa"/>
            <w:right w:w="108" w:type="dxa"/>
          </w:tblCellMar>
        </w:tblPrEx>
        <w:trPr>
          <w:trHeight w:val="415" w:hRule="atLeast"/>
          <w:jc w:val="center"/>
        </w:trPr>
        <w:tc>
          <w:tcPr>
            <w:tcW w:w="8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24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电源线</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米</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10</w:t>
            </w:r>
          </w:p>
        </w:tc>
      </w:tr>
      <w:tr>
        <w:tblPrEx>
          <w:tblCellMar>
            <w:top w:w="0" w:type="dxa"/>
            <w:left w:w="108" w:type="dxa"/>
            <w:bottom w:w="0" w:type="dxa"/>
            <w:right w:w="108" w:type="dxa"/>
          </w:tblCellMar>
        </w:tblPrEx>
        <w:trPr>
          <w:trHeight w:val="421" w:hRule="atLeast"/>
          <w:jc w:val="center"/>
        </w:trPr>
        <w:tc>
          <w:tcPr>
            <w:tcW w:w="8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p>
        </w:tc>
        <w:tc>
          <w:tcPr>
            <w:tcW w:w="24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米</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100</w:t>
            </w:r>
          </w:p>
        </w:tc>
      </w:tr>
      <w:tr>
        <w:tblPrEx>
          <w:tblCellMar>
            <w:top w:w="0" w:type="dxa"/>
            <w:left w:w="108" w:type="dxa"/>
            <w:bottom w:w="0" w:type="dxa"/>
            <w:right w:w="108" w:type="dxa"/>
          </w:tblCellMar>
        </w:tblPrEx>
        <w:trPr>
          <w:trHeight w:val="558"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插线板</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个</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5</w:t>
            </w:r>
          </w:p>
        </w:tc>
      </w:tr>
      <w:tr>
        <w:tblPrEx>
          <w:tblCellMar>
            <w:top w:w="0" w:type="dxa"/>
            <w:left w:w="108" w:type="dxa"/>
            <w:bottom w:w="0" w:type="dxa"/>
            <w:right w:w="108" w:type="dxa"/>
          </w:tblCellMar>
        </w:tblPrEx>
        <w:trPr>
          <w:trHeight w:val="413"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水晶头</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个</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100</w:t>
            </w:r>
          </w:p>
        </w:tc>
      </w:tr>
      <w:tr>
        <w:tblPrEx>
          <w:tblCellMar>
            <w:top w:w="0" w:type="dxa"/>
            <w:left w:w="108" w:type="dxa"/>
            <w:bottom w:w="0" w:type="dxa"/>
            <w:right w:w="108" w:type="dxa"/>
          </w:tblCellMar>
        </w:tblPrEx>
        <w:trPr>
          <w:trHeight w:val="49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电源面板</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个</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10</w:t>
            </w:r>
          </w:p>
        </w:tc>
      </w:tr>
      <w:tr>
        <w:tblPrEx>
          <w:tblCellMar>
            <w:top w:w="0" w:type="dxa"/>
            <w:left w:w="108" w:type="dxa"/>
            <w:bottom w:w="0" w:type="dxa"/>
            <w:right w:w="108" w:type="dxa"/>
          </w:tblCellMar>
        </w:tblPrEx>
        <w:trPr>
          <w:trHeight w:val="49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7</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网线面板</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个</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5</w:t>
            </w:r>
          </w:p>
        </w:tc>
      </w:tr>
      <w:tr>
        <w:tblPrEx>
          <w:tblCellMar>
            <w:top w:w="0" w:type="dxa"/>
            <w:left w:w="108" w:type="dxa"/>
            <w:bottom w:w="0" w:type="dxa"/>
            <w:right w:w="108" w:type="dxa"/>
          </w:tblCellMar>
        </w:tblPrEx>
        <w:trPr>
          <w:trHeight w:val="49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8</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底盒</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个</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15</w:t>
            </w:r>
          </w:p>
        </w:tc>
      </w:tr>
      <w:tr>
        <w:tblPrEx>
          <w:tblCellMar>
            <w:top w:w="0" w:type="dxa"/>
            <w:left w:w="108" w:type="dxa"/>
            <w:bottom w:w="0" w:type="dxa"/>
            <w:right w:w="108" w:type="dxa"/>
          </w:tblCellMar>
        </w:tblPrEx>
        <w:trPr>
          <w:trHeight w:val="495"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七</w:t>
            </w:r>
          </w:p>
        </w:tc>
        <w:tc>
          <w:tcPr>
            <w:tcW w:w="2485"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机房改造升级及集成服务</w:t>
            </w:r>
          </w:p>
        </w:tc>
        <w:tc>
          <w:tcPr>
            <w:tcW w:w="840"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项</w:t>
            </w:r>
          </w:p>
        </w:tc>
        <w:tc>
          <w:tcPr>
            <w:tcW w:w="838" w:type="pct"/>
            <w:tcBorders>
              <w:top w:val="single" w:color="auto" w:sz="4" w:space="0"/>
              <w:left w:val="nil"/>
              <w:bottom w:val="single" w:color="auto" w:sz="4" w:space="0"/>
              <w:right w:val="single" w:color="auto" w:sz="4" w:space="0"/>
            </w:tcBorders>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1</w:t>
            </w:r>
          </w:p>
        </w:tc>
      </w:tr>
    </w:tbl>
    <w:p>
      <w:pPr>
        <w:pStyle w:val="147"/>
        <w:spacing w:before="240" w:after="240"/>
        <w:rPr>
          <w:rFonts w:ascii="宋体" w:hAnsi="宋体" w:cs="宋体"/>
          <w:color w:val="auto"/>
          <w:highlight w:val="none"/>
        </w:rPr>
        <w:sectPr>
          <w:pgSz w:w="11906" w:h="16838"/>
          <w:pgMar w:top="1440" w:right="1797" w:bottom="1440" w:left="1797" w:header="851" w:footer="992" w:gutter="0"/>
          <w:cols w:space="720" w:num="1"/>
          <w:docGrid w:linePitch="312" w:charSpace="0"/>
        </w:sectPr>
      </w:pPr>
    </w:p>
    <w:p>
      <w:pPr>
        <w:pStyle w:val="83"/>
        <w:spacing w:after="120"/>
        <w:rPr>
          <w:rFonts w:ascii="宋体" w:hAnsi="宋体" w:eastAsia="宋体"/>
          <w:color w:val="auto"/>
          <w:sz w:val="24"/>
          <w:szCs w:val="18"/>
          <w:highlight w:val="none"/>
        </w:rPr>
      </w:pPr>
      <w:r>
        <w:rPr>
          <w:rFonts w:hint="eastAsia" w:ascii="宋体" w:hAnsi="宋体" w:eastAsia="宋体"/>
          <w:color w:val="auto"/>
          <w:sz w:val="24"/>
          <w:szCs w:val="18"/>
          <w:highlight w:val="none"/>
        </w:rPr>
        <w:t>四、技术参数要求</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339"/>
        <w:gridCol w:w="5157"/>
        <w:gridCol w:w="782"/>
        <w:gridCol w:w="705"/>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433"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序号</w:t>
            </w:r>
          </w:p>
        </w:tc>
        <w:tc>
          <w:tcPr>
            <w:tcW w:w="712"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产品</w:t>
            </w:r>
          </w:p>
        </w:tc>
        <w:tc>
          <w:tcPr>
            <w:tcW w:w="2741"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技术参数</w:t>
            </w:r>
          </w:p>
        </w:tc>
        <w:tc>
          <w:tcPr>
            <w:tcW w:w="416"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单位</w:t>
            </w:r>
          </w:p>
        </w:tc>
        <w:tc>
          <w:tcPr>
            <w:tcW w:w="375"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数量</w:t>
            </w:r>
          </w:p>
        </w:tc>
        <w:tc>
          <w:tcPr>
            <w:tcW w:w="320"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33" w:type="pct"/>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一、</w:t>
            </w:r>
          </w:p>
        </w:tc>
        <w:tc>
          <w:tcPr>
            <w:tcW w:w="712" w:type="pct"/>
            <w:shd w:val="clear" w:color="auto" w:fill="auto"/>
            <w:vAlign w:val="center"/>
          </w:tcPr>
          <w:p>
            <w:pPr>
              <w:pStyle w:val="146"/>
              <w:rPr>
                <w:rFonts w:ascii="宋体" w:hAnsi="宋体" w:cs="宋体"/>
                <w:b/>
                <w:color w:val="auto"/>
                <w:highlight w:val="none"/>
              </w:rPr>
            </w:pPr>
            <w:r>
              <w:rPr>
                <w:rFonts w:hint="eastAsia" w:ascii="宋体" w:hAnsi="宋体" w:cs="宋体"/>
                <w:b/>
                <w:color w:val="auto"/>
                <w:highlight w:val="none"/>
              </w:rPr>
              <w:t>听证室设备</w:t>
            </w:r>
          </w:p>
        </w:tc>
        <w:tc>
          <w:tcPr>
            <w:tcW w:w="2741" w:type="pct"/>
            <w:shd w:val="clear" w:color="auto" w:fill="auto"/>
            <w:noWrap/>
            <w:vAlign w:val="center"/>
          </w:tcPr>
          <w:p>
            <w:pPr>
              <w:pStyle w:val="146"/>
              <w:jc w:val="left"/>
              <w:rPr>
                <w:rFonts w:ascii="宋体" w:hAnsi="宋体" w:cs="宋体"/>
                <w:color w:val="auto"/>
                <w:highlight w:val="none"/>
              </w:rPr>
            </w:pPr>
            <w:r>
              <w:rPr>
                <w:rFonts w:hint="eastAsia" w:ascii="宋体" w:hAnsi="宋体" w:cs="宋体"/>
                <w:color w:val="auto"/>
                <w:highlight w:val="none"/>
              </w:rPr>
              <w:t>　</w:t>
            </w:r>
          </w:p>
        </w:tc>
        <w:tc>
          <w:tcPr>
            <w:tcW w:w="416" w:type="pct"/>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w:t>
            </w:r>
          </w:p>
        </w:tc>
        <w:tc>
          <w:tcPr>
            <w:tcW w:w="375" w:type="pct"/>
            <w:shd w:val="clear" w:color="auto" w:fill="auto"/>
            <w:noWrap/>
            <w:vAlign w:val="center"/>
          </w:tcPr>
          <w:p>
            <w:pPr>
              <w:pStyle w:val="146"/>
              <w:rPr>
                <w:rFonts w:ascii="宋体" w:hAnsi="宋体" w:cs="宋体"/>
                <w:b/>
                <w:color w:val="auto"/>
                <w:highlight w:val="none"/>
              </w:rPr>
            </w:pPr>
            <w:r>
              <w:rPr>
                <w:rFonts w:hint="eastAsia" w:ascii="宋体" w:hAnsi="宋体" w:cs="宋体"/>
                <w:b/>
                <w:color w:val="auto"/>
                <w:highlight w:val="none"/>
              </w:rPr>
              <w:t>/　</w:t>
            </w:r>
          </w:p>
        </w:tc>
        <w:tc>
          <w:tcPr>
            <w:tcW w:w="320" w:type="pct"/>
            <w:shd w:val="clear" w:color="auto" w:fill="auto"/>
            <w:vAlign w:val="center"/>
          </w:tcPr>
          <w:p>
            <w:pPr>
              <w:pStyle w:val="146"/>
              <w:rPr>
                <w:rFonts w:ascii="宋体" w:hAnsi="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听证主机</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★包含但不限于≥6个SATA接口、≥3个VGA接口、≥3个HDMI接口、≥2个RS-232接口、≥4个RS485接口、≥4个USB接口、≥2个千兆以太网接口、≥8个报警输入、4个报警输出接口、≥4个RCA音频接口、≥2个3.5mm MIC接口，</w:t>
            </w:r>
            <w:r>
              <w:rPr>
                <w:rFonts w:hint="eastAsia" w:ascii="宋体" w:hAnsi="宋体" w:cs="宋体"/>
                <w:color w:val="auto"/>
                <w:highlight w:val="none"/>
              </w:rPr>
              <w:t>提供产品检测报告、功能截图或者产品彩页，并加盖供应商公章；</w:t>
            </w:r>
            <w:r>
              <w:rPr>
                <w:rFonts w:hint="eastAsia" w:ascii="宋体" w:hAnsi="宋体" w:cs="宋体"/>
                <w:color w:val="auto"/>
                <w:highlight w:val="none"/>
              </w:rPr>
              <w:br w:type="textWrapping"/>
            </w:r>
            <w:r>
              <w:rPr>
                <w:rFonts w:hint="eastAsia" w:ascii="宋体" w:hAnsi="宋体" w:cs="宋体"/>
                <w:color w:val="auto"/>
                <w:highlight w:val="none"/>
              </w:rPr>
              <w:t>2. 支持≥8路2560×1440分辨率IPC接入，最大接入带宽不小于250Mbps；</w:t>
            </w:r>
            <w:r>
              <w:rPr>
                <w:rFonts w:hint="eastAsia" w:ascii="宋体" w:hAnsi="宋体" w:cs="宋体"/>
                <w:color w:val="auto"/>
                <w:highlight w:val="none"/>
              </w:rPr>
              <w:br w:type="textWrapping"/>
            </w:r>
            <w:r>
              <w:rPr>
                <w:rFonts w:hint="eastAsia" w:ascii="宋体" w:hAnsi="宋体" w:cs="宋体"/>
                <w:color w:val="auto"/>
                <w:highlight w:val="none"/>
              </w:rPr>
              <w:t>3. 采用H.264或H.265压缩技术，画中画通道分辨率可达4K，支持两路4K高清HDMI输出；</w:t>
            </w:r>
            <w:r>
              <w:rPr>
                <w:rFonts w:hint="eastAsia" w:ascii="宋体" w:hAnsi="宋体" w:cs="宋体"/>
                <w:color w:val="auto"/>
                <w:highlight w:val="none"/>
              </w:rPr>
              <w:br w:type="textWrapping"/>
            </w:r>
            <w:r>
              <w:rPr>
                <w:rFonts w:hint="eastAsia" w:ascii="宋体" w:hAnsi="宋体" w:cs="宋体"/>
                <w:color w:val="auto"/>
                <w:highlight w:val="none"/>
              </w:rPr>
              <w:t>4. 支持1大7小、1大5小、1大3小、1大2小、1大1小、2分割、4分割等多种画中画模式，画中画大小和位置任意调整 ；</w:t>
            </w:r>
            <w:r>
              <w:rPr>
                <w:rFonts w:hint="eastAsia" w:ascii="宋体" w:hAnsi="宋体" w:cs="宋体"/>
                <w:color w:val="auto"/>
                <w:highlight w:val="none"/>
              </w:rPr>
              <w:br w:type="textWrapping"/>
            </w:r>
            <w:r>
              <w:rPr>
                <w:rFonts w:hint="eastAsia" w:ascii="宋体" w:hAnsi="宋体" w:cs="宋体"/>
                <w:color w:val="auto"/>
                <w:highlight w:val="none"/>
              </w:rPr>
              <w:t>5. 具备2个光驱；需支持单通道双光盘同时刻录、双通道双光盘刻录、单通道双光盘轮流刻录等功能；支持按需支持刻录过程中实时监测显示已刻录进度和光盘剩余时间；</w:t>
            </w:r>
            <w:r>
              <w:rPr>
                <w:rFonts w:hint="eastAsia" w:ascii="宋体" w:hAnsi="宋体" w:cs="宋体"/>
                <w:color w:val="auto"/>
                <w:highlight w:val="none"/>
              </w:rPr>
              <w:br w:type="textWrapping"/>
            </w:r>
            <w:r>
              <w:rPr>
                <w:rFonts w:hint="eastAsia" w:ascii="宋体" w:hAnsi="宋体" w:cs="宋体"/>
                <w:color w:val="auto"/>
                <w:highlight w:val="none"/>
              </w:rPr>
              <w:t>6.支持对视频质量实时检测分析，包含图像模糊、亮度异常、图像偏色；</w:t>
            </w:r>
            <w:r>
              <w:rPr>
                <w:rFonts w:hint="eastAsia" w:ascii="宋体" w:hAnsi="宋体" w:cs="宋体"/>
                <w:color w:val="auto"/>
                <w:highlight w:val="none"/>
              </w:rPr>
              <w:br w:type="textWrapping"/>
            </w:r>
            <w:r>
              <w:rPr>
                <w:rFonts w:hint="eastAsia" w:ascii="宋体" w:hAnsi="宋体" w:cs="宋体"/>
                <w:color w:val="auto"/>
                <w:highlight w:val="none"/>
              </w:rPr>
              <w:t>7. 支持NTP、GB/T28181、RTSP、RTMP、DDNS、HTTP等网络协议；</w:t>
            </w:r>
            <w:r>
              <w:rPr>
                <w:rFonts w:hint="eastAsia" w:ascii="宋体" w:hAnsi="宋体" w:cs="宋体"/>
                <w:color w:val="auto"/>
                <w:highlight w:val="none"/>
              </w:rPr>
              <w:br w:type="textWrapping"/>
            </w:r>
            <w:r>
              <w:rPr>
                <w:rFonts w:hint="eastAsia" w:ascii="宋体" w:hAnsi="宋体" w:cs="宋体"/>
                <w:color w:val="auto"/>
                <w:highlight w:val="none"/>
              </w:rPr>
              <w:t>8. 支持对光盘进行数字加密，生成唯一不可修改加密序列号，需要检验密码才能查看光盘内录像文件。光盘数据可防擦写、拷贝；</w:t>
            </w:r>
            <w:r>
              <w:rPr>
                <w:rFonts w:hint="eastAsia" w:ascii="宋体" w:hAnsi="宋体" w:cs="宋体"/>
                <w:color w:val="auto"/>
                <w:highlight w:val="none"/>
              </w:rPr>
              <w:br w:type="textWrapping"/>
            </w:r>
            <w:r>
              <w:rPr>
                <w:rFonts w:hint="eastAsia" w:ascii="宋体" w:hAnsi="宋体" w:cs="宋体"/>
                <w:color w:val="auto"/>
                <w:highlight w:val="none"/>
              </w:rPr>
              <w:t>9. 具备音频输入和输出音频可调，支持声音波形显示，具备≥10路音频混音；</w:t>
            </w:r>
            <w:r>
              <w:rPr>
                <w:rFonts w:hint="eastAsia" w:ascii="宋体" w:hAnsi="宋体" w:cs="宋体"/>
                <w:color w:val="auto"/>
                <w:highlight w:val="none"/>
              </w:rPr>
              <w:br w:type="textWrapping"/>
            </w:r>
            <w:r>
              <w:rPr>
                <w:rFonts w:hint="eastAsia" w:ascii="宋体" w:hAnsi="宋体" w:cs="宋体"/>
                <w:color w:val="auto"/>
                <w:highlight w:val="none"/>
              </w:rPr>
              <w:t>10. 支持断电保护功能，保存断电前一秒硬盘数据；刻录过程断电重新上电，可将数据恢复到光盘。</w:t>
            </w:r>
            <w:r>
              <w:rPr>
                <w:rFonts w:hint="eastAsia" w:ascii="宋体" w:hAnsi="宋体" w:cs="宋体"/>
                <w:color w:val="auto"/>
                <w:highlight w:val="none"/>
              </w:rPr>
              <w:br w:type="textWrapping"/>
            </w:r>
            <w:r>
              <w:rPr>
                <w:rFonts w:hint="eastAsia" w:ascii="宋体" w:hAnsi="宋体" w:cs="宋体"/>
                <w:color w:val="auto"/>
                <w:highlight w:val="none"/>
              </w:rPr>
              <w:t>11. 证据展示功能，支持2路本地展示（HDMI或VGA输入）和1路远程证据展示；</w:t>
            </w:r>
            <w:r>
              <w:rPr>
                <w:rFonts w:hint="eastAsia" w:ascii="宋体" w:hAnsi="宋体" w:cs="宋体"/>
                <w:color w:val="auto"/>
                <w:highlight w:val="none"/>
              </w:rPr>
              <w:br w:type="textWrapping"/>
            </w:r>
            <w:r>
              <w:rPr>
                <w:rFonts w:hint="eastAsia" w:ascii="宋体" w:hAnsi="宋体" w:cs="宋体"/>
                <w:color w:val="auto"/>
                <w:highlight w:val="none"/>
              </w:rPr>
              <w:t>12. ★支持启用无声通道，可对无声音权限的人员传输屏蔽声音的视频,</w:t>
            </w:r>
            <w:r>
              <w:rPr>
                <w:rFonts w:hint="eastAsia" w:ascii="宋体" w:hAnsi="宋体" w:cs="宋体"/>
                <w:color w:val="auto"/>
                <w:highlight w:val="none"/>
              </w:rPr>
              <w:t>提供产品检测报告、功能截图或者产品彩页，并加盖供应商公章</w:t>
            </w:r>
            <w:r>
              <w:rPr>
                <w:rFonts w:hint="eastAsia" w:ascii="宋体" w:hAnsi="宋体" w:cs="宋体"/>
                <w:color w:val="auto"/>
                <w:highlight w:val="none"/>
              </w:rPr>
              <w:t>。</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b/>
                <w:bCs w:val="0"/>
                <w:color w:val="auto"/>
                <w:highlight w:val="none"/>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智能听证接入终端</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包含但不限于≥6路视频输入；≥2HDMI视音频输入接口、≥2个DVI视音频输入接口、≥2个SDI视频输入接口、 1个MIC音频输入接口、1个3. 5mm音频输入接口、2个6. 5mm音频输入接口、1个卡侬音频输入接口；</w:t>
            </w:r>
            <w:r>
              <w:rPr>
                <w:rFonts w:hint="eastAsia" w:ascii="宋体" w:hAnsi="宋体" w:cs="宋体"/>
                <w:color w:val="auto"/>
                <w:highlight w:val="none"/>
              </w:rPr>
              <w:br w:type="textWrapping"/>
            </w:r>
            <w:r>
              <w:rPr>
                <w:rFonts w:hint="eastAsia" w:ascii="宋体" w:hAnsi="宋体" w:cs="宋体"/>
                <w:color w:val="auto"/>
                <w:highlight w:val="none"/>
              </w:rPr>
              <w:t>2. 支持H.323、SIP等通讯协议，需支持H.263、H.264BP、H. 264HP、 H.264SVC、H.265、MPEG-4编码；</w:t>
            </w:r>
            <w:r>
              <w:rPr>
                <w:rFonts w:hint="eastAsia" w:ascii="宋体" w:hAnsi="宋体" w:cs="宋体"/>
                <w:color w:val="auto"/>
                <w:highlight w:val="none"/>
              </w:rPr>
              <w:br w:type="textWrapping"/>
            </w:r>
            <w:r>
              <w:rPr>
                <w:rFonts w:hint="eastAsia" w:ascii="宋体" w:hAnsi="宋体" w:cs="宋体"/>
                <w:color w:val="auto"/>
                <w:highlight w:val="none"/>
              </w:rPr>
              <w:t>3. 支持 3840X2160 、1920X1080 、1280X720、704X576、352X288等分辨率图像输入；</w:t>
            </w:r>
            <w:r>
              <w:rPr>
                <w:rFonts w:hint="eastAsia" w:ascii="宋体" w:hAnsi="宋体" w:cs="宋体"/>
                <w:color w:val="auto"/>
                <w:highlight w:val="none"/>
              </w:rPr>
              <w:br w:type="textWrapping"/>
            </w:r>
            <w:r>
              <w:rPr>
                <w:rFonts w:hint="eastAsia" w:ascii="宋体" w:hAnsi="宋体" w:cs="宋体"/>
                <w:color w:val="auto"/>
                <w:highlight w:val="none"/>
              </w:rPr>
              <w:t>4. 支持温湿度屏接入，画 面可叠加温湿度OSD信息，OSD信息位置可调；</w:t>
            </w:r>
            <w:r>
              <w:rPr>
                <w:rFonts w:hint="eastAsia" w:ascii="宋体" w:hAnsi="宋体" w:cs="宋体"/>
                <w:color w:val="auto"/>
                <w:highlight w:val="none"/>
              </w:rPr>
              <w:br w:type="textWrapping"/>
            </w:r>
            <w:r>
              <w:rPr>
                <w:rFonts w:hint="eastAsia" w:ascii="宋体" w:hAnsi="宋体" w:cs="宋体"/>
                <w:color w:val="auto"/>
                <w:highlight w:val="none"/>
              </w:rPr>
              <w:t>5. 支持H. 239双流协议，辅码流可接入动态视频图像和包括PPT、计算机桌面、计算机内媒休数据等在内的静态图像；</w:t>
            </w:r>
            <w:r>
              <w:rPr>
                <w:rFonts w:hint="eastAsia" w:ascii="宋体" w:hAnsi="宋体" w:cs="宋体"/>
                <w:color w:val="auto"/>
                <w:highlight w:val="none"/>
              </w:rPr>
              <w:br w:type="textWrapping"/>
            </w:r>
            <w:r>
              <w:rPr>
                <w:rFonts w:hint="eastAsia" w:ascii="宋体" w:hAnsi="宋体" w:cs="宋体"/>
                <w:color w:val="auto"/>
                <w:highlight w:val="none"/>
              </w:rPr>
              <w:t>6. 具备在听证时，与原始现场的声音相比，视频会议中声音相对图像不存在明显滞后或超前；</w:t>
            </w:r>
            <w:r>
              <w:rPr>
                <w:rFonts w:hint="eastAsia" w:ascii="宋体" w:hAnsi="宋体" w:cs="宋体"/>
                <w:color w:val="auto"/>
                <w:highlight w:val="none"/>
              </w:rPr>
              <w:br w:type="textWrapping"/>
            </w:r>
            <w:r>
              <w:rPr>
                <w:rFonts w:hint="eastAsia" w:ascii="宋体" w:hAnsi="宋体" w:cs="宋体"/>
                <w:color w:val="auto"/>
                <w:highlight w:val="none"/>
              </w:rPr>
              <w:t>7. ★在听证时，终端从另一终端接收到视频图像的延时应需≤200毫秒,</w:t>
            </w:r>
            <w:r>
              <w:rPr>
                <w:rFonts w:hint="eastAsia" w:ascii="宋体" w:hAnsi="宋体" w:cs="宋体"/>
                <w:color w:val="auto"/>
                <w:highlight w:val="none"/>
              </w:rPr>
              <w:t>提供产品检测报告、功能截图或者产品彩页，并加盖供应商公章；</w:t>
            </w:r>
            <w:r>
              <w:rPr>
                <w:rFonts w:hint="eastAsia" w:ascii="宋体" w:hAnsi="宋体" w:cs="宋体"/>
                <w:color w:val="auto"/>
                <w:highlight w:val="none"/>
              </w:rPr>
              <w:br w:type="textWrapping"/>
            </w:r>
            <w:r>
              <w:rPr>
                <w:rFonts w:hint="eastAsia" w:ascii="宋体" w:hAnsi="宋体" w:cs="宋体"/>
                <w:color w:val="auto"/>
                <w:highlight w:val="none"/>
              </w:rPr>
              <w:t>8. ★需支持低带宽处理能力，在1. 5Mbps带宽 下支持4K@30fp格式的视频，在768Kbps带 宽下支持1080P@60fps格式的视频，在 384Kbps带宽下支持1080P@30fps格式的视 频，在192Kbps带宽下支持720P@30fps格式的视频；</w:t>
            </w:r>
            <w:r>
              <w:rPr>
                <w:rFonts w:hint="eastAsia" w:ascii="宋体" w:hAnsi="宋体" w:cs="宋体"/>
                <w:color w:val="auto"/>
                <w:highlight w:val="none"/>
              </w:rPr>
              <w:t>提供产品检测报告、功能截图或者产品彩页，并加盖供应商公章；</w:t>
            </w:r>
            <w:r>
              <w:rPr>
                <w:rFonts w:hint="eastAsia" w:ascii="宋体" w:hAnsi="宋体" w:cs="宋体"/>
                <w:color w:val="auto"/>
                <w:highlight w:val="none"/>
              </w:rPr>
              <w:br w:type="textWrapping"/>
            </w:r>
            <w:r>
              <w:rPr>
                <w:rFonts w:hint="eastAsia" w:ascii="宋体" w:hAnsi="宋体" w:cs="宋体"/>
                <w:color w:val="auto"/>
                <w:highlight w:val="none"/>
              </w:rPr>
              <w:t>9. 在远程听证时，本地画面需支持1X1、1X2、 1X3、2X2、2X3、1+4、1+5 等多种画面合 成模式；</w:t>
            </w:r>
            <w:r>
              <w:rPr>
                <w:rFonts w:hint="eastAsia" w:ascii="宋体" w:hAnsi="宋体" w:cs="宋体"/>
                <w:color w:val="auto"/>
                <w:highlight w:val="none"/>
              </w:rPr>
              <w:br w:type="textWrapping"/>
            </w:r>
            <w:r>
              <w:rPr>
                <w:rFonts w:hint="eastAsia" w:ascii="宋体" w:hAnsi="宋体" w:cs="宋体"/>
                <w:color w:val="auto"/>
                <w:highlight w:val="none"/>
              </w:rPr>
              <w:t>10. 支持将听证会议画面作为RTSP监控码流发送给其他监控系统，会议和监控系统同时使用该画面；</w:t>
            </w:r>
            <w:r>
              <w:rPr>
                <w:rFonts w:hint="eastAsia" w:ascii="宋体" w:hAnsi="宋体" w:cs="宋体"/>
                <w:color w:val="auto"/>
                <w:highlight w:val="none"/>
              </w:rPr>
              <w:br w:type="textWrapping"/>
            </w:r>
            <w:r>
              <w:rPr>
                <w:rFonts w:hint="eastAsia" w:ascii="宋体" w:hAnsi="宋体" w:cs="宋体"/>
                <w:color w:val="auto"/>
                <w:highlight w:val="none"/>
              </w:rPr>
              <w:t>11. 具备保存10000张人脸信息，人脸识别 准确率≥99%,识别时间≤200ms；</w:t>
            </w:r>
            <w:r>
              <w:rPr>
                <w:rFonts w:hint="eastAsia" w:ascii="宋体" w:hAnsi="宋体" w:cs="宋体"/>
                <w:color w:val="auto"/>
                <w:highlight w:val="none"/>
              </w:rPr>
              <w:br w:type="textWrapping"/>
            </w:r>
            <w:r>
              <w:rPr>
                <w:rFonts w:hint="eastAsia" w:ascii="宋体" w:hAnsi="宋体" w:cs="宋体"/>
                <w:color w:val="auto"/>
                <w:highlight w:val="none"/>
              </w:rPr>
              <w:t>12. 支持自定义开启和关闭人脸识别功能。</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监控级硬盘</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≥6TB容量；</w:t>
            </w:r>
            <w:r>
              <w:rPr>
                <w:rFonts w:hint="eastAsia" w:ascii="宋体" w:hAnsi="宋体" w:cs="宋体"/>
                <w:color w:val="auto"/>
                <w:highlight w:val="none"/>
              </w:rPr>
              <w:br w:type="textWrapping"/>
            </w:r>
            <w:r>
              <w:rPr>
                <w:rFonts w:hint="eastAsia" w:ascii="宋体" w:hAnsi="宋体" w:cs="宋体"/>
                <w:color w:val="auto"/>
                <w:highlight w:val="none"/>
              </w:rPr>
              <w:t>2. 3.5英寸外形尺寸 和SATA接口。6TB容量；</w:t>
            </w:r>
            <w:r>
              <w:rPr>
                <w:rFonts w:hint="eastAsia" w:ascii="宋体" w:hAnsi="宋体" w:cs="宋体"/>
                <w:color w:val="auto"/>
                <w:highlight w:val="none"/>
              </w:rPr>
              <w:br w:type="textWrapping"/>
            </w:r>
            <w:r>
              <w:rPr>
                <w:rFonts w:hint="eastAsia" w:ascii="宋体" w:hAnsi="宋体" w:cs="宋体"/>
                <w:color w:val="auto"/>
                <w:highlight w:val="none"/>
              </w:rPr>
              <w:t>3. 单硬盘支持多达32个摄像头的高清流;</w:t>
            </w:r>
            <w:r>
              <w:rPr>
                <w:rFonts w:hint="eastAsia" w:ascii="宋体" w:hAnsi="宋体" w:cs="宋体"/>
                <w:color w:val="auto"/>
                <w:highlight w:val="none"/>
              </w:rPr>
              <w:br w:type="textWrapping"/>
            </w:r>
            <w:r>
              <w:rPr>
                <w:rFonts w:hint="eastAsia" w:ascii="宋体" w:hAnsi="宋体" w:cs="宋体"/>
                <w:color w:val="auto"/>
                <w:highlight w:val="none"/>
              </w:rPr>
              <w:t>高达128MiB缓冲区，流畅存储视频有效防止丢帧;</w:t>
            </w:r>
            <w:r>
              <w:rPr>
                <w:rFonts w:hint="eastAsia" w:ascii="宋体" w:hAnsi="宋体" w:cs="宋体"/>
                <w:color w:val="auto"/>
                <w:highlight w:val="none"/>
              </w:rPr>
              <w:br w:type="textWrapping"/>
            </w:r>
            <w:r>
              <w:rPr>
                <w:rFonts w:hint="eastAsia" w:ascii="宋体" w:hAnsi="宋体" w:cs="宋体"/>
                <w:color w:val="auto"/>
                <w:highlight w:val="none"/>
              </w:rPr>
              <w:t>24×7全天候高效稳定运行；</w:t>
            </w:r>
            <w:r>
              <w:rPr>
                <w:rFonts w:hint="eastAsia" w:ascii="宋体" w:hAnsi="宋体" w:cs="宋体"/>
                <w:color w:val="auto"/>
                <w:highlight w:val="none"/>
              </w:rPr>
              <w:br w:type="textWrapping"/>
            </w:r>
            <w:r>
              <w:rPr>
                <w:rFonts w:hint="eastAsia" w:ascii="宋体" w:hAnsi="宋体" w:cs="宋体"/>
                <w:color w:val="auto"/>
                <w:highlight w:val="none"/>
              </w:rPr>
              <w:t>4. MTBF可达1,000,000小时。</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块</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全景摄像机</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≥400万室内网络摄像机；最低照度≤0.001Lux ；≥4倍光学变倍；支持HD-SDI输出；支持TF卡存储；</w:t>
            </w:r>
            <w:r>
              <w:rPr>
                <w:rFonts w:hint="eastAsia" w:ascii="宋体" w:hAnsi="宋体" w:cs="宋体"/>
                <w:color w:val="auto"/>
                <w:highlight w:val="none"/>
              </w:rPr>
              <w:br w:type="textWrapping"/>
            </w:r>
            <w:r>
              <w:rPr>
                <w:rFonts w:hint="eastAsia" w:ascii="宋体" w:hAnsi="宋体" w:cs="宋体"/>
                <w:color w:val="auto"/>
                <w:highlight w:val="none"/>
              </w:rPr>
              <w:t>2. 需支持支持H.265压缩算法；支持三码流技术，最大2560 × 1440 @ 30 fps高清画面输出；分辨力不小于1500线；</w:t>
            </w:r>
            <w:r>
              <w:rPr>
                <w:rFonts w:hint="eastAsia" w:ascii="宋体" w:hAnsi="宋体" w:cs="宋体"/>
                <w:color w:val="auto"/>
                <w:highlight w:val="none"/>
              </w:rPr>
              <w:br w:type="textWrapping"/>
            </w:r>
            <w:r>
              <w:rPr>
                <w:rFonts w:hint="eastAsia" w:ascii="宋体" w:hAnsi="宋体" w:cs="宋体"/>
                <w:color w:val="auto"/>
                <w:highlight w:val="none"/>
              </w:rPr>
              <w:t>3.  智能支持模式： 智能事件、区域关注度功能、岗位检测；</w:t>
            </w:r>
            <w:r>
              <w:rPr>
                <w:rFonts w:hint="eastAsia" w:ascii="宋体" w:hAnsi="宋体" w:cs="宋体"/>
                <w:color w:val="auto"/>
                <w:highlight w:val="none"/>
              </w:rPr>
              <w:br w:type="textWrapping"/>
            </w:r>
            <w:r>
              <w:rPr>
                <w:rFonts w:hint="eastAsia" w:ascii="宋体" w:hAnsi="宋体" w:cs="宋体"/>
                <w:color w:val="auto"/>
                <w:highlight w:val="none"/>
              </w:rPr>
              <w:t>4. 需支持宽动态范围达120 dB，支持≥350°水平旋转，垂直方向0°~90°；</w:t>
            </w:r>
            <w:r>
              <w:rPr>
                <w:rFonts w:hint="eastAsia" w:ascii="宋体" w:hAnsi="宋体" w:cs="宋体"/>
                <w:color w:val="auto"/>
                <w:highlight w:val="none"/>
              </w:rPr>
              <w:br w:type="textWrapping"/>
            </w:r>
            <w:r>
              <w:rPr>
                <w:rFonts w:hint="eastAsia" w:ascii="宋体" w:hAnsi="宋体" w:cs="宋体"/>
                <w:color w:val="auto"/>
                <w:highlight w:val="none"/>
              </w:rPr>
              <w:t>5. 需支持≥300个预置位，≥8条巡航扫描；支持3D定位应用 ；</w:t>
            </w:r>
            <w:r>
              <w:rPr>
                <w:rFonts w:hint="eastAsia" w:ascii="宋体" w:hAnsi="宋体" w:cs="宋体"/>
                <w:color w:val="auto"/>
                <w:highlight w:val="none"/>
              </w:rPr>
              <w:br w:type="textWrapping"/>
            </w:r>
            <w:r>
              <w:rPr>
                <w:rFonts w:hint="eastAsia" w:ascii="宋体" w:hAnsi="宋体" w:cs="宋体"/>
                <w:color w:val="auto"/>
                <w:highlight w:val="none"/>
              </w:rPr>
              <w:t>6. 需支持1对音频输入/输出接口;1对报警输入/输出接口；1路RS485接口；</w:t>
            </w:r>
            <w:r>
              <w:rPr>
                <w:rFonts w:hint="eastAsia" w:ascii="宋体" w:hAnsi="宋体" w:cs="宋体"/>
                <w:color w:val="auto"/>
                <w:highlight w:val="none"/>
              </w:rPr>
              <w:br w:type="textWrapping"/>
            </w:r>
            <w:r>
              <w:rPr>
                <w:rFonts w:hint="eastAsia" w:ascii="宋体" w:hAnsi="宋体" w:cs="宋体"/>
                <w:color w:val="auto"/>
                <w:highlight w:val="none"/>
              </w:rPr>
              <w:t>7. 需支持IK10，IP66防护。</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特写摄像机</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需采用1/2.5 英寸、 ≥ 850万像素CMOS 传感器，具备 4K (3840x2160) 超高分辨率；</w:t>
            </w:r>
            <w:r>
              <w:rPr>
                <w:rFonts w:hint="eastAsia" w:ascii="宋体" w:hAnsi="宋体" w:cs="宋体"/>
                <w:color w:val="auto"/>
                <w:highlight w:val="none"/>
              </w:rPr>
              <w:br w:type="textWrapping"/>
            </w:r>
            <w:r>
              <w:rPr>
                <w:rFonts w:hint="eastAsia" w:ascii="宋体" w:hAnsi="宋体" w:cs="宋体"/>
                <w:color w:val="auto"/>
                <w:highlight w:val="none"/>
              </w:rPr>
              <w:t>2. 需支持 HDMI、 USB 3.0， 网络接口， 三路接口可同时输出 4K 视频；</w:t>
            </w:r>
            <w:r>
              <w:rPr>
                <w:rFonts w:hint="eastAsia" w:ascii="宋体" w:hAnsi="宋体" w:cs="宋体"/>
                <w:color w:val="auto"/>
                <w:highlight w:val="none"/>
              </w:rPr>
              <w:br w:type="textWrapping"/>
            </w:r>
            <w:r>
              <w:rPr>
                <w:rFonts w:hint="eastAsia" w:ascii="宋体" w:hAnsi="宋体" w:cs="宋体"/>
                <w:color w:val="auto"/>
                <w:highlight w:val="none"/>
              </w:rPr>
              <w:t>3. 需具备≥12X 变焦广角镜头；视场角超过 70°；水平转动范围 ±170°；垂直转动范围 ±30°；支持不少于250个预置点；</w:t>
            </w:r>
            <w:r>
              <w:rPr>
                <w:rFonts w:hint="eastAsia" w:ascii="宋体" w:hAnsi="宋体" w:cs="宋体"/>
                <w:color w:val="auto"/>
                <w:highlight w:val="none"/>
              </w:rPr>
              <w:br w:type="textWrapping"/>
            </w:r>
            <w:r>
              <w:rPr>
                <w:rFonts w:hint="eastAsia" w:ascii="宋体" w:hAnsi="宋体" w:cs="宋体"/>
                <w:color w:val="auto"/>
                <w:highlight w:val="none"/>
              </w:rPr>
              <w:t>4. 需支持 AAC 音频编码， 采样码率支持96Kbps, 128Kbps, 256Kbps；</w:t>
            </w:r>
            <w:r>
              <w:rPr>
                <w:rFonts w:hint="eastAsia" w:ascii="宋体" w:hAnsi="宋体" w:cs="宋体"/>
                <w:color w:val="auto"/>
                <w:highlight w:val="none"/>
              </w:rPr>
              <w:br w:type="textWrapping"/>
            </w:r>
            <w:r>
              <w:rPr>
                <w:rFonts w:hint="eastAsia" w:ascii="宋体" w:hAnsi="宋体" w:cs="宋体"/>
                <w:color w:val="auto"/>
                <w:highlight w:val="none"/>
              </w:rPr>
              <w:t>5. 需支持PoE /DC12V供电；</w:t>
            </w:r>
            <w:r>
              <w:rPr>
                <w:rFonts w:hint="eastAsia" w:ascii="宋体" w:hAnsi="宋体" w:cs="宋体"/>
                <w:color w:val="auto"/>
                <w:highlight w:val="none"/>
              </w:rPr>
              <w:br w:type="textWrapping"/>
            </w:r>
            <w:r>
              <w:rPr>
                <w:rFonts w:hint="eastAsia" w:ascii="宋体" w:hAnsi="宋体" w:cs="宋体"/>
                <w:color w:val="auto"/>
                <w:highlight w:val="none"/>
              </w:rPr>
              <w:t>6. 需支持1路 Line In,音频接口；</w:t>
            </w:r>
            <w:r>
              <w:rPr>
                <w:rFonts w:hint="eastAsia" w:ascii="宋体" w:hAnsi="宋体" w:cs="宋体"/>
                <w:color w:val="auto"/>
                <w:highlight w:val="none"/>
              </w:rPr>
              <w:br w:type="textWrapping"/>
            </w:r>
            <w:r>
              <w:rPr>
                <w:rFonts w:hint="eastAsia" w:ascii="宋体" w:hAnsi="宋体" w:cs="宋体"/>
                <w:color w:val="auto"/>
                <w:highlight w:val="none"/>
              </w:rPr>
              <w:t>7. 需支持1 路 10M/100M/1000M 自适应RJ45接口；</w:t>
            </w:r>
            <w:r>
              <w:rPr>
                <w:rFonts w:hint="eastAsia" w:ascii="宋体" w:hAnsi="宋体" w:cs="宋体"/>
                <w:color w:val="auto"/>
                <w:highlight w:val="none"/>
              </w:rPr>
              <w:br w:type="textWrapping"/>
            </w:r>
            <w:r>
              <w:rPr>
                <w:rFonts w:hint="eastAsia" w:ascii="宋体" w:hAnsi="宋体" w:cs="宋体"/>
                <w:color w:val="auto"/>
                <w:highlight w:val="none"/>
              </w:rPr>
              <w:t>8. 需支持1 路RS232 In:；1 路 RS232 Out；1 路 RS485接口。</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6</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光盘打印刻录一体机</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二个DVD/CD刻录机，100片光盘容量，USB 3.0接口，最高4800dpi 喷墨打印，100-240 VAC.</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7</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可打印光盘</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表面特性喷墨可打印；速干、照片画质打印性能；适用于各种光盘盘面打印机；DVD-R;16X；4.7GB；防划耐磨；数据可完整性保存20年；100片桶装。</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片</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100</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8</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示证展台</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1.支持脱机/联机操作;</w:t>
            </w:r>
            <w:r>
              <w:rPr>
                <w:rFonts w:hint="eastAsia" w:ascii="宋体" w:hAnsi="宋体" w:cs="宋体"/>
                <w:color w:val="auto"/>
                <w:highlight w:val="none"/>
              </w:rPr>
              <w:br w:type="textWrapping"/>
            </w:r>
            <w:r>
              <w:rPr>
                <w:rFonts w:hint="eastAsia" w:ascii="宋体" w:hAnsi="宋体" w:cs="宋体"/>
                <w:color w:val="auto"/>
                <w:highlight w:val="none"/>
              </w:rPr>
              <w:t>2.支持SD卡；</w:t>
            </w:r>
            <w:r>
              <w:rPr>
                <w:rFonts w:hint="eastAsia" w:ascii="宋体" w:hAnsi="宋体" w:cs="宋体"/>
                <w:color w:val="auto"/>
                <w:highlight w:val="none"/>
              </w:rPr>
              <w:br w:type="textWrapping"/>
            </w:r>
            <w:r>
              <w:rPr>
                <w:rFonts w:hint="eastAsia" w:ascii="宋体" w:hAnsi="宋体" w:cs="宋体"/>
                <w:color w:val="auto"/>
                <w:highlight w:val="none"/>
              </w:rPr>
              <w:t>3.红外线遥控器；</w:t>
            </w:r>
            <w:r>
              <w:rPr>
                <w:rFonts w:hint="eastAsia" w:ascii="宋体" w:hAnsi="宋体" w:cs="宋体"/>
                <w:color w:val="auto"/>
                <w:highlight w:val="none"/>
              </w:rPr>
              <w:br w:type="textWrapping"/>
            </w:r>
            <w:r>
              <w:rPr>
                <w:rFonts w:hint="eastAsia" w:ascii="宋体" w:hAnsi="宋体" w:cs="宋体"/>
                <w:color w:val="auto"/>
                <w:highlight w:val="none"/>
              </w:rPr>
              <w:t>4.拍摄镜头旋转角度可达到270°；</w:t>
            </w:r>
            <w:r>
              <w:rPr>
                <w:rFonts w:hint="eastAsia" w:ascii="宋体" w:hAnsi="宋体" w:cs="宋体"/>
                <w:color w:val="auto"/>
                <w:highlight w:val="none"/>
              </w:rPr>
              <w:br w:type="textWrapping"/>
            </w:r>
            <w:r>
              <w:rPr>
                <w:rFonts w:hint="eastAsia" w:ascii="宋体" w:hAnsi="宋体" w:cs="宋体"/>
                <w:color w:val="auto"/>
                <w:highlight w:val="none"/>
              </w:rPr>
              <w:t>5.内置专业展台软件；</w:t>
            </w:r>
            <w:r>
              <w:rPr>
                <w:rFonts w:hint="eastAsia" w:ascii="宋体" w:hAnsi="宋体" w:cs="宋体"/>
                <w:color w:val="auto"/>
                <w:highlight w:val="none"/>
              </w:rPr>
              <w:br w:type="textWrapping"/>
            </w:r>
            <w:r>
              <w:rPr>
                <w:rFonts w:hint="eastAsia" w:ascii="宋体" w:hAnsi="宋体" w:cs="宋体"/>
                <w:color w:val="auto"/>
                <w:highlight w:val="none"/>
              </w:rPr>
              <w:t>6.支持鼠标操作视频(滚动变倍、漫游)；</w:t>
            </w:r>
            <w:r>
              <w:rPr>
                <w:rFonts w:hint="eastAsia" w:ascii="宋体" w:hAnsi="宋体" w:cs="宋体"/>
                <w:color w:val="auto"/>
                <w:highlight w:val="none"/>
              </w:rPr>
              <w:br w:type="textWrapping"/>
            </w:r>
            <w:r>
              <w:rPr>
                <w:rFonts w:hint="eastAsia" w:ascii="宋体" w:hAnsi="宋体" w:cs="宋体"/>
                <w:color w:val="auto"/>
                <w:highlight w:val="none"/>
              </w:rPr>
              <w:t>7.可微距拍摄；</w:t>
            </w:r>
            <w:r>
              <w:rPr>
                <w:rFonts w:hint="eastAsia" w:ascii="宋体" w:hAnsi="宋体" w:cs="宋体"/>
                <w:color w:val="auto"/>
                <w:highlight w:val="none"/>
              </w:rPr>
              <w:br w:type="textWrapping"/>
            </w:r>
            <w:r>
              <w:rPr>
                <w:rFonts w:hint="eastAsia" w:ascii="宋体" w:hAnsi="宋体" w:cs="宋体"/>
                <w:color w:val="auto"/>
                <w:highlight w:val="none"/>
              </w:rPr>
              <w:t>8.支持触摸屏/电子白板单点触控操作；</w:t>
            </w:r>
            <w:r>
              <w:rPr>
                <w:rFonts w:hint="eastAsia" w:ascii="宋体" w:hAnsi="宋体" w:cs="宋体"/>
                <w:color w:val="auto"/>
                <w:highlight w:val="none"/>
              </w:rPr>
              <w:br w:type="textWrapping"/>
            </w:r>
            <w:r>
              <w:rPr>
                <w:rFonts w:hint="eastAsia" w:ascii="宋体" w:hAnsi="宋体" w:cs="宋体"/>
                <w:color w:val="auto"/>
                <w:highlight w:val="none"/>
              </w:rPr>
              <w:t>9.支持USB、HDMI、VGA连接；</w:t>
            </w:r>
            <w:r>
              <w:rPr>
                <w:rFonts w:hint="eastAsia" w:ascii="宋体" w:hAnsi="宋体" w:cs="宋体"/>
                <w:color w:val="auto"/>
                <w:highlight w:val="none"/>
              </w:rPr>
              <w:br w:type="textWrapping"/>
            </w:r>
            <w:r>
              <w:rPr>
                <w:rFonts w:hint="eastAsia" w:ascii="宋体" w:hAnsi="宋体" w:cs="宋体"/>
                <w:color w:val="auto"/>
                <w:highlight w:val="none"/>
              </w:rPr>
              <w:t>10.便于折叠携带。</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9</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桌面液晶显示屏（壁挂）</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1．LCD尺寸：55寸；</w:t>
            </w:r>
            <w:r>
              <w:rPr>
                <w:rFonts w:hint="eastAsia" w:ascii="宋体" w:hAnsi="宋体" w:cs="宋体"/>
                <w:color w:val="auto"/>
                <w:highlight w:val="none"/>
              </w:rPr>
              <w:br w:type="textWrapping"/>
            </w:r>
            <w:r>
              <w:rPr>
                <w:rFonts w:hint="eastAsia" w:ascii="宋体" w:hAnsi="宋体" w:cs="宋体"/>
                <w:color w:val="auto"/>
                <w:highlight w:val="none"/>
              </w:rPr>
              <w:t>2. 背光类型：D-LED；</w:t>
            </w:r>
            <w:r>
              <w:rPr>
                <w:rFonts w:hint="eastAsia" w:ascii="宋体" w:hAnsi="宋体" w:cs="宋体"/>
                <w:color w:val="auto"/>
                <w:highlight w:val="none"/>
              </w:rPr>
              <w:br w:type="textWrapping"/>
            </w:r>
            <w:r>
              <w:rPr>
                <w:rFonts w:hint="eastAsia" w:ascii="宋体" w:hAnsi="宋体" w:cs="宋体"/>
                <w:color w:val="auto"/>
                <w:highlight w:val="none"/>
              </w:rPr>
              <w:t>3. 分辨率：3840*2160；</w:t>
            </w:r>
            <w:r>
              <w:rPr>
                <w:rFonts w:hint="eastAsia" w:ascii="宋体" w:hAnsi="宋体" w:cs="宋体"/>
                <w:color w:val="auto"/>
                <w:highlight w:val="none"/>
              </w:rPr>
              <w:br w:type="textWrapping"/>
            </w:r>
            <w:r>
              <w:rPr>
                <w:rFonts w:hint="eastAsia" w:ascii="宋体" w:hAnsi="宋体" w:cs="宋体"/>
                <w:color w:val="auto"/>
                <w:highlight w:val="none"/>
              </w:rPr>
              <w:t>4. 宽高比：16:9；</w:t>
            </w:r>
            <w:r>
              <w:rPr>
                <w:rFonts w:hint="eastAsia" w:ascii="宋体" w:hAnsi="宋体" w:cs="宋体"/>
                <w:color w:val="auto"/>
                <w:highlight w:val="none"/>
              </w:rPr>
              <w:br w:type="textWrapping"/>
            </w:r>
            <w:r>
              <w:rPr>
                <w:rFonts w:hint="eastAsia" w:ascii="宋体" w:hAnsi="宋体" w:cs="宋体"/>
                <w:color w:val="auto"/>
                <w:highlight w:val="none"/>
              </w:rPr>
              <w:t>5. 响应时间：8ms(typ.)；</w:t>
            </w:r>
            <w:r>
              <w:rPr>
                <w:rFonts w:hint="eastAsia" w:ascii="宋体" w:hAnsi="宋体" w:cs="宋体"/>
                <w:color w:val="auto"/>
                <w:highlight w:val="none"/>
              </w:rPr>
              <w:br w:type="textWrapping"/>
            </w:r>
            <w:r>
              <w:rPr>
                <w:rFonts w:hint="eastAsia" w:ascii="宋体" w:hAnsi="宋体" w:cs="宋体"/>
                <w:color w:val="auto"/>
                <w:highlight w:val="none"/>
              </w:rPr>
              <w:t>6. 视角：178°；</w:t>
            </w:r>
            <w:r>
              <w:rPr>
                <w:rFonts w:hint="eastAsia" w:ascii="宋体" w:hAnsi="宋体" w:cs="宋体"/>
                <w:color w:val="auto"/>
                <w:highlight w:val="none"/>
              </w:rPr>
              <w:br w:type="textWrapping"/>
            </w:r>
            <w:r>
              <w:rPr>
                <w:rFonts w:hint="eastAsia" w:ascii="宋体" w:hAnsi="宋体" w:cs="宋体"/>
                <w:color w:val="auto"/>
                <w:highlight w:val="none"/>
              </w:rPr>
              <w:t>7. 电源功率：110W；</w:t>
            </w:r>
            <w:r>
              <w:rPr>
                <w:rFonts w:hint="eastAsia" w:ascii="宋体" w:hAnsi="宋体" w:cs="宋体"/>
                <w:color w:val="auto"/>
                <w:highlight w:val="none"/>
              </w:rPr>
              <w:br w:type="textWrapping"/>
            </w:r>
            <w:r>
              <w:rPr>
                <w:rFonts w:hint="eastAsia" w:ascii="宋体" w:hAnsi="宋体" w:cs="宋体"/>
                <w:color w:val="auto"/>
                <w:highlight w:val="none"/>
              </w:rPr>
              <w:t>8. 输入输出端口：RF输入*1，HDMI*2，音频输入*1，视频输入*1，RJ45接口*1，USB2.0*2，SPDIF输出*1；</w:t>
            </w:r>
            <w:r>
              <w:rPr>
                <w:rFonts w:hint="eastAsia" w:ascii="宋体" w:hAnsi="宋体" w:cs="宋体"/>
                <w:color w:val="auto"/>
                <w:highlight w:val="none"/>
              </w:rPr>
              <w:br w:type="textWrapping"/>
            </w:r>
            <w:r>
              <w:rPr>
                <w:rFonts w:hint="eastAsia" w:ascii="宋体" w:hAnsi="宋体" w:cs="宋体"/>
                <w:color w:val="auto"/>
                <w:highlight w:val="none"/>
              </w:rPr>
              <w:t>9. 安装方式：壁挂。</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10</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桌面液晶显示屏（可移动支架）</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1．LCD尺寸：55寸；</w:t>
            </w:r>
            <w:r>
              <w:rPr>
                <w:rFonts w:hint="eastAsia" w:ascii="宋体" w:hAnsi="宋体" w:cs="宋体"/>
                <w:color w:val="auto"/>
                <w:highlight w:val="none"/>
              </w:rPr>
              <w:br w:type="textWrapping"/>
            </w:r>
            <w:r>
              <w:rPr>
                <w:rFonts w:hint="eastAsia" w:ascii="宋体" w:hAnsi="宋体" w:cs="宋体"/>
                <w:color w:val="auto"/>
                <w:highlight w:val="none"/>
              </w:rPr>
              <w:t>2. 背光类型：D-LED；</w:t>
            </w:r>
            <w:r>
              <w:rPr>
                <w:rFonts w:hint="eastAsia" w:ascii="宋体" w:hAnsi="宋体" w:cs="宋体"/>
                <w:color w:val="auto"/>
                <w:highlight w:val="none"/>
              </w:rPr>
              <w:br w:type="textWrapping"/>
            </w:r>
            <w:r>
              <w:rPr>
                <w:rFonts w:hint="eastAsia" w:ascii="宋体" w:hAnsi="宋体" w:cs="宋体"/>
                <w:color w:val="auto"/>
                <w:highlight w:val="none"/>
              </w:rPr>
              <w:t>3. 分辨率：3840*2160；</w:t>
            </w:r>
            <w:r>
              <w:rPr>
                <w:rFonts w:hint="eastAsia" w:ascii="宋体" w:hAnsi="宋体" w:cs="宋体"/>
                <w:color w:val="auto"/>
                <w:highlight w:val="none"/>
              </w:rPr>
              <w:br w:type="textWrapping"/>
            </w:r>
            <w:r>
              <w:rPr>
                <w:rFonts w:hint="eastAsia" w:ascii="宋体" w:hAnsi="宋体" w:cs="宋体"/>
                <w:color w:val="auto"/>
                <w:highlight w:val="none"/>
              </w:rPr>
              <w:t>4. 宽高比：16:9；</w:t>
            </w:r>
            <w:r>
              <w:rPr>
                <w:rFonts w:hint="eastAsia" w:ascii="宋体" w:hAnsi="宋体" w:cs="宋体"/>
                <w:color w:val="auto"/>
                <w:highlight w:val="none"/>
              </w:rPr>
              <w:br w:type="textWrapping"/>
            </w:r>
            <w:r>
              <w:rPr>
                <w:rFonts w:hint="eastAsia" w:ascii="宋体" w:hAnsi="宋体" w:cs="宋体"/>
                <w:color w:val="auto"/>
                <w:highlight w:val="none"/>
              </w:rPr>
              <w:t>5. 响应时间：8ms(typ.)；</w:t>
            </w:r>
            <w:r>
              <w:rPr>
                <w:rFonts w:hint="eastAsia" w:ascii="宋体" w:hAnsi="宋体" w:cs="宋体"/>
                <w:color w:val="auto"/>
                <w:highlight w:val="none"/>
              </w:rPr>
              <w:br w:type="textWrapping"/>
            </w:r>
            <w:r>
              <w:rPr>
                <w:rFonts w:hint="eastAsia" w:ascii="宋体" w:hAnsi="宋体" w:cs="宋体"/>
                <w:color w:val="auto"/>
                <w:highlight w:val="none"/>
              </w:rPr>
              <w:t>6. 视角：178°；</w:t>
            </w:r>
            <w:r>
              <w:rPr>
                <w:rFonts w:hint="eastAsia" w:ascii="宋体" w:hAnsi="宋体" w:cs="宋体"/>
                <w:color w:val="auto"/>
                <w:highlight w:val="none"/>
              </w:rPr>
              <w:br w:type="textWrapping"/>
            </w:r>
            <w:r>
              <w:rPr>
                <w:rFonts w:hint="eastAsia" w:ascii="宋体" w:hAnsi="宋体" w:cs="宋体"/>
                <w:color w:val="auto"/>
                <w:highlight w:val="none"/>
              </w:rPr>
              <w:t>7. 电源功率：110W；</w:t>
            </w:r>
            <w:r>
              <w:rPr>
                <w:rFonts w:hint="eastAsia" w:ascii="宋体" w:hAnsi="宋体" w:cs="宋体"/>
                <w:color w:val="auto"/>
                <w:highlight w:val="none"/>
              </w:rPr>
              <w:br w:type="textWrapping"/>
            </w:r>
            <w:r>
              <w:rPr>
                <w:rFonts w:hint="eastAsia" w:ascii="宋体" w:hAnsi="宋体" w:cs="宋体"/>
                <w:color w:val="auto"/>
                <w:highlight w:val="none"/>
              </w:rPr>
              <w:t>8. 输入输出端口：RF输入*1，HDMI*2，音频输入*1，视频输入*1，RJ45接口*1，USB2.0*2，SPDIF输出*1；</w:t>
            </w:r>
            <w:r>
              <w:rPr>
                <w:rFonts w:hint="eastAsia" w:ascii="宋体" w:hAnsi="宋体" w:cs="宋体"/>
                <w:color w:val="auto"/>
                <w:highlight w:val="none"/>
              </w:rPr>
              <w:br w:type="textWrapping"/>
            </w:r>
            <w:r>
              <w:rPr>
                <w:rFonts w:hint="eastAsia" w:ascii="宋体" w:hAnsi="宋体" w:cs="宋体"/>
                <w:color w:val="auto"/>
                <w:highlight w:val="none"/>
              </w:rPr>
              <w:t>9. 安装方式：可移动支架。</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320" w:type="pct"/>
            <w:shd w:val="clear" w:color="auto" w:fill="auto"/>
            <w:noWrap/>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11</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HDMI视频分配器</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1.需支持1路HDMI输入，8路HDMI输出，支持1920*1200@60HZ或以下分辨率，最高可以支持3840*2160@30HZ；</w:t>
            </w:r>
            <w:r>
              <w:rPr>
                <w:rFonts w:hint="eastAsia" w:ascii="宋体" w:hAnsi="宋体" w:cs="宋体"/>
                <w:color w:val="auto"/>
                <w:highlight w:val="none"/>
              </w:rPr>
              <w:br w:type="textWrapping"/>
            </w:r>
            <w:r>
              <w:rPr>
                <w:rFonts w:hint="eastAsia" w:ascii="宋体" w:hAnsi="宋体" w:cs="宋体"/>
                <w:color w:val="auto"/>
                <w:highlight w:val="none"/>
              </w:rPr>
              <w:t>2.HDMI视频接口；</w:t>
            </w:r>
            <w:r>
              <w:rPr>
                <w:rFonts w:hint="eastAsia" w:ascii="宋体" w:hAnsi="宋体" w:cs="宋体"/>
                <w:color w:val="auto"/>
                <w:highlight w:val="none"/>
              </w:rPr>
              <w:br w:type="textWrapping"/>
            </w:r>
            <w:r>
              <w:rPr>
                <w:rFonts w:hint="eastAsia" w:ascii="宋体" w:hAnsi="宋体" w:cs="宋体"/>
                <w:color w:val="auto"/>
                <w:highlight w:val="none"/>
              </w:rPr>
              <w:t>3.220V电源。</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12</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解码器</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1.高清视音频解码器，采用Linux操作系统，运行稳定可靠；</w:t>
            </w:r>
            <w:r>
              <w:rPr>
                <w:rFonts w:hint="eastAsia" w:ascii="宋体" w:hAnsi="宋体" w:cs="宋体"/>
                <w:color w:val="auto"/>
                <w:highlight w:val="none"/>
              </w:rPr>
              <w:br w:type="textWrapping"/>
            </w:r>
            <w:r>
              <w:rPr>
                <w:rFonts w:hint="eastAsia" w:ascii="宋体" w:hAnsi="宋体" w:cs="宋体"/>
                <w:color w:val="auto"/>
                <w:highlight w:val="none"/>
              </w:rPr>
              <w:t>2.需支持1路HDMI、VGA、BNC三种输出接口；</w:t>
            </w:r>
            <w:r>
              <w:rPr>
                <w:rFonts w:hint="eastAsia" w:ascii="宋体" w:hAnsi="宋体" w:cs="宋体"/>
                <w:color w:val="auto"/>
                <w:highlight w:val="none"/>
              </w:rPr>
              <w:br w:type="textWrapping"/>
            </w:r>
            <w:r>
              <w:rPr>
                <w:rFonts w:hint="eastAsia" w:ascii="宋体" w:hAnsi="宋体" w:cs="宋体"/>
                <w:color w:val="auto"/>
                <w:highlight w:val="none"/>
              </w:rPr>
              <w:t>3.需支持H.265、H.264、MPEG4、MJPEG等主流的编码格式；</w:t>
            </w:r>
            <w:r>
              <w:rPr>
                <w:rFonts w:hint="eastAsia" w:ascii="宋体" w:hAnsi="宋体" w:cs="宋体"/>
                <w:color w:val="auto"/>
                <w:highlight w:val="none"/>
              </w:rPr>
              <w:br w:type="textWrapping"/>
            </w:r>
            <w:r>
              <w:rPr>
                <w:rFonts w:hint="eastAsia" w:ascii="宋体" w:hAnsi="宋体" w:cs="宋体"/>
                <w:color w:val="auto"/>
                <w:highlight w:val="none"/>
              </w:rPr>
              <w:t>4.需支持PS、RTP、TS、ES等主流的封装格式；</w:t>
            </w:r>
            <w:r>
              <w:rPr>
                <w:rFonts w:hint="eastAsia" w:ascii="宋体" w:hAnsi="宋体" w:cs="宋体"/>
                <w:color w:val="auto"/>
                <w:highlight w:val="none"/>
              </w:rPr>
              <w:br w:type="textWrapping"/>
            </w:r>
            <w:r>
              <w:rPr>
                <w:rFonts w:hint="eastAsia" w:ascii="宋体" w:hAnsi="宋体" w:cs="宋体"/>
                <w:color w:val="auto"/>
                <w:highlight w:val="none"/>
              </w:rPr>
              <w:t>5.需支持G.722、G.711A、G.726、MPEG2-L2、AAC音频格式的解码；</w:t>
            </w:r>
            <w:r>
              <w:rPr>
                <w:rFonts w:hint="eastAsia" w:ascii="宋体" w:hAnsi="宋体" w:cs="宋体"/>
                <w:color w:val="auto"/>
                <w:highlight w:val="none"/>
              </w:rPr>
              <w:br w:type="textWrapping"/>
            </w:r>
            <w:r>
              <w:rPr>
                <w:rFonts w:hint="eastAsia" w:ascii="宋体" w:hAnsi="宋体" w:cs="宋体"/>
                <w:color w:val="auto"/>
                <w:highlight w:val="none"/>
              </w:rPr>
              <w:t>6.需支持2路1200W，或4路800W，或6路500W，或10路300W，或16路1080P及以下分辨率同时实时解码；</w:t>
            </w:r>
            <w:r>
              <w:rPr>
                <w:rFonts w:hint="eastAsia" w:ascii="宋体" w:hAnsi="宋体" w:cs="宋体"/>
                <w:color w:val="auto"/>
                <w:highlight w:val="none"/>
              </w:rPr>
              <w:br w:type="textWrapping"/>
            </w:r>
            <w:r>
              <w:rPr>
                <w:rFonts w:hint="eastAsia" w:ascii="宋体" w:hAnsi="宋体" w:cs="宋体"/>
                <w:color w:val="auto"/>
                <w:highlight w:val="none"/>
              </w:rPr>
              <w:t>7.需支持1、2、4、6、8、9、10、12、16画面分割显示；</w:t>
            </w:r>
            <w:r>
              <w:rPr>
                <w:rFonts w:hint="eastAsia" w:ascii="宋体" w:hAnsi="宋体" w:cs="宋体"/>
                <w:color w:val="auto"/>
                <w:highlight w:val="none"/>
              </w:rPr>
              <w:br w:type="textWrapping"/>
            </w:r>
            <w:r>
              <w:rPr>
                <w:rFonts w:hint="eastAsia" w:ascii="宋体" w:hAnsi="宋体" w:cs="宋体"/>
                <w:color w:val="auto"/>
                <w:highlight w:val="none"/>
              </w:rPr>
              <w:t>8.需支持1个RJ45网络接口;1路音频输出、1路对讲输入、1路对讲输出;1个标准232接口（RJ45）、1个标准485接口;8路报警输入，8路报警输出。</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13</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彩色激光打印、复印、扫描多功能一体机</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网络打印：支持有线&amp;无线网络打印;</w:t>
            </w:r>
            <w:r>
              <w:rPr>
                <w:rFonts w:hint="eastAsia" w:ascii="宋体" w:hAnsi="宋体" w:cs="宋体"/>
                <w:color w:val="auto"/>
                <w:highlight w:val="none"/>
              </w:rPr>
              <w:br w:type="textWrapping"/>
            </w:r>
            <w:r>
              <w:rPr>
                <w:rFonts w:hint="eastAsia" w:ascii="宋体" w:hAnsi="宋体" w:cs="宋体"/>
                <w:color w:val="auto"/>
                <w:highlight w:val="none"/>
              </w:rPr>
              <w:t>2. 端口：以太网；USB；WiFi端口;</w:t>
            </w:r>
            <w:r>
              <w:rPr>
                <w:rFonts w:hint="eastAsia" w:ascii="宋体" w:hAnsi="宋体" w:cs="宋体"/>
                <w:color w:val="auto"/>
                <w:highlight w:val="none"/>
              </w:rPr>
              <w:br w:type="textWrapping"/>
            </w:r>
            <w:r>
              <w:rPr>
                <w:rFonts w:hint="eastAsia" w:ascii="宋体" w:hAnsi="宋体" w:cs="宋体"/>
                <w:color w:val="auto"/>
                <w:highlight w:val="none"/>
              </w:rPr>
              <w:t>3. 黑白模式最佳打印分辨率：1200*1200dpi;</w:t>
            </w:r>
            <w:r>
              <w:rPr>
                <w:rFonts w:hint="eastAsia" w:ascii="宋体" w:hAnsi="宋体" w:cs="宋体"/>
                <w:color w:val="auto"/>
                <w:highlight w:val="none"/>
              </w:rPr>
              <w:br w:type="textWrapping"/>
            </w:r>
            <w:r>
              <w:rPr>
                <w:rFonts w:hint="eastAsia" w:ascii="宋体" w:hAnsi="宋体" w:cs="宋体"/>
                <w:color w:val="auto"/>
                <w:highlight w:val="none"/>
              </w:rPr>
              <w:t>4. 彩色模式最佳打印分辨率：4800*1200dpi;</w:t>
            </w:r>
            <w:r>
              <w:rPr>
                <w:rFonts w:hint="eastAsia" w:ascii="宋体" w:hAnsi="宋体" w:cs="宋体"/>
                <w:color w:val="auto"/>
                <w:highlight w:val="none"/>
              </w:rPr>
              <w:br w:type="textWrapping"/>
            </w:r>
            <w:r>
              <w:rPr>
                <w:rFonts w:hint="eastAsia" w:ascii="宋体" w:hAnsi="宋体" w:cs="宋体"/>
                <w:color w:val="auto"/>
                <w:highlight w:val="none"/>
              </w:rPr>
              <w:t>5. 打印功能：自动双面;</w:t>
            </w:r>
            <w:r>
              <w:rPr>
                <w:rFonts w:hint="eastAsia" w:ascii="宋体" w:hAnsi="宋体" w:cs="宋体"/>
                <w:color w:val="auto"/>
                <w:highlight w:val="none"/>
              </w:rPr>
              <w:br w:type="textWrapping"/>
            </w:r>
            <w:r>
              <w:rPr>
                <w:rFonts w:hint="eastAsia" w:ascii="宋体" w:hAnsi="宋体" w:cs="宋体"/>
                <w:color w:val="auto"/>
                <w:highlight w:val="none"/>
              </w:rPr>
              <w:t>6. 彩色打印：支持彩色打印;</w:t>
            </w:r>
            <w:r>
              <w:rPr>
                <w:rFonts w:hint="eastAsia" w:ascii="宋体" w:hAnsi="宋体" w:cs="宋体"/>
                <w:color w:val="auto"/>
                <w:highlight w:val="none"/>
              </w:rPr>
              <w:br w:type="textWrapping"/>
            </w:r>
            <w:r>
              <w:rPr>
                <w:rFonts w:hint="eastAsia" w:ascii="宋体" w:hAnsi="宋体" w:cs="宋体"/>
                <w:color w:val="auto"/>
                <w:highlight w:val="none"/>
              </w:rPr>
              <w:t>7. 最大支持幅面：A4;</w:t>
            </w:r>
            <w:r>
              <w:rPr>
                <w:rFonts w:hint="eastAsia" w:ascii="宋体" w:hAnsi="宋体" w:cs="宋体"/>
                <w:color w:val="auto"/>
                <w:highlight w:val="none"/>
              </w:rPr>
              <w:br w:type="textWrapping"/>
            </w:r>
            <w:r>
              <w:rPr>
                <w:rFonts w:hint="eastAsia" w:ascii="宋体" w:hAnsi="宋体" w:cs="宋体"/>
                <w:color w:val="auto"/>
                <w:highlight w:val="none"/>
              </w:rPr>
              <w:t>8. 基础功能：复印、扫描、打印、传真。</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14</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检察官电脑</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CPU≥i5 10400；内存≥ 8GB；硬盘：≥128GB SATA SSD +1TB SATA HDD显示器≥21.5英寸；显卡≥R7 430，2G独显；操作系统：Windows 10 IoT版（含授权）；</w:t>
            </w:r>
            <w:r>
              <w:rPr>
                <w:rFonts w:hint="eastAsia" w:ascii="宋体" w:hAnsi="宋体" w:cs="宋体"/>
                <w:color w:val="auto"/>
                <w:highlight w:val="none"/>
              </w:rPr>
              <w:br w:type="textWrapping"/>
            </w:r>
            <w:r>
              <w:rPr>
                <w:rFonts w:hint="eastAsia" w:ascii="宋体" w:hAnsi="宋体" w:cs="宋体"/>
                <w:color w:val="auto"/>
                <w:highlight w:val="none"/>
              </w:rPr>
              <w:t>2. 硬盘接口支持≥4个SATA 3.0接口；</w:t>
            </w:r>
            <w:r>
              <w:rPr>
                <w:rFonts w:hint="eastAsia" w:ascii="宋体" w:hAnsi="宋体" w:cs="宋体"/>
                <w:color w:val="auto"/>
                <w:highlight w:val="none"/>
              </w:rPr>
              <w:br w:type="textWrapping"/>
            </w:r>
            <w:r>
              <w:rPr>
                <w:rFonts w:hint="eastAsia" w:ascii="宋体" w:hAnsi="宋体" w:cs="宋体"/>
                <w:color w:val="auto"/>
                <w:highlight w:val="none"/>
              </w:rPr>
              <w:t>3. 支持硬盘断电保护，支持将硬盘数据还原到指定还原点；</w:t>
            </w:r>
            <w:r>
              <w:rPr>
                <w:rFonts w:hint="eastAsia" w:ascii="宋体" w:hAnsi="宋体" w:cs="宋体"/>
                <w:color w:val="auto"/>
                <w:highlight w:val="none"/>
              </w:rPr>
              <w:br w:type="textWrapping"/>
            </w:r>
            <w:r>
              <w:rPr>
                <w:rFonts w:hint="eastAsia" w:ascii="宋体" w:hAnsi="宋体" w:cs="宋体"/>
                <w:color w:val="auto"/>
                <w:highlight w:val="none"/>
              </w:rPr>
              <w:t>4. ★视频监控解码能力需≥16路400万像素解码，</w:t>
            </w:r>
            <w:r>
              <w:rPr>
                <w:rFonts w:hint="eastAsia" w:ascii="宋体" w:hAnsi="宋体" w:cs="宋体"/>
                <w:color w:val="auto"/>
                <w:highlight w:val="none"/>
              </w:rPr>
              <w:t>提供产品检测报告、功能截图或者产品彩页，并加盖供应商公章；</w:t>
            </w:r>
            <w:r>
              <w:rPr>
                <w:rFonts w:hint="eastAsia" w:ascii="宋体" w:hAnsi="宋体" w:cs="宋体"/>
                <w:color w:val="auto"/>
                <w:highlight w:val="none"/>
              </w:rPr>
              <w:br w:type="textWrapping"/>
            </w:r>
            <w:r>
              <w:rPr>
                <w:rFonts w:hint="eastAsia" w:ascii="宋体" w:hAnsi="宋体" w:cs="宋体"/>
                <w:color w:val="auto"/>
                <w:highlight w:val="none"/>
              </w:rPr>
              <w:t>5. ★支持应用软件向导式启动及更新升级，支持应用软件打开即可全屏显示；支持Windows应用虚拟化，支持双系统同时开机同时使用；支持安装云盘软件，能对指定目录进行增备、全备及双向同步；支持对操作系统进行镜像备份和恢复；支持使用视图播放器对文件进行播放，</w:t>
            </w:r>
            <w:r>
              <w:rPr>
                <w:rFonts w:hint="eastAsia" w:ascii="宋体" w:hAnsi="宋体" w:cs="宋体"/>
                <w:color w:val="auto"/>
                <w:highlight w:val="none"/>
              </w:rPr>
              <w:t>提供产品检测报告、功能截图或者产品彩页，并加盖供应商公章</w:t>
            </w:r>
            <w:r>
              <w:rPr>
                <w:rFonts w:hint="eastAsia" w:ascii="宋体" w:hAnsi="宋体" w:cs="宋体"/>
                <w:color w:val="auto"/>
                <w:highlight w:val="none"/>
              </w:rPr>
              <w:t>。</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15</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控制电脑</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CPU≥i5 10400；内存≥ 8GB；硬盘：≥128GB SATA SSD +1TB SATA HDD显示器≥21.5英寸；显卡≥R7 430，2G独显；操作系统：Windows 10 IoT版（含授权）;</w:t>
            </w:r>
            <w:r>
              <w:rPr>
                <w:rFonts w:hint="eastAsia" w:ascii="宋体" w:hAnsi="宋体" w:cs="宋体"/>
                <w:color w:val="auto"/>
                <w:highlight w:val="none"/>
              </w:rPr>
              <w:br w:type="textWrapping"/>
            </w:r>
            <w:r>
              <w:rPr>
                <w:rFonts w:hint="eastAsia" w:ascii="宋体" w:hAnsi="宋体" w:cs="宋体"/>
                <w:color w:val="auto"/>
                <w:highlight w:val="none"/>
              </w:rPr>
              <w:t>2. 硬盘接口支持≥4个SATA 3.0接口;</w:t>
            </w:r>
            <w:r>
              <w:rPr>
                <w:rFonts w:hint="eastAsia" w:ascii="宋体" w:hAnsi="宋体" w:cs="宋体"/>
                <w:color w:val="auto"/>
                <w:highlight w:val="none"/>
              </w:rPr>
              <w:br w:type="textWrapping"/>
            </w:r>
            <w:r>
              <w:rPr>
                <w:rFonts w:hint="eastAsia" w:ascii="宋体" w:hAnsi="宋体" w:cs="宋体"/>
                <w:color w:val="auto"/>
                <w:highlight w:val="none"/>
              </w:rPr>
              <w:t>3. 需支持硬盘断电保护，支持将硬盘数据还原到指定还原点。</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16</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网络交换机</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24个千兆电口，4个千兆光口，交换容量336Gbps，包转发率96Mpps。</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17</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路由器</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双频双千兆。</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18</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机柜</w:t>
            </w:r>
          </w:p>
        </w:tc>
        <w:tc>
          <w:tcPr>
            <w:tcW w:w="2741" w:type="pct"/>
            <w:shd w:val="clear" w:color="auto" w:fill="auto"/>
            <w:noWrap/>
            <w:vAlign w:val="center"/>
          </w:tcPr>
          <w:p>
            <w:pPr>
              <w:pStyle w:val="146"/>
              <w:jc w:val="left"/>
              <w:rPr>
                <w:rFonts w:ascii="宋体" w:hAnsi="宋体" w:cs="宋体"/>
                <w:color w:val="auto"/>
                <w:highlight w:val="none"/>
              </w:rPr>
            </w:pPr>
            <w:r>
              <w:rPr>
                <w:rFonts w:hint="eastAsia" w:ascii="宋体" w:hAnsi="宋体" w:cs="宋体"/>
                <w:color w:val="auto"/>
                <w:highlight w:val="none"/>
              </w:rPr>
              <w:t>42U网络机柜。</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19</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电源时序器</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1.独立的八路大功率电源输出，万能插座，可满足多种三极的电源插座，如国标插座、美标插座以及欧标插座等；还可满足二极欧式的圆头插座；</w:t>
            </w:r>
            <w:r>
              <w:rPr>
                <w:rFonts w:hint="eastAsia" w:ascii="宋体" w:hAnsi="宋体" w:cs="宋体"/>
                <w:color w:val="auto"/>
                <w:highlight w:val="none"/>
              </w:rPr>
              <w:br w:type="textWrapping"/>
            </w:r>
            <w:r>
              <w:rPr>
                <w:rFonts w:hint="eastAsia" w:ascii="宋体" w:hAnsi="宋体" w:cs="宋体"/>
                <w:color w:val="auto"/>
                <w:highlight w:val="none"/>
              </w:rPr>
              <w:t>2.单路最大输出为 10A，总输入电流容量 16A；</w:t>
            </w:r>
            <w:r>
              <w:rPr>
                <w:rFonts w:hint="eastAsia" w:ascii="宋体" w:hAnsi="宋体" w:cs="宋体"/>
                <w:color w:val="auto"/>
                <w:highlight w:val="none"/>
              </w:rPr>
              <w:br w:type="textWrapping"/>
            </w:r>
            <w:r>
              <w:rPr>
                <w:rFonts w:hint="eastAsia" w:ascii="宋体" w:hAnsi="宋体" w:cs="宋体"/>
                <w:color w:val="auto"/>
                <w:highlight w:val="none"/>
              </w:rPr>
              <w:t>3.八路通道开关状态可由面板控制操作和显示；通过面板一键开关，可时序关启通道，实现时序功能；</w:t>
            </w:r>
            <w:r>
              <w:rPr>
                <w:rFonts w:hint="eastAsia" w:ascii="宋体" w:hAnsi="宋体" w:cs="宋体"/>
                <w:color w:val="auto"/>
                <w:highlight w:val="none"/>
              </w:rPr>
              <w:br w:type="textWrapping"/>
            </w:r>
            <w:r>
              <w:rPr>
                <w:rFonts w:hint="eastAsia" w:ascii="宋体" w:hAnsi="宋体" w:cs="宋体"/>
                <w:color w:val="auto"/>
                <w:highlight w:val="none"/>
              </w:rPr>
              <w:t>4.开机时由前级到后级按顺序逐个启动各类设备，关机时由后级到前级逐个关闭各个设备，有效的统一管理控制用电设备，确保整个系统的稳定运行；</w:t>
            </w:r>
            <w:r>
              <w:rPr>
                <w:rFonts w:hint="eastAsia" w:ascii="宋体" w:hAnsi="宋体" w:cs="宋体"/>
                <w:color w:val="auto"/>
                <w:highlight w:val="none"/>
              </w:rPr>
              <w:br w:type="textWrapping"/>
            </w:r>
            <w:r>
              <w:rPr>
                <w:rFonts w:hint="eastAsia" w:ascii="宋体" w:hAnsi="宋体" w:cs="宋体"/>
                <w:color w:val="auto"/>
                <w:highlight w:val="none"/>
              </w:rPr>
              <w:t>5.可广泛用于多媒体教室、多功能厅、会议室、投影拼接、视频会议、监控中心、楼宇控制、管理指挥中心等领域；</w:t>
            </w:r>
            <w:r>
              <w:rPr>
                <w:rFonts w:hint="eastAsia" w:ascii="宋体" w:hAnsi="宋体" w:cs="宋体"/>
                <w:color w:val="auto"/>
                <w:highlight w:val="none"/>
              </w:rPr>
              <w:br w:type="textWrapping"/>
            </w:r>
            <w:r>
              <w:rPr>
                <w:rFonts w:hint="eastAsia" w:ascii="宋体" w:hAnsi="宋体" w:cs="宋体"/>
                <w:color w:val="auto"/>
                <w:highlight w:val="none"/>
              </w:rPr>
              <w:t>6.性能规格：</w:t>
            </w:r>
            <w:r>
              <w:rPr>
                <w:rFonts w:hint="eastAsia" w:ascii="宋体" w:hAnsi="宋体" w:cs="宋体"/>
                <w:color w:val="auto"/>
                <w:highlight w:val="none"/>
              </w:rPr>
              <w:br w:type="textWrapping"/>
            </w:r>
            <w:r>
              <w:rPr>
                <w:rFonts w:hint="eastAsia" w:ascii="宋体" w:hAnsi="宋体" w:cs="宋体"/>
                <w:color w:val="auto"/>
                <w:highlight w:val="none"/>
              </w:rPr>
              <w:t>7.电源输出：8路，万能插座；</w:t>
            </w:r>
            <w:r>
              <w:rPr>
                <w:rFonts w:hint="eastAsia" w:ascii="宋体" w:hAnsi="宋体" w:cs="宋体"/>
                <w:color w:val="auto"/>
                <w:highlight w:val="none"/>
              </w:rPr>
              <w:br w:type="textWrapping"/>
            </w:r>
            <w:r>
              <w:rPr>
                <w:rFonts w:hint="eastAsia" w:ascii="宋体" w:hAnsi="宋体" w:cs="宋体"/>
                <w:color w:val="auto"/>
                <w:highlight w:val="none"/>
              </w:rPr>
              <w:t>8.单路最大负荷：10A；</w:t>
            </w:r>
            <w:r>
              <w:rPr>
                <w:rFonts w:hint="eastAsia" w:ascii="宋体" w:hAnsi="宋体" w:cs="宋体"/>
                <w:color w:val="auto"/>
                <w:highlight w:val="none"/>
              </w:rPr>
              <w:br w:type="textWrapping"/>
            </w:r>
            <w:r>
              <w:rPr>
                <w:rFonts w:hint="eastAsia" w:ascii="宋体" w:hAnsi="宋体" w:cs="宋体"/>
                <w:color w:val="auto"/>
                <w:highlight w:val="none"/>
              </w:rPr>
              <w:t>9.控制方式：手动顺序启动、外接短路信号触发启动；</w:t>
            </w:r>
            <w:r>
              <w:rPr>
                <w:rFonts w:hint="eastAsia" w:ascii="宋体" w:hAnsi="宋体" w:cs="宋体"/>
                <w:color w:val="auto"/>
                <w:highlight w:val="none"/>
              </w:rPr>
              <w:br w:type="textWrapping"/>
            </w:r>
            <w:r>
              <w:rPr>
                <w:rFonts w:hint="eastAsia" w:ascii="宋体" w:hAnsi="宋体" w:cs="宋体"/>
                <w:color w:val="auto"/>
                <w:highlight w:val="none"/>
              </w:rPr>
              <w:t>10.电源容量：总容量220V，16A；</w:t>
            </w:r>
            <w:r>
              <w:rPr>
                <w:rFonts w:hint="eastAsia" w:ascii="宋体" w:hAnsi="宋体" w:cs="宋体"/>
                <w:color w:val="auto"/>
                <w:highlight w:val="none"/>
              </w:rPr>
              <w:br w:type="textWrapping"/>
            </w:r>
            <w:r>
              <w:rPr>
                <w:rFonts w:hint="eastAsia" w:ascii="宋体" w:hAnsi="宋体" w:cs="宋体"/>
                <w:color w:val="auto"/>
                <w:highlight w:val="none"/>
              </w:rPr>
              <w:t>11.输入电源：AC220/50Hz；</w:t>
            </w:r>
            <w:r>
              <w:rPr>
                <w:rFonts w:hint="eastAsia" w:ascii="宋体" w:hAnsi="宋体" w:cs="宋体"/>
                <w:color w:val="auto"/>
                <w:highlight w:val="none"/>
              </w:rPr>
              <w:br w:type="textWrapping"/>
            </w:r>
            <w:r>
              <w:rPr>
                <w:rFonts w:hint="eastAsia" w:ascii="宋体" w:hAnsi="宋体" w:cs="宋体"/>
                <w:color w:val="auto"/>
                <w:highlight w:val="none"/>
              </w:rPr>
              <w:t>12.时序间隔：0.4-0.5s。</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20</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高清HDMI编码器</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 xml:space="preserve">1. 需具备1路HDMI视频输入接口，1路VGA视频输入接口，1路HDMI环通输出接口； </w:t>
            </w:r>
            <w:r>
              <w:rPr>
                <w:rFonts w:hint="eastAsia" w:ascii="宋体" w:hAnsi="宋体" w:cs="宋体"/>
                <w:color w:val="auto"/>
                <w:highlight w:val="none"/>
              </w:rPr>
              <w:br w:type="textWrapping"/>
            </w:r>
            <w:r>
              <w:rPr>
                <w:rFonts w:hint="eastAsia" w:ascii="宋体" w:hAnsi="宋体" w:cs="宋体"/>
                <w:color w:val="auto"/>
                <w:highlight w:val="none"/>
              </w:rPr>
              <w:t>2. 需支持4K、400W、1080P、720P等高清分辨率编码； 支持H.265视频编码；</w:t>
            </w:r>
            <w:r>
              <w:rPr>
                <w:rFonts w:hint="eastAsia" w:ascii="宋体" w:hAnsi="宋体" w:cs="宋体"/>
                <w:color w:val="auto"/>
                <w:highlight w:val="none"/>
              </w:rPr>
              <w:br w:type="textWrapping"/>
            </w:r>
            <w:r>
              <w:rPr>
                <w:rFonts w:hint="eastAsia" w:ascii="宋体" w:hAnsi="宋体" w:cs="宋体"/>
                <w:color w:val="auto"/>
                <w:highlight w:val="none"/>
              </w:rPr>
              <w:t>3. 需具备HDMI或Audio in音频输入接口；支持AAC G711音频编码；</w:t>
            </w:r>
            <w:r>
              <w:rPr>
                <w:rFonts w:hint="eastAsia" w:ascii="宋体" w:hAnsi="宋体" w:cs="宋体"/>
                <w:color w:val="auto"/>
                <w:highlight w:val="none"/>
              </w:rPr>
              <w:br w:type="textWrapping"/>
            </w:r>
            <w:r>
              <w:rPr>
                <w:rFonts w:hint="eastAsia" w:ascii="宋体" w:hAnsi="宋体" w:cs="宋体"/>
                <w:color w:val="auto"/>
                <w:highlight w:val="none"/>
              </w:rPr>
              <w:t>4. 需支持DC12V&amp;POE供电；</w:t>
            </w:r>
          </w:p>
        </w:tc>
        <w:tc>
          <w:tcPr>
            <w:tcW w:w="416"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33"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二</w:t>
            </w:r>
          </w:p>
        </w:tc>
        <w:tc>
          <w:tcPr>
            <w:tcW w:w="712"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会议扩声系统</w:t>
            </w:r>
          </w:p>
        </w:tc>
        <w:tc>
          <w:tcPr>
            <w:tcW w:w="2741" w:type="pct"/>
            <w:shd w:val="clear" w:color="auto" w:fill="auto"/>
            <w:vAlign w:val="center"/>
          </w:tcPr>
          <w:p>
            <w:pPr>
              <w:pStyle w:val="146"/>
              <w:jc w:val="left"/>
              <w:rPr>
                <w:rFonts w:ascii="宋体" w:hAnsi="宋体" w:cs="宋体"/>
                <w:b/>
                <w:bCs w:val="0"/>
                <w:color w:val="auto"/>
                <w:highlight w:val="none"/>
              </w:rPr>
            </w:pPr>
          </w:p>
        </w:tc>
        <w:tc>
          <w:tcPr>
            <w:tcW w:w="416"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w:t>
            </w:r>
          </w:p>
        </w:tc>
        <w:tc>
          <w:tcPr>
            <w:tcW w:w="375"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w:t>
            </w:r>
          </w:p>
        </w:tc>
        <w:tc>
          <w:tcPr>
            <w:tcW w:w="320" w:type="pct"/>
            <w:shd w:val="clear" w:color="auto" w:fill="auto"/>
            <w:noWrap/>
            <w:vAlign w:val="center"/>
          </w:tcPr>
          <w:p>
            <w:pPr>
              <w:pStyle w:val="146"/>
              <w:rPr>
                <w:rFonts w:ascii="宋体" w:hAnsi="宋体" w:cs="宋体"/>
                <w:b/>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无线会议控制主机</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1.主机面板采用铝合金标准机架设计大小；</w:t>
            </w:r>
            <w:r>
              <w:rPr>
                <w:rFonts w:hint="eastAsia" w:ascii="宋体" w:hAnsi="宋体" w:cs="宋体"/>
                <w:color w:val="auto"/>
                <w:highlight w:val="none"/>
              </w:rPr>
              <w:br w:type="textWrapping"/>
            </w:r>
            <w:r>
              <w:rPr>
                <w:rFonts w:hint="eastAsia" w:ascii="宋体" w:hAnsi="宋体" w:cs="宋体"/>
                <w:color w:val="auto"/>
                <w:highlight w:val="none"/>
              </w:rPr>
              <w:t>2.主机可与≥99支话筒使用，分别为1支主席话筒，98支代表话筒；</w:t>
            </w:r>
            <w:r>
              <w:rPr>
                <w:rFonts w:hint="eastAsia" w:ascii="宋体" w:hAnsi="宋体" w:cs="宋体"/>
                <w:color w:val="auto"/>
                <w:highlight w:val="none"/>
              </w:rPr>
              <w:br w:type="textWrapping"/>
            </w:r>
            <w:r>
              <w:rPr>
                <w:rFonts w:hint="eastAsia" w:ascii="宋体" w:hAnsi="宋体" w:cs="宋体"/>
                <w:color w:val="auto"/>
                <w:highlight w:val="none"/>
              </w:rPr>
              <w:t>3.主机具备2种发言模式：限制模式、轮替模式，发言人数可调1-4人同时发言；</w:t>
            </w:r>
            <w:r>
              <w:rPr>
                <w:rFonts w:hint="eastAsia" w:ascii="宋体" w:hAnsi="宋体" w:cs="宋体"/>
                <w:color w:val="auto"/>
                <w:highlight w:val="none"/>
              </w:rPr>
              <w:br w:type="textWrapping"/>
            </w:r>
            <w:r>
              <w:rPr>
                <w:rFonts w:hint="eastAsia" w:ascii="宋体" w:hAnsi="宋体" w:cs="宋体"/>
                <w:color w:val="auto"/>
                <w:highlight w:val="none"/>
              </w:rPr>
              <w:t>4.内置128X64显示屏，中英文菜单；</w:t>
            </w:r>
            <w:r>
              <w:rPr>
                <w:rFonts w:hint="eastAsia" w:ascii="宋体" w:hAnsi="宋体" w:cs="宋体"/>
                <w:color w:val="auto"/>
                <w:highlight w:val="none"/>
              </w:rPr>
              <w:br w:type="textWrapping"/>
            </w:r>
            <w:r>
              <w:rPr>
                <w:rFonts w:hint="eastAsia" w:ascii="宋体" w:hAnsi="宋体" w:cs="宋体"/>
                <w:color w:val="auto"/>
                <w:highlight w:val="none"/>
              </w:rPr>
              <w:t>5.UHF频率自动跟踪锁定功能，具备自动扫描话筒对频，内置≥520个发言信道，接收信号强度可调节；</w:t>
            </w:r>
            <w:r>
              <w:rPr>
                <w:rFonts w:hint="eastAsia" w:ascii="宋体" w:hAnsi="宋体" w:cs="宋体"/>
                <w:color w:val="auto"/>
                <w:highlight w:val="none"/>
              </w:rPr>
              <w:br w:type="textWrapping"/>
            </w:r>
            <w:r>
              <w:rPr>
                <w:rFonts w:hint="eastAsia" w:ascii="宋体" w:hAnsi="宋体" w:cs="宋体"/>
                <w:color w:val="auto"/>
                <w:highlight w:val="none"/>
              </w:rPr>
              <w:t xml:space="preserve">6.内置啸叫抑制功能； </w:t>
            </w:r>
            <w:r>
              <w:rPr>
                <w:rFonts w:hint="eastAsia" w:ascii="宋体" w:hAnsi="宋体" w:cs="宋体"/>
                <w:color w:val="auto"/>
                <w:highlight w:val="none"/>
              </w:rPr>
              <w:br w:type="textWrapping"/>
            </w:r>
            <w:r>
              <w:rPr>
                <w:rFonts w:hint="eastAsia" w:ascii="宋体" w:hAnsi="宋体" w:cs="宋体"/>
                <w:color w:val="auto"/>
                <w:highlight w:val="none"/>
              </w:rPr>
              <w:t>7.主席话筒具备优先功能,一键关闭所有开启中的代表话筒；</w:t>
            </w:r>
            <w:r>
              <w:rPr>
                <w:rFonts w:hint="eastAsia" w:ascii="宋体" w:hAnsi="宋体" w:cs="宋体"/>
                <w:color w:val="auto"/>
                <w:highlight w:val="none"/>
              </w:rPr>
              <w:br w:type="textWrapping"/>
            </w:r>
            <w:r>
              <w:rPr>
                <w:rFonts w:hint="eastAsia" w:ascii="宋体" w:hAnsi="宋体" w:cs="宋体"/>
                <w:color w:val="auto"/>
                <w:highlight w:val="none"/>
              </w:rPr>
              <w:t>8.★主机具备实时监测功能，主机断电超过40秒，会议单元就会自动关闭，</w:t>
            </w:r>
            <w:r>
              <w:rPr>
                <w:rFonts w:hint="eastAsia" w:ascii="宋体" w:hAnsi="宋体" w:cs="宋体"/>
                <w:color w:val="auto"/>
                <w:highlight w:val="none"/>
              </w:rPr>
              <w:t>提供产品检测报告、功能截图或者产品彩页，并加盖供应商公章；</w:t>
            </w:r>
          </w:p>
          <w:p>
            <w:pPr>
              <w:pStyle w:val="146"/>
              <w:jc w:val="left"/>
              <w:rPr>
                <w:rFonts w:ascii="宋体" w:hAnsi="宋体" w:cs="宋体"/>
                <w:color w:val="auto"/>
                <w:highlight w:val="none"/>
              </w:rPr>
            </w:pPr>
            <w:r>
              <w:rPr>
                <w:rFonts w:hint="eastAsia" w:ascii="宋体" w:hAnsi="宋体" w:cs="宋体"/>
                <w:color w:val="auto"/>
                <w:highlight w:val="none"/>
              </w:rPr>
              <w:t>9.手持麦克风和会议座单元可混合使用，手持话筒打开时会自动加入会议模式，手持话筒同样受会议模式数量限制；</w:t>
            </w:r>
            <w:r>
              <w:rPr>
                <w:rFonts w:hint="eastAsia" w:ascii="宋体" w:hAnsi="宋体" w:cs="宋体"/>
                <w:color w:val="auto"/>
                <w:highlight w:val="none"/>
              </w:rPr>
              <w:br w:type="textWrapping"/>
            </w:r>
            <w:r>
              <w:rPr>
                <w:rFonts w:hint="eastAsia" w:ascii="宋体" w:hAnsi="宋体" w:cs="宋体"/>
                <w:color w:val="auto"/>
                <w:highlight w:val="none"/>
              </w:rPr>
              <w:t>10.无线会议系统具备高强度防手机电磁波干扰设计，防止手机噪音干扰；</w:t>
            </w:r>
            <w:r>
              <w:rPr>
                <w:rFonts w:hint="eastAsia" w:ascii="宋体" w:hAnsi="宋体" w:cs="宋体"/>
                <w:color w:val="auto"/>
                <w:highlight w:val="none"/>
              </w:rPr>
              <w:br w:type="textWrapping"/>
            </w:r>
            <w:r>
              <w:rPr>
                <w:rFonts w:hint="eastAsia" w:ascii="宋体" w:hAnsi="宋体" w:cs="宋体"/>
                <w:color w:val="auto"/>
                <w:highlight w:val="none"/>
              </w:rPr>
              <w:t>11.工作电压：DC-12V~14V 2A，功耗：5W，音频响应：50HZ—15KHZ，信噪比S/N：≥85dB，失真度THD：≤0.01%。</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vMerge w:val="restar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无线会议控制主机嵌入软件</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功能特点：</w:t>
            </w:r>
            <w:r>
              <w:rPr>
                <w:rFonts w:hint="eastAsia" w:ascii="宋体" w:hAnsi="宋体" w:cs="宋体"/>
                <w:color w:val="auto"/>
                <w:highlight w:val="none"/>
              </w:rPr>
              <w:br w:type="textWrapping"/>
            </w:r>
            <w:r>
              <w:rPr>
                <w:rFonts w:hint="eastAsia" w:ascii="宋体" w:hAnsi="宋体" w:cs="宋体"/>
                <w:color w:val="auto"/>
                <w:highlight w:val="none"/>
              </w:rPr>
              <w:t>1.软件内嵌于无线会议主机，实现会议主机的各项基本功能的运行；</w:t>
            </w:r>
            <w:r>
              <w:rPr>
                <w:rFonts w:hint="eastAsia" w:ascii="宋体" w:hAnsi="宋体" w:cs="宋体"/>
                <w:color w:val="auto"/>
                <w:highlight w:val="none"/>
              </w:rPr>
              <w:br w:type="textWrapping"/>
            </w:r>
            <w:r>
              <w:rPr>
                <w:rFonts w:hint="eastAsia" w:ascii="宋体" w:hAnsi="宋体" w:cs="宋体"/>
                <w:color w:val="auto"/>
                <w:highlight w:val="none"/>
              </w:rPr>
              <w:t>2.与会议话筒进行连接，读取数据；</w:t>
            </w:r>
            <w:r>
              <w:rPr>
                <w:rFonts w:hint="eastAsia" w:ascii="宋体" w:hAnsi="宋体" w:cs="宋体"/>
                <w:color w:val="auto"/>
                <w:highlight w:val="none"/>
              </w:rPr>
              <w:br w:type="textWrapping"/>
            </w:r>
            <w:r>
              <w:rPr>
                <w:rFonts w:hint="eastAsia" w:ascii="宋体" w:hAnsi="宋体" w:cs="宋体"/>
                <w:color w:val="auto"/>
                <w:highlight w:val="none"/>
              </w:rPr>
              <w:t>3.对会议话筒控制；</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无线会议主席话筒</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1.话筒表面使用哑光黑玻璃面板；</w:t>
            </w:r>
            <w:r>
              <w:rPr>
                <w:rFonts w:hint="eastAsia" w:ascii="宋体" w:hAnsi="宋体" w:cs="宋体"/>
                <w:color w:val="auto"/>
                <w:highlight w:val="none"/>
              </w:rPr>
              <w:br w:type="textWrapping"/>
            </w:r>
            <w:r>
              <w:rPr>
                <w:rFonts w:hint="eastAsia" w:ascii="宋体" w:hAnsi="宋体" w:cs="宋体"/>
                <w:color w:val="auto"/>
                <w:highlight w:val="none"/>
              </w:rPr>
              <w:t>2.话筒开关使用橡胶开关按键，轻微机械声特点，配圆形高亮指示灯；</w:t>
            </w:r>
            <w:r>
              <w:rPr>
                <w:rFonts w:hint="eastAsia" w:ascii="宋体" w:hAnsi="宋体" w:cs="宋体"/>
                <w:color w:val="auto"/>
                <w:highlight w:val="none"/>
              </w:rPr>
              <w:br w:type="textWrapping"/>
            </w:r>
            <w:r>
              <w:rPr>
                <w:rFonts w:hint="eastAsia" w:ascii="宋体" w:hAnsi="宋体" w:cs="宋体"/>
                <w:color w:val="auto"/>
                <w:highlight w:val="none"/>
              </w:rPr>
              <w:t>3.单一高指向性电容咪芯，可插拔式短杆话筒；</w:t>
            </w:r>
            <w:r>
              <w:rPr>
                <w:rFonts w:hint="eastAsia" w:ascii="宋体" w:hAnsi="宋体" w:cs="宋体"/>
                <w:color w:val="auto"/>
                <w:highlight w:val="none"/>
              </w:rPr>
              <w:br w:type="textWrapping"/>
            </w:r>
            <w:r>
              <w:rPr>
                <w:rFonts w:hint="eastAsia" w:ascii="宋体" w:hAnsi="宋体" w:cs="宋体"/>
                <w:color w:val="auto"/>
                <w:highlight w:val="none"/>
              </w:rPr>
              <w:t>4.话筒具备高强度防手机电磁波干扰设计，防止手机干扰噪音邻频干扰抑制；</w:t>
            </w:r>
            <w:r>
              <w:rPr>
                <w:rFonts w:hint="eastAsia" w:ascii="宋体" w:hAnsi="宋体" w:cs="宋体"/>
                <w:color w:val="auto"/>
                <w:highlight w:val="none"/>
              </w:rPr>
              <w:br w:type="textWrapping"/>
            </w:r>
            <w:r>
              <w:rPr>
                <w:rFonts w:hint="eastAsia" w:ascii="宋体" w:hAnsi="宋体" w:cs="宋体"/>
                <w:color w:val="auto"/>
                <w:highlight w:val="none"/>
              </w:rPr>
              <w:t>5.统一系列的手持麦克风和会议座单元可混合使用，手持话筒打开时会自动加入会议模式，手持话筒同样受会议模式数量限制；</w:t>
            </w:r>
            <w:r>
              <w:rPr>
                <w:rFonts w:hint="eastAsia" w:ascii="宋体" w:hAnsi="宋体" w:cs="宋体"/>
                <w:color w:val="auto"/>
                <w:highlight w:val="none"/>
              </w:rPr>
              <w:br w:type="textWrapping"/>
            </w:r>
            <w:r>
              <w:rPr>
                <w:rFonts w:hint="eastAsia" w:ascii="宋体" w:hAnsi="宋体" w:cs="宋体"/>
                <w:color w:val="auto"/>
                <w:highlight w:val="none"/>
              </w:rPr>
              <w:t>6.主席话筒具备优先功能,一键关闭所有开启中的代表话筒；</w:t>
            </w:r>
            <w:r>
              <w:rPr>
                <w:rFonts w:hint="eastAsia" w:ascii="宋体" w:hAnsi="宋体" w:cs="宋体"/>
                <w:color w:val="auto"/>
                <w:highlight w:val="none"/>
              </w:rPr>
              <w:br w:type="textWrapping"/>
            </w:r>
            <w:r>
              <w:rPr>
                <w:rFonts w:hint="eastAsia" w:ascii="宋体" w:hAnsi="宋体" w:cs="宋体"/>
                <w:color w:val="auto"/>
                <w:highlight w:val="none"/>
              </w:rPr>
              <w:t>7.话筒具有OLED显示屏，实时显示话筒状态：剩余电量、ID号、使用频道以及发言时间计算；</w:t>
            </w:r>
            <w:r>
              <w:rPr>
                <w:rFonts w:hint="eastAsia" w:ascii="宋体" w:hAnsi="宋体" w:cs="宋体"/>
                <w:color w:val="auto"/>
                <w:highlight w:val="none"/>
              </w:rPr>
              <w:br w:type="textWrapping"/>
            </w:r>
            <w:r>
              <w:rPr>
                <w:rFonts w:hint="eastAsia" w:ascii="宋体" w:hAnsi="宋体" w:cs="宋体"/>
                <w:color w:val="auto"/>
                <w:highlight w:val="none"/>
              </w:rPr>
              <w:t>8.★内置大容量充电式锂电池，Type-C接口，移动充电宝也可以充电，一次充电可连续使用时间达15小时，标配5V充电器，</w:t>
            </w:r>
            <w:r>
              <w:rPr>
                <w:rFonts w:hint="eastAsia" w:ascii="宋体" w:hAnsi="宋体" w:cs="宋体"/>
                <w:color w:val="auto"/>
                <w:highlight w:val="none"/>
              </w:rPr>
              <w:t>提供产品检测报告、功能截图或者产品彩页，并加盖供应商公章；</w:t>
            </w:r>
            <w:r>
              <w:rPr>
                <w:rFonts w:hint="eastAsia" w:ascii="宋体" w:hAnsi="宋体" w:cs="宋体"/>
                <w:color w:val="auto"/>
                <w:highlight w:val="none"/>
              </w:rPr>
              <w:br w:type="textWrapping"/>
            </w:r>
            <w:r>
              <w:rPr>
                <w:rFonts w:hint="eastAsia" w:ascii="宋体" w:hAnsi="宋体" w:cs="宋体"/>
                <w:color w:val="auto"/>
                <w:highlight w:val="none"/>
              </w:rPr>
              <w:t>9.锂电池容量：1000ah，咪芯指向性：心形指向，拾音灵敏度：-47Db，UHF频率范围：612MHZ-692MHZ频段，频率响应：100-10KHz，信噪比：≥65dB。</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无线会议话筒嵌入软件</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1.软件内嵌于会议话筒，实现会议话筒的各项基本功能的运行；</w:t>
            </w:r>
            <w:r>
              <w:rPr>
                <w:rFonts w:hint="eastAsia" w:ascii="宋体" w:hAnsi="宋体" w:cs="宋体"/>
                <w:color w:val="auto"/>
                <w:highlight w:val="none"/>
              </w:rPr>
              <w:br w:type="textWrapping"/>
            </w:r>
            <w:r>
              <w:rPr>
                <w:rFonts w:hint="eastAsia" w:ascii="宋体" w:hAnsi="宋体" w:cs="宋体"/>
                <w:color w:val="auto"/>
                <w:highlight w:val="none"/>
              </w:rPr>
              <w:t>2.与会议主机进行连接，读取数据；</w:t>
            </w:r>
            <w:r>
              <w:rPr>
                <w:rFonts w:hint="eastAsia" w:ascii="宋体" w:hAnsi="宋体" w:cs="宋体"/>
                <w:color w:val="auto"/>
                <w:highlight w:val="none"/>
              </w:rPr>
              <w:br w:type="textWrapping"/>
            </w:r>
            <w:r>
              <w:rPr>
                <w:rFonts w:hint="eastAsia" w:ascii="宋体" w:hAnsi="宋体" w:cs="宋体"/>
                <w:color w:val="auto"/>
                <w:highlight w:val="none"/>
              </w:rPr>
              <w:t>3.接受会议主机控制。</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无线会议代表话筒</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1.话筒表面使用哑光黑玻璃面板；</w:t>
            </w:r>
            <w:r>
              <w:rPr>
                <w:rFonts w:hint="eastAsia" w:ascii="宋体" w:hAnsi="宋体" w:cs="宋体"/>
                <w:color w:val="auto"/>
                <w:highlight w:val="none"/>
              </w:rPr>
              <w:br w:type="textWrapping"/>
            </w:r>
            <w:r>
              <w:rPr>
                <w:rFonts w:hint="eastAsia" w:ascii="宋体" w:hAnsi="宋体" w:cs="宋体"/>
                <w:color w:val="auto"/>
                <w:highlight w:val="none"/>
              </w:rPr>
              <w:t>2.话筒开关使用橡胶开关按键，轻微机械声特点，配圆形高亮指示灯；</w:t>
            </w:r>
            <w:r>
              <w:rPr>
                <w:rFonts w:hint="eastAsia" w:ascii="宋体" w:hAnsi="宋体" w:cs="宋体"/>
                <w:color w:val="auto"/>
                <w:highlight w:val="none"/>
              </w:rPr>
              <w:br w:type="textWrapping"/>
            </w:r>
            <w:r>
              <w:rPr>
                <w:rFonts w:hint="eastAsia" w:ascii="宋体" w:hAnsi="宋体" w:cs="宋体"/>
                <w:color w:val="auto"/>
                <w:highlight w:val="none"/>
              </w:rPr>
              <w:t>3.单一高指向性电容咪芯，可插拔式短杆话筒；</w:t>
            </w:r>
            <w:r>
              <w:rPr>
                <w:rFonts w:hint="eastAsia" w:ascii="宋体" w:hAnsi="宋体" w:cs="宋体"/>
                <w:color w:val="auto"/>
                <w:highlight w:val="none"/>
              </w:rPr>
              <w:br w:type="textWrapping"/>
            </w:r>
            <w:r>
              <w:rPr>
                <w:rFonts w:hint="eastAsia" w:ascii="宋体" w:hAnsi="宋体" w:cs="宋体"/>
                <w:color w:val="auto"/>
                <w:highlight w:val="none"/>
              </w:rPr>
              <w:t xml:space="preserve">4.话筒具备高强度防手机电磁波干扰设计，防止手机干扰噪音邻频干扰抑制； </w:t>
            </w:r>
          </w:p>
          <w:p>
            <w:pPr>
              <w:pStyle w:val="146"/>
              <w:jc w:val="left"/>
              <w:rPr>
                <w:rFonts w:ascii="宋体" w:hAnsi="宋体" w:cs="宋体"/>
                <w:color w:val="auto"/>
                <w:highlight w:val="none"/>
              </w:rPr>
            </w:pPr>
            <w:r>
              <w:rPr>
                <w:rFonts w:hint="eastAsia" w:ascii="宋体" w:hAnsi="宋体" w:cs="宋体"/>
                <w:color w:val="auto"/>
                <w:highlight w:val="none"/>
              </w:rPr>
              <w:t>5.统一系列的手持麦克风和会议座单元可混合使用，手持话筒打开时会自动加入会议模式，手持话筒同样受会议模式数量限制</w:t>
            </w:r>
            <w:r>
              <w:rPr>
                <w:rFonts w:hint="eastAsia" w:ascii="宋体" w:hAnsi="宋体" w:cs="宋体"/>
                <w:color w:val="auto"/>
                <w:highlight w:val="none"/>
              </w:rPr>
              <w:t>；</w:t>
            </w:r>
            <w:r>
              <w:rPr>
                <w:rFonts w:hint="eastAsia" w:ascii="宋体" w:hAnsi="宋体" w:cs="宋体"/>
                <w:color w:val="auto"/>
                <w:highlight w:val="none"/>
              </w:rPr>
              <w:br w:type="textWrapping"/>
            </w:r>
            <w:r>
              <w:rPr>
                <w:rFonts w:hint="eastAsia" w:ascii="宋体" w:hAnsi="宋体" w:cs="宋体"/>
                <w:color w:val="auto"/>
                <w:highlight w:val="none"/>
              </w:rPr>
              <w:t>6.受主席话筒控制；</w:t>
            </w:r>
            <w:r>
              <w:rPr>
                <w:rFonts w:hint="eastAsia" w:ascii="宋体" w:hAnsi="宋体" w:cs="宋体"/>
                <w:color w:val="auto"/>
                <w:highlight w:val="none"/>
              </w:rPr>
              <w:br w:type="textWrapping"/>
            </w:r>
            <w:r>
              <w:rPr>
                <w:rFonts w:hint="eastAsia" w:ascii="宋体" w:hAnsi="宋体" w:cs="宋体"/>
                <w:color w:val="auto"/>
                <w:highlight w:val="none"/>
              </w:rPr>
              <w:t>7.话筒具有OLED显示屏，实时显示话筒状态：剩余电量、ID号、使用频道以及发言时间计算</w:t>
            </w:r>
            <w:r>
              <w:rPr>
                <w:rFonts w:hint="eastAsia" w:ascii="宋体" w:hAnsi="宋体" w:cs="宋体"/>
                <w:color w:val="auto"/>
                <w:highlight w:val="none"/>
              </w:rPr>
              <w:t>；</w:t>
            </w:r>
            <w:r>
              <w:rPr>
                <w:rFonts w:hint="eastAsia" w:ascii="宋体" w:hAnsi="宋体" w:cs="宋体"/>
                <w:color w:val="auto"/>
                <w:highlight w:val="none"/>
              </w:rPr>
              <w:br w:type="textWrapping"/>
            </w:r>
            <w:r>
              <w:rPr>
                <w:rFonts w:hint="eastAsia" w:ascii="宋体" w:hAnsi="宋体" w:cs="宋体"/>
                <w:color w:val="auto"/>
                <w:highlight w:val="none"/>
              </w:rPr>
              <w:t>8.内置大容量充电式锂电池，Type-C接口，移动充电宝也可以充电，一次充电可连续使用时间达15小时，标配5V充电器；</w:t>
            </w:r>
          </w:p>
          <w:p>
            <w:pPr>
              <w:pStyle w:val="146"/>
              <w:jc w:val="left"/>
              <w:rPr>
                <w:rFonts w:ascii="宋体" w:hAnsi="宋体" w:cs="宋体"/>
                <w:color w:val="auto"/>
                <w:highlight w:val="none"/>
              </w:rPr>
            </w:pPr>
            <w:r>
              <w:rPr>
                <w:rFonts w:hint="eastAsia" w:ascii="宋体" w:hAnsi="宋体" w:cs="宋体"/>
                <w:color w:val="auto"/>
                <w:highlight w:val="none"/>
              </w:rPr>
              <w:t>9.锂电池容量：1000ah，咪芯指向性：心形指向，拾音灵敏度：-47Db，UHF频率范围：</w:t>
            </w:r>
          </w:p>
          <w:p>
            <w:pPr>
              <w:pStyle w:val="146"/>
              <w:jc w:val="left"/>
              <w:rPr>
                <w:rFonts w:ascii="宋体" w:hAnsi="宋体" w:cs="宋体"/>
                <w:color w:val="auto"/>
                <w:highlight w:val="none"/>
              </w:rPr>
            </w:pPr>
            <w:r>
              <w:rPr>
                <w:rFonts w:hint="eastAsia" w:ascii="宋体" w:hAnsi="宋体" w:cs="宋体"/>
                <w:color w:val="auto"/>
                <w:highlight w:val="none"/>
              </w:rPr>
              <w:t>10. 612MHZ-692MHZ频段，频率响应：</w:t>
            </w:r>
          </w:p>
          <w:p>
            <w:pPr>
              <w:pStyle w:val="146"/>
              <w:jc w:val="left"/>
              <w:rPr>
                <w:rFonts w:ascii="宋体" w:hAnsi="宋体" w:cs="宋体"/>
                <w:color w:val="auto"/>
                <w:highlight w:val="none"/>
              </w:rPr>
            </w:pPr>
            <w:r>
              <w:rPr>
                <w:rFonts w:hint="eastAsia" w:ascii="宋体" w:hAnsi="宋体" w:cs="宋体"/>
                <w:color w:val="auto"/>
                <w:highlight w:val="none"/>
              </w:rPr>
              <w:t>11. 100-10KHz，信噪比：≥65dB。</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6</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无线会议话筒嵌入软件</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1.软件内嵌于会议话筒，实现会议话筒的各项基本功能的运行；</w:t>
            </w:r>
            <w:r>
              <w:rPr>
                <w:rFonts w:hint="eastAsia" w:ascii="宋体" w:hAnsi="宋体" w:cs="宋体"/>
                <w:color w:val="auto"/>
                <w:highlight w:val="none"/>
              </w:rPr>
              <w:br w:type="textWrapping"/>
            </w:r>
            <w:r>
              <w:rPr>
                <w:rFonts w:hint="eastAsia" w:ascii="宋体" w:hAnsi="宋体" w:cs="宋体"/>
                <w:color w:val="auto"/>
                <w:highlight w:val="none"/>
              </w:rPr>
              <w:t>2.与会议主机进行连接，读取数据；</w:t>
            </w:r>
            <w:r>
              <w:rPr>
                <w:rFonts w:hint="eastAsia" w:ascii="宋体" w:hAnsi="宋体" w:cs="宋体"/>
                <w:color w:val="auto"/>
                <w:highlight w:val="none"/>
              </w:rPr>
              <w:br w:type="textWrapping"/>
            </w:r>
            <w:r>
              <w:rPr>
                <w:rFonts w:hint="eastAsia" w:ascii="宋体" w:hAnsi="宋体" w:cs="宋体"/>
                <w:color w:val="auto"/>
                <w:highlight w:val="none"/>
              </w:rPr>
              <w:t>3.接受会议主机控制。</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7</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数字反馈抑制器</w:t>
            </w:r>
          </w:p>
        </w:tc>
        <w:tc>
          <w:tcPr>
            <w:tcW w:w="2741" w:type="pct"/>
            <w:shd w:val="clear" w:color="auto" w:fill="auto"/>
            <w:noWrap/>
            <w:vAlign w:val="bottom"/>
          </w:tcPr>
          <w:p>
            <w:pPr>
              <w:pStyle w:val="146"/>
              <w:jc w:val="left"/>
              <w:rPr>
                <w:rFonts w:ascii="宋体" w:hAnsi="宋体" w:cs="宋体"/>
                <w:color w:val="auto"/>
                <w:highlight w:val="none"/>
              </w:rPr>
            </w:pPr>
            <w:r>
              <w:rPr>
                <w:rFonts w:hint="eastAsia" w:ascii="宋体" w:hAnsi="宋体" w:cs="宋体"/>
                <w:color w:val="auto"/>
                <w:highlight w:val="none"/>
              </w:rPr>
              <w:t>1.内置24Bit  A/D、D/A转换；24位DSP处理器，48KHz高速采样。采用高速浮点；</w:t>
            </w:r>
            <w:r>
              <w:rPr>
                <w:rFonts w:hint="eastAsia" w:ascii="宋体" w:hAnsi="宋体" w:cs="宋体"/>
                <w:color w:val="auto"/>
                <w:highlight w:val="none"/>
              </w:rPr>
              <w:br w:type="textWrapping"/>
            </w:r>
            <w:r>
              <w:rPr>
                <w:rFonts w:hint="eastAsia" w:ascii="宋体" w:hAnsi="宋体" w:cs="宋体"/>
                <w:color w:val="auto"/>
                <w:highlight w:val="none"/>
              </w:rPr>
              <w:t xml:space="preserve">2. 子带（Sub-Band) 回声消除（Echo cancellation)技术； </w:t>
            </w:r>
            <w:r>
              <w:rPr>
                <w:rFonts w:hint="eastAsia" w:ascii="宋体" w:hAnsi="宋体" w:cs="宋体"/>
                <w:color w:val="auto"/>
                <w:highlight w:val="none"/>
              </w:rPr>
              <w:br w:type="textWrapping"/>
            </w:r>
            <w:r>
              <w:rPr>
                <w:rFonts w:hint="eastAsia" w:ascii="宋体" w:hAnsi="宋体" w:cs="宋体"/>
                <w:color w:val="auto"/>
                <w:highlight w:val="none"/>
              </w:rPr>
              <w:t>3.全自动化操作的工作方式，免人工调试，精准可靠使用简单；</w:t>
            </w:r>
            <w:r>
              <w:rPr>
                <w:rFonts w:hint="eastAsia" w:ascii="宋体" w:hAnsi="宋体" w:cs="宋体"/>
                <w:color w:val="auto"/>
                <w:highlight w:val="none"/>
              </w:rPr>
              <w:br w:type="textWrapping"/>
            </w:r>
            <w:r>
              <w:rPr>
                <w:rFonts w:hint="eastAsia" w:ascii="宋体" w:hAnsi="宋体" w:cs="宋体"/>
                <w:color w:val="auto"/>
                <w:highlight w:val="none"/>
              </w:rPr>
              <w:t xml:space="preserve">4. 自适应动态噪声滤波器； </w:t>
            </w:r>
            <w:r>
              <w:rPr>
                <w:rFonts w:hint="eastAsia" w:ascii="宋体" w:hAnsi="宋体" w:cs="宋体"/>
                <w:color w:val="auto"/>
                <w:highlight w:val="none"/>
              </w:rPr>
              <w:br w:type="textWrapping"/>
            </w:r>
            <w:r>
              <w:rPr>
                <w:rFonts w:hint="eastAsia" w:ascii="宋体" w:hAnsi="宋体" w:cs="宋体"/>
                <w:color w:val="auto"/>
                <w:highlight w:val="none"/>
              </w:rPr>
              <w:t xml:space="preserve">5.AGC自动增益控制； </w:t>
            </w:r>
            <w:r>
              <w:rPr>
                <w:rFonts w:hint="eastAsia" w:ascii="宋体" w:hAnsi="宋体" w:cs="宋体"/>
                <w:color w:val="auto"/>
                <w:highlight w:val="none"/>
              </w:rPr>
              <w:br w:type="textWrapping"/>
            </w:r>
            <w:r>
              <w:rPr>
                <w:rFonts w:hint="eastAsia" w:ascii="宋体" w:hAnsi="宋体" w:cs="宋体"/>
                <w:color w:val="auto"/>
                <w:highlight w:val="none"/>
              </w:rPr>
              <w:t>6.内置数字高低通调节控制，可限制语音频响；</w:t>
            </w:r>
            <w:r>
              <w:rPr>
                <w:rFonts w:hint="eastAsia" w:ascii="宋体" w:hAnsi="宋体" w:cs="宋体"/>
                <w:color w:val="auto"/>
                <w:highlight w:val="none"/>
              </w:rPr>
              <w:br w:type="textWrapping"/>
            </w:r>
            <w:r>
              <w:rPr>
                <w:rFonts w:hint="eastAsia" w:ascii="宋体" w:hAnsi="宋体" w:cs="宋体"/>
                <w:color w:val="auto"/>
                <w:highlight w:val="none"/>
              </w:rPr>
              <w:t xml:space="preserve">7.内置数字压限器:可提高拾音的距离； </w:t>
            </w:r>
            <w:r>
              <w:rPr>
                <w:rFonts w:hint="eastAsia" w:ascii="宋体" w:hAnsi="宋体" w:cs="宋体"/>
                <w:color w:val="auto"/>
                <w:highlight w:val="none"/>
              </w:rPr>
              <w:br w:type="textWrapping"/>
            </w:r>
            <w:r>
              <w:rPr>
                <w:rFonts w:hint="eastAsia" w:ascii="宋体" w:hAnsi="宋体" w:cs="宋体"/>
                <w:color w:val="auto"/>
                <w:highlight w:val="none"/>
              </w:rPr>
              <w:t>8.内置10段图示均衡器：频率控制更精确； 9.各功能可通过本机或连接电脑设置；</w:t>
            </w:r>
            <w:r>
              <w:rPr>
                <w:rFonts w:hint="eastAsia" w:ascii="宋体" w:hAnsi="宋体" w:cs="宋体"/>
                <w:color w:val="auto"/>
                <w:highlight w:val="none"/>
              </w:rPr>
              <w:br w:type="textWrapping"/>
            </w:r>
            <w:r>
              <w:rPr>
                <w:rFonts w:hint="eastAsia" w:ascii="宋体" w:hAnsi="宋体" w:cs="宋体"/>
                <w:color w:val="auto"/>
                <w:highlight w:val="none"/>
              </w:rPr>
              <w:t>10.2路XLR和2路TRS输入、输出；</w:t>
            </w:r>
            <w:r>
              <w:rPr>
                <w:rFonts w:hint="eastAsia" w:ascii="宋体" w:hAnsi="宋体" w:cs="宋体"/>
                <w:color w:val="auto"/>
                <w:highlight w:val="none"/>
              </w:rPr>
              <w:br w:type="textWrapping"/>
            </w:r>
            <w:r>
              <w:rPr>
                <w:rFonts w:hint="eastAsia" w:ascii="宋体" w:hAnsi="宋体" w:cs="宋体"/>
                <w:color w:val="auto"/>
                <w:highlight w:val="none"/>
              </w:rPr>
              <w:t>11.线路输入阻抗:22K，频响: 40Hz-20KHz(+2dB)，失真度：≤0.1%，底噪声：≤1mV，增益提升：6-15dB；</w:t>
            </w:r>
            <w:r>
              <w:rPr>
                <w:rFonts w:hint="eastAsia" w:ascii="宋体" w:hAnsi="宋体" w:cs="宋体"/>
                <w:color w:val="auto"/>
                <w:highlight w:val="none"/>
              </w:rPr>
              <w:br w:type="textWrapping"/>
            </w:r>
            <w:r>
              <w:rPr>
                <w:rFonts w:hint="eastAsia" w:ascii="宋体" w:hAnsi="宋体" w:cs="宋体"/>
                <w:color w:val="auto"/>
                <w:highlight w:val="none"/>
              </w:rPr>
              <w:t>12.配合运维管理终端设备，可与运维平台对接，实时显示噪声门、低切、高通、功率、工作电压信息并对以上设置进行实时预警报警。</w:t>
            </w:r>
            <w:r>
              <w:rPr>
                <w:rFonts w:hint="eastAsia" w:ascii="宋体" w:hAnsi="宋体" w:cs="宋体"/>
                <w:color w:val="auto"/>
                <w:highlight w:val="none"/>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64920" cy="754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90"/>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264920" cy="754380"/>
                  <wp:effectExtent l="0" t="0" r="0" b="0"/>
                  <wp:wrapNone/>
                  <wp:docPr id="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264920" cy="754380"/>
                  <wp:effectExtent l="0" t="0" r="0" b="0"/>
                  <wp:wrapNone/>
                  <wp:docPr id="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264920" cy="754380"/>
                  <wp:effectExtent l="0" t="0" r="0" b="0"/>
                  <wp:wrapNone/>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264920" cy="754380"/>
                  <wp:effectExtent l="0" t="0" r="0" b="0"/>
                  <wp:wrapNone/>
                  <wp:docPr id="4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6"/>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264920" cy="754380"/>
                  <wp:effectExtent l="0" t="0" r="0" b="0"/>
                  <wp:wrapNone/>
                  <wp:docPr id="4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7"/>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264920" cy="754380"/>
                  <wp:effectExtent l="0" t="0" r="0" b="0"/>
                  <wp:wrapNone/>
                  <wp:docPr id="4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8"/>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264920" cy="754380"/>
                  <wp:effectExtent l="0" t="0" r="0" b="0"/>
                  <wp:wrapNone/>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264920" cy="754380"/>
                  <wp:effectExtent l="0" t="0" r="0" b="0"/>
                  <wp:wrapNone/>
                  <wp:docPr id="4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0"/>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264920" cy="754380"/>
                  <wp:effectExtent l="0" t="0" r="0" b="0"/>
                  <wp:wrapNone/>
                  <wp:docPr id="4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1"/>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264920" cy="754380"/>
                  <wp:effectExtent l="0" t="0" r="0" b="0"/>
                  <wp:wrapNone/>
                  <wp:docPr id="4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2"/>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264920" cy="754380"/>
                  <wp:effectExtent l="0" t="0" r="0" b="0"/>
                  <wp:wrapNone/>
                  <wp:docPr id="4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3"/>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264920" cy="754380"/>
                  <wp:effectExtent l="0" t="0" r="0" b="0"/>
                  <wp:wrapNone/>
                  <wp:docPr id="4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4"/>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264920" cy="754380"/>
                  <wp:effectExtent l="0" t="0" r="0" b="0"/>
                  <wp:wrapNone/>
                  <wp:docPr id="4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5"/>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264920" cy="754380"/>
                  <wp:effectExtent l="0" t="0" r="0" b="0"/>
                  <wp:wrapNone/>
                  <wp:docPr id="3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6"/>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264920" cy="754380"/>
                  <wp:effectExtent l="0" t="0" r="0" b="0"/>
                  <wp:wrapNone/>
                  <wp:docPr id="3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7"/>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264920" cy="754380"/>
                  <wp:effectExtent l="0" t="0" r="0" b="0"/>
                  <wp:wrapNone/>
                  <wp:docPr id="3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8"/>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264920" cy="754380"/>
                  <wp:effectExtent l="0" t="0" r="0" b="0"/>
                  <wp:wrapNone/>
                  <wp:docPr id="3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9"/>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264920" cy="754380"/>
                  <wp:effectExtent l="0" t="0" r="0" b="0"/>
                  <wp:wrapNone/>
                  <wp:docPr id="3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0"/>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264920" cy="754380"/>
                  <wp:effectExtent l="0" t="0" r="0" b="0"/>
                  <wp:wrapNone/>
                  <wp:docPr id="3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1"/>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264920" cy="754380"/>
                  <wp:effectExtent l="0" t="0" r="0" b="0"/>
                  <wp:wrapNone/>
                  <wp:docPr id="3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2"/>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264920" cy="754380"/>
                  <wp:effectExtent l="0" t="0" r="0" b="0"/>
                  <wp:wrapNone/>
                  <wp:docPr id="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3"/>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264920" cy="754380"/>
                  <wp:effectExtent l="0" t="0" r="0" b="0"/>
                  <wp:wrapNone/>
                  <wp:docPr id="3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4"/>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264920" cy="754380"/>
                  <wp:effectExtent l="0" t="0" r="0" b="0"/>
                  <wp:wrapNone/>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264920" cy="754380"/>
                  <wp:effectExtent l="0" t="0" r="0" b="0"/>
                  <wp:wrapNone/>
                  <wp:docPr id="2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6"/>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264920" cy="754380"/>
                  <wp:effectExtent l="0" t="0" r="0" b="0"/>
                  <wp:wrapNone/>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264920" cy="754380"/>
                  <wp:effectExtent l="0" t="0" r="0" b="0"/>
                  <wp:wrapNone/>
                  <wp:docPr id="2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8"/>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264920" cy="754380"/>
                  <wp:effectExtent l="0" t="0" r="0" b="0"/>
                  <wp:wrapNone/>
                  <wp:docPr id="2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9"/>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264920" cy="754380"/>
                  <wp:effectExtent l="0" t="0" r="0" b="0"/>
                  <wp:wrapNone/>
                  <wp:docPr id="2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0"/>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264920" cy="754380"/>
                  <wp:effectExtent l="0" t="0" r="0" b="0"/>
                  <wp:wrapNone/>
                  <wp:docPr id="2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1"/>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264920" cy="754380"/>
                  <wp:effectExtent l="0" t="0" r="0" b="0"/>
                  <wp:wrapNone/>
                  <wp:docPr id="2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2"/>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264920" cy="754380"/>
                  <wp:effectExtent l="0" t="0" r="0" b="0"/>
                  <wp:wrapNone/>
                  <wp:docPr id="2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3"/>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264920" cy="754380"/>
                  <wp:effectExtent l="0" t="0" r="0" b="0"/>
                  <wp:wrapNone/>
                  <wp:docPr id="2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4"/>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264920" cy="754380"/>
                  <wp:effectExtent l="0" t="0" r="0" b="0"/>
                  <wp:wrapNone/>
                  <wp:docPr id="2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5"/>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264920" cy="754380"/>
                  <wp:effectExtent l="0" t="0" r="0" b="0"/>
                  <wp:wrapNone/>
                  <wp:docPr id="1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6"/>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264920" cy="754380"/>
                  <wp:effectExtent l="0" t="0" r="0" b="0"/>
                  <wp:wrapNone/>
                  <wp:docPr id="1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7"/>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264920" cy="754380"/>
                  <wp:effectExtent l="0" t="0" r="0" b="0"/>
                  <wp:wrapNone/>
                  <wp:docPr id="1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8"/>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264920" cy="754380"/>
                  <wp:effectExtent l="0" t="0" r="0" b="0"/>
                  <wp:wrapNone/>
                  <wp:docPr id="16"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9"/>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1264920" cy="754380"/>
                  <wp:effectExtent l="0" t="0" r="0" b="0"/>
                  <wp:wrapNone/>
                  <wp:docPr id="1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0"/>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1264920" cy="754380"/>
                  <wp:effectExtent l="0" t="0" r="0" b="0"/>
                  <wp:wrapNone/>
                  <wp:docPr id="14"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1"/>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1264920" cy="754380"/>
                  <wp:effectExtent l="0" t="0" r="0" b="0"/>
                  <wp:wrapNone/>
                  <wp:docPr id="1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2"/>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1264920" cy="754380"/>
                  <wp:effectExtent l="0" t="0" r="0" b="0"/>
                  <wp:wrapNone/>
                  <wp:docPr id="1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3"/>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1264920" cy="754380"/>
                  <wp:effectExtent l="0" t="0" r="0" b="0"/>
                  <wp:wrapNone/>
                  <wp:docPr id="1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4"/>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1264920" cy="754380"/>
                  <wp:effectExtent l="0" t="0" r="0" b="0"/>
                  <wp:wrapNone/>
                  <wp:docPr id="10"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5"/>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1264920" cy="754380"/>
                  <wp:effectExtent l="0" t="0" r="0" b="0"/>
                  <wp:wrapNone/>
                  <wp:docPr id="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6"/>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1264920" cy="754380"/>
                  <wp:effectExtent l="0" t="0" r="0" b="0"/>
                  <wp:wrapNone/>
                  <wp:docPr id="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7"/>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1264920" cy="754380"/>
                  <wp:effectExtent l="0" t="0" r="0" b="0"/>
                  <wp:wrapNone/>
                  <wp:docPr id="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8"/>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1264920" cy="754380"/>
                  <wp:effectExtent l="0" t="0" r="0" b="0"/>
                  <wp:wrapNone/>
                  <wp:docPr id="6"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9"/>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1264920" cy="754380"/>
                  <wp:effectExtent l="0" t="0" r="0" b="0"/>
                  <wp:wrapNone/>
                  <wp:docPr id="5"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0"/>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1264920" cy="754380"/>
                  <wp:effectExtent l="0" t="0" r="0" b="0"/>
                  <wp:wrapNone/>
                  <wp:docPr id="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1"/>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1264920" cy="754380"/>
                  <wp:effectExtent l="0" t="0" r="0" b="0"/>
                  <wp:wrapNone/>
                  <wp:docPr id="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2"/>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1264920" cy="754380"/>
                  <wp:effectExtent l="0" t="0" r="0" b="0"/>
                  <wp:wrapNone/>
                  <wp:docPr id="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3"/>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r>
              <w:rPr>
                <w:rFonts w:hint="eastAsia" w:ascii="宋体" w:hAnsi="宋体" w:cs="宋体"/>
                <w:color w:val="auto"/>
                <w:highlight w:val="none"/>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1264920" cy="754380"/>
                  <wp:effectExtent l="0" t="0" r="0" b="0"/>
                  <wp:wrapNone/>
                  <wp:docPr id="1"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4"/>
                          <pic:cNvPicPr>
                            <a:picLocks noChangeAspect="1"/>
                          </pic:cNvPicPr>
                        </pic:nvPicPr>
                        <pic:blipFill>
                          <a:blip r:embed="rId7"/>
                          <a:stretch>
                            <a:fillRect/>
                          </a:stretch>
                        </pic:blipFill>
                        <pic:spPr>
                          <a:xfrm>
                            <a:off x="0" y="0"/>
                            <a:ext cx="1264920" cy="754380"/>
                          </a:xfrm>
                          <a:prstGeom prst="rect">
                            <a:avLst/>
                          </a:prstGeom>
                          <a:noFill/>
                          <a:ln>
                            <a:noFill/>
                          </a:ln>
                        </pic:spPr>
                      </pic:pic>
                    </a:graphicData>
                  </a:graphic>
                </wp:anchor>
              </w:drawing>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8</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3.5立体声对双莲花线</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3.5立体声对双莲花连接线黑色L=1.5m。</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条</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9</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卡侬公对卡侬母线</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卡侬公对卡侬母连接线黑色L=1.5m。</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条</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10</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卡侬公对6.35单声道线</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卡侬公对6.35单声道黑色L=1.5m。</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条</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三、</w:t>
            </w:r>
          </w:p>
        </w:tc>
        <w:tc>
          <w:tcPr>
            <w:tcW w:w="712"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应用基础软件</w:t>
            </w:r>
          </w:p>
        </w:tc>
        <w:tc>
          <w:tcPr>
            <w:tcW w:w="2741" w:type="pct"/>
            <w:shd w:val="clear" w:color="auto" w:fill="auto"/>
            <w:vAlign w:val="center"/>
          </w:tcPr>
          <w:p>
            <w:pPr>
              <w:pStyle w:val="146"/>
              <w:jc w:val="left"/>
              <w:rPr>
                <w:rFonts w:ascii="宋体" w:hAnsi="宋体" w:cs="宋体"/>
                <w:b/>
                <w:bCs w:val="0"/>
                <w:color w:val="auto"/>
                <w:highlight w:val="none"/>
              </w:rPr>
            </w:pPr>
          </w:p>
        </w:tc>
        <w:tc>
          <w:tcPr>
            <w:tcW w:w="416"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w:t>
            </w:r>
          </w:p>
        </w:tc>
        <w:tc>
          <w:tcPr>
            <w:tcW w:w="375"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w:t>
            </w:r>
          </w:p>
        </w:tc>
        <w:tc>
          <w:tcPr>
            <w:tcW w:w="320" w:type="pct"/>
            <w:vAlign w:val="center"/>
          </w:tcPr>
          <w:p>
            <w:pPr>
              <w:pStyle w:val="146"/>
              <w:rPr>
                <w:rFonts w:ascii="宋体" w:hAnsi="宋体" w:cs="宋体"/>
                <w:b/>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听证系统</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听证创建：系统应支持创建一次新的听证功能，创建须包括案件信息、听证主持人、听证主要内容、听证时间、听证地点等基本信息；</w:t>
            </w:r>
          </w:p>
          <w:p>
            <w:pPr>
              <w:pStyle w:val="146"/>
              <w:jc w:val="left"/>
              <w:rPr>
                <w:rFonts w:ascii="宋体" w:hAnsi="宋体" w:cs="宋体"/>
                <w:color w:val="auto"/>
                <w:highlight w:val="none"/>
              </w:rPr>
            </w:pPr>
            <w:r>
              <w:rPr>
                <w:rFonts w:hint="eastAsia" w:ascii="宋体" w:hAnsi="宋体" w:cs="宋体"/>
                <w:color w:val="auto"/>
                <w:highlight w:val="none"/>
              </w:rPr>
              <w:t>2. 预听证列表：系统应支持对已经创建但未开展的听证活动进行管理；</w:t>
            </w:r>
          </w:p>
          <w:p>
            <w:pPr>
              <w:pStyle w:val="146"/>
              <w:jc w:val="left"/>
              <w:rPr>
                <w:rFonts w:ascii="宋体" w:hAnsi="宋体" w:cs="宋体"/>
                <w:color w:val="auto"/>
                <w:highlight w:val="none"/>
              </w:rPr>
            </w:pPr>
            <w:r>
              <w:rPr>
                <w:rFonts w:hint="eastAsia" w:ascii="宋体" w:hAnsi="宋体" w:cs="宋体"/>
                <w:color w:val="auto"/>
                <w:highlight w:val="none"/>
              </w:rPr>
              <w:t>3. 人员管理：系统应支持对参与听证的人员进行管理维护；</w:t>
            </w:r>
          </w:p>
          <w:p>
            <w:pPr>
              <w:pStyle w:val="146"/>
              <w:jc w:val="left"/>
              <w:rPr>
                <w:rFonts w:ascii="宋体" w:hAnsi="宋体" w:cs="宋体"/>
                <w:color w:val="auto"/>
                <w:highlight w:val="none"/>
              </w:rPr>
            </w:pPr>
            <w:r>
              <w:rPr>
                <w:rFonts w:hint="eastAsia" w:ascii="宋体" w:hAnsi="宋体" w:cs="宋体"/>
                <w:color w:val="auto"/>
                <w:highlight w:val="none"/>
              </w:rPr>
              <w:t>4. 听证通知：系统应支持短信方式向案件当事人或当事人的委托代理人发送听证通知，并支持短信模板编辑；</w:t>
            </w:r>
          </w:p>
          <w:p>
            <w:pPr>
              <w:pStyle w:val="146"/>
              <w:jc w:val="left"/>
              <w:rPr>
                <w:rFonts w:ascii="宋体" w:hAnsi="宋体" w:cs="宋体"/>
                <w:color w:val="auto"/>
                <w:highlight w:val="none"/>
              </w:rPr>
            </w:pPr>
            <w:r>
              <w:rPr>
                <w:rFonts w:hint="eastAsia" w:ascii="宋体" w:hAnsi="宋体" w:cs="宋体"/>
                <w:color w:val="auto"/>
                <w:highlight w:val="none"/>
              </w:rPr>
              <w:t>5. 材料上传：系统应支持对当事人或当事人的委托代理人提交的案件材料或听证现场所需展示的证据、法律文书等听证材料进行提前上传；</w:t>
            </w:r>
          </w:p>
          <w:p>
            <w:pPr>
              <w:pStyle w:val="146"/>
              <w:jc w:val="left"/>
              <w:rPr>
                <w:rFonts w:ascii="宋体" w:hAnsi="宋体" w:cs="宋体"/>
                <w:color w:val="auto"/>
                <w:highlight w:val="none"/>
              </w:rPr>
            </w:pPr>
            <w:r>
              <w:rPr>
                <w:rFonts w:hint="eastAsia" w:ascii="宋体" w:hAnsi="宋体" w:cs="宋体"/>
                <w:color w:val="auto"/>
                <w:highlight w:val="none"/>
              </w:rPr>
              <w:t>系统可对图片、扫描件、PDF材料、文档等上传的材料进行实时查看；</w:t>
            </w:r>
          </w:p>
          <w:p>
            <w:pPr>
              <w:pStyle w:val="146"/>
              <w:jc w:val="left"/>
              <w:rPr>
                <w:rFonts w:ascii="宋体" w:hAnsi="宋体" w:cs="宋体"/>
                <w:color w:val="auto"/>
                <w:highlight w:val="none"/>
              </w:rPr>
            </w:pPr>
            <w:r>
              <w:rPr>
                <w:rFonts w:hint="eastAsia" w:ascii="宋体" w:hAnsi="宋体" w:cs="宋体"/>
                <w:color w:val="auto"/>
                <w:highlight w:val="none"/>
              </w:rPr>
              <w:t>系统应支持上传的材料与听证案件进行关联保存；</w:t>
            </w:r>
          </w:p>
          <w:p>
            <w:pPr>
              <w:pStyle w:val="146"/>
              <w:jc w:val="left"/>
              <w:rPr>
                <w:rFonts w:ascii="宋体" w:hAnsi="宋体" w:cs="宋体"/>
                <w:color w:val="auto"/>
                <w:highlight w:val="none"/>
              </w:rPr>
            </w:pPr>
            <w:r>
              <w:rPr>
                <w:rFonts w:hint="eastAsia" w:ascii="宋体" w:hAnsi="宋体" w:cs="宋体"/>
                <w:color w:val="auto"/>
                <w:highlight w:val="none"/>
              </w:rPr>
              <w:t>系统应支持将听证材料数据化留存，为日后案件回溯提供数据支撑；</w:t>
            </w:r>
          </w:p>
          <w:p>
            <w:pPr>
              <w:pStyle w:val="146"/>
              <w:jc w:val="left"/>
              <w:rPr>
                <w:rFonts w:ascii="宋体" w:hAnsi="宋体" w:cs="宋体"/>
                <w:color w:val="auto"/>
                <w:highlight w:val="none"/>
              </w:rPr>
            </w:pPr>
            <w:r>
              <w:rPr>
                <w:rFonts w:hint="eastAsia" w:ascii="宋体" w:hAnsi="宋体" w:cs="宋体"/>
                <w:color w:val="auto"/>
                <w:highlight w:val="none"/>
              </w:rPr>
              <w:t>6. 席位安排：系统应支持以可视图形形式对人员席位进行调整；</w:t>
            </w:r>
          </w:p>
          <w:p>
            <w:pPr>
              <w:pStyle w:val="146"/>
              <w:jc w:val="left"/>
              <w:rPr>
                <w:rFonts w:ascii="宋体" w:hAnsi="宋体" w:cs="宋体"/>
                <w:color w:val="auto"/>
                <w:highlight w:val="none"/>
              </w:rPr>
            </w:pPr>
            <w:r>
              <w:rPr>
                <w:rFonts w:hint="eastAsia" w:ascii="宋体" w:hAnsi="宋体" w:cs="宋体"/>
                <w:color w:val="auto"/>
                <w:highlight w:val="none"/>
              </w:rPr>
              <w:t>7. 听证提纲：系统支持提供工具用于创建和管理各类听证活动的主持提纲；</w:t>
            </w:r>
          </w:p>
          <w:p>
            <w:pPr>
              <w:pStyle w:val="146"/>
              <w:jc w:val="left"/>
              <w:rPr>
                <w:rFonts w:ascii="宋体" w:hAnsi="宋体" w:cs="宋体"/>
                <w:color w:val="auto"/>
                <w:highlight w:val="none"/>
              </w:rPr>
            </w:pPr>
            <w:r>
              <w:rPr>
                <w:rFonts w:hint="eastAsia" w:ascii="宋体" w:hAnsi="宋体" w:cs="宋体"/>
                <w:color w:val="auto"/>
                <w:highlight w:val="none"/>
              </w:rPr>
              <w:t>8. 画面管理：系统应通过对接设备，对输入和输出的视频画面、合成画面进行管理；</w:t>
            </w:r>
          </w:p>
          <w:p>
            <w:pPr>
              <w:pStyle w:val="146"/>
              <w:jc w:val="left"/>
              <w:rPr>
                <w:rFonts w:ascii="宋体" w:hAnsi="宋体" w:cs="宋体"/>
                <w:color w:val="auto"/>
                <w:highlight w:val="none"/>
              </w:rPr>
            </w:pPr>
            <w:r>
              <w:rPr>
                <w:rFonts w:hint="eastAsia" w:ascii="宋体" w:hAnsi="宋体" w:cs="宋体"/>
                <w:color w:val="auto"/>
                <w:highlight w:val="none"/>
              </w:rPr>
              <w:t>9. 听证主持： 系统应支持检察官使用预设的听证提纲对听证活动进行主持；</w:t>
            </w:r>
          </w:p>
          <w:p>
            <w:pPr>
              <w:pStyle w:val="146"/>
              <w:jc w:val="left"/>
              <w:rPr>
                <w:rFonts w:ascii="宋体" w:hAnsi="宋体" w:cs="宋体"/>
                <w:color w:val="auto"/>
                <w:highlight w:val="none"/>
              </w:rPr>
            </w:pPr>
            <w:r>
              <w:rPr>
                <w:rFonts w:hint="eastAsia" w:ascii="宋体" w:hAnsi="宋体" w:cs="宋体"/>
                <w:color w:val="auto"/>
                <w:highlight w:val="none"/>
              </w:rPr>
              <w:t xml:space="preserve"> 系统应支持将证据、法律文书等听证材料投送至听证室内大屏进行展示；</w:t>
            </w:r>
          </w:p>
          <w:p>
            <w:pPr>
              <w:pStyle w:val="146"/>
              <w:jc w:val="left"/>
              <w:rPr>
                <w:rFonts w:ascii="宋体" w:hAnsi="宋体" w:cs="宋体"/>
                <w:color w:val="auto"/>
                <w:highlight w:val="none"/>
              </w:rPr>
            </w:pPr>
            <w:r>
              <w:rPr>
                <w:rFonts w:hint="eastAsia" w:ascii="宋体" w:hAnsi="宋体" w:cs="宋体"/>
                <w:color w:val="auto"/>
                <w:highlight w:val="none"/>
              </w:rPr>
              <w:t>10. 听证笔录： 系统应支持为书记员提供笔录输入界面；</w:t>
            </w:r>
          </w:p>
          <w:p>
            <w:pPr>
              <w:pStyle w:val="146"/>
              <w:jc w:val="left"/>
              <w:rPr>
                <w:rFonts w:ascii="宋体" w:hAnsi="宋体" w:cs="宋体"/>
                <w:color w:val="auto"/>
                <w:highlight w:val="none"/>
              </w:rPr>
            </w:pPr>
            <w:r>
              <w:rPr>
                <w:rFonts w:hint="eastAsia" w:ascii="宋体" w:hAnsi="宋体" w:cs="宋体"/>
                <w:color w:val="auto"/>
                <w:highlight w:val="none"/>
              </w:rPr>
              <w:t>系统应支持笔录自动保存；</w:t>
            </w:r>
          </w:p>
          <w:p>
            <w:pPr>
              <w:pStyle w:val="146"/>
              <w:jc w:val="left"/>
              <w:rPr>
                <w:rFonts w:ascii="宋体" w:hAnsi="宋体" w:cs="宋体"/>
                <w:color w:val="auto"/>
                <w:highlight w:val="none"/>
              </w:rPr>
            </w:pPr>
            <w:r>
              <w:rPr>
                <w:rFonts w:hint="eastAsia" w:ascii="宋体" w:hAnsi="宋体" w:cs="宋体"/>
                <w:color w:val="auto"/>
                <w:highlight w:val="none"/>
              </w:rPr>
              <w:t>系统应支持对笔录进行电子签名捺印；</w:t>
            </w:r>
          </w:p>
          <w:p>
            <w:pPr>
              <w:pStyle w:val="146"/>
              <w:jc w:val="left"/>
              <w:rPr>
                <w:rFonts w:ascii="宋体" w:hAnsi="宋体" w:cs="宋体"/>
                <w:color w:val="auto"/>
                <w:highlight w:val="none"/>
              </w:rPr>
            </w:pPr>
            <w:r>
              <w:rPr>
                <w:rFonts w:hint="eastAsia" w:ascii="宋体" w:hAnsi="宋体" w:cs="宋体"/>
                <w:color w:val="auto"/>
                <w:highlight w:val="none"/>
              </w:rPr>
              <w:t>11. ★示证控制：系统应支持联动设备，在听证过程中对示证画面进行切换控制。提供产品检测报告、功能截图或者产品彩页，并加盖供应商公章；</w:t>
            </w:r>
          </w:p>
          <w:p>
            <w:pPr>
              <w:pStyle w:val="146"/>
              <w:jc w:val="left"/>
              <w:rPr>
                <w:rFonts w:ascii="宋体" w:hAnsi="宋体" w:cs="宋体"/>
                <w:color w:val="auto"/>
                <w:highlight w:val="none"/>
              </w:rPr>
            </w:pPr>
            <w:r>
              <w:rPr>
                <w:rFonts w:hint="eastAsia" w:ascii="宋体" w:hAnsi="宋体" w:cs="宋体"/>
                <w:color w:val="auto"/>
                <w:highlight w:val="none"/>
              </w:rPr>
              <w:t>12. 智能同录：系统应支持联动设备，控制视频开始录制和结束录制；</w:t>
            </w:r>
          </w:p>
          <w:p>
            <w:pPr>
              <w:pStyle w:val="146"/>
              <w:jc w:val="left"/>
              <w:rPr>
                <w:rFonts w:ascii="宋体" w:hAnsi="宋体" w:cs="宋体"/>
                <w:color w:val="auto"/>
                <w:highlight w:val="none"/>
              </w:rPr>
            </w:pPr>
            <w:r>
              <w:rPr>
                <w:rFonts w:hint="eastAsia" w:ascii="宋体" w:hAnsi="宋体" w:cs="宋体"/>
                <w:color w:val="auto"/>
                <w:highlight w:val="none"/>
              </w:rPr>
              <w:t>13. 历史听证：系统支持对历史听证进行归档及查询。</w:t>
            </w:r>
          </w:p>
          <w:p>
            <w:pPr>
              <w:pStyle w:val="146"/>
              <w:jc w:val="left"/>
              <w:rPr>
                <w:rFonts w:ascii="宋体" w:hAnsi="宋体" w:cs="宋体"/>
                <w:color w:val="auto"/>
                <w:highlight w:val="none"/>
              </w:rPr>
            </w:pPr>
            <w:r>
              <w:rPr>
                <w:rFonts w:hint="eastAsia" w:ascii="宋体" w:hAnsi="宋体" w:cs="宋体"/>
                <w:color w:val="auto"/>
                <w:highlight w:val="none"/>
              </w:rPr>
              <w:t>14. 听证报告制作： 系统应支持生成及编辑听证报告，听证活动结束后系统自动关联听证过程数据，生成听证报告模板，并提供报告编辑工具；</w:t>
            </w:r>
          </w:p>
          <w:p>
            <w:pPr>
              <w:pStyle w:val="146"/>
              <w:jc w:val="left"/>
              <w:rPr>
                <w:rFonts w:ascii="宋体" w:hAnsi="宋体" w:cs="宋体"/>
                <w:color w:val="auto"/>
                <w:highlight w:val="none"/>
              </w:rPr>
            </w:pPr>
            <w:r>
              <w:rPr>
                <w:rFonts w:hint="eastAsia" w:ascii="宋体" w:hAnsi="宋体" w:cs="宋体"/>
                <w:color w:val="auto"/>
                <w:highlight w:val="none"/>
              </w:rPr>
              <w:t>15. 数据上报： 系统应支持向上对接上级数据分析管理平台，上报本地每一次听证的基础信息数据；</w:t>
            </w:r>
          </w:p>
          <w:p>
            <w:pPr>
              <w:pStyle w:val="146"/>
              <w:jc w:val="left"/>
              <w:rPr>
                <w:rFonts w:ascii="宋体" w:hAnsi="宋体" w:cs="宋体"/>
                <w:color w:val="auto"/>
                <w:highlight w:val="none"/>
              </w:rPr>
            </w:pPr>
            <w:r>
              <w:rPr>
                <w:rFonts w:hint="eastAsia" w:ascii="宋体" w:hAnsi="宋体" w:cs="宋体"/>
                <w:color w:val="auto"/>
                <w:highlight w:val="none"/>
              </w:rPr>
              <w:t>16. 预案模板管理：系统应支持对预设的预案及用户创建的预案进行管理；</w:t>
            </w:r>
          </w:p>
          <w:p>
            <w:pPr>
              <w:pStyle w:val="146"/>
              <w:jc w:val="left"/>
              <w:rPr>
                <w:rFonts w:ascii="宋体" w:hAnsi="宋体" w:cs="宋体"/>
                <w:color w:val="auto"/>
                <w:highlight w:val="none"/>
              </w:rPr>
            </w:pPr>
            <w:r>
              <w:rPr>
                <w:rFonts w:hint="eastAsia" w:ascii="宋体" w:hAnsi="宋体" w:cs="宋体"/>
                <w:color w:val="auto"/>
                <w:highlight w:val="none"/>
              </w:rPr>
              <w:t>17. ★笔录模板生成：系统应支持从预案模板生成每次听证的笔录结构，提供产品检测报告、功能截图或者产品彩页，并加盖供应商公章；</w:t>
            </w:r>
          </w:p>
          <w:p>
            <w:pPr>
              <w:pStyle w:val="146"/>
              <w:jc w:val="left"/>
              <w:rPr>
                <w:rFonts w:ascii="宋体" w:hAnsi="宋体" w:cs="宋体"/>
                <w:color w:val="auto"/>
                <w:highlight w:val="none"/>
              </w:rPr>
            </w:pPr>
            <w:r>
              <w:rPr>
                <w:rFonts w:hint="eastAsia" w:ascii="宋体" w:hAnsi="宋体" w:cs="宋体"/>
                <w:color w:val="auto"/>
                <w:highlight w:val="none"/>
              </w:rPr>
              <w:t>18. 设备管理：系统支持对听证室内各类主要设备进行管理及配置。例如：系统可配置设备到对听证室、对设备进行命名操作、确认设备的连接状态、查看设备实时数据等；</w:t>
            </w:r>
          </w:p>
          <w:p>
            <w:pPr>
              <w:pStyle w:val="146"/>
              <w:jc w:val="left"/>
              <w:rPr>
                <w:rFonts w:ascii="宋体" w:hAnsi="宋体" w:cs="宋体"/>
                <w:color w:val="auto"/>
                <w:highlight w:val="none"/>
              </w:rPr>
            </w:pPr>
            <w:r>
              <w:rPr>
                <w:rFonts w:hint="eastAsia" w:ascii="宋体" w:hAnsi="宋体" w:cs="宋体"/>
                <w:color w:val="auto"/>
                <w:highlight w:val="none"/>
              </w:rPr>
              <w:t>19. 刻录管理：系统支持对同录主机的刻录记录进行管理；</w:t>
            </w:r>
          </w:p>
          <w:p>
            <w:pPr>
              <w:pStyle w:val="146"/>
              <w:jc w:val="left"/>
              <w:rPr>
                <w:rFonts w:ascii="宋体" w:hAnsi="宋体" w:cs="宋体"/>
                <w:color w:val="auto"/>
                <w:highlight w:val="none"/>
              </w:rPr>
            </w:pPr>
            <w:r>
              <w:rPr>
                <w:rFonts w:hint="eastAsia" w:ascii="宋体" w:hAnsi="宋体" w:cs="宋体"/>
                <w:color w:val="auto"/>
                <w:highlight w:val="none"/>
              </w:rPr>
              <w:t>20. 人员库管理：系统应支持对听证员、人民监督员等人员信息进行管理维护，并支持导入到听证人员中；</w:t>
            </w:r>
          </w:p>
          <w:p>
            <w:pPr>
              <w:pStyle w:val="146"/>
              <w:jc w:val="left"/>
              <w:rPr>
                <w:rFonts w:ascii="宋体" w:hAnsi="宋体" w:cs="宋体"/>
                <w:color w:val="auto"/>
                <w:highlight w:val="none"/>
              </w:rPr>
            </w:pPr>
            <w:r>
              <w:rPr>
                <w:rFonts w:hint="eastAsia" w:ascii="宋体" w:hAnsi="宋体" w:cs="宋体"/>
                <w:color w:val="auto"/>
                <w:highlight w:val="none"/>
              </w:rPr>
              <w:t>21. 自定义人员：系统应支持对自定义的人员类型进行管理；</w:t>
            </w:r>
          </w:p>
          <w:p>
            <w:pPr>
              <w:pStyle w:val="146"/>
              <w:jc w:val="left"/>
              <w:rPr>
                <w:rFonts w:ascii="宋体" w:hAnsi="宋体" w:cs="宋体"/>
                <w:color w:val="auto"/>
                <w:highlight w:val="none"/>
              </w:rPr>
            </w:pPr>
            <w:r>
              <w:rPr>
                <w:rFonts w:hint="eastAsia" w:ascii="宋体" w:hAnsi="宋体" w:cs="宋体"/>
                <w:color w:val="auto"/>
                <w:highlight w:val="none"/>
              </w:rPr>
              <w:t>22. ★系统应能够与统一业务应用系统2.0对接，实现案件信息、人员信息获取及文书回传。提供产品检测报告、功能截图或者产品彩页，并加盖供应商公章；</w:t>
            </w:r>
          </w:p>
          <w:p>
            <w:pPr>
              <w:pStyle w:val="146"/>
              <w:jc w:val="left"/>
              <w:rPr>
                <w:rFonts w:ascii="宋体" w:hAnsi="宋体" w:cs="宋体"/>
                <w:color w:val="auto"/>
                <w:highlight w:val="none"/>
              </w:rPr>
            </w:pPr>
            <w:r>
              <w:rPr>
                <w:rFonts w:hint="eastAsia" w:ascii="宋体" w:hAnsi="宋体" w:cs="宋体"/>
                <w:color w:val="auto"/>
                <w:highlight w:val="none"/>
              </w:rPr>
              <w:t>23. 系统扩展性：系统提供升级服务，可通过导入升级包进行版本更新或连接升级服务器进行版本升级；</w:t>
            </w:r>
          </w:p>
          <w:p>
            <w:pPr>
              <w:pStyle w:val="146"/>
              <w:jc w:val="left"/>
              <w:rPr>
                <w:rFonts w:ascii="宋体" w:hAnsi="宋体" w:cs="宋体"/>
                <w:color w:val="auto"/>
                <w:highlight w:val="none"/>
              </w:rPr>
            </w:pPr>
            <w:r>
              <w:rPr>
                <w:rFonts w:hint="eastAsia" w:ascii="宋体" w:hAnsi="宋体" w:cs="宋体"/>
                <w:color w:val="auto"/>
                <w:highlight w:val="none"/>
              </w:rPr>
              <w:t>24. ★听证系统能够与三家以上的硬件厂商的听证主机实现对接，提供听证系统原厂对接承诺函，加盖供应商公章。</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应用服务器</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1需搭配1颗 x86架构HYGON处理器，核数≥24核，主频≥2.2GHz；</w:t>
            </w:r>
            <w:r>
              <w:rPr>
                <w:rFonts w:hint="eastAsia" w:ascii="宋体" w:hAnsi="宋体" w:cs="宋体"/>
                <w:color w:val="auto"/>
                <w:highlight w:val="none"/>
              </w:rPr>
              <w:br w:type="textWrapping"/>
            </w:r>
            <w:r>
              <w:rPr>
                <w:rFonts w:hint="eastAsia" w:ascii="宋体" w:hAnsi="宋体" w:cs="宋体"/>
                <w:color w:val="auto"/>
                <w:highlight w:val="none"/>
              </w:rPr>
              <w:t>2. 需≥128G DDR4，16根内存插槽，最大支持扩展至2TB内存；</w:t>
            </w:r>
            <w:r>
              <w:rPr>
                <w:rFonts w:hint="eastAsia" w:ascii="宋体" w:hAnsi="宋体" w:cs="宋体"/>
                <w:color w:val="auto"/>
                <w:highlight w:val="none"/>
              </w:rPr>
              <w:br w:type="textWrapping"/>
            </w:r>
            <w:r>
              <w:rPr>
                <w:rFonts w:hint="eastAsia" w:ascii="宋体" w:hAnsi="宋体" w:cs="宋体"/>
                <w:color w:val="auto"/>
                <w:highlight w:val="none"/>
              </w:rPr>
              <w:t>3. 需≥4块600G SAS硬盘；支持≥12块3.5寸(兼容2.5寸)热插拔SATA/SAS硬盘，支持1个M.2插槽；</w:t>
            </w:r>
            <w:r>
              <w:rPr>
                <w:rFonts w:hint="eastAsia" w:ascii="宋体" w:hAnsi="宋体" w:cs="宋体"/>
                <w:color w:val="auto"/>
                <w:highlight w:val="none"/>
              </w:rPr>
              <w:br w:type="textWrapping"/>
            </w:r>
            <w:r>
              <w:rPr>
                <w:rFonts w:hint="eastAsia" w:ascii="宋体" w:hAnsi="宋体" w:cs="宋体"/>
                <w:color w:val="auto"/>
                <w:highlight w:val="none"/>
              </w:rPr>
              <w:t xml:space="preserve">4. 需支持SAS_HBA卡，支持RAID 0/1/10 ; </w:t>
            </w:r>
            <w:r>
              <w:rPr>
                <w:rFonts w:hint="eastAsia" w:ascii="宋体" w:hAnsi="宋体" w:cs="宋体"/>
                <w:color w:val="auto"/>
                <w:highlight w:val="none"/>
              </w:rPr>
              <w:br w:type="textWrapping"/>
            </w:r>
            <w:r>
              <w:rPr>
                <w:rFonts w:hint="eastAsia" w:ascii="宋体" w:hAnsi="宋体" w:cs="宋体"/>
                <w:color w:val="auto"/>
                <w:highlight w:val="none"/>
              </w:rPr>
              <w:t>5.需支持≥6个PCIe扩展插槽；</w:t>
            </w:r>
            <w:r>
              <w:rPr>
                <w:rFonts w:hint="eastAsia" w:ascii="宋体" w:hAnsi="宋体" w:cs="宋体"/>
                <w:color w:val="auto"/>
                <w:highlight w:val="none"/>
              </w:rPr>
              <w:br w:type="textWrapping"/>
            </w:r>
            <w:r>
              <w:rPr>
                <w:rFonts w:hint="eastAsia" w:ascii="宋体" w:hAnsi="宋体" w:cs="宋体"/>
                <w:color w:val="auto"/>
                <w:highlight w:val="none"/>
              </w:rPr>
              <w:t>6. 主要接口≥3个千兆电口，≥2个万兆光口；4个USB 3.0接口；1个VGA口；</w:t>
            </w:r>
            <w:r>
              <w:rPr>
                <w:rFonts w:hint="eastAsia" w:ascii="宋体" w:hAnsi="宋体" w:cs="宋体"/>
                <w:color w:val="auto"/>
                <w:highlight w:val="none"/>
              </w:rPr>
              <w:br w:type="textWrapping"/>
            </w:r>
            <w:r>
              <w:rPr>
                <w:rFonts w:hint="eastAsia" w:ascii="宋体" w:hAnsi="宋体" w:cs="宋体"/>
                <w:color w:val="auto"/>
                <w:highlight w:val="none"/>
              </w:rPr>
              <w:t>7.标配550W（1+1）白金冗余电源。</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网络存储设备</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需具备≥1颗64位多核处理器，≥4GB内存，内置SSD固态硬盘；冗余电源; 盘位≥16块；</w:t>
            </w:r>
            <w:r>
              <w:rPr>
                <w:rFonts w:hint="eastAsia" w:ascii="宋体" w:hAnsi="宋体" w:cs="宋体"/>
                <w:color w:val="auto"/>
                <w:highlight w:val="none"/>
              </w:rPr>
              <w:br w:type="textWrapping"/>
            </w:r>
            <w:r>
              <w:rPr>
                <w:rFonts w:hint="eastAsia" w:ascii="宋体" w:hAnsi="宋体" w:cs="宋体"/>
                <w:color w:val="auto"/>
                <w:highlight w:val="none"/>
              </w:rPr>
              <w:t>2. 需支持接入3T/4T/6T/8T/10T/12T/14T/16T/20T SATA/SAS硬盘；支持NL-SAS 硬盘、HDD硬盘、SSD硬盘、氦气硬盘、空气硬盘；</w:t>
            </w:r>
            <w:r>
              <w:rPr>
                <w:rFonts w:hint="eastAsia" w:ascii="宋体" w:hAnsi="宋体" w:cs="宋体"/>
                <w:color w:val="auto"/>
                <w:highlight w:val="none"/>
              </w:rPr>
              <w:br w:type="textWrapping"/>
            </w:r>
            <w:r>
              <w:rPr>
                <w:rFonts w:hint="eastAsia" w:ascii="宋体" w:hAnsi="宋体" w:cs="宋体"/>
                <w:color w:val="auto"/>
                <w:highlight w:val="none"/>
              </w:rPr>
              <w:t>3. ★需支持iSCSI直存功能，前端网络摄像机和设备之间可直接通过iSCSI协议进行块存储，</w:t>
            </w:r>
            <w:r>
              <w:rPr>
                <w:rFonts w:hint="eastAsia" w:ascii="宋体" w:hAnsi="宋体" w:cs="宋体"/>
                <w:color w:val="auto"/>
                <w:highlight w:val="none"/>
              </w:rPr>
              <w:t>提供产品检测报告、功能截图或者产品彩页，并加盖供应商公章；</w:t>
            </w:r>
            <w:r>
              <w:rPr>
                <w:rFonts w:hint="eastAsia" w:ascii="宋体" w:hAnsi="宋体" w:cs="宋体"/>
                <w:color w:val="auto"/>
                <w:highlight w:val="none"/>
              </w:rPr>
              <w:br w:type="textWrapping"/>
            </w:r>
            <w:r>
              <w:rPr>
                <w:rFonts w:hint="eastAsia" w:ascii="宋体" w:hAnsi="宋体" w:cs="宋体"/>
                <w:color w:val="auto"/>
                <w:highlight w:val="none"/>
              </w:rPr>
              <w:t>4. 需支持接入并存储2048Mbps视频图像，同时转发2048Mbps的视频图像，同时下载2048Mbps的视频图像；同时回放600Mbps的视频图像；</w:t>
            </w:r>
            <w:r>
              <w:rPr>
                <w:rFonts w:hint="eastAsia" w:ascii="宋体" w:hAnsi="宋体" w:cs="宋体"/>
                <w:color w:val="auto"/>
                <w:highlight w:val="none"/>
              </w:rPr>
              <w:br w:type="textWrapping"/>
            </w:r>
            <w:r>
              <w:rPr>
                <w:rFonts w:hint="eastAsia" w:ascii="宋体" w:hAnsi="宋体" w:cs="宋体"/>
                <w:color w:val="auto"/>
                <w:highlight w:val="none"/>
              </w:rPr>
              <w:t>5. 需支持音频、图片、智能数据流进行混合直存；</w:t>
            </w:r>
            <w:r>
              <w:rPr>
                <w:rFonts w:hint="eastAsia" w:ascii="宋体" w:hAnsi="宋体" w:cs="宋体"/>
                <w:color w:val="auto"/>
                <w:highlight w:val="none"/>
              </w:rPr>
              <w:br w:type="textWrapping"/>
            </w:r>
            <w:r>
              <w:rPr>
                <w:rFonts w:hint="eastAsia" w:ascii="宋体" w:hAnsi="宋体" w:cs="宋体"/>
                <w:color w:val="auto"/>
                <w:highlight w:val="none"/>
              </w:rPr>
              <w:t>6. 需具备更换系统盘并配置好信息后，再次开机无需人工介入，可自动恢复业务，历史数据不应丢失；</w:t>
            </w:r>
            <w:r>
              <w:rPr>
                <w:rFonts w:hint="eastAsia" w:ascii="宋体" w:hAnsi="宋体" w:cs="宋体"/>
                <w:color w:val="auto"/>
                <w:highlight w:val="none"/>
              </w:rPr>
              <w:br w:type="textWrapping"/>
            </w:r>
            <w:r>
              <w:rPr>
                <w:rFonts w:hint="eastAsia" w:ascii="宋体" w:hAnsi="宋体" w:cs="宋体"/>
                <w:color w:val="auto"/>
                <w:highlight w:val="none"/>
              </w:rPr>
              <w:t>7. ★需支持在麒麟/UOS操作系统上，使用奇安信浏览器/UOS浏览器对样机进行操作，</w:t>
            </w:r>
            <w:r>
              <w:rPr>
                <w:rFonts w:hint="eastAsia" w:ascii="宋体" w:hAnsi="宋体" w:cs="宋体"/>
                <w:color w:val="auto"/>
                <w:highlight w:val="none"/>
              </w:rPr>
              <w:t>提供产品检测报告、功能截图或者产品彩页，并加盖供应商公章</w:t>
            </w:r>
            <w:r>
              <w:rPr>
                <w:rFonts w:hint="eastAsia" w:ascii="宋体" w:hAnsi="宋体" w:cs="宋体"/>
                <w:color w:val="auto"/>
                <w:highlight w:val="none"/>
              </w:rPr>
              <w:t>。</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企业级硬盘</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8T,7200RPM,3.5寸,SATA。</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块</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320"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33"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四</w:t>
            </w:r>
          </w:p>
        </w:tc>
        <w:tc>
          <w:tcPr>
            <w:tcW w:w="712"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互联网直播扩展</w:t>
            </w:r>
          </w:p>
        </w:tc>
        <w:tc>
          <w:tcPr>
            <w:tcW w:w="2741" w:type="pct"/>
            <w:shd w:val="clear" w:color="auto" w:fill="auto"/>
            <w:vAlign w:val="center"/>
          </w:tcPr>
          <w:p>
            <w:pPr>
              <w:pStyle w:val="146"/>
              <w:jc w:val="left"/>
              <w:rPr>
                <w:rFonts w:ascii="宋体" w:hAnsi="宋体" w:cs="宋体"/>
                <w:b/>
                <w:bCs w:val="0"/>
                <w:color w:val="auto"/>
                <w:highlight w:val="none"/>
              </w:rPr>
            </w:pPr>
          </w:p>
        </w:tc>
        <w:tc>
          <w:tcPr>
            <w:tcW w:w="416"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w:t>
            </w:r>
          </w:p>
        </w:tc>
        <w:tc>
          <w:tcPr>
            <w:tcW w:w="375"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w:t>
            </w:r>
          </w:p>
        </w:tc>
        <w:tc>
          <w:tcPr>
            <w:tcW w:w="320" w:type="pct"/>
            <w:shd w:val="clear" w:color="auto" w:fill="auto"/>
            <w:vAlign w:val="center"/>
          </w:tcPr>
          <w:p>
            <w:pPr>
              <w:pStyle w:val="146"/>
              <w:rPr>
                <w:rFonts w:ascii="宋体" w:hAnsi="宋体" w:cs="宋体"/>
                <w:b/>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互联网接入终端</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含互联网直播终端、互联网接入终端、4方会议授权，且要求直播盒与直播终端为同一品牌</w:t>
            </w:r>
            <w:r>
              <w:rPr>
                <w:rFonts w:hint="eastAsia" w:ascii="宋体" w:hAnsi="宋体" w:cs="宋体"/>
                <w:color w:val="auto"/>
                <w:highlight w:val="none"/>
              </w:rPr>
              <w:br w:type="textWrapping"/>
            </w:r>
            <w:r>
              <w:rPr>
                <w:rFonts w:hint="eastAsia" w:ascii="宋体" w:hAnsi="宋体" w:cs="宋体"/>
                <w:color w:val="auto"/>
                <w:highlight w:val="none"/>
              </w:rPr>
              <w:t>1. 系统包含直播终端、接入终端和软授权服务能力。其中直播终端实现听证直播，接入终端实现互联网听证；</w:t>
            </w:r>
            <w:r>
              <w:rPr>
                <w:rFonts w:hint="eastAsia" w:ascii="宋体" w:hAnsi="宋体" w:cs="宋体"/>
                <w:color w:val="auto"/>
                <w:highlight w:val="none"/>
              </w:rPr>
              <w:br w:type="textWrapping"/>
            </w:r>
            <w:r>
              <w:rPr>
                <w:rFonts w:hint="eastAsia" w:ascii="宋体" w:hAnsi="宋体" w:cs="宋体"/>
                <w:color w:val="auto"/>
                <w:highlight w:val="none"/>
              </w:rPr>
              <w:t>2. 接入终端需包含但不限于≥5路视频输出；≥2个HDMI视音频输出接口、≥2个DVI-I 视音频输出接口、1个3G-SDI视频输出接口、 1个3. 5mm音频输出接口、≥2个6. 5mm音频输 出接口、1个RCA音频输出接口；</w:t>
            </w:r>
            <w:r>
              <w:rPr>
                <w:rFonts w:hint="eastAsia" w:ascii="宋体" w:hAnsi="宋体" w:cs="宋体"/>
                <w:color w:val="auto"/>
                <w:highlight w:val="none"/>
              </w:rPr>
              <w:br w:type="textWrapping"/>
            </w:r>
            <w:r>
              <w:rPr>
                <w:rFonts w:hint="eastAsia" w:ascii="宋体" w:hAnsi="宋体" w:cs="宋体"/>
                <w:color w:val="auto"/>
                <w:highlight w:val="none"/>
              </w:rPr>
              <w:t>3. 接入终端需支持H.323、SIP等通讯协议，需支持H.263、H.264BP、H. 264HP、 H.264SVC、H.265、MPEG-4编码；</w:t>
            </w:r>
            <w:r>
              <w:rPr>
                <w:rFonts w:hint="eastAsia" w:ascii="宋体" w:hAnsi="宋体" w:cs="宋体"/>
                <w:color w:val="auto"/>
                <w:highlight w:val="none"/>
              </w:rPr>
              <w:br w:type="textWrapping"/>
            </w:r>
            <w:r>
              <w:rPr>
                <w:rFonts w:hint="eastAsia" w:ascii="宋体" w:hAnsi="宋体" w:cs="宋体"/>
                <w:color w:val="auto"/>
                <w:highlight w:val="none"/>
              </w:rPr>
              <w:t>4. 接入终端需支持 3840X2160 、1920X1080 、1280X720、704X576、352X288等分辨率图像输入；</w:t>
            </w:r>
            <w:r>
              <w:rPr>
                <w:rFonts w:hint="eastAsia" w:ascii="宋体" w:hAnsi="宋体" w:cs="宋体"/>
                <w:color w:val="auto"/>
                <w:highlight w:val="none"/>
              </w:rPr>
              <w:br w:type="textWrapping"/>
            </w:r>
            <w:r>
              <w:rPr>
                <w:rFonts w:hint="eastAsia" w:ascii="宋体" w:hAnsi="宋体" w:cs="宋体"/>
                <w:color w:val="auto"/>
                <w:highlight w:val="none"/>
              </w:rPr>
              <w:t>5. 接入终端需支持H. 239双流协议，辅码流可接入动态视频图像和包括PPT、计算机桌面、计算机内媒休数据等在内的静态图像；</w:t>
            </w:r>
            <w:r>
              <w:rPr>
                <w:rFonts w:hint="eastAsia" w:ascii="宋体" w:hAnsi="宋体" w:cs="宋体"/>
                <w:color w:val="auto"/>
                <w:highlight w:val="none"/>
              </w:rPr>
              <w:br w:type="textWrapping"/>
            </w:r>
            <w:r>
              <w:rPr>
                <w:rFonts w:hint="eastAsia" w:ascii="宋体" w:hAnsi="宋体" w:cs="宋体"/>
                <w:color w:val="auto"/>
                <w:highlight w:val="none"/>
              </w:rPr>
              <w:t>6. 接入终端需支持低带宽处理能力，在1. 5Mbps带宽 下支持4K@30fp格式的视频，在768Kbps带 宽下支持1080P@60fps格式的视频，在 384Kbps带宽下支持1080P@30fps格式的视 频，在192Kbps带宽下支持720P@30fps格式 的视频；</w:t>
            </w:r>
            <w:r>
              <w:rPr>
                <w:rFonts w:hint="eastAsia" w:ascii="宋体" w:hAnsi="宋体" w:cs="宋体"/>
                <w:color w:val="auto"/>
                <w:highlight w:val="none"/>
              </w:rPr>
              <w:br w:type="textWrapping"/>
            </w:r>
            <w:r>
              <w:rPr>
                <w:rFonts w:hint="eastAsia" w:ascii="宋体" w:hAnsi="宋体" w:cs="宋体"/>
                <w:color w:val="auto"/>
                <w:highlight w:val="none"/>
              </w:rPr>
              <w:t>7. 接入终端在互联网听证时，本地画面需支持1X1、1X2、 1X3、2X2、2X3、1+4、1+5 等多种画面合 成模式；</w:t>
            </w:r>
            <w:r>
              <w:rPr>
                <w:rFonts w:hint="eastAsia" w:ascii="宋体" w:hAnsi="宋体" w:cs="宋体"/>
                <w:color w:val="auto"/>
                <w:highlight w:val="none"/>
              </w:rPr>
              <w:br w:type="textWrapping"/>
            </w:r>
            <w:r>
              <w:rPr>
                <w:rFonts w:hint="eastAsia" w:ascii="宋体" w:hAnsi="宋体" w:cs="宋体"/>
                <w:color w:val="auto"/>
                <w:highlight w:val="none"/>
              </w:rPr>
              <w:t>8. 接入终端需支持将听证会议画面作为RTSP监控码流发 送给其他监控系统，会议和监控系统同时使 用该画面；</w:t>
            </w:r>
            <w:r>
              <w:rPr>
                <w:rFonts w:hint="eastAsia" w:ascii="宋体" w:hAnsi="宋体" w:cs="宋体"/>
                <w:color w:val="auto"/>
                <w:highlight w:val="none"/>
              </w:rPr>
              <w:br w:type="textWrapping"/>
            </w:r>
            <w:r>
              <w:rPr>
                <w:rFonts w:hint="eastAsia" w:ascii="宋体" w:hAnsi="宋体" w:cs="宋体"/>
                <w:color w:val="auto"/>
                <w:highlight w:val="none"/>
              </w:rPr>
              <w:t>9. 直播终端需支持HDMI ，USB摄像头，本地视频，支持H.265、H.264编解码；</w:t>
            </w:r>
            <w:r>
              <w:rPr>
                <w:rFonts w:hint="eastAsia" w:ascii="宋体" w:hAnsi="宋体" w:cs="宋体"/>
                <w:color w:val="auto"/>
                <w:highlight w:val="none"/>
              </w:rPr>
              <w:br w:type="textWrapping"/>
            </w:r>
            <w:r>
              <w:rPr>
                <w:rFonts w:hint="eastAsia" w:ascii="宋体" w:hAnsi="宋体" w:cs="宋体"/>
                <w:color w:val="auto"/>
                <w:highlight w:val="none"/>
              </w:rPr>
              <w:t>10. 直播终端需支持RTMP.RTSP.HLS. UDP串流等各类协议；</w:t>
            </w:r>
            <w:r>
              <w:rPr>
                <w:rFonts w:hint="eastAsia" w:ascii="宋体" w:hAnsi="宋体" w:cs="宋体"/>
                <w:color w:val="auto"/>
                <w:highlight w:val="none"/>
              </w:rPr>
              <w:br w:type="textWrapping"/>
            </w:r>
            <w:r>
              <w:rPr>
                <w:rFonts w:hint="eastAsia" w:ascii="宋体" w:hAnsi="宋体" w:cs="宋体"/>
                <w:color w:val="auto"/>
                <w:highlight w:val="none"/>
              </w:rPr>
              <w:t>11. 直播终端需支持HDMI输入、MIC、LINE IN、USB音频设备输入；</w:t>
            </w:r>
            <w:r>
              <w:rPr>
                <w:rFonts w:hint="eastAsia" w:ascii="宋体" w:hAnsi="宋体" w:cs="宋体"/>
                <w:color w:val="auto"/>
                <w:highlight w:val="none"/>
              </w:rPr>
              <w:br w:type="textWrapping"/>
            </w:r>
            <w:r>
              <w:rPr>
                <w:rFonts w:hint="eastAsia" w:ascii="宋体" w:hAnsi="宋体" w:cs="宋体"/>
                <w:color w:val="auto"/>
                <w:highlight w:val="none"/>
              </w:rPr>
              <w:t>12. 直播终端需具备≥8寸1080P触摸屏，内置扬声器；</w:t>
            </w:r>
            <w:r>
              <w:rPr>
                <w:rFonts w:hint="eastAsia" w:ascii="宋体" w:hAnsi="宋体" w:cs="宋体"/>
                <w:color w:val="auto"/>
                <w:highlight w:val="none"/>
              </w:rPr>
              <w:br w:type="textWrapping"/>
            </w:r>
            <w:r>
              <w:rPr>
                <w:rFonts w:hint="eastAsia" w:ascii="宋体" w:hAnsi="宋体" w:cs="宋体"/>
                <w:color w:val="auto"/>
                <w:highlight w:val="none"/>
              </w:rPr>
              <w:t>13. 直播终端需具备RJ45网口、无线WIFI（2.4G/5.8G）、全网通4G能力；</w:t>
            </w:r>
            <w:r>
              <w:rPr>
                <w:rFonts w:hint="eastAsia" w:ascii="宋体" w:hAnsi="宋体" w:cs="宋体"/>
                <w:color w:val="auto"/>
                <w:highlight w:val="none"/>
              </w:rPr>
              <w:br w:type="textWrapping"/>
            </w:r>
            <w:r>
              <w:rPr>
                <w:rFonts w:hint="eastAsia" w:ascii="宋体" w:hAnsi="宋体" w:cs="宋体"/>
                <w:color w:val="auto"/>
                <w:highlight w:val="none"/>
              </w:rPr>
              <w:t>14. 系统包含4路互联网听证接入服务使用授权；</w:t>
            </w:r>
            <w:r>
              <w:rPr>
                <w:rFonts w:hint="eastAsia" w:ascii="宋体" w:hAnsi="宋体" w:cs="宋体"/>
                <w:color w:val="auto"/>
                <w:highlight w:val="none"/>
              </w:rPr>
              <w:br w:type="textWrapping"/>
            </w:r>
            <w:r>
              <w:rPr>
                <w:rFonts w:hint="eastAsia" w:ascii="宋体" w:hAnsi="宋体" w:cs="宋体"/>
                <w:color w:val="auto"/>
                <w:highlight w:val="none"/>
              </w:rPr>
              <w:t>15. 接入终端集成云服务，配合互联网听证相关软件使用；</w:t>
            </w:r>
            <w:r>
              <w:rPr>
                <w:rFonts w:hint="eastAsia" w:ascii="宋体" w:hAnsi="宋体" w:cs="宋体"/>
                <w:color w:val="auto"/>
                <w:highlight w:val="none"/>
              </w:rPr>
              <w:br w:type="textWrapping"/>
            </w:r>
            <w:r>
              <w:rPr>
                <w:rFonts w:hint="eastAsia" w:ascii="宋体" w:hAnsi="宋体" w:cs="宋体"/>
                <w:color w:val="auto"/>
                <w:highlight w:val="none"/>
              </w:rPr>
              <w:t>16. 互联网听证管理平台需具备实现互联网远程听证会议的创建与管理，线上参与人邀请、线上听证会视频控制、听证笔录线上分发、线上参与人签名下载、系统数据管理等功能；</w:t>
            </w:r>
            <w:r>
              <w:rPr>
                <w:rFonts w:hint="eastAsia" w:ascii="宋体" w:hAnsi="宋体" w:cs="宋体"/>
                <w:color w:val="auto"/>
                <w:highlight w:val="none"/>
              </w:rPr>
              <w:br w:type="textWrapping"/>
            </w:r>
            <w:r>
              <w:rPr>
                <w:rFonts w:hint="eastAsia" w:ascii="宋体" w:hAnsi="宋体" w:cs="宋体"/>
                <w:color w:val="auto"/>
                <w:highlight w:val="none"/>
              </w:rPr>
              <w:t>17. 互联网听证微信小程序服务需具备实现线上听证要求展示、听证邀请接收及确认、参与互联网远程听证、听证笔录查看与签字等功能；</w:t>
            </w:r>
            <w:r>
              <w:rPr>
                <w:rFonts w:hint="eastAsia" w:ascii="宋体" w:hAnsi="宋体" w:cs="宋体"/>
                <w:color w:val="auto"/>
                <w:highlight w:val="none"/>
              </w:rPr>
              <w:br w:type="textWrapping"/>
            </w:r>
            <w:r>
              <w:rPr>
                <w:rFonts w:hint="eastAsia" w:ascii="宋体" w:hAnsi="宋体" w:cs="宋体"/>
                <w:color w:val="auto"/>
                <w:highlight w:val="none"/>
              </w:rPr>
              <w:t>18. 小程序管理后台需为用户提供小程序的授权托管和代运营服务。</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b/>
                <w:color w:val="auto"/>
                <w:highlight w:val="none"/>
              </w:rPr>
              <w:t>五、</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b/>
                <w:color w:val="auto"/>
                <w:highlight w:val="none"/>
              </w:rPr>
              <w:t>会议室电子屏</w:t>
            </w:r>
          </w:p>
        </w:tc>
        <w:tc>
          <w:tcPr>
            <w:tcW w:w="2741" w:type="pct"/>
            <w:shd w:val="clear" w:color="auto" w:fill="auto"/>
            <w:vAlign w:val="center"/>
          </w:tcPr>
          <w:p>
            <w:pPr>
              <w:pStyle w:val="146"/>
              <w:jc w:val="left"/>
              <w:rPr>
                <w:rFonts w:ascii="宋体" w:hAnsi="宋体" w:cs="宋体"/>
                <w:color w:val="auto"/>
                <w:highlight w:val="none"/>
              </w:rPr>
            </w:pPr>
          </w:p>
        </w:tc>
        <w:tc>
          <w:tcPr>
            <w:tcW w:w="416" w:type="pct"/>
            <w:shd w:val="clear" w:color="auto" w:fill="auto"/>
            <w:vAlign w:val="center"/>
          </w:tcPr>
          <w:p>
            <w:pPr>
              <w:pStyle w:val="146"/>
              <w:rPr>
                <w:rFonts w:ascii="宋体" w:hAnsi="宋体" w:cs="宋体"/>
                <w:color w:val="auto"/>
                <w:highlight w:val="none"/>
              </w:rPr>
            </w:pPr>
          </w:p>
        </w:tc>
        <w:tc>
          <w:tcPr>
            <w:tcW w:w="375" w:type="pct"/>
            <w:shd w:val="clear" w:color="auto" w:fill="auto"/>
            <w:vAlign w:val="center"/>
          </w:tcPr>
          <w:p>
            <w:pPr>
              <w:pStyle w:val="146"/>
              <w:rPr>
                <w:rFonts w:ascii="宋体" w:hAnsi="宋体" w:cs="宋体"/>
                <w:color w:val="auto"/>
                <w:highlight w:val="none"/>
              </w:rPr>
            </w:pPr>
          </w:p>
        </w:tc>
        <w:tc>
          <w:tcPr>
            <w:tcW w:w="320" w:type="pct"/>
            <w:shd w:val="clear" w:color="auto" w:fill="auto"/>
            <w:noWrap/>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jc w:val="both"/>
              <w:rPr>
                <w:rFonts w:ascii="宋体" w:hAnsi="宋体" w:cs="宋体"/>
                <w:b/>
                <w:color w:val="auto"/>
                <w:highlight w:val="none"/>
              </w:rPr>
            </w:pPr>
            <w:r>
              <w:rPr>
                <w:rFonts w:hint="eastAsia" w:ascii="宋体" w:hAnsi="宋体" w:cs="宋体"/>
                <w:b/>
                <w:color w:val="auto"/>
                <w:highlight w:val="none"/>
              </w:rPr>
              <w:t>（一）</w:t>
            </w:r>
          </w:p>
        </w:tc>
        <w:tc>
          <w:tcPr>
            <w:tcW w:w="712" w:type="pct"/>
            <w:shd w:val="clear" w:color="auto" w:fill="auto"/>
            <w:vAlign w:val="center"/>
          </w:tcPr>
          <w:p>
            <w:pPr>
              <w:pStyle w:val="146"/>
              <w:rPr>
                <w:rFonts w:ascii="宋体" w:hAnsi="宋体" w:cs="宋体"/>
                <w:b/>
                <w:color w:val="auto"/>
                <w:highlight w:val="none"/>
              </w:rPr>
            </w:pPr>
            <w:r>
              <w:rPr>
                <w:rFonts w:hint="eastAsia" w:ascii="宋体" w:hAnsi="宋体" w:cs="宋体"/>
                <w:b/>
                <w:color w:val="auto"/>
                <w:highlight w:val="none"/>
              </w:rPr>
              <w:t>听证室电子屏</w:t>
            </w:r>
          </w:p>
        </w:tc>
        <w:tc>
          <w:tcPr>
            <w:tcW w:w="2741" w:type="pct"/>
            <w:shd w:val="clear" w:color="auto" w:fill="auto"/>
            <w:vAlign w:val="center"/>
          </w:tcPr>
          <w:p>
            <w:pPr>
              <w:pStyle w:val="146"/>
              <w:jc w:val="left"/>
              <w:rPr>
                <w:rFonts w:ascii="宋体" w:hAnsi="宋体" w:cs="宋体"/>
                <w:b/>
                <w:color w:val="auto"/>
                <w:highlight w:val="none"/>
              </w:rPr>
            </w:pPr>
            <w:r>
              <w:rPr>
                <w:rFonts w:hint="eastAsia" w:ascii="宋体" w:hAnsi="宋体" w:cs="宋体"/>
                <w:b/>
                <w:color w:val="auto"/>
                <w:highlight w:val="none"/>
              </w:rPr>
              <w:t>单屏体净显示尺寸:宽3.52米×高1.92米=6.76平米</w:t>
            </w:r>
          </w:p>
        </w:tc>
        <w:tc>
          <w:tcPr>
            <w:tcW w:w="416" w:type="pct"/>
            <w:shd w:val="clear" w:color="auto" w:fill="auto"/>
            <w:vAlign w:val="center"/>
          </w:tcPr>
          <w:p>
            <w:pPr>
              <w:pStyle w:val="146"/>
              <w:rPr>
                <w:rFonts w:ascii="宋体" w:hAnsi="宋体" w:cs="宋体"/>
                <w:color w:val="auto"/>
                <w:highlight w:val="none"/>
              </w:rPr>
            </w:pPr>
          </w:p>
        </w:tc>
        <w:tc>
          <w:tcPr>
            <w:tcW w:w="375" w:type="pct"/>
            <w:shd w:val="clear" w:color="auto" w:fill="auto"/>
            <w:vAlign w:val="center"/>
          </w:tcPr>
          <w:p>
            <w:pPr>
              <w:pStyle w:val="146"/>
              <w:rPr>
                <w:rFonts w:ascii="宋体" w:hAnsi="宋体" w:cs="宋体"/>
                <w:color w:val="auto"/>
                <w:highlight w:val="none"/>
              </w:rPr>
            </w:pPr>
          </w:p>
        </w:tc>
        <w:tc>
          <w:tcPr>
            <w:tcW w:w="320" w:type="pct"/>
            <w:shd w:val="clear" w:color="auto" w:fill="auto"/>
            <w:noWrap/>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P1.8全彩LED显示屏</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1.全彩LED显示屏，点间距≤1.86mm，点密度≥288906点/ m²；显示尺寸：宽3520mm×高1920mm（显示尺寸允许±1%偏差），显示分辨率：≥1892×1032，满足高清信号点对点显示；</w:t>
            </w:r>
            <w:r>
              <w:rPr>
                <w:rFonts w:hint="eastAsia" w:ascii="宋体" w:hAnsi="宋体" w:cs="宋体"/>
                <w:color w:val="auto"/>
                <w:highlight w:val="none"/>
              </w:rPr>
              <w:br w:type="textWrapping"/>
            </w:r>
            <w:r>
              <w:rPr>
                <w:rFonts w:hint="eastAsia" w:ascii="宋体" w:hAnsi="宋体" w:cs="宋体"/>
                <w:color w:val="auto"/>
                <w:highlight w:val="none"/>
              </w:rPr>
              <w:t>2.</w:t>
            </w:r>
            <w:r>
              <w:rPr>
                <w:rFonts w:hint="eastAsia" w:ascii="宋体" w:hAnsi="宋体" w:cs="宋体"/>
                <w:color w:val="auto"/>
                <w:highlight w:val="none"/>
              </w:rPr>
              <w:t xml:space="preserve"> ★</w:t>
            </w:r>
            <w:r>
              <w:rPr>
                <w:rFonts w:hint="eastAsia" w:ascii="宋体" w:hAnsi="宋体" w:cs="宋体"/>
                <w:color w:val="auto"/>
                <w:highlight w:val="none"/>
              </w:rPr>
              <w:t>PCB材质：黑色 PCB 基板，采用高密度 PCB板材，其 PCB符合盲埋孔沉金工艺HDI，可以耐CAF离子迁移达1000H；提供产品检测报告、功能截图或者产品彩页，并加盖供应商公章</w:t>
            </w:r>
            <w:r>
              <w:rPr>
                <w:rFonts w:hint="eastAsia" w:ascii="宋体" w:hAnsi="宋体" w:cs="宋体"/>
                <w:color w:val="auto"/>
                <w:highlight w:val="none"/>
              </w:rPr>
              <w:t>。</w:t>
            </w:r>
            <w:r>
              <w:rPr>
                <w:rFonts w:hint="eastAsia" w:ascii="宋体" w:hAnsi="宋体" w:cs="宋体"/>
                <w:color w:val="auto"/>
                <w:highlight w:val="none"/>
              </w:rPr>
              <w:br w:type="textWrapping"/>
            </w:r>
            <w:r>
              <w:rPr>
                <w:rFonts w:hint="eastAsia" w:ascii="宋体" w:hAnsi="宋体" w:cs="宋体"/>
                <w:color w:val="auto"/>
                <w:highlight w:val="none"/>
              </w:rPr>
              <w:t>3.维护方式以及连接控制方式：支持前安装前维护（电源、接收卡以及配件均可在显示屏前端取出），支持直接热插拔，支持电源与信号双备份，配套信号传输装置采用非隔离型LED恒流驱动芯片、具备自动矫正技术技术;</w:t>
            </w:r>
          </w:p>
          <w:p>
            <w:pPr>
              <w:pStyle w:val="146"/>
              <w:jc w:val="left"/>
              <w:rPr>
                <w:rFonts w:ascii="宋体" w:hAnsi="宋体" w:cs="宋体"/>
                <w:color w:val="auto"/>
                <w:highlight w:val="none"/>
              </w:rPr>
            </w:pPr>
            <w:r>
              <w:rPr>
                <w:rFonts w:hint="eastAsia" w:ascii="宋体" w:hAnsi="宋体" w:cs="宋体"/>
                <w:color w:val="auto"/>
                <w:highlight w:val="none"/>
              </w:rPr>
              <w:t>4.功耗：峰值≤390W/㎡,平均功耗≤130W/㎡；</w:t>
            </w:r>
            <w:r>
              <w:rPr>
                <w:rFonts w:hint="eastAsia" w:ascii="宋体" w:hAnsi="宋体" w:cs="宋体"/>
                <w:color w:val="auto"/>
                <w:highlight w:val="none"/>
              </w:rPr>
              <w:br w:type="textWrapping"/>
            </w:r>
            <w:r>
              <w:rPr>
                <w:rFonts w:hint="eastAsia" w:ascii="宋体" w:hAnsi="宋体" w:cs="宋体"/>
                <w:color w:val="auto"/>
                <w:highlight w:val="none"/>
              </w:rPr>
              <w:t>5.亮度：0-1200cd/㎡可调，亮度调节范围：0-255可调，具备自动调节功能；</w:t>
            </w:r>
            <w:r>
              <w:rPr>
                <w:rFonts w:hint="eastAsia" w:ascii="宋体" w:hAnsi="宋体" w:cs="宋体"/>
                <w:color w:val="auto"/>
                <w:highlight w:val="none"/>
              </w:rPr>
              <w:br w:type="textWrapping"/>
            </w:r>
            <w:r>
              <w:rPr>
                <w:rFonts w:hint="eastAsia" w:ascii="宋体" w:hAnsi="宋体" w:cs="宋体"/>
                <w:color w:val="auto"/>
                <w:highlight w:val="none"/>
              </w:rPr>
              <w:t>6.灰度级别：100%亮度≥16bit； 70%亮度≥ 16bit； 50%亮度≥16bit； 20%亮度≥15bit，支持分段校正，提升各个灰阶的显示均匀性；＃</w:t>
            </w:r>
            <w:r>
              <w:rPr>
                <w:rFonts w:hint="eastAsia" w:ascii="宋体" w:hAnsi="宋体" w:cs="宋体"/>
                <w:color w:val="auto"/>
                <w:highlight w:val="none"/>
              </w:rPr>
              <w:br w:type="textWrapping"/>
            </w:r>
            <w:r>
              <w:rPr>
                <w:rFonts w:hint="eastAsia" w:ascii="宋体" w:hAnsi="宋体" w:cs="宋体"/>
                <w:color w:val="auto"/>
                <w:highlight w:val="none"/>
              </w:rPr>
              <w:t>7.可视角度：水平视角≥175°，垂直视角≥175°；</w:t>
            </w:r>
            <w:r>
              <w:rPr>
                <w:rFonts w:hint="eastAsia" w:ascii="宋体" w:hAnsi="宋体" w:cs="宋体"/>
                <w:color w:val="auto"/>
                <w:highlight w:val="none"/>
              </w:rPr>
              <w:br w:type="textWrapping"/>
            </w:r>
            <w:r>
              <w:rPr>
                <w:rFonts w:hint="eastAsia" w:ascii="宋体" w:hAnsi="宋体" w:cs="宋体"/>
                <w:color w:val="auto"/>
                <w:highlight w:val="none"/>
              </w:rPr>
              <w:t>8.亮度均匀性≥99.99%，色温：1000-10000K可调；</w:t>
            </w:r>
            <w:r>
              <w:rPr>
                <w:rFonts w:hint="eastAsia" w:ascii="宋体" w:hAnsi="宋体" w:cs="宋体"/>
                <w:color w:val="auto"/>
                <w:highlight w:val="none"/>
              </w:rPr>
              <w:br w:type="textWrapping"/>
            </w:r>
            <w:r>
              <w:rPr>
                <w:rFonts w:hint="eastAsia" w:ascii="宋体" w:hAnsi="宋体" w:cs="宋体"/>
                <w:color w:val="auto"/>
                <w:highlight w:val="none"/>
              </w:rPr>
              <w:t>9.⾊域覆盖率≥110%；色度均匀性&lt;±0. 001Cx, Cy；</w:t>
            </w:r>
            <w:r>
              <w:rPr>
                <w:rFonts w:hint="eastAsia" w:ascii="宋体" w:hAnsi="宋体" w:cs="宋体"/>
                <w:color w:val="auto"/>
                <w:highlight w:val="none"/>
              </w:rPr>
              <w:br w:type="textWrapping"/>
            </w:r>
            <w:r>
              <w:rPr>
                <w:rFonts w:hint="eastAsia" w:ascii="宋体" w:hAnsi="宋体" w:cs="宋体"/>
                <w:color w:val="auto"/>
                <w:highlight w:val="none"/>
              </w:rPr>
              <w:t>10.对比度：≥11000:l；</w:t>
            </w:r>
            <w:r>
              <w:rPr>
                <w:rFonts w:hint="eastAsia" w:ascii="宋体" w:hAnsi="宋体" w:cs="宋体"/>
                <w:color w:val="auto"/>
                <w:highlight w:val="none"/>
              </w:rPr>
              <w:br w:type="textWrapping"/>
            </w:r>
            <w:r>
              <w:rPr>
                <w:rFonts w:hint="eastAsia" w:ascii="宋体" w:hAnsi="宋体" w:cs="宋体"/>
                <w:color w:val="auto"/>
                <w:highlight w:val="none"/>
              </w:rPr>
              <w:t>11.刷新率≥4800Hz；</w:t>
            </w:r>
            <w:r>
              <w:rPr>
                <w:rFonts w:hint="eastAsia" w:ascii="宋体" w:hAnsi="宋体" w:cs="宋体"/>
                <w:color w:val="auto"/>
                <w:highlight w:val="none"/>
              </w:rPr>
              <w:br w:type="textWrapping"/>
            </w:r>
            <w:r>
              <w:rPr>
                <w:rFonts w:hint="eastAsia" w:ascii="宋体" w:hAnsi="宋体" w:cs="宋体"/>
                <w:color w:val="auto"/>
                <w:highlight w:val="none"/>
              </w:rPr>
              <w:t>12.功率因素：内置电源具备PFC功能，功率因素≥0.95，电流增益调节级别≥8位；</w:t>
            </w:r>
            <w:r>
              <w:rPr>
                <w:rFonts w:hint="eastAsia" w:ascii="宋体" w:hAnsi="宋体" w:cs="宋体"/>
                <w:color w:val="auto"/>
                <w:highlight w:val="none"/>
              </w:rPr>
              <w:br w:type="textWrapping"/>
            </w:r>
            <w:r>
              <w:rPr>
                <w:rFonts w:hint="eastAsia" w:ascii="宋体" w:hAnsi="宋体" w:cs="宋体"/>
                <w:color w:val="auto"/>
                <w:highlight w:val="none"/>
              </w:rPr>
              <w:t>12.备份功能：具有 1+1，支持电源双备份功能，具有 1+1，接收卡双备份功能，具备同步环接接口、整墙显示信号同步功能，支持热拔插；</w:t>
            </w:r>
            <w:r>
              <w:rPr>
                <w:rFonts w:hint="eastAsia" w:ascii="宋体" w:hAnsi="宋体" w:cs="宋体"/>
                <w:color w:val="auto"/>
                <w:highlight w:val="none"/>
              </w:rPr>
              <w:br w:type="textWrapping"/>
            </w:r>
            <w:r>
              <w:rPr>
                <w:rFonts w:hint="eastAsia" w:ascii="宋体" w:hAnsi="宋体" w:cs="宋体"/>
                <w:color w:val="auto"/>
                <w:highlight w:val="none"/>
              </w:rPr>
              <w:t>13.提供产品性能方面：漏电容限值≤0.5mA，模组机械强度≥25MP，电流增益调节级别≥8位；</w:t>
            </w:r>
            <w:r>
              <w:rPr>
                <w:rFonts w:hint="eastAsia" w:ascii="宋体" w:hAnsi="宋体" w:cs="宋体"/>
                <w:color w:val="auto"/>
                <w:highlight w:val="none"/>
              </w:rPr>
              <w:br w:type="textWrapping"/>
            </w:r>
            <w:r>
              <w:rPr>
                <w:rFonts w:hint="eastAsia" w:ascii="宋体" w:hAnsi="宋体" w:cs="宋体"/>
                <w:color w:val="auto"/>
                <w:highlight w:val="none"/>
              </w:rPr>
              <w:t>14.提供产品安全性方面，通过接触电流测试，符合GB4943.1-2011信息技术设备安全标准；</w:t>
            </w:r>
            <w:r>
              <w:rPr>
                <w:rFonts w:hint="eastAsia" w:ascii="宋体" w:hAnsi="宋体" w:cs="宋体"/>
                <w:color w:val="auto"/>
                <w:highlight w:val="none"/>
              </w:rPr>
              <w:br w:type="textWrapping"/>
            </w:r>
            <w:r>
              <w:rPr>
                <w:rFonts w:hint="eastAsia" w:ascii="宋体" w:hAnsi="宋体" w:cs="宋体"/>
                <w:color w:val="auto"/>
                <w:highlight w:val="none"/>
              </w:rPr>
              <w:t>15.提供产品在高温、低温、潮湿的环境下能够正常使用，通过高低温负荷试验和恒定湿热试验，LED显示屏通过抗电强度试验，有效减少灯珠在正常安装和使用过程中被静电击穿的可能性，通过抗电强度试验，在运输和储存过程中随着温度剧烈变化而不受损坏，通过冷热冲击试验，满足-25℃至48℃正常工作。</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c>
          <w:tcPr>
            <w:tcW w:w="320" w:type="pct"/>
            <w:vMerge w:val="restart"/>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电源及排线</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显示屏专用电源及排线等辅材</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LED处理器</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1.支持常见的视频接口，包括1路3G-SDI，2路HDMI1.3，1路DVI;</w:t>
            </w:r>
            <w:r>
              <w:rPr>
                <w:rFonts w:hint="eastAsia" w:ascii="宋体" w:hAnsi="宋体" w:cs="宋体"/>
                <w:color w:val="auto"/>
                <w:highlight w:val="none"/>
              </w:rPr>
              <w:br w:type="textWrapping"/>
            </w:r>
            <w:r>
              <w:rPr>
                <w:rFonts w:hint="eastAsia" w:ascii="宋体" w:hAnsi="宋体" w:cs="宋体"/>
                <w:color w:val="auto"/>
                <w:highlight w:val="none"/>
              </w:rPr>
              <w:t>2.单台设备带载能力390万像素，输出最大宽度 10240，高度 8192；</w:t>
            </w:r>
            <w:r>
              <w:rPr>
                <w:rFonts w:hint="eastAsia" w:ascii="宋体" w:hAnsi="宋体" w:cs="宋体"/>
                <w:color w:val="auto"/>
                <w:highlight w:val="none"/>
              </w:rPr>
              <w:br w:type="textWrapping"/>
            </w:r>
            <w:r>
              <w:rPr>
                <w:rFonts w:hint="eastAsia" w:ascii="宋体" w:hAnsi="宋体" w:cs="宋体"/>
                <w:color w:val="auto"/>
                <w:highlight w:val="none"/>
              </w:rPr>
              <w:t>3.支持3个窗口和1路OSD；</w:t>
            </w:r>
            <w:r>
              <w:rPr>
                <w:rFonts w:hint="eastAsia" w:ascii="宋体" w:hAnsi="宋体" w:cs="宋体"/>
                <w:color w:val="auto"/>
                <w:highlight w:val="none"/>
              </w:rPr>
              <w:br w:type="textWrapping"/>
            </w:r>
            <w:r>
              <w:rPr>
                <w:rFonts w:hint="eastAsia" w:ascii="宋体" w:hAnsi="宋体" w:cs="宋体"/>
                <w:color w:val="auto"/>
                <w:highlight w:val="none"/>
              </w:rPr>
              <w:t>4.音频输入输出：支持HDMI伴随音频输入，支持3.5mm 独立音频输入，支持3.5mm独立音频输出，支持通过多功能卡进行音频输出；</w:t>
            </w:r>
            <w:r>
              <w:rPr>
                <w:rFonts w:hint="eastAsia" w:ascii="宋体" w:hAnsi="宋体" w:cs="宋体"/>
                <w:color w:val="auto"/>
                <w:highlight w:val="none"/>
              </w:rPr>
              <w:br w:type="textWrapping"/>
            </w:r>
            <w:r>
              <w:rPr>
                <w:rFonts w:hint="eastAsia" w:ascii="宋体" w:hAnsi="宋体" w:cs="宋体"/>
                <w:color w:val="auto"/>
                <w:highlight w:val="none"/>
              </w:rPr>
              <w:t>5.支持快捷配屏和高级配屏功能；</w:t>
            </w:r>
            <w:r>
              <w:rPr>
                <w:rFonts w:hint="eastAsia" w:ascii="宋体" w:hAnsi="宋体" w:cs="宋体"/>
                <w:color w:val="auto"/>
                <w:highlight w:val="none"/>
              </w:rPr>
              <w:br w:type="textWrapping"/>
            </w:r>
            <w:r>
              <w:rPr>
                <w:rFonts w:hint="eastAsia" w:ascii="宋体" w:hAnsi="宋体" w:cs="宋体"/>
                <w:color w:val="auto"/>
                <w:highlight w:val="none"/>
              </w:rPr>
              <w:t>6.支持HDMI、DVI输入分辨率自定义调节；</w:t>
            </w:r>
            <w:r>
              <w:rPr>
                <w:rFonts w:hint="eastAsia" w:ascii="宋体" w:hAnsi="宋体" w:cs="宋体"/>
                <w:color w:val="auto"/>
                <w:highlight w:val="none"/>
              </w:rPr>
              <w:br w:type="textWrapping"/>
            </w:r>
            <w:r>
              <w:rPr>
                <w:rFonts w:hint="eastAsia" w:ascii="宋体" w:hAnsi="宋体" w:cs="宋体"/>
                <w:color w:val="auto"/>
                <w:highlight w:val="none"/>
              </w:rPr>
              <w:t>7.支持输入源热备功能，支持网口间备份；</w:t>
            </w:r>
            <w:r>
              <w:rPr>
                <w:rFonts w:hint="eastAsia" w:ascii="宋体" w:hAnsi="宋体" w:cs="宋体"/>
                <w:color w:val="auto"/>
                <w:highlight w:val="none"/>
              </w:rPr>
              <w:br w:type="textWrapping"/>
            </w:r>
            <w:r>
              <w:rPr>
                <w:rFonts w:hint="eastAsia" w:ascii="宋体" w:hAnsi="宋体" w:cs="宋体"/>
                <w:color w:val="auto"/>
                <w:highlight w:val="none"/>
              </w:rPr>
              <w:t>8.支持带载屏体亮度调节；</w:t>
            </w:r>
            <w:r>
              <w:rPr>
                <w:rFonts w:hint="eastAsia" w:ascii="宋体" w:hAnsi="宋体" w:cs="宋体"/>
                <w:color w:val="auto"/>
                <w:highlight w:val="none"/>
              </w:rPr>
              <w:br w:type="textWrapping"/>
            </w:r>
            <w:r>
              <w:rPr>
                <w:rFonts w:hint="eastAsia" w:ascii="宋体" w:hAnsi="宋体" w:cs="宋体"/>
                <w:color w:val="auto"/>
                <w:highlight w:val="none"/>
              </w:rPr>
              <w:t>9.支持一键将优先级最低的窗口全屏自动缩放；</w:t>
            </w:r>
            <w:r>
              <w:rPr>
                <w:rFonts w:hint="eastAsia" w:ascii="宋体" w:hAnsi="宋体" w:cs="宋体"/>
                <w:color w:val="auto"/>
                <w:highlight w:val="none"/>
              </w:rPr>
              <w:br w:type="textWrapping"/>
            </w:r>
            <w:r>
              <w:rPr>
                <w:rFonts w:hint="eastAsia" w:ascii="宋体" w:hAnsi="宋体" w:cs="宋体"/>
                <w:color w:val="auto"/>
                <w:highlight w:val="none"/>
              </w:rPr>
              <w:t>10.支持创建10个用户场景作为模板保存，方便使用；</w:t>
            </w:r>
            <w:r>
              <w:rPr>
                <w:rFonts w:hint="eastAsia" w:ascii="宋体" w:hAnsi="宋体" w:cs="宋体"/>
                <w:color w:val="auto"/>
                <w:highlight w:val="none"/>
              </w:rPr>
              <w:br w:type="textWrapping"/>
            </w:r>
            <w:r>
              <w:rPr>
                <w:rFonts w:hint="eastAsia" w:ascii="宋体" w:hAnsi="宋体" w:cs="宋体"/>
                <w:color w:val="auto"/>
                <w:highlight w:val="none"/>
              </w:rPr>
              <w:t>11.搭载 SuperView III 画质处理技术，支持输出画面无级缩放；</w:t>
            </w:r>
            <w:r>
              <w:rPr>
                <w:rFonts w:hint="eastAsia" w:ascii="宋体" w:hAnsi="宋体" w:cs="宋体"/>
                <w:color w:val="auto"/>
                <w:highlight w:val="none"/>
              </w:rPr>
              <w:br w:type="textWrapping"/>
            </w:r>
            <w:r>
              <w:rPr>
                <w:rFonts w:hint="eastAsia" w:ascii="宋体" w:hAnsi="宋体" w:cs="宋体"/>
                <w:color w:val="auto"/>
                <w:highlight w:val="none"/>
              </w:rPr>
              <w:t>12.支持选择 HDMI 输入源或 DVI 输入源作为同步信号，达到输出的场级同步；</w:t>
            </w:r>
            <w:r>
              <w:rPr>
                <w:rFonts w:hint="eastAsia" w:ascii="宋体" w:hAnsi="宋体" w:cs="宋体"/>
                <w:color w:val="auto"/>
                <w:highlight w:val="none"/>
              </w:rPr>
              <w:br w:type="textWrapping"/>
            </w:r>
            <w:r>
              <w:rPr>
                <w:rFonts w:hint="eastAsia" w:ascii="宋体" w:hAnsi="宋体" w:cs="宋体"/>
                <w:color w:val="auto"/>
                <w:highlight w:val="none"/>
              </w:rPr>
              <w:t>前面板配备直观的LCD显示界面，清晰的按键灯提示，简化了系统的控制操作；</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LED控制器</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单卡最大带载 512×512 像素，支持 24组 RGB 并行数据。采用 12个HUB75接口，具有高稳定性和高可靠性，适用于多种环境的搭建;</w:t>
            </w:r>
            <w:r>
              <w:rPr>
                <w:rFonts w:hint="eastAsia" w:ascii="宋体" w:hAnsi="宋体" w:cs="宋体"/>
                <w:color w:val="auto"/>
                <w:highlight w:val="none"/>
              </w:rPr>
              <w:br w:type="textWrapping"/>
            </w:r>
            <w:r>
              <w:rPr>
                <w:rFonts w:hint="eastAsia" w:ascii="宋体" w:hAnsi="宋体" w:cs="宋体"/>
                <w:color w:val="auto"/>
                <w:highlight w:val="none"/>
              </w:rPr>
              <w:t>2. 支持自主知识产权的逐点亮色度校正，配合原厂对应调试软件和原厂校正软件，对每个灯点的亮度和色度进行校正；</w:t>
            </w:r>
            <w:r>
              <w:rPr>
                <w:rFonts w:hint="eastAsia" w:ascii="宋体" w:hAnsi="宋体" w:cs="宋体"/>
                <w:color w:val="auto"/>
                <w:highlight w:val="none"/>
              </w:rPr>
              <w:br w:type="textWrapping"/>
            </w:r>
            <w:r>
              <w:rPr>
                <w:rFonts w:hint="eastAsia" w:ascii="宋体" w:hAnsi="宋体" w:cs="宋体"/>
                <w:color w:val="auto"/>
                <w:highlight w:val="none"/>
              </w:rPr>
              <w:t>3. 快速亮暗线调节，可在对应调试软件上进行快速亮暗线调节，用来消除灯板与灯板、箱体与箱体之间的缝隙；</w:t>
            </w:r>
            <w:r>
              <w:rPr>
                <w:rFonts w:hint="eastAsia" w:ascii="宋体" w:hAnsi="宋体" w:cs="宋体"/>
                <w:color w:val="auto"/>
                <w:highlight w:val="none"/>
              </w:rPr>
              <w:br w:type="textWrapping"/>
            </w:r>
            <w:r>
              <w:rPr>
                <w:rFonts w:hint="eastAsia" w:ascii="宋体" w:hAnsi="宋体" w:cs="宋体"/>
                <w:color w:val="auto"/>
                <w:highlight w:val="none"/>
              </w:rPr>
              <w:t>4. 支持色彩管理：将显示色域在多个色域之间自由切换，使LED显示屏色彩更精准；</w:t>
            </w:r>
            <w:r>
              <w:rPr>
                <w:rFonts w:hint="eastAsia" w:ascii="宋体" w:hAnsi="宋体" w:cs="宋体"/>
                <w:color w:val="auto"/>
                <w:highlight w:val="none"/>
              </w:rPr>
              <w:br w:type="textWrapping"/>
            </w:r>
            <w:r>
              <w:rPr>
                <w:rFonts w:hint="eastAsia" w:ascii="宋体" w:hAnsi="宋体" w:cs="宋体"/>
                <w:color w:val="auto"/>
                <w:highlight w:val="none"/>
              </w:rPr>
              <w:t>5. 支持18bit+，使LED显示屏灰阶提升4倍，有效处理低亮时低灰丢失问题，使图像显示更细腻；</w:t>
            </w:r>
            <w:r>
              <w:rPr>
                <w:rFonts w:hint="eastAsia" w:ascii="宋体" w:hAnsi="宋体" w:cs="宋体"/>
                <w:color w:val="auto"/>
                <w:highlight w:val="none"/>
              </w:rPr>
              <w:br w:type="textWrapping"/>
            </w:r>
            <w:r>
              <w:rPr>
                <w:rFonts w:hint="eastAsia" w:ascii="宋体" w:hAnsi="宋体" w:cs="宋体"/>
                <w:color w:val="auto"/>
                <w:highlight w:val="none"/>
              </w:rPr>
              <w:t>6. 配合支持 3D 功能的独立主控，在调试软件或独立主控的操作面板上开启 3D 功能，并设置 3D 参数，使画面显示 3D 效果；</w:t>
            </w:r>
            <w:r>
              <w:rPr>
                <w:rFonts w:hint="eastAsia" w:ascii="宋体" w:hAnsi="宋体" w:cs="宋体"/>
                <w:color w:val="auto"/>
                <w:highlight w:val="none"/>
              </w:rPr>
              <w:br w:type="textWrapping"/>
            </w:r>
            <w:r>
              <w:rPr>
                <w:rFonts w:hint="eastAsia" w:ascii="宋体" w:hAnsi="宋体" w:cs="宋体"/>
                <w:color w:val="auto"/>
                <w:highlight w:val="none"/>
              </w:rPr>
              <w:t>7. RGB 独立 Gamma 调节，配合支持 RGB 独立 Gamma 调节的独立主控和对应版本的调试软件通过对“红 Gamma” 、“绿 Gamma” 、 “蓝 Gamma”分别进行调节，有效控制显示屏低灰不均匀、白平衡漂移等问题，使画面更加真实；</w:t>
            </w:r>
            <w:r>
              <w:rPr>
                <w:rFonts w:hint="eastAsia" w:ascii="宋体" w:hAnsi="宋体" w:cs="宋体"/>
                <w:color w:val="auto"/>
                <w:highlight w:val="none"/>
              </w:rPr>
              <w:br w:type="textWrapping"/>
            </w:r>
            <w:r>
              <w:rPr>
                <w:rFonts w:hint="eastAsia" w:ascii="宋体" w:hAnsi="宋体" w:cs="宋体"/>
                <w:color w:val="auto"/>
                <w:highlight w:val="none"/>
              </w:rPr>
              <w:t>8. Mapping 功能在 原厂调试软件上启用 Mapping 功能后，目标箱体上会显示接收卡编号和网口信息，可以清晰获取l 接收卡的位置和走线方式；</w:t>
            </w:r>
            <w:r>
              <w:rPr>
                <w:rFonts w:hint="eastAsia" w:ascii="宋体" w:hAnsi="宋体" w:cs="宋体"/>
                <w:color w:val="auto"/>
                <w:highlight w:val="none"/>
              </w:rPr>
              <w:br w:type="textWrapping"/>
            </w:r>
            <w:r>
              <w:rPr>
                <w:rFonts w:hint="eastAsia" w:ascii="宋体" w:hAnsi="宋体" w:cs="宋体"/>
                <w:color w:val="auto"/>
                <w:highlight w:val="none"/>
              </w:rPr>
              <w:t>9. 接收卡预存画面设置，在调试软件上可以将指定图片设置为显示屏的开机、网线断开或无视频源信号时的画面；</w:t>
            </w:r>
            <w:r>
              <w:rPr>
                <w:rFonts w:hint="eastAsia" w:ascii="宋体" w:hAnsi="宋体" w:cs="宋体"/>
                <w:color w:val="auto"/>
                <w:highlight w:val="none"/>
              </w:rPr>
              <w:br w:type="textWrapping"/>
            </w:r>
            <w:r>
              <w:rPr>
                <w:rFonts w:hint="eastAsia" w:ascii="宋体" w:hAnsi="宋体" w:cs="宋体"/>
                <w:color w:val="auto"/>
                <w:highlight w:val="none"/>
              </w:rPr>
              <w:t>10. 温度和电压监测，可以监测自身的温度和电压，无需其他外设，在原厂调试软件 上可以查看接收卡的温度和电压；</w:t>
            </w:r>
            <w:r>
              <w:rPr>
                <w:rFonts w:hint="eastAsia" w:ascii="宋体" w:hAnsi="宋体" w:cs="宋体"/>
                <w:color w:val="auto"/>
                <w:highlight w:val="none"/>
              </w:rPr>
              <w:br w:type="textWrapping"/>
            </w:r>
            <w:r>
              <w:rPr>
                <w:rFonts w:hint="eastAsia" w:ascii="宋体" w:hAnsi="宋体" w:cs="宋体"/>
                <w:color w:val="auto"/>
                <w:highlight w:val="none"/>
              </w:rPr>
              <w:t>11. 液晶模块，支持原厂的通用 5pin 液晶模块，用于显示接收卡的温度、电压、单次运行时间和总运行时间；</w:t>
            </w:r>
            <w:r>
              <w:rPr>
                <w:rFonts w:hint="eastAsia" w:ascii="宋体" w:hAnsi="宋体" w:cs="宋体"/>
                <w:color w:val="auto"/>
                <w:highlight w:val="none"/>
              </w:rPr>
              <w:br w:type="textWrapping"/>
            </w:r>
            <w:r>
              <w:rPr>
                <w:rFonts w:hint="eastAsia" w:ascii="宋体" w:hAnsi="宋体" w:cs="宋体"/>
                <w:color w:val="auto"/>
                <w:highlight w:val="none"/>
              </w:rPr>
              <w:t>12. 误码率监测，配合对应版本的调试软件 ，监测接收卡间通讯时传输链路上的数据丢包情况；</w:t>
            </w:r>
            <w:r>
              <w:rPr>
                <w:rFonts w:hint="eastAsia" w:ascii="宋体" w:hAnsi="宋体" w:cs="宋体"/>
                <w:color w:val="auto"/>
                <w:highlight w:val="none"/>
              </w:rPr>
              <w:br w:type="textWrapping"/>
            </w:r>
            <w:r>
              <w:rPr>
                <w:rFonts w:hint="eastAsia" w:ascii="宋体" w:hAnsi="宋体" w:cs="宋体"/>
                <w:color w:val="auto"/>
                <w:highlight w:val="none"/>
              </w:rPr>
              <w:t>13. 固件程序回读，在敌营版本软件上可以回读接收卡的固件程序并保存到本地；</w:t>
            </w:r>
            <w:r>
              <w:rPr>
                <w:rFonts w:hint="eastAsia" w:ascii="宋体" w:hAnsi="宋体" w:cs="宋体"/>
                <w:color w:val="auto"/>
                <w:highlight w:val="none"/>
              </w:rPr>
              <w:br w:type="textWrapping"/>
            </w:r>
            <w:r>
              <w:rPr>
                <w:rFonts w:hint="eastAsia" w:ascii="宋体" w:hAnsi="宋体" w:cs="宋体"/>
                <w:color w:val="auto"/>
                <w:highlight w:val="none"/>
              </w:rPr>
              <w:t>配置参数回读，在 调试软件上可以回读接收卡配置参数并保存到本地；</w:t>
            </w:r>
            <w:r>
              <w:rPr>
                <w:rFonts w:hint="eastAsia" w:ascii="宋体" w:hAnsi="宋体" w:cs="宋体"/>
                <w:color w:val="auto"/>
                <w:highlight w:val="none"/>
              </w:rPr>
              <w:br w:type="textWrapping"/>
            </w:r>
            <w:r>
              <w:rPr>
                <w:rFonts w:hint="eastAsia" w:ascii="宋体" w:hAnsi="宋体" w:cs="宋体"/>
                <w:color w:val="auto"/>
                <w:highlight w:val="none"/>
              </w:rPr>
              <w:t>14. 环路备份，通过主备冗余机制增加接收卡串联的可靠性。主备串联线路中，当其中一条线路出现故障时，另一条线路会即时工作，保证显示屏正常工作；</w:t>
            </w:r>
            <w:r>
              <w:rPr>
                <w:rFonts w:hint="eastAsia" w:ascii="宋体" w:hAnsi="宋体" w:cs="宋体"/>
                <w:color w:val="auto"/>
                <w:highlight w:val="none"/>
              </w:rPr>
              <w:br w:type="textWrapping"/>
            </w:r>
            <w:r>
              <w:rPr>
                <w:rFonts w:hint="eastAsia" w:ascii="宋体" w:hAnsi="宋体" w:cs="宋体"/>
                <w:color w:val="auto"/>
                <w:highlight w:val="none"/>
              </w:rPr>
              <w:t>15. 配置参数双备份，通过调试软件在接收卡上保存两份接收卡配置参数，其中一份作为备份参数。</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张</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22</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控制软件</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1.支持视频、音频、图像、文字、Flash、Gif等形式的媒体文件播放；</w:t>
            </w:r>
            <w:r>
              <w:rPr>
                <w:rFonts w:hint="eastAsia" w:ascii="宋体" w:hAnsi="宋体" w:cs="宋体"/>
                <w:color w:val="auto"/>
                <w:highlight w:val="none"/>
              </w:rPr>
              <w:br w:type="textWrapping"/>
            </w:r>
            <w:r>
              <w:rPr>
                <w:rFonts w:hint="eastAsia" w:ascii="宋体" w:hAnsi="宋体" w:cs="宋体"/>
                <w:color w:val="auto"/>
                <w:highlight w:val="none"/>
              </w:rPr>
              <w:t>2.支持Microsoft office的Word、Excel、PPT显示；</w:t>
            </w:r>
            <w:r>
              <w:rPr>
                <w:rFonts w:hint="eastAsia" w:ascii="宋体" w:hAnsi="宋体" w:cs="宋体"/>
                <w:color w:val="auto"/>
                <w:highlight w:val="none"/>
              </w:rPr>
              <w:br w:type="textWrapping"/>
            </w:r>
            <w:r>
              <w:rPr>
                <w:rFonts w:hint="eastAsia" w:ascii="宋体" w:hAnsi="宋体" w:cs="宋体"/>
                <w:color w:val="auto"/>
                <w:highlight w:val="none"/>
              </w:rPr>
              <w:t>3.支持时钟、计时、天气预报显示；</w:t>
            </w:r>
            <w:r>
              <w:rPr>
                <w:rFonts w:hint="eastAsia" w:ascii="宋体" w:hAnsi="宋体" w:cs="宋体"/>
                <w:color w:val="auto"/>
                <w:highlight w:val="none"/>
              </w:rPr>
              <w:br w:type="textWrapping"/>
            </w:r>
            <w:r>
              <w:rPr>
                <w:rFonts w:hint="eastAsia" w:ascii="宋体" w:hAnsi="宋体" w:cs="宋体"/>
                <w:color w:val="auto"/>
                <w:highlight w:val="none"/>
              </w:rPr>
              <w:t>4.支持外部视频信号（TV、AV、S-Video、复合视频）播放；</w:t>
            </w:r>
            <w:r>
              <w:rPr>
                <w:rFonts w:hint="eastAsia" w:ascii="宋体" w:hAnsi="宋体" w:cs="宋体"/>
                <w:color w:val="auto"/>
                <w:highlight w:val="none"/>
              </w:rPr>
              <w:br w:type="textWrapping"/>
            </w:r>
            <w:r>
              <w:rPr>
                <w:rFonts w:hint="eastAsia" w:ascii="宋体" w:hAnsi="宋体" w:cs="宋体"/>
                <w:color w:val="auto"/>
                <w:highlight w:val="none"/>
              </w:rPr>
              <w:t>5.支持多页面多分区节目编辑；</w:t>
            </w:r>
            <w:r>
              <w:rPr>
                <w:rFonts w:hint="eastAsia" w:ascii="宋体" w:hAnsi="宋体" w:cs="宋体"/>
                <w:color w:val="auto"/>
                <w:highlight w:val="none"/>
              </w:rPr>
              <w:br w:type="textWrapping"/>
            </w:r>
            <w:r>
              <w:rPr>
                <w:rFonts w:hint="eastAsia" w:ascii="宋体" w:hAnsi="宋体" w:cs="宋体"/>
                <w:color w:val="auto"/>
                <w:highlight w:val="none"/>
              </w:rPr>
              <w:t>须具备灵活的视频切换功能、分区特效，以及三维动画特效。</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0</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6</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智能配电柜</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10KW智能配电柜。</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7</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钢结构</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1.定制高精度钢架结构，箱体贴墙安装，含不锈钢包边、地面基础及台面恢复，结构牢固安全、基础锚栓、预埋件加固；</w:t>
            </w:r>
            <w:r>
              <w:rPr>
                <w:rFonts w:hint="eastAsia" w:ascii="宋体" w:hAnsi="宋体" w:cs="宋体"/>
                <w:color w:val="auto"/>
                <w:highlight w:val="none"/>
              </w:rPr>
              <w:br w:type="textWrapping"/>
            </w:r>
            <w:r>
              <w:rPr>
                <w:rFonts w:hint="eastAsia" w:ascii="宋体" w:hAnsi="宋体" w:cs="宋体"/>
                <w:color w:val="auto"/>
                <w:highlight w:val="none"/>
              </w:rPr>
              <w:t>2.显示屏主体和外壳保持良好接地，接地电阻小于3欧姆，使雷电引起的大电流及时泄放通过通风对流措施降温，使屏体内部温度在-10℃～40℃之间。</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（二）</w:t>
            </w:r>
          </w:p>
        </w:tc>
        <w:tc>
          <w:tcPr>
            <w:tcW w:w="712"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视频会议室电子屏</w:t>
            </w:r>
          </w:p>
        </w:tc>
        <w:tc>
          <w:tcPr>
            <w:tcW w:w="2741" w:type="pct"/>
            <w:shd w:val="clear" w:color="auto" w:fill="auto"/>
            <w:vAlign w:val="center"/>
          </w:tcPr>
          <w:p>
            <w:pPr>
              <w:pStyle w:val="146"/>
              <w:jc w:val="left"/>
              <w:rPr>
                <w:rFonts w:ascii="宋体" w:hAnsi="宋体" w:cs="宋体"/>
                <w:b/>
                <w:bCs w:val="0"/>
                <w:color w:val="auto"/>
                <w:highlight w:val="none"/>
              </w:rPr>
            </w:pPr>
            <w:r>
              <w:rPr>
                <w:rFonts w:hint="eastAsia" w:ascii="宋体" w:hAnsi="宋体" w:cs="宋体"/>
                <w:b/>
                <w:bCs w:val="0"/>
                <w:color w:val="auto"/>
                <w:highlight w:val="none"/>
              </w:rPr>
              <w:t>单屏体净显示尺寸:宽3.84米×高1.76米=6.76平米</w:t>
            </w:r>
          </w:p>
        </w:tc>
        <w:tc>
          <w:tcPr>
            <w:tcW w:w="416" w:type="pct"/>
            <w:shd w:val="clear" w:color="auto" w:fill="auto"/>
            <w:vAlign w:val="center"/>
          </w:tcPr>
          <w:p>
            <w:pPr>
              <w:pStyle w:val="146"/>
              <w:rPr>
                <w:rFonts w:ascii="宋体" w:hAnsi="宋体" w:cs="宋体"/>
                <w:color w:val="auto"/>
                <w:highlight w:val="none"/>
              </w:rPr>
            </w:pPr>
          </w:p>
        </w:tc>
        <w:tc>
          <w:tcPr>
            <w:tcW w:w="375" w:type="pct"/>
            <w:shd w:val="clear" w:color="auto" w:fill="auto"/>
            <w:vAlign w:val="center"/>
          </w:tcPr>
          <w:p>
            <w:pPr>
              <w:pStyle w:val="146"/>
              <w:rPr>
                <w:rFonts w:ascii="宋体" w:hAnsi="宋体" w:cs="宋体"/>
                <w:color w:val="auto"/>
                <w:highlight w:val="none"/>
              </w:rPr>
            </w:pPr>
          </w:p>
        </w:tc>
        <w:tc>
          <w:tcPr>
            <w:tcW w:w="320" w:type="pct"/>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P1.8全彩LED显示屏</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1.全彩LED显示屏，点间距≤1.86mm，点密度≥288906点/ m²；显示尺寸：宽3840mm×高1760mm（显示尺寸允许±1%偏差），显示分辨率：≥2064×946，满足高清信号点对点显示；</w:t>
            </w:r>
            <w:r>
              <w:rPr>
                <w:rFonts w:hint="eastAsia" w:ascii="宋体" w:hAnsi="宋体" w:cs="宋体"/>
                <w:color w:val="auto"/>
                <w:highlight w:val="none"/>
              </w:rPr>
              <w:br w:type="textWrapping"/>
            </w:r>
            <w:r>
              <w:rPr>
                <w:rFonts w:hint="eastAsia" w:ascii="宋体" w:hAnsi="宋体" w:cs="宋体"/>
                <w:color w:val="auto"/>
                <w:highlight w:val="none"/>
              </w:rPr>
              <w:t>2.PCB材质：黑色 PCB 基板，采用高密度 PCB板材，其 PCB符合盲埋孔沉金工艺HDI，可以耐CAF离子迁移达1000H；</w:t>
            </w:r>
            <w:r>
              <w:rPr>
                <w:rFonts w:hint="eastAsia" w:ascii="宋体" w:hAnsi="宋体" w:cs="宋体"/>
                <w:color w:val="auto"/>
                <w:highlight w:val="none"/>
              </w:rPr>
              <w:br w:type="textWrapping"/>
            </w:r>
            <w:r>
              <w:rPr>
                <w:rFonts w:hint="eastAsia" w:ascii="宋体" w:hAnsi="宋体" w:cs="宋体"/>
                <w:color w:val="auto"/>
                <w:highlight w:val="none"/>
              </w:rPr>
              <w:t>4.功耗：峰值≤390W/㎡,平均功耗≤130W/㎡；</w:t>
            </w:r>
            <w:r>
              <w:rPr>
                <w:rFonts w:hint="eastAsia" w:ascii="宋体" w:hAnsi="宋体" w:cs="宋体"/>
                <w:color w:val="auto"/>
                <w:highlight w:val="none"/>
              </w:rPr>
              <w:br w:type="textWrapping"/>
            </w:r>
            <w:r>
              <w:rPr>
                <w:rFonts w:hint="eastAsia" w:ascii="宋体" w:hAnsi="宋体" w:cs="宋体"/>
                <w:color w:val="auto"/>
                <w:highlight w:val="none"/>
              </w:rPr>
              <w:t>5.亮度：0-1200cd/㎡可调，亮度调节范围：0-255可调，具备自动调节功能；</w:t>
            </w:r>
            <w:r>
              <w:rPr>
                <w:rFonts w:hint="eastAsia" w:ascii="宋体" w:hAnsi="宋体" w:cs="宋体"/>
                <w:color w:val="auto"/>
                <w:highlight w:val="none"/>
              </w:rPr>
              <w:br w:type="textWrapping"/>
            </w:r>
            <w:r>
              <w:rPr>
                <w:rFonts w:hint="eastAsia" w:ascii="宋体" w:hAnsi="宋体" w:cs="宋体"/>
                <w:color w:val="auto"/>
                <w:highlight w:val="none"/>
              </w:rPr>
              <w:t>6.灰度级别：100%亮度≥16bit； 70%亮度≥ 16bit； 50%亮度≥16bit； 20%亮度≥15bit，支持分段校正，提升各个灰阶的显示均匀性；＃</w:t>
            </w:r>
            <w:r>
              <w:rPr>
                <w:rFonts w:hint="eastAsia" w:ascii="宋体" w:hAnsi="宋体" w:cs="宋体"/>
                <w:color w:val="auto"/>
                <w:highlight w:val="none"/>
              </w:rPr>
              <w:br w:type="textWrapping"/>
            </w:r>
            <w:r>
              <w:rPr>
                <w:rFonts w:hint="eastAsia" w:ascii="宋体" w:hAnsi="宋体" w:cs="宋体"/>
                <w:color w:val="auto"/>
                <w:highlight w:val="none"/>
              </w:rPr>
              <w:t>7.可视角度：水平视角≥175°，垂直视角≥175°；</w:t>
            </w:r>
            <w:r>
              <w:rPr>
                <w:rFonts w:hint="eastAsia" w:ascii="宋体" w:hAnsi="宋体" w:cs="宋体"/>
                <w:color w:val="auto"/>
                <w:highlight w:val="none"/>
              </w:rPr>
              <w:br w:type="textWrapping"/>
            </w:r>
            <w:r>
              <w:rPr>
                <w:rFonts w:hint="eastAsia" w:ascii="宋体" w:hAnsi="宋体" w:cs="宋体"/>
                <w:color w:val="auto"/>
                <w:highlight w:val="none"/>
              </w:rPr>
              <w:t>8.亮度均匀性≥99.99%，色温：1000-10000K可调；</w:t>
            </w:r>
            <w:r>
              <w:rPr>
                <w:rFonts w:hint="eastAsia" w:ascii="宋体" w:hAnsi="宋体" w:cs="宋体"/>
                <w:color w:val="auto"/>
                <w:highlight w:val="none"/>
              </w:rPr>
              <w:br w:type="textWrapping"/>
            </w:r>
            <w:r>
              <w:rPr>
                <w:rFonts w:hint="eastAsia" w:ascii="宋体" w:hAnsi="宋体" w:cs="宋体"/>
                <w:color w:val="auto"/>
                <w:highlight w:val="none"/>
              </w:rPr>
              <w:t>9.⾊域覆盖率≥110%；色度均匀性&lt;±0. 001Cx, Cy；</w:t>
            </w:r>
            <w:r>
              <w:rPr>
                <w:rFonts w:hint="eastAsia" w:ascii="宋体" w:hAnsi="宋体" w:cs="宋体"/>
                <w:color w:val="auto"/>
                <w:highlight w:val="none"/>
              </w:rPr>
              <w:br w:type="textWrapping"/>
            </w:r>
            <w:r>
              <w:rPr>
                <w:rFonts w:hint="eastAsia" w:ascii="宋体" w:hAnsi="宋体" w:cs="宋体"/>
                <w:color w:val="auto"/>
                <w:highlight w:val="none"/>
              </w:rPr>
              <w:t>10.对比度：≥11000:l；</w:t>
            </w:r>
            <w:r>
              <w:rPr>
                <w:rFonts w:hint="eastAsia" w:ascii="宋体" w:hAnsi="宋体" w:cs="宋体"/>
                <w:color w:val="auto"/>
                <w:highlight w:val="none"/>
              </w:rPr>
              <w:br w:type="textWrapping"/>
            </w:r>
            <w:r>
              <w:rPr>
                <w:rFonts w:hint="eastAsia" w:ascii="宋体" w:hAnsi="宋体" w:cs="宋体"/>
                <w:color w:val="auto"/>
                <w:highlight w:val="none"/>
              </w:rPr>
              <w:t>11.刷新率≥4800Hz；</w:t>
            </w:r>
            <w:r>
              <w:rPr>
                <w:rFonts w:hint="eastAsia" w:ascii="宋体" w:hAnsi="宋体" w:cs="宋体"/>
                <w:color w:val="auto"/>
                <w:highlight w:val="none"/>
              </w:rPr>
              <w:br w:type="textWrapping"/>
            </w:r>
            <w:r>
              <w:rPr>
                <w:rFonts w:hint="eastAsia" w:ascii="宋体" w:hAnsi="宋体" w:cs="宋体"/>
                <w:color w:val="auto"/>
                <w:highlight w:val="none"/>
              </w:rPr>
              <w:t>12.功率因素：内置电源具备PFC功能，功率因素≥0.95，电流增益调节级别≥8位；</w:t>
            </w:r>
            <w:r>
              <w:rPr>
                <w:rFonts w:hint="eastAsia" w:ascii="宋体" w:hAnsi="宋体" w:cs="宋体"/>
                <w:color w:val="auto"/>
                <w:highlight w:val="none"/>
              </w:rPr>
              <w:br w:type="textWrapping"/>
            </w:r>
            <w:r>
              <w:rPr>
                <w:rFonts w:hint="eastAsia" w:ascii="宋体" w:hAnsi="宋体" w:cs="宋体"/>
                <w:color w:val="auto"/>
                <w:highlight w:val="none"/>
              </w:rPr>
              <w:t>13.</w:t>
            </w:r>
            <w:r>
              <w:rPr>
                <w:rFonts w:hint="eastAsia" w:ascii="宋体" w:hAnsi="宋体" w:cs="宋体"/>
                <w:color w:val="auto"/>
                <w:highlight w:val="none"/>
              </w:rPr>
              <w:t xml:space="preserve"> </w:t>
            </w:r>
            <w:r>
              <w:rPr>
                <w:rFonts w:hint="eastAsia" w:ascii="宋体" w:hAnsi="宋体" w:cs="宋体"/>
                <w:color w:val="auto"/>
                <w:highlight w:val="none"/>
              </w:rPr>
              <w:t>★LED控制系统：同异步控制，具备 USB、TCP/IP、5G多种控制方式，配套信号传输装置釆用非隔离型LED恒流驱动芯片、具备自动矫正技术技术，校正低灰补偿，保障低灰显示效果，支持逐点色度、亮度矫正功能，支持色彩还原技术，任意倍频技术，有效消除手机拍摄时出现的扫描线；提供产品检测报告、功能截图或者产品彩页，并加盖供应商公章。</w:t>
            </w:r>
          </w:p>
          <w:p>
            <w:pPr>
              <w:pStyle w:val="146"/>
              <w:jc w:val="left"/>
              <w:rPr>
                <w:rFonts w:ascii="宋体" w:hAnsi="宋体" w:cs="宋体"/>
                <w:color w:val="auto"/>
                <w:highlight w:val="none"/>
              </w:rPr>
            </w:pPr>
            <w:r>
              <w:rPr>
                <w:rFonts w:hint="eastAsia" w:ascii="宋体" w:hAnsi="宋体" w:cs="宋体"/>
                <w:color w:val="auto"/>
                <w:highlight w:val="none"/>
              </w:rPr>
              <w:t>14.备份功能：具有 1+1，支持电源双备份功能，具有 1+1，接收卡双备份功能，具备同步环接接口、整墙显示信号同步功能，支持热拔插；</w:t>
            </w:r>
            <w:r>
              <w:rPr>
                <w:rFonts w:hint="eastAsia" w:ascii="宋体" w:hAnsi="宋体" w:cs="宋体"/>
                <w:color w:val="auto"/>
                <w:highlight w:val="none"/>
              </w:rPr>
              <w:br w:type="textWrapping"/>
            </w:r>
            <w:r>
              <w:rPr>
                <w:rFonts w:hint="eastAsia" w:ascii="宋体" w:hAnsi="宋体" w:cs="宋体"/>
                <w:color w:val="auto"/>
                <w:highlight w:val="none"/>
              </w:rPr>
              <w:t>15.提供产品性能方面：漏电容限值≤0.5mA，模组机械强度≥25MP，电流增益调节级别≥8位；</w:t>
            </w:r>
            <w:r>
              <w:rPr>
                <w:rFonts w:hint="eastAsia" w:ascii="宋体" w:hAnsi="宋体" w:cs="宋体"/>
                <w:color w:val="auto"/>
                <w:highlight w:val="none"/>
              </w:rPr>
              <w:br w:type="textWrapping"/>
            </w:r>
            <w:r>
              <w:rPr>
                <w:rFonts w:hint="eastAsia" w:ascii="宋体" w:hAnsi="宋体" w:cs="宋体"/>
                <w:color w:val="auto"/>
                <w:highlight w:val="none"/>
              </w:rPr>
              <w:t>16.提供产品安全性方面，通过接触电流测试，符合GB4943.1-2011信息技术设备安全标准；</w:t>
            </w:r>
            <w:r>
              <w:rPr>
                <w:rFonts w:hint="eastAsia" w:ascii="宋体" w:hAnsi="宋体" w:cs="宋体"/>
                <w:color w:val="auto"/>
                <w:highlight w:val="none"/>
              </w:rPr>
              <w:br w:type="textWrapping"/>
            </w:r>
            <w:r>
              <w:rPr>
                <w:rFonts w:hint="eastAsia" w:ascii="宋体" w:hAnsi="宋体" w:cs="宋体"/>
                <w:color w:val="auto"/>
                <w:highlight w:val="none"/>
              </w:rPr>
              <w:t>17.提供产品在高温、低温、潮湿的环境下能够正常使用，通过高低温负荷试验和恒定湿热试验，LED显示屏通过抗电强度试验，有效减少灯珠在正常安装和使用过程中被静电击穿的可能性，通过抗电强度试验，在运输和储存过程中随着温度剧烈变化而不受损坏，通过冷热冲击试验，满足-25℃至48℃正常工作；</w:t>
            </w:r>
            <w:r>
              <w:rPr>
                <w:rFonts w:hint="eastAsia" w:ascii="宋体" w:hAnsi="宋体" w:cs="宋体"/>
                <w:color w:val="auto"/>
                <w:highlight w:val="none"/>
              </w:rPr>
              <w:br w:type="textWrapping"/>
            </w:r>
            <w:r>
              <w:rPr>
                <w:rFonts w:hint="eastAsia" w:ascii="宋体" w:hAnsi="宋体" w:cs="宋体"/>
                <w:color w:val="auto"/>
                <w:highlight w:val="none"/>
              </w:rPr>
              <w:t>18.提供产品防火等级性方面：内部线材材质采用低烟无卤环保材质，PCB阻燃符合V-0阻燃等级要求，内部线材阻燃符合V-1阻燃等级要求，整屏防火满足BS476-7表面燃烧测试1级。</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c>
          <w:tcPr>
            <w:tcW w:w="320" w:type="pct"/>
            <w:vMerge w:val="restart"/>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电源及排线</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显示屏专用电源及排线等辅材。</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LED处理器</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支持常见的视频接口，包括1路3G-SDI，2路HDMI1.3，1路DVI；</w:t>
            </w:r>
            <w:r>
              <w:rPr>
                <w:rFonts w:hint="eastAsia" w:ascii="宋体" w:hAnsi="宋体" w:cs="宋体"/>
                <w:color w:val="auto"/>
                <w:highlight w:val="none"/>
              </w:rPr>
              <w:br w:type="textWrapping"/>
            </w:r>
            <w:r>
              <w:rPr>
                <w:rFonts w:hint="eastAsia" w:ascii="宋体" w:hAnsi="宋体" w:cs="宋体"/>
                <w:color w:val="auto"/>
                <w:highlight w:val="none"/>
              </w:rPr>
              <w:t>2. 单台设备带载能力390万像素，输出最大宽度 10240，高度 8192；</w:t>
            </w:r>
            <w:r>
              <w:rPr>
                <w:rFonts w:hint="eastAsia" w:ascii="宋体" w:hAnsi="宋体" w:cs="宋体"/>
                <w:color w:val="auto"/>
                <w:highlight w:val="none"/>
              </w:rPr>
              <w:br w:type="textWrapping"/>
            </w:r>
            <w:r>
              <w:rPr>
                <w:rFonts w:hint="eastAsia" w:ascii="宋体" w:hAnsi="宋体" w:cs="宋体"/>
                <w:color w:val="auto"/>
                <w:highlight w:val="none"/>
              </w:rPr>
              <w:t>3. 支持3个窗口和1路OSD；</w:t>
            </w:r>
            <w:r>
              <w:rPr>
                <w:rFonts w:hint="eastAsia" w:ascii="宋体" w:hAnsi="宋体" w:cs="宋体"/>
                <w:color w:val="auto"/>
                <w:highlight w:val="none"/>
              </w:rPr>
              <w:br w:type="textWrapping"/>
            </w:r>
            <w:r>
              <w:rPr>
                <w:rFonts w:hint="eastAsia" w:ascii="宋体" w:hAnsi="宋体" w:cs="宋体"/>
                <w:color w:val="auto"/>
                <w:highlight w:val="none"/>
              </w:rPr>
              <w:t>4. 音频输入输出： 支持 HDMI 伴随音频输入， 支持 3.5mm 独立音频输入， 支持 3.5mm 独立音频输出， 支持通过多功能卡进行音频输出;</w:t>
            </w:r>
            <w:r>
              <w:rPr>
                <w:rFonts w:hint="eastAsia" w:ascii="宋体" w:hAnsi="宋体" w:cs="宋体"/>
                <w:color w:val="auto"/>
                <w:highlight w:val="none"/>
              </w:rPr>
              <w:br w:type="textWrapping"/>
            </w:r>
            <w:r>
              <w:rPr>
                <w:rFonts w:hint="eastAsia" w:ascii="宋体" w:hAnsi="宋体" w:cs="宋体"/>
                <w:color w:val="auto"/>
                <w:highlight w:val="none"/>
              </w:rPr>
              <w:t>5. 支持快捷配屏和高级配屏功能；</w:t>
            </w:r>
            <w:r>
              <w:rPr>
                <w:rFonts w:hint="eastAsia" w:ascii="宋体" w:hAnsi="宋体" w:cs="宋体"/>
                <w:color w:val="auto"/>
                <w:highlight w:val="none"/>
              </w:rPr>
              <w:br w:type="textWrapping"/>
            </w:r>
            <w:r>
              <w:rPr>
                <w:rFonts w:hint="eastAsia" w:ascii="宋体" w:hAnsi="宋体" w:cs="宋体"/>
                <w:color w:val="auto"/>
                <w:highlight w:val="none"/>
              </w:rPr>
              <w:t>6. 支持HDMI、DVI输入分辨率自定义调节；</w:t>
            </w:r>
            <w:r>
              <w:rPr>
                <w:rFonts w:hint="eastAsia" w:ascii="宋体" w:hAnsi="宋体" w:cs="宋体"/>
                <w:color w:val="auto"/>
                <w:highlight w:val="none"/>
              </w:rPr>
              <w:br w:type="textWrapping"/>
            </w:r>
            <w:r>
              <w:rPr>
                <w:rFonts w:hint="eastAsia" w:ascii="宋体" w:hAnsi="宋体" w:cs="宋体"/>
                <w:color w:val="auto"/>
                <w:highlight w:val="none"/>
              </w:rPr>
              <w:t>7. 支持输入源热备功能，支持网口间备份;</w:t>
            </w:r>
            <w:r>
              <w:rPr>
                <w:rFonts w:hint="eastAsia" w:ascii="宋体" w:hAnsi="宋体" w:cs="宋体"/>
                <w:color w:val="auto"/>
                <w:highlight w:val="none"/>
              </w:rPr>
              <w:br w:type="textWrapping"/>
            </w:r>
            <w:r>
              <w:rPr>
                <w:rFonts w:hint="eastAsia" w:ascii="宋体" w:hAnsi="宋体" w:cs="宋体"/>
                <w:color w:val="auto"/>
                <w:highlight w:val="none"/>
              </w:rPr>
              <w:t>8. 支持带载屏体亮度调节；</w:t>
            </w:r>
            <w:r>
              <w:rPr>
                <w:rFonts w:hint="eastAsia" w:ascii="宋体" w:hAnsi="宋体" w:cs="宋体"/>
                <w:color w:val="auto"/>
                <w:highlight w:val="none"/>
              </w:rPr>
              <w:br w:type="textWrapping"/>
            </w:r>
            <w:r>
              <w:rPr>
                <w:rFonts w:hint="eastAsia" w:ascii="宋体" w:hAnsi="宋体" w:cs="宋体"/>
                <w:color w:val="auto"/>
                <w:highlight w:val="none"/>
              </w:rPr>
              <w:t>9. 支持一键将优先级最低的窗口全屏自动缩放；</w:t>
            </w:r>
            <w:r>
              <w:rPr>
                <w:rFonts w:hint="eastAsia" w:ascii="宋体" w:hAnsi="宋体" w:cs="宋体"/>
                <w:color w:val="auto"/>
                <w:highlight w:val="none"/>
              </w:rPr>
              <w:br w:type="textWrapping"/>
            </w:r>
            <w:r>
              <w:rPr>
                <w:rFonts w:hint="eastAsia" w:ascii="宋体" w:hAnsi="宋体" w:cs="宋体"/>
                <w:color w:val="auto"/>
                <w:highlight w:val="none"/>
              </w:rPr>
              <w:t>10. 支持创建10个用户场景作为模板保存，方便使用；</w:t>
            </w:r>
            <w:r>
              <w:rPr>
                <w:rFonts w:hint="eastAsia" w:ascii="宋体" w:hAnsi="宋体" w:cs="宋体"/>
                <w:color w:val="auto"/>
                <w:highlight w:val="none"/>
              </w:rPr>
              <w:br w:type="textWrapping"/>
            </w:r>
            <w:r>
              <w:rPr>
                <w:rFonts w:hint="eastAsia" w:ascii="宋体" w:hAnsi="宋体" w:cs="宋体"/>
                <w:color w:val="auto"/>
                <w:highlight w:val="none"/>
              </w:rPr>
              <w:t>11. 搭载 SuperView III 画质处理技术，支持输出画面无级缩放；</w:t>
            </w:r>
            <w:r>
              <w:rPr>
                <w:rFonts w:hint="eastAsia" w:ascii="宋体" w:hAnsi="宋体" w:cs="宋体"/>
                <w:color w:val="auto"/>
                <w:highlight w:val="none"/>
              </w:rPr>
              <w:br w:type="textWrapping"/>
            </w:r>
            <w:r>
              <w:rPr>
                <w:rFonts w:hint="eastAsia" w:ascii="宋体" w:hAnsi="宋体" w:cs="宋体"/>
                <w:color w:val="auto"/>
                <w:highlight w:val="none"/>
              </w:rPr>
              <w:t>12. 支持选择 HDMI 输入源或 DVI 输入源作为同步信号，达到输出的场级同步；</w:t>
            </w:r>
            <w:r>
              <w:rPr>
                <w:rFonts w:hint="eastAsia" w:ascii="宋体" w:hAnsi="宋体" w:cs="宋体"/>
                <w:color w:val="auto"/>
                <w:highlight w:val="none"/>
              </w:rPr>
              <w:br w:type="textWrapping"/>
            </w:r>
            <w:r>
              <w:rPr>
                <w:rFonts w:hint="eastAsia" w:ascii="宋体" w:hAnsi="宋体" w:cs="宋体"/>
                <w:color w:val="auto"/>
                <w:highlight w:val="none"/>
              </w:rPr>
              <w:t>13.前面板配备直观的LCD显示界面，清晰的按键灯提示，简化了系统的控制操作。</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台</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LED控制器</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 单卡最大带载 512×512 像素，支持 24组 RGB 并行数据。采用 12个HUB75接口，具有高稳定性和高可靠性，适用于多种环境的搭建；</w:t>
            </w:r>
            <w:r>
              <w:rPr>
                <w:rFonts w:hint="eastAsia" w:ascii="宋体" w:hAnsi="宋体" w:cs="宋体"/>
                <w:color w:val="auto"/>
                <w:highlight w:val="none"/>
              </w:rPr>
              <w:br w:type="textWrapping"/>
            </w:r>
            <w:r>
              <w:rPr>
                <w:rFonts w:hint="eastAsia" w:ascii="宋体" w:hAnsi="宋体" w:cs="宋体"/>
                <w:color w:val="auto"/>
                <w:highlight w:val="none"/>
              </w:rPr>
              <w:t>2. 支持自主知识产权的逐点亮色度校正，配合原厂对应调试软件和原厂校正软件，对每个灯点的亮度和色度进行校正；</w:t>
            </w:r>
            <w:r>
              <w:rPr>
                <w:rFonts w:hint="eastAsia" w:ascii="宋体" w:hAnsi="宋体" w:cs="宋体"/>
                <w:color w:val="auto"/>
                <w:highlight w:val="none"/>
              </w:rPr>
              <w:br w:type="textWrapping"/>
            </w:r>
            <w:r>
              <w:rPr>
                <w:rFonts w:hint="eastAsia" w:ascii="宋体" w:hAnsi="宋体" w:cs="宋体"/>
                <w:color w:val="auto"/>
                <w:highlight w:val="none"/>
              </w:rPr>
              <w:t>3. 快速亮暗线调节，可在对应调试软件上进行快速亮暗线调节，用来消除灯板与灯板、箱体与箱体之间的缝隙；</w:t>
            </w:r>
            <w:r>
              <w:rPr>
                <w:rFonts w:hint="eastAsia" w:ascii="宋体" w:hAnsi="宋体" w:cs="宋体"/>
                <w:color w:val="auto"/>
                <w:highlight w:val="none"/>
              </w:rPr>
              <w:br w:type="textWrapping"/>
            </w:r>
            <w:r>
              <w:rPr>
                <w:rFonts w:hint="eastAsia" w:ascii="宋体" w:hAnsi="宋体" w:cs="宋体"/>
                <w:color w:val="auto"/>
                <w:highlight w:val="none"/>
              </w:rPr>
              <w:t>4. 支持色彩管理：将显示色域在多个色域之间自由切换，使LED显示屏色彩更精准；</w:t>
            </w:r>
            <w:r>
              <w:rPr>
                <w:rFonts w:hint="eastAsia" w:ascii="宋体" w:hAnsi="宋体" w:cs="宋体"/>
                <w:color w:val="auto"/>
                <w:highlight w:val="none"/>
              </w:rPr>
              <w:br w:type="textWrapping"/>
            </w:r>
            <w:r>
              <w:rPr>
                <w:rFonts w:hint="eastAsia" w:ascii="宋体" w:hAnsi="宋体" w:cs="宋体"/>
                <w:color w:val="auto"/>
                <w:highlight w:val="none"/>
              </w:rPr>
              <w:t>5. 支持18bit+，使LED显示屏灰阶提升4倍，有效处理低亮时低灰丢失问题，使图像显示更细腻；</w:t>
            </w:r>
            <w:r>
              <w:rPr>
                <w:rFonts w:hint="eastAsia" w:ascii="宋体" w:hAnsi="宋体" w:cs="宋体"/>
                <w:color w:val="auto"/>
                <w:highlight w:val="none"/>
              </w:rPr>
              <w:br w:type="textWrapping"/>
            </w:r>
            <w:r>
              <w:rPr>
                <w:rFonts w:hint="eastAsia" w:ascii="宋体" w:hAnsi="宋体" w:cs="宋体"/>
                <w:color w:val="auto"/>
                <w:highlight w:val="none"/>
              </w:rPr>
              <w:t>6. 配合支持 3D 功能的独立主控，在调试软件或独立主控的操作面板上开启 3D 功能，并设置 3D 参数，使画面显示 3D 效果；</w:t>
            </w:r>
            <w:r>
              <w:rPr>
                <w:rFonts w:hint="eastAsia" w:ascii="宋体" w:hAnsi="宋体" w:cs="宋体"/>
                <w:color w:val="auto"/>
                <w:highlight w:val="none"/>
              </w:rPr>
              <w:br w:type="textWrapping"/>
            </w:r>
            <w:r>
              <w:rPr>
                <w:rFonts w:hint="eastAsia" w:ascii="宋体" w:hAnsi="宋体" w:cs="宋体"/>
                <w:color w:val="auto"/>
                <w:highlight w:val="none"/>
              </w:rPr>
              <w:t>7. RGB 独立 Gamma 调节，配合支持 RGB 独立 Gamma 调节的独立主控和对应版本的调试软件通过对“红 Gamma” 、“绿 Gamma” 、 “蓝 Gamma”分别进行调节，有效控制显示屏低灰不均匀、白平衡漂移等问题，使画面更加真实；</w:t>
            </w:r>
            <w:r>
              <w:rPr>
                <w:rFonts w:hint="eastAsia" w:ascii="宋体" w:hAnsi="宋体" w:cs="宋体"/>
                <w:color w:val="auto"/>
                <w:highlight w:val="none"/>
              </w:rPr>
              <w:br w:type="textWrapping"/>
            </w:r>
            <w:r>
              <w:rPr>
                <w:rFonts w:hint="eastAsia" w:ascii="宋体" w:hAnsi="宋体" w:cs="宋体"/>
                <w:color w:val="auto"/>
                <w:highlight w:val="none"/>
              </w:rPr>
              <w:t>8. Mapping 功能在 原厂调试软件上启用 Mapping 功能后，目标箱体上会显示接收卡编号和网口信息，可以清晰获取l 接收卡的位置和走线方式；</w:t>
            </w:r>
            <w:r>
              <w:rPr>
                <w:rFonts w:hint="eastAsia" w:ascii="宋体" w:hAnsi="宋体" w:cs="宋体"/>
                <w:color w:val="auto"/>
                <w:highlight w:val="none"/>
              </w:rPr>
              <w:br w:type="textWrapping"/>
            </w:r>
            <w:r>
              <w:rPr>
                <w:rFonts w:hint="eastAsia" w:ascii="宋体" w:hAnsi="宋体" w:cs="宋体"/>
                <w:color w:val="auto"/>
                <w:highlight w:val="none"/>
              </w:rPr>
              <w:t>9. 接收卡预存画面设置，在调试软件上可以将指定图片设置为显示屏的开机、网线断开或无视频源信号时的画面；</w:t>
            </w:r>
            <w:r>
              <w:rPr>
                <w:rFonts w:hint="eastAsia" w:ascii="宋体" w:hAnsi="宋体" w:cs="宋体"/>
                <w:color w:val="auto"/>
                <w:highlight w:val="none"/>
              </w:rPr>
              <w:br w:type="textWrapping"/>
            </w:r>
            <w:r>
              <w:rPr>
                <w:rFonts w:hint="eastAsia" w:ascii="宋体" w:hAnsi="宋体" w:cs="宋体"/>
                <w:color w:val="auto"/>
                <w:highlight w:val="none"/>
              </w:rPr>
              <w:t>10. 温度和电压监测，可以监测自身的温度和电压，无需其他外设，在原厂调试软件 上可以查看接收卡的温度和电压；</w:t>
            </w:r>
            <w:r>
              <w:rPr>
                <w:rFonts w:hint="eastAsia" w:ascii="宋体" w:hAnsi="宋体" w:cs="宋体"/>
                <w:color w:val="auto"/>
                <w:highlight w:val="none"/>
              </w:rPr>
              <w:br w:type="textWrapping"/>
            </w:r>
            <w:r>
              <w:rPr>
                <w:rFonts w:hint="eastAsia" w:ascii="宋体" w:hAnsi="宋体" w:cs="宋体"/>
                <w:color w:val="auto"/>
                <w:highlight w:val="none"/>
              </w:rPr>
              <w:t>11. 液晶模块，支持原厂的通用 5pin 液晶模块，用于显示接收卡的温度、电压、单次运行时间和总运行时间；</w:t>
            </w:r>
            <w:r>
              <w:rPr>
                <w:rFonts w:hint="eastAsia" w:ascii="宋体" w:hAnsi="宋体" w:cs="宋体"/>
                <w:color w:val="auto"/>
                <w:highlight w:val="none"/>
              </w:rPr>
              <w:br w:type="textWrapping"/>
            </w:r>
            <w:r>
              <w:rPr>
                <w:rFonts w:hint="eastAsia" w:ascii="宋体" w:hAnsi="宋体" w:cs="宋体"/>
                <w:color w:val="auto"/>
                <w:highlight w:val="none"/>
              </w:rPr>
              <w:t>12. 误码率监测，配合对应版本的调试软件 ，监测接收卡间通讯时传输链路上的数据丢包情况；</w:t>
            </w:r>
            <w:r>
              <w:rPr>
                <w:rFonts w:hint="eastAsia" w:ascii="宋体" w:hAnsi="宋体" w:cs="宋体"/>
                <w:color w:val="auto"/>
                <w:highlight w:val="none"/>
              </w:rPr>
              <w:br w:type="textWrapping"/>
            </w:r>
            <w:r>
              <w:rPr>
                <w:rFonts w:hint="eastAsia" w:ascii="宋体" w:hAnsi="宋体" w:cs="宋体"/>
                <w:color w:val="auto"/>
                <w:highlight w:val="none"/>
              </w:rPr>
              <w:t>13. 固件程序回读，在敌营版本软件上可以回读接收卡的固件程序并保存到本地；</w:t>
            </w:r>
            <w:r>
              <w:rPr>
                <w:rFonts w:hint="eastAsia" w:ascii="宋体" w:hAnsi="宋体" w:cs="宋体"/>
                <w:color w:val="auto"/>
                <w:highlight w:val="none"/>
              </w:rPr>
              <w:br w:type="textWrapping"/>
            </w:r>
            <w:r>
              <w:rPr>
                <w:rFonts w:hint="eastAsia" w:ascii="宋体" w:hAnsi="宋体" w:cs="宋体"/>
                <w:color w:val="auto"/>
                <w:highlight w:val="none"/>
              </w:rPr>
              <w:t>配置参数回读，在调试软件上可以回读接收卡配置参数并保存到本地；</w:t>
            </w:r>
            <w:r>
              <w:rPr>
                <w:rFonts w:hint="eastAsia" w:ascii="宋体" w:hAnsi="宋体" w:cs="宋体"/>
                <w:color w:val="auto"/>
                <w:highlight w:val="none"/>
              </w:rPr>
              <w:br w:type="textWrapping"/>
            </w:r>
            <w:r>
              <w:rPr>
                <w:rFonts w:hint="eastAsia" w:ascii="宋体" w:hAnsi="宋体" w:cs="宋体"/>
                <w:color w:val="auto"/>
                <w:highlight w:val="none"/>
              </w:rPr>
              <w:t>14. 环路备份，通过主备冗余机制增加接收卡串联的可靠性。主备串联线路中，当其中一条线路出现故障时，另一条线路会即时工作，保证显示屏正常工作；</w:t>
            </w:r>
            <w:r>
              <w:rPr>
                <w:rFonts w:hint="eastAsia" w:ascii="宋体" w:hAnsi="宋体" w:cs="宋体"/>
                <w:color w:val="auto"/>
                <w:highlight w:val="none"/>
              </w:rPr>
              <w:br w:type="textWrapping"/>
            </w:r>
            <w:r>
              <w:rPr>
                <w:rFonts w:hint="eastAsia" w:ascii="宋体" w:hAnsi="宋体" w:cs="宋体"/>
                <w:color w:val="auto"/>
                <w:highlight w:val="none"/>
              </w:rPr>
              <w:t>15. 配置参数双备份，通过调试软件在接收卡上保存两份接收卡配置参数，其中一份作为备份参数；</w:t>
            </w:r>
            <w:r>
              <w:rPr>
                <w:rFonts w:hint="eastAsia" w:ascii="宋体" w:hAnsi="宋体" w:cs="宋体"/>
                <w:color w:val="auto"/>
                <w:highlight w:val="none"/>
              </w:rPr>
              <w:br w:type="textWrapping"/>
            </w:r>
            <w:r>
              <w:rPr>
                <w:rFonts w:hint="eastAsia" w:ascii="宋体" w:hAnsi="宋体" w:cs="宋体"/>
                <w:color w:val="auto"/>
                <w:highlight w:val="none"/>
              </w:rPr>
              <w:t>16. 双程序备份，接收卡出厂时保存了两份应用程序，以防程序更新异常导致的升级卡死。</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张</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24</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控制软件</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LED多屏播放及控制软件。</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0</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6</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智能配电柜</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10KW智能配电柜。</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套</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33" w:type="pct"/>
            <w:shd w:val="clear" w:color="auto" w:fill="auto"/>
            <w:noWrap/>
            <w:vAlign w:val="center"/>
          </w:tcPr>
          <w:p>
            <w:pPr>
              <w:pStyle w:val="146"/>
              <w:rPr>
                <w:rFonts w:ascii="宋体" w:hAnsi="宋体" w:cs="宋体"/>
                <w:color w:val="auto"/>
                <w:highlight w:val="none"/>
              </w:rPr>
            </w:pPr>
            <w:r>
              <w:rPr>
                <w:rFonts w:hint="eastAsia" w:ascii="宋体" w:hAnsi="宋体" w:cs="宋体"/>
                <w:color w:val="auto"/>
                <w:highlight w:val="none"/>
              </w:rPr>
              <w:t>7</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钢结构</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1.定制高精度钢架结构，箱体贴墙安装，含不锈钢包边、地面基础及台面恢复，结构牢固安全、基础锚栓、预埋件加固；</w:t>
            </w:r>
            <w:r>
              <w:rPr>
                <w:rFonts w:hint="eastAsia" w:ascii="宋体" w:hAnsi="宋体" w:cs="宋体"/>
                <w:color w:val="auto"/>
                <w:highlight w:val="none"/>
              </w:rPr>
              <w:br w:type="textWrapping"/>
            </w:r>
            <w:r>
              <w:rPr>
                <w:rFonts w:hint="eastAsia" w:ascii="宋体" w:hAnsi="宋体" w:cs="宋体"/>
                <w:color w:val="auto"/>
                <w:highlight w:val="none"/>
              </w:rPr>
              <w:t>2.显示屏主体和外壳保持良好接地，接地电阻小于3欧姆，使雷电引起的大电流及时泄放通过通风对流措施降温，使屏体内部温度在-10℃～40℃之间。</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6.76</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33" w:type="pct"/>
            <w:shd w:val="clear" w:color="auto" w:fill="auto"/>
            <w:noWrap/>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六、</w:t>
            </w:r>
          </w:p>
        </w:tc>
        <w:tc>
          <w:tcPr>
            <w:tcW w:w="712"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辅材</w:t>
            </w:r>
          </w:p>
        </w:tc>
        <w:tc>
          <w:tcPr>
            <w:tcW w:w="2741" w:type="pct"/>
            <w:shd w:val="clear" w:color="auto" w:fill="auto"/>
            <w:vAlign w:val="center"/>
          </w:tcPr>
          <w:p>
            <w:pPr>
              <w:pStyle w:val="146"/>
              <w:jc w:val="left"/>
              <w:rPr>
                <w:rFonts w:ascii="宋体" w:hAnsi="宋体" w:cs="宋体"/>
                <w:color w:val="auto"/>
                <w:highlight w:val="none"/>
              </w:rPr>
            </w:pP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w:t>
            </w:r>
          </w:p>
        </w:tc>
        <w:tc>
          <w:tcPr>
            <w:tcW w:w="320" w:type="pct"/>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33"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网线</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六类网线、非屏蔽纯铜线千兆网线箱线灰色</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箱</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w:t>
            </w:r>
          </w:p>
        </w:tc>
        <w:tc>
          <w:tcPr>
            <w:tcW w:w="320" w:type="pct"/>
            <w:vMerge w:val="restar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33" w:type="pct"/>
            <w:vMerge w:val="restar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2</w:t>
            </w:r>
          </w:p>
        </w:tc>
        <w:tc>
          <w:tcPr>
            <w:tcW w:w="712" w:type="pct"/>
            <w:vMerge w:val="restar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HDMI线</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15米</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条</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33" w:type="pct"/>
            <w:vMerge w:val="continue"/>
            <w:shd w:val="clear" w:color="auto" w:fill="auto"/>
            <w:vAlign w:val="center"/>
          </w:tcPr>
          <w:p>
            <w:pPr>
              <w:pStyle w:val="146"/>
              <w:rPr>
                <w:rFonts w:ascii="宋体" w:hAnsi="宋体" w:cs="宋体"/>
                <w:color w:val="auto"/>
                <w:highlight w:val="none"/>
              </w:rPr>
            </w:pPr>
          </w:p>
        </w:tc>
        <w:tc>
          <w:tcPr>
            <w:tcW w:w="712" w:type="pct"/>
            <w:vMerge w:val="continue"/>
            <w:shd w:val="clear" w:color="auto" w:fill="auto"/>
            <w:vAlign w:val="center"/>
          </w:tcPr>
          <w:p>
            <w:pPr>
              <w:pStyle w:val="146"/>
              <w:rPr>
                <w:rFonts w:ascii="宋体" w:hAnsi="宋体" w:cs="宋体"/>
                <w:color w:val="auto"/>
                <w:highlight w:val="none"/>
              </w:rPr>
            </w:pP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5米</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条</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33" w:type="pct"/>
            <w:vMerge w:val="restar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3</w:t>
            </w:r>
          </w:p>
        </w:tc>
        <w:tc>
          <w:tcPr>
            <w:tcW w:w="712" w:type="pct"/>
            <w:vMerge w:val="restar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电源线</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RVV 3*4.0</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米</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10</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33" w:type="pct"/>
            <w:vMerge w:val="continue"/>
            <w:shd w:val="clear" w:color="auto" w:fill="auto"/>
            <w:vAlign w:val="center"/>
          </w:tcPr>
          <w:p>
            <w:pPr>
              <w:pStyle w:val="146"/>
              <w:rPr>
                <w:rFonts w:ascii="宋体" w:hAnsi="宋体" w:cs="宋体"/>
                <w:color w:val="auto"/>
                <w:highlight w:val="none"/>
              </w:rPr>
            </w:pPr>
          </w:p>
        </w:tc>
        <w:tc>
          <w:tcPr>
            <w:tcW w:w="712" w:type="pct"/>
            <w:vMerge w:val="continue"/>
            <w:shd w:val="clear" w:color="auto" w:fill="auto"/>
            <w:vAlign w:val="center"/>
          </w:tcPr>
          <w:p>
            <w:pPr>
              <w:pStyle w:val="146"/>
              <w:rPr>
                <w:rFonts w:ascii="宋体" w:hAnsi="宋体" w:cs="宋体"/>
                <w:color w:val="auto"/>
                <w:highlight w:val="none"/>
              </w:rPr>
            </w:pP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RVV 3*1.5</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米</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100</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33"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4</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插线板</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六分位1.8米</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个</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33"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水晶头</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六类水晶头，镀金RJ45工程类千兆水晶头</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个</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100</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3"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6</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电源面板</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86*86mm，五孔</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个</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10</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33"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7</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网线面板</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86型，六类</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个</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5</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33"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8</w:t>
            </w:r>
          </w:p>
        </w:tc>
        <w:tc>
          <w:tcPr>
            <w:tcW w:w="712"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底盒</w:t>
            </w:r>
          </w:p>
        </w:tc>
        <w:tc>
          <w:tcPr>
            <w:tcW w:w="2741" w:type="pct"/>
            <w:shd w:val="clear" w:color="auto" w:fill="auto"/>
            <w:vAlign w:val="center"/>
          </w:tcPr>
          <w:p>
            <w:pPr>
              <w:pStyle w:val="146"/>
              <w:jc w:val="left"/>
              <w:rPr>
                <w:rFonts w:ascii="宋体" w:hAnsi="宋体" w:cs="宋体"/>
                <w:color w:val="auto"/>
                <w:highlight w:val="none"/>
              </w:rPr>
            </w:pPr>
            <w:r>
              <w:rPr>
                <w:rFonts w:hint="eastAsia" w:ascii="宋体" w:hAnsi="宋体" w:cs="宋体"/>
                <w:color w:val="auto"/>
                <w:highlight w:val="none"/>
              </w:rPr>
              <w:t>86型</w:t>
            </w:r>
          </w:p>
        </w:tc>
        <w:tc>
          <w:tcPr>
            <w:tcW w:w="416"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个</w:t>
            </w:r>
          </w:p>
        </w:tc>
        <w:tc>
          <w:tcPr>
            <w:tcW w:w="375" w:type="pct"/>
            <w:shd w:val="clear" w:color="auto" w:fill="auto"/>
            <w:vAlign w:val="center"/>
          </w:tcPr>
          <w:p>
            <w:pPr>
              <w:pStyle w:val="146"/>
              <w:rPr>
                <w:rFonts w:ascii="宋体" w:hAnsi="宋体" w:cs="宋体"/>
                <w:color w:val="auto"/>
                <w:highlight w:val="none"/>
              </w:rPr>
            </w:pPr>
            <w:r>
              <w:rPr>
                <w:rFonts w:hint="eastAsia" w:ascii="宋体" w:hAnsi="宋体" w:cs="宋体"/>
                <w:color w:val="auto"/>
                <w:highlight w:val="none"/>
              </w:rPr>
              <w:t>15</w:t>
            </w:r>
          </w:p>
        </w:tc>
        <w:tc>
          <w:tcPr>
            <w:tcW w:w="320" w:type="pct"/>
            <w:vMerge w:val="continue"/>
            <w:vAlign w:val="center"/>
          </w:tcPr>
          <w:p>
            <w:pPr>
              <w:pStyle w:val="146"/>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33"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七、</w:t>
            </w:r>
          </w:p>
        </w:tc>
        <w:tc>
          <w:tcPr>
            <w:tcW w:w="712"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机房改造升级及集成服务</w:t>
            </w:r>
          </w:p>
        </w:tc>
        <w:tc>
          <w:tcPr>
            <w:tcW w:w="2741" w:type="pct"/>
            <w:shd w:val="clear" w:color="auto" w:fill="auto"/>
            <w:vAlign w:val="center"/>
          </w:tcPr>
          <w:p>
            <w:pPr>
              <w:pStyle w:val="146"/>
              <w:jc w:val="left"/>
              <w:rPr>
                <w:rFonts w:ascii="宋体" w:hAnsi="宋体" w:cs="宋体"/>
                <w:color w:val="auto"/>
                <w:highlight w:val="none"/>
              </w:rPr>
            </w:pPr>
          </w:p>
        </w:tc>
        <w:tc>
          <w:tcPr>
            <w:tcW w:w="416"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w:t>
            </w:r>
          </w:p>
        </w:tc>
        <w:tc>
          <w:tcPr>
            <w:tcW w:w="375" w:type="pct"/>
            <w:shd w:val="clear" w:color="auto" w:fill="auto"/>
            <w:vAlign w:val="center"/>
          </w:tcPr>
          <w:p>
            <w:pPr>
              <w:pStyle w:val="146"/>
              <w:rPr>
                <w:rFonts w:ascii="宋体" w:hAnsi="宋体" w:cs="宋体"/>
                <w:b/>
                <w:bCs w:val="0"/>
                <w:color w:val="auto"/>
                <w:highlight w:val="none"/>
              </w:rPr>
            </w:pPr>
            <w:r>
              <w:rPr>
                <w:rFonts w:hint="eastAsia" w:ascii="宋体" w:hAnsi="宋体" w:cs="宋体"/>
                <w:b/>
                <w:bCs w:val="0"/>
                <w:color w:val="auto"/>
                <w:highlight w:val="none"/>
              </w:rPr>
              <w:t>/</w:t>
            </w:r>
          </w:p>
        </w:tc>
        <w:tc>
          <w:tcPr>
            <w:tcW w:w="320" w:type="pct"/>
            <w:vAlign w:val="center"/>
          </w:tcPr>
          <w:p>
            <w:pPr>
              <w:pStyle w:val="146"/>
              <w:rPr>
                <w:rFonts w:ascii="宋体" w:hAnsi="宋体" w:cs="宋体"/>
                <w:b/>
                <w:bCs w:val="0"/>
                <w:color w:val="auto"/>
                <w:highlight w:val="none"/>
              </w:rPr>
            </w:pPr>
          </w:p>
        </w:tc>
      </w:tr>
    </w:tbl>
    <w:p>
      <w:pPr>
        <w:pStyle w:val="147"/>
        <w:numPr>
          <w:ilvl w:val="0"/>
          <w:numId w:val="10"/>
        </w:numPr>
        <w:spacing w:before="240" w:after="240"/>
        <w:rPr>
          <w:color w:val="auto"/>
          <w:sz w:val="24"/>
          <w:szCs w:val="20"/>
          <w:highlight w:val="none"/>
        </w:rPr>
      </w:pPr>
      <w:r>
        <w:rPr>
          <w:rFonts w:hint="eastAsia"/>
          <w:color w:val="auto"/>
          <w:sz w:val="24"/>
          <w:szCs w:val="20"/>
          <w:highlight w:val="none"/>
        </w:rPr>
        <w:t>商务条款</w:t>
      </w:r>
    </w:p>
    <w:p>
      <w:pPr>
        <w:widowControl/>
        <w:spacing w:line="360" w:lineRule="auto"/>
        <w:jc w:val="left"/>
        <w:rPr>
          <w:color w:val="auto"/>
          <w:sz w:val="24"/>
          <w:szCs w:val="32"/>
          <w:highlight w:val="none"/>
        </w:rPr>
      </w:pPr>
      <w:r>
        <w:rPr>
          <w:rFonts w:hint="eastAsia"/>
          <w:color w:val="auto"/>
          <w:sz w:val="24"/>
          <w:szCs w:val="32"/>
          <w:highlight w:val="none"/>
        </w:rPr>
        <w:t>5.1交货期：自合同签订之日起</w:t>
      </w:r>
      <w:r>
        <w:rPr>
          <w:rFonts w:hint="eastAsia"/>
          <w:color w:val="auto"/>
          <w:sz w:val="24"/>
          <w:szCs w:val="32"/>
          <w:highlight w:val="none"/>
          <w:lang w:val="en-US" w:eastAsia="zh-CN"/>
        </w:rPr>
        <w:t>30</w:t>
      </w:r>
      <w:r>
        <w:rPr>
          <w:rFonts w:hint="eastAsia"/>
          <w:color w:val="auto"/>
          <w:sz w:val="24"/>
          <w:szCs w:val="32"/>
          <w:highlight w:val="none"/>
        </w:rPr>
        <w:t>个日历日</w:t>
      </w:r>
    </w:p>
    <w:p>
      <w:pPr>
        <w:widowControl/>
        <w:spacing w:line="360" w:lineRule="auto"/>
        <w:jc w:val="left"/>
        <w:rPr>
          <w:color w:val="auto"/>
          <w:sz w:val="24"/>
          <w:szCs w:val="32"/>
          <w:highlight w:val="none"/>
        </w:rPr>
      </w:pPr>
      <w:r>
        <w:rPr>
          <w:rFonts w:hint="eastAsia"/>
          <w:color w:val="auto"/>
          <w:sz w:val="24"/>
          <w:szCs w:val="32"/>
          <w:highlight w:val="none"/>
        </w:rPr>
        <w:t>5.2交货地点：西安市阎良区延安街7号。</w:t>
      </w:r>
    </w:p>
    <w:p>
      <w:pPr>
        <w:widowControl/>
        <w:spacing w:line="360" w:lineRule="auto"/>
        <w:jc w:val="left"/>
        <w:rPr>
          <w:color w:val="auto"/>
          <w:sz w:val="24"/>
          <w:szCs w:val="32"/>
          <w:highlight w:val="none"/>
        </w:rPr>
      </w:pPr>
      <w:r>
        <w:rPr>
          <w:rFonts w:hint="eastAsia"/>
          <w:color w:val="auto"/>
          <w:sz w:val="24"/>
          <w:szCs w:val="32"/>
          <w:highlight w:val="none"/>
        </w:rPr>
        <w:t>5.3质保期：验收合格之日起</w:t>
      </w:r>
      <w:r>
        <w:rPr>
          <w:rFonts w:hint="eastAsia"/>
          <w:color w:val="auto"/>
          <w:sz w:val="24"/>
          <w:szCs w:val="32"/>
          <w:highlight w:val="none"/>
          <w:lang w:val="en-US" w:eastAsia="zh-CN"/>
        </w:rPr>
        <w:t>2</w:t>
      </w:r>
      <w:r>
        <w:rPr>
          <w:rFonts w:hint="eastAsia"/>
          <w:color w:val="auto"/>
          <w:sz w:val="24"/>
          <w:szCs w:val="32"/>
          <w:highlight w:val="none"/>
        </w:rPr>
        <w:t>年。</w:t>
      </w:r>
    </w:p>
    <w:p>
      <w:pPr>
        <w:widowControl/>
        <w:spacing w:line="360" w:lineRule="auto"/>
        <w:jc w:val="left"/>
        <w:rPr>
          <w:color w:val="auto"/>
          <w:sz w:val="24"/>
          <w:szCs w:val="32"/>
          <w:highlight w:val="none"/>
        </w:rPr>
      </w:pPr>
      <w:r>
        <w:rPr>
          <w:rFonts w:hint="eastAsia"/>
          <w:color w:val="auto"/>
          <w:sz w:val="24"/>
          <w:szCs w:val="32"/>
          <w:highlight w:val="none"/>
        </w:rPr>
        <w:t>5.4付款方式：到货后10个工作日内支付合同总价款的 40%作为预付款；验收合格后，10 个工作日内支付合同总价款的 60%。</w:t>
      </w:r>
    </w:p>
    <w:p>
      <w:pPr>
        <w:widowControl/>
        <w:spacing w:line="360" w:lineRule="auto"/>
        <w:jc w:val="left"/>
        <w:rPr>
          <w:color w:val="auto"/>
          <w:sz w:val="24"/>
          <w:szCs w:val="32"/>
          <w:highlight w:val="none"/>
        </w:rPr>
      </w:pPr>
      <w:r>
        <w:rPr>
          <w:rFonts w:hint="eastAsia"/>
          <w:color w:val="auto"/>
          <w:sz w:val="24"/>
          <w:szCs w:val="32"/>
          <w:highlight w:val="none"/>
        </w:rPr>
        <w:t>5.5服务要求：在合同执行过程中需要供应商应执行的伴随服务的服务标准或应当履行的相关义务。包括且不限于售后服务、培训服务等。</w:t>
      </w:r>
    </w:p>
    <w:p>
      <w:pPr>
        <w:pStyle w:val="2"/>
        <w:rPr>
          <w:color w:val="auto"/>
          <w:highlight w:val="none"/>
        </w:rPr>
      </w:pPr>
    </w:p>
    <w:p>
      <w:pPr>
        <w:pStyle w:val="2"/>
        <w:spacing w:line="360" w:lineRule="auto"/>
        <w:jc w:val="left"/>
        <w:rPr>
          <w:color w:val="auto"/>
          <w:sz w:val="24"/>
          <w:szCs w:val="32"/>
          <w:highlight w:val="none"/>
        </w:rPr>
      </w:pPr>
    </w:p>
    <w:p>
      <w:pPr>
        <w:tabs>
          <w:tab w:val="left" w:pos="210"/>
        </w:tabs>
        <w:autoSpaceDE w:val="0"/>
        <w:autoSpaceDN w:val="0"/>
        <w:adjustRightInd w:val="0"/>
        <w:spacing w:line="500" w:lineRule="exact"/>
        <w:ind w:firstLine="420" w:firstLineChars="200"/>
        <w:jc w:val="left"/>
        <w:rPr>
          <w:rFonts w:ascii="新宋体" w:hAnsi="新宋体" w:eastAsia="新宋体" w:cs="新宋体"/>
          <w:color w:val="auto"/>
          <w:kern w:val="0"/>
          <w:szCs w:val="21"/>
          <w:highlight w:val="none"/>
        </w:rPr>
      </w:pPr>
    </w:p>
    <w:p>
      <w:pPr>
        <w:pStyle w:val="3"/>
        <w:numPr>
          <w:ilvl w:val="0"/>
          <w:numId w:val="0"/>
        </w:numPr>
        <w:tabs>
          <w:tab w:val="clear" w:pos="324"/>
        </w:tabs>
        <w:spacing w:line="360" w:lineRule="auto"/>
        <w:rPr>
          <w:rFonts w:ascii="宋体" w:hAnsi="宋体" w:eastAsia="宋体" w:cs="宋体"/>
          <w:b/>
          <w:bCs/>
          <w:color w:val="auto"/>
          <w:sz w:val="28"/>
          <w:szCs w:val="36"/>
          <w:highlight w:val="none"/>
        </w:rPr>
      </w:pPr>
      <w:r>
        <w:rPr>
          <w:rFonts w:ascii="新宋体" w:hAnsi="新宋体" w:eastAsia="新宋体" w:cs="新宋体"/>
          <w:color w:val="auto"/>
          <w:kern w:val="0"/>
          <w:szCs w:val="21"/>
          <w:highlight w:val="none"/>
        </w:rPr>
        <w:br w:type="page"/>
      </w:r>
      <w:bookmarkStart w:id="7" w:name="_Toc15129"/>
      <w:r>
        <w:rPr>
          <w:rFonts w:hint="eastAsia" w:ascii="宋体" w:hAnsi="宋体" w:eastAsia="宋体" w:cs="宋体"/>
          <w:b/>
          <w:bCs/>
          <w:color w:val="auto"/>
          <w:sz w:val="28"/>
          <w:szCs w:val="36"/>
          <w:highlight w:val="none"/>
        </w:rPr>
        <w:t>第五章  合同条款</w:t>
      </w:r>
      <w:bookmarkEnd w:id="7"/>
    </w:p>
    <w:p>
      <w:pPr>
        <w:spacing w:line="480" w:lineRule="exact"/>
        <w:ind w:firstLine="422" w:firstLineChars="200"/>
        <w:rPr>
          <w:b/>
          <w:bCs/>
          <w:color w:val="auto"/>
          <w:szCs w:val="21"/>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 购 合 同</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本合同是甲乙双方在友好、平等和互利的基础下，就乙方向甲方提供相关产品事宜，经协商一致而达成的，以资双方信守执行。</w:t>
      </w:r>
    </w:p>
    <w:p>
      <w:pPr>
        <w:pStyle w:val="142"/>
        <w:numPr>
          <w:ilvl w:val="0"/>
          <w:numId w:val="0"/>
        </w:numPr>
        <w:spacing w:line="360" w:lineRule="auto"/>
        <w:ind w:left="475"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货物详细技术参数（附件一）。</w:t>
      </w:r>
    </w:p>
    <w:p>
      <w:pPr>
        <w:pStyle w:val="142"/>
        <w:numPr>
          <w:ilvl w:val="0"/>
          <w:numId w:val="0"/>
        </w:numPr>
        <w:spacing w:line="360" w:lineRule="auto"/>
        <w:ind w:left="475"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合同价款及支付、项目验收：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1、本合同价款为（含税价）为：人民币大写</w:t>
      </w:r>
      <w:permStart w:id="0" w:edGrp="everyone"/>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ermEnd w:id="0"/>
      <w:r>
        <w:rPr>
          <w:rFonts w:hint="eastAsia" w:ascii="宋体" w:hAnsi="宋体" w:eastAsia="宋体" w:cs="宋体"/>
          <w:color w:val="auto"/>
          <w:sz w:val="24"/>
          <w:szCs w:val="24"/>
          <w:highlight w:val="none"/>
        </w:rPr>
        <w:t>元，小写[  ]元；其中价款为人民币大写[  ]元，小写[  ]元，增值税款为人民币大写[  ]元，小写[  ]元。</w:t>
      </w:r>
    </w:p>
    <w:p>
      <w:pPr>
        <w:pStyle w:val="142"/>
        <w:numPr>
          <w:ilvl w:val="0"/>
          <w:numId w:val="0"/>
        </w:numPr>
        <w:spacing w:line="360" w:lineRule="auto"/>
        <w:ind w:left="27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上述合同总价为固定价格并不可更改。</w:t>
      </w:r>
    </w:p>
    <w:p>
      <w:pPr>
        <w:pStyle w:val="142"/>
        <w:numPr>
          <w:ilvl w:val="0"/>
          <w:numId w:val="0"/>
        </w:numPr>
        <w:spacing w:line="360" w:lineRule="auto"/>
        <w:ind w:left="27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w:t>
      </w:r>
      <w:r>
        <w:rPr>
          <w:rFonts w:hint="eastAsia"/>
          <w:color w:val="auto"/>
          <w:sz w:val="24"/>
          <w:szCs w:val="32"/>
          <w:highlight w:val="none"/>
        </w:rPr>
        <w:t>到货后10个工作日内支付合同总价款的 40%作为预付款；验收合格后，10 个工作日内支付合同总价款的 60%。</w:t>
      </w:r>
      <w:r>
        <w:rPr>
          <w:rFonts w:hint="eastAsia" w:ascii="宋体" w:hAnsi="宋体" w:eastAsia="宋体" w:cs="宋体"/>
          <w:color w:val="auto"/>
          <w:sz w:val="24"/>
          <w:szCs w:val="24"/>
          <w:highlight w:val="none"/>
          <w:lang w:val="en-US" w:eastAsia="zh-CN"/>
        </w:rPr>
        <w:t xml:space="preserve"> </w:t>
      </w:r>
    </w:p>
    <w:p>
      <w:pPr>
        <w:pStyle w:val="142"/>
        <w:numPr>
          <w:ilvl w:val="0"/>
          <w:numId w:val="0"/>
        </w:numPr>
        <w:spacing w:line="360" w:lineRule="auto"/>
        <w:ind w:left="27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验收标准：</w:t>
      </w:r>
    </w:p>
    <w:p>
      <w:pPr>
        <w:pStyle w:val="142"/>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清单内所有硬件的安装调试，软件系统具备提供应有的服务能力并试运行10个工作日，如无问题由乙方提出验收申请，甲方在收到验收申请后7个日历日内组织验收，如若甲方验收不合格，乙方应在7个日历日内整改完毕并再次提交验收申请，甲方在收到验收申请后7个日历日内再次组织验收，如因甲方原因未验收，视为验收合格通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乙方户名：</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开户行：</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4、卖方向买方开具增值税专用发票的，卖方应派专人或使用挂号信件或特快专递方式在增值税专用发票开具后</w:t>
      </w:r>
      <w:r>
        <w:rPr>
          <w:rFonts w:hint="eastAsia" w:ascii="宋体" w:hAnsi="宋体" w:eastAsia="宋体" w:cs="宋体"/>
          <w:color w:val="auto"/>
          <w:sz w:val="24"/>
          <w:szCs w:val="24"/>
          <w:highlight w:val="none"/>
          <w:shd w:val="pct10" w:color="auto" w:fill="FFFFFF"/>
        </w:rPr>
        <w:t>[30]日</w:t>
      </w:r>
      <w:r>
        <w:rPr>
          <w:rFonts w:hint="eastAsia" w:ascii="宋体" w:hAnsi="宋体" w:eastAsia="宋体" w:cs="宋体"/>
          <w:color w:val="auto"/>
          <w:sz w:val="24"/>
          <w:szCs w:val="24"/>
          <w:highlight w:val="none"/>
        </w:rPr>
        <w:t>内送达买方，送达日期以</w:t>
      </w:r>
      <w:r>
        <w:rPr>
          <w:rFonts w:hint="eastAsia" w:ascii="宋体" w:hAnsi="宋体" w:eastAsia="宋体" w:cs="宋体"/>
          <w:color w:val="auto"/>
          <w:sz w:val="24"/>
          <w:szCs w:val="24"/>
          <w:highlight w:val="none"/>
          <w:shd w:val="pct10" w:color="auto" w:fill="FFFFFF"/>
        </w:rPr>
        <w:t>买方签收日期</w:t>
      </w:r>
      <w:r>
        <w:rPr>
          <w:rFonts w:hint="eastAsia" w:ascii="宋体" w:hAnsi="宋体" w:eastAsia="宋体" w:cs="宋体"/>
          <w:color w:val="auto"/>
          <w:sz w:val="24"/>
          <w:szCs w:val="24"/>
          <w:highlight w:val="none"/>
        </w:rPr>
        <w:t>为准；逾期送达的，每逾期</w:t>
      </w:r>
      <w:r>
        <w:rPr>
          <w:rFonts w:hint="eastAsia" w:ascii="宋体" w:hAnsi="宋体" w:eastAsia="宋体" w:cs="宋体"/>
          <w:color w:val="auto"/>
          <w:sz w:val="24"/>
          <w:szCs w:val="24"/>
          <w:highlight w:val="none"/>
          <w:shd w:val="pct10" w:color="auto" w:fill="FFFFFF"/>
        </w:rPr>
        <w:t>一日,</w:t>
      </w:r>
      <w:r>
        <w:rPr>
          <w:rFonts w:hint="eastAsia" w:ascii="宋体" w:hAnsi="宋体" w:eastAsia="宋体" w:cs="宋体"/>
          <w:color w:val="auto"/>
          <w:sz w:val="24"/>
          <w:szCs w:val="24"/>
          <w:highlight w:val="none"/>
        </w:rPr>
        <w:t>卖方应</w:t>
      </w:r>
      <w:r>
        <w:rPr>
          <w:rFonts w:hint="eastAsia" w:ascii="宋体" w:hAnsi="宋体" w:eastAsia="宋体" w:cs="宋体"/>
          <w:color w:val="auto"/>
          <w:sz w:val="24"/>
          <w:szCs w:val="24"/>
          <w:highlight w:val="none"/>
          <w:shd w:val="pct10" w:color="auto" w:fill="FFFFFF"/>
        </w:rPr>
        <w:t>按逾期送达发票金额的万分之三</w:t>
      </w:r>
      <w:r>
        <w:rPr>
          <w:rFonts w:hint="eastAsia" w:ascii="宋体" w:hAnsi="宋体" w:eastAsia="宋体" w:cs="宋体"/>
          <w:color w:val="auto"/>
          <w:sz w:val="24"/>
          <w:szCs w:val="24"/>
          <w:highlight w:val="none"/>
        </w:rPr>
        <w:t>支付违约金,若因逾期送达造成买方无法抵扣的，卖方还应赔偿买方由此遭受的损失,金额相当于</w:t>
      </w:r>
      <w:r>
        <w:rPr>
          <w:rFonts w:hint="eastAsia" w:ascii="宋体" w:hAnsi="宋体" w:eastAsia="宋体" w:cs="宋体"/>
          <w:color w:val="auto"/>
          <w:sz w:val="24"/>
          <w:szCs w:val="24"/>
          <w:highlight w:val="none"/>
          <w:shd w:val="pct10" w:color="auto" w:fill="FFFFFF"/>
        </w:rPr>
        <w:t>逾期送达发票可抵扣金额。</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卖方提供的增值税专用发票不符合法律法规要求或本合同约定，或不能通过税务认证的，甲方有权拒收或于发现问题后退回，乙方应及时更换，如因此导致未能在本合同约定时限内送达增值税专用发票的，乙方应当按照本合同约定承担逾期送达的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rPr>
        <w:t>交货日期、方式：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合同签订后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天完成整体项目交付。</w:t>
      </w:r>
    </w:p>
    <w:p>
      <w:pPr>
        <w:pStyle w:val="142"/>
        <w:numPr>
          <w:ilvl w:val="0"/>
          <w:numId w:val="0"/>
        </w:numPr>
        <w:spacing w:line="360" w:lineRule="auto"/>
        <w:ind w:left="475"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四、质量保证：</w:t>
      </w:r>
    </w:p>
    <w:p>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1.乙方负责安装调试，甲方提供必要的工作场地条件，如：水电、网络等。</w:t>
      </w:r>
    </w:p>
    <w:p>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2.质保期限：自货物验收合格之日起质保期</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五、违约责任：</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1、由于乙方原因，未能按合同约定的交付日期交付，乙方每周应支付合同货物的0.5%的违约金，违约金总额不得超过合同总金额的5%。逾期超过三个月甲方有权在不通知乙方的情况下单方面解除合同。</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2、甲方无故未按约定支付货款，每周应加付未付货款部分0.5%的违约金，违约金总额不得超过合同总金额的5%。</w:t>
      </w:r>
    </w:p>
    <w:p>
      <w:pPr>
        <w:pStyle w:val="142"/>
        <w:numPr>
          <w:ilvl w:val="0"/>
          <w:numId w:val="11"/>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乙方应承担因产品质量问题而给甲方造成的经济损失。</w:t>
      </w:r>
    </w:p>
    <w:p>
      <w:pPr>
        <w:spacing w:line="360" w:lineRule="auto"/>
        <w:ind w:left="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六、争议和纠纷的解决：在履行合同中发生的一切纠纷，双方应友好协商，如协商不成，任何一方可向甲方所在地人民法院。</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七、其它约定事项1、本合同自双方代表人签字并，加盖公章后生效，约定的义务履行完毕后终止。</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2、合同执行期间，如一方因故不能履行或需要变更，必须经双方协商一致。</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3、本合同未尽事宜，双方另行商定。</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4、本合同一式肆份，甲乙方各执贰份。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乙方：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                    授权代表签字：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签订日期：</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p>
    <w:tbl>
      <w:tblPr>
        <w:tblStyle w:val="39"/>
        <w:tblpPr w:leftFromText="180" w:rightFromText="180" w:vertAnchor="text" w:horzAnchor="margin" w:tblpXSpec="center" w:tblpY="30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5"/>
        <w:gridCol w:w="1445"/>
        <w:gridCol w:w="1227"/>
        <w:gridCol w:w="1074"/>
        <w:gridCol w:w="919"/>
        <w:gridCol w:w="1227"/>
        <w:gridCol w:w="1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4" w:hRule="atLeast"/>
          <w:jc w:val="center"/>
        </w:trPr>
        <w:tc>
          <w:tcPr>
            <w:tcW w:w="1125"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45"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1227"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074"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1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227"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80"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6" w:hRule="atLeast"/>
          <w:jc w:val="center"/>
        </w:trPr>
        <w:tc>
          <w:tcPr>
            <w:tcW w:w="1125"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45" w:type="dxa"/>
          </w:tcPr>
          <w:p>
            <w:pPr>
              <w:spacing w:line="360" w:lineRule="auto"/>
              <w:jc w:val="center"/>
              <w:rPr>
                <w:rFonts w:hint="eastAsia" w:ascii="宋体" w:hAnsi="宋体" w:eastAsia="宋体" w:cs="宋体"/>
                <w:color w:val="auto"/>
                <w:sz w:val="24"/>
                <w:szCs w:val="24"/>
                <w:highlight w:val="none"/>
              </w:rPr>
            </w:pPr>
          </w:p>
        </w:tc>
        <w:tc>
          <w:tcPr>
            <w:tcW w:w="1227" w:type="dxa"/>
          </w:tcPr>
          <w:p>
            <w:pPr>
              <w:spacing w:line="360" w:lineRule="auto"/>
              <w:jc w:val="center"/>
              <w:rPr>
                <w:rFonts w:hint="eastAsia" w:ascii="宋体" w:hAnsi="宋体" w:eastAsia="宋体" w:cs="宋体"/>
                <w:color w:val="auto"/>
                <w:sz w:val="24"/>
                <w:szCs w:val="24"/>
                <w:highlight w:val="none"/>
              </w:rPr>
            </w:pPr>
          </w:p>
        </w:tc>
        <w:tc>
          <w:tcPr>
            <w:tcW w:w="1074" w:type="dxa"/>
          </w:tcPr>
          <w:p>
            <w:pPr>
              <w:spacing w:line="360" w:lineRule="auto"/>
              <w:jc w:val="center"/>
              <w:rPr>
                <w:rFonts w:hint="eastAsia" w:ascii="宋体" w:hAnsi="宋体" w:eastAsia="宋体" w:cs="宋体"/>
                <w:color w:val="auto"/>
                <w:sz w:val="24"/>
                <w:szCs w:val="24"/>
                <w:highlight w:val="none"/>
              </w:rPr>
            </w:pPr>
          </w:p>
        </w:tc>
        <w:tc>
          <w:tcPr>
            <w:tcW w:w="919" w:type="dxa"/>
          </w:tcPr>
          <w:p>
            <w:pPr>
              <w:spacing w:line="360" w:lineRule="auto"/>
              <w:jc w:val="center"/>
              <w:rPr>
                <w:rFonts w:hint="eastAsia" w:ascii="宋体" w:hAnsi="宋体" w:eastAsia="宋体" w:cs="宋体"/>
                <w:color w:val="auto"/>
                <w:sz w:val="24"/>
                <w:szCs w:val="24"/>
                <w:highlight w:val="none"/>
              </w:rPr>
            </w:pPr>
          </w:p>
        </w:tc>
        <w:tc>
          <w:tcPr>
            <w:tcW w:w="1227" w:type="dxa"/>
          </w:tcPr>
          <w:p>
            <w:pPr>
              <w:spacing w:line="360" w:lineRule="auto"/>
              <w:jc w:val="center"/>
              <w:rPr>
                <w:rFonts w:hint="eastAsia" w:ascii="宋体" w:hAnsi="宋体" w:eastAsia="宋体" w:cs="宋体"/>
                <w:color w:val="auto"/>
                <w:sz w:val="24"/>
                <w:szCs w:val="24"/>
                <w:highlight w:val="none"/>
              </w:rPr>
            </w:pPr>
          </w:p>
        </w:tc>
        <w:tc>
          <w:tcPr>
            <w:tcW w:w="1380" w:type="dxa"/>
          </w:tcPr>
          <w:p>
            <w:pPr>
              <w:spacing w:line="360" w:lineRule="auto"/>
              <w:jc w:val="center"/>
              <w:rPr>
                <w:rFonts w:hint="eastAsia" w:ascii="宋体" w:hAnsi="宋体" w:eastAsia="宋体" w:cs="宋体"/>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6" w:hRule="atLeast"/>
          <w:jc w:val="center"/>
        </w:trPr>
        <w:tc>
          <w:tcPr>
            <w:tcW w:w="1125" w:type="dxa"/>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45" w:type="dxa"/>
          </w:tcPr>
          <w:p>
            <w:pPr>
              <w:spacing w:line="360" w:lineRule="auto"/>
              <w:jc w:val="center"/>
              <w:rPr>
                <w:rFonts w:hint="eastAsia" w:ascii="宋体" w:hAnsi="宋体" w:eastAsia="宋体" w:cs="宋体"/>
                <w:color w:val="auto"/>
                <w:sz w:val="24"/>
                <w:szCs w:val="24"/>
                <w:highlight w:val="none"/>
              </w:rPr>
            </w:pPr>
          </w:p>
        </w:tc>
        <w:tc>
          <w:tcPr>
            <w:tcW w:w="1227" w:type="dxa"/>
          </w:tcPr>
          <w:p>
            <w:pPr>
              <w:spacing w:line="360" w:lineRule="auto"/>
              <w:jc w:val="center"/>
              <w:rPr>
                <w:rFonts w:hint="eastAsia" w:ascii="宋体" w:hAnsi="宋体" w:eastAsia="宋体" w:cs="宋体"/>
                <w:color w:val="auto"/>
                <w:sz w:val="24"/>
                <w:szCs w:val="24"/>
                <w:highlight w:val="none"/>
              </w:rPr>
            </w:pPr>
          </w:p>
        </w:tc>
        <w:tc>
          <w:tcPr>
            <w:tcW w:w="1074" w:type="dxa"/>
          </w:tcPr>
          <w:p>
            <w:pPr>
              <w:spacing w:line="360" w:lineRule="auto"/>
              <w:jc w:val="center"/>
              <w:rPr>
                <w:rFonts w:hint="eastAsia" w:ascii="宋体" w:hAnsi="宋体" w:eastAsia="宋体" w:cs="宋体"/>
                <w:color w:val="auto"/>
                <w:sz w:val="24"/>
                <w:szCs w:val="24"/>
                <w:highlight w:val="none"/>
              </w:rPr>
            </w:pPr>
          </w:p>
        </w:tc>
        <w:tc>
          <w:tcPr>
            <w:tcW w:w="919" w:type="dxa"/>
          </w:tcPr>
          <w:p>
            <w:pPr>
              <w:spacing w:line="360" w:lineRule="auto"/>
              <w:jc w:val="center"/>
              <w:rPr>
                <w:rFonts w:hint="eastAsia" w:ascii="宋体" w:hAnsi="宋体" w:eastAsia="宋体" w:cs="宋体"/>
                <w:color w:val="auto"/>
                <w:sz w:val="24"/>
                <w:szCs w:val="24"/>
                <w:highlight w:val="none"/>
              </w:rPr>
            </w:pPr>
          </w:p>
        </w:tc>
        <w:tc>
          <w:tcPr>
            <w:tcW w:w="1227" w:type="dxa"/>
          </w:tcPr>
          <w:p>
            <w:pPr>
              <w:spacing w:line="360" w:lineRule="auto"/>
              <w:jc w:val="center"/>
              <w:rPr>
                <w:rFonts w:hint="eastAsia" w:ascii="宋体" w:hAnsi="宋体" w:eastAsia="宋体" w:cs="宋体"/>
                <w:color w:val="auto"/>
                <w:sz w:val="24"/>
                <w:szCs w:val="24"/>
                <w:highlight w:val="none"/>
              </w:rPr>
            </w:pPr>
          </w:p>
        </w:tc>
        <w:tc>
          <w:tcPr>
            <w:tcW w:w="1380" w:type="dxa"/>
          </w:tcPr>
          <w:p>
            <w:pPr>
              <w:spacing w:line="360" w:lineRule="auto"/>
              <w:jc w:val="center"/>
              <w:rPr>
                <w:rFonts w:hint="eastAsia" w:ascii="宋体" w:hAnsi="宋体" w:eastAsia="宋体" w:cs="宋体"/>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6" w:hRule="atLeast"/>
          <w:jc w:val="center"/>
        </w:trPr>
        <w:tc>
          <w:tcPr>
            <w:tcW w:w="1125" w:type="dxa"/>
          </w:tcPr>
          <w:p>
            <w:pPr>
              <w:spacing w:line="360" w:lineRule="auto"/>
              <w:jc w:val="center"/>
              <w:rPr>
                <w:rFonts w:hint="eastAsia" w:ascii="宋体" w:hAnsi="宋体" w:eastAsia="宋体" w:cs="宋体"/>
                <w:color w:val="auto"/>
                <w:sz w:val="24"/>
                <w:szCs w:val="24"/>
                <w:highlight w:val="none"/>
                <w:lang w:val="en-US" w:eastAsia="zh-CN"/>
              </w:rPr>
            </w:pPr>
          </w:p>
        </w:tc>
        <w:tc>
          <w:tcPr>
            <w:tcW w:w="1445" w:type="dxa"/>
          </w:tcPr>
          <w:p>
            <w:pPr>
              <w:spacing w:line="360" w:lineRule="auto"/>
              <w:jc w:val="center"/>
              <w:rPr>
                <w:rFonts w:hint="eastAsia" w:ascii="宋体" w:hAnsi="宋体" w:eastAsia="宋体" w:cs="宋体"/>
                <w:color w:val="auto"/>
                <w:sz w:val="24"/>
                <w:szCs w:val="24"/>
                <w:highlight w:val="none"/>
              </w:rPr>
            </w:pPr>
          </w:p>
        </w:tc>
        <w:tc>
          <w:tcPr>
            <w:tcW w:w="1227" w:type="dxa"/>
          </w:tcPr>
          <w:p>
            <w:pPr>
              <w:spacing w:line="360" w:lineRule="auto"/>
              <w:jc w:val="center"/>
              <w:rPr>
                <w:rFonts w:hint="eastAsia" w:ascii="宋体" w:hAnsi="宋体" w:eastAsia="宋体" w:cs="宋体"/>
                <w:color w:val="auto"/>
                <w:sz w:val="24"/>
                <w:szCs w:val="24"/>
                <w:highlight w:val="none"/>
              </w:rPr>
            </w:pPr>
          </w:p>
        </w:tc>
        <w:tc>
          <w:tcPr>
            <w:tcW w:w="1074" w:type="dxa"/>
          </w:tcPr>
          <w:p>
            <w:pPr>
              <w:spacing w:line="360" w:lineRule="auto"/>
              <w:jc w:val="center"/>
              <w:rPr>
                <w:rFonts w:hint="eastAsia" w:ascii="宋体" w:hAnsi="宋体" w:eastAsia="宋体" w:cs="宋体"/>
                <w:color w:val="auto"/>
                <w:sz w:val="24"/>
                <w:szCs w:val="24"/>
                <w:highlight w:val="none"/>
              </w:rPr>
            </w:pPr>
          </w:p>
        </w:tc>
        <w:tc>
          <w:tcPr>
            <w:tcW w:w="919" w:type="dxa"/>
          </w:tcPr>
          <w:p>
            <w:pPr>
              <w:spacing w:line="360" w:lineRule="auto"/>
              <w:jc w:val="center"/>
              <w:rPr>
                <w:rFonts w:hint="eastAsia" w:ascii="宋体" w:hAnsi="宋体" w:eastAsia="宋体" w:cs="宋体"/>
                <w:color w:val="auto"/>
                <w:sz w:val="24"/>
                <w:szCs w:val="24"/>
                <w:highlight w:val="none"/>
              </w:rPr>
            </w:pPr>
          </w:p>
        </w:tc>
        <w:tc>
          <w:tcPr>
            <w:tcW w:w="1227" w:type="dxa"/>
          </w:tcPr>
          <w:p>
            <w:pPr>
              <w:spacing w:line="360" w:lineRule="auto"/>
              <w:jc w:val="center"/>
              <w:rPr>
                <w:rFonts w:hint="eastAsia" w:ascii="宋体" w:hAnsi="宋体" w:eastAsia="宋体" w:cs="宋体"/>
                <w:color w:val="auto"/>
                <w:sz w:val="24"/>
                <w:szCs w:val="24"/>
                <w:highlight w:val="none"/>
              </w:rPr>
            </w:pPr>
          </w:p>
        </w:tc>
        <w:tc>
          <w:tcPr>
            <w:tcW w:w="1380" w:type="dxa"/>
          </w:tcPr>
          <w:p>
            <w:pPr>
              <w:spacing w:line="360" w:lineRule="auto"/>
              <w:jc w:val="center"/>
              <w:rPr>
                <w:rFonts w:hint="eastAsia" w:ascii="宋体" w:hAnsi="宋体" w:eastAsia="宋体" w:cs="宋体"/>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6" w:hRule="atLeast"/>
          <w:jc w:val="center"/>
        </w:trPr>
        <w:tc>
          <w:tcPr>
            <w:tcW w:w="1125" w:type="dxa"/>
          </w:tcPr>
          <w:p>
            <w:pPr>
              <w:spacing w:line="360" w:lineRule="auto"/>
              <w:jc w:val="center"/>
              <w:rPr>
                <w:rFonts w:hint="eastAsia" w:ascii="宋体" w:hAnsi="宋体" w:eastAsia="宋体" w:cs="宋体"/>
                <w:color w:val="auto"/>
                <w:sz w:val="24"/>
                <w:szCs w:val="24"/>
                <w:highlight w:val="none"/>
                <w:lang w:val="en-US" w:eastAsia="zh-CN"/>
              </w:rPr>
            </w:pPr>
          </w:p>
        </w:tc>
        <w:tc>
          <w:tcPr>
            <w:tcW w:w="1445" w:type="dxa"/>
          </w:tcPr>
          <w:p>
            <w:pPr>
              <w:spacing w:line="360" w:lineRule="auto"/>
              <w:jc w:val="center"/>
              <w:rPr>
                <w:rFonts w:hint="eastAsia" w:ascii="宋体" w:hAnsi="宋体" w:eastAsia="宋体" w:cs="宋体"/>
                <w:color w:val="auto"/>
                <w:sz w:val="24"/>
                <w:szCs w:val="24"/>
                <w:highlight w:val="none"/>
              </w:rPr>
            </w:pPr>
          </w:p>
        </w:tc>
        <w:tc>
          <w:tcPr>
            <w:tcW w:w="1227" w:type="dxa"/>
          </w:tcPr>
          <w:p>
            <w:pPr>
              <w:spacing w:line="360" w:lineRule="auto"/>
              <w:jc w:val="center"/>
              <w:rPr>
                <w:rFonts w:hint="eastAsia" w:ascii="宋体" w:hAnsi="宋体" w:eastAsia="宋体" w:cs="宋体"/>
                <w:color w:val="auto"/>
                <w:sz w:val="24"/>
                <w:szCs w:val="24"/>
                <w:highlight w:val="none"/>
              </w:rPr>
            </w:pPr>
          </w:p>
        </w:tc>
        <w:tc>
          <w:tcPr>
            <w:tcW w:w="1074" w:type="dxa"/>
          </w:tcPr>
          <w:p>
            <w:pPr>
              <w:spacing w:line="360" w:lineRule="auto"/>
              <w:jc w:val="center"/>
              <w:rPr>
                <w:rFonts w:hint="eastAsia" w:ascii="宋体" w:hAnsi="宋体" w:eastAsia="宋体" w:cs="宋体"/>
                <w:color w:val="auto"/>
                <w:sz w:val="24"/>
                <w:szCs w:val="24"/>
                <w:highlight w:val="none"/>
              </w:rPr>
            </w:pPr>
          </w:p>
        </w:tc>
        <w:tc>
          <w:tcPr>
            <w:tcW w:w="919" w:type="dxa"/>
          </w:tcPr>
          <w:p>
            <w:pPr>
              <w:spacing w:line="360" w:lineRule="auto"/>
              <w:jc w:val="center"/>
              <w:rPr>
                <w:rFonts w:hint="eastAsia" w:ascii="宋体" w:hAnsi="宋体" w:eastAsia="宋体" w:cs="宋体"/>
                <w:color w:val="auto"/>
                <w:sz w:val="24"/>
                <w:szCs w:val="24"/>
                <w:highlight w:val="none"/>
              </w:rPr>
            </w:pPr>
          </w:p>
        </w:tc>
        <w:tc>
          <w:tcPr>
            <w:tcW w:w="1227" w:type="dxa"/>
          </w:tcPr>
          <w:p>
            <w:pPr>
              <w:spacing w:line="360" w:lineRule="auto"/>
              <w:jc w:val="center"/>
              <w:rPr>
                <w:rFonts w:hint="eastAsia" w:ascii="宋体" w:hAnsi="宋体" w:eastAsia="宋体" w:cs="宋体"/>
                <w:color w:val="auto"/>
                <w:sz w:val="24"/>
                <w:szCs w:val="24"/>
                <w:highlight w:val="none"/>
              </w:rPr>
            </w:pPr>
          </w:p>
        </w:tc>
        <w:tc>
          <w:tcPr>
            <w:tcW w:w="1380" w:type="dxa"/>
          </w:tcPr>
          <w:p>
            <w:pPr>
              <w:spacing w:line="360" w:lineRule="auto"/>
              <w:jc w:val="center"/>
              <w:rPr>
                <w:rFonts w:hint="eastAsia" w:ascii="宋体" w:hAnsi="宋体" w:eastAsia="宋体" w:cs="宋体"/>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125"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445" w:type="dxa"/>
          </w:tcPr>
          <w:p>
            <w:pPr>
              <w:spacing w:line="360" w:lineRule="auto"/>
              <w:jc w:val="center"/>
              <w:rPr>
                <w:rFonts w:hint="eastAsia" w:ascii="宋体" w:hAnsi="宋体" w:eastAsia="宋体" w:cs="宋体"/>
                <w:color w:val="auto"/>
                <w:sz w:val="24"/>
                <w:szCs w:val="24"/>
                <w:highlight w:val="none"/>
              </w:rPr>
            </w:pPr>
          </w:p>
        </w:tc>
        <w:tc>
          <w:tcPr>
            <w:tcW w:w="1227" w:type="dxa"/>
          </w:tcPr>
          <w:p>
            <w:pPr>
              <w:spacing w:line="360" w:lineRule="auto"/>
              <w:jc w:val="center"/>
              <w:rPr>
                <w:rFonts w:hint="eastAsia" w:ascii="宋体" w:hAnsi="宋体" w:eastAsia="宋体" w:cs="宋体"/>
                <w:color w:val="auto"/>
                <w:sz w:val="24"/>
                <w:szCs w:val="24"/>
                <w:highlight w:val="none"/>
              </w:rPr>
            </w:pPr>
          </w:p>
        </w:tc>
        <w:tc>
          <w:tcPr>
            <w:tcW w:w="1074" w:type="dxa"/>
          </w:tcPr>
          <w:p>
            <w:pPr>
              <w:spacing w:line="360" w:lineRule="auto"/>
              <w:jc w:val="center"/>
              <w:rPr>
                <w:rFonts w:hint="eastAsia" w:ascii="宋体" w:hAnsi="宋体" w:eastAsia="宋体" w:cs="宋体"/>
                <w:color w:val="auto"/>
                <w:sz w:val="24"/>
                <w:szCs w:val="24"/>
                <w:highlight w:val="none"/>
              </w:rPr>
            </w:pPr>
          </w:p>
        </w:tc>
        <w:tc>
          <w:tcPr>
            <w:tcW w:w="919" w:type="dxa"/>
          </w:tcPr>
          <w:p>
            <w:pPr>
              <w:spacing w:line="360" w:lineRule="auto"/>
              <w:jc w:val="center"/>
              <w:rPr>
                <w:rFonts w:hint="eastAsia" w:ascii="宋体" w:hAnsi="宋体" w:eastAsia="宋体" w:cs="宋体"/>
                <w:color w:val="auto"/>
                <w:sz w:val="24"/>
                <w:szCs w:val="24"/>
                <w:highlight w:val="none"/>
              </w:rPr>
            </w:pPr>
          </w:p>
        </w:tc>
        <w:tc>
          <w:tcPr>
            <w:tcW w:w="1227" w:type="dxa"/>
          </w:tcPr>
          <w:p>
            <w:pPr>
              <w:spacing w:line="360" w:lineRule="auto"/>
              <w:jc w:val="center"/>
              <w:rPr>
                <w:rFonts w:hint="eastAsia" w:ascii="宋体" w:hAnsi="宋体" w:eastAsia="宋体" w:cs="宋体"/>
                <w:color w:val="auto"/>
                <w:sz w:val="24"/>
                <w:szCs w:val="24"/>
                <w:highlight w:val="none"/>
              </w:rPr>
            </w:pPr>
          </w:p>
        </w:tc>
        <w:tc>
          <w:tcPr>
            <w:tcW w:w="1380" w:type="dxa"/>
          </w:tcPr>
          <w:p>
            <w:pPr>
              <w:spacing w:line="360" w:lineRule="auto"/>
              <w:jc w:val="center"/>
              <w:rPr>
                <w:rFonts w:hint="eastAsia" w:ascii="宋体" w:hAnsi="宋体" w:eastAsia="宋体" w:cs="宋体"/>
                <w:color w:val="auto"/>
                <w:sz w:val="24"/>
                <w:szCs w:val="24"/>
                <w:highlight w:val="none"/>
              </w:rPr>
            </w:pPr>
          </w:p>
        </w:tc>
      </w:tr>
    </w:tbl>
    <w:p>
      <w:pPr>
        <w:spacing w:line="600" w:lineRule="exact"/>
        <w:rPr>
          <w:rFonts w:hint="eastAsia" w:ascii="宋体" w:hAnsi="宋体" w:eastAsia="宋体" w:cs="宋体"/>
          <w:b/>
          <w:bCs/>
          <w:color w:val="auto"/>
          <w:sz w:val="24"/>
          <w:szCs w:val="24"/>
          <w:highlight w:val="none"/>
        </w:rPr>
      </w:pPr>
    </w:p>
    <w:p>
      <w:pPr>
        <w:rPr>
          <w:color w:val="auto"/>
          <w:highlight w:val="none"/>
          <w:lang w:val="es-ES"/>
        </w:rPr>
      </w:pPr>
      <w:r>
        <w:rPr>
          <w:color w:val="auto"/>
          <w:highlight w:val="none"/>
          <w:lang w:val="es-ES"/>
        </w:rPr>
        <w:br w:type="page"/>
      </w:r>
    </w:p>
    <w:p>
      <w:pPr>
        <w:pStyle w:val="3"/>
        <w:numPr>
          <w:ilvl w:val="0"/>
          <w:numId w:val="0"/>
        </w:numPr>
        <w:tabs>
          <w:tab w:val="clear" w:pos="324"/>
        </w:tabs>
        <w:spacing w:line="360" w:lineRule="auto"/>
        <w:rPr>
          <w:rFonts w:ascii="宋体" w:hAnsi="宋体" w:eastAsia="宋体" w:cs="宋体"/>
          <w:b/>
          <w:bCs/>
          <w:color w:val="auto"/>
          <w:sz w:val="32"/>
          <w:szCs w:val="36"/>
          <w:highlight w:val="none"/>
        </w:rPr>
      </w:pPr>
      <w:bookmarkStart w:id="8" w:name="_Toc4831"/>
      <w:r>
        <w:rPr>
          <w:rFonts w:hint="eastAsia" w:ascii="宋体" w:hAnsi="宋体" w:eastAsia="宋体" w:cs="宋体"/>
          <w:b/>
          <w:bCs/>
          <w:color w:val="auto"/>
          <w:sz w:val="28"/>
          <w:szCs w:val="36"/>
          <w:highlight w:val="none"/>
        </w:rPr>
        <w:t>第六章  竞争性谈判响应文件格式</w:t>
      </w:r>
      <w:bookmarkEnd w:id="8"/>
    </w:p>
    <w:p>
      <w:pPr>
        <w:pStyle w:val="3"/>
        <w:numPr>
          <w:ilvl w:val="0"/>
          <w:numId w:val="0"/>
        </w:numPr>
        <w:tabs>
          <w:tab w:val="clear" w:pos="324"/>
        </w:tabs>
        <w:spacing w:line="360" w:lineRule="auto"/>
        <w:rPr>
          <w:rFonts w:ascii="宋体" w:hAnsi="宋体"/>
          <w:color w:val="auto"/>
          <w:sz w:val="24"/>
          <w:highlight w:val="none"/>
        </w:rPr>
      </w:pPr>
    </w:p>
    <w:p>
      <w:pPr>
        <w:spacing w:after="360" w:afterLines="150" w:line="900" w:lineRule="exact"/>
        <w:rPr>
          <w:rFonts w:ascii="宋体" w:hAnsi="宋体"/>
          <w:b/>
          <w:color w:val="auto"/>
          <w:sz w:val="36"/>
          <w:szCs w:val="36"/>
          <w:highlight w:val="none"/>
        </w:rPr>
      </w:pPr>
      <w:r>
        <w:rPr>
          <w:rFonts w:hint="eastAsia" w:ascii="宋体" w:hAnsi="宋体"/>
          <w:b/>
          <w:color w:val="auto"/>
          <w:sz w:val="36"/>
          <w:szCs w:val="36"/>
          <w:highlight w:val="none"/>
        </w:rPr>
        <w:t xml:space="preserve">                                   【正(副)本】</w:t>
      </w:r>
    </w:p>
    <w:p>
      <w:pPr>
        <w:spacing w:after="360" w:afterLines="150" w:line="900" w:lineRule="exact"/>
        <w:jc w:val="left"/>
        <w:rPr>
          <w:rFonts w:ascii="宋体" w:hAnsi="宋体"/>
          <w:b/>
          <w:color w:val="auto"/>
          <w:sz w:val="24"/>
          <w:szCs w:val="36"/>
          <w:highlight w:val="none"/>
        </w:rPr>
      </w:pPr>
      <w:r>
        <w:rPr>
          <w:rFonts w:hint="eastAsia" w:ascii="宋体" w:hAnsi="宋体"/>
          <w:b/>
          <w:color w:val="auto"/>
          <w:sz w:val="24"/>
          <w:szCs w:val="36"/>
          <w:highlight w:val="none"/>
        </w:rPr>
        <w:t xml:space="preserve">采购项目编号:  </w:t>
      </w:r>
    </w:p>
    <w:p>
      <w:pPr>
        <w:spacing w:after="192" w:afterLines="80"/>
        <w:rPr>
          <w:rFonts w:ascii="黑体" w:hAnsi="华文中宋" w:eastAsia="黑体"/>
          <w:color w:val="auto"/>
          <w:sz w:val="36"/>
          <w:szCs w:val="36"/>
          <w:highlight w:val="none"/>
          <w:u w:val="single"/>
        </w:rPr>
      </w:pPr>
      <w:r>
        <w:rPr>
          <w:rFonts w:hint="eastAsia" w:ascii="黑体" w:hAnsi="华文中宋" w:eastAsia="黑体"/>
          <w:color w:val="auto"/>
          <w:sz w:val="36"/>
          <w:szCs w:val="36"/>
          <w:highlight w:val="none"/>
          <w:u w:val="single"/>
        </w:rPr>
        <w:t xml:space="preserve">                                            </w:t>
      </w:r>
    </w:p>
    <w:p>
      <w:pPr>
        <w:spacing w:after="192" w:afterLines="80"/>
        <w:jc w:val="center"/>
        <w:rPr>
          <w:rFonts w:ascii="黑体" w:hAnsi="宋体" w:eastAsia="黑体"/>
          <w:color w:val="auto"/>
          <w:sz w:val="52"/>
          <w:szCs w:val="52"/>
          <w:highlight w:val="none"/>
        </w:rPr>
      </w:pPr>
    </w:p>
    <w:p>
      <w:pPr>
        <w:spacing w:line="600" w:lineRule="exact"/>
        <w:jc w:val="center"/>
        <w:rPr>
          <w:rFonts w:ascii="宋体" w:hAnsi="宋体"/>
          <w:b/>
          <w:color w:val="auto"/>
          <w:sz w:val="36"/>
          <w:highlight w:val="none"/>
        </w:rPr>
      </w:pPr>
    </w:p>
    <w:p>
      <w:pPr>
        <w:pStyle w:val="2"/>
        <w:rPr>
          <w:color w:val="auto"/>
          <w:highlight w:val="none"/>
        </w:rPr>
      </w:pPr>
    </w:p>
    <w:p>
      <w:pPr>
        <w:spacing w:after="48" w:afterLines="20"/>
        <w:jc w:val="center"/>
        <w:rPr>
          <w:rFonts w:eastAsia="黑体"/>
          <w:b/>
          <w:color w:val="auto"/>
          <w:sz w:val="100"/>
          <w:szCs w:val="100"/>
          <w:highlight w:val="none"/>
        </w:rPr>
      </w:pPr>
      <w:r>
        <w:rPr>
          <w:rFonts w:hint="eastAsia" w:ascii="隶书" w:hAnsi="隶书" w:eastAsia="隶书" w:cs="隶书"/>
          <w:b/>
          <w:color w:val="auto"/>
          <w:sz w:val="90"/>
          <w:szCs w:val="90"/>
          <w:highlight w:val="none"/>
        </w:rPr>
        <w:t>竞争性谈判响应文件</w:t>
      </w:r>
    </w:p>
    <w:p>
      <w:pPr>
        <w:spacing w:line="700" w:lineRule="exact"/>
        <w:rPr>
          <w:color w:val="auto"/>
          <w:sz w:val="24"/>
          <w:highlight w:val="none"/>
          <w:u w:val="single"/>
        </w:rPr>
      </w:pPr>
    </w:p>
    <w:p>
      <w:pPr>
        <w:rPr>
          <w:b/>
          <w:color w:val="auto"/>
          <w:sz w:val="52"/>
          <w:highlight w:val="none"/>
        </w:rPr>
      </w:pPr>
    </w:p>
    <w:p>
      <w:pPr>
        <w:rPr>
          <w:b/>
          <w:color w:val="auto"/>
          <w:sz w:val="52"/>
          <w:highlight w:val="none"/>
        </w:rPr>
      </w:pPr>
    </w:p>
    <w:p>
      <w:pPr>
        <w:pStyle w:val="2"/>
        <w:rPr>
          <w:color w:val="auto"/>
          <w:highlight w:val="none"/>
        </w:rPr>
      </w:pPr>
    </w:p>
    <w:p>
      <w:pPr>
        <w:pStyle w:val="2"/>
        <w:rPr>
          <w:color w:val="auto"/>
          <w:highlight w:val="none"/>
        </w:rPr>
      </w:pPr>
    </w:p>
    <w:p>
      <w:pPr>
        <w:pStyle w:val="2"/>
        <w:rPr>
          <w:color w:val="auto"/>
          <w:highlight w:val="none"/>
        </w:rPr>
      </w:pPr>
    </w:p>
    <w:p>
      <w:pPr>
        <w:rPr>
          <w:color w:val="auto"/>
          <w:sz w:val="30"/>
          <w:highlight w:val="none"/>
        </w:rPr>
      </w:pPr>
      <w:r>
        <w:rPr>
          <w:rFonts w:hint="eastAsia"/>
          <w:color w:val="auto"/>
          <w:sz w:val="30"/>
          <w:highlight w:val="none"/>
        </w:rPr>
        <w:t xml:space="preserve">              </w:t>
      </w:r>
    </w:p>
    <w:p>
      <w:pPr>
        <w:spacing w:after="192" w:afterLines="80"/>
        <w:ind w:firstLine="1506" w:firstLineChars="500"/>
        <w:rPr>
          <w:rFonts w:ascii="宋体" w:hAnsi="宋体" w:cs="宋体"/>
          <w:b/>
          <w:bCs/>
          <w:color w:val="auto"/>
          <w:sz w:val="30"/>
          <w:highlight w:val="none"/>
          <w:u w:val="single"/>
        </w:rPr>
      </w:pPr>
      <w:r>
        <w:rPr>
          <w:rFonts w:hint="eastAsia" w:ascii="宋体" w:hAnsi="宋体" w:cs="宋体"/>
          <w:b/>
          <w:bCs/>
          <w:color w:val="auto"/>
          <w:sz w:val="30"/>
          <w:highlight w:val="none"/>
        </w:rPr>
        <w:t>供应商：</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（盖章）</w:t>
      </w:r>
    </w:p>
    <w:p>
      <w:pPr>
        <w:rPr>
          <w:rFonts w:ascii="宋体" w:hAnsi="宋体" w:cs="宋体"/>
          <w:b/>
          <w:bCs/>
          <w:color w:val="auto"/>
          <w:sz w:val="30"/>
          <w:highlight w:val="none"/>
        </w:rPr>
      </w:pPr>
      <w:r>
        <w:rPr>
          <w:rFonts w:hint="eastAsia" w:ascii="宋体" w:hAnsi="宋体" w:cs="宋体"/>
          <w:b/>
          <w:bCs/>
          <w:color w:val="auto"/>
          <w:sz w:val="30"/>
          <w:highlight w:val="none"/>
        </w:rPr>
        <w:t xml:space="preserve">              </w:t>
      </w:r>
    </w:p>
    <w:p>
      <w:pPr>
        <w:ind w:firstLine="1506" w:firstLineChars="500"/>
        <w:rPr>
          <w:rFonts w:ascii="宋体" w:hAnsi="宋体" w:cs="宋体"/>
          <w:b/>
          <w:bCs/>
          <w:color w:val="auto"/>
          <w:sz w:val="30"/>
          <w:highlight w:val="none"/>
        </w:rPr>
      </w:pPr>
      <w:r>
        <w:rPr>
          <w:rFonts w:hint="eastAsia" w:ascii="宋体" w:hAnsi="宋体" w:cs="宋体"/>
          <w:b/>
          <w:bCs/>
          <w:color w:val="auto"/>
          <w:sz w:val="30"/>
          <w:highlight w:val="none"/>
        </w:rPr>
        <w:t>法定代表人或其委托代理人：</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（盖章或签字）</w:t>
      </w:r>
    </w:p>
    <w:p>
      <w:pPr>
        <w:spacing w:line="400" w:lineRule="exact"/>
        <w:rPr>
          <w:rFonts w:ascii="宋体" w:hAnsi="宋体" w:cs="宋体"/>
          <w:b/>
          <w:bCs/>
          <w:color w:val="auto"/>
          <w:sz w:val="30"/>
          <w:highlight w:val="none"/>
        </w:rPr>
      </w:pPr>
    </w:p>
    <w:p>
      <w:pPr>
        <w:spacing w:before="240" w:beforeLines="100"/>
        <w:jc w:val="center"/>
        <w:rPr>
          <w:rFonts w:ascii="宋体" w:hAnsi="宋体" w:cs="宋体"/>
          <w:b/>
          <w:bCs/>
          <w:color w:val="auto"/>
          <w:sz w:val="30"/>
          <w:highlight w:val="none"/>
        </w:rPr>
      </w:pPr>
      <w:r>
        <w:rPr>
          <w:rFonts w:hint="eastAsia" w:ascii="宋体" w:hAnsi="宋体" w:cs="宋体"/>
          <w:b/>
          <w:bCs/>
          <w:color w:val="auto"/>
          <w:sz w:val="30"/>
          <w:highlight w:val="none"/>
        </w:rPr>
        <w:t xml:space="preserve">   </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年</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月</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日</w:t>
      </w:r>
    </w:p>
    <w:p>
      <w:pPr>
        <w:spacing w:before="480" w:after="240"/>
        <w:jc w:val="left"/>
        <w:outlineLvl w:val="2"/>
        <w:rPr>
          <w:rFonts w:ascii="黑体" w:eastAsia="黑体"/>
          <w:b/>
          <w:bCs/>
          <w:color w:val="auto"/>
          <w:sz w:val="30"/>
          <w:szCs w:val="30"/>
          <w:highlight w:val="none"/>
        </w:rPr>
      </w:pPr>
    </w:p>
    <w:p>
      <w:pPr>
        <w:spacing w:line="600" w:lineRule="exact"/>
        <w:jc w:val="center"/>
        <w:rPr>
          <w:rFonts w:ascii="宋体" w:hAnsi="宋体" w:cs="宋体"/>
          <w:b/>
          <w:bCs/>
          <w:color w:val="auto"/>
          <w:sz w:val="30"/>
          <w:highlight w:val="none"/>
        </w:rPr>
      </w:pPr>
    </w:p>
    <w:p>
      <w:pPr>
        <w:spacing w:line="600" w:lineRule="exact"/>
        <w:jc w:val="center"/>
        <w:rPr>
          <w:rFonts w:ascii="宋体" w:hAnsi="宋体" w:cs="宋体"/>
          <w:b/>
          <w:bCs/>
          <w:color w:val="auto"/>
          <w:sz w:val="30"/>
          <w:highlight w:val="none"/>
        </w:rPr>
      </w:pPr>
    </w:p>
    <w:p>
      <w:pPr>
        <w:pStyle w:val="2"/>
        <w:rPr>
          <w:color w:val="auto"/>
          <w:highlight w:val="none"/>
        </w:rPr>
      </w:pPr>
    </w:p>
    <w:p>
      <w:pPr>
        <w:spacing w:line="600" w:lineRule="exact"/>
        <w:jc w:val="center"/>
        <w:rPr>
          <w:rFonts w:ascii="宋体" w:hAnsi="宋体" w:cs="宋体"/>
          <w:b/>
          <w:bCs/>
          <w:color w:val="auto"/>
          <w:sz w:val="30"/>
          <w:highlight w:val="none"/>
        </w:rPr>
      </w:pPr>
      <w:r>
        <w:rPr>
          <w:rFonts w:hint="eastAsia" w:ascii="宋体" w:hAnsi="宋体" w:cs="宋体"/>
          <w:b/>
          <w:bCs/>
          <w:color w:val="auto"/>
          <w:sz w:val="30"/>
          <w:highlight w:val="none"/>
        </w:rPr>
        <w:t>目    录</w:t>
      </w:r>
    </w:p>
    <w:p>
      <w:pPr>
        <w:spacing w:line="600" w:lineRule="exact"/>
        <w:rPr>
          <w:color w:val="auto"/>
          <w:sz w:val="24"/>
          <w:highlight w:val="none"/>
        </w:rPr>
      </w:pPr>
    </w:p>
    <w:p>
      <w:pPr>
        <w:spacing w:line="720" w:lineRule="exact"/>
        <w:ind w:firstLine="1680" w:firstLineChars="800"/>
        <w:rPr>
          <w:color w:val="auto"/>
          <w:szCs w:val="21"/>
          <w:highlight w:val="none"/>
        </w:rPr>
      </w:pPr>
      <w:r>
        <w:rPr>
          <w:rFonts w:hint="eastAsia"/>
          <w:color w:val="auto"/>
          <w:szCs w:val="21"/>
          <w:highlight w:val="none"/>
        </w:rPr>
        <w:t>一、</w:t>
      </w:r>
      <w:r>
        <w:rPr>
          <w:color w:val="auto"/>
          <w:szCs w:val="21"/>
          <w:highlight w:val="none"/>
        </w:rPr>
        <w:t>法定代表人身份证明书</w:t>
      </w:r>
    </w:p>
    <w:p>
      <w:pPr>
        <w:spacing w:line="720" w:lineRule="exact"/>
        <w:ind w:firstLine="1680" w:firstLineChars="800"/>
        <w:rPr>
          <w:color w:val="auto"/>
          <w:szCs w:val="21"/>
          <w:highlight w:val="none"/>
        </w:rPr>
      </w:pPr>
      <w:r>
        <w:rPr>
          <w:rFonts w:hint="eastAsia"/>
          <w:color w:val="auto"/>
          <w:szCs w:val="21"/>
          <w:highlight w:val="none"/>
        </w:rPr>
        <w:t>二、法定代表人授权书</w:t>
      </w:r>
    </w:p>
    <w:p>
      <w:pPr>
        <w:spacing w:line="720" w:lineRule="exact"/>
        <w:ind w:firstLine="1680" w:firstLineChars="800"/>
        <w:rPr>
          <w:color w:val="auto"/>
          <w:szCs w:val="21"/>
          <w:highlight w:val="none"/>
        </w:rPr>
      </w:pPr>
      <w:r>
        <w:rPr>
          <w:rFonts w:hint="eastAsia"/>
          <w:color w:val="auto"/>
          <w:szCs w:val="21"/>
          <w:highlight w:val="none"/>
        </w:rPr>
        <w:t>三、谈判响应函</w:t>
      </w:r>
    </w:p>
    <w:p>
      <w:pPr>
        <w:spacing w:line="720" w:lineRule="exact"/>
        <w:ind w:firstLine="1680" w:firstLineChars="800"/>
        <w:rPr>
          <w:color w:val="auto"/>
          <w:szCs w:val="21"/>
          <w:highlight w:val="none"/>
        </w:rPr>
      </w:pPr>
      <w:r>
        <w:rPr>
          <w:rFonts w:hint="eastAsia"/>
          <w:color w:val="auto"/>
          <w:szCs w:val="21"/>
          <w:highlight w:val="none"/>
        </w:rPr>
        <w:t>四、竞争性谈判报价一览表</w:t>
      </w:r>
    </w:p>
    <w:p>
      <w:pPr>
        <w:spacing w:line="720" w:lineRule="exact"/>
        <w:ind w:firstLine="1680" w:firstLineChars="800"/>
        <w:rPr>
          <w:color w:val="auto"/>
          <w:szCs w:val="21"/>
          <w:highlight w:val="none"/>
        </w:rPr>
      </w:pPr>
      <w:r>
        <w:rPr>
          <w:rFonts w:hint="eastAsia"/>
          <w:color w:val="auto"/>
          <w:szCs w:val="21"/>
          <w:highlight w:val="none"/>
        </w:rPr>
        <w:t>五、分项报价表</w:t>
      </w:r>
    </w:p>
    <w:p>
      <w:pPr>
        <w:spacing w:line="720" w:lineRule="exact"/>
        <w:rPr>
          <w:rFonts w:ascii="宋体" w:hAnsi="宋体"/>
          <w:color w:val="auto"/>
          <w:szCs w:val="21"/>
          <w:highlight w:val="none"/>
        </w:rPr>
      </w:pPr>
      <w:r>
        <w:rPr>
          <w:rFonts w:hint="eastAsia" w:ascii="宋体" w:hAnsi="宋体"/>
          <w:color w:val="auto"/>
          <w:szCs w:val="21"/>
          <w:highlight w:val="none"/>
        </w:rPr>
        <w:t xml:space="preserve">                六、资格文件</w:t>
      </w:r>
    </w:p>
    <w:p>
      <w:pPr>
        <w:spacing w:line="720" w:lineRule="exact"/>
        <w:rPr>
          <w:rFonts w:ascii="宋体" w:hAnsi="宋体"/>
          <w:color w:val="auto"/>
          <w:szCs w:val="21"/>
          <w:highlight w:val="none"/>
        </w:rPr>
      </w:pPr>
      <w:r>
        <w:rPr>
          <w:rFonts w:hint="eastAsia" w:ascii="宋体" w:hAnsi="宋体"/>
          <w:color w:val="auto"/>
          <w:szCs w:val="21"/>
          <w:highlight w:val="none"/>
        </w:rPr>
        <w:t xml:space="preserve">                七、谈判方案说明书</w:t>
      </w:r>
    </w:p>
    <w:p>
      <w:pPr>
        <w:spacing w:line="720" w:lineRule="exact"/>
        <w:rPr>
          <w:rFonts w:ascii="宋体" w:hAnsi="宋体"/>
          <w:color w:val="auto"/>
          <w:szCs w:val="21"/>
          <w:highlight w:val="none"/>
        </w:rPr>
      </w:pPr>
      <w:r>
        <w:rPr>
          <w:rFonts w:hint="eastAsia" w:ascii="宋体" w:hAnsi="宋体"/>
          <w:color w:val="auto"/>
          <w:szCs w:val="21"/>
          <w:highlight w:val="none"/>
        </w:rPr>
        <w:t xml:space="preserve">                八、供应商认为有必要补充说明的事宜</w:t>
      </w:r>
    </w:p>
    <w:p>
      <w:pPr>
        <w:spacing w:line="720" w:lineRule="exact"/>
        <w:rPr>
          <w:rFonts w:ascii="宋体" w:hAnsi="宋体"/>
          <w:color w:val="auto"/>
          <w:szCs w:val="21"/>
          <w:highlight w:val="none"/>
        </w:rPr>
      </w:pPr>
      <w:r>
        <w:rPr>
          <w:rFonts w:hint="eastAsia" w:ascii="宋体" w:hAnsi="宋体"/>
          <w:color w:val="auto"/>
          <w:szCs w:val="21"/>
          <w:highlight w:val="none"/>
        </w:rPr>
        <w:t xml:space="preserve">                九、《拒绝政府采购领域商业贿赂承诺书》</w:t>
      </w:r>
    </w:p>
    <w:p>
      <w:pPr>
        <w:spacing w:before="480" w:after="240"/>
        <w:jc w:val="left"/>
        <w:outlineLvl w:val="2"/>
        <w:rPr>
          <w:rFonts w:ascii="黑体" w:eastAsia="黑体"/>
          <w:b/>
          <w:bCs/>
          <w:color w:val="auto"/>
          <w:sz w:val="30"/>
          <w:szCs w:val="30"/>
          <w:highlight w:val="none"/>
        </w:rPr>
      </w:pPr>
    </w:p>
    <w:p>
      <w:pPr>
        <w:spacing w:before="480" w:after="240"/>
        <w:jc w:val="left"/>
        <w:outlineLvl w:val="2"/>
        <w:rPr>
          <w:rFonts w:ascii="黑体" w:eastAsia="黑体"/>
          <w:b/>
          <w:bCs/>
          <w:color w:val="auto"/>
          <w:sz w:val="30"/>
          <w:szCs w:val="30"/>
          <w:highlight w:val="none"/>
        </w:rPr>
      </w:pPr>
    </w:p>
    <w:p>
      <w:pPr>
        <w:spacing w:before="480" w:after="240"/>
        <w:jc w:val="left"/>
        <w:outlineLvl w:val="2"/>
        <w:rPr>
          <w:rFonts w:ascii="黑体" w:eastAsia="黑体"/>
          <w:b/>
          <w:bCs/>
          <w:color w:val="auto"/>
          <w:sz w:val="30"/>
          <w:szCs w:val="30"/>
          <w:highlight w:val="none"/>
        </w:rPr>
      </w:pPr>
    </w:p>
    <w:p>
      <w:pPr>
        <w:spacing w:before="480" w:after="240"/>
        <w:jc w:val="left"/>
        <w:outlineLvl w:val="2"/>
        <w:rPr>
          <w:rFonts w:ascii="黑体" w:eastAsia="黑体"/>
          <w:b/>
          <w:bCs/>
          <w:color w:val="auto"/>
          <w:sz w:val="30"/>
          <w:szCs w:val="30"/>
          <w:highlight w:val="none"/>
        </w:rPr>
      </w:pPr>
    </w:p>
    <w:p>
      <w:pPr>
        <w:spacing w:before="480" w:after="240"/>
        <w:jc w:val="left"/>
        <w:outlineLvl w:val="2"/>
        <w:rPr>
          <w:rFonts w:ascii="黑体" w:eastAsia="黑体"/>
          <w:b/>
          <w:bCs/>
          <w:color w:val="auto"/>
          <w:sz w:val="30"/>
          <w:szCs w:val="30"/>
          <w:highlight w:val="none"/>
        </w:rPr>
      </w:pPr>
    </w:p>
    <w:p>
      <w:pPr>
        <w:spacing w:before="480" w:after="240"/>
        <w:jc w:val="left"/>
        <w:outlineLvl w:val="2"/>
        <w:rPr>
          <w:rFonts w:ascii="黑体" w:eastAsia="黑体"/>
          <w:b/>
          <w:bCs/>
          <w:color w:val="auto"/>
          <w:sz w:val="30"/>
          <w:szCs w:val="30"/>
          <w:highlight w:val="none"/>
        </w:rPr>
      </w:pPr>
    </w:p>
    <w:p>
      <w:pPr>
        <w:widowControl/>
        <w:jc w:val="left"/>
        <w:rPr>
          <w:rFonts w:ascii="宋体" w:hAnsi="宋体" w:cs="宋体"/>
          <w:b/>
          <w:bCs/>
          <w:color w:val="auto"/>
          <w:sz w:val="36"/>
          <w:szCs w:val="36"/>
          <w:highlight w:val="none"/>
        </w:rPr>
      </w:pPr>
      <w:r>
        <w:rPr>
          <w:rFonts w:ascii="宋体" w:hAnsi="宋体" w:cs="宋体"/>
          <w:b/>
          <w:bCs/>
          <w:color w:val="auto"/>
          <w:sz w:val="36"/>
          <w:szCs w:val="36"/>
          <w:highlight w:val="none"/>
        </w:rPr>
        <w:br w:type="page"/>
      </w:r>
    </w:p>
    <w:p>
      <w:pPr>
        <w:widowControl/>
        <w:jc w:val="left"/>
        <w:rPr>
          <w:rFonts w:ascii="宋体" w:hAnsi="宋体" w:cs="宋体"/>
          <w:b/>
          <w:bCs/>
          <w:color w:val="auto"/>
          <w:sz w:val="36"/>
          <w:szCs w:val="36"/>
          <w:highlight w:val="none"/>
        </w:rPr>
      </w:pPr>
    </w:p>
    <w:p>
      <w:pPr>
        <w:spacing w:after="120" w:afterLines="50" w:line="440" w:lineRule="exact"/>
        <w:jc w:val="center"/>
        <w:rPr>
          <w:rFonts w:ascii="宋体" w:hAnsi="宋体" w:cs="宋体"/>
          <w:b/>
          <w:color w:val="auto"/>
          <w:szCs w:val="21"/>
          <w:highlight w:val="none"/>
        </w:rPr>
      </w:pPr>
      <w:r>
        <w:rPr>
          <w:rFonts w:hint="eastAsia" w:ascii="宋体" w:hAnsi="宋体" w:cs="宋体"/>
          <w:b/>
          <w:color w:val="auto"/>
          <w:szCs w:val="21"/>
          <w:highlight w:val="none"/>
        </w:rPr>
        <w:t>一、</w:t>
      </w:r>
      <w:r>
        <w:rPr>
          <w:rFonts w:ascii="宋体" w:hAnsi="宋体" w:cs="宋体"/>
          <w:b/>
          <w:color w:val="auto"/>
          <w:szCs w:val="21"/>
          <w:highlight w:val="none"/>
        </w:rPr>
        <w:t>法定代表人身份证明书</w:t>
      </w:r>
    </w:p>
    <w:p>
      <w:pPr>
        <w:autoSpaceDE w:val="0"/>
        <w:autoSpaceDN w:val="0"/>
        <w:jc w:val="center"/>
        <w:rPr>
          <w:b/>
          <w:color w:val="auto"/>
          <w:kern w:val="0"/>
          <w:sz w:val="32"/>
          <w:szCs w:val="32"/>
          <w:highlight w:val="none"/>
        </w:rPr>
      </w:pPr>
    </w:p>
    <w:p>
      <w:pPr>
        <w:autoSpaceDE w:val="0"/>
        <w:autoSpaceDN w:val="0"/>
        <w:spacing w:line="360" w:lineRule="auto"/>
        <w:ind w:firstLine="561"/>
        <w:rPr>
          <w:color w:val="auto"/>
          <w:kern w:val="0"/>
          <w:sz w:val="24"/>
          <w:highlight w:val="none"/>
          <w:u w:val="single"/>
        </w:rPr>
      </w:pPr>
      <w:r>
        <w:rPr>
          <w:color w:val="auto"/>
          <w:kern w:val="0"/>
          <w:sz w:val="24"/>
          <w:highlight w:val="none"/>
        </w:rPr>
        <w:t>单位名称:</w:t>
      </w:r>
      <w:r>
        <w:rPr>
          <w:color w:val="auto"/>
          <w:kern w:val="0"/>
          <w:sz w:val="24"/>
          <w:highlight w:val="none"/>
          <w:u w:val="single"/>
        </w:rPr>
        <w:t xml:space="preserve">                       </w:t>
      </w:r>
    </w:p>
    <w:p>
      <w:pPr>
        <w:autoSpaceDE w:val="0"/>
        <w:autoSpaceDN w:val="0"/>
        <w:spacing w:line="360" w:lineRule="auto"/>
        <w:ind w:firstLine="561"/>
        <w:rPr>
          <w:color w:val="auto"/>
          <w:kern w:val="0"/>
          <w:sz w:val="24"/>
          <w:highlight w:val="none"/>
          <w:u w:val="single"/>
        </w:rPr>
      </w:pPr>
      <w:r>
        <w:rPr>
          <w:color w:val="auto"/>
          <w:kern w:val="0"/>
          <w:sz w:val="24"/>
          <w:highlight w:val="none"/>
        </w:rPr>
        <w:t>单位性质:</w:t>
      </w:r>
      <w:r>
        <w:rPr>
          <w:color w:val="auto"/>
          <w:kern w:val="0"/>
          <w:sz w:val="24"/>
          <w:highlight w:val="none"/>
          <w:u w:val="single"/>
        </w:rPr>
        <w:t xml:space="preserve">           </w:t>
      </w:r>
    </w:p>
    <w:p>
      <w:pPr>
        <w:autoSpaceDE w:val="0"/>
        <w:autoSpaceDN w:val="0"/>
        <w:spacing w:line="360" w:lineRule="auto"/>
        <w:ind w:firstLine="561"/>
        <w:rPr>
          <w:color w:val="auto"/>
          <w:kern w:val="0"/>
          <w:sz w:val="24"/>
          <w:highlight w:val="none"/>
          <w:u w:val="single"/>
        </w:rPr>
      </w:pPr>
      <w:r>
        <w:rPr>
          <w:color w:val="auto"/>
          <w:kern w:val="0"/>
          <w:sz w:val="24"/>
          <w:highlight w:val="none"/>
        </w:rPr>
        <w:t>地    址:</w:t>
      </w:r>
      <w:r>
        <w:rPr>
          <w:color w:val="auto"/>
          <w:kern w:val="0"/>
          <w:sz w:val="24"/>
          <w:highlight w:val="none"/>
          <w:u w:val="single"/>
        </w:rPr>
        <w:t xml:space="preserve">                                   </w:t>
      </w:r>
    </w:p>
    <w:p>
      <w:pPr>
        <w:autoSpaceDE w:val="0"/>
        <w:autoSpaceDN w:val="0"/>
        <w:spacing w:line="360" w:lineRule="auto"/>
        <w:ind w:firstLine="561"/>
        <w:rPr>
          <w:color w:val="auto"/>
          <w:kern w:val="0"/>
          <w:sz w:val="24"/>
          <w:highlight w:val="none"/>
        </w:rPr>
      </w:pPr>
      <w:r>
        <w:rPr>
          <w:color w:val="auto"/>
          <w:kern w:val="0"/>
          <w:sz w:val="24"/>
          <w:highlight w:val="none"/>
        </w:rPr>
        <w:t>成立时间:</w:t>
      </w:r>
      <w:r>
        <w:rPr>
          <w:color w:val="auto"/>
          <w:kern w:val="0"/>
          <w:sz w:val="24"/>
          <w:highlight w:val="none"/>
          <w:u w:val="single"/>
        </w:rPr>
        <w:t xml:space="preserve">      </w:t>
      </w:r>
      <w:r>
        <w:rPr>
          <w:color w:val="auto"/>
          <w:kern w:val="0"/>
          <w:sz w:val="24"/>
          <w:highlight w:val="none"/>
        </w:rPr>
        <w:t>年</w:t>
      </w:r>
      <w:r>
        <w:rPr>
          <w:color w:val="auto"/>
          <w:kern w:val="0"/>
          <w:sz w:val="24"/>
          <w:highlight w:val="none"/>
          <w:u w:val="single"/>
        </w:rPr>
        <w:t xml:space="preserve">   </w:t>
      </w:r>
      <w:r>
        <w:rPr>
          <w:color w:val="auto"/>
          <w:kern w:val="0"/>
          <w:sz w:val="24"/>
          <w:highlight w:val="none"/>
        </w:rPr>
        <w:t>月</w:t>
      </w:r>
      <w:r>
        <w:rPr>
          <w:color w:val="auto"/>
          <w:kern w:val="0"/>
          <w:sz w:val="24"/>
          <w:highlight w:val="none"/>
          <w:u w:val="single"/>
        </w:rPr>
        <w:t xml:space="preserve">   </w:t>
      </w:r>
      <w:r>
        <w:rPr>
          <w:color w:val="auto"/>
          <w:kern w:val="0"/>
          <w:sz w:val="24"/>
          <w:highlight w:val="none"/>
        </w:rPr>
        <w:t>日</w:t>
      </w:r>
    </w:p>
    <w:p>
      <w:pPr>
        <w:autoSpaceDE w:val="0"/>
        <w:autoSpaceDN w:val="0"/>
        <w:spacing w:line="360" w:lineRule="auto"/>
        <w:ind w:firstLine="561"/>
        <w:rPr>
          <w:color w:val="auto"/>
          <w:kern w:val="0"/>
          <w:sz w:val="24"/>
          <w:highlight w:val="none"/>
          <w:u w:val="single"/>
        </w:rPr>
      </w:pPr>
      <w:r>
        <w:rPr>
          <w:color w:val="auto"/>
          <w:kern w:val="0"/>
          <w:sz w:val="24"/>
          <w:highlight w:val="none"/>
        </w:rPr>
        <w:t>经营期限:</w:t>
      </w:r>
      <w:r>
        <w:rPr>
          <w:color w:val="auto"/>
          <w:kern w:val="0"/>
          <w:sz w:val="24"/>
          <w:highlight w:val="none"/>
          <w:u w:val="single"/>
        </w:rPr>
        <w:t xml:space="preserve">       </w:t>
      </w:r>
    </w:p>
    <w:p>
      <w:pPr>
        <w:autoSpaceDE w:val="0"/>
        <w:autoSpaceDN w:val="0"/>
        <w:spacing w:line="360" w:lineRule="auto"/>
        <w:ind w:firstLine="561"/>
        <w:rPr>
          <w:color w:val="auto"/>
          <w:kern w:val="0"/>
          <w:sz w:val="24"/>
          <w:highlight w:val="none"/>
          <w:u w:val="single"/>
        </w:rPr>
      </w:pPr>
      <w:r>
        <w:rPr>
          <w:color w:val="auto"/>
          <w:kern w:val="0"/>
          <w:sz w:val="24"/>
          <w:highlight w:val="none"/>
        </w:rPr>
        <w:t>姓    名:</w:t>
      </w:r>
      <w:r>
        <w:rPr>
          <w:color w:val="auto"/>
          <w:kern w:val="0"/>
          <w:sz w:val="24"/>
          <w:highlight w:val="none"/>
          <w:u w:val="single"/>
        </w:rPr>
        <w:t xml:space="preserve">         </w:t>
      </w:r>
      <w:r>
        <w:rPr>
          <w:color w:val="auto"/>
          <w:kern w:val="0"/>
          <w:sz w:val="24"/>
          <w:highlight w:val="none"/>
        </w:rPr>
        <w:t xml:space="preserve">   性别:</w:t>
      </w:r>
      <w:r>
        <w:rPr>
          <w:color w:val="auto"/>
          <w:kern w:val="0"/>
          <w:sz w:val="24"/>
          <w:highlight w:val="none"/>
          <w:u w:val="single"/>
        </w:rPr>
        <w:t xml:space="preserve">     </w:t>
      </w:r>
      <w:r>
        <w:rPr>
          <w:color w:val="auto"/>
          <w:kern w:val="0"/>
          <w:sz w:val="24"/>
          <w:highlight w:val="none"/>
        </w:rPr>
        <w:t xml:space="preserve">   年龄:</w:t>
      </w:r>
      <w:r>
        <w:rPr>
          <w:color w:val="auto"/>
          <w:kern w:val="0"/>
          <w:sz w:val="24"/>
          <w:highlight w:val="none"/>
          <w:u w:val="single"/>
        </w:rPr>
        <w:t xml:space="preserve">     </w:t>
      </w:r>
      <w:r>
        <w:rPr>
          <w:color w:val="auto"/>
          <w:kern w:val="0"/>
          <w:sz w:val="24"/>
          <w:highlight w:val="none"/>
        </w:rPr>
        <w:t xml:space="preserve">   职务：</w:t>
      </w:r>
      <w:r>
        <w:rPr>
          <w:color w:val="auto"/>
          <w:kern w:val="0"/>
          <w:sz w:val="24"/>
          <w:highlight w:val="none"/>
          <w:u w:val="single"/>
        </w:rPr>
        <w:t xml:space="preserve">       </w:t>
      </w:r>
    </w:p>
    <w:p>
      <w:pPr>
        <w:autoSpaceDE w:val="0"/>
        <w:autoSpaceDN w:val="0"/>
        <w:spacing w:line="360" w:lineRule="auto"/>
        <w:ind w:firstLine="561"/>
        <w:rPr>
          <w:color w:val="auto"/>
          <w:kern w:val="0"/>
          <w:sz w:val="24"/>
          <w:highlight w:val="none"/>
          <w:u w:val="single"/>
        </w:rPr>
      </w:pPr>
      <w:r>
        <w:rPr>
          <w:color w:val="auto"/>
          <w:kern w:val="0"/>
          <w:sz w:val="24"/>
          <w:highlight w:val="none"/>
        </w:rPr>
        <w:t>系</w:t>
      </w:r>
      <w:r>
        <w:rPr>
          <w:color w:val="auto"/>
          <w:kern w:val="0"/>
          <w:sz w:val="24"/>
          <w:highlight w:val="none"/>
          <w:u w:val="single"/>
        </w:rPr>
        <w:t xml:space="preserve">             （供应商单位名称）</w:t>
      </w:r>
      <w:r>
        <w:rPr>
          <w:color w:val="auto"/>
          <w:kern w:val="0"/>
          <w:sz w:val="24"/>
          <w:highlight w:val="none"/>
        </w:rPr>
        <w:t>的法定代表人。</w:t>
      </w:r>
    </w:p>
    <w:p>
      <w:pPr>
        <w:autoSpaceDE w:val="0"/>
        <w:autoSpaceDN w:val="0"/>
        <w:spacing w:line="360" w:lineRule="auto"/>
        <w:ind w:firstLine="561"/>
        <w:rPr>
          <w:color w:val="auto"/>
          <w:kern w:val="0"/>
          <w:sz w:val="24"/>
          <w:highlight w:val="none"/>
        </w:rPr>
      </w:pPr>
      <w:r>
        <w:rPr>
          <w:color w:val="auto"/>
          <w:kern w:val="0"/>
          <w:sz w:val="24"/>
          <w:highlight w:val="none"/>
        </w:rPr>
        <w:t>特此证明。</w:t>
      </w:r>
    </w:p>
    <w:p>
      <w:pPr>
        <w:autoSpaceDE w:val="0"/>
        <w:autoSpaceDN w:val="0"/>
        <w:spacing w:line="360" w:lineRule="auto"/>
        <w:ind w:firstLine="4505"/>
        <w:rPr>
          <w:color w:val="auto"/>
          <w:kern w:val="0"/>
          <w:sz w:val="24"/>
          <w:highlight w:val="none"/>
        </w:rPr>
      </w:pPr>
    </w:p>
    <w:p>
      <w:pPr>
        <w:autoSpaceDE w:val="0"/>
        <w:autoSpaceDN w:val="0"/>
        <w:spacing w:line="360" w:lineRule="auto"/>
        <w:ind w:firstLine="4505"/>
        <w:rPr>
          <w:color w:val="auto"/>
          <w:kern w:val="0"/>
          <w:sz w:val="24"/>
          <w:highlight w:val="none"/>
        </w:rPr>
      </w:pPr>
    </w:p>
    <w:p>
      <w:pPr>
        <w:autoSpaceDE w:val="0"/>
        <w:autoSpaceDN w:val="0"/>
        <w:spacing w:line="360" w:lineRule="auto"/>
        <w:ind w:firstLine="4505"/>
        <w:rPr>
          <w:color w:val="auto"/>
          <w:kern w:val="0"/>
          <w:sz w:val="24"/>
          <w:highlight w:val="none"/>
        </w:rPr>
      </w:pPr>
    </w:p>
    <w:p>
      <w:pPr>
        <w:autoSpaceDE w:val="0"/>
        <w:autoSpaceDN w:val="0"/>
        <w:spacing w:line="360" w:lineRule="auto"/>
        <w:ind w:firstLine="4505"/>
        <w:rPr>
          <w:color w:val="auto"/>
          <w:kern w:val="0"/>
          <w:sz w:val="24"/>
          <w:highlight w:val="none"/>
        </w:rPr>
      </w:pPr>
    </w:p>
    <w:p>
      <w:pPr>
        <w:autoSpaceDE w:val="0"/>
        <w:autoSpaceDN w:val="0"/>
        <w:spacing w:line="360" w:lineRule="auto"/>
        <w:ind w:firstLine="4505"/>
        <w:rPr>
          <w:color w:val="auto"/>
          <w:kern w:val="0"/>
          <w:sz w:val="24"/>
          <w:highlight w:val="none"/>
          <w:u w:val="single"/>
        </w:rPr>
      </w:pPr>
      <w:r>
        <w:rPr>
          <w:color w:val="auto"/>
          <w:kern w:val="0"/>
          <w:sz w:val="24"/>
          <w:highlight w:val="none"/>
        </w:rPr>
        <w:t>供应商：</w:t>
      </w:r>
      <w:r>
        <w:rPr>
          <w:color w:val="auto"/>
          <w:kern w:val="0"/>
          <w:sz w:val="24"/>
          <w:highlight w:val="none"/>
          <w:u w:val="single"/>
        </w:rPr>
        <w:t xml:space="preserve">             （单位公章）</w:t>
      </w:r>
    </w:p>
    <w:p>
      <w:pPr>
        <w:autoSpaceDE w:val="0"/>
        <w:autoSpaceDN w:val="0"/>
        <w:spacing w:line="360" w:lineRule="auto"/>
        <w:ind w:firstLine="4440" w:firstLineChars="1850"/>
        <w:rPr>
          <w:color w:val="auto"/>
          <w:kern w:val="0"/>
          <w:sz w:val="24"/>
          <w:highlight w:val="none"/>
        </w:rPr>
      </w:pPr>
      <w:r>
        <w:rPr>
          <w:color w:val="auto"/>
          <w:kern w:val="0"/>
          <w:sz w:val="24"/>
          <w:highlight w:val="none"/>
        </w:rPr>
        <w:t>日   期：   年  月  日</w:t>
      </w:r>
    </w:p>
    <w:p>
      <w:pPr>
        <w:autoSpaceDE w:val="0"/>
        <w:autoSpaceDN w:val="0"/>
        <w:spacing w:line="360" w:lineRule="auto"/>
        <w:rPr>
          <w:color w:val="auto"/>
          <w:kern w:val="0"/>
          <w:sz w:val="24"/>
          <w:highlight w:val="none"/>
          <w:u w:val="single"/>
        </w:rPr>
      </w:pPr>
    </w:p>
    <w:p>
      <w:pPr>
        <w:autoSpaceDE w:val="0"/>
        <w:autoSpaceDN w:val="0"/>
        <w:spacing w:line="360" w:lineRule="auto"/>
        <w:rPr>
          <w:b/>
          <w:color w:val="auto"/>
          <w:kern w:val="0"/>
          <w:szCs w:val="21"/>
          <w:highlight w:val="none"/>
        </w:rPr>
      </w:pPr>
      <w:r>
        <w:rPr>
          <w:b/>
          <w:color w:val="auto"/>
          <w:kern w:val="0"/>
          <w:szCs w:val="21"/>
          <w:highlight w:val="none"/>
        </w:rPr>
        <w:t>附：法定代表人身份证</w:t>
      </w:r>
      <w:r>
        <w:rPr>
          <w:rFonts w:hint="eastAsia"/>
          <w:b/>
          <w:color w:val="auto"/>
          <w:kern w:val="0"/>
          <w:szCs w:val="21"/>
          <w:highlight w:val="none"/>
        </w:rPr>
        <w:t>明</w:t>
      </w:r>
      <w:r>
        <w:rPr>
          <w:b/>
          <w:color w:val="auto"/>
          <w:kern w:val="0"/>
          <w:szCs w:val="21"/>
          <w:highlight w:val="none"/>
        </w:rPr>
        <w:t>复印件</w:t>
      </w:r>
      <w:r>
        <w:rPr>
          <w:color w:val="auto"/>
          <w:szCs w:val="21"/>
          <w:highlight w:val="none"/>
        </w:rPr>
        <w:t>（正反两面）</w:t>
      </w:r>
    </w:p>
    <w:p>
      <w:pPr>
        <w:spacing w:line="360" w:lineRule="auto"/>
        <w:ind w:firstLine="810"/>
        <w:rPr>
          <w:b/>
          <w:bCs/>
          <w:color w:val="auto"/>
          <w:szCs w:val="21"/>
          <w:highlight w:val="none"/>
        </w:rPr>
      </w:pPr>
    </w:p>
    <w:p>
      <w:pPr>
        <w:spacing w:line="360" w:lineRule="auto"/>
        <w:ind w:firstLine="810"/>
        <w:rPr>
          <w:b/>
          <w:bCs/>
          <w:color w:val="auto"/>
          <w:szCs w:val="21"/>
          <w:highlight w:val="none"/>
        </w:rPr>
      </w:pPr>
    </w:p>
    <w:p>
      <w:pPr>
        <w:spacing w:line="360" w:lineRule="auto"/>
        <w:ind w:firstLine="810"/>
        <w:rPr>
          <w:b/>
          <w:bCs/>
          <w:color w:val="auto"/>
          <w:szCs w:val="21"/>
          <w:highlight w:val="none"/>
        </w:rPr>
      </w:pPr>
    </w:p>
    <w:p>
      <w:pPr>
        <w:spacing w:line="360" w:lineRule="auto"/>
        <w:ind w:firstLine="810"/>
        <w:rPr>
          <w:b/>
          <w:bCs/>
          <w:color w:val="auto"/>
          <w:szCs w:val="21"/>
          <w:highlight w:val="none"/>
        </w:rPr>
      </w:pPr>
    </w:p>
    <w:p>
      <w:pPr>
        <w:spacing w:line="360" w:lineRule="auto"/>
        <w:ind w:firstLine="810"/>
        <w:rPr>
          <w:b/>
          <w:bCs/>
          <w:color w:val="auto"/>
          <w:szCs w:val="21"/>
          <w:highlight w:val="none"/>
        </w:rPr>
      </w:pPr>
    </w:p>
    <w:p>
      <w:pPr>
        <w:spacing w:line="360" w:lineRule="auto"/>
        <w:ind w:firstLine="810"/>
        <w:rPr>
          <w:b/>
          <w:bCs/>
          <w:color w:val="auto"/>
          <w:szCs w:val="21"/>
          <w:highlight w:val="none"/>
        </w:rPr>
      </w:pPr>
    </w:p>
    <w:p>
      <w:pPr>
        <w:spacing w:line="360" w:lineRule="auto"/>
        <w:ind w:firstLine="810"/>
        <w:rPr>
          <w:b/>
          <w:bCs/>
          <w:color w:val="auto"/>
          <w:szCs w:val="21"/>
          <w:highlight w:val="none"/>
        </w:rPr>
      </w:pPr>
    </w:p>
    <w:p>
      <w:pPr>
        <w:rPr>
          <w:color w:val="auto"/>
          <w:kern w:val="0"/>
          <w:highlight w:val="none"/>
        </w:rPr>
      </w:pPr>
    </w:p>
    <w:p>
      <w:pPr>
        <w:rPr>
          <w:color w:val="auto"/>
          <w:kern w:val="0"/>
          <w:highlight w:val="none"/>
        </w:rPr>
      </w:pPr>
    </w:p>
    <w:p>
      <w:pPr>
        <w:rPr>
          <w:color w:val="auto"/>
          <w:kern w:val="0"/>
          <w:highlight w:val="none"/>
        </w:rPr>
      </w:pPr>
    </w:p>
    <w:p>
      <w:pPr>
        <w:rPr>
          <w:color w:val="auto"/>
          <w:kern w:val="0"/>
          <w:highlight w:val="none"/>
        </w:rPr>
      </w:pPr>
    </w:p>
    <w:p>
      <w:pPr>
        <w:rPr>
          <w:color w:val="auto"/>
          <w:kern w:val="0"/>
          <w:highlight w:val="none"/>
        </w:rPr>
      </w:pPr>
    </w:p>
    <w:p>
      <w:pPr>
        <w:rPr>
          <w:color w:val="auto"/>
          <w:kern w:val="0"/>
          <w:highlight w:val="none"/>
        </w:rPr>
      </w:pPr>
    </w:p>
    <w:p>
      <w:pPr>
        <w:rPr>
          <w:color w:val="auto"/>
          <w:kern w:val="0"/>
          <w:highlight w:val="none"/>
        </w:rPr>
      </w:pPr>
    </w:p>
    <w:p>
      <w:pPr>
        <w:rPr>
          <w:color w:val="auto"/>
          <w:kern w:val="0"/>
          <w:highlight w:val="none"/>
        </w:rPr>
      </w:pPr>
    </w:p>
    <w:p>
      <w:pPr>
        <w:rPr>
          <w:color w:val="auto"/>
          <w:kern w:val="0"/>
          <w:highlight w:val="none"/>
        </w:rPr>
      </w:pPr>
    </w:p>
    <w:p>
      <w:pPr>
        <w:pStyle w:val="2"/>
        <w:rPr>
          <w:color w:val="auto"/>
          <w:kern w:val="0"/>
          <w:highlight w:val="none"/>
        </w:rPr>
      </w:pPr>
    </w:p>
    <w:p>
      <w:pPr>
        <w:rPr>
          <w:color w:val="auto"/>
          <w:highlight w:val="none"/>
        </w:rPr>
      </w:pPr>
    </w:p>
    <w:p>
      <w:pPr>
        <w:rPr>
          <w:color w:val="auto"/>
          <w:kern w:val="0"/>
          <w:highlight w:val="none"/>
        </w:rPr>
      </w:pPr>
    </w:p>
    <w:p>
      <w:pPr>
        <w:rPr>
          <w:color w:val="auto"/>
          <w:kern w:val="0"/>
          <w:highlight w:val="none"/>
        </w:rPr>
      </w:pPr>
    </w:p>
    <w:p>
      <w:pPr>
        <w:rPr>
          <w:color w:val="auto"/>
          <w:kern w:val="0"/>
          <w:highlight w:val="none"/>
        </w:rPr>
      </w:pPr>
    </w:p>
    <w:p>
      <w:pPr>
        <w:rPr>
          <w:color w:val="auto"/>
          <w:kern w:val="0"/>
          <w:highlight w:val="none"/>
        </w:rPr>
      </w:pPr>
    </w:p>
    <w:p>
      <w:pPr>
        <w:spacing w:after="120" w:afterLines="50" w:line="440" w:lineRule="exact"/>
        <w:jc w:val="center"/>
        <w:rPr>
          <w:rFonts w:ascii="宋体" w:hAnsi="宋体" w:cs="宋体"/>
          <w:b/>
          <w:color w:val="auto"/>
          <w:szCs w:val="21"/>
          <w:highlight w:val="none"/>
        </w:rPr>
      </w:pPr>
      <w:r>
        <w:rPr>
          <w:rFonts w:hint="eastAsia" w:ascii="宋体" w:hAnsi="宋体" w:cs="宋体"/>
          <w:b/>
          <w:color w:val="auto"/>
          <w:szCs w:val="21"/>
          <w:highlight w:val="none"/>
        </w:rPr>
        <w:t>二、法定代表人授权书</w:t>
      </w:r>
    </w:p>
    <w:p>
      <w:pPr>
        <w:spacing w:before="120" w:beforeLines="50" w:line="440" w:lineRule="exact"/>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 xml:space="preserve"> </w:t>
      </w:r>
    </w:p>
    <w:p>
      <w:pPr>
        <w:spacing w:line="440" w:lineRule="exact"/>
        <w:ind w:firstLine="420" w:firstLineChars="200"/>
        <w:rPr>
          <w:color w:val="auto"/>
          <w:szCs w:val="21"/>
          <w:highlight w:val="none"/>
        </w:rPr>
      </w:pPr>
      <w:r>
        <w:rPr>
          <w:color w:val="auto"/>
          <w:szCs w:val="21"/>
          <w:highlight w:val="none"/>
        </w:rPr>
        <w:t>本授权声明：</w:t>
      </w:r>
      <w:r>
        <w:rPr>
          <w:color w:val="auto"/>
          <w:szCs w:val="21"/>
          <w:highlight w:val="none"/>
          <w:u w:val="single"/>
        </w:rPr>
        <w:t xml:space="preserve">                   </w:t>
      </w:r>
      <w:r>
        <w:rPr>
          <w:color w:val="auto"/>
          <w:szCs w:val="21"/>
          <w:highlight w:val="none"/>
        </w:rPr>
        <w:t>（</w:t>
      </w:r>
      <w:r>
        <w:rPr>
          <w:rFonts w:hint="eastAsia"/>
          <w:color w:val="auto"/>
          <w:szCs w:val="21"/>
          <w:highlight w:val="none"/>
        </w:rPr>
        <w:t>供应商</w:t>
      </w:r>
      <w:r>
        <w:rPr>
          <w:color w:val="auto"/>
          <w:szCs w:val="21"/>
          <w:highlight w:val="none"/>
        </w:rPr>
        <w:t>名称）按中华人民共和国法律于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日成立。</w:t>
      </w:r>
      <w:r>
        <w:rPr>
          <w:color w:val="auto"/>
          <w:szCs w:val="21"/>
          <w:highlight w:val="none"/>
          <w:u w:val="single"/>
        </w:rPr>
        <w:t xml:space="preserve">          </w:t>
      </w:r>
      <w:r>
        <w:rPr>
          <w:color w:val="auto"/>
          <w:szCs w:val="21"/>
          <w:highlight w:val="none"/>
        </w:rPr>
        <w:t>（法定代表人姓名、职务）特授权</w:t>
      </w:r>
      <w:r>
        <w:rPr>
          <w:color w:val="auto"/>
          <w:szCs w:val="21"/>
          <w:highlight w:val="none"/>
          <w:u w:val="single"/>
        </w:rPr>
        <w:t xml:space="preserve">                  </w:t>
      </w:r>
      <w:r>
        <w:rPr>
          <w:color w:val="auto"/>
          <w:szCs w:val="21"/>
          <w:highlight w:val="none"/>
        </w:rPr>
        <w:t>（被授权人姓名、职务、）为我方</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r>
        <w:rPr>
          <w:color w:val="auto"/>
          <w:szCs w:val="21"/>
          <w:highlight w:val="none"/>
        </w:rPr>
        <w:t>项目（</w:t>
      </w:r>
      <w:r>
        <w:rPr>
          <w:rFonts w:hint="eastAsia"/>
          <w:color w:val="auto"/>
          <w:szCs w:val="21"/>
          <w:highlight w:val="none"/>
        </w:rPr>
        <w:t>项目名称</w:t>
      </w:r>
      <w:r>
        <w:rPr>
          <w:color w:val="auto"/>
          <w:szCs w:val="21"/>
          <w:highlight w:val="none"/>
        </w:rPr>
        <w:t>）</w:t>
      </w:r>
      <w:r>
        <w:rPr>
          <w:rFonts w:hint="eastAsia"/>
          <w:color w:val="auto"/>
          <w:szCs w:val="21"/>
          <w:highlight w:val="none"/>
        </w:rPr>
        <w:t>谈判</w:t>
      </w:r>
      <w:r>
        <w:rPr>
          <w:color w:val="auto"/>
          <w:szCs w:val="21"/>
          <w:highlight w:val="none"/>
        </w:rPr>
        <w:t>活动的合法代表，以我方名义全权处理该项目有关</w:t>
      </w:r>
      <w:r>
        <w:rPr>
          <w:rFonts w:hint="eastAsia"/>
          <w:color w:val="auto"/>
          <w:szCs w:val="21"/>
          <w:highlight w:val="none"/>
        </w:rPr>
        <w:t>谈判</w:t>
      </w:r>
      <w:r>
        <w:rPr>
          <w:color w:val="auto"/>
          <w:szCs w:val="21"/>
          <w:highlight w:val="none"/>
        </w:rPr>
        <w:t>、签订合同以及执行合同等一切事宜，本单位均予承认并负全部责任。</w:t>
      </w:r>
    </w:p>
    <w:p>
      <w:pPr>
        <w:spacing w:line="440" w:lineRule="exact"/>
        <w:ind w:firstLine="422" w:firstLineChars="200"/>
        <w:rPr>
          <w:color w:val="auto"/>
          <w:szCs w:val="21"/>
          <w:highlight w:val="none"/>
        </w:rPr>
      </w:pPr>
      <w:r>
        <w:rPr>
          <w:rFonts w:hint="eastAsia" w:ascii="宋体" w:hAnsi="宋体" w:cs="宋体"/>
          <w:b/>
          <w:caps/>
          <w:color w:val="auto"/>
          <w:szCs w:val="21"/>
          <w:highlight w:val="none"/>
        </w:rPr>
        <w:t>本授权有效期自谈判之日起不得少于90天</w:t>
      </w:r>
    </w:p>
    <w:p>
      <w:pPr>
        <w:spacing w:line="440" w:lineRule="exact"/>
        <w:rPr>
          <w:color w:val="auto"/>
          <w:szCs w:val="21"/>
          <w:highlight w:val="none"/>
        </w:rPr>
      </w:pPr>
      <w:r>
        <w:rPr>
          <w:color w:val="auto"/>
          <w:szCs w:val="21"/>
          <w:highlight w:val="none"/>
        </w:rPr>
        <w:t>附：1、授权代表信息：</w:t>
      </w:r>
    </w:p>
    <w:p>
      <w:pPr>
        <w:spacing w:line="440" w:lineRule="exact"/>
        <w:ind w:firstLine="735" w:firstLineChars="350"/>
        <w:rPr>
          <w:color w:val="auto"/>
          <w:szCs w:val="21"/>
          <w:highlight w:val="none"/>
        </w:rPr>
      </w:pPr>
      <w:r>
        <w:rPr>
          <w:color w:val="auto"/>
          <w:szCs w:val="21"/>
          <w:highlight w:val="none"/>
        </w:rPr>
        <w:t>授权代表姓名：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color w:val="auto"/>
          <w:szCs w:val="21"/>
          <w:highlight w:val="none"/>
        </w:rPr>
        <w:t>年龄：</w:t>
      </w:r>
      <w:r>
        <w:rPr>
          <w:color w:val="auto"/>
          <w:szCs w:val="21"/>
          <w:highlight w:val="none"/>
          <w:u w:val="single"/>
        </w:rPr>
        <w:t xml:space="preserve">      </w:t>
      </w:r>
    </w:p>
    <w:p>
      <w:pPr>
        <w:spacing w:line="440" w:lineRule="exact"/>
        <w:ind w:firstLine="555"/>
        <w:rPr>
          <w:color w:val="auto"/>
          <w:szCs w:val="21"/>
          <w:highlight w:val="none"/>
          <w:u w:val="single"/>
        </w:rPr>
      </w:pPr>
      <w:r>
        <w:rPr>
          <w:color w:val="auto"/>
          <w:szCs w:val="21"/>
          <w:highlight w:val="none"/>
        </w:rPr>
        <w:t xml:space="preserve">  身份证号码：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pPr>
        <w:spacing w:line="440" w:lineRule="exact"/>
        <w:ind w:firstLine="555"/>
        <w:rPr>
          <w:color w:val="auto"/>
          <w:szCs w:val="21"/>
          <w:highlight w:val="none"/>
        </w:rPr>
      </w:pPr>
      <w:r>
        <w:rPr>
          <w:color w:val="auto"/>
          <w:szCs w:val="21"/>
          <w:highlight w:val="none"/>
        </w:rPr>
        <w:t xml:space="preserve">  通讯地址：</w:t>
      </w:r>
      <w:r>
        <w:rPr>
          <w:color w:val="auto"/>
          <w:szCs w:val="21"/>
          <w:highlight w:val="none"/>
          <w:u w:val="single"/>
        </w:rPr>
        <w:t xml:space="preserve">                                    </w:t>
      </w:r>
    </w:p>
    <w:p>
      <w:pPr>
        <w:spacing w:line="440" w:lineRule="exact"/>
        <w:ind w:firstLine="555"/>
        <w:rPr>
          <w:b/>
          <w:color w:val="auto"/>
          <w:szCs w:val="21"/>
          <w:highlight w:val="none"/>
        </w:rPr>
      </w:pPr>
      <w:r>
        <w:rPr>
          <w:color w:val="auto"/>
          <w:szCs w:val="21"/>
          <w:highlight w:val="none"/>
        </w:rPr>
        <w:t xml:space="preserve">  邮政编码：</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r>
        <w:rPr>
          <w:color w:val="auto"/>
          <w:szCs w:val="21"/>
          <w:highlight w:val="none"/>
        </w:rPr>
        <w:t xml:space="preserve"> 传真：</w:t>
      </w:r>
      <w:r>
        <w:rPr>
          <w:color w:val="auto"/>
          <w:szCs w:val="21"/>
          <w:highlight w:val="none"/>
          <w:u w:val="single"/>
        </w:rPr>
        <w:t xml:space="preserve">      </w:t>
      </w:r>
    </w:p>
    <w:p>
      <w:pPr>
        <w:spacing w:line="440" w:lineRule="exact"/>
        <w:rPr>
          <w:color w:val="auto"/>
          <w:szCs w:val="21"/>
          <w:highlight w:val="none"/>
        </w:rPr>
      </w:pPr>
      <w:r>
        <w:rPr>
          <w:b/>
          <w:color w:val="auto"/>
          <w:szCs w:val="21"/>
          <w:highlight w:val="none"/>
        </w:rPr>
        <w:t xml:space="preserve">    </w:t>
      </w:r>
      <w:r>
        <w:rPr>
          <w:color w:val="auto"/>
          <w:szCs w:val="21"/>
          <w:highlight w:val="none"/>
        </w:rPr>
        <w:t>2、法定代表人身份证</w:t>
      </w:r>
      <w:r>
        <w:rPr>
          <w:rFonts w:hint="eastAsia"/>
          <w:color w:val="auto"/>
          <w:szCs w:val="21"/>
          <w:highlight w:val="none"/>
        </w:rPr>
        <w:t>明</w:t>
      </w:r>
      <w:r>
        <w:rPr>
          <w:color w:val="auto"/>
          <w:szCs w:val="21"/>
          <w:highlight w:val="none"/>
        </w:rPr>
        <w:t>复印件、授权代表身份证</w:t>
      </w:r>
      <w:r>
        <w:rPr>
          <w:rFonts w:hint="eastAsia"/>
          <w:color w:val="auto"/>
          <w:szCs w:val="21"/>
          <w:highlight w:val="none"/>
        </w:rPr>
        <w:t>明</w:t>
      </w:r>
      <w:r>
        <w:rPr>
          <w:color w:val="auto"/>
          <w:szCs w:val="21"/>
          <w:highlight w:val="none"/>
        </w:rPr>
        <w:t>复印件（正反两面）</w:t>
      </w:r>
    </w:p>
    <w:tbl>
      <w:tblPr>
        <w:tblStyle w:val="38"/>
        <w:tblW w:w="93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650" w:type="dxa"/>
            <w:tcBorders>
              <w:tl2br w:val="nil"/>
              <w:tr2bl w:val="nil"/>
            </w:tcBorders>
          </w:tcPr>
          <w:p>
            <w:pPr>
              <w:spacing w:line="480" w:lineRule="exact"/>
              <w:rPr>
                <w:rFonts w:ascii="宋体" w:hAnsi="宋体" w:cs="宋体"/>
                <w:color w:val="auto"/>
                <w:szCs w:val="21"/>
                <w:highlight w:val="none"/>
              </w:rPr>
            </w:pPr>
          </w:p>
        </w:tc>
        <w:tc>
          <w:tcPr>
            <w:tcW w:w="4650" w:type="dxa"/>
            <w:tcBorders>
              <w:tl2br w:val="nil"/>
              <w:tr2bl w:val="nil"/>
            </w:tcBorders>
          </w:tcPr>
          <w:p>
            <w:pPr>
              <w:spacing w:line="48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650" w:type="dxa"/>
            <w:tcBorders>
              <w:tl2br w:val="nil"/>
              <w:tr2bl w:val="nil"/>
            </w:tcBorders>
          </w:tcPr>
          <w:p>
            <w:pPr>
              <w:spacing w:line="480" w:lineRule="exact"/>
              <w:rPr>
                <w:rFonts w:ascii="宋体" w:hAnsi="宋体" w:cs="宋体"/>
                <w:color w:val="auto"/>
                <w:szCs w:val="21"/>
                <w:highlight w:val="none"/>
              </w:rPr>
            </w:pPr>
          </w:p>
        </w:tc>
        <w:tc>
          <w:tcPr>
            <w:tcW w:w="4650" w:type="dxa"/>
            <w:tcBorders>
              <w:tl2br w:val="nil"/>
              <w:tr2bl w:val="nil"/>
            </w:tcBorders>
          </w:tcPr>
          <w:p>
            <w:pPr>
              <w:spacing w:line="480" w:lineRule="exact"/>
              <w:rPr>
                <w:rFonts w:ascii="宋体" w:hAnsi="宋体" w:cs="宋体"/>
                <w:color w:val="auto"/>
                <w:szCs w:val="21"/>
                <w:highlight w:val="none"/>
              </w:rPr>
            </w:pPr>
          </w:p>
        </w:tc>
      </w:tr>
    </w:tbl>
    <w:p>
      <w:pPr>
        <w:spacing w:before="120" w:beforeLines="50" w:after="120" w:afterLines="50" w:line="4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pPr>
        <w:spacing w:before="120" w:beforeLines="50" w:after="120" w:afterLines="50" w:line="4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授权代表签字：</w:t>
      </w:r>
      <w:r>
        <w:rPr>
          <w:rFonts w:hint="eastAsia" w:ascii="宋体" w:hAnsi="宋体" w:cs="宋体"/>
          <w:color w:val="auto"/>
          <w:szCs w:val="21"/>
          <w:highlight w:val="none"/>
          <w:u w:val="single"/>
        </w:rPr>
        <w:t xml:space="preserve">                 </w:t>
      </w:r>
    </w:p>
    <w:p>
      <w:pPr>
        <w:spacing w:before="120" w:beforeLines="50" w:after="120" w:afterLines="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pPr>
        <w:spacing w:line="500" w:lineRule="exact"/>
        <w:jc w:val="center"/>
        <w:rPr>
          <w:color w:val="auto"/>
          <w:szCs w:val="21"/>
          <w:highlight w:val="none"/>
        </w:rPr>
      </w:pPr>
      <w:r>
        <w:rPr>
          <w:rFonts w:hint="eastAsia" w:ascii="宋体" w:hAnsi="宋体" w:cs="宋体"/>
          <w:color w:val="auto"/>
          <w:szCs w:val="21"/>
          <w:highlight w:val="none"/>
        </w:rPr>
        <w:t xml:space="preserve">                                     　  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rPr>
          <w:rFonts w:ascii="宋体" w:hAnsi="宋体" w:cs="宋体"/>
          <w:b/>
          <w:color w:val="auto"/>
          <w:szCs w:val="21"/>
          <w:highlight w:val="none"/>
        </w:rPr>
      </w:pPr>
      <w:r>
        <w:rPr>
          <w:rFonts w:hint="eastAsia" w:ascii="宋体" w:hAnsi="宋体" w:cs="宋体"/>
          <w:b/>
          <w:color w:val="auto"/>
          <w:szCs w:val="21"/>
          <w:highlight w:val="none"/>
        </w:rPr>
        <w:br w:type="page"/>
      </w:r>
    </w:p>
    <w:p>
      <w:pPr>
        <w:spacing w:after="120" w:afterLines="50" w:line="440" w:lineRule="exact"/>
        <w:jc w:val="center"/>
        <w:rPr>
          <w:rFonts w:ascii="宋体" w:hAnsi="宋体" w:cs="宋体"/>
          <w:b/>
          <w:color w:val="auto"/>
          <w:szCs w:val="21"/>
          <w:highlight w:val="none"/>
        </w:rPr>
      </w:pPr>
      <w:r>
        <w:rPr>
          <w:rFonts w:hint="eastAsia" w:ascii="宋体" w:hAnsi="宋体" w:cs="宋体"/>
          <w:b/>
          <w:color w:val="auto"/>
          <w:szCs w:val="21"/>
          <w:highlight w:val="none"/>
        </w:rPr>
        <w:t>三</w:t>
      </w:r>
      <w:r>
        <w:rPr>
          <w:rFonts w:ascii="宋体" w:hAnsi="宋体" w:cs="宋体"/>
          <w:b/>
          <w:color w:val="auto"/>
          <w:szCs w:val="21"/>
          <w:highlight w:val="none"/>
        </w:rPr>
        <w:t>、</w:t>
      </w:r>
      <w:r>
        <w:rPr>
          <w:rFonts w:hint="eastAsia" w:ascii="宋体" w:hAnsi="宋体" w:cs="宋体"/>
          <w:b/>
          <w:color w:val="auto"/>
          <w:szCs w:val="21"/>
          <w:highlight w:val="none"/>
        </w:rPr>
        <w:t>谈判响应函</w:t>
      </w:r>
    </w:p>
    <w:p>
      <w:pPr>
        <w:pStyle w:val="23"/>
        <w:spacing w:line="500" w:lineRule="exact"/>
        <w:ind w:firstLine="0"/>
        <w:rPr>
          <w:rFonts w:ascii="新宋体" w:hAnsi="新宋体" w:eastAsia="新宋体"/>
          <w:b/>
          <w:bCs/>
          <w:color w:val="auto"/>
          <w:szCs w:val="28"/>
          <w:highlight w:val="none"/>
        </w:rPr>
      </w:pPr>
      <w:r>
        <w:rPr>
          <w:rFonts w:hint="eastAsia" w:ascii="新宋体" w:hAnsi="新宋体" w:eastAsia="新宋体"/>
          <w:b/>
          <w:bCs/>
          <w:color w:val="auto"/>
          <w:szCs w:val="28"/>
          <w:highlight w:val="none"/>
        </w:rPr>
        <w:t>致：</w:t>
      </w:r>
      <w:r>
        <w:rPr>
          <w:rFonts w:hint="eastAsia" w:ascii="新宋体" w:hAnsi="新宋体" w:eastAsia="新宋体"/>
          <w:b/>
          <w:bCs/>
          <w:color w:val="auto"/>
          <w:szCs w:val="28"/>
          <w:highlight w:val="none"/>
          <w:u w:val="single"/>
        </w:rPr>
        <w:t xml:space="preserve">                    </w:t>
      </w:r>
      <w:r>
        <w:rPr>
          <w:rFonts w:hint="eastAsia" w:ascii="新宋体" w:hAnsi="新宋体" w:eastAsia="新宋体"/>
          <w:b/>
          <w:bCs/>
          <w:color w:val="auto"/>
          <w:szCs w:val="28"/>
          <w:highlight w:val="none"/>
        </w:rPr>
        <w:t xml:space="preserve"> </w:t>
      </w:r>
    </w:p>
    <w:p>
      <w:pPr>
        <w:pStyle w:val="23"/>
        <w:spacing w:line="400" w:lineRule="exact"/>
        <w:ind w:firstLine="420"/>
        <w:rPr>
          <w:rFonts w:ascii="Times New Roman" w:hAnsi="Times New Roman" w:eastAsia="新宋体"/>
          <w:bCs/>
          <w:color w:val="auto"/>
          <w:szCs w:val="28"/>
          <w:highlight w:val="none"/>
        </w:rPr>
      </w:pPr>
      <w:r>
        <w:rPr>
          <w:rFonts w:ascii="Times New Roman" w:hAnsi="Times New Roman" w:eastAsia="新宋体"/>
          <w:bCs/>
          <w:color w:val="auto"/>
          <w:szCs w:val="28"/>
          <w:highlight w:val="none"/>
        </w:rPr>
        <w:t>我方全面研究了</w:t>
      </w:r>
      <w:r>
        <w:rPr>
          <w:rFonts w:hint="eastAsia" w:ascii="Times New Roman" w:hAnsi="Times New Roman" w:eastAsia="新宋体"/>
          <w:bCs/>
          <w:color w:val="auto"/>
          <w:szCs w:val="28"/>
          <w:highlight w:val="none"/>
        </w:rPr>
        <w:t>“</w:t>
      </w:r>
      <w:r>
        <w:rPr>
          <w:rFonts w:ascii="Times New Roman" w:hAnsi="Times New Roman" w:eastAsia="新宋体"/>
          <w:bCs/>
          <w:color w:val="auto"/>
          <w:szCs w:val="28"/>
          <w:highlight w:val="none"/>
          <w:u w:val="single"/>
        </w:rPr>
        <w:t xml:space="preserve">                         </w:t>
      </w:r>
      <w:r>
        <w:rPr>
          <w:rFonts w:hint="eastAsia" w:ascii="Times New Roman" w:hAnsi="Times New Roman" w:eastAsia="新宋体"/>
          <w:bCs/>
          <w:color w:val="auto"/>
          <w:szCs w:val="28"/>
          <w:highlight w:val="none"/>
        </w:rPr>
        <w:t>”</w:t>
      </w:r>
      <w:r>
        <w:rPr>
          <w:rFonts w:ascii="Times New Roman" w:hAnsi="Times New Roman" w:eastAsia="新宋体"/>
          <w:bCs/>
          <w:color w:val="auto"/>
          <w:szCs w:val="28"/>
          <w:highlight w:val="none"/>
        </w:rPr>
        <w:t>采购项目</w:t>
      </w:r>
      <w:r>
        <w:rPr>
          <w:rFonts w:hint="eastAsia" w:ascii="Times New Roman" w:hAnsi="Times New Roman" w:eastAsia="新宋体"/>
          <w:bCs/>
          <w:color w:val="auto"/>
          <w:szCs w:val="28"/>
          <w:highlight w:val="none"/>
        </w:rPr>
        <w:t>谈判文件</w:t>
      </w:r>
      <w:r>
        <w:rPr>
          <w:rFonts w:ascii="Times New Roman" w:hAnsi="Times New Roman" w:eastAsia="新宋体"/>
          <w:bCs/>
          <w:color w:val="auto"/>
          <w:szCs w:val="28"/>
          <w:highlight w:val="none"/>
        </w:rPr>
        <w:t>的全部内容，知悉参加</w:t>
      </w:r>
      <w:r>
        <w:rPr>
          <w:rFonts w:hint="eastAsia" w:ascii="Times New Roman" w:hAnsi="Times New Roman" w:eastAsia="新宋体"/>
          <w:bCs/>
          <w:color w:val="auto"/>
          <w:szCs w:val="28"/>
          <w:highlight w:val="none"/>
        </w:rPr>
        <w:t>谈判</w:t>
      </w:r>
      <w:r>
        <w:rPr>
          <w:rFonts w:ascii="Times New Roman" w:hAnsi="Times New Roman" w:eastAsia="新宋体"/>
          <w:bCs/>
          <w:color w:val="auto"/>
          <w:szCs w:val="28"/>
          <w:highlight w:val="none"/>
        </w:rPr>
        <w:t>的风险，我方承诺接受</w:t>
      </w:r>
      <w:r>
        <w:rPr>
          <w:rFonts w:hint="eastAsia" w:ascii="Times New Roman" w:hAnsi="Times New Roman" w:eastAsia="新宋体"/>
          <w:bCs/>
          <w:color w:val="auto"/>
          <w:szCs w:val="28"/>
          <w:highlight w:val="none"/>
        </w:rPr>
        <w:t>谈判文件</w:t>
      </w:r>
      <w:r>
        <w:rPr>
          <w:rFonts w:ascii="Times New Roman" w:hAnsi="Times New Roman" w:eastAsia="新宋体"/>
          <w:bCs/>
          <w:color w:val="auto"/>
          <w:szCs w:val="28"/>
          <w:highlight w:val="none"/>
        </w:rPr>
        <w:t>的全部条款且无任何异议，决定参加贵单位组织的本项目招标。我方正式授权</w:t>
      </w:r>
      <w:r>
        <w:rPr>
          <w:rFonts w:ascii="Times New Roman" w:hAnsi="Times New Roman" w:eastAsia="新宋体"/>
          <w:bCs/>
          <w:color w:val="auto"/>
          <w:szCs w:val="28"/>
          <w:highlight w:val="none"/>
          <w:u w:val="single"/>
        </w:rPr>
        <w:t>（姓名、职务）</w:t>
      </w:r>
      <w:r>
        <w:rPr>
          <w:rFonts w:ascii="Times New Roman" w:hAnsi="Times New Roman" w:eastAsia="新宋体"/>
          <w:bCs/>
          <w:color w:val="auto"/>
          <w:szCs w:val="28"/>
          <w:highlight w:val="none"/>
        </w:rPr>
        <w:t>代表我方</w:t>
      </w:r>
      <w:r>
        <w:rPr>
          <w:rFonts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rPr>
        <w:t>（</w:t>
      </w:r>
      <w:r>
        <w:rPr>
          <w:rFonts w:hint="eastAsia" w:ascii="Times New Roman" w:hAnsi="Times New Roman" w:eastAsia="新宋体"/>
          <w:bCs/>
          <w:color w:val="auto"/>
          <w:szCs w:val="28"/>
          <w:highlight w:val="none"/>
        </w:rPr>
        <w:t>谈判</w:t>
      </w:r>
      <w:r>
        <w:rPr>
          <w:rFonts w:ascii="Times New Roman" w:hAnsi="Times New Roman" w:eastAsia="新宋体"/>
          <w:bCs/>
          <w:color w:val="auto"/>
          <w:szCs w:val="28"/>
          <w:highlight w:val="none"/>
        </w:rPr>
        <w:t>单位的名称）全权处理本项目</w:t>
      </w:r>
      <w:r>
        <w:rPr>
          <w:rFonts w:hint="eastAsia" w:ascii="Times New Roman" w:hAnsi="Times New Roman" w:eastAsia="新宋体"/>
          <w:bCs/>
          <w:color w:val="auto"/>
          <w:szCs w:val="28"/>
          <w:highlight w:val="none"/>
        </w:rPr>
        <w:t>谈判</w:t>
      </w:r>
      <w:r>
        <w:rPr>
          <w:rFonts w:ascii="Times New Roman" w:hAnsi="Times New Roman" w:eastAsia="新宋体"/>
          <w:bCs/>
          <w:color w:val="auto"/>
          <w:szCs w:val="28"/>
          <w:highlight w:val="none"/>
        </w:rPr>
        <w:t>的有关事宜。</w:t>
      </w:r>
    </w:p>
    <w:p>
      <w:pPr>
        <w:pStyle w:val="23"/>
        <w:spacing w:line="400" w:lineRule="exact"/>
        <w:ind w:firstLine="420"/>
        <w:rPr>
          <w:rFonts w:ascii="Times New Roman" w:hAnsi="Times New Roman" w:eastAsia="新宋体"/>
          <w:bCs/>
          <w:color w:val="auto"/>
          <w:szCs w:val="28"/>
          <w:highlight w:val="none"/>
        </w:rPr>
      </w:pPr>
      <w:r>
        <w:rPr>
          <w:rFonts w:ascii="Times New Roman" w:hAnsi="Times New Roman" w:eastAsia="新宋体"/>
          <w:bCs/>
          <w:color w:val="auto"/>
          <w:szCs w:val="28"/>
          <w:highlight w:val="none"/>
        </w:rPr>
        <w:t>在此，我方郑重声明以下诸点</w:t>
      </w:r>
      <w:r>
        <w:rPr>
          <w:rFonts w:hint="eastAsia" w:ascii="Times New Roman" w:hAnsi="Times New Roman" w:eastAsia="新宋体"/>
          <w:bCs/>
          <w:color w:val="auto"/>
          <w:szCs w:val="28"/>
          <w:highlight w:val="none"/>
        </w:rPr>
        <w:t>，</w:t>
      </w:r>
      <w:r>
        <w:rPr>
          <w:rFonts w:ascii="Times New Roman" w:hAnsi="Times New Roman" w:eastAsia="新宋体"/>
          <w:bCs/>
          <w:color w:val="auto"/>
          <w:szCs w:val="28"/>
          <w:highlight w:val="none"/>
        </w:rPr>
        <w:t>并负法律责任。</w:t>
      </w:r>
    </w:p>
    <w:p>
      <w:pPr>
        <w:pStyle w:val="23"/>
        <w:spacing w:line="400" w:lineRule="exact"/>
        <w:ind w:firstLine="420"/>
        <w:rPr>
          <w:rFonts w:ascii="Times New Roman" w:hAnsi="Times New Roman" w:eastAsia="新宋体"/>
          <w:bCs/>
          <w:color w:val="auto"/>
          <w:szCs w:val="28"/>
          <w:highlight w:val="none"/>
        </w:rPr>
      </w:pPr>
      <w:r>
        <w:rPr>
          <w:rFonts w:hint="eastAsia" w:ascii="Times New Roman" w:hAnsi="Times New Roman" w:eastAsia="新宋体"/>
          <w:bCs/>
          <w:color w:val="auto"/>
          <w:szCs w:val="28"/>
          <w:highlight w:val="none"/>
        </w:rPr>
        <w:t>1</w:t>
      </w:r>
      <w:r>
        <w:rPr>
          <w:rFonts w:ascii="Times New Roman" w:hAnsi="Times New Roman" w:eastAsia="新宋体"/>
          <w:bCs/>
          <w:color w:val="auto"/>
          <w:szCs w:val="28"/>
          <w:highlight w:val="none"/>
        </w:rPr>
        <w:t>、按照</w:t>
      </w:r>
      <w:r>
        <w:rPr>
          <w:rFonts w:hint="eastAsia" w:ascii="Times New Roman" w:hAnsi="Times New Roman" w:eastAsia="新宋体"/>
          <w:bCs/>
          <w:color w:val="auto"/>
          <w:szCs w:val="28"/>
          <w:highlight w:val="none"/>
        </w:rPr>
        <w:t>谈判文件</w:t>
      </w:r>
      <w:r>
        <w:rPr>
          <w:rFonts w:ascii="Times New Roman" w:hAnsi="Times New Roman" w:eastAsia="新宋体"/>
          <w:bCs/>
          <w:color w:val="auto"/>
          <w:szCs w:val="28"/>
          <w:highlight w:val="none"/>
        </w:rPr>
        <w:t>的规定，我方</w:t>
      </w:r>
      <w:r>
        <w:rPr>
          <w:rFonts w:hint="eastAsia" w:ascii="Times New Roman" w:hAnsi="Times New Roman" w:eastAsia="新宋体"/>
          <w:bCs/>
          <w:color w:val="auto"/>
          <w:szCs w:val="28"/>
          <w:highlight w:val="none"/>
        </w:rPr>
        <w:t>谈判报价</w:t>
      </w:r>
      <w:r>
        <w:rPr>
          <w:rFonts w:ascii="Times New Roman" w:hAnsi="Times New Roman" w:eastAsia="新宋体"/>
          <w:bCs/>
          <w:color w:val="auto"/>
          <w:szCs w:val="28"/>
          <w:highlight w:val="none"/>
        </w:rPr>
        <w:t>为人民币：</w:t>
      </w:r>
      <w:r>
        <w:rPr>
          <w:rFonts w:ascii="Arial" w:hAnsi="Arial" w:eastAsia="新宋体" w:cs="Arial"/>
          <w:bCs/>
          <w:color w:val="auto"/>
          <w:szCs w:val="28"/>
          <w:highlight w:val="none"/>
        </w:rPr>
        <w:t>¥</w:t>
      </w:r>
      <w:r>
        <w:rPr>
          <w:rFonts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rPr>
        <w:t>（大写：</w:t>
      </w:r>
      <w:r>
        <w:rPr>
          <w:rFonts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rPr>
        <w:t>元）。</w:t>
      </w:r>
    </w:p>
    <w:p>
      <w:pPr>
        <w:pStyle w:val="23"/>
        <w:spacing w:line="400" w:lineRule="exact"/>
        <w:ind w:firstLine="420"/>
        <w:rPr>
          <w:rFonts w:ascii="Times New Roman" w:hAnsi="Times New Roman" w:eastAsia="新宋体"/>
          <w:bCs/>
          <w:color w:val="auto"/>
          <w:szCs w:val="28"/>
          <w:highlight w:val="none"/>
        </w:rPr>
      </w:pPr>
      <w:r>
        <w:rPr>
          <w:rFonts w:hint="eastAsia" w:ascii="Times New Roman" w:hAnsi="Times New Roman" w:eastAsia="新宋体"/>
          <w:bCs/>
          <w:color w:val="auto"/>
          <w:szCs w:val="28"/>
          <w:highlight w:val="none"/>
        </w:rPr>
        <w:t>2</w:t>
      </w:r>
      <w:r>
        <w:rPr>
          <w:rFonts w:ascii="Times New Roman" w:hAnsi="Times New Roman" w:eastAsia="新宋体"/>
          <w:bCs/>
          <w:color w:val="auto"/>
          <w:szCs w:val="28"/>
          <w:highlight w:val="none"/>
        </w:rPr>
        <w:t>、我方为本项目提交的</w:t>
      </w:r>
      <w:r>
        <w:rPr>
          <w:rFonts w:hint="eastAsia" w:ascii="Times New Roman" w:hAnsi="Times New Roman" w:eastAsia="新宋体"/>
          <w:bCs/>
          <w:color w:val="auto"/>
          <w:szCs w:val="28"/>
          <w:highlight w:val="none"/>
        </w:rPr>
        <w:t>竞争性谈判响应文件</w:t>
      </w:r>
      <w:r>
        <w:rPr>
          <w:rFonts w:ascii="Times New Roman" w:hAnsi="Times New Roman" w:eastAsia="新宋体"/>
          <w:bCs/>
          <w:color w:val="auto"/>
          <w:szCs w:val="28"/>
          <w:highlight w:val="none"/>
        </w:rPr>
        <w:t>正本</w:t>
      </w:r>
      <w:r>
        <w:rPr>
          <w:rFonts w:ascii="Times New Roman" w:hAnsi="Times New Roman" w:eastAsia="新宋体"/>
          <w:color w:val="auto"/>
          <w:szCs w:val="28"/>
          <w:highlight w:val="none"/>
        </w:rPr>
        <w:t>壹</w:t>
      </w:r>
      <w:r>
        <w:rPr>
          <w:rFonts w:ascii="Times New Roman" w:hAnsi="Times New Roman" w:eastAsia="新宋体"/>
          <w:bCs/>
          <w:color w:val="auto"/>
          <w:szCs w:val="28"/>
          <w:highlight w:val="none"/>
        </w:rPr>
        <w:t>份，副本</w:t>
      </w:r>
      <w:r>
        <w:rPr>
          <w:rFonts w:ascii="Times New Roman" w:hAnsi="Times New Roman" w:eastAsia="新宋体"/>
          <w:color w:val="auto"/>
          <w:szCs w:val="28"/>
          <w:highlight w:val="none"/>
        </w:rPr>
        <w:t>贰</w:t>
      </w:r>
      <w:r>
        <w:rPr>
          <w:rFonts w:ascii="Times New Roman" w:hAnsi="Times New Roman" w:eastAsia="新宋体"/>
          <w:bCs/>
          <w:color w:val="auto"/>
          <w:szCs w:val="28"/>
          <w:highlight w:val="none"/>
        </w:rPr>
        <w:t>份，电子文档壹份。</w:t>
      </w:r>
    </w:p>
    <w:p>
      <w:pPr>
        <w:pStyle w:val="23"/>
        <w:spacing w:line="400" w:lineRule="exact"/>
        <w:ind w:firstLine="420"/>
        <w:rPr>
          <w:rFonts w:ascii="Times New Roman" w:hAnsi="Times New Roman" w:eastAsia="新宋体"/>
          <w:bCs/>
          <w:color w:val="auto"/>
          <w:szCs w:val="28"/>
          <w:highlight w:val="none"/>
        </w:rPr>
      </w:pPr>
      <w:r>
        <w:rPr>
          <w:rFonts w:hint="eastAsia" w:ascii="Times New Roman" w:hAnsi="Times New Roman" w:eastAsia="新宋体"/>
          <w:bCs/>
          <w:color w:val="auto"/>
          <w:szCs w:val="28"/>
          <w:highlight w:val="none"/>
        </w:rPr>
        <w:t>3、</w:t>
      </w:r>
      <w:r>
        <w:rPr>
          <w:rFonts w:ascii="Times New Roman" w:hAnsi="Times New Roman" w:eastAsia="新宋体"/>
          <w:bCs/>
          <w:color w:val="auto"/>
          <w:szCs w:val="28"/>
          <w:highlight w:val="none"/>
        </w:rPr>
        <w:t>如果</w:t>
      </w:r>
      <w:r>
        <w:rPr>
          <w:rFonts w:hint="eastAsia" w:ascii="Times New Roman" w:hAnsi="Times New Roman" w:eastAsia="新宋体"/>
          <w:bCs/>
          <w:color w:val="auto"/>
          <w:szCs w:val="28"/>
          <w:highlight w:val="none"/>
        </w:rPr>
        <w:t>我方成交</w:t>
      </w:r>
      <w:r>
        <w:rPr>
          <w:rFonts w:ascii="Times New Roman" w:hAnsi="Times New Roman" w:eastAsia="新宋体"/>
          <w:bCs/>
          <w:color w:val="auto"/>
          <w:szCs w:val="28"/>
          <w:highlight w:val="none"/>
        </w:rPr>
        <w:t>，我</w:t>
      </w:r>
      <w:r>
        <w:rPr>
          <w:rFonts w:hint="eastAsia" w:ascii="Times New Roman" w:hAnsi="Times New Roman" w:eastAsia="新宋体"/>
          <w:bCs/>
          <w:color w:val="auto"/>
          <w:szCs w:val="28"/>
          <w:highlight w:val="none"/>
        </w:rPr>
        <w:t>方</w:t>
      </w:r>
      <w:r>
        <w:rPr>
          <w:rFonts w:ascii="Times New Roman" w:hAnsi="Times New Roman" w:eastAsia="新宋体"/>
          <w:bCs/>
          <w:color w:val="auto"/>
          <w:szCs w:val="28"/>
          <w:highlight w:val="none"/>
        </w:rPr>
        <w:t>根据</w:t>
      </w:r>
      <w:r>
        <w:rPr>
          <w:rFonts w:hint="eastAsia" w:ascii="Times New Roman" w:hAnsi="Times New Roman" w:eastAsia="新宋体"/>
          <w:bCs/>
          <w:color w:val="auto"/>
          <w:szCs w:val="28"/>
          <w:highlight w:val="none"/>
        </w:rPr>
        <w:t>谈判文件</w:t>
      </w:r>
      <w:r>
        <w:rPr>
          <w:rFonts w:ascii="Times New Roman" w:hAnsi="Times New Roman" w:eastAsia="新宋体"/>
          <w:bCs/>
          <w:color w:val="auto"/>
          <w:szCs w:val="28"/>
          <w:highlight w:val="none"/>
        </w:rPr>
        <w:t>的规定，履行合同的责任和义务；</w:t>
      </w:r>
    </w:p>
    <w:p>
      <w:pPr>
        <w:pStyle w:val="23"/>
        <w:spacing w:line="400" w:lineRule="exact"/>
        <w:ind w:firstLine="420" w:firstLineChars="200"/>
        <w:rPr>
          <w:rFonts w:ascii="Times New Roman" w:hAnsi="Times New Roman" w:eastAsia="新宋体"/>
          <w:bCs/>
          <w:color w:val="auto"/>
          <w:szCs w:val="28"/>
          <w:highlight w:val="none"/>
        </w:rPr>
      </w:pPr>
      <w:r>
        <w:rPr>
          <w:rFonts w:hint="eastAsia" w:ascii="Times New Roman" w:hAnsi="Times New Roman" w:eastAsia="新宋体"/>
          <w:bCs/>
          <w:color w:val="auto"/>
          <w:szCs w:val="28"/>
          <w:highlight w:val="none"/>
        </w:rPr>
        <w:t>4</w:t>
      </w:r>
      <w:r>
        <w:rPr>
          <w:rFonts w:ascii="Times New Roman" w:hAnsi="Times New Roman" w:eastAsia="新宋体"/>
          <w:bCs/>
          <w:color w:val="auto"/>
          <w:szCs w:val="28"/>
          <w:highlight w:val="none"/>
        </w:rPr>
        <w:t>、我方已仔细阅读了</w:t>
      </w:r>
      <w:r>
        <w:rPr>
          <w:rFonts w:hint="eastAsia" w:ascii="Times New Roman" w:hAnsi="Times New Roman" w:eastAsia="新宋体"/>
          <w:bCs/>
          <w:color w:val="auto"/>
          <w:szCs w:val="28"/>
          <w:highlight w:val="none"/>
        </w:rPr>
        <w:t>谈判文件</w:t>
      </w:r>
      <w:r>
        <w:rPr>
          <w:rFonts w:ascii="Times New Roman" w:hAnsi="Times New Roman" w:eastAsia="新宋体"/>
          <w:bCs/>
          <w:color w:val="auto"/>
          <w:szCs w:val="28"/>
          <w:highlight w:val="none"/>
        </w:rPr>
        <w:t>的全部内容</w:t>
      </w:r>
      <w:r>
        <w:rPr>
          <w:rFonts w:hint="eastAsia" w:ascii="Times New Roman" w:hAnsi="Times New Roman" w:eastAsia="新宋体"/>
          <w:bCs/>
          <w:color w:val="auto"/>
          <w:szCs w:val="28"/>
          <w:highlight w:val="none"/>
        </w:rPr>
        <w:t>（含修改部分，如有的话）</w:t>
      </w:r>
      <w:r>
        <w:rPr>
          <w:rFonts w:ascii="Times New Roman" w:hAnsi="Times New Roman" w:eastAsia="新宋体"/>
          <w:bCs/>
          <w:color w:val="auto"/>
          <w:szCs w:val="28"/>
          <w:highlight w:val="none"/>
        </w:rPr>
        <w:t>，完全理解并放弃提出含糊不清或易形成歧义的表述和资料</w:t>
      </w:r>
      <w:r>
        <w:rPr>
          <w:rFonts w:hint="eastAsia" w:ascii="Times New Roman" w:hAnsi="Times New Roman" w:eastAsia="新宋体"/>
          <w:bCs/>
          <w:color w:val="auto"/>
          <w:szCs w:val="28"/>
          <w:highlight w:val="none"/>
        </w:rPr>
        <w:t>，</w:t>
      </w:r>
      <w:r>
        <w:rPr>
          <w:rFonts w:ascii="Times New Roman" w:hAnsi="Times New Roman" w:eastAsia="新宋体"/>
          <w:bCs/>
          <w:color w:val="auto"/>
          <w:szCs w:val="28"/>
          <w:highlight w:val="none"/>
        </w:rPr>
        <w:t>同意和放弃对</w:t>
      </w:r>
      <w:r>
        <w:rPr>
          <w:rFonts w:hint="eastAsia" w:ascii="Times New Roman" w:hAnsi="Times New Roman" w:eastAsia="新宋体"/>
          <w:bCs/>
          <w:color w:val="auto"/>
          <w:szCs w:val="28"/>
          <w:highlight w:val="none"/>
        </w:rPr>
        <w:t>谈判文件</w:t>
      </w:r>
      <w:r>
        <w:rPr>
          <w:rFonts w:ascii="Times New Roman" w:hAnsi="Times New Roman" w:eastAsia="新宋体"/>
          <w:bCs/>
          <w:color w:val="auto"/>
          <w:szCs w:val="28"/>
          <w:highlight w:val="none"/>
        </w:rPr>
        <w:t>不明或误解而询问、质疑和投诉的权利。</w:t>
      </w:r>
    </w:p>
    <w:p>
      <w:pPr>
        <w:pStyle w:val="23"/>
        <w:spacing w:line="400" w:lineRule="exact"/>
        <w:ind w:firstLine="0"/>
        <w:rPr>
          <w:rFonts w:ascii="Times New Roman" w:hAnsi="Times New Roman" w:eastAsia="新宋体"/>
          <w:bCs/>
          <w:color w:val="auto"/>
          <w:szCs w:val="28"/>
          <w:highlight w:val="none"/>
        </w:rPr>
      </w:pPr>
      <w:r>
        <w:rPr>
          <w:rFonts w:ascii="Times New Roman" w:hAnsi="Times New Roman" w:eastAsia="新宋体"/>
          <w:bCs/>
          <w:color w:val="auto"/>
          <w:szCs w:val="28"/>
          <w:highlight w:val="none"/>
        </w:rPr>
        <w:t xml:space="preserve">    </w:t>
      </w:r>
      <w:r>
        <w:rPr>
          <w:rFonts w:hint="eastAsia" w:ascii="Times New Roman" w:hAnsi="Times New Roman" w:eastAsia="新宋体"/>
          <w:bCs/>
          <w:color w:val="auto"/>
          <w:szCs w:val="28"/>
          <w:highlight w:val="none"/>
        </w:rPr>
        <w:t>5</w:t>
      </w:r>
      <w:r>
        <w:rPr>
          <w:rFonts w:ascii="Times New Roman" w:hAnsi="Times New Roman" w:eastAsia="新宋体"/>
          <w:bCs/>
          <w:color w:val="auto"/>
          <w:szCs w:val="28"/>
          <w:highlight w:val="none"/>
        </w:rPr>
        <w:t>、</w:t>
      </w:r>
      <w:r>
        <w:rPr>
          <w:rFonts w:hint="eastAsia" w:ascii="Times New Roman" w:hAnsi="Times New Roman" w:eastAsia="新宋体"/>
          <w:bCs/>
          <w:color w:val="auto"/>
          <w:szCs w:val="28"/>
          <w:highlight w:val="none"/>
        </w:rPr>
        <w:t>谈判</w:t>
      </w:r>
      <w:r>
        <w:rPr>
          <w:rFonts w:ascii="Times New Roman" w:hAnsi="Times New Roman" w:eastAsia="新宋体"/>
          <w:bCs/>
          <w:color w:val="auto"/>
          <w:szCs w:val="28"/>
          <w:highlight w:val="none"/>
        </w:rPr>
        <w:t>后在规定的</w:t>
      </w:r>
      <w:r>
        <w:rPr>
          <w:rFonts w:hint="eastAsia" w:ascii="Times New Roman" w:hAnsi="Times New Roman" w:eastAsia="新宋体"/>
          <w:bCs/>
          <w:color w:val="auto"/>
          <w:szCs w:val="28"/>
          <w:highlight w:val="none"/>
        </w:rPr>
        <w:t>谈判</w:t>
      </w:r>
      <w:r>
        <w:rPr>
          <w:rFonts w:ascii="Times New Roman" w:hAnsi="Times New Roman" w:eastAsia="新宋体"/>
          <w:bCs/>
          <w:color w:val="auto"/>
          <w:szCs w:val="28"/>
          <w:highlight w:val="none"/>
        </w:rPr>
        <w:t>有效期内撤回</w:t>
      </w:r>
      <w:r>
        <w:rPr>
          <w:rFonts w:hint="eastAsia" w:ascii="Times New Roman" w:hAnsi="Times New Roman" w:eastAsia="新宋体"/>
          <w:bCs/>
          <w:color w:val="auto"/>
          <w:szCs w:val="28"/>
          <w:highlight w:val="none"/>
        </w:rPr>
        <w:t>谈判</w:t>
      </w:r>
      <w:r>
        <w:rPr>
          <w:rFonts w:ascii="Times New Roman" w:hAnsi="Times New Roman" w:eastAsia="新宋体"/>
          <w:bCs/>
          <w:color w:val="auto"/>
          <w:szCs w:val="28"/>
          <w:highlight w:val="none"/>
        </w:rPr>
        <w:t>，我们愿接受政府采购的有关处罚决定。</w:t>
      </w:r>
    </w:p>
    <w:p>
      <w:pPr>
        <w:pStyle w:val="23"/>
        <w:spacing w:line="400" w:lineRule="exact"/>
        <w:ind w:firstLine="420"/>
        <w:rPr>
          <w:rFonts w:ascii="Times New Roman" w:hAnsi="Times New Roman" w:eastAsia="新宋体"/>
          <w:bCs/>
          <w:color w:val="auto"/>
          <w:szCs w:val="28"/>
          <w:highlight w:val="none"/>
        </w:rPr>
      </w:pPr>
      <w:r>
        <w:rPr>
          <w:rFonts w:hint="eastAsia" w:ascii="Times New Roman" w:hAnsi="Times New Roman" w:eastAsia="新宋体"/>
          <w:bCs/>
          <w:color w:val="auto"/>
          <w:szCs w:val="28"/>
          <w:highlight w:val="none"/>
        </w:rPr>
        <w:t>6</w:t>
      </w:r>
      <w:r>
        <w:rPr>
          <w:rFonts w:ascii="Times New Roman" w:hAnsi="Times New Roman" w:eastAsia="新宋体"/>
          <w:bCs/>
          <w:color w:val="auto"/>
          <w:szCs w:val="28"/>
          <w:highlight w:val="none"/>
        </w:rPr>
        <w:t>、同意向贵方提供可能要求的，与本次</w:t>
      </w:r>
      <w:r>
        <w:rPr>
          <w:rFonts w:hint="eastAsia" w:ascii="Times New Roman" w:hAnsi="Times New Roman" w:eastAsia="新宋体"/>
          <w:bCs/>
          <w:color w:val="auto"/>
          <w:szCs w:val="28"/>
          <w:highlight w:val="none"/>
        </w:rPr>
        <w:t>谈判</w:t>
      </w:r>
      <w:r>
        <w:rPr>
          <w:rFonts w:ascii="Times New Roman" w:hAnsi="Times New Roman" w:eastAsia="新宋体"/>
          <w:bCs/>
          <w:color w:val="auto"/>
          <w:szCs w:val="28"/>
          <w:highlight w:val="none"/>
        </w:rPr>
        <w:t>有关的任何证据或资料，并保证我方已提供和将要提供的文件资料是真实、准确的</w:t>
      </w:r>
      <w:r>
        <w:rPr>
          <w:rFonts w:hint="eastAsia" w:ascii="Times New Roman" w:hAnsi="Times New Roman" w:eastAsia="新宋体"/>
          <w:bCs/>
          <w:color w:val="auto"/>
          <w:szCs w:val="28"/>
          <w:highlight w:val="none"/>
        </w:rPr>
        <w:t>，</w:t>
      </w:r>
      <w:r>
        <w:rPr>
          <w:rFonts w:ascii="Times New Roman" w:hAnsi="Times New Roman" w:eastAsia="新宋体"/>
          <w:bCs/>
          <w:color w:val="auto"/>
          <w:szCs w:val="28"/>
          <w:highlight w:val="none"/>
        </w:rPr>
        <w:t>否则，愿承担《中华人民共和国政府采购法》第七十七条规定的法律责任。我们完全理解最低</w:t>
      </w:r>
      <w:r>
        <w:rPr>
          <w:rFonts w:hint="eastAsia" w:ascii="Times New Roman" w:hAnsi="Times New Roman" w:eastAsia="新宋体"/>
          <w:bCs/>
          <w:color w:val="auto"/>
          <w:szCs w:val="28"/>
          <w:highlight w:val="none"/>
        </w:rPr>
        <w:t>谈判</w:t>
      </w:r>
      <w:r>
        <w:rPr>
          <w:rFonts w:ascii="Times New Roman" w:hAnsi="Times New Roman" w:eastAsia="新宋体"/>
          <w:bCs/>
          <w:color w:val="auto"/>
          <w:szCs w:val="28"/>
          <w:highlight w:val="none"/>
        </w:rPr>
        <w:t>报价不作为</w:t>
      </w:r>
      <w:r>
        <w:rPr>
          <w:rFonts w:hint="eastAsia" w:ascii="Times New Roman" w:hAnsi="Times New Roman" w:eastAsia="新宋体"/>
          <w:bCs/>
          <w:color w:val="auto"/>
          <w:szCs w:val="28"/>
          <w:highlight w:val="none"/>
        </w:rPr>
        <w:t>成交</w:t>
      </w:r>
      <w:r>
        <w:rPr>
          <w:rFonts w:ascii="Times New Roman" w:hAnsi="Times New Roman" w:eastAsia="新宋体"/>
          <w:bCs/>
          <w:color w:val="auto"/>
          <w:szCs w:val="28"/>
          <w:highlight w:val="none"/>
        </w:rPr>
        <w:t>的唯一条件，且尊重</w:t>
      </w:r>
      <w:r>
        <w:rPr>
          <w:rFonts w:hint="eastAsia" w:ascii="Times New Roman" w:hAnsi="Times New Roman" w:eastAsia="新宋体"/>
          <w:bCs/>
          <w:color w:val="auto"/>
          <w:szCs w:val="28"/>
          <w:highlight w:val="none"/>
        </w:rPr>
        <w:t>谈判小组</w:t>
      </w:r>
      <w:r>
        <w:rPr>
          <w:rFonts w:ascii="Times New Roman" w:hAnsi="Times New Roman" w:eastAsia="新宋体"/>
          <w:bCs/>
          <w:color w:val="auto"/>
          <w:szCs w:val="28"/>
          <w:highlight w:val="none"/>
        </w:rPr>
        <w:t>的</w:t>
      </w:r>
      <w:r>
        <w:rPr>
          <w:rFonts w:hint="eastAsia" w:ascii="Times New Roman" w:hAnsi="Times New Roman" w:eastAsia="新宋体"/>
          <w:bCs/>
          <w:color w:val="auto"/>
          <w:szCs w:val="28"/>
          <w:highlight w:val="none"/>
        </w:rPr>
        <w:t>评审</w:t>
      </w:r>
      <w:r>
        <w:rPr>
          <w:rFonts w:ascii="Times New Roman" w:hAnsi="Times New Roman" w:eastAsia="新宋体"/>
          <w:bCs/>
          <w:color w:val="auto"/>
          <w:szCs w:val="28"/>
          <w:highlight w:val="none"/>
        </w:rPr>
        <w:t>结论和定标结果。</w:t>
      </w:r>
    </w:p>
    <w:p>
      <w:pPr>
        <w:pStyle w:val="23"/>
        <w:spacing w:line="400" w:lineRule="exact"/>
        <w:ind w:firstLine="0"/>
        <w:rPr>
          <w:rFonts w:ascii="Times New Roman" w:hAnsi="Times New Roman" w:eastAsia="新宋体"/>
          <w:bCs/>
          <w:color w:val="auto"/>
          <w:szCs w:val="28"/>
          <w:highlight w:val="none"/>
        </w:rPr>
      </w:pPr>
      <w:r>
        <w:rPr>
          <w:rFonts w:ascii="Times New Roman" w:hAnsi="Times New Roman" w:eastAsia="新宋体"/>
          <w:bCs/>
          <w:color w:val="auto"/>
          <w:szCs w:val="28"/>
          <w:highlight w:val="none"/>
        </w:rPr>
        <w:t xml:space="preserve">   </w:t>
      </w:r>
      <w:r>
        <w:rPr>
          <w:rFonts w:hint="eastAsia" w:ascii="Times New Roman" w:hAnsi="Times New Roman" w:eastAsia="新宋体"/>
          <w:bCs/>
          <w:color w:val="auto"/>
          <w:szCs w:val="28"/>
          <w:highlight w:val="none"/>
        </w:rPr>
        <w:t xml:space="preserve"> 7</w:t>
      </w:r>
      <w:r>
        <w:rPr>
          <w:rFonts w:ascii="Times New Roman" w:hAnsi="Times New Roman" w:eastAsia="新宋体"/>
          <w:bCs/>
          <w:color w:val="auto"/>
          <w:szCs w:val="28"/>
          <w:highlight w:val="none"/>
        </w:rPr>
        <w:t>、我方的</w:t>
      </w:r>
      <w:r>
        <w:rPr>
          <w:rFonts w:hint="eastAsia" w:ascii="Times New Roman" w:hAnsi="Times New Roman" w:eastAsia="新宋体"/>
          <w:bCs/>
          <w:color w:val="auto"/>
          <w:szCs w:val="28"/>
          <w:highlight w:val="none"/>
        </w:rPr>
        <w:t>竞争性谈判响应文件</w:t>
      </w:r>
      <w:r>
        <w:rPr>
          <w:rFonts w:ascii="Times New Roman" w:hAnsi="Times New Roman" w:eastAsia="新宋体"/>
          <w:bCs/>
          <w:color w:val="auto"/>
          <w:szCs w:val="28"/>
          <w:highlight w:val="none"/>
        </w:rPr>
        <w:t>在</w:t>
      </w:r>
      <w:r>
        <w:rPr>
          <w:rFonts w:hint="eastAsia" w:ascii="Times New Roman" w:hAnsi="Times New Roman" w:eastAsia="新宋体"/>
          <w:bCs/>
          <w:color w:val="auto"/>
          <w:szCs w:val="28"/>
          <w:highlight w:val="none"/>
        </w:rPr>
        <w:t>自谈判之日起</w:t>
      </w:r>
      <w:r>
        <w:rPr>
          <w:rFonts w:ascii="Times New Roman" w:hAnsi="Times New Roman" w:eastAsia="新宋体"/>
          <w:bCs/>
          <w:color w:val="auto"/>
          <w:szCs w:val="28"/>
          <w:highlight w:val="none"/>
        </w:rPr>
        <w:t>有效期为90个日历天，若我方</w:t>
      </w:r>
      <w:r>
        <w:rPr>
          <w:rFonts w:hint="eastAsia" w:ascii="Times New Roman" w:hAnsi="Times New Roman" w:eastAsia="新宋体"/>
          <w:bCs/>
          <w:color w:val="auto"/>
          <w:szCs w:val="28"/>
          <w:highlight w:val="none"/>
        </w:rPr>
        <w:t>成交</w:t>
      </w:r>
      <w:r>
        <w:rPr>
          <w:rFonts w:ascii="Times New Roman" w:hAnsi="Times New Roman" w:eastAsia="新宋体"/>
          <w:bCs/>
          <w:color w:val="auto"/>
          <w:szCs w:val="28"/>
          <w:highlight w:val="none"/>
        </w:rPr>
        <w:t>，</w:t>
      </w:r>
      <w:r>
        <w:rPr>
          <w:rFonts w:hint="eastAsia" w:ascii="Times New Roman" w:hAnsi="Times New Roman" w:eastAsia="新宋体"/>
          <w:bCs/>
          <w:color w:val="auto"/>
          <w:szCs w:val="28"/>
          <w:highlight w:val="none"/>
        </w:rPr>
        <w:t>竞争性谈判响应文件</w:t>
      </w:r>
      <w:r>
        <w:rPr>
          <w:rFonts w:ascii="Times New Roman" w:hAnsi="Times New Roman" w:eastAsia="新宋体"/>
          <w:bCs/>
          <w:color w:val="auto"/>
          <w:szCs w:val="28"/>
          <w:highlight w:val="none"/>
        </w:rPr>
        <w:t>有效期延长至合同执行完毕。</w:t>
      </w:r>
    </w:p>
    <w:p>
      <w:pPr>
        <w:pStyle w:val="23"/>
        <w:spacing w:line="400" w:lineRule="exact"/>
        <w:ind w:firstLine="420"/>
        <w:rPr>
          <w:rFonts w:ascii="Times New Roman" w:hAnsi="Times New Roman" w:eastAsia="新宋体"/>
          <w:bCs/>
          <w:color w:val="auto"/>
          <w:szCs w:val="28"/>
          <w:highlight w:val="none"/>
        </w:rPr>
      </w:pPr>
      <w:r>
        <w:rPr>
          <w:rFonts w:hint="eastAsia" w:ascii="Times New Roman" w:hAnsi="Times New Roman" w:eastAsia="新宋体"/>
          <w:bCs/>
          <w:color w:val="auto"/>
          <w:szCs w:val="28"/>
          <w:highlight w:val="none"/>
        </w:rPr>
        <w:t>8</w:t>
      </w:r>
      <w:r>
        <w:rPr>
          <w:rFonts w:ascii="Times New Roman" w:hAnsi="Times New Roman" w:eastAsia="新宋体"/>
          <w:bCs/>
          <w:color w:val="auto"/>
          <w:szCs w:val="28"/>
          <w:highlight w:val="none"/>
        </w:rPr>
        <w:t>、有关本项目的所有函电，请按下列地址联系：</w:t>
      </w:r>
    </w:p>
    <w:p>
      <w:pPr>
        <w:pStyle w:val="23"/>
        <w:spacing w:line="400" w:lineRule="exact"/>
        <w:ind w:firstLine="0"/>
        <w:rPr>
          <w:rFonts w:ascii="Times New Roman" w:hAnsi="Times New Roman" w:eastAsia="新宋体"/>
          <w:bCs/>
          <w:color w:val="auto"/>
          <w:szCs w:val="28"/>
          <w:highlight w:val="none"/>
        </w:rPr>
      </w:pPr>
    </w:p>
    <w:p>
      <w:pPr>
        <w:pStyle w:val="23"/>
        <w:spacing w:line="420" w:lineRule="exact"/>
        <w:ind w:firstLine="0"/>
        <w:rPr>
          <w:rFonts w:ascii="Times New Roman" w:hAnsi="Times New Roman" w:eastAsia="新宋体"/>
          <w:bCs/>
          <w:color w:val="auto"/>
          <w:szCs w:val="28"/>
          <w:highlight w:val="none"/>
        </w:rPr>
      </w:pPr>
      <w:r>
        <w:rPr>
          <w:rFonts w:ascii="Times New Roman" w:hAnsi="Times New Roman" w:eastAsia="新宋体"/>
          <w:bCs/>
          <w:color w:val="auto"/>
          <w:szCs w:val="28"/>
          <w:highlight w:val="none"/>
        </w:rPr>
        <w:t xml:space="preserve">                        </w:t>
      </w:r>
      <w:r>
        <w:rPr>
          <w:rFonts w:hint="eastAsia" w:ascii="Times New Roman" w:hAnsi="Times New Roman" w:eastAsia="新宋体"/>
          <w:bCs/>
          <w:color w:val="auto"/>
          <w:szCs w:val="28"/>
          <w:highlight w:val="none"/>
        </w:rPr>
        <w:t xml:space="preserve">                      供应商</w:t>
      </w:r>
      <w:r>
        <w:rPr>
          <w:rFonts w:ascii="Times New Roman" w:hAnsi="Times New Roman" w:eastAsia="新宋体"/>
          <w:bCs/>
          <w:color w:val="auto"/>
          <w:szCs w:val="28"/>
          <w:highlight w:val="none"/>
        </w:rPr>
        <w:t>名称：</w:t>
      </w:r>
      <w:r>
        <w:rPr>
          <w:rFonts w:ascii="Times New Roman" w:hAnsi="Times New Roman" w:eastAsia="新宋体"/>
          <w:bCs/>
          <w:color w:val="auto"/>
          <w:szCs w:val="28"/>
          <w:highlight w:val="none"/>
          <w:u w:val="single"/>
        </w:rPr>
        <w:t xml:space="preserve">           </w:t>
      </w:r>
      <w:r>
        <w:rPr>
          <w:rFonts w:hint="eastAsia"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rPr>
        <w:t>（盖章）</w:t>
      </w:r>
    </w:p>
    <w:p>
      <w:pPr>
        <w:pStyle w:val="23"/>
        <w:spacing w:line="420" w:lineRule="exact"/>
        <w:ind w:firstLine="2520" w:firstLineChars="1200"/>
        <w:rPr>
          <w:rFonts w:ascii="Times New Roman" w:hAnsi="Times New Roman" w:eastAsia="新宋体"/>
          <w:bCs/>
          <w:color w:val="auto"/>
          <w:szCs w:val="28"/>
          <w:highlight w:val="none"/>
          <w:u w:val="single"/>
        </w:rPr>
      </w:pPr>
      <w:r>
        <w:rPr>
          <w:rFonts w:hint="eastAsia" w:ascii="Times New Roman" w:hAnsi="Times New Roman" w:eastAsia="新宋体"/>
          <w:bCs/>
          <w:color w:val="auto"/>
          <w:szCs w:val="28"/>
          <w:highlight w:val="none"/>
        </w:rPr>
        <w:t xml:space="preserve">                      </w:t>
      </w:r>
      <w:r>
        <w:rPr>
          <w:rFonts w:ascii="Times New Roman" w:hAnsi="Times New Roman" w:eastAsia="新宋体"/>
          <w:bCs/>
          <w:color w:val="auto"/>
          <w:szCs w:val="28"/>
          <w:highlight w:val="none"/>
        </w:rPr>
        <w:t>法定代表人或授权代表（</w:t>
      </w:r>
      <w:r>
        <w:rPr>
          <w:rFonts w:hint="eastAsia" w:ascii="Times New Roman" w:hAnsi="Times New Roman" w:eastAsia="新宋体"/>
          <w:bCs/>
          <w:color w:val="auto"/>
          <w:szCs w:val="28"/>
          <w:highlight w:val="none"/>
        </w:rPr>
        <w:t>盖章或</w:t>
      </w:r>
      <w:r>
        <w:rPr>
          <w:rFonts w:ascii="Times New Roman" w:hAnsi="Times New Roman" w:eastAsia="新宋体"/>
          <w:bCs/>
          <w:color w:val="auto"/>
          <w:szCs w:val="28"/>
          <w:highlight w:val="none"/>
        </w:rPr>
        <w:t>签字）：</w:t>
      </w:r>
      <w:r>
        <w:rPr>
          <w:rFonts w:ascii="Times New Roman" w:hAnsi="Times New Roman" w:eastAsia="新宋体"/>
          <w:bCs/>
          <w:color w:val="auto"/>
          <w:szCs w:val="28"/>
          <w:highlight w:val="none"/>
          <w:u w:val="single"/>
        </w:rPr>
        <w:t xml:space="preserve">   </w:t>
      </w:r>
      <w:r>
        <w:rPr>
          <w:rFonts w:hint="eastAsia"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u w:val="single"/>
        </w:rPr>
        <w:t xml:space="preserve">  </w:t>
      </w:r>
    </w:p>
    <w:p>
      <w:pPr>
        <w:pStyle w:val="23"/>
        <w:spacing w:line="420" w:lineRule="exact"/>
        <w:ind w:firstLine="2520" w:firstLineChars="1200"/>
        <w:rPr>
          <w:rFonts w:ascii="Times New Roman" w:hAnsi="Times New Roman" w:eastAsia="新宋体"/>
          <w:bCs/>
          <w:color w:val="auto"/>
          <w:szCs w:val="28"/>
          <w:highlight w:val="none"/>
          <w:u w:val="single"/>
        </w:rPr>
      </w:pPr>
      <w:r>
        <w:rPr>
          <w:rFonts w:hint="eastAsia" w:ascii="Times New Roman" w:hAnsi="Times New Roman" w:eastAsia="新宋体"/>
          <w:bCs/>
          <w:color w:val="auto"/>
          <w:szCs w:val="28"/>
          <w:highlight w:val="none"/>
        </w:rPr>
        <w:t xml:space="preserve">                      </w:t>
      </w:r>
      <w:r>
        <w:rPr>
          <w:rFonts w:ascii="Times New Roman" w:hAnsi="Times New Roman" w:eastAsia="新宋体"/>
          <w:bCs/>
          <w:color w:val="auto"/>
          <w:szCs w:val="28"/>
          <w:highlight w:val="none"/>
        </w:rPr>
        <w:t>通讯地址：</w:t>
      </w:r>
      <w:r>
        <w:rPr>
          <w:rFonts w:ascii="Times New Roman" w:hAnsi="Times New Roman" w:eastAsia="新宋体"/>
          <w:bCs/>
          <w:color w:val="auto"/>
          <w:szCs w:val="28"/>
          <w:highlight w:val="none"/>
          <w:u w:val="single"/>
        </w:rPr>
        <w:t xml:space="preserve">                      </w:t>
      </w:r>
      <w:r>
        <w:rPr>
          <w:rFonts w:hint="eastAsia"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u w:val="single"/>
        </w:rPr>
        <w:t xml:space="preserve">     </w:t>
      </w:r>
    </w:p>
    <w:p>
      <w:pPr>
        <w:pStyle w:val="23"/>
        <w:spacing w:line="420" w:lineRule="exact"/>
        <w:ind w:firstLine="2520" w:firstLineChars="1200"/>
        <w:rPr>
          <w:rFonts w:ascii="Times New Roman" w:hAnsi="Times New Roman" w:eastAsia="新宋体"/>
          <w:bCs/>
          <w:color w:val="auto"/>
          <w:szCs w:val="28"/>
          <w:highlight w:val="none"/>
          <w:u w:val="single"/>
        </w:rPr>
      </w:pPr>
      <w:r>
        <w:rPr>
          <w:rFonts w:hint="eastAsia" w:ascii="Times New Roman" w:hAnsi="Times New Roman" w:eastAsia="新宋体"/>
          <w:bCs/>
          <w:color w:val="auto"/>
          <w:szCs w:val="28"/>
          <w:highlight w:val="none"/>
        </w:rPr>
        <w:t xml:space="preserve">                      </w:t>
      </w:r>
      <w:r>
        <w:rPr>
          <w:rFonts w:ascii="Times New Roman" w:hAnsi="Times New Roman" w:eastAsia="新宋体"/>
          <w:bCs/>
          <w:color w:val="auto"/>
          <w:szCs w:val="28"/>
          <w:highlight w:val="none"/>
        </w:rPr>
        <w:t>联系电话：</w:t>
      </w:r>
      <w:r>
        <w:rPr>
          <w:rFonts w:ascii="Times New Roman" w:hAnsi="Times New Roman" w:eastAsia="新宋体"/>
          <w:bCs/>
          <w:color w:val="auto"/>
          <w:szCs w:val="28"/>
          <w:highlight w:val="none"/>
          <w:u w:val="single"/>
        </w:rPr>
        <w:t xml:space="preserve">                 </w:t>
      </w:r>
      <w:r>
        <w:rPr>
          <w:rFonts w:hint="eastAsia"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u w:val="single"/>
        </w:rPr>
        <w:t xml:space="preserve">         </w:t>
      </w:r>
    </w:p>
    <w:p>
      <w:pPr>
        <w:pStyle w:val="23"/>
        <w:spacing w:line="420" w:lineRule="exact"/>
        <w:ind w:firstLine="2520" w:firstLineChars="1200"/>
        <w:rPr>
          <w:rFonts w:ascii="Times New Roman" w:hAnsi="Times New Roman" w:eastAsia="新宋体"/>
          <w:bCs/>
          <w:color w:val="auto"/>
          <w:szCs w:val="28"/>
          <w:highlight w:val="none"/>
          <w:u w:val="single"/>
        </w:rPr>
      </w:pPr>
      <w:r>
        <w:rPr>
          <w:rFonts w:hint="eastAsia" w:ascii="Times New Roman" w:hAnsi="Times New Roman" w:eastAsia="新宋体"/>
          <w:bCs/>
          <w:color w:val="auto"/>
          <w:szCs w:val="28"/>
          <w:highlight w:val="none"/>
        </w:rPr>
        <w:t xml:space="preserve">                      </w:t>
      </w:r>
      <w:r>
        <w:rPr>
          <w:rFonts w:ascii="Times New Roman" w:hAnsi="Times New Roman" w:eastAsia="新宋体"/>
          <w:bCs/>
          <w:color w:val="auto"/>
          <w:szCs w:val="28"/>
          <w:highlight w:val="none"/>
        </w:rPr>
        <w:t>传    真：</w:t>
      </w:r>
      <w:r>
        <w:rPr>
          <w:rFonts w:ascii="Times New Roman" w:hAnsi="Times New Roman" w:eastAsia="新宋体"/>
          <w:bCs/>
          <w:color w:val="auto"/>
          <w:szCs w:val="28"/>
          <w:highlight w:val="none"/>
          <w:u w:val="single"/>
        </w:rPr>
        <w:t xml:space="preserve">                </w:t>
      </w:r>
      <w:r>
        <w:rPr>
          <w:rFonts w:hint="eastAsia"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u w:val="single"/>
        </w:rPr>
        <w:t xml:space="preserve">           </w:t>
      </w:r>
    </w:p>
    <w:p>
      <w:pPr>
        <w:pStyle w:val="23"/>
        <w:spacing w:line="420" w:lineRule="exact"/>
        <w:ind w:firstLine="2520" w:firstLineChars="1200"/>
        <w:rPr>
          <w:rFonts w:ascii="Times New Roman" w:hAnsi="Times New Roman" w:eastAsia="新宋体"/>
          <w:bCs/>
          <w:color w:val="auto"/>
          <w:szCs w:val="28"/>
          <w:highlight w:val="none"/>
          <w:u w:val="single"/>
        </w:rPr>
      </w:pPr>
      <w:r>
        <w:rPr>
          <w:rFonts w:hint="eastAsia" w:ascii="Times New Roman" w:hAnsi="Times New Roman" w:eastAsia="新宋体"/>
          <w:bCs/>
          <w:color w:val="auto"/>
          <w:szCs w:val="28"/>
          <w:highlight w:val="none"/>
        </w:rPr>
        <w:t xml:space="preserve">                      </w:t>
      </w:r>
      <w:r>
        <w:rPr>
          <w:rFonts w:ascii="Times New Roman" w:hAnsi="Times New Roman" w:eastAsia="新宋体"/>
          <w:bCs/>
          <w:color w:val="auto"/>
          <w:szCs w:val="28"/>
          <w:highlight w:val="none"/>
        </w:rPr>
        <w:t>电子邮件：</w:t>
      </w:r>
      <w:r>
        <w:rPr>
          <w:rFonts w:ascii="Times New Roman" w:hAnsi="Times New Roman" w:eastAsia="新宋体"/>
          <w:bCs/>
          <w:color w:val="auto"/>
          <w:szCs w:val="28"/>
          <w:highlight w:val="none"/>
          <w:u w:val="single"/>
        </w:rPr>
        <w:t xml:space="preserve">                 </w:t>
      </w:r>
      <w:r>
        <w:rPr>
          <w:rFonts w:hint="eastAsia"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u w:val="single"/>
        </w:rPr>
        <w:t xml:space="preserve">       </w:t>
      </w:r>
    </w:p>
    <w:p>
      <w:pPr>
        <w:pStyle w:val="23"/>
        <w:spacing w:line="420" w:lineRule="exact"/>
        <w:ind w:firstLine="2520" w:firstLineChars="1200"/>
        <w:rPr>
          <w:rFonts w:ascii="Times New Roman" w:hAnsi="Times New Roman" w:eastAsia="新宋体"/>
          <w:bCs/>
          <w:color w:val="auto"/>
          <w:szCs w:val="28"/>
          <w:highlight w:val="none"/>
          <w:u w:val="single"/>
        </w:rPr>
      </w:pPr>
      <w:r>
        <w:rPr>
          <w:rFonts w:hint="eastAsia" w:ascii="Times New Roman" w:hAnsi="Times New Roman" w:eastAsia="新宋体"/>
          <w:bCs/>
          <w:color w:val="auto"/>
          <w:szCs w:val="28"/>
          <w:highlight w:val="none"/>
        </w:rPr>
        <w:t xml:space="preserve">                      </w:t>
      </w:r>
      <w:r>
        <w:rPr>
          <w:rFonts w:ascii="Times New Roman" w:hAnsi="Times New Roman" w:eastAsia="新宋体"/>
          <w:bCs/>
          <w:color w:val="auto"/>
          <w:szCs w:val="28"/>
          <w:highlight w:val="none"/>
        </w:rPr>
        <w:t>开户银行</w:t>
      </w:r>
      <w:r>
        <w:rPr>
          <w:rFonts w:hint="eastAsia" w:ascii="Times New Roman" w:hAnsi="Times New Roman" w:eastAsia="新宋体"/>
          <w:bCs/>
          <w:color w:val="auto"/>
          <w:szCs w:val="28"/>
          <w:highlight w:val="none"/>
        </w:rPr>
        <w:t>：</w:t>
      </w:r>
      <w:r>
        <w:rPr>
          <w:rFonts w:ascii="Times New Roman" w:hAnsi="Times New Roman" w:eastAsia="新宋体"/>
          <w:bCs/>
          <w:color w:val="auto"/>
          <w:szCs w:val="28"/>
          <w:highlight w:val="none"/>
          <w:u w:val="single"/>
        </w:rPr>
        <w:t xml:space="preserve">                  </w:t>
      </w:r>
      <w:r>
        <w:rPr>
          <w:rFonts w:hint="eastAsia"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u w:val="single"/>
        </w:rPr>
        <w:t xml:space="preserve">       </w:t>
      </w:r>
    </w:p>
    <w:p>
      <w:pPr>
        <w:pStyle w:val="23"/>
        <w:spacing w:line="420" w:lineRule="exact"/>
        <w:ind w:firstLine="2520" w:firstLineChars="1200"/>
        <w:rPr>
          <w:rFonts w:ascii="Times New Roman" w:hAnsi="Times New Roman" w:eastAsia="新宋体"/>
          <w:bCs/>
          <w:color w:val="auto"/>
          <w:szCs w:val="28"/>
          <w:highlight w:val="none"/>
          <w:u w:val="single"/>
        </w:rPr>
      </w:pPr>
      <w:r>
        <w:rPr>
          <w:rFonts w:hint="eastAsia" w:ascii="Times New Roman" w:hAnsi="Times New Roman" w:eastAsia="新宋体"/>
          <w:bCs/>
          <w:color w:val="auto"/>
          <w:szCs w:val="28"/>
          <w:highlight w:val="none"/>
        </w:rPr>
        <w:t xml:space="preserve">                      </w:t>
      </w:r>
      <w:r>
        <w:rPr>
          <w:rFonts w:ascii="Times New Roman" w:hAnsi="Times New Roman" w:eastAsia="新宋体"/>
          <w:bCs/>
          <w:color w:val="auto"/>
          <w:szCs w:val="28"/>
          <w:highlight w:val="none"/>
        </w:rPr>
        <w:t>帐    号：</w:t>
      </w:r>
      <w:r>
        <w:rPr>
          <w:rFonts w:ascii="Times New Roman" w:hAnsi="Times New Roman" w:eastAsia="新宋体"/>
          <w:bCs/>
          <w:color w:val="auto"/>
          <w:szCs w:val="28"/>
          <w:highlight w:val="none"/>
          <w:u w:val="single"/>
        </w:rPr>
        <w:t xml:space="preserve">                   </w:t>
      </w:r>
      <w:r>
        <w:rPr>
          <w:rFonts w:hint="eastAsia"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u w:val="single"/>
        </w:rPr>
        <w:t xml:space="preserve">      </w:t>
      </w:r>
    </w:p>
    <w:p>
      <w:pPr>
        <w:pStyle w:val="23"/>
        <w:spacing w:line="420" w:lineRule="exact"/>
        <w:ind w:firstLine="2520" w:firstLineChars="1200"/>
        <w:rPr>
          <w:rFonts w:cs="宋体"/>
          <w:b/>
          <w:bCs/>
          <w:color w:val="auto"/>
          <w:sz w:val="36"/>
          <w:szCs w:val="36"/>
          <w:highlight w:val="none"/>
        </w:rPr>
      </w:pPr>
      <w:r>
        <w:rPr>
          <w:rFonts w:hint="eastAsia" w:ascii="Times New Roman" w:hAnsi="Times New Roman" w:eastAsia="新宋体"/>
          <w:bCs/>
          <w:color w:val="auto"/>
          <w:szCs w:val="28"/>
          <w:highlight w:val="none"/>
        </w:rPr>
        <w:t xml:space="preserve">                      </w:t>
      </w:r>
      <w:r>
        <w:rPr>
          <w:rFonts w:ascii="Times New Roman" w:hAnsi="Times New Roman" w:eastAsia="新宋体"/>
          <w:bCs/>
          <w:color w:val="auto"/>
          <w:szCs w:val="28"/>
          <w:highlight w:val="none"/>
        </w:rPr>
        <w:t>日    期：</w:t>
      </w:r>
      <w:r>
        <w:rPr>
          <w:rFonts w:ascii="Times New Roman" w:hAnsi="Times New Roman" w:eastAsia="新宋体"/>
          <w:bCs/>
          <w:color w:val="auto"/>
          <w:szCs w:val="28"/>
          <w:highlight w:val="none"/>
          <w:u w:val="single"/>
        </w:rPr>
        <w:t xml:space="preserve">                    </w:t>
      </w:r>
      <w:r>
        <w:rPr>
          <w:rFonts w:hint="eastAsia" w:ascii="Times New Roman" w:hAnsi="Times New Roman" w:eastAsia="新宋体"/>
          <w:bCs/>
          <w:color w:val="auto"/>
          <w:szCs w:val="28"/>
          <w:highlight w:val="none"/>
          <w:u w:val="single"/>
        </w:rPr>
        <w:t xml:space="preserve">    </w:t>
      </w:r>
      <w:r>
        <w:rPr>
          <w:rFonts w:ascii="Times New Roman" w:hAnsi="Times New Roman" w:eastAsia="新宋体"/>
          <w:bCs/>
          <w:color w:val="auto"/>
          <w:szCs w:val="28"/>
          <w:highlight w:val="none"/>
          <w:u w:val="single"/>
        </w:rPr>
        <w:t xml:space="preserve">        </w:t>
      </w:r>
    </w:p>
    <w:p>
      <w:pPr>
        <w:spacing w:line="600" w:lineRule="exact"/>
        <w:jc w:val="center"/>
        <w:rPr>
          <w:rFonts w:ascii="宋体" w:hAnsi="宋体" w:cs="宋体"/>
          <w:b/>
          <w:bCs/>
          <w:color w:val="auto"/>
          <w:sz w:val="36"/>
          <w:szCs w:val="36"/>
          <w:highlight w:val="none"/>
        </w:rPr>
      </w:pPr>
    </w:p>
    <w:p>
      <w:pPr>
        <w:widowControl/>
        <w:jc w:val="left"/>
        <w:rPr>
          <w:rFonts w:ascii="宋体" w:hAnsi="宋体" w:cs="宋体"/>
          <w:b/>
          <w:bCs/>
          <w:color w:val="auto"/>
          <w:sz w:val="36"/>
          <w:szCs w:val="36"/>
          <w:highlight w:val="none"/>
        </w:rPr>
      </w:pPr>
      <w:r>
        <w:rPr>
          <w:rFonts w:ascii="宋体" w:hAnsi="宋体" w:cs="宋体"/>
          <w:b/>
          <w:bCs/>
          <w:color w:val="auto"/>
          <w:sz w:val="36"/>
          <w:szCs w:val="36"/>
          <w:highlight w:val="none"/>
        </w:rPr>
        <w:br w:type="page"/>
      </w:r>
    </w:p>
    <w:p>
      <w:pPr>
        <w:spacing w:after="120" w:afterLines="50" w:line="440" w:lineRule="exact"/>
        <w:jc w:val="center"/>
        <w:rPr>
          <w:rFonts w:ascii="宋体" w:hAnsi="宋体" w:cs="宋体"/>
          <w:b/>
          <w:color w:val="auto"/>
          <w:szCs w:val="21"/>
          <w:highlight w:val="none"/>
        </w:rPr>
      </w:pPr>
      <w:r>
        <w:rPr>
          <w:rFonts w:hint="eastAsia" w:ascii="宋体" w:hAnsi="宋体" w:cs="宋体"/>
          <w:b/>
          <w:color w:val="auto"/>
          <w:szCs w:val="21"/>
          <w:highlight w:val="none"/>
        </w:rPr>
        <w:t>四、竞争性谈判报价一览表</w:t>
      </w:r>
    </w:p>
    <w:p>
      <w:pPr>
        <w:spacing w:line="560" w:lineRule="exact"/>
        <w:rPr>
          <w:rFonts w:ascii="宋体" w:hAnsi="宋体"/>
          <w:color w:val="auto"/>
          <w:szCs w:val="21"/>
          <w:highlight w:val="none"/>
          <w:u w:val="singl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tbl>
      <w:tblPr>
        <w:tblStyle w:val="39"/>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955"/>
        <w:gridCol w:w="2175"/>
        <w:gridCol w:w="2085"/>
        <w:gridCol w:w="20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8" w:type="dxa"/>
            <w:tcBorders>
              <w:tl2br w:val="nil"/>
              <w:tr2bl w:val="nil"/>
            </w:tcBorders>
            <w:vAlign w:val="center"/>
          </w:tcPr>
          <w:p>
            <w:pPr>
              <w:spacing w:line="480" w:lineRule="exact"/>
              <w:ind w:right="143" w:rightChars="68"/>
              <w:jc w:val="center"/>
              <w:rPr>
                <w:b/>
                <w:color w:val="auto"/>
                <w:szCs w:val="21"/>
                <w:highlight w:val="none"/>
              </w:rPr>
            </w:pPr>
            <w:r>
              <w:rPr>
                <w:b/>
                <w:color w:val="auto"/>
                <w:szCs w:val="21"/>
                <w:highlight w:val="none"/>
              </w:rPr>
              <w:t>项目</w:t>
            </w:r>
            <w:r>
              <w:rPr>
                <w:rFonts w:hint="eastAsia"/>
                <w:b/>
                <w:color w:val="auto"/>
                <w:szCs w:val="21"/>
                <w:highlight w:val="none"/>
              </w:rPr>
              <w:t>名称</w:t>
            </w:r>
          </w:p>
        </w:tc>
        <w:tc>
          <w:tcPr>
            <w:tcW w:w="3130" w:type="dxa"/>
            <w:gridSpan w:val="2"/>
            <w:tcBorders>
              <w:tl2br w:val="nil"/>
              <w:tr2bl w:val="nil"/>
            </w:tcBorders>
            <w:vAlign w:val="center"/>
          </w:tcPr>
          <w:p>
            <w:pPr>
              <w:spacing w:line="480" w:lineRule="exact"/>
              <w:jc w:val="center"/>
              <w:rPr>
                <w:b/>
                <w:color w:val="auto"/>
                <w:szCs w:val="21"/>
                <w:highlight w:val="none"/>
              </w:rPr>
            </w:pPr>
            <w:r>
              <w:rPr>
                <w:rFonts w:hint="eastAsia"/>
                <w:b/>
                <w:color w:val="auto"/>
                <w:szCs w:val="21"/>
                <w:highlight w:val="none"/>
              </w:rPr>
              <w:t>谈判</w:t>
            </w:r>
            <w:r>
              <w:rPr>
                <w:b/>
                <w:color w:val="auto"/>
                <w:szCs w:val="21"/>
                <w:highlight w:val="none"/>
              </w:rPr>
              <w:t>报价</w:t>
            </w:r>
          </w:p>
          <w:p>
            <w:pPr>
              <w:spacing w:line="480" w:lineRule="exact"/>
              <w:jc w:val="center"/>
              <w:rPr>
                <w:b/>
                <w:color w:val="auto"/>
                <w:szCs w:val="21"/>
                <w:highlight w:val="none"/>
              </w:rPr>
            </w:pPr>
            <w:r>
              <w:rPr>
                <w:b/>
                <w:color w:val="auto"/>
                <w:szCs w:val="21"/>
                <w:highlight w:val="none"/>
              </w:rPr>
              <w:t>（人民币:元）</w:t>
            </w:r>
          </w:p>
        </w:tc>
        <w:tc>
          <w:tcPr>
            <w:tcW w:w="2085" w:type="dxa"/>
            <w:tcBorders>
              <w:tl2br w:val="nil"/>
              <w:tr2bl w:val="nil"/>
            </w:tcBorders>
            <w:vAlign w:val="center"/>
          </w:tcPr>
          <w:p>
            <w:pPr>
              <w:spacing w:line="480" w:lineRule="exact"/>
              <w:jc w:val="center"/>
              <w:rPr>
                <w:b/>
                <w:color w:val="auto"/>
                <w:szCs w:val="21"/>
                <w:highlight w:val="none"/>
              </w:rPr>
            </w:pPr>
            <w:r>
              <w:rPr>
                <w:b/>
                <w:color w:val="auto"/>
                <w:szCs w:val="21"/>
                <w:highlight w:val="none"/>
              </w:rPr>
              <w:t>交</w:t>
            </w:r>
            <w:r>
              <w:rPr>
                <w:rFonts w:hint="eastAsia"/>
                <w:b/>
                <w:color w:val="auto"/>
                <w:szCs w:val="21"/>
                <w:highlight w:val="none"/>
              </w:rPr>
              <w:t>货</w:t>
            </w:r>
            <w:r>
              <w:rPr>
                <w:b/>
                <w:color w:val="auto"/>
                <w:szCs w:val="21"/>
                <w:highlight w:val="none"/>
              </w:rPr>
              <w:t>期</w:t>
            </w:r>
          </w:p>
          <w:p>
            <w:pPr>
              <w:spacing w:line="480" w:lineRule="exact"/>
              <w:jc w:val="center"/>
              <w:rPr>
                <w:b/>
                <w:color w:val="auto"/>
                <w:szCs w:val="21"/>
                <w:highlight w:val="none"/>
              </w:rPr>
            </w:pPr>
            <w:r>
              <w:rPr>
                <w:b/>
                <w:color w:val="auto"/>
                <w:szCs w:val="21"/>
                <w:highlight w:val="none"/>
              </w:rPr>
              <w:t>（日历日）</w:t>
            </w:r>
          </w:p>
        </w:tc>
        <w:tc>
          <w:tcPr>
            <w:tcW w:w="2048" w:type="dxa"/>
            <w:tcBorders>
              <w:tl2br w:val="nil"/>
              <w:tr2bl w:val="nil"/>
            </w:tcBorders>
            <w:vAlign w:val="center"/>
          </w:tcPr>
          <w:p>
            <w:pPr>
              <w:spacing w:line="480" w:lineRule="exact"/>
              <w:jc w:val="center"/>
              <w:rPr>
                <w:b/>
                <w:color w:val="auto"/>
                <w:szCs w:val="21"/>
                <w:highlight w:val="none"/>
              </w:rPr>
            </w:pPr>
            <w:r>
              <w:rPr>
                <w:b/>
                <w:color w:val="auto"/>
                <w:szCs w:val="21"/>
                <w:highlight w:val="none"/>
              </w:rPr>
              <w:t>质保期</w:t>
            </w:r>
          </w:p>
          <w:p>
            <w:pPr>
              <w:spacing w:line="480" w:lineRule="exact"/>
              <w:jc w:val="center"/>
              <w:rPr>
                <w:b/>
                <w:color w:val="auto"/>
                <w:szCs w:val="21"/>
                <w:highlight w:val="none"/>
              </w:rPr>
            </w:pPr>
            <w:r>
              <w:rPr>
                <w:b/>
                <w:color w:val="auto"/>
                <w:szCs w:val="21"/>
                <w:highlight w:val="none"/>
              </w:rPr>
              <w:t>（</w:t>
            </w:r>
            <w:r>
              <w:rPr>
                <w:rFonts w:hint="eastAsia"/>
                <w:b/>
                <w:color w:val="auto"/>
                <w:szCs w:val="21"/>
                <w:highlight w:val="none"/>
              </w:rPr>
              <w:t>年</w:t>
            </w:r>
            <w:r>
              <w:rPr>
                <w:b/>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38" w:type="dxa"/>
            <w:vMerge w:val="restart"/>
            <w:tcBorders>
              <w:tl2br w:val="nil"/>
              <w:tr2bl w:val="nil"/>
            </w:tcBorders>
            <w:vAlign w:val="center"/>
          </w:tcPr>
          <w:p>
            <w:pPr>
              <w:spacing w:line="560" w:lineRule="exact"/>
              <w:jc w:val="center"/>
              <w:rPr>
                <w:color w:val="auto"/>
                <w:szCs w:val="21"/>
                <w:highlight w:val="none"/>
              </w:rPr>
            </w:pPr>
            <w:r>
              <w:rPr>
                <w:rFonts w:hint="eastAsia"/>
                <w:color w:val="auto"/>
                <w:szCs w:val="21"/>
                <w:highlight w:val="none"/>
              </w:rPr>
              <w:t xml:space="preserve"> </w:t>
            </w:r>
          </w:p>
        </w:tc>
        <w:tc>
          <w:tcPr>
            <w:tcW w:w="955" w:type="dxa"/>
            <w:tcBorders>
              <w:tl2br w:val="nil"/>
              <w:tr2bl w:val="nil"/>
            </w:tcBorders>
            <w:vAlign w:val="center"/>
          </w:tcPr>
          <w:p>
            <w:pPr>
              <w:spacing w:line="560" w:lineRule="exact"/>
              <w:jc w:val="center"/>
              <w:rPr>
                <w:color w:val="auto"/>
                <w:szCs w:val="21"/>
                <w:highlight w:val="none"/>
              </w:rPr>
            </w:pPr>
            <w:r>
              <w:rPr>
                <w:color w:val="auto"/>
                <w:szCs w:val="21"/>
                <w:highlight w:val="none"/>
              </w:rPr>
              <w:t>小写</w:t>
            </w:r>
          </w:p>
        </w:tc>
        <w:tc>
          <w:tcPr>
            <w:tcW w:w="2175" w:type="dxa"/>
            <w:tcBorders>
              <w:tl2br w:val="nil"/>
              <w:tr2bl w:val="nil"/>
            </w:tcBorders>
            <w:vAlign w:val="center"/>
          </w:tcPr>
          <w:p>
            <w:pPr>
              <w:spacing w:line="560" w:lineRule="exact"/>
              <w:rPr>
                <w:color w:val="auto"/>
                <w:szCs w:val="21"/>
                <w:highlight w:val="none"/>
              </w:rPr>
            </w:pPr>
            <w:r>
              <w:rPr>
                <w:rFonts w:hint="eastAsia"/>
                <w:color w:val="auto"/>
                <w:szCs w:val="21"/>
                <w:highlight w:val="none"/>
              </w:rPr>
              <w:t>¥</w:t>
            </w:r>
          </w:p>
        </w:tc>
        <w:tc>
          <w:tcPr>
            <w:tcW w:w="2085" w:type="dxa"/>
            <w:tcBorders>
              <w:tl2br w:val="nil"/>
              <w:tr2bl w:val="nil"/>
            </w:tcBorders>
            <w:vAlign w:val="center"/>
          </w:tcPr>
          <w:p>
            <w:pPr>
              <w:spacing w:line="560" w:lineRule="exact"/>
              <w:jc w:val="center"/>
              <w:rPr>
                <w:color w:val="auto"/>
                <w:szCs w:val="21"/>
                <w:highlight w:val="none"/>
              </w:rPr>
            </w:pPr>
          </w:p>
        </w:tc>
        <w:tc>
          <w:tcPr>
            <w:tcW w:w="2048" w:type="dxa"/>
            <w:tcBorders>
              <w:tl2br w:val="nil"/>
              <w:tr2bl w:val="nil"/>
            </w:tcBorders>
            <w:vAlign w:val="center"/>
          </w:tcPr>
          <w:p>
            <w:pPr>
              <w:spacing w:line="560" w:lineRule="exact"/>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138" w:type="dxa"/>
            <w:vMerge w:val="continue"/>
            <w:tcBorders>
              <w:tl2br w:val="nil"/>
              <w:tr2bl w:val="nil"/>
            </w:tcBorders>
            <w:vAlign w:val="center"/>
          </w:tcPr>
          <w:p>
            <w:pPr>
              <w:spacing w:line="560" w:lineRule="exact"/>
              <w:jc w:val="center"/>
              <w:rPr>
                <w:color w:val="auto"/>
                <w:szCs w:val="21"/>
                <w:highlight w:val="none"/>
              </w:rPr>
            </w:pPr>
          </w:p>
        </w:tc>
        <w:tc>
          <w:tcPr>
            <w:tcW w:w="955" w:type="dxa"/>
            <w:tcBorders>
              <w:tl2br w:val="nil"/>
              <w:tr2bl w:val="nil"/>
            </w:tcBorders>
            <w:vAlign w:val="center"/>
          </w:tcPr>
          <w:p>
            <w:pPr>
              <w:spacing w:line="560" w:lineRule="exact"/>
              <w:jc w:val="center"/>
              <w:rPr>
                <w:color w:val="auto"/>
                <w:szCs w:val="21"/>
                <w:highlight w:val="none"/>
              </w:rPr>
            </w:pPr>
            <w:r>
              <w:rPr>
                <w:color w:val="auto"/>
                <w:szCs w:val="21"/>
                <w:highlight w:val="none"/>
              </w:rPr>
              <w:t>大写</w:t>
            </w:r>
          </w:p>
        </w:tc>
        <w:tc>
          <w:tcPr>
            <w:tcW w:w="6308" w:type="dxa"/>
            <w:gridSpan w:val="3"/>
            <w:tcBorders>
              <w:tl2br w:val="nil"/>
              <w:tr2bl w:val="nil"/>
            </w:tcBorders>
            <w:vAlign w:val="center"/>
          </w:tcPr>
          <w:p>
            <w:pPr>
              <w:spacing w:line="560" w:lineRule="exact"/>
              <w:jc w:val="center"/>
              <w:rPr>
                <w:color w:val="auto"/>
                <w:szCs w:val="21"/>
                <w:highlight w:val="none"/>
              </w:rPr>
            </w:pPr>
          </w:p>
        </w:tc>
      </w:tr>
    </w:tbl>
    <w:p>
      <w:pPr>
        <w:spacing w:line="560" w:lineRule="exact"/>
        <w:rPr>
          <w:color w:val="auto"/>
          <w:szCs w:val="21"/>
          <w:highlight w:val="none"/>
        </w:rPr>
      </w:pPr>
      <w:r>
        <w:rPr>
          <w:color w:val="auto"/>
          <w:szCs w:val="21"/>
          <w:highlight w:val="none"/>
        </w:rPr>
        <w:t>注：1、本表价格应按</w:t>
      </w:r>
      <w:r>
        <w:rPr>
          <w:rFonts w:hint="eastAsia"/>
          <w:color w:val="auto"/>
          <w:szCs w:val="21"/>
          <w:highlight w:val="none"/>
        </w:rPr>
        <w:t>谈判</w:t>
      </w:r>
      <w:r>
        <w:rPr>
          <w:color w:val="auto"/>
          <w:szCs w:val="21"/>
          <w:highlight w:val="none"/>
        </w:rPr>
        <w:t>总价填写，精确到小数点后两位，大小写不一致时，以大写为准。</w:t>
      </w:r>
    </w:p>
    <w:p>
      <w:pPr>
        <w:spacing w:line="560" w:lineRule="exact"/>
        <w:rPr>
          <w:color w:val="auto"/>
          <w:szCs w:val="21"/>
          <w:highlight w:val="none"/>
        </w:rPr>
      </w:pPr>
      <w:r>
        <w:rPr>
          <w:rFonts w:hint="eastAsia"/>
          <w:color w:val="auto"/>
          <w:szCs w:val="21"/>
          <w:highlight w:val="none"/>
        </w:rPr>
        <w:t xml:space="preserve">    </w:t>
      </w:r>
      <w:r>
        <w:rPr>
          <w:color w:val="auto"/>
          <w:szCs w:val="21"/>
          <w:highlight w:val="none"/>
        </w:rPr>
        <w:t>2、本表所列各项数据与</w:t>
      </w:r>
      <w:r>
        <w:rPr>
          <w:rFonts w:hint="eastAsia"/>
          <w:color w:val="auto"/>
          <w:szCs w:val="21"/>
          <w:highlight w:val="none"/>
        </w:rPr>
        <w:t>竞争性谈判响应文件</w:t>
      </w:r>
      <w:r>
        <w:rPr>
          <w:color w:val="auto"/>
          <w:szCs w:val="21"/>
          <w:highlight w:val="none"/>
        </w:rPr>
        <w:t>其他地方表述不一致时，以本表为准。</w:t>
      </w:r>
    </w:p>
    <w:p>
      <w:pPr>
        <w:spacing w:before="480" w:after="240"/>
        <w:jc w:val="left"/>
        <w:outlineLvl w:val="2"/>
        <w:rPr>
          <w:rFonts w:ascii="黑体" w:eastAsia="黑体"/>
          <w:b/>
          <w:bCs/>
          <w:color w:val="auto"/>
          <w:sz w:val="30"/>
          <w:szCs w:val="30"/>
          <w:highlight w:val="none"/>
        </w:rPr>
      </w:pPr>
    </w:p>
    <w:p>
      <w:pPr>
        <w:spacing w:before="480" w:after="240"/>
        <w:jc w:val="left"/>
        <w:outlineLvl w:val="2"/>
        <w:rPr>
          <w:rFonts w:ascii="黑体" w:eastAsia="黑体"/>
          <w:b/>
          <w:bCs/>
          <w:color w:val="auto"/>
          <w:sz w:val="30"/>
          <w:szCs w:val="30"/>
          <w:highlight w:val="none"/>
        </w:rPr>
      </w:pPr>
    </w:p>
    <w:p>
      <w:pPr>
        <w:pStyle w:val="66"/>
        <w:spacing w:line="500" w:lineRule="exact"/>
        <w:jc w:val="left"/>
        <w:rPr>
          <w:rFonts w:ascii="新宋体" w:hAnsi="新宋体"/>
          <w:b w:val="0"/>
          <w:color w:val="auto"/>
          <w:sz w:val="21"/>
          <w:szCs w:val="21"/>
          <w:highlight w:val="none"/>
        </w:rPr>
      </w:pPr>
      <w:r>
        <w:rPr>
          <w:rFonts w:hint="eastAsia" w:ascii="新宋体" w:hAnsi="新宋体"/>
          <w:b w:val="0"/>
          <w:color w:val="auto"/>
          <w:sz w:val="21"/>
          <w:szCs w:val="21"/>
          <w:highlight w:val="none"/>
        </w:rPr>
        <w:t xml:space="preserve">                                             供应商：</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pPr>
        <w:pStyle w:val="66"/>
        <w:spacing w:line="500" w:lineRule="exact"/>
        <w:jc w:val="left"/>
        <w:rPr>
          <w:rFonts w:ascii="新宋体" w:hAnsi="新宋体"/>
          <w:b w:val="0"/>
          <w:color w:val="auto"/>
          <w:sz w:val="21"/>
          <w:szCs w:val="21"/>
          <w:highlight w:val="none"/>
        </w:rPr>
      </w:pPr>
      <w:r>
        <w:rPr>
          <w:rFonts w:hint="eastAsia" w:ascii="新宋体" w:hAnsi="新宋体"/>
          <w:b w:val="0"/>
          <w:color w:val="auto"/>
          <w:sz w:val="21"/>
          <w:szCs w:val="21"/>
          <w:highlight w:val="none"/>
        </w:rPr>
        <w:t xml:space="preserve">                                             法定代表人或授权代表：</w:t>
      </w:r>
      <w:r>
        <w:rPr>
          <w:rFonts w:hint="eastAsia" w:ascii="新宋体" w:hAnsi="新宋体"/>
          <w:b w:val="0"/>
          <w:color w:val="auto"/>
          <w:sz w:val="21"/>
          <w:szCs w:val="21"/>
          <w:highlight w:val="none"/>
          <w:u w:val="single"/>
        </w:rPr>
        <w:t xml:space="preserve">     （盖章或签字）   </w:t>
      </w:r>
    </w:p>
    <w:p>
      <w:pPr>
        <w:spacing w:line="500" w:lineRule="exact"/>
        <w:jc w:val="left"/>
        <w:outlineLvl w:val="2"/>
        <w:rPr>
          <w:rFonts w:ascii="黑体" w:eastAsia="黑体"/>
          <w:b/>
          <w:bCs/>
          <w:color w:val="auto"/>
          <w:szCs w:val="21"/>
          <w:highlight w:val="none"/>
        </w:rPr>
      </w:pPr>
      <w:r>
        <w:rPr>
          <w:rFonts w:hint="eastAsia" w:ascii="新宋体" w:hAnsi="新宋体"/>
          <w:color w:val="auto"/>
          <w:szCs w:val="21"/>
          <w:highlight w:val="none"/>
        </w:rPr>
        <w:t xml:space="preserve">                                             谈判日期：</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年</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月</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日</w:t>
      </w:r>
    </w:p>
    <w:p>
      <w:pPr>
        <w:spacing w:before="480" w:after="240"/>
        <w:jc w:val="left"/>
        <w:outlineLvl w:val="2"/>
        <w:rPr>
          <w:rFonts w:ascii="黑体" w:eastAsia="黑体"/>
          <w:b/>
          <w:bCs/>
          <w:color w:val="auto"/>
          <w:sz w:val="30"/>
          <w:szCs w:val="30"/>
          <w:highlight w:val="none"/>
        </w:rPr>
      </w:pPr>
    </w:p>
    <w:p>
      <w:pPr>
        <w:spacing w:before="480" w:after="240"/>
        <w:jc w:val="left"/>
        <w:outlineLvl w:val="2"/>
        <w:rPr>
          <w:rFonts w:ascii="黑体" w:eastAsia="黑体"/>
          <w:b/>
          <w:bCs/>
          <w:color w:val="auto"/>
          <w:sz w:val="30"/>
          <w:szCs w:val="30"/>
          <w:highlight w:val="none"/>
        </w:rPr>
      </w:pPr>
    </w:p>
    <w:p>
      <w:pPr>
        <w:spacing w:before="480" w:after="240"/>
        <w:jc w:val="left"/>
        <w:outlineLvl w:val="2"/>
        <w:rPr>
          <w:rFonts w:ascii="黑体" w:eastAsia="黑体"/>
          <w:b/>
          <w:bCs/>
          <w:color w:val="auto"/>
          <w:sz w:val="30"/>
          <w:szCs w:val="30"/>
          <w:highlight w:val="none"/>
        </w:rPr>
      </w:pPr>
    </w:p>
    <w:p>
      <w:pPr>
        <w:spacing w:before="480" w:after="240"/>
        <w:jc w:val="left"/>
        <w:outlineLvl w:val="2"/>
        <w:rPr>
          <w:rFonts w:ascii="黑体" w:eastAsia="黑体"/>
          <w:b/>
          <w:bCs/>
          <w:color w:val="auto"/>
          <w:sz w:val="30"/>
          <w:szCs w:val="30"/>
          <w:highlight w:val="none"/>
        </w:rPr>
      </w:pPr>
    </w:p>
    <w:p>
      <w:pPr>
        <w:spacing w:after="120" w:afterLines="50" w:line="440" w:lineRule="exact"/>
        <w:jc w:val="center"/>
        <w:rPr>
          <w:rFonts w:ascii="宋体" w:hAnsi="宋体" w:cs="宋体"/>
          <w:b/>
          <w:color w:val="auto"/>
          <w:szCs w:val="21"/>
          <w:highlight w:val="none"/>
        </w:rPr>
      </w:pPr>
      <w:r>
        <w:rPr>
          <w:rFonts w:ascii="宋体" w:hAnsi="宋体" w:cs="宋体"/>
          <w:b/>
          <w:bCs/>
          <w:color w:val="auto"/>
          <w:sz w:val="36"/>
          <w:szCs w:val="36"/>
          <w:highlight w:val="none"/>
        </w:rPr>
        <w:br w:type="page"/>
      </w:r>
      <w:r>
        <w:rPr>
          <w:rFonts w:hint="eastAsia" w:ascii="宋体" w:hAnsi="宋体" w:cs="宋体"/>
          <w:b/>
          <w:color w:val="auto"/>
          <w:szCs w:val="21"/>
          <w:highlight w:val="none"/>
        </w:rPr>
        <w:t>五、分项报价表</w:t>
      </w:r>
    </w:p>
    <w:p>
      <w:pPr>
        <w:spacing w:line="560" w:lineRule="exact"/>
        <w:rPr>
          <w:rFonts w:ascii="宋体" w:hAnsi="宋体" w:cs="宋体"/>
          <w:b/>
          <w:bCs/>
          <w:color w:val="auto"/>
          <w:sz w:val="36"/>
          <w:szCs w:val="36"/>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项目编号：</w:t>
      </w:r>
      <w:r>
        <w:rPr>
          <w:rFonts w:hint="eastAsia" w:ascii="宋体" w:hAnsi="宋体"/>
          <w:color w:val="auto"/>
          <w:szCs w:val="21"/>
          <w:highlight w:val="none"/>
          <w:u w:val="single"/>
        </w:rPr>
        <w:t xml:space="preserve">              </w:t>
      </w:r>
    </w:p>
    <w:tbl>
      <w:tblPr>
        <w:tblStyle w:val="38"/>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93"/>
        <w:gridCol w:w="1297"/>
        <w:gridCol w:w="2514"/>
        <w:gridCol w:w="2072"/>
        <w:gridCol w:w="880"/>
        <w:gridCol w:w="851"/>
        <w:gridCol w:w="9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593" w:type="dxa"/>
            <w:shd w:val="clear" w:color="auto" w:fill="F1F1F1"/>
            <w:noWrap/>
            <w:tcMar>
              <w:top w:w="20" w:type="dxa"/>
              <w:left w:w="20" w:type="dxa"/>
              <w:bottom w:w="0" w:type="dxa"/>
              <w:right w:w="20" w:type="dxa"/>
            </w:tcMar>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一</w:t>
            </w:r>
          </w:p>
        </w:tc>
        <w:tc>
          <w:tcPr>
            <w:tcW w:w="8606" w:type="dxa"/>
            <w:gridSpan w:val="6"/>
            <w:shd w:val="clear" w:color="auto" w:fill="F1F1F1"/>
            <w:noWrap/>
            <w:tcMar>
              <w:top w:w="20" w:type="dxa"/>
              <w:left w:w="20" w:type="dxa"/>
              <w:bottom w:w="0" w:type="dxa"/>
              <w:right w:w="20" w:type="dxa"/>
            </w:tcMar>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593" w:type="dxa"/>
            <w:noWrap/>
            <w:tcMar>
              <w:top w:w="20" w:type="dxa"/>
              <w:left w:w="20" w:type="dxa"/>
              <w:bottom w:w="0" w:type="dxa"/>
              <w:right w:w="20" w:type="dxa"/>
            </w:tcMar>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297" w:type="dxa"/>
            <w:noWrap/>
            <w:tcMar>
              <w:top w:w="20" w:type="dxa"/>
              <w:left w:w="20" w:type="dxa"/>
              <w:bottom w:w="0" w:type="dxa"/>
              <w:right w:w="20" w:type="dxa"/>
            </w:tcMar>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产品名称</w:t>
            </w:r>
          </w:p>
        </w:tc>
        <w:tc>
          <w:tcPr>
            <w:tcW w:w="2514" w:type="dxa"/>
            <w:noWrap/>
            <w:tcMar>
              <w:top w:w="20" w:type="dxa"/>
              <w:left w:w="20" w:type="dxa"/>
              <w:bottom w:w="0" w:type="dxa"/>
              <w:right w:w="20" w:type="dxa"/>
            </w:tcMar>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品牌及规格型号</w:t>
            </w:r>
          </w:p>
        </w:tc>
        <w:tc>
          <w:tcPr>
            <w:tcW w:w="2072" w:type="dxa"/>
            <w:noWrap/>
            <w:tcMar>
              <w:top w:w="20" w:type="dxa"/>
              <w:left w:w="20" w:type="dxa"/>
              <w:bottom w:w="0" w:type="dxa"/>
              <w:right w:w="20" w:type="dxa"/>
            </w:tcMar>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生产厂家</w:t>
            </w:r>
          </w:p>
        </w:tc>
        <w:tc>
          <w:tcPr>
            <w:tcW w:w="880" w:type="dxa"/>
            <w:noWrap/>
            <w:tcMar>
              <w:top w:w="20" w:type="dxa"/>
              <w:left w:w="20" w:type="dxa"/>
              <w:bottom w:w="0" w:type="dxa"/>
              <w:right w:w="20" w:type="dxa"/>
            </w:tcMar>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851" w:type="dxa"/>
            <w:noWrap/>
            <w:tcMar>
              <w:top w:w="20" w:type="dxa"/>
              <w:left w:w="20" w:type="dxa"/>
              <w:bottom w:w="0" w:type="dxa"/>
              <w:right w:w="20" w:type="dxa"/>
            </w:tcMar>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单价</w:t>
            </w:r>
          </w:p>
        </w:tc>
        <w:tc>
          <w:tcPr>
            <w:tcW w:w="992" w:type="dxa"/>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1297"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514"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072"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80"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51"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992" w:type="dxa"/>
            <w:vAlign w:val="center"/>
          </w:tcPr>
          <w:p>
            <w:pPr>
              <w:spacing w:line="440" w:lineRule="exact"/>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1297"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514"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072"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80"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51"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992" w:type="dxa"/>
            <w:vAlign w:val="center"/>
          </w:tcPr>
          <w:p>
            <w:pPr>
              <w:spacing w:line="440" w:lineRule="exact"/>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1297"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514"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072"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80"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51"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992" w:type="dxa"/>
            <w:vAlign w:val="center"/>
          </w:tcPr>
          <w:p>
            <w:pPr>
              <w:spacing w:line="440" w:lineRule="exact"/>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1297"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514"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072"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80"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51"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992" w:type="dxa"/>
            <w:vAlign w:val="center"/>
          </w:tcPr>
          <w:p>
            <w:pPr>
              <w:spacing w:line="440" w:lineRule="exact"/>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1297"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514"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072"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80"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51"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992" w:type="dxa"/>
            <w:vAlign w:val="center"/>
          </w:tcPr>
          <w:p>
            <w:pPr>
              <w:spacing w:line="440" w:lineRule="exact"/>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1297"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514"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2072"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80"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51"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992" w:type="dxa"/>
            <w:vAlign w:val="center"/>
          </w:tcPr>
          <w:p>
            <w:pPr>
              <w:spacing w:line="440" w:lineRule="exact"/>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shd w:val="clear" w:color="auto" w:fill="F1F1F1"/>
            <w:noWrap/>
            <w:tcMar>
              <w:top w:w="20" w:type="dxa"/>
              <w:left w:w="20" w:type="dxa"/>
              <w:bottom w:w="0" w:type="dxa"/>
              <w:right w:w="20" w:type="dxa"/>
            </w:tcMar>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二</w:t>
            </w:r>
          </w:p>
        </w:tc>
        <w:tc>
          <w:tcPr>
            <w:tcW w:w="8606" w:type="dxa"/>
            <w:gridSpan w:val="6"/>
            <w:shd w:val="clear" w:color="auto" w:fill="F1F1F1"/>
            <w:noWrap/>
            <w:tcMar>
              <w:top w:w="20" w:type="dxa"/>
              <w:left w:w="20" w:type="dxa"/>
              <w:bottom w:w="0" w:type="dxa"/>
              <w:right w:w="20" w:type="dxa"/>
            </w:tcMar>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noWrap/>
            <w:tcMar>
              <w:top w:w="20" w:type="dxa"/>
              <w:left w:w="20" w:type="dxa"/>
              <w:bottom w:w="0" w:type="dxa"/>
              <w:right w:w="20" w:type="dxa"/>
            </w:tcMar>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97" w:type="dxa"/>
            <w:noWrap/>
            <w:tcMar>
              <w:top w:w="20" w:type="dxa"/>
              <w:left w:w="20" w:type="dxa"/>
              <w:bottom w:w="0" w:type="dxa"/>
              <w:right w:w="20" w:type="dxa"/>
            </w:tcMar>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费用名称</w:t>
            </w:r>
          </w:p>
        </w:tc>
        <w:tc>
          <w:tcPr>
            <w:tcW w:w="4586" w:type="dxa"/>
            <w:gridSpan w:val="2"/>
            <w:noWrap/>
            <w:tcMar>
              <w:top w:w="20" w:type="dxa"/>
              <w:left w:w="20" w:type="dxa"/>
              <w:bottom w:w="0" w:type="dxa"/>
              <w:right w:w="20" w:type="dxa"/>
            </w:tcMar>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费用描述</w:t>
            </w:r>
          </w:p>
        </w:tc>
        <w:tc>
          <w:tcPr>
            <w:tcW w:w="880" w:type="dxa"/>
            <w:noWrap/>
            <w:tcMar>
              <w:top w:w="20" w:type="dxa"/>
              <w:left w:w="20" w:type="dxa"/>
              <w:bottom w:w="0" w:type="dxa"/>
              <w:right w:w="20" w:type="dxa"/>
            </w:tcMar>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851" w:type="dxa"/>
            <w:noWrap/>
            <w:tcMar>
              <w:top w:w="20" w:type="dxa"/>
              <w:left w:w="20" w:type="dxa"/>
              <w:bottom w:w="0" w:type="dxa"/>
              <w:right w:w="20" w:type="dxa"/>
            </w:tcMar>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单价</w:t>
            </w:r>
          </w:p>
        </w:tc>
        <w:tc>
          <w:tcPr>
            <w:tcW w:w="992" w:type="dxa"/>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1297"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4586" w:type="dxa"/>
            <w:gridSpan w:val="2"/>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80"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51"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992" w:type="dxa"/>
            <w:vAlign w:val="center"/>
          </w:tcPr>
          <w:p>
            <w:pPr>
              <w:spacing w:line="440" w:lineRule="exact"/>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1297"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4586" w:type="dxa"/>
            <w:gridSpan w:val="2"/>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80"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51"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992" w:type="dxa"/>
            <w:vAlign w:val="center"/>
          </w:tcPr>
          <w:p>
            <w:pPr>
              <w:spacing w:line="440" w:lineRule="exact"/>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1297"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4586" w:type="dxa"/>
            <w:gridSpan w:val="2"/>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80"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51"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992" w:type="dxa"/>
            <w:vAlign w:val="center"/>
          </w:tcPr>
          <w:p>
            <w:pPr>
              <w:spacing w:line="440" w:lineRule="exact"/>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3"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1297"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4586" w:type="dxa"/>
            <w:gridSpan w:val="2"/>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80"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851" w:type="dxa"/>
            <w:noWrap/>
            <w:tcMar>
              <w:top w:w="20" w:type="dxa"/>
              <w:left w:w="20" w:type="dxa"/>
              <w:bottom w:w="0" w:type="dxa"/>
              <w:right w:w="20" w:type="dxa"/>
            </w:tcMar>
            <w:vAlign w:val="center"/>
          </w:tcPr>
          <w:p>
            <w:pPr>
              <w:spacing w:line="440" w:lineRule="exact"/>
              <w:jc w:val="center"/>
              <w:rPr>
                <w:rFonts w:ascii="宋体" w:hAnsi="宋体" w:cs="宋体"/>
                <w:bCs/>
                <w:color w:val="auto"/>
                <w:szCs w:val="21"/>
                <w:highlight w:val="none"/>
              </w:rPr>
            </w:pPr>
          </w:p>
        </w:tc>
        <w:tc>
          <w:tcPr>
            <w:tcW w:w="992" w:type="dxa"/>
            <w:vAlign w:val="center"/>
          </w:tcPr>
          <w:p>
            <w:pPr>
              <w:spacing w:line="440" w:lineRule="exact"/>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207" w:type="dxa"/>
            <w:gridSpan w:val="6"/>
            <w:noWrap/>
            <w:tcMar>
              <w:top w:w="20" w:type="dxa"/>
              <w:left w:w="20" w:type="dxa"/>
              <w:bottom w:w="0" w:type="dxa"/>
              <w:right w:w="20" w:type="dxa"/>
            </w:tcMar>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总计</w:t>
            </w:r>
          </w:p>
        </w:tc>
        <w:tc>
          <w:tcPr>
            <w:tcW w:w="992" w:type="dxa"/>
            <w:vAlign w:val="center"/>
          </w:tcPr>
          <w:p>
            <w:pPr>
              <w:spacing w:line="440" w:lineRule="exact"/>
              <w:jc w:val="center"/>
              <w:rPr>
                <w:rFonts w:ascii="宋体" w:hAnsi="宋体" w:cs="宋体"/>
                <w:b/>
                <w:bCs/>
                <w:color w:val="auto"/>
                <w:szCs w:val="21"/>
                <w:highlight w:val="none"/>
              </w:rPr>
            </w:pPr>
          </w:p>
        </w:tc>
      </w:tr>
    </w:tbl>
    <w:p>
      <w:pPr>
        <w:spacing w:line="460" w:lineRule="exact"/>
        <w:rPr>
          <w:color w:val="auto"/>
          <w:position w:val="4"/>
          <w:szCs w:val="21"/>
          <w:highlight w:val="none"/>
        </w:rPr>
      </w:pPr>
      <w:r>
        <w:rPr>
          <w:color w:val="auto"/>
          <w:position w:val="4"/>
          <w:szCs w:val="21"/>
          <w:highlight w:val="none"/>
        </w:rPr>
        <w:t>注：1</w:t>
      </w:r>
      <w:r>
        <w:rPr>
          <w:rFonts w:hint="eastAsia"/>
          <w:color w:val="auto"/>
          <w:position w:val="4"/>
          <w:szCs w:val="21"/>
          <w:highlight w:val="none"/>
        </w:rPr>
        <w:t>、“</w:t>
      </w:r>
      <w:r>
        <w:rPr>
          <w:color w:val="auto"/>
          <w:position w:val="4"/>
          <w:szCs w:val="21"/>
          <w:highlight w:val="none"/>
        </w:rPr>
        <w:t>分项报价表</w:t>
      </w:r>
      <w:r>
        <w:rPr>
          <w:rFonts w:hint="eastAsia"/>
          <w:color w:val="auto"/>
          <w:position w:val="4"/>
          <w:szCs w:val="21"/>
          <w:highlight w:val="none"/>
        </w:rPr>
        <w:t>”</w:t>
      </w:r>
      <w:r>
        <w:rPr>
          <w:color w:val="auto"/>
          <w:position w:val="4"/>
          <w:szCs w:val="21"/>
          <w:highlight w:val="none"/>
        </w:rPr>
        <w:t>各分项报价合计应当与</w:t>
      </w:r>
      <w:r>
        <w:rPr>
          <w:rFonts w:hint="eastAsia"/>
          <w:color w:val="auto"/>
          <w:position w:val="4"/>
          <w:szCs w:val="21"/>
          <w:highlight w:val="none"/>
        </w:rPr>
        <w:t>“开标</w:t>
      </w:r>
      <w:r>
        <w:rPr>
          <w:color w:val="auto"/>
          <w:position w:val="4"/>
          <w:szCs w:val="21"/>
          <w:highlight w:val="none"/>
        </w:rPr>
        <w:t>一览表</w:t>
      </w:r>
      <w:r>
        <w:rPr>
          <w:rFonts w:hint="eastAsia"/>
          <w:color w:val="auto"/>
          <w:position w:val="4"/>
          <w:szCs w:val="21"/>
          <w:highlight w:val="none"/>
        </w:rPr>
        <w:t>”投标报价</w:t>
      </w:r>
      <w:r>
        <w:rPr>
          <w:color w:val="auto"/>
          <w:position w:val="4"/>
          <w:szCs w:val="21"/>
          <w:highlight w:val="none"/>
        </w:rPr>
        <w:t>相等</w:t>
      </w:r>
      <w:r>
        <w:rPr>
          <w:rFonts w:hint="eastAsia"/>
          <w:color w:val="auto"/>
          <w:position w:val="4"/>
          <w:szCs w:val="21"/>
          <w:highlight w:val="none"/>
        </w:rPr>
        <w:t>，</w:t>
      </w:r>
      <w:r>
        <w:rPr>
          <w:color w:val="auto"/>
          <w:position w:val="4"/>
          <w:szCs w:val="21"/>
          <w:highlight w:val="none"/>
        </w:rPr>
        <w:t>报价精确到小数点后两位。</w:t>
      </w:r>
    </w:p>
    <w:p>
      <w:pPr>
        <w:spacing w:line="420" w:lineRule="exact"/>
        <w:rPr>
          <w:color w:val="auto"/>
          <w:highlight w:val="none"/>
        </w:rPr>
      </w:pPr>
      <w:r>
        <w:rPr>
          <w:rFonts w:hint="eastAsia"/>
          <w:color w:val="auto"/>
          <w:position w:val="4"/>
          <w:szCs w:val="21"/>
          <w:highlight w:val="none"/>
        </w:rPr>
        <w:t xml:space="preserve">    </w:t>
      </w:r>
      <w:r>
        <w:rPr>
          <w:rFonts w:hint="eastAsia"/>
          <w:color w:val="auto"/>
          <w:highlight w:val="none"/>
        </w:rPr>
        <w:t>2</w:t>
      </w:r>
      <w:r>
        <w:rPr>
          <w:color w:val="auto"/>
          <w:highlight w:val="none"/>
        </w:rPr>
        <w:t>、如果按单价计算的结果与总价不一致，以单价为准修正总价。</w:t>
      </w:r>
    </w:p>
    <w:p>
      <w:pPr>
        <w:spacing w:line="420" w:lineRule="exact"/>
        <w:ind w:firstLine="420" w:firstLineChars="200"/>
        <w:rPr>
          <w:bCs/>
          <w:color w:val="auto"/>
          <w:highlight w:val="none"/>
        </w:rPr>
      </w:pPr>
      <w:r>
        <w:rPr>
          <w:rFonts w:hint="eastAsia"/>
          <w:color w:val="auto"/>
          <w:highlight w:val="none"/>
        </w:rPr>
        <w:t>3</w:t>
      </w:r>
      <w:r>
        <w:rPr>
          <w:color w:val="auto"/>
          <w:highlight w:val="none"/>
        </w:rPr>
        <w:t>、</w:t>
      </w:r>
      <w:r>
        <w:rPr>
          <w:bCs/>
          <w:color w:val="auto"/>
          <w:highlight w:val="none"/>
        </w:rPr>
        <w:t>供应商可适当调整该表格式，但不得减少信息内容。</w:t>
      </w:r>
    </w:p>
    <w:p>
      <w:pPr>
        <w:spacing w:line="460" w:lineRule="exact"/>
        <w:rPr>
          <w:color w:val="auto"/>
          <w:position w:val="4"/>
          <w:szCs w:val="21"/>
          <w:highlight w:val="none"/>
        </w:rPr>
      </w:pPr>
    </w:p>
    <w:p>
      <w:pPr>
        <w:pStyle w:val="66"/>
        <w:spacing w:line="500" w:lineRule="exact"/>
        <w:jc w:val="left"/>
        <w:rPr>
          <w:rFonts w:ascii="新宋体" w:hAnsi="新宋体"/>
          <w:b w:val="0"/>
          <w:color w:val="auto"/>
          <w:sz w:val="21"/>
          <w:szCs w:val="21"/>
          <w:highlight w:val="none"/>
        </w:rPr>
      </w:pPr>
      <w:r>
        <w:rPr>
          <w:rFonts w:hint="eastAsia" w:ascii="新宋体" w:hAnsi="新宋体"/>
          <w:b w:val="0"/>
          <w:color w:val="auto"/>
          <w:sz w:val="21"/>
          <w:szCs w:val="21"/>
          <w:highlight w:val="none"/>
        </w:rPr>
        <w:t xml:space="preserve">                                             供应商：</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pPr>
        <w:pStyle w:val="66"/>
        <w:spacing w:line="500" w:lineRule="exact"/>
        <w:jc w:val="left"/>
        <w:rPr>
          <w:rFonts w:ascii="新宋体" w:hAnsi="新宋体"/>
          <w:b w:val="0"/>
          <w:color w:val="auto"/>
          <w:sz w:val="21"/>
          <w:szCs w:val="21"/>
          <w:highlight w:val="none"/>
        </w:rPr>
      </w:pPr>
      <w:r>
        <w:rPr>
          <w:rFonts w:hint="eastAsia" w:ascii="新宋体" w:hAnsi="新宋体"/>
          <w:b w:val="0"/>
          <w:color w:val="auto"/>
          <w:sz w:val="21"/>
          <w:szCs w:val="21"/>
          <w:highlight w:val="none"/>
        </w:rPr>
        <w:t xml:space="preserve">                                             法定代表人或授权代表：</w:t>
      </w:r>
      <w:r>
        <w:rPr>
          <w:rFonts w:hint="eastAsia" w:ascii="新宋体" w:hAnsi="新宋体"/>
          <w:b w:val="0"/>
          <w:color w:val="auto"/>
          <w:sz w:val="21"/>
          <w:szCs w:val="21"/>
          <w:highlight w:val="none"/>
          <w:u w:val="single"/>
        </w:rPr>
        <w:t xml:space="preserve">     （盖章或签字）    </w:t>
      </w:r>
    </w:p>
    <w:p>
      <w:pPr>
        <w:spacing w:line="500" w:lineRule="exact"/>
        <w:jc w:val="left"/>
        <w:outlineLvl w:val="2"/>
        <w:rPr>
          <w:rFonts w:ascii="宋体" w:hAnsi="宋体" w:cs="宋体"/>
          <w:b/>
          <w:bCs/>
          <w:color w:val="auto"/>
          <w:sz w:val="36"/>
          <w:szCs w:val="36"/>
          <w:highlight w:val="none"/>
        </w:rPr>
      </w:pPr>
      <w:r>
        <w:rPr>
          <w:rFonts w:hint="eastAsia" w:ascii="新宋体" w:hAnsi="新宋体"/>
          <w:color w:val="auto"/>
          <w:szCs w:val="21"/>
          <w:highlight w:val="none"/>
        </w:rPr>
        <w:t xml:space="preserve">                                             谈判日期：</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年</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月</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日</w:t>
      </w:r>
    </w:p>
    <w:p>
      <w:pPr>
        <w:widowControl/>
        <w:jc w:val="left"/>
        <w:rPr>
          <w:rFonts w:ascii="宋体" w:hAnsi="宋体" w:cs="宋体"/>
          <w:b/>
          <w:bCs/>
          <w:color w:val="auto"/>
          <w:sz w:val="36"/>
          <w:szCs w:val="36"/>
          <w:highlight w:val="none"/>
        </w:rPr>
      </w:pPr>
      <w:r>
        <w:rPr>
          <w:rFonts w:ascii="宋体" w:hAnsi="宋体" w:cs="宋体"/>
          <w:b/>
          <w:bCs/>
          <w:color w:val="auto"/>
          <w:sz w:val="36"/>
          <w:szCs w:val="36"/>
          <w:highlight w:val="none"/>
        </w:rPr>
        <w:br w:type="page"/>
      </w:r>
    </w:p>
    <w:p>
      <w:pPr>
        <w:spacing w:after="120" w:afterLines="50" w:line="440" w:lineRule="exact"/>
        <w:jc w:val="center"/>
        <w:rPr>
          <w:rFonts w:ascii="宋体" w:hAnsi="宋体" w:cs="宋体"/>
          <w:b/>
          <w:color w:val="auto"/>
          <w:szCs w:val="21"/>
          <w:highlight w:val="none"/>
        </w:rPr>
      </w:pPr>
      <w:r>
        <w:rPr>
          <w:rFonts w:hint="eastAsia" w:ascii="宋体" w:hAnsi="宋体" w:cs="宋体"/>
          <w:b/>
          <w:color w:val="auto"/>
          <w:szCs w:val="21"/>
          <w:highlight w:val="none"/>
        </w:rPr>
        <w:t>六、资格文件</w:t>
      </w:r>
    </w:p>
    <w:p>
      <w:pPr>
        <w:spacing w:line="440" w:lineRule="exact"/>
        <w:rPr>
          <w:color w:val="auto"/>
          <w:sz w:val="16"/>
          <w:szCs w:val="21"/>
          <w:highlight w:val="none"/>
        </w:rPr>
      </w:pPr>
      <w:r>
        <w:rPr>
          <w:rFonts w:hint="eastAsia" w:ascii="新宋体" w:hAnsi="新宋体" w:cs="新宋体"/>
          <w:b/>
          <w:color w:val="auto"/>
          <w:szCs w:val="28"/>
          <w:highlight w:val="none"/>
        </w:rPr>
        <w:t>1、供应商基本情况表</w:t>
      </w:r>
    </w:p>
    <w:tbl>
      <w:tblPr>
        <w:tblStyle w:val="39"/>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49"/>
        <w:gridCol w:w="1880"/>
        <w:gridCol w:w="1880"/>
        <w:gridCol w:w="18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5" w:hRule="atLeast"/>
        </w:trPr>
        <w:tc>
          <w:tcPr>
            <w:tcW w:w="1711"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供应商名称</w:t>
            </w:r>
          </w:p>
        </w:tc>
        <w:tc>
          <w:tcPr>
            <w:tcW w:w="7690" w:type="dxa"/>
            <w:gridSpan w:val="4"/>
            <w:tcBorders>
              <w:tl2br w:val="nil"/>
              <w:tr2bl w:val="nil"/>
            </w:tcBorders>
            <w:vAlign w:val="center"/>
          </w:tcPr>
          <w:p>
            <w:pPr>
              <w:autoSpaceDE w:val="0"/>
              <w:autoSpaceDN w:val="0"/>
              <w:adjustRightInd w:val="0"/>
              <w:spacing w:line="400" w:lineRule="exact"/>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11"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注册地址</w:t>
            </w:r>
          </w:p>
        </w:tc>
        <w:tc>
          <w:tcPr>
            <w:tcW w:w="3929" w:type="dxa"/>
            <w:gridSpan w:val="2"/>
            <w:tcBorders>
              <w:tl2br w:val="nil"/>
              <w:tr2bl w:val="nil"/>
            </w:tcBorders>
            <w:vAlign w:val="center"/>
          </w:tcPr>
          <w:p>
            <w:pPr>
              <w:autoSpaceDE w:val="0"/>
              <w:autoSpaceDN w:val="0"/>
              <w:adjustRightInd w:val="0"/>
              <w:spacing w:line="400" w:lineRule="exact"/>
              <w:jc w:val="center"/>
              <w:rPr>
                <w:color w:val="auto"/>
                <w:szCs w:val="21"/>
                <w:highlight w:val="none"/>
              </w:rPr>
            </w:pPr>
          </w:p>
        </w:tc>
        <w:tc>
          <w:tcPr>
            <w:tcW w:w="1880"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邮政编码</w:t>
            </w:r>
          </w:p>
        </w:tc>
        <w:tc>
          <w:tcPr>
            <w:tcW w:w="1881" w:type="dxa"/>
            <w:tcBorders>
              <w:tl2br w:val="nil"/>
              <w:tr2bl w:val="nil"/>
            </w:tcBorders>
            <w:vAlign w:val="center"/>
          </w:tcPr>
          <w:p>
            <w:pPr>
              <w:spacing w:line="440" w:lineRule="exact"/>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vMerge w:val="restart"/>
            <w:tcBorders>
              <w:tl2br w:val="nil"/>
              <w:tr2bl w:val="nil"/>
            </w:tcBorders>
            <w:vAlign w:val="center"/>
          </w:tcPr>
          <w:p>
            <w:pPr>
              <w:spacing w:line="440" w:lineRule="exact"/>
              <w:jc w:val="center"/>
              <w:rPr>
                <w:color w:val="auto"/>
                <w:szCs w:val="21"/>
                <w:highlight w:val="none"/>
              </w:rPr>
            </w:pPr>
            <w:r>
              <w:rPr>
                <w:rFonts w:hint="eastAsia" w:ascii="新宋体" w:hAnsi="新宋体"/>
                <w:color w:val="auto"/>
                <w:szCs w:val="21"/>
                <w:highlight w:val="none"/>
              </w:rPr>
              <w:t>联系方式</w:t>
            </w:r>
          </w:p>
        </w:tc>
        <w:tc>
          <w:tcPr>
            <w:tcW w:w="2049"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联系人</w:t>
            </w:r>
          </w:p>
        </w:tc>
        <w:tc>
          <w:tcPr>
            <w:tcW w:w="1880" w:type="dxa"/>
            <w:tcBorders>
              <w:tl2br w:val="nil"/>
              <w:tr2bl w:val="nil"/>
            </w:tcBorders>
            <w:vAlign w:val="center"/>
          </w:tcPr>
          <w:p>
            <w:pPr>
              <w:autoSpaceDE w:val="0"/>
              <w:autoSpaceDN w:val="0"/>
              <w:adjustRightInd w:val="0"/>
              <w:spacing w:line="400" w:lineRule="exact"/>
              <w:jc w:val="center"/>
              <w:rPr>
                <w:color w:val="auto"/>
                <w:szCs w:val="21"/>
                <w:highlight w:val="none"/>
              </w:rPr>
            </w:pPr>
          </w:p>
        </w:tc>
        <w:tc>
          <w:tcPr>
            <w:tcW w:w="1880"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电话</w:t>
            </w:r>
          </w:p>
        </w:tc>
        <w:tc>
          <w:tcPr>
            <w:tcW w:w="1881" w:type="dxa"/>
            <w:tcBorders>
              <w:tl2br w:val="nil"/>
              <w:tr2bl w:val="nil"/>
            </w:tcBorders>
            <w:vAlign w:val="center"/>
          </w:tcPr>
          <w:p>
            <w:pPr>
              <w:spacing w:line="440" w:lineRule="exact"/>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vMerge w:val="continue"/>
            <w:tcBorders>
              <w:tl2br w:val="nil"/>
              <w:tr2bl w:val="nil"/>
            </w:tcBorders>
            <w:vAlign w:val="center"/>
          </w:tcPr>
          <w:p>
            <w:pPr>
              <w:spacing w:line="440" w:lineRule="exact"/>
              <w:jc w:val="center"/>
              <w:rPr>
                <w:color w:val="auto"/>
                <w:szCs w:val="21"/>
                <w:highlight w:val="none"/>
              </w:rPr>
            </w:pPr>
          </w:p>
        </w:tc>
        <w:tc>
          <w:tcPr>
            <w:tcW w:w="2049"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传真</w:t>
            </w:r>
          </w:p>
        </w:tc>
        <w:tc>
          <w:tcPr>
            <w:tcW w:w="1880" w:type="dxa"/>
            <w:tcBorders>
              <w:tl2br w:val="nil"/>
              <w:tr2bl w:val="nil"/>
            </w:tcBorders>
            <w:vAlign w:val="center"/>
          </w:tcPr>
          <w:p>
            <w:pPr>
              <w:autoSpaceDE w:val="0"/>
              <w:autoSpaceDN w:val="0"/>
              <w:adjustRightInd w:val="0"/>
              <w:spacing w:line="400" w:lineRule="exact"/>
              <w:jc w:val="center"/>
              <w:rPr>
                <w:color w:val="auto"/>
                <w:szCs w:val="21"/>
                <w:highlight w:val="none"/>
              </w:rPr>
            </w:pPr>
          </w:p>
        </w:tc>
        <w:tc>
          <w:tcPr>
            <w:tcW w:w="1880"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网址</w:t>
            </w:r>
          </w:p>
        </w:tc>
        <w:tc>
          <w:tcPr>
            <w:tcW w:w="1881" w:type="dxa"/>
            <w:tcBorders>
              <w:tl2br w:val="nil"/>
              <w:tr2bl w:val="nil"/>
            </w:tcBorders>
            <w:vAlign w:val="center"/>
          </w:tcPr>
          <w:p>
            <w:pPr>
              <w:spacing w:line="440" w:lineRule="exact"/>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tcBorders>
              <w:tl2br w:val="nil"/>
              <w:tr2bl w:val="nil"/>
            </w:tcBorders>
            <w:vAlign w:val="center"/>
          </w:tcPr>
          <w:p>
            <w:pPr>
              <w:spacing w:line="440" w:lineRule="exact"/>
              <w:jc w:val="center"/>
              <w:rPr>
                <w:color w:val="auto"/>
                <w:szCs w:val="21"/>
                <w:highlight w:val="none"/>
              </w:rPr>
            </w:pPr>
            <w:r>
              <w:rPr>
                <w:rFonts w:hint="eastAsia" w:ascii="新宋体" w:hAnsi="新宋体"/>
                <w:color w:val="auto"/>
                <w:szCs w:val="21"/>
                <w:highlight w:val="none"/>
              </w:rPr>
              <w:t>单位性质</w:t>
            </w:r>
          </w:p>
        </w:tc>
        <w:tc>
          <w:tcPr>
            <w:tcW w:w="7690" w:type="dxa"/>
            <w:gridSpan w:val="4"/>
            <w:tcBorders>
              <w:tl2br w:val="nil"/>
              <w:tr2bl w:val="nil"/>
            </w:tcBorders>
            <w:vAlign w:val="center"/>
          </w:tcPr>
          <w:p>
            <w:pPr>
              <w:spacing w:line="440" w:lineRule="exact"/>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法定代表人</w:t>
            </w:r>
          </w:p>
        </w:tc>
        <w:tc>
          <w:tcPr>
            <w:tcW w:w="2049"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姓名</w:t>
            </w:r>
          </w:p>
        </w:tc>
        <w:tc>
          <w:tcPr>
            <w:tcW w:w="1880" w:type="dxa"/>
            <w:tcBorders>
              <w:tl2br w:val="nil"/>
              <w:tr2bl w:val="nil"/>
            </w:tcBorders>
            <w:vAlign w:val="center"/>
          </w:tcPr>
          <w:p>
            <w:pPr>
              <w:spacing w:line="440" w:lineRule="exact"/>
              <w:jc w:val="center"/>
              <w:rPr>
                <w:color w:val="auto"/>
                <w:szCs w:val="21"/>
                <w:highlight w:val="none"/>
              </w:rPr>
            </w:pPr>
          </w:p>
        </w:tc>
        <w:tc>
          <w:tcPr>
            <w:tcW w:w="1880"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电话</w:t>
            </w:r>
          </w:p>
        </w:tc>
        <w:tc>
          <w:tcPr>
            <w:tcW w:w="1881" w:type="dxa"/>
            <w:tcBorders>
              <w:tl2br w:val="nil"/>
              <w:tr2bl w:val="nil"/>
            </w:tcBorders>
            <w:vAlign w:val="center"/>
          </w:tcPr>
          <w:p>
            <w:pPr>
              <w:spacing w:line="440" w:lineRule="exact"/>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11"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技术负责人</w:t>
            </w:r>
          </w:p>
        </w:tc>
        <w:tc>
          <w:tcPr>
            <w:tcW w:w="2049"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姓名</w:t>
            </w:r>
          </w:p>
        </w:tc>
        <w:tc>
          <w:tcPr>
            <w:tcW w:w="1880" w:type="dxa"/>
            <w:tcBorders>
              <w:tl2br w:val="nil"/>
              <w:tr2bl w:val="nil"/>
            </w:tcBorders>
            <w:vAlign w:val="center"/>
          </w:tcPr>
          <w:p>
            <w:pPr>
              <w:spacing w:line="440" w:lineRule="exact"/>
              <w:jc w:val="center"/>
              <w:rPr>
                <w:color w:val="auto"/>
                <w:szCs w:val="21"/>
                <w:highlight w:val="none"/>
              </w:rPr>
            </w:pPr>
          </w:p>
        </w:tc>
        <w:tc>
          <w:tcPr>
            <w:tcW w:w="1880"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电话</w:t>
            </w:r>
          </w:p>
        </w:tc>
        <w:tc>
          <w:tcPr>
            <w:tcW w:w="1881" w:type="dxa"/>
            <w:tcBorders>
              <w:tl2br w:val="nil"/>
              <w:tr2bl w:val="nil"/>
            </w:tcBorders>
            <w:vAlign w:val="center"/>
          </w:tcPr>
          <w:p>
            <w:pPr>
              <w:spacing w:line="440" w:lineRule="exact"/>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11"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企业资质等级</w:t>
            </w:r>
          </w:p>
        </w:tc>
        <w:tc>
          <w:tcPr>
            <w:tcW w:w="3929" w:type="dxa"/>
            <w:gridSpan w:val="2"/>
            <w:tcBorders>
              <w:tl2br w:val="nil"/>
              <w:tr2bl w:val="nil"/>
            </w:tcBorders>
            <w:vAlign w:val="center"/>
          </w:tcPr>
          <w:p>
            <w:pPr>
              <w:autoSpaceDE w:val="0"/>
              <w:autoSpaceDN w:val="0"/>
              <w:adjustRightInd w:val="0"/>
              <w:spacing w:line="400" w:lineRule="exact"/>
              <w:jc w:val="center"/>
              <w:rPr>
                <w:color w:val="auto"/>
                <w:szCs w:val="21"/>
                <w:highlight w:val="none"/>
              </w:rPr>
            </w:pPr>
          </w:p>
        </w:tc>
        <w:tc>
          <w:tcPr>
            <w:tcW w:w="1880"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成立时间</w:t>
            </w:r>
          </w:p>
        </w:tc>
        <w:tc>
          <w:tcPr>
            <w:tcW w:w="1881" w:type="dxa"/>
            <w:tcBorders>
              <w:tl2br w:val="nil"/>
              <w:tr2bl w:val="nil"/>
            </w:tcBorders>
            <w:vAlign w:val="center"/>
          </w:tcPr>
          <w:p>
            <w:pPr>
              <w:spacing w:line="440" w:lineRule="exact"/>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注册资金</w:t>
            </w:r>
          </w:p>
        </w:tc>
        <w:tc>
          <w:tcPr>
            <w:tcW w:w="2049" w:type="dxa"/>
            <w:tcBorders>
              <w:tl2br w:val="nil"/>
              <w:tr2bl w:val="nil"/>
            </w:tcBorders>
            <w:vAlign w:val="center"/>
          </w:tcPr>
          <w:p>
            <w:pPr>
              <w:autoSpaceDE w:val="0"/>
              <w:autoSpaceDN w:val="0"/>
              <w:adjustRightInd w:val="0"/>
              <w:spacing w:line="400" w:lineRule="exact"/>
              <w:jc w:val="right"/>
              <w:rPr>
                <w:color w:val="auto"/>
                <w:szCs w:val="21"/>
                <w:highlight w:val="none"/>
              </w:rPr>
            </w:pPr>
            <w:r>
              <w:rPr>
                <w:rFonts w:hint="eastAsia" w:ascii="新宋体" w:hAnsi="新宋体"/>
                <w:color w:val="auto"/>
                <w:szCs w:val="21"/>
                <w:highlight w:val="none"/>
              </w:rPr>
              <w:t xml:space="preserve">  </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万元</w:t>
            </w:r>
          </w:p>
        </w:tc>
        <w:tc>
          <w:tcPr>
            <w:tcW w:w="1880" w:type="dxa"/>
            <w:vMerge w:val="restart"/>
            <w:tcBorders>
              <w:tl2br w:val="nil"/>
              <w:tr2bl w:val="nil"/>
            </w:tcBorders>
            <w:vAlign w:val="center"/>
          </w:tcPr>
          <w:p>
            <w:pPr>
              <w:spacing w:line="440" w:lineRule="exact"/>
              <w:jc w:val="center"/>
              <w:rPr>
                <w:color w:val="auto"/>
                <w:szCs w:val="21"/>
                <w:highlight w:val="none"/>
              </w:rPr>
            </w:pPr>
            <w:r>
              <w:rPr>
                <w:rFonts w:hint="eastAsia" w:ascii="新宋体" w:hAnsi="新宋体"/>
                <w:color w:val="auto"/>
                <w:szCs w:val="21"/>
                <w:highlight w:val="none"/>
              </w:rPr>
              <w:t>固定资产</w:t>
            </w:r>
          </w:p>
        </w:tc>
        <w:tc>
          <w:tcPr>
            <w:tcW w:w="1880"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原值</w:t>
            </w:r>
          </w:p>
        </w:tc>
        <w:tc>
          <w:tcPr>
            <w:tcW w:w="1881" w:type="dxa"/>
            <w:tcBorders>
              <w:tl2br w:val="nil"/>
              <w:tr2bl w:val="nil"/>
            </w:tcBorders>
            <w:vAlign w:val="center"/>
          </w:tcPr>
          <w:p>
            <w:pPr>
              <w:autoSpaceDE w:val="0"/>
              <w:autoSpaceDN w:val="0"/>
              <w:adjustRightInd w:val="0"/>
              <w:spacing w:line="400" w:lineRule="exact"/>
              <w:jc w:val="right"/>
              <w:rPr>
                <w:color w:val="auto"/>
                <w:szCs w:val="21"/>
                <w:highlight w:val="none"/>
              </w:rPr>
            </w:pPr>
            <w:r>
              <w:rPr>
                <w:rFonts w:hint="eastAsia" w:ascii="新宋体" w:hAnsi="新宋体"/>
                <w:color w:val="auto"/>
                <w:szCs w:val="21"/>
                <w:highlight w:val="none"/>
                <w:u w:val="single"/>
              </w:rPr>
              <w:t xml:space="preserve">           </w:t>
            </w:r>
            <w:r>
              <w:rPr>
                <w:rFonts w:hint="eastAsia" w:ascii="新宋体" w:hAnsi="新宋体"/>
                <w:color w:val="auto"/>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流动资金</w:t>
            </w:r>
          </w:p>
        </w:tc>
        <w:tc>
          <w:tcPr>
            <w:tcW w:w="2049" w:type="dxa"/>
            <w:tcBorders>
              <w:tl2br w:val="nil"/>
              <w:tr2bl w:val="nil"/>
            </w:tcBorders>
            <w:vAlign w:val="center"/>
          </w:tcPr>
          <w:p>
            <w:pPr>
              <w:autoSpaceDE w:val="0"/>
              <w:autoSpaceDN w:val="0"/>
              <w:adjustRightInd w:val="0"/>
              <w:spacing w:line="400" w:lineRule="exact"/>
              <w:jc w:val="right"/>
              <w:rPr>
                <w:color w:val="auto"/>
                <w:szCs w:val="21"/>
                <w:highlight w:val="none"/>
              </w:rPr>
            </w:pPr>
            <w:r>
              <w:rPr>
                <w:rFonts w:hint="eastAsia" w:ascii="新宋体" w:hAnsi="新宋体"/>
                <w:color w:val="auto"/>
                <w:szCs w:val="21"/>
                <w:highlight w:val="none"/>
              </w:rPr>
              <w:t xml:space="preserve">  </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万元</w:t>
            </w:r>
          </w:p>
        </w:tc>
        <w:tc>
          <w:tcPr>
            <w:tcW w:w="1880" w:type="dxa"/>
            <w:vMerge w:val="continue"/>
            <w:tcBorders>
              <w:tl2br w:val="nil"/>
              <w:tr2bl w:val="nil"/>
            </w:tcBorders>
            <w:vAlign w:val="center"/>
          </w:tcPr>
          <w:p>
            <w:pPr>
              <w:spacing w:line="440" w:lineRule="exact"/>
              <w:jc w:val="center"/>
              <w:rPr>
                <w:color w:val="auto"/>
                <w:szCs w:val="21"/>
                <w:highlight w:val="none"/>
              </w:rPr>
            </w:pPr>
          </w:p>
        </w:tc>
        <w:tc>
          <w:tcPr>
            <w:tcW w:w="1880" w:type="dxa"/>
            <w:tcBorders>
              <w:tl2br w:val="nil"/>
              <w:tr2bl w:val="nil"/>
            </w:tcBorders>
            <w:vAlign w:val="center"/>
          </w:tcPr>
          <w:p>
            <w:pPr>
              <w:autoSpaceDE w:val="0"/>
              <w:autoSpaceDN w:val="0"/>
              <w:adjustRightInd w:val="0"/>
              <w:spacing w:line="400" w:lineRule="exact"/>
              <w:jc w:val="center"/>
              <w:rPr>
                <w:color w:val="auto"/>
                <w:szCs w:val="21"/>
                <w:highlight w:val="none"/>
              </w:rPr>
            </w:pPr>
            <w:r>
              <w:rPr>
                <w:rFonts w:hint="eastAsia" w:ascii="新宋体" w:hAnsi="新宋体"/>
                <w:color w:val="auto"/>
                <w:szCs w:val="21"/>
                <w:highlight w:val="none"/>
              </w:rPr>
              <w:t>净值</w:t>
            </w:r>
          </w:p>
        </w:tc>
        <w:tc>
          <w:tcPr>
            <w:tcW w:w="1881" w:type="dxa"/>
            <w:tcBorders>
              <w:tl2br w:val="nil"/>
              <w:tr2bl w:val="nil"/>
            </w:tcBorders>
            <w:vAlign w:val="center"/>
          </w:tcPr>
          <w:p>
            <w:pPr>
              <w:autoSpaceDE w:val="0"/>
              <w:autoSpaceDN w:val="0"/>
              <w:adjustRightInd w:val="0"/>
              <w:spacing w:line="400" w:lineRule="exact"/>
              <w:jc w:val="right"/>
              <w:rPr>
                <w:color w:val="auto"/>
                <w:szCs w:val="21"/>
                <w:highlight w:val="none"/>
              </w:rPr>
            </w:pPr>
            <w:r>
              <w:rPr>
                <w:rFonts w:hint="eastAsia" w:ascii="新宋体" w:hAnsi="新宋体"/>
                <w:color w:val="auto"/>
                <w:szCs w:val="21"/>
                <w:highlight w:val="none"/>
                <w:u w:val="single"/>
              </w:rPr>
              <w:t xml:space="preserve">           </w:t>
            </w:r>
            <w:r>
              <w:rPr>
                <w:rFonts w:hint="eastAsia" w:ascii="新宋体" w:hAnsi="新宋体"/>
                <w:color w:val="auto"/>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1" w:type="dxa"/>
            <w:tcBorders>
              <w:tl2br w:val="nil"/>
              <w:tr2bl w:val="nil"/>
            </w:tcBorders>
            <w:vAlign w:val="center"/>
          </w:tcPr>
          <w:p>
            <w:pPr>
              <w:autoSpaceDE w:val="0"/>
              <w:autoSpaceDN w:val="0"/>
              <w:adjustRightInd w:val="0"/>
              <w:spacing w:line="400" w:lineRule="exact"/>
              <w:jc w:val="center"/>
              <w:rPr>
                <w:rFonts w:ascii="新宋体" w:hAnsi="新宋体"/>
                <w:color w:val="auto"/>
                <w:szCs w:val="21"/>
                <w:highlight w:val="none"/>
              </w:rPr>
            </w:pPr>
            <w:r>
              <w:rPr>
                <w:rFonts w:hint="eastAsia" w:ascii="新宋体" w:hAnsi="新宋体"/>
                <w:color w:val="auto"/>
                <w:szCs w:val="21"/>
                <w:highlight w:val="none"/>
              </w:rPr>
              <w:t>开户银行</w:t>
            </w:r>
          </w:p>
        </w:tc>
        <w:tc>
          <w:tcPr>
            <w:tcW w:w="2049" w:type="dxa"/>
            <w:tcBorders>
              <w:tl2br w:val="nil"/>
              <w:tr2bl w:val="nil"/>
            </w:tcBorders>
            <w:vAlign w:val="center"/>
          </w:tcPr>
          <w:p>
            <w:pPr>
              <w:autoSpaceDE w:val="0"/>
              <w:autoSpaceDN w:val="0"/>
              <w:adjustRightInd w:val="0"/>
              <w:spacing w:line="400" w:lineRule="exact"/>
              <w:jc w:val="center"/>
              <w:rPr>
                <w:rFonts w:ascii="新宋体" w:hAnsi="新宋体"/>
                <w:color w:val="auto"/>
                <w:szCs w:val="21"/>
                <w:highlight w:val="none"/>
              </w:rPr>
            </w:pPr>
          </w:p>
        </w:tc>
        <w:tc>
          <w:tcPr>
            <w:tcW w:w="1880" w:type="dxa"/>
            <w:vMerge w:val="restart"/>
            <w:tcBorders>
              <w:tl2br w:val="nil"/>
              <w:tr2bl w:val="nil"/>
            </w:tcBorders>
            <w:vAlign w:val="center"/>
          </w:tcPr>
          <w:p>
            <w:pPr>
              <w:spacing w:line="440" w:lineRule="exact"/>
              <w:jc w:val="center"/>
              <w:rPr>
                <w:color w:val="auto"/>
                <w:szCs w:val="21"/>
                <w:highlight w:val="none"/>
              </w:rPr>
            </w:pPr>
            <w:r>
              <w:rPr>
                <w:rFonts w:hint="eastAsia" w:ascii="新宋体" w:hAnsi="新宋体"/>
                <w:color w:val="auto"/>
                <w:szCs w:val="21"/>
                <w:highlight w:val="none"/>
              </w:rPr>
              <w:t>职工人数</w:t>
            </w:r>
          </w:p>
        </w:tc>
        <w:tc>
          <w:tcPr>
            <w:tcW w:w="1880" w:type="dxa"/>
            <w:tcBorders>
              <w:tl2br w:val="nil"/>
              <w:tr2bl w:val="nil"/>
            </w:tcBorders>
            <w:vAlign w:val="center"/>
          </w:tcPr>
          <w:p>
            <w:pPr>
              <w:autoSpaceDE w:val="0"/>
              <w:autoSpaceDN w:val="0"/>
              <w:adjustRightInd w:val="0"/>
              <w:spacing w:line="400" w:lineRule="exact"/>
              <w:jc w:val="center"/>
              <w:rPr>
                <w:rFonts w:ascii="新宋体" w:hAnsi="新宋体"/>
                <w:color w:val="auto"/>
                <w:szCs w:val="21"/>
                <w:highlight w:val="none"/>
              </w:rPr>
            </w:pPr>
            <w:r>
              <w:rPr>
                <w:rFonts w:hint="eastAsia" w:ascii="新宋体" w:hAnsi="新宋体"/>
                <w:color w:val="auto"/>
                <w:szCs w:val="21"/>
                <w:highlight w:val="none"/>
              </w:rPr>
              <w:t>生产工人</w:t>
            </w:r>
          </w:p>
        </w:tc>
        <w:tc>
          <w:tcPr>
            <w:tcW w:w="1881" w:type="dxa"/>
            <w:tcBorders>
              <w:tl2br w:val="nil"/>
              <w:tr2bl w:val="nil"/>
            </w:tcBorders>
            <w:vAlign w:val="center"/>
          </w:tcPr>
          <w:p>
            <w:pPr>
              <w:autoSpaceDE w:val="0"/>
              <w:autoSpaceDN w:val="0"/>
              <w:adjustRightInd w:val="0"/>
              <w:spacing w:line="400" w:lineRule="exact"/>
              <w:jc w:val="right"/>
              <w:rPr>
                <w:rFonts w:ascii="新宋体" w:hAnsi="新宋体"/>
                <w:color w:val="auto"/>
                <w:szCs w:val="21"/>
                <w:highlight w:val="none"/>
              </w:rPr>
            </w:pPr>
            <w:r>
              <w:rPr>
                <w:rFonts w:hint="eastAsia" w:ascii="新宋体" w:hAnsi="新宋体"/>
                <w:bCs/>
                <w:color w:val="auto"/>
                <w:szCs w:val="21"/>
                <w:highlight w:val="none"/>
              </w:rPr>
              <w:t xml:space="preserve">    </w:t>
            </w:r>
            <w:r>
              <w:rPr>
                <w:rFonts w:hint="eastAsia" w:ascii="新宋体" w:hAnsi="新宋体"/>
                <w:color w:val="auto"/>
                <w:szCs w:val="21"/>
                <w:highlight w:val="none"/>
                <w:u w:val="single"/>
              </w:rPr>
              <w:t xml:space="preserve">         </w:t>
            </w:r>
            <w:r>
              <w:rPr>
                <w:rFonts w:hint="eastAsia" w:ascii="新宋体" w:hAnsi="新宋体"/>
                <w:bCs/>
                <w:color w:val="auto"/>
                <w:szCs w:val="21"/>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1" w:type="dxa"/>
            <w:tcBorders>
              <w:tl2br w:val="nil"/>
              <w:tr2bl w:val="nil"/>
            </w:tcBorders>
            <w:vAlign w:val="center"/>
          </w:tcPr>
          <w:p>
            <w:pPr>
              <w:autoSpaceDE w:val="0"/>
              <w:autoSpaceDN w:val="0"/>
              <w:adjustRightInd w:val="0"/>
              <w:spacing w:line="400" w:lineRule="exact"/>
              <w:jc w:val="center"/>
              <w:rPr>
                <w:rFonts w:ascii="新宋体" w:hAnsi="新宋体"/>
                <w:color w:val="auto"/>
                <w:szCs w:val="21"/>
                <w:highlight w:val="none"/>
              </w:rPr>
            </w:pPr>
            <w:r>
              <w:rPr>
                <w:rFonts w:hint="eastAsia" w:ascii="新宋体" w:hAnsi="新宋体"/>
                <w:color w:val="auto"/>
                <w:szCs w:val="21"/>
                <w:highlight w:val="none"/>
              </w:rPr>
              <w:t>账号</w:t>
            </w:r>
          </w:p>
        </w:tc>
        <w:tc>
          <w:tcPr>
            <w:tcW w:w="2049" w:type="dxa"/>
            <w:tcBorders>
              <w:tl2br w:val="nil"/>
              <w:tr2bl w:val="nil"/>
            </w:tcBorders>
            <w:vAlign w:val="center"/>
          </w:tcPr>
          <w:p>
            <w:pPr>
              <w:autoSpaceDE w:val="0"/>
              <w:autoSpaceDN w:val="0"/>
              <w:adjustRightInd w:val="0"/>
              <w:spacing w:line="400" w:lineRule="exact"/>
              <w:jc w:val="center"/>
              <w:rPr>
                <w:rFonts w:ascii="新宋体" w:hAnsi="新宋体"/>
                <w:color w:val="auto"/>
                <w:szCs w:val="21"/>
                <w:highlight w:val="none"/>
              </w:rPr>
            </w:pPr>
            <w:r>
              <w:rPr>
                <w:rFonts w:hint="eastAsia" w:ascii="新宋体" w:hAnsi="新宋体"/>
                <w:color w:val="auto"/>
                <w:szCs w:val="21"/>
                <w:highlight w:val="none"/>
              </w:rPr>
              <w:t>基本银行账号</w:t>
            </w:r>
          </w:p>
        </w:tc>
        <w:tc>
          <w:tcPr>
            <w:tcW w:w="1880" w:type="dxa"/>
            <w:vMerge w:val="continue"/>
            <w:tcBorders>
              <w:tl2br w:val="nil"/>
              <w:tr2bl w:val="nil"/>
            </w:tcBorders>
            <w:vAlign w:val="center"/>
          </w:tcPr>
          <w:p>
            <w:pPr>
              <w:spacing w:line="440" w:lineRule="exact"/>
              <w:jc w:val="center"/>
              <w:rPr>
                <w:color w:val="auto"/>
                <w:szCs w:val="21"/>
                <w:highlight w:val="none"/>
              </w:rPr>
            </w:pPr>
          </w:p>
        </w:tc>
        <w:tc>
          <w:tcPr>
            <w:tcW w:w="1880" w:type="dxa"/>
            <w:tcBorders>
              <w:tl2br w:val="nil"/>
              <w:tr2bl w:val="nil"/>
            </w:tcBorders>
            <w:vAlign w:val="center"/>
          </w:tcPr>
          <w:p>
            <w:pPr>
              <w:autoSpaceDE w:val="0"/>
              <w:autoSpaceDN w:val="0"/>
              <w:adjustRightInd w:val="0"/>
              <w:spacing w:line="400" w:lineRule="exact"/>
              <w:jc w:val="center"/>
              <w:rPr>
                <w:rFonts w:ascii="新宋体" w:hAnsi="新宋体"/>
                <w:color w:val="auto"/>
                <w:szCs w:val="21"/>
                <w:highlight w:val="none"/>
              </w:rPr>
            </w:pPr>
            <w:r>
              <w:rPr>
                <w:rFonts w:hint="eastAsia" w:ascii="新宋体" w:hAnsi="新宋体"/>
                <w:color w:val="auto"/>
                <w:szCs w:val="21"/>
                <w:highlight w:val="none"/>
              </w:rPr>
              <w:t>技术人员</w:t>
            </w:r>
          </w:p>
        </w:tc>
        <w:tc>
          <w:tcPr>
            <w:tcW w:w="1881" w:type="dxa"/>
            <w:tcBorders>
              <w:tl2br w:val="nil"/>
              <w:tr2bl w:val="nil"/>
            </w:tcBorders>
            <w:vAlign w:val="center"/>
          </w:tcPr>
          <w:p>
            <w:pPr>
              <w:autoSpaceDE w:val="0"/>
              <w:autoSpaceDN w:val="0"/>
              <w:adjustRightInd w:val="0"/>
              <w:spacing w:line="400" w:lineRule="exact"/>
              <w:jc w:val="right"/>
              <w:rPr>
                <w:rFonts w:ascii="新宋体" w:hAnsi="新宋体"/>
                <w:color w:val="auto"/>
                <w:szCs w:val="21"/>
                <w:highlight w:val="none"/>
              </w:rPr>
            </w:pPr>
            <w:r>
              <w:rPr>
                <w:rFonts w:hint="eastAsia" w:ascii="新宋体" w:hAnsi="新宋体"/>
                <w:bCs/>
                <w:color w:val="auto"/>
                <w:szCs w:val="21"/>
                <w:highlight w:val="none"/>
              </w:rPr>
              <w:t xml:space="preserve">    </w:t>
            </w:r>
            <w:r>
              <w:rPr>
                <w:rFonts w:hint="eastAsia" w:ascii="新宋体" w:hAnsi="新宋体"/>
                <w:color w:val="auto"/>
                <w:szCs w:val="21"/>
                <w:highlight w:val="none"/>
                <w:u w:val="single"/>
              </w:rPr>
              <w:t xml:space="preserve">         </w:t>
            </w:r>
            <w:r>
              <w:rPr>
                <w:rFonts w:hint="eastAsia" w:ascii="新宋体" w:hAnsi="新宋体"/>
                <w:bCs/>
                <w:color w:val="auto"/>
                <w:szCs w:val="21"/>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711" w:type="dxa"/>
            <w:tcBorders>
              <w:tl2br w:val="nil"/>
              <w:tr2bl w:val="nil"/>
            </w:tcBorders>
            <w:vAlign w:val="center"/>
          </w:tcPr>
          <w:p>
            <w:pPr>
              <w:autoSpaceDE w:val="0"/>
              <w:autoSpaceDN w:val="0"/>
              <w:adjustRightInd w:val="0"/>
              <w:spacing w:line="400" w:lineRule="exact"/>
              <w:jc w:val="center"/>
              <w:rPr>
                <w:rFonts w:ascii="新宋体" w:hAnsi="新宋体"/>
                <w:color w:val="auto"/>
                <w:szCs w:val="21"/>
                <w:highlight w:val="none"/>
              </w:rPr>
            </w:pPr>
            <w:r>
              <w:rPr>
                <w:rFonts w:hint="eastAsia" w:ascii="新宋体" w:hAnsi="新宋体"/>
                <w:color w:val="auto"/>
                <w:szCs w:val="21"/>
                <w:highlight w:val="none"/>
              </w:rPr>
              <w:t>经营范围</w:t>
            </w:r>
          </w:p>
        </w:tc>
        <w:tc>
          <w:tcPr>
            <w:tcW w:w="7690" w:type="dxa"/>
            <w:gridSpan w:val="4"/>
            <w:tcBorders>
              <w:tl2br w:val="nil"/>
              <w:tr2bl w:val="nil"/>
            </w:tcBorders>
            <w:vAlign w:val="center"/>
          </w:tcPr>
          <w:p>
            <w:pPr>
              <w:autoSpaceDE w:val="0"/>
              <w:autoSpaceDN w:val="0"/>
              <w:adjustRightInd w:val="0"/>
              <w:spacing w:line="400" w:lineRule="exact"/>
              <w:jc w:val="center"/>
              <w:rPr>
                <w:rFonts w:ascii="新宋体" w:hAnsi="新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711" w:type="dxa"/>
            <w:tcBorders>
              <w:tl2br w:val="nil"/>
              <w:tr2bl w:val="nil"/>
            </w:tcBorders>
            <w:vAlign w:val="center"/>
          </w:tcPr>
          <w:p>
            <w:pPr>
              <w:autoSpaceDE w:val="0"/>
              <w:autoSpaceDN w:val="0"/>
              <w:adjustRightInd w:val="0"/>
              <w:spacing w:line="400" w:lineRule="exact"/>
              <w:jc w:val="center"/>
              <w:rPr>
                <w:rFonts w:ascii="新宋体" w:hAnsi="新宋体"/>
                <w:color w:val="auto"/>
                <w:szCs w:val="21"/>
                <w:highlight w:val="none"/>
              </w:rPr>
            </w:pPr>
            <w:r>
              <w:rPr>
                <w:rFonts w:hint="eastAsia" w:ascii="新宋体" w:hAnsi="新宋体"/>
                <w:color w:val="auto"/>
                <w:szCs w:val="21"/>
                <w:highlight w:val="none"/>
              </w:rPr>
              <w:t>备注</w:t>
            </w:r>
          </w:p>
        </w:tc>
        <w:tc>
          <w:tcPr>
            <w:tcW w:w="7690" w:type="dxa"/>
            <w:gridSpan w:val="4"/>
            <w:tcBorders>
              <w:tl2br w:val="nil"/>
              <w:tr2bl w:val="nil"/>
            </w:tcBorders>
            <w:vAlign w:val="center"/>
          </w:tcPr>
          <w:p>
            <w:pPr>
              <w:autoSpaceDE w:val="0"/>
              <w:autoSpaceDN w:val="0"/>
              <w:adjustRightInd w:val="0"/>
              <w:spacing w:line="400" w:lineRule="exact"/>
              <w:jc w:val="center"/>
              <w:rPr>
                <w:rFonts w:ascii="新宋体" w:hAnsi="新宋体"/>
                <w:color w:val="auto"/>
                <w:szCs w:val="21"/>
                <w:highlight w:val="none"/>
              </w:rPr>
            </w:pPr>
          </w:p>
        </w:tc>
      </w:tr>
    </w:tbl>
    <w:p>
      <w:pPr>
        <w:spacing w:line="440" w:lineRule="exact"/>
        <w:rPr>
          <w:color w:val="auto"/>
          <w:szCs w:val="21"/>
          <w:highlight w:val="none"/>
        </w:rPr>
      </w:pPr>
      <w:r>
        <w:rPr>
          <w:rFonts w:hint="eastAsia"/>
          <w:color w:val="auto"/>
          <w:szCs w:val="21"/>
          <w:highlight w:val="none"/>
        </w:rPr>
        <w:t>注：表中内容没有的划“/”</w:t>
      </w:r>
    </w:p>
    <w:p>
      <w:pPr>
        <w:pStyle w:val="66"/>
        <w:spacing w:line="500" w:lineRule="exact"/>
        <w:jc w:val="left"/>
        <w:rPr>
          <w:rFonts w:ascii="新宋体" w:hAnsi="新宋体"/>
          <w:b w:val="0"/>
          <w:color w:val="auto"/>
          <w:sz w:val="21"/>
          <w:szCs w:val="21"/>
          <w:highlight w:val="none"/>
        </w:rPr>
      </w:pPr>
      <w:r>
        <w:rPr>
          <w:rFonts w:hint="eastAsia" w:ascii="新宋体" w:hAnsi="新宋体"/>
          <w:b w:val="0"/>
          <w:color w:val="auto"/>
          <w:sz w:val="21"/>
          <w:szCs w:val="21"/>
          <w:highlight w:val="none"/>
        </w:rPr>
        <w:t xml:space="preserve">                                             供应商：</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pPr>
        <w:pStyle w:val="66"/>
        <w:spacing w:line="500" w:lineRule="exact"/>
        <w:jc w:val="left"/>
        <w:rPr>
          <w:rFonts w:ascii="新宋体" w:hAnsi="新宋体"/>
          <w:b w:val="0"/>
          <w:color w:val="auto"/>
          <w:sz w:val="21"/>
          <w:szCs w:val="21"/>
          <w:highlight w:val="none"/>
        </w:rPr>
      </w:pPr>
      <w:r>
        <w:rPr>
          <w:rFonts w:hint="eastAsia" w:ascii="新宋体" w:hAnsi="新宋体"/>
          <w:b w:val="0"/>
          <w:color w:val="auto"/>
          <w:sz w:val="21"/>
          <w:szCs w:val="21"/>
          <w:highlight w:val="none"/>
        </w:rPr>
        <w:t xml:space="preserve">                                             法定代表人或授权代表：</w:t>
      </w:r>
      <w:r>
        <w:rPr>
          <w:rFonts w:hint="eastAsia" w:ascii="新宋体" w:hAnsi="新宋体"/>
          <w:b w:val="0"/>
          <w:color w:val="auto"/>
          <w:sz w:val="21"/>
          <w:szCs w:val="21"/>
          <w:highlight w:val="none"/>
          <w:u w:val="single"/>
        </w:rPr>
        <w:t xml:space="preserve">     （盖章或签字）    </w:t>
      </w:r>
    </w:p>
    <w:p>
      <w:pPr>
        <w:spacing w:line="440" w:lineRule="exact"/>
        <w:rPr>
          <w:color w:val="auto"/>
          <w:szCs w:val="21"/>
          <w:highlight w:val="none"/>
        </w:rPr>
      </w:pPr>
      <w:r>
        <w:rPr>
          <w:rFonts w:hint="eastAsia" w:ascii="新宋体" w:hAnsi="新宋体"/>
          <w:color w:val="auto"/>
          <w:szCs w:val="21"/>
          <w:highlight w:val="none"/>
        </w:rPr>
        <w:t xml:space="preserve">                                             谈判日期：</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年</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月</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日</w:t>
      </w:r>
    </w:p>
    <w:p>
      <w:pPr>
        <w:spacing w:line="440" w:lineRule="exact"/>
        <w:rPr>
          <w:rFonts w:ascii="新宋体" w:hAnsi="新宋体" w:cs="新宋体"/>
          <w:b/>
          <w:color w:val="auto"/>
          <w:szCs w:val="28"/>
          <w:highlight w:val="none"/>
        </w:rPr>
      </w:pPr>
    </w:p>
    <w:p>
      <w:pPr>
        <w:pStyle w:val="2"/>
        <w:rPr>
          <w:color w:val="auto"/>
          <w:highlight w:val="none"/>
        </w:rPr>
      </w:pPr>
    </w:p>
    <w:p>
      <w:pPr>
        <w:rPr>
          <w:color w:val="auto"/>
          <w:highlight w:val="none"/>
          <w:lang w:val="es-ES"/>
        </w:rPr>
      </w:pPr>
      <w:r>
        <w:rPr>
          <w:color w:val="auto"/>
          <w:highlight w:val="none"/>
          <w:lang w:val="es-ES"/>
        </w:rPr>
        <w:br w:type="page"/>
      </w:r>
    </w:p>
    <w:p>
      <w:pPr>
        <w:spacing w:line="440" w:lineRule="exact"/>
        <w:rPr>
          <w:rFonts w:ascii="新宋体" w:hAnsi="新宋体" w:cs="新宋体"/>
          <w:b/>
          <w:color w:val="auto"/>
          <w:szCs w:val="28"/>
          <w:highlight w:val="none"/>
        </w:rPr>
      </w:pPr>
      <w:r>
        <w:rPr>
          <w:rFonts w:hint="eastAsia" w:ascii="新宋体" w:hAnsi="新宋体" w:cs="新宋体"/>
          <w:b/>
          <w:color w:val="auto"/>
          <w:szCs w:val="28"/>
          <w:highlight w:val="none"/>
        </w:rPr>
        <w:t>2、供应商资格文件</w:t>
      </w:r>
    </w:p>
    <w:p>
      <w:pPr>
        <w:pStyle w:val="2"/>
        <w:rPr>
          <w:color w:val="auto"/>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2.1资质（以下文件可将复印件直接装订，复印件加盖供应商公章 ）</w:t>
      </w:r>
    </w:p>
    <w:p>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1、供应商须符合《中华人民共和国政府采购法》第二十二条有关规定：</w:t>
      </w:r>
    </w:p>
    <w:p>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法人提供经审计的2021或2022年度的财务报告（包括审计报告、资产负债表、利润表、现金流量表及附注）或2023年1月1日内以来基本账户开户银行出具的资信证明（附开户许可证或开户备案证明或基本账户信息），或信用担保机构出具的投标担保函（以上三种形式的资料提供任何一种即可）；其他组织和自然人提供银行出具的资信证明或财务报表；</w:t>
      </w:r>
    </w:p>
    <w:p>
      <w:pPr>
        <w:spacing w:line="360" w:lineRule="auto"/>
        <w:jc w:val="left"/>
        <w:rPr>
          <w:color w:val="auto"/>
          <w:szCs w:val="21"/>
          <w:highlight w:val="none"/>
        </w:rPr>
      </w:pPr>
      <w:r>
        <w:rPr>
          <w:rFonts w:hint="eastAsia" w:ascii="宋体" w:hAnsi="宋体" w:cs="宋体"/>
          <w:bCs/>
          <w:color w:val="auto"/>
          <w:szCs w:val="21"/>
          <w:highlight w:val="none"/>
        </w:rPr>
        <w:t>（2）</w:t>
      </w:r>
      <w:r>
        <w:rPr>
          <w:rFonts w:hint="eastAsia"/>
          <w:color w:val="auto"/>
          <w:szCs w:val="21"/>
          <w:highlight w:val="none"/>
        </w:rPr>
        <w:t>依法缴纳税收的良好记录（提供谈判截止时间前12个月内任一月份的纳税缴费凭据,依法免税的单位应提供相关证明材料）；</w:t>
      </w:r>
    </w:p>
    <w:p>
      <w:pPr>
        <w:spacing w:line="360" w:lineRule="auto"/>
        <w:jc w:val="left"/>
        <w:rPr>
          <w:color w:val="auto"/>
          <w:szCs w:val="21"/>
          <w:highlight w:val="none"/>
        </w:rPr>
      </w:pPr>
      <w:r>
        <w:rPr>
          <w:rFonts w:hint="eastAsia"/>
          <w:color w:val="auto"/>
          <w:szCs w:val="21"/>
          <w:highlight w:val="none"/>
        </w:rPr>
        <w:t>（3）依法缴纳社会保障资金的良好记录（提供谈判截止时间前12个月内任一月份的缴费凭据或社保机构开具的社会保险参保缴费情况证明，依法不需要缴纳社会保障资金的单位应提供相关证明材料）；</w:t>
      </w:r>
    </w:p>
    <w:p>
      <w:pPr>
        <w:spacing w:line="360" w:lineRule="auto"/>
        <w:jc w:val="left"/>
        <w:rPr>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参加政府采购活动前3年内在经营活动中没有重大违法记录的书面声明；</w:t>
      </w:r>
    </w:p>
    <w:p>
      <w:pPr>
        <w:spacing w:line="360" w:lineRule="auto"/>
        <w:jc w:val="left"/>
        <w:rPr>
          <w:rFonts w:ascii="宋体" w:hAnsi="宋体" w:cs="宋体"/>
          <w:color w:val="auto"/>
          <w:szCs w:val="21"/>
          <w:highlight w:val="none"/>
        </w:rPr>
      </w:pPr>
      <w:r>
        <w:rPr>
          <w:rFonts w:hint="eastAsia" w:ascii="宋体" w:hAnsi="宋体"/>
          <w:color w:val="auto"/>
          <w:szCs w:val="21"/>
          <w:highlight w:val="none"/>
        </w:rPr>
        <w:t>（5）</w:t>
      </w:r>
      <w:r>
        <w:rPr>
          <w:color w:val="auto"/>
          <w:szCs w:val="21"/>
          <w:highlight w:val="none"/>
          <w:shd w:val="clear" w:color="auto" w:fill="FFFFFF"/>
        </w:rPr>
        <w:t>提供具有履行本合同所必需的设备和专业技术能力的承诺</w:t>
      </w:r>
      <w:r>
        <w:rPr>
          <w:rFonts w:hint="eastAsia"/>
          <w:color w:val="auto"/>
          <w:szCs w:val="21"/>
          <w:highlight w:val="none"/>
          <w:shd w:val="clear" w:color="auto" w:fill="FFFFFF"/>
        </w:rPr>
        <w:t>。</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2、供应商须具备独立承担民事责任能力的法人、其他组织或自然人，提供营业执照/事业单位法人证书/非企业专业服务机构执业许可证/自然人身份证；</w:t>
      </w:r>
    </w:p>
    <w:p>
      <w:pPr>
        <w:spacing w:line="360" w:lineRule="auto"/>
        <w:jc w:val="left"/>
        <w:rPr>
          <w:rFonts w:ascii="宋体" w:hAnsi="宋体" w:cs="宋体"/>
          <w:color w:val="auto"/>
          <w:highlight w:val="none"/>
        </w:rPr>
      </w:pPr>
      <w:r>
        <w:rPr>
          <w:rFonts w:hint="eastAsia" w:ascii="宋体" w:hAnsi="宋体" w:cs="宋体"/>
          <w:color w:val="auto"/>
          <w:szCs w:val="21"/>
          <w:highlight w:val="none"/>
        </w:rPr>
        <w:t>3、法定代表人授权书及授权代表身份证明（法定代表人直接参加谈判的须提供法定代表人证明书及其身份证明），非法人单位参照执行</w:t>
      </w:r>
      <w:r>
        <w:rPr>
          <w:rFonts w:hint="eastAsia" w:ascii="宋体" w:hAnsi="宋体" w:cs="宋体"/>
          <w:color w:val="auto"/>
          <w:highlight w:val="none"/>
        </w:rPr>
        <w:t>；</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供应商的信用记录须符合财库[2016]125号文《财政部关于在政府采购活动中查询及使用信用记录有关问题的通知》的规定。供应商被“信用中国”网站列入失信被执行人、重大税收违法案件当事人名单的,供应商被“中国政府采购网”网站列入政府采购严重违法失信名单的，不得参与本项目投标；</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w:t>
      </w:r>
    </w:p>
    <w:p>
      <w:pPr>
        <w:pStyle w:val="2"/>
        <w:rPr>
          <w:color w:val="auto"/>
          <w:highlight w:val="none"/>
        </w:rPr>
      </w:pPr>
    </w:p>
    <w:p>
      <w:pPr>
        <w:spacing w:line="440" w:lineRule="exact"/>
        <w:rPr>
          <w:rFonts w:ascii="宋体" w:hAnsi="宋体" w:cs="宋体"/>
          <w:b/>
          <w:color w:val="auto"/>
          <w:szCs w:val="21"/>
          <w:highlight w:val="none"/>
        </w:rPr>
      </w:pPr>
      <w:r>
        <w:rPr>
          <w:rFonts w:hint="eastAsia" w:cs="宋体"/>
          <w:b/>
          <w:bCs/>
          <w:color w:val="auto"/>
          <w:highlight w:val="none"/>
        </w:rPr>
        <w:t xml:space="preserve">    注：上述资格证明文件为必备资质，欠缺其中任何一项或某项达不到要求，按无效竞争性谈判响应文件处理。</w:t>
      </w:r>
    </w:p>
    <w:p>
      <w:pPr>
        <w:spacing w:line="440" w:lineRule="exact"/>
        <w:ind w:firstLine="421"/>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rPr>
          <w:rFonts w:ascii="宋体" w:hAnsi="宋体" w:cs="宋体"/>
          <w:b/>
          <w:color w:val="auto"/>
          <w:szCs w:val="21"/>
          <w:highlight w:val="none"/>
        </w:rPr>
      </w:pPr>
      <w:r>
        <w:rPr>
          <w:rFonts w:hint="eastAsia" w:ascii="宋体" w:hAnsi="宋体" w:cs="宋体"/>
          <w:b/>
          <w:color w:val="auto"/>
          <w:szCs w:val="21"/>
          <w:highlight w:val="none"/>
        </w:rPr>
        <w:br w:type="page"/>
      </w:r>
    </w:p>
    <w:p>
      <w:pPr>
        <w:spacing w:line="440" w:lineRule="exact"/>
        <w:rPr>
          <w:b/>
          <w:color w:val="auto"/>
          <w:szCs w:val="21"/>
          <w:highlight w:val="none"/>
        </w:rPr>
      </w:pPr>
      <w:r>
        <w:rPr>
          <w:rFonts w:hint="eastAsia" w:ascii="宋体" w:hAnsi="宋体" w:cs="宋体"/>
          <w:b/>
          <w:color w:val="auto"/>
          <w:szCs w:val="21"/>
          <w:highlight w:val="none"/>
        </w:rPr>
        <w:t>2.2谈判声明</w:t>
      </w:r>
    </w:p>
    <w:p>
      <w:pPr>
        <w:pStyle w:val="14"/>
        <w:spacing w:after="240" w:afterLines="100"/>
        <w:ind w:firstLine="0"/>
        <w:jc w:val="center"/>
        <w:rPr>
          <w:b/>
          <w:color w:val="auto"/>
          <w:szCs w:val="21"/>
          <w:highlight w:val="none"/>
        </w:rPr>
      </w:pPr>
      <w:r>
        <w:rPr>
          <w:b/>
          <w:color w:val="auto"/>
          <w:szCs w:val="21"/>
          <w:highlight w:val="none"/>
        </w:rPr>
        <w:t>（</w:t>
      </w:r>
      <w:r>
        <w:rPr>
          <w:rFonts w:hint="eastAsia"/>
          <w:b/>
          <w:color w:val="auto"/>
          <w:szCs w:val="21"/>
          <w:highlight w:val="none"/>
        </w:rPr>
        <w:t>1</w:t>
      </w:r>
      <w:r>
        <w:rPr>
          <w:b/>
          <w:color w:val="auto"/>
          <w:szCs w:val="21"/>
          <w:highlight w:val="none"/>
        </w:rPr>
        <w:t>）</w:t>
      </w:r>
      <w:r>
        <w:rPr>
          <w:rFonts w:hint="eastAsia"/>
          <w:b/>
          <w:color w:val="auto"/>
          <w:szCs w:val="21"/>
          <w:highlight w:val="none"/>
        </w:rPr>
        <w:t>谈判</w:t>
      </w:r>
      <w:r>
        <w:rPr>
          <w:b/>
          <w:color w:val="auto"/>
          <w:szCs w:val="21"/>
          <w:highlight w:val="none"/>
        </w:rPr>
        <w:t>声明书</w:t>
      </w:r>
    </w:p>
    <w:p>
      <w:pPr>
        <w:pStyle w:val="14"/>
        <w:spacing w:after="120" w:afterLines="50" w:line="360" w:lineRule="auto"/>
        <w:ind w:firstLine="0"/>
        <w:rPr>
          <w:b/>
          <w:color w:val="auto"/>
          <w:szCs w:val="21"/>
          <w:highlight w:val="none"/>
        </w:rPr>
      </w:pPr>
      <w:r>
        <w:rPr>
          <w:rFonts w:hint="eastAsia"/>
          <w:b/>
          <w:color w:val="auto"/>
          <w:szCs w:val="21"/>
          <w:highlight w:val="none"/>
        </w:rPr>
        <w:t xml:space="preserve">              </w:t>
      </w:r>
      <w:r>
        <w:rPr>
          <w:b/>
          <w:color w:val="auto"/>
          <w:szCs w:val="21"/>
          <w:highlight w:val="none"/>
        </w:rPr>
        <w:t>：</w:t>
      </w:r>
    </w:p>
    <w:p>
      <w:pPr>
        <w:pStyle w:val="14"/>
        <w:spacing w:line="500" w:lineRule="exact"/>
        <w:ind w:firstLine="0"/>
        <w:rPr>
          <w:color w:val="auto"/>
          <w:szCs w:val="21"/>
          <w:highlight w:val="none"/>
        </w:rPr>
      </w:pPr>
      <w:r>
        <w:rPr>
          <w:rFonts w:hint="eastAsia"/>
          <w:color w:val="auto"/>
          <w:szCs w:val="21"/>
          <w:highlight w:val="none"/>
        </w:rPr>
        <w:t xml:space="preserve">    </w:t>
      </w:r>
      <w:r>
        <w:rPr>
          <w:color w:val="auto"/>
          <w:szCs w:val="21"/>
          <w:highlight w:val="none"/>
        </w:rPr>
        <w:t>我公司</w:t>
      </w:r>
      <w:r>
        <w:rPr>
          <w:color w:val="auto"/>
          <w:szCs w:val="21"/>
          <w:highlight w:val="none"/>
          <w:u w:val="single"/>
        </w:rPr>
        <w:t xml:space="preserve">               </w:t>
      </w:r>
      <w:r>
        <w:rPr>
          <w:color w:val="auto"/>
          <w:szCs w:val="21"/>
          <w:highlight w:val="none"/>
        </w:rPr>
        <w:t>（</w:t>
      </w:r>
      <w:r>
        <w:rPr>
          <w:rFonts w:hint="eastAsia"/>
          <w:color w:val="auto"/>
          <w:szCs w:val="21"/>
          <w:highlight w:val="none"/>
        </w:rPr>
        <w:t>供应商</w:t>
      </w:r>
      <w:r>
        <w:rPr>
          <w:color w:val="auto"/>
          <w:szCs w:val="21"/>
          <w:highlight w:val="none"/>
        </w:rPr>
        <w:t xml:space="preserve">名称），就参加 </w:t>
      </w:r>
      <w:r>
        <w:rPr>
          <w:color w:val="auto"/>
          <w:szCs w:val="21"/>
          <w:highlight w:val="none"/>
          <w:u w:val="single"/>
        </w:rPr>
        <w:t xml:space="preserve">          </w:t>
      </w:r>
      <w:r>
        <w:rPr>
          <w:color w:val="auto"/>
          <w:szCs w:val="21"/>
          <w:highlight w:val="none"/>
        </w:rPr>
        <w:t>采购项目（采购项目编号：</w:t>
      </w:r>
      <w:r>
        <w:rPr>
          <w:rFonts w:hint="eastAsia"/>
          <w:color w:val="auto"/>
          <w:szCs w:val="21"/>
          <w:highlight w:val="none"/>
        </w:rPr>
        <w:t xml:space="preserve">    </w:t>
      </w:r>
      <w:r>
        <w:rPr>
          <w:color w:val="auto"/>
          <w:szCs w:val="21"/>
          <w:highlight w:val="none"/>
        </w:rPr>
        <w:t>）</w:t>
      </w:r>
      <w:r>
        <w:rPr>
          <w:rFonts w:hint="eastAsia"/>
          <w:color w:val="auto"/>
          <w:szCs w:val="21"/>
          <w:highlight w:val="none"/>
        </w:rPr>
        <w:t>谈判</w:t>
      </w:r>
      <w:r>
        <w:rPr>
          <w:color w:val="auto"/>
          <w:szCs w:val="21"/>
          <w:highlight w:val="none"/>
        </w:rPr>
        <w:t>事宜，在此郑重声明：</w:t>
      </w:r>
    </w:p>
    <w:p>
      <w:pPr>
        <w:pStyle w:val="14"/>
        <w:spacing w:line="500" w:lineRule="exact"/>
        <w:ind w:firstLine="573"/>
        <w:rPr>
          <w:color w:val="auto"/>
          <w:szCs w:val="21"/>
          <w:highlight w:val="none"/>
        </w:rPr>
      </w:pPr>
      <w:r>
        <w:rPr>
          <w:color w:val="auto"/>
          <w:szCs w:val="21"/>
          <w:highlight w:val="none"/>
        </w:rPr>
        <w:t>1、我公司所提交的所有证明文件及</w:t>
      </w:r>
      <w:r>
        <w:rPr>
          <w:rFonts w:hint="eastAsia"/>
          <w:color w:val="auto"/>
          <w:szCs w:val="21"/>
          <w:highlight w:val="none"/>
        </w:rPr>
        <w:t>竞争性谈判响应文件</w:t>
      </w:r>
      <w:r>
        <w:rPr>
          <w:color w:val="auto"/>
          <w:szCs w:val="21"/>
          <w:highlight w:val="none"/>
        </w:rPr>
        <w:t>全部真实有效；</w:t>
      </w:r>
    </w:p>
    <w:p>
      <w:pPr>
        <w:pStyle w:val="14"/>
        <w:spacing w:line="500" w:lineRule="exact"/>
        <w:ind w:firstLine="573"/>
        <w:rPr>
          <w:color w:val="auto"/>
          <w:szCs w:val="21"/>
          <w:highlight w:val="none"/>
        </w:rPr>
      </w:pPr>
      <w:r>
        <w:rPr>
          <w:color w:val="auto"/>
          <w:szCs w:val="21"/>
          <w:highlight w:val="none"/>
        </w:rPr>
        <w:t>2、我公司近3年来无因安全事故、质量事故、</w:t>
      </w:r>
      <w:r>
        <w:rPr>
          <w:rFonts w:hint="eastAsia"/>
          <w:color w:val="auto"/>
          <w:szCs w:val="21"/>
          <w:highlight w:val="none"/>
        </w:rPr>
        <w:t>谈判</w:t>
      </w:r>
      <w:r>
        <w:rPr>
          <w:color w:val="auto"/>
          <w:szCs w:val="21"/>
          <w:highlight w:val="none"/>
        </w:rPr>
        <w:t>违规等不良记录被政府有关部门处罚或仍在处罚期限内的情形存在；</w:t>
      </w:r>
    </w:p>
    <w:p>
      <w:pPr>
        <w:pStyle w:val="14"/>
        <w:spacing w:line="500" w:lineRule="exact"/>
        <w:ind w:firstLine="573"/>
        <w:rPr>
          <w:color w:val="auto"/>
          <w:szCs w:val="21"/>
          <w:highlight w:val="none"/>
        </w:rPr>
      </w:pPr>
      <w:r>
        <w:rPr>
          <w:color w:val="auto"/>
          <w:szCs w:val="21"/>
          <w:highlight w:val="none"/>
        </w:rPr>
        <w:t>3、我公司近3年来无违规违法经营受到责令停产(或停止经营)、吊销生产许可证（或经营许可证）、较大数额罚款等行政处罚的情形存在；</w:t>
      </w:r>
    </w:p>
    <w:p>
      <w:pPr>
        <w:pStyle w:val="14"/>
        <w:spacing w:line="500" w:lineRule="exact"/>
        <w:ind w:firstLine="573"/>
        <w:rPr>
          <w:color w:val="auto"/>
          <w:szCs w:val="21"/>
          <w:highlight w:val="none"/>
        </w:rPr>
      </w:pPr>
      <w:r>
        <w:rPr>
          <w:color w:val="auto"/>
          <w:szCs w:val="21"/>
          <w:highlight w:val="none"/>
        </w:rPr>
        <w:t>4、我公司无企业财产被查封、冻结或处于破产状态或严重亏损状态等情形存在；</w:t>
      </w:r>
    </w:p>
    <w:p>
      <w:pPr>
        <w:pStyle w:val="14"/>
        <w:spacing w:line="500" w:lineRule="exact"/>
        <w:ind w:firstLine="573"/>
        <w:rPr>
          <w:color w:val="auto"/>
          <w:szCs w:val="21"/>
          <w:highlight w:val="none"/>
        </w:rPr>
      </w:pPr>
      <w:r>
        <w:rPr>
          <w:color w:val="auto"/>
          <w:szCs w:val="21"/>
          <w:highlight w:val="none"/>
        </w:rPr>
        <w:t>5、我公司承诺在</w:t>
      </w:r>
      <w:r>
        <w:rPr>
          <w:rFonts w:hint="eastAsia"/>
          <w:color w:val="auto"/>
          <w:szCs w:val="21"/>
          <w:highlight w:val="none"/>
        </w:rPr>
        <w:t>谈判</w:t>
      </w:r>
      <w:r>
        <w:rPr>
          <w:color w:val="auto"/>
          <w:szCs w:val="21"/>
          <w:highlight w:val="none"/>
        </w:rPr>
        <w:t>过程中，保证不予其他单位围标、串标，不出让谈判资格，不采取不正当手段诋毁、排挤其他</w:t>
      </w:r>
      <w:r>
        <w:rPr>
          <w:rFonts w:hint="eastAsia"/>
          <w:color w:val="auto"/>
          <w:szCs w:val="21"/>
          <w:highlight w:val="none"/>
        </w:rPr>
        <w:t>供应商</w:t>
      </w:r>
      <w:r>
        <w:rPr>
          <w:color w:val="auto"/>
          <w:szCs w:val="21"/>
          <w:highlight w:val="none"/>
        </w:rPr>
        <w:t>，不向采购人、采购代理机构、</w:t>
      </w:r>
      <w:r>
        <w:rPr>
          <w:rFonts w:hint="eastAsia"/>
          <w:color w:val="auto"/>
          <w:szCs w:val="21"/>
          <w:highlight w:val="none"/>
        </w:rPr>
        <w:t>谈判小组</w:t>
      </w:r>
      <w:r>
        <w:rPr>
          <w:color w:val="auto"/>
          <w:szCs w:val="21"/>
          <w:highlight w:val="none"/>
        </w:rPr>
        <w:t>成员行贿</w:t>
      </w:r>
      <w:r>
        <w:rPr>
          <w:rFonts w:hint="eastAsia"/>
          <w:color w:val="auto"/>
          <w:szCs w:val="21"/>
          <w:highlight w:val="none"/>
        </w:rPr>
        <w:t>；</w:t>
      </w:r>
    </w:p>
    <w:p>
      <w:pPr>
        <w:pStyle w:val="14"/>
        <w:spacing w:line="500" w:lineRule="exact"/>
        <w:ind w:firstLine="573"/>
        <w:rPr>
          <w:color w:val="auto"/>
          <w:szCs w:val="21"/>
          <w:highlight w:val="none"/>
        </w:rPr>
      </w:pPr>
      <w:r>
        <w:rPr>
          <w:color w:val="auto"/>
          <w:szCs w:val="21"/>
          <w:highlight w:val="none"/>
        </w:rPr>
        <w:t>6、我公司参加政府采购活动近3年内，在经营活动中没有重大违法记录。</w:t>
      </w:r>
    </w:p>
    <w:p>
      <w:pPr>
        <w:pStyle w:val="14"/>
        <w:spacing w:line="500" w:lineRule="exact"/>
        <w:ind w:firstLine="573"/>
        <w:rPr>
          <w:color w:val="auto"/>
          <w:szCs w:val="21"/>
          <w:highlight w:val="none"/>
        </w:rPr>
      </w:pPr>
      <w:r>
        <w:rPr>
          <w:color w:val="auto"/>
          <w:szCs w:val="21"/>
          <w:highlight w:val="none"/>
        </w:rPr>
        <w:t>以上声明若有违反，一经查实，我公司愿意接受政府有关部门的相应处罚，并愿意承担由此带来的法律后果。</w:t>
      </w:r>
    </w:p>
    <w:p>
      <w:pPr>
        <w:pStyle w:val="14"/>
        <w:spacing w:line="500" w:lineRule="exact"/>
        <w:ind w:firstLine="570"/>
        <w:rPr>
          <w:color w:val="auto"/>
          <w:szCs w:val="21"/>
          <w:highlight w:val="none"/>
        </w:rPr>
      </w:pPr>
      <w:r>
        <w:rPr>
          <w:color w:val="auto"/>
          <w:szCs w:val="21"/>
          <w:highlight w:val="none"/>
        </w:rPr>
        <w:t>特此声明！</w:t>
      </w:r>
    </w:p>
    <w:p>
      <w:pPr>
        <w:pStyle w:val="14"/>
        <w:spacing w:line="500" w:lineRule="exact"/>
        <w:ind w:firstLine="570"/>
        <w:rPr>
          <w:color w:val="auto"/>
          <w:szCs w:val="21"/>
          <w:highlight w:val="none"/>
        </w:rPr>
      </w:pPr>
    </w:p>
    <w:p>
      <w:pPr>
        <w:pStyle w:val="14"/>
        <w:spacing w:line="500" w:lineRule="exact"/>
        <w:ind w:firstLine="570"/>
        <w:rPr>
          <w:color w:val="auto"/>
          <w:szCs w:val="21"/>
          <w:highlight w:val="none"/>
        </w:rPr>
      </w:pPr>
      <w:r>
        <w:rPr>
          <w:color w:val="auto"/>
          <w:szCs w:val="21"/>
          <w:highlight w:val="none"/>
        </w:rPr>
        <w:t>声  明  人</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（供应商</w:t>
      </w:r>
      <w:r>
        <w:rPr>
          <w:color w:val="auto"/>
          <w:szCs w:val="21"/>
          <w:highlight w:val="none"/>
        </w:rPr>
        <w:t>名称、公章</w:t>
      </w:r>
      <w:r>
        <w:rPr>
          <w:rFonts w:hint="eastAsia"/>
          <w:color w:val="auto"/>
          <w:szCs w:val="21"/>
          <w:highlight w:val="none"/>
        </w:rPr>
        <w:t>）</w:t>
      </w:r>
    </w:p>
    <w:p>
      <w:pPr>
        <w:pStyle w:val="14"/>
        <w:spacing w:line="500" w:lineRule="exact"/>
        <w:ind w:firstLine="573"/>
        <w:rPr>
          <w:color w:val="auto"/>
          <w:szCs w:val="21"/>
          <w:highlight w:val="none"/>
        </w:rPr>
      </w:pPr>
      <w:r>
        <w:rPr>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盖章或签字</w:t>
      </w:r>
      <w:r>
        <w:rPr>
          <w:color w:val="auto"/>
          <w:szCs w:val="21"/>
          <w:highlight w:val="none"/>
        </w:rPr>
        <w:t>）</w:t>
      </w:r>
    </w:p>
    <w:p>
      <w:pPr>
        <w:pStyle w:val="14"/>
        <w:spacing w:line="500" w:lineRule="exact"/>
        <w:ind w:firstLine="573"/>
        <w:rPr>
          <w:color w:val="auto"/>
          <w:szCs w:val="21"/>
          <w:highlight w:val="none"/>
        </w:rPr>
      </w:pPr>
      <w:r>
        <w:rPr>
          <w:color w:val="auto"/>
          <w:szCs w:val="21"/>
          <w:highlight w:val="none"/>
        </w:rPr>
        <w:t xml:space="preserve">日      期：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pStyle w:val="14"/>
        <w:spacing w:line="500" w:lineRule="exact"/>
        <w:ind w:firstLine="573"/>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widowControl/>
        <w:jc w:val="left"/>
        <w:rPr>
          <w:b/>
          <w:color w:val="auto"/>
          <w:szCs w:val="21"/>
          <w:highlight w:val="none"/>
        </w:rPr>
      </w:pPr>
      <w:r>
        <w:rPr>
          <w:b/>
          <w:color w:val="auto"/>
          <w:szCs w:val="21"/>
          <w:highlight w:val="none"/>
        </w:rPr>
        <w:br w:type="page"/>
      </w:r>
    </w:p>
    <w:p>
      <w:pPr>
        <w:spacing w:line="440" w:lineRule="exact"/>
        <w:jc w:val="center"/>
        <w:rPr>
          <w:b/>
          <w:color w:val="auto"/>
          <w:szCs w:val="21"/>
          <w:highlight w:val="none"/>
        </w:rPr>
      </w:pPr>
      <w:r>
        <w:rPr>
          <w:rFonts w:hint="eastAsia"/>
          <w:b/>
          <w:color w:val="auto"/>
          <w:szCs w:val="21"/>
          <w:highlight w:val="none"/>
        </w:rPr>
        <w:t>（2）供应商具有履行本合同所必需的设备和专业技术能力的说明及承诺</w:t>
      </w: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致：</w:t>
      </w:r>
      <w:r>
        <w:rPr>
          <w:color w:val="auto"/>
          <w:szCs w:val="21"/>
          <w:highlight w:val="none"/>
          <w:u w:val="single"/>
        </w:rPr>
        <w:t xml:space="preserve">     （采购人名称）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spacing w:line="440" w:lineRule="exact"/>
        <w:ind w:firstLine="420"/>
        <w:rPr>
          <w:color w:val="auto"/>
          <w:szCs w:val="21"/>
          <w:highlight w:val="none"/>
        </w:rPr>
      </w:pPr>
      <w:r>
        <w:rPr>
          <w:color w:val="auto"/>
          <w:szCs w:val="21"/>
          <w:highlight w:val="none"/>
        </w:rPr>
        <w:t>我公司</w:t>
      </w:r>
      <w:r>
        <w:rPr>
          <w:color w:val="auto"/>
          <w:szCs w:val="21"/>
          <w:highlight w:val="none"/>
          <w:u w:val="single"/>
        </w:rPr>
        <w:t xml:space="preserve">               </w:t>
      </w:r>
      <w:r>
        <w:rPr>
          <w:color w:val="auto"/>
          <w:szCs w:val="21"/>
          <w:highlight w:val="none"/>
        </w:rPr>
        <w:t>（</w:t>
      </w:r>
      <w:r>
        <w:rPr>
          <w:rFonts w:hint="eastAsia"/>
          <w:color w:val="auto"/>
          <w:szCs w:val="21"/>
          <w:highlight w:val="none"/>
        </w:rPr>
        <w:t>供应商</w:t>
      </w:r>
      <w:r>
        <w:rPr>
          <w:color w:val="auto"/>
          <w:szCs w:val="21"/>
          <w:highlight w:val="none"/>
        </w:rPr>
        <w:t>名称）于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日在中华人民共和国境内</w:t>
      </w:r>
      <w:r>
        <w:rPr>
          <w:rFonts w:hint="eastAsia"/>
          <w:color w:val="auto"/>
          <w:szCs w:val="21"/>
          <w:highlight w:val="none"/>
          <w:u w:val="single"/>
        </w:rPr>
        <w:t xml:space="preserve">     </w:t>
      </w:r>
      <w:r>
        <w:rPr>
          <w:color w:val="auto"/>
          <w:szCs w:val="21"/>
          <w:highlight w:val="none"/>
          <w:u w:val="single"/>
        </w:rPr>
        <w:t>（详细注册地址）</w:t>
      </w:r>
      <w:r>
        <w:rPr>
          <w:rFonts w:hint="eastAsia"/>
          <w:color w:val="auto"/>
          <w:szCs w:val="21"/>
          <w:highlight w:val="none"/>
          <w:u w:val="single"/>
        </w:rPr>
        <w:t xml:space="preserve">    </w:t>
      </w:r>
      <w:r>
        <w:rPr>
          <w:color w:val="auto"/>
          <w:szCs w:val="21"/>
          <w:highlight w:val="none"/>
        </w:rPr>
        <w:t>合法注册并经营，公司主营业务为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，营业（生产经营）面积为</w:t>
      </w:r>
      <w:r>
        <w:rPr>
          <w:color w:val="auto"/>
          <w:szCs w:val="21"/>
          <w:highlight w:val="none"/>
          <w:u w:val="single"/>
        </w:rPr>
        <w:t xml:space="preserve">               </w:t>
      </w:r>
      <w:r>
        <w:rPr>
          <w:color w:val="auto"/>
          <w:szCs w:val="21"/>
          <w:highlight w:val="none"/>
        </w:rPr>
        <w:t>，现有员工数量为</w:t>
      </w:r>
      <w:r>
        <w:rPr>
          <w:color w:val="auto"/>
          <w:szCs w:val="21"/>
          <w:highlight w:val="none"/>
          <w:u w:val="single"/>
        </w:rPr>
        <w:t xml:space="preserve">               </w:t>
      </w:r>
      <w:r>
        <w:rPr>
          <w:color w:val="auto"/>
          <w:szCs w:val="21"/>
          <w:highlight w:val="none"/>
        </w:rPr>
        <w:t>，其中与履行本合同相关的专业技术人员有</w:t>
      </w:r>
      <w:r>
        <w:rPr>
          <w:rFonts w:hint="eastAsia"/>
          <w:color w:val="auto"/>
          <w:szCs w:val="21"/>
          <w:highlight w:val="none"/>
          <w:u w:val="single"/>
        </w:rPr>
        <w:t xml:space="preserve">      </w:t>
      </w:r>
      <w:r>
        <w:rPr>
          <w:color w:val="auto"/>
          <w:szCs w:val="21"/>
          <w:highlight w:val="none"/>
          <w:u w:val="single"/>
        </w:rPr>
        <w:t>（专业能力、数量）</w:t>
      </w:r>
      <w:r>
        <w:rPr>
          <w:rFonts w:hint="eastAsia"/>
          <w:color w:val="auto"/>
          <w:szCs w:val="21"/>
          <w:highlight w:val="none"/>
          <w:u w:val="single"/>
        </w:rPr>
        <w:t xml:space="preserve">      </w:t>
      </w:r>
      <w:r>
        <w:rPr>
          <w:color w:val="auto"/>
          <w:szCs w:val="21"/>
          <w:highlight w:val="none"/>
        </w:rPr>
        <w:t>，本公司郑重承诺，具有履行本合同所必需的设备和专业技术能力。</w:t>
      </w:r>
    </w:p>
    <w:p>
      <w:pPr>
        <w:spacing w:line="440" w:lineRule="exact"/>
        <w:ind w:firstLine="420"/>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pStyle w:val="14"/>
        <w:spacing w:line="500" w:lineRule="exact"/>
        <w:ind w:firstLine="570"/>
        <w:rPr>
          <w:color w:val="auto"/>
          <w:szCs w:val="21"/>
          <w:highlight w:val="none"/>
        </w:rPr>
      </w:pPr>
      <w:r>
        <w:rPr>
          <w:rFonts w:hint="eastAsia"/>
          <w:color w:val="auto"/>
          <w:szCs w:val="21"/>
          <w:highlight w:val="none"/>
        </w:rPr>
        <w:t>承  诺</w:t>
      </w:r>
      <w:r>
        <w:rPr>
          <w:color w:val="auto"/>
          <w:szCs w:val="21"/>
          <w:highlight w:val="none"/>
        </w:rPr>
        <w:t xml:space="preserve">  人</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（供应商</w:t>
      </w:r>
      <w:r>
        <w:rPr>
          <w:color w:val="auto"/>
          <w:szCs w:val="21"/>
          <w:highlight w:val="none"/>
        </w:rPr>
        <w:t>名称、公章</w:t>
      </w:r>
      <w:r>
        <w:rPr>
          <w:rFonts w:hint="eastAsia"/>
          <w:color w:val="auto"/>
          <w:szCs w:val="21"/>
          <w:highlight w:val="none"/>
        </w:rPr>
        <w:t>）</w:t>
      </w:r>
    </w:p>
    <w:p>
      <w:pPr>
        <w:pStyle w:val="14"/>
        <w:spacing w:line="500" w:lineRule="exact"/>
        <w:ind w:firstLine="573"/>
        <w:rPr>
          <w:color w:val="auto"/>
          <w:szCs w:val="21"/>
          <w:highlight w:val="none"/>
        </w:rPr>
      </w:pPr>
      <w:r>
        <w:rPr>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盖章或签字</w:t>
      </w:r>
      <w:r>
        <w:rPr>
          <w:color w:val="auto"/>
          <w:szCs w:val="21"/>
          <w:highlight w:val="none"/>
        </w:rPr>
        <w:t>）</w:t>
      </w:r>
    </w:p>
    <w:p>
      <w:pPr>
        <w:pStyle w:val="14"/>
        <w:spacing w:line="500" w:lineRule="exact"/>
        <w:ind w:firstLine="573"/>
        <w:rPr>
          <w:color w:val="auto"/>
          <w:szCs w:val="21"/>
          <w:highlight w:val="none"/>
        </w:rPr>
      </w:pPr>
      <w:r>
        <w:rPr>
          <w:color w:val="auto"/>
          <w:szCs w:val="21"/>
          <w:highlight w:val="none"/>
        </w:rPr>
        <w:t xml:space="preserve">日      期：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widowControl/>
        <w:jc w:val="left"/>
        <w:rPr>
          <w:rFonts w:ascii="宋体" w:hAnsi="宋体" w:cs="宋体"/>
          <w:b/>
          <w:color w:val="auto"/>
          <w:szCs w:val="21"/>
          <w:highlight w:val="none"/>
        </w:rPr>
      </w:pPr>
      <w:r>
        <w:rPr>
          <w:rFonts w:ascii="宋体" w:hAnsi="宋体" w:cs="宋体"/>
          <w:b/>
          <w:color w:val="auto"/>
          <w:szCs w:val="21"/>
          <w:highlight w:val="none"/>
        </w:rPr>
        <w:br w:type="page"/>
      </w:r>
    </w:p>
    <w:p>
      <w:pPr>
        <w:rPr>
          <w:rFonts w:ascii="宋体" w:hAnsi="宋体" w:cs="宋体"/>
          <w:b/>
          <w:color w:val="auto"/>
          <w:szCs w:val="21"/>
          <w:highlight w:val="none"/>
        </w:rPr>
      </w:pPr>
      <w:r>
        <w:rPr>
          <w:rFonts w:hint="eastAsia" w:ascii="宋体" w:hAnsi="宋体" w:cs="宋体"/>
          <w:b/>
          <w:color w:val="auto"/>
          <w:szCs w:val="21"/>
          <w:highlight w:val="none"/>
        </w:rPr>
        <w:t>2.3节能产品、环境标志产品明细表</w:t>
      </w:r>
    </w:p>
    <w:p>
      <w:pPr>
        <w:pStyle w:val="2"/>
        <w:rPr>
          <w:rFonts w:ascii="宋体" w:hAnsi="宋体" w:cs="宋体"/>
          <w:b/>
          <w:color w:val="auto"/>
          <w:szCs w:val="21"/>
          <w:highlight w:val="none"/>
        </w:rPr>
      </w:pPr>
    </w:p>
    <w:p>
      <w:pPr>
        <w:rPr>
          <w:color w:val="auto"/>
          <w:highlight w:val="none"/>
        </w:rPr>
      </w:pPr>
    </w:p>
    <w:p>
      <w:pPr>
        <w:widowControl/>
        <w:spacing w:line="460" w:lineRule="exact"/>
        <w:ind w:firstLine="241" w:firstLineChars="100"/>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节能产品、环境标志产品明细表</w:t>
      </w:r>
    </w:p>
    <w:p>
      <w:pPr>
        <w:rPr>
          <w:color w:val="auto"/>
          <w:highlight w:val="none"/>
        </w:rPr>
      </w:pPr>
    </w:p>
    <w:p>
      <w:pPr>
        <w:widowControl/>
        <w:spacing w:line="460" w:lineRule="exact"/>
        <w:ind w:firstLine="210" w:firstLineChars="100"/>
        <w:rPr>
          <w:color w:val="auto"/>
          <w:szCs w:val="21"/>
          <w:highlight w:val="none"/>
        </w:rPr>
      </w:pPr>
      <w:r>
        <w:rPr>
          <w:rFonts w:hint="eastAsia"/>
          <w:color w:val="auto"/>
          <w:szCs w:val="21"/>
          <w:highlight w:val="none"/>
        </w:rPr>
        <w:t>项目名称：                 包号：                 项目编号：</w:t>
      </w:r>
    </w:p>
    <w:p>
      <w:pPr>
        <w:pStyle w:val="2"/>
        <w:rPr>
          <w:color w:val="auto"/>
          <w:highlight w:val="none"/>
        </w:rPr>
      </w:pPr>
    </w:p>
    <w:tbl>
      <w:tblPr>
        <w:tblStyle w:val="38"/>
        <w:tblW w:w="8584" w:type="dxa"/>
        <w:jc w:val="center"/>
        <w:tblLayout w:type="fixed"/>
        <w:tblCellMar>
          <w:top w:w="0" w:type="dxa"/>
          <w:left w:w="108" w:type="dxa"/>
          <w:bottom w:w="0" w:type="dxa"/>
          <w:right w:w="108" w:type="dxa"/>
        </w:tblCellMar>
      </w:tblPr>
      <w:tblGrid>
        <w:gridCol w:w="712"/>
        <w:gridCol w:w="1317"/>
        <w:gridCol w:w="1383"/>
        <w:gridCol w:w="1667"/>
        <w:gridCol w:w="1116"/>
        <w:gridCol w:w="1539"/>
        <w:gridCol w:w="850"/>
      </w:tblGrid>
      <w:tr>
        <w:tblPrEx>
          <w:tblCellMar>
            <w:top w:w="0" w:type="dxa"/>
            <w:left w:w="108" w:type="dxa"/>
            <w:bottom w:w="0" w:type="dxa"/>
            <w:right w:w="108" w:type="dxa"/>
          </w:tblCellMar>
        </w:tblPrEx>
        <w:trPr>
          <w:trHeight w:val="624" w:hRule="atLeast"/>
          <w:jc w:val="center"/>
        </w:trPr>
        <w:tc>
          <w:tcPr>
            <w:tcW w:w="71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color w:val="auto"/>
                <w:szCs w:val="21"/>
                <w:highlight w:val="none"/>
              </w:rPr>
            </w:pPr>
            <w:r>
              <w:rPr>
                <w:rFonts w:hint="eastAsia"/>
                <w:color w:val="auto"/>
                <w:szCs w:val="21"/>
                <w:highlight w:val="none"/>
              </w:rPr>
              <w:t>序</w:t>
            </w:r>
          </w:p>
          <w:p>
            <w:pPr>
              <w:spacing w:line="400" w:lineRule="exact"/>
              <w:jc w:val="center"/>
              <w:rPr>
                <w:color w:val="auto"/>
                <w:szCs w:val="21"/>
                <w:highlight w:val="none"/>
              </w:rPr>
            </w:pPr>
            <w:r>
              <w:rPr>
                <w:rFonts w:hint="eastAsia"/>
                <w:color w:val="auto"/>
                <w:szCs w:val="21"/>
                <w:highlight w:val="none"/>
              </w:rPr>
              <w:t>号</w:t>
            </w:r>
          </w:p>
        </w:tc>
        <w:tc>
          <w:tcPr>
            <w:tcW w:w="131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color w:val="auto"/>
                <w:szCs w:val="21"/>
                <w:highlight w:val="none"/>
              </w:rPr>
            </w:pPr>
            <w:r>
              <w:rPr>
                <w:rFonts w:hint="eastAsia"/>
                <w:color w:val="auto"/>
                <w:szCs w:val="21"/>
                <w:highlight w:val="none"/>
              </w:rPr>
              <w:t>产品</w:t>
            </w:r>
          </w:p>
          <w:p>
            <w:pPr>
              <w:spacing w:line="400" w:lineRule="exact"/>
              <w:jc w:val="center"/>
              <w:rPr>
                <w:color w:val="auto"/>
                <w:szCs w:val="21"/>
                <w:highlight w:val="none"/>
              </w:rPr>
            </w:pPr>
            <w:r>
              <w:rPr>
                <w:rFonts w:hint="eastAsia"/>
                <w:color w:val="auto"/>
                <w:szCs w:val="21"/>
                <w:highlight w:val="none"/>
              </w:rPr>
              <w:t>名称</w:t>
            </w:r>
          </w:p>
        </w:tc>
        <w:tc>
          <w:tcPr>
            <w:tcW w:w="1383"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color w:val="auto"/>
                <w:szCs w:val="21"/>
                <w:highlight w:val="none"/>
              </w:rPr>
            </w:pPr>
            <w:r>
              <w:rPr>
                <w:rFonts w:hint="eastAsia"/>
                <w:color w:val="auto"/>
                <w:szCs w:val="21"/>
                <w:highlight w:val="none"/>
              </w:rPr>
              <w:t>品牌</w:t>
            </w:r>
          </w:p>
        </w:tc>
        <w:tc>
          <w:tcPr>
            <w:tcW w:w="166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color w:val="auto"/>
                <w:szCs w:val="21"/>
                <w:highlight w:val="none"/>
              </w:rPr>
            </w:pPr>
            <w:r>
              <w:rPr>
                <w:rFonts w:hint="eastAsia"/>
                <w:color w:val="auto"/>
                <w:szCs w:val="21"/>
                <w:highlight w:val="none"/>
              </w:rPr>
              <w:t>规格型号</w:t>
            </w:r>
          </w:p>
        </w:tc>
        <w:tc>
          <w:tcPr>
            <w:tcW w:w="1116"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r>
              <w:rPr>
                <w:rFonts w:hint="eastAsia"/>
                <w:color w:val="auto"/>
                <w:szCs w:val="21"/>
                <w:highlight w:val="none"/>
              </w:rPr>
              <w:t>类</w:t>
            </w:r>
          </w:p>
          <w:p>
            <w:pPr>
              <w:spacing w:line="400" w:lineRule="exact"/>
              <w:jc w:val="center"/>
              <w:rPr>
                <w:color w:val="auto"/>
                <w:szCs w:val="21"/>
                <w:highlight w:val="none"/>
              </w:rPr>
            </w:pPr>
            <w:r>
              <w:rPr>
                <w:rFonts w:hint="eastAsia"/>
                <w:color w:val="auto"/>
                <w:szCs w:val="21"/>
                <w:highlight w:val="none"/>
              </w:rPr>
              <w:t>别</w:t>
            </w:r>
          </w:p>
        </w:tc>
        <w:tc>
          <w:tcPr>
            <w:tcW w:w="153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color w:val="auto"/>
                <w:szCs w:val="21"/>
                <w:highlight w:val="none"/>
              </w:rPr>
            </w:pPr>
            <w:r>
              <w:rPr>
                <w:rFonts w:hint="eastAsia"/>
                <w:color w:val="auto"/>
                <w:szCs w:val="21"/>
                <w:highlight w:val="none"/>
              </w:rPr>
              <w:t>认证证书</w:t>
            </w:r>
          </w:p>
          <w:p>
            <w:pPr>
              <w:spacing w:line="400" w:lineRule="exact"/>
              <w:jc w:val="center"/>
              <w:rPr>
                <w:color w:val="auto"/>
                <w:szCs w:val="21"/>
                <w:highlight w:val="none"/>
              </w:rPr>
            </w:pPr>
            <w:r>
              <w:rPr>
                <w:rFonts w:hint="eastAsia"/>
                <w:color w:val="auto"/>
                <w:szCs w:val="21"/>
                <w:highlight w:val="none"/>
              </w:rPr>
              <w:t>编号</w:t>
            </w:r>
          </w:p>
        </w:tc>
        <w:tc>
          <w:tcPr>
            <w:tcW w:w="85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color w:val="auto"/>
                <w:szCs w:val="21"/>
                <w:highlight w:val="none"/>
              </w:rPr>
            </w:pPr>
            <w:r>
              <w:rPr>
                <w:rFonts w:hint="eastAsia"/>
                <w:color w:val="auto"/>
                <w:szCs w:val="21"/>
                <w:highlight w:val="none"/>
              </w:rPr>
              <w:t>数量及单位</w:t>
            </w:r>
          </w:p>
        </w:tc>
      </w:tr>
      <w:tr>
        <w:tblPrEx>
          <w:tblCellMar>
            <w:top w:w="0" w:type="dxa"/>
            <w:left w:w="108" w:type="dxa"/>
            <w:bottom w:w="0" w:type="dxa"/>
            <w:right w:w="108" w:type="dxa"/>
          </w:tblCellMar>
        </w:tblPrEx>
        <w:trPr>
          <w:trHeight w:val="624" w:hRule="atLeast"/>
          <w:jc w:val="center"/>
        </w:trPr>
        <w:tc>
          <w:tcPr>
            <w:tcW w:w="712"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17"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83" w:type="dxa"/>
            <w:tcBorders>
              <w:top w:val="single" w:color="auto" w:sz="6" w:space="0"/>
              <w:left w:val="single" w:color="auto" w:sz="6" w:space="0"/>
              <w:bottom w:val="single" w:color="auto" w:sz="6" w:space="0"/>
              <w:right w:val="single" w:color="auto" w:sz="4" w:space="0"/>
            </w:tcBorders>
          </w:tcPr>
          <w:p>
            <w:pPr>
              <w:spacing w:line="400" w:lineRule="exact"/>
              <w:jc w:val="center"/>
              <w:rPr>
                <w:color w:val="auto"/>
                <w:szCs w:val="21"/>
                <w:highlight w:val="none"/>
              </w:rPr>
            </w:pPr>
          </w:p>
        </w:tc>
        <w:tc>
          <w:tcPr>
            <w:tcW w:w="1667" w:type="dxa"/>
            <w:tcBorders>
              <w:top w:val="single" w:color="auto" w:sz="6" w:space="0"/>
              <w:left w:val="single" w:color="auto" w:sz="4" w:space="0"/>
              <w:bottom w:val="single" w:color="auto" w:sz="6" w:space="0"/>
              <w:right w:val="single" w:color="auto" w:sz="6" w:space="0"/>
            </w:tcBorders>
          </w:tcPr>
          <w:p>
            <w:pPr>
              <w:spacing w:line="400" w:lineRule="exact"/>
              <w:jc w:val="center"/>
              <w:rPr>
                <w:color w:val="auto"/>
                <w:szCs w:val="21"/>
                <w:highlight w:val="none"/>
              </w:rPr>
            </w:pPr>
          </w:p>
        </w:tc>
        <w:tc>
          <w:tcPr>
            <w:tcW w:w="1116"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539"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r>
      <w:tr>
        <w:tblPrEx>
          <w:tblCellMar>
            <w:top w:w="0" w:type="dxa"/>
            <w:left w:w="108" w:type="dxa"/>
            <w:bottom w:w="0" w:type="dxa"/>
            <w:right w:w="108" w:type="dxa"/>
          </w:tblCellMar>
        </w:tblPrEx>
        <w:trPr>
          <w:trHeight w:val="624" w:hRule="atLeast"/>
          <w:jc w:val="center"/>
        </w:trPr>
        <w:tc>
          <w:tcPr>
            <w:tcW w:w="712"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17"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83" w:type="dxa"/>
            <w:tcBorders>
              <w:top w:val="single" w:color="auto" w:sz="6" w:space="0"/>
              <w:left w:val="single" w:color="auto" w:sz="6" w:space="0"/>
              <w:bottom w:val="single" w:color="auto" w:sz="6" w:space="0"/>
              <w:right w:val="single" w:color="auto" w:sz="4" w:space="0"/>
            </w:tcBorders>
          </w:tcPr>
          <w:p>
            <w:pPr>
              <w:spacing w:line="400" w:lineRule="exact"/>
              <w:jc w:val="center"/>
              <w:rPr>
                <w:color w:val="auto"/>
                <w:szCs w:val="21"/>
                <w:highlight w:val="none"/>
              </w:rPr>
            </w:pPr>
          </w:p>
        </w:tc>
        <w:tc>
          <w:tcPr>
            <w:tcW w:w="1667" w:type="dxa"/>
            <w:tcBorders>
              <w:top w:val="single" w:color="auto" w:sz="6" w:space="0"/>
              <w:left w:val="single" w:color="auto" w:sz="4" w:space="0"/>
              <w:bottom w:val="single" w:color="auto" w:sz="6" w:space="0"/>
              <w:right w:val="single" w:color="auto" w:sz="6" w:space="0"/>
            </w:tcBorders>
          </w:tcPr>
          <w:p>
            <w:pPr>
              <w:spacing w:line="400" w:lineRule="exact"/>
              <w:jc w:val="center"/>
              <w:rPr>
                <w:color w:val="auto"/>
                <w:szCs w:val="21"/>
                <w:highlight w:val="none"/>
              </w:rPr>
            </w:pPr>
          </w:p>
        </w:tc>
        <w:tc>
          <w:tcPr>
            <w:tcW w:w="1116"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539"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r>
      <w:tr>
        <w:tblPrEx>
          <w:tblCellMar>
            <w:top w:w="0" w:type="dxa"/>
            <w:left w:w="108" w:type="dxa"/>
            <w:bottom w:w="0" w:type="dxa"/>
            <w:right w:w="108" w:type="dxa"/>
          </w:tblCellMar>
        </w:tblPrEx>
        <w:trPr>
          <w:trHeight w:val="624" w:hRule="atLeast"/>
          <w:jc w:val="center"/>
        </w:trPr>
        <w:tc>
          <w:tcPr>
            <w:tcW w:w="712"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17"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83" w:type="dxa"/>
            <w:tcBorders>
              <w:top w:val="single" w:color="auto" w:sz="6" w:space="0"/>
              <w:left w:val="single" w:color="auto" w:sz="6" w:space="0"/>
              <w:bottom w:val="single" w:color="auto" w:sz="6" w:space="0"/>
              <w:right w:val="single" w:color="auto" w:sz="4" w:space="0"/>
            </w:tcBorders>
          </w:tcPr>
          <w:p>
            <w:pPr>
              <w:spacing w:line="400" w:lineRule="exact"/>
              <w:jc w:val="center"/>
              <w:rPr>
                <w:color w:val="auto"/>
                <w:szCs w:val="21"/>
                <w:highlight w:val="none"/>
              </w:rPr>
            </w:pPr>
          </w:p>
        </w:tc>
        <w:tc>
          <w:tcPr>
            <w:tcW w:w="1667" w:type="dxa"/>
            <w:tcBorders>
              <w:top w:val="single" w:color="auto" w:sz="6" w:space="0"/>
              <w:left w:val="single" w:color="auto" w:sz="4" w:space="0"/>
              <w:bottom w:val="single" w:color="auto" w:sz="6" w:space="0"/>
              <w:right w:val="single" w:color="auto" w:sz="6" w:space="0"/>
            </w:tcBorders>
          </w:tcPr>
          <w:p>
            <w:pPr>
              <w:spacing w:line="400" w:lineRule="exact"/>
              <w:jc w:val="center"/>
              <w:rPr>
                <w:color w:val="auto"/>
                <w:szCs w:val="21"/>
                <w:highlight w:val="none"/>
              </w:rPr>
            </w:pPr>
          </w:p>
        </w:tc>
        <w:tc>
          <w:tcPr>
            <w:tcW w:w="1116"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539"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r>
      <w:tr>
        <w:tblPrEx>
          <w:tblCellMar>
            <w:top w:w="0" w:type="dxa"/>
            <w:left w:w="108" w:type="dxa"/>
            <w:bottom w:w="0" w:type="dxa"/>
            <w:right w:w="108" w:type="dxa"/>
          </w:tblCellMar>
        </w:tblPrEx>
        <w:trPr>
          <w:trHeight w:val="624" w:hRule="atLeast"/>
          <w:jc w:val="center"/>
        </w:trPr>
        <w:tc>
          <w:tcPr>
            <w:tcW w:w="712"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17"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83" w:type="dxa"/>
            <w:tcBorders>
              <w:top w:val="single" w:color="auto" w:sz="6" w:space="0"/>
              <w:left w:val="single" w:color="auto" w:sz="6" w:space="0"/>
              <w:bottom w:val="single" w:color="auto" w:sz="6" w:space="0"/>
              <w:right w:val="single" w:color="auto" w:sz="4" w:space="0"/>
            </w:tcBorders>
          </w:tcPr>
          <w:p>
            <w:pPr>
              <w:spacing w:line="400" w:lineRule="exact"/>
              <w:jc w:val="center"/>
              <w:rPr>
                <w:color w:val="auto"/>
                <w:szCs w:val="21"/>
                <w:highlight w:val="none"/>
              </w:rPr>
            </w:pPr>
          </w:p>
        </w:tc>
        <w:tc>
          <w:tcPr>
            <w:tcW w:w="1667" w:type="dxa"/>
            <w:tcBorders>
              <w:top w:val="single" w:color="auto" w:sz="6" w:space="0"/>
              <w:left w:val="single" w:color="auto" w:sz="4" w:space="0"/>
              <w:bottom w:val="single" w:color="auto" w:sz="6" w:space="0"/>
              <w:right w:val="single" w:color="auto" w:sz="6" w:space="0"/>
            </w:tcBorders>
          </w:tcPr>
          <w:p>
            <w:pPr>
              <w:spacing w:line="400" w:lineRule="exact"/>
              <w:jc w:val="center"/>
              <w:rPr>
                <w:color w:val="auto"/>
                <w:szCs w:val="21"/>
                <w:highlight w:val="none"/>
              </w:rPr>
            </w:pPr>
          </w:p>
        </w:tc>
        <w:tc>
          <w:tcPr>
            <w:tcW w:w="1116"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539"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r>
      <w:tr>
        <w:tblPrEx>
          <w:tblCellMar>
            <w:top w:w="0" w:type="dxa"/>
            <w:left w:w="108" w:type="dxa"/>
            <w:bottom w:w="0" w:type="dxa"/>
            <w:right w:w="108" w:type="dxa"/>
          </w:tblCellMar>
        </w:tblPrEx>
        <w:trPr>
          <w:trHeight w:val="624" w:hRule="atLeast"/>
          <w:jc w:val="center"/>
        </w:trPr>
        <w:tc>
          <w:tcPr>
            <w:tcW w:w="712"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17"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83" w:type="dxa"/>
            <w:tcBorders>
              <w:top w:val="single" w:color="auto" w:sz="6" w:space="0"/>
              <w:left w:val="single" w:color="auto" w:sz="6" w:space="0"/>
              <w:bottom w:val="single" w:color="auto" w:sz="6" w:space="0"/>
              <w:right w:val="single" w:color="auto" w:sz="4" w:space="0"/>
            </w:tcBorders>
          </w:tcPr>
          <w:p>
            <w:pPr>
              <w:spacing w:line="400" w:lineRule="exact"/>
              <w:jc w:val="center"/>
              <w:rPr>
                <w:color w:val="auto"/>
                <w:szCs w:val="21"/>
                <w:highlight w:val="none"/>
              </w:rPr>
            </w:pPr>
          </w:p>
        </w:tc>
        <w:tc>
          <w:tcPr>
            <w:tcW w:w="1667" w:type="dxa"/>
            <w:tcBorders>
              <w:top w:val="single" w:color="auto" w:sz="6" w:space="0"/>
              <w:left w:val="single" w:color="auto" w:sz="4" w:space="0"/>
              <w:bottom w:val="single" w:color="auto" w:sz="6" w:space="0"/>
              <w:right w:val="single" w:color="auto" w:sz="6" w:space="0"/>
            </w:tcBorders>
          </w:tcPr>
          <w:p>
            <w:pPr>
              <w:spacing w:line="400" w:lineRule="exact"/>
              <w:jc w:val="center"/>
              <w:rPr>
                <w:color w:val="auto"/>
                <w:szCs w:val="21"/>
                <w:highlight w:val="none"/>
              </w:rPr>
            </w:pPr>
          </w:p>
        </w:tc>
        <w:tc>
          <w:tcPr>
            <w:tcW w:w="1116"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539"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r>
      <w:tr>
        <w:tblPrEx>
          <w:tblCellMar>
            <w:top w:w="0" w:type="dxa"/>
            <w:left w:w="108" w:type="dxa"/>
            <w:bottom w:w="0" w:type="dxa"/>
            <w:right w:w="108" w:type="dxa"/>
          </w:tblCellMar>
        </w:tblPrEx>
        <w:trPr>
          <w:trHeight w:val="624" w:hRule="atLeast"/>
          <w:jc w:val="center"/>
        </w:trPr>
        <w:tc>
          <w:tcPr>
            <w:tcW w:w="712"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17"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83" w:type="dxa"/>
            <w:tcBorders>
              <w:top w:val="single" w:color="auto" w:sz="6" w:space="0"/>
              <w:left w:val="single" w:color="auto" w:sz="6" w:space="0"/>
              <w:bottom w:val="single" w:color="auto" w:sz="6" w:space="0"/>
              <w:right w:val="single" w:color="auto" w:sz="4" w:space="0"/>
            </w:tcBorders>
          </w:tcPr>
          <w:p>
            <w:pPr>
              <w:spacing w:line="400" w:lineRule="exact"/>
              <w:jc w:val="center"/>
              <w:rPr>
                <w:color w:val="auto"/>
                <w:szCs w:val="21"/>
                <w:highlight w:val="none"/>
              </w:rPr>
            </w:pPr>
          </w:p>
        </w:tc>
        <w:tc>
          <w:tcPr>
            <w:tcW w:w="1667" w:type="dxa"/>
            <w:tcBorders>
              <w:top w:val="single" w:color="auto" w:sz="6" w:space="0"/>
              <w:left w:val="single" w:color="auto" w:sz="4" w:space="0"/>
              <w:bottom w:val="single" w:color="auto" w:sz="6" w:space="0"/>
              <w:right w:val="single" w:color="auto" w:sz="6" w:space="0"/>
            </w:tcBorders>
          </w:tcPr>
          <w:p>
            <w:pPr>
              <w:spacing w:line="400" w:lineRule="exact"/>
              <w:jc w:val="center"/>
              <w:rPr>
                <w:color w:val="auto"/>
                <w:szCs w:val="21"/>
                <w:highlight w:val="none"/>
              </w:rPr>
            </w:pPr>
          </w:p>
        </w:tc>
        <w:tc>
          <w:tcPr>
            <w:tcW w:w="1116"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539"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r>
      <w:tr>
        <w:tblPrEx>
          <w:tblCellMar>
            <w:top w:w="0" w:type="dxa"/>
            <w:left w:w="108" w:type="dxa"/>
            <w:bottom w:w="0" w:type="dxa"/>
            <w:right w:w="108" w:type="dxa"/>
          </w:tblCellMar>
        </w:tblPrEx>
        <w:trPr>
          <w:trHeight w:val="624" w:hRule="atLeast"/>
          <w:jc w:val="center"/>
        </w:trPr>
        <w:tc>
          <w:tcPr>
            <w:tcW w:w="712"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17"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383" w:type="dxa"/>
            <w:tcBorders>
              <w:top w:val="single" w:color="auto" w:sz="6" w:space="0"/>
              <w:left w:val="single" w:color="auto" w:sz="6" w:space="0"/>
              <w:bottom w:val="single" w:color="auto" w:sz="6" w:space="0"/>
              <w:right w:val="single" w:color="auto" w:sz="4" w:space="0"/>
            </w:tcBorders>
          </w:tcPr>
          <w:p>
            <w:pPr>
              <w:spacing w:line="400" w:lineRule="exact"/>
              <w:jc w:val="center"/>
              <w:rPr>
                <w:color w:val="auto"/>
                <w:szCs w:val="21"/>
                <w:highlight w:val="none"/>
              </w:rPr>
            </w:pPr>
          </w:p>
        </w:tc>
        <w:tc>
          <w:tcPr>
            <w:tcW w:w="1667" w:type="dxa"/>
            <w:tcBorders>
              <w:top w:val="single" w:color="auto" w:sz="6" w:space="0"/>
              <w:left w:val="single" w:color="auto" w:sz="4" w:space="0"/>
              <w:bottom w:val="single" w:color="auto" w:sz="6" w:space="0"/>
              <w:right w:val="single" w:color="auto" w:sz="6" w:space="0"/>
            </w:tcBorders>
          </w:tcPr>
          <w:p>
            <w:pPr>
              <w:spacing w:line="400" w:lineRule="exact"/>
              <w:jc w:val="center"/>
              <w:rPr>
                <w:color w:val="auto"/>
                <w:szCs w:val="21"/>
                <w:highlight w:val="none"/>
              </w:rPr>
            </w:pPr>
          </w:p>
        </w:tc>
        <w:tc>
          <w:tcPr>
            <w:tcW w:w="1116"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1539"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line="400" w:lineRule="exact"/>
              <w:jc w:val="center"/>
              <w:rPr>
                <w:color w:val="auto"/>
                <w:szCs w:val="21"/>
                <w:highlight w:val="none"/>
              </w:rPr>
            </w:pPr>
          </w:p>
        </w:tc>
      </w:tr>
    </w:tbl>
    <w:p>
      <w:pPr>
        <w:rPr>
          <w:color w:val="auto"/>
          <w:szCs w:val="21"/>
          <w:highlight w:val="none"/>
        </w:rPr>
      </w:pPr>
    </w:p>
    <w:p>
      <w:pPr>
        <w:kinsoku w:val="0"/>
        <w:spacing w:line="500" w:lineRule="exact"/>
        <w:ind w:firstLine="420" w:firstLineChars="200"/>
        <w:rPr>
          <w:color w:val="auto"/>
          <w:szCs w:val="21"/>
          <w:highlight w:val="none"/>
        </w:rPr>
      </w:pPr>
      <w:r>
        <w:rPr>
          <w:rFonts w:hint="eastAsia"/>
          <w:color w:val="auto"/>
          <w:szCs w:val="21"/>
          <w:highlight w:val="none"/>
        </w:rPr>
        <w:t>注：1、供应商提供的产品属于节能、环境标志品目清单范围的，依据国家确定的认证机构出具的、处于有效期之内的节能产品、环境标志产品认证证书，对获得证书的产品实施政府优先采购或强制采购，须按要求提供相关证明材料，不涉及此项内容可不提供此表。</w:t>
      </w:r>
    </w:p>
    <w:p>
      <w:pPr>
        <w:kinsoku w:val="0"/>
        <w:spacing w:line="500" w:lineRule="exact"/>
        <w:ind w:firstLine="420" w:firstLineChars="200"/>
        <w:rPr>
          <w:color w:val="auto"/>
          <w:szCs w:val="21"/>
          <w:highlight w:val="none"/>
        </w:rPr>
      </w:pPr>
      <w:r>
        <w:rPr>
          <w:rFonts w:hint="eastAsia"/>
          <w:color w:val="auto"/>
          <w:szCs w:val="21"/>
          <w:highlight w:val="none"/>
        </w:rPr>
        <w:t>2、</w:t>
      </w:r>
      <w:r>
        <w:rPr>
          <w:color w:val="auto"/>
          <w:szCs w:val="21"/>
          <w:highlight w:val="none"/>
        </w:rPr>
        <w:t>未按上述要求提供、填写的，评标时不予以考虑。</w:t>
      </w:r>
    </w:p>
    <w:p>
      <w:pPr>
        <w:kinsoku w:val="0"/>
        <w:spacing w:line="500" w:lineRule="exact"/>
        <w:ind w:firstLine="411" w:firstLineChars="196"/>
        <w:rPr>
          <w:color w:val="auto"/>
          <w:szCs w:val="21"/>
          <w:highlight w:val="none"/>
        </w:rPr>
      </w:pPr>
      <w:r>
        <w:rPr>
          <w:rFonts w:hint="eastAsia"/>
          <w:color w:val="auto"/>
          <w:szCs w:val="21"/>
          <w:highlight w:val="none"/>
        </w:rPr>
        <w:t>3、类别填写：节能环保产品或环境标志产品。</w:t>
      </w:r>
    </w:p>
    <w:p>
      <w:pPr>
        <w:rPr>
          <w:rFonts w:ascii="宋体" w:hAnsi="宋体" w:cs="宋体"/>
          <w:b/>
          <w:color w:val="auto"/>
          <w:szCs w:val="21"/>
          <w:highlight w:val="none"/>
        </w:rPr>
      </w:pPr>
      <w:r>
        <w:rPr>
          <w:rFonts w:ascii="宋体" w:hAnsi="宋体" w:cs="宋体"/>
          <w:b/>
          <w:color w:val="auto"/>
          <w:szCs w:val="21"/>
          <w:highlight w:val="none"/>
        </w:rPr>
        <w:br w:type="page"/>
      </w:r>
    </w:p>
    <w:p>
      <w:pPr>
        <w:spacing w:line="440" w:lineRule="exact"/>
        <w:rPr>
          <w:rFonts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4</w:t>
      </w:r>
      <w:r>
        <w:rPr>
          <w:rFonts w:ascii="宋体" w:hAnsi="宋体" w:cs="宋体"/>
          <w:b/>
          <w:color w:val="auto"/>
          <w:szCs w:val="21"/>
          <w:highlight w:val="none"/>
        </w:rPr>
        <w:t>其他证明材料：享受政府采购优惠政策产品的证明材料（如有</w:t>
      </w:r>
      <w:r>
        <w:rPr>
          <w:rFonts w:hint="eastAsia" w:ascii="宋体" w:hAnsi="宋体" w:cs="宋体"/>
          <w:b/>
          <w:color w:val="auto"/>
          <w:szCs w:val="21"/>
          <w:highlight w:val="none"/>
        </w:rPr>
        <w:t>,格式按照相关政策文件提供</w:t>
      </w:r>
      <w:r>
        <w:rPr>
          <w:rFonts w:ascii="宋体" w:hAnsi="宋体" w:cs="宋体"/>
          <w:b/>
          <w:color w:val="auto"/>
          <w:szCs w:val="21"/>
          <w:highlight w:val="none"/>
        </w:rPr>
        <w:t>）</w:t>
      </w:r>
    </w:p>
    <w:p>
      <w:pPr>
        <w:pStyle w:val="21"/>
        <w:adjustRightInd w:val="0"/>
        <w:snapToGrid w:val="0"/>
        <w:spacing w:before="120" w:beforeLines="50" w:line="440" w:lineRule="exact"/>
        <w:rPr>
          <w:rFonts w:ascii="Times New Roman" w:hAnsi="Times New Roman" w:cs="Times New Roman"/>
          <w:b/>
          <w:bCs/>
          <w:color w:val="auto"/>
          <w:highlight w:val="none"/>
        </w:rPr>
      </w:pPr>
      <w:r>
        <w:rPr>
          <w:rFonts w:ascii="Times New Roman" w:hAnsi="Times New Roman" w:cs="Times New Roman"/>
          <w:b/>
          <w:bCs/>
          <w:color w:val="auto"/>
          <w:highlight w:val="none"/>
        </w:rPr>
        <w:t>附件</w:t>
      </w:r>
      <w:r>
        <w:rPr>
          <w:rFonts w:hint="eastAsia" w:ascii="Times New Roman" w:hAnsi="Times New Roman" w:cs="Times New Roman"/>
          <w:b/>
          <w:bCs/>
          <w:color w:val="auto"/>
          <w:highlight w:val="none"/>
        </w:rPr>
        <w:t>1</w:t>
      </w:r>
      <w:r>
        <w:rPr>
          <w:rFonts w:ascii="Times New Roman" w:hAnsi="Times New Roman" w:cs="Times New Roman"/>
          <w:b/>
          <w:bCs/>
          <w:color w:val="auto"/>
          <w:highlight w:val="none"/>
        </w:rPr>
        <w:t>：中小企业声明函</w:t>
      </w:r>
    </w:p>
    <w:p>
      <w:pPr>
        <w:widowControl/>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bCs/>
          <w:color w:val="auto"/>
          <w:kern w:val="0"/>
          <w:sz w:val="24"/>
          <w:highlight w:val="none"/>
        </w:rPr>
        <w:t>中小企业声明函（货物）</w:t>
      </w:r>
    </w:p>
    <w:p>
      <w:pPr>
        <w:pStyle w:val="14"/>
        <w:spacing w:line="500" w:lineRule="exact"/>
        <w:ind w:firstLine="573"/>
        <w:rPr>
          <w:color w:val="auto"/>
          <w:szCs w:val="21"/>
          <w:highlight w:val="none"/>
        </w:rPr>
      </w:pPr>
      <w:r>
        <w:rPr>
          <w:rFonts w:hint="eastAsia"/>
          <w:color w:val="auto"/>
          <w:szCs w:val="21"/>
          <w:highlight w:val="none"/>
        </w:rPr>
        <w:t>本公司（联合体）郑重声明，根据《政府采购促进中小企业发展管理办法》（财库﹝2020﹞46 号）的规定，本公司（联合体）参加</w:t>
      </w:r>
      <w:r>
        <w:rPr>
          <w:rFonts w:hint="eastAsia"/>
          <w:color w:val="auto"/>
          <w:szCs w:val="21"/>
          <w:highlight w:val="none"/>
          <w:u w:val="single"/>
        </w:rPr>
        <w:t>（单位名称）</w:t>
      </w:r>
      <w:r>
        <w:rPr>
          <w:rFonts w:hint="eastAsia"/>
          <w:color w:val="auto"/>
          <w:szCs w:val="21"/>
          <w:highlight w:val="none"/>
        </w:rPr>
        <w:t>的</w:t>
      </w:r>
      <w:r>
        <w:rPr>
          <w:rFonts w:hint="eastAsia"/>
          <w:color w:val="auto"/>
          <w:szCs w:val="21"/>
          <w:highlight w:val="none"/>
          <w:u w:val="single"/>
        </w:rPr>
        <w:t>（项目名称）</w:t>
      </w:r>
      <w:r>
        <w:rPr>
          <w:rFonts w:hint="eastAsia"/>
          <w:color w:val="auto"/>
          <w:szCs w:val="21"/>
          <w:highlight w:val="none"/>
        </w:rPr>
        <w:t xml:space="preserve">采购活动，提供的货物全部由符合政策要求的中小企业制造。相关企业（含联合体中的中小企业、签订分包意向协议的中小企业）的具体情况如下： </w:t>
      </w:r>
    </w:p>
    <w:p>
      <w:pPr>
        <w:pStyle w:val="14"/>
        <w:spacing w:line="500" w:lineRule="exact"/>
        <w:ind w:firstLine="573"/>
        <w:rPr>
          <w:color w:val="auto"/>
          <w:szCs w:val="21"/>
          <w:highlight w:val="none"/>
        </w:rPr>
      </w:pPr>
      <w:r>
        <w:rPr>
          <w:rFonts w:hint="eastAsia"/>
          <w:color w:val="auto"/>
          <w:szCs w:val="21"/>
          <w:highlight w:val="none"/>
        </w:rPr>
        <w:t xml:space="preserve">1. </w:t>
      </w:r>
      <w:r>
        <w:rPr>
          <w:rFonts w:hint="eastAsia"/>
          <w:color w:val="auto"/>
          <w:szCs w:val="21"/>
          <w:highlight w:val="none"/>
          <w:u w:val="single"/>
        </w:rPr>
        <w:t xml:space="preserve">         （标的名称） </w:t>
      </w:r>
      <w:r>
        <w:rPr>
          <w:rFonts w:hint="eastAsia"/>
          <w:color w:val="auto"/>
          <w:szCs w:val="21"/>
          <w:highlight w:val="none"/>
        </w:rPr>
        <w:t>，属于</w:t>
      </w:r>
      <w:r>
        <w:rPr>
          <w:rFonts w:hint="eastAsia"/>
          <w:color w:val="auto"/>
          <w:szCs w:val="21"/>
          <w:highlight w:val="none"/>
          <w:u w:val="single"/>
        </w:rPr>
        <w:t>（采购文件中明确的所属行业）</w:t>
      </w:r>
      <w:r>
        <w:rPr>
          <w:rFonts w:hint="eastAsia"/>
          <w:color w:val="auto"/>
          <w:szCs w:val="21"/>
          <w:highlight w:val="none"/>
        </w:rPr>
        <w:t>行业；制造商为（企业名称），从业人员</w:t>
      </w:r>
      <w:r>
        <w:rPr>
          <w:rFonts w:hint="eastAsia"/>
          <w:color w:val="auto"/>
          <w:szCs w:val="21"/>
          <w:highlight w:val="none"/>
          <w:u w:val="single"/>
        </w:rPr>
        <w:t xml:space="preserve">       </w:t>
      </w:r>
      <w:r>
        <w:rPr>
          <w:rFonts w:hint="eastAsia"/>
          <w:color w:val="auto"/>
          <w:szCs w:val="21"/>
          <w:highlight w:val="none"/>
        </w:rPr>
        <w:t>人，营业收入为</w:t>
      </w:r>
      <w:r>
        <w:rPr>
          <w:rFonts w:hint="eastAsia"/>
          <w:color w:val="auto"/>
          <w:szCs w:val="21"/>
          <w:highlight w:val="none"/>
          <w:u w:val="single"/>
        </w:rPr>
        <w:t xml:space="preserve">         </w:t>
      </w:r>
      <w:r>
        <w:rPr>
          <w:rFonts w:hint="eastAsia"/>
          <w:color w:val="auto"/>
          <w:szCs w:val="21"/>
          <w:highlight w:val="none"/>
        </w:rPr>
        <w:t xml:space="preserve">万元，资产总额为万元，属于（中型企业、小型企业、微型企业）； </w:t>
      </w:r>
    </w:p>
    <w:p>
      <w:pPr>
        <w:pStyle w:val="14"/>
        <w:spacing w:line="500" w:lineRule="exact"/>
        <w:ind w:firstLine="573"/>
        <w:rPr>
          <w:color w:val="auto"/>
          <w:szCs w:val="21"/>
          <w:highlight w:val="none"/>
        </w:rPr>
      </w:pPr>
      <w:r>
        <w:rPr>
          <w:rFonts w:hint="eastAsia"/>
          <w:color w:val="auto"/>
          <w:szCs w:val="21"/>
          <w:highlight w:val="none"/>
        </w:rPr>
        <w:t xml:space="preserve">2. </w:t>
      </w:r>
      <w:r>
        <w:rPr>
          <w:rFonts w:hint="eastAsia"/>
          <w:color w:val="auto"/>
          <w:szCs w:val="21"/>
          <w:highlight w:val="none"/>
          <w:u w:val="single"/>
        </w:rPr>
        <w:t xml:space="preserve">        （标的名称） </w:t>
      </w:r>
      <w:r>
        <w:rPr>
          <w:rFonts w:hint="eastAsia"/>
          <w:color w:val="auto"/>
          <w:szCs w:val="21"/>
          <w:highlight w:val="none"/>
        </w:rPr>
        <w:t>，属于</w:t>
      </w:r>
      <w:r>
        <w:rPr>
          <w:rFonts w:hint="eastAsia"/>
          <w:color w:val="auto"/>
          <w:szCs w:val="21"/>
          <w:highlight w:val="none"/>
          <w:u w:val="single"/>
        </w:rPr>
        <w:t>（采购文件中明确的所属行业）</w:t>
      </w:r>
      <w:r>
        <w:rPr>
          <w:rFonts w:hint="eastAsia"/>
          <w:color w:val="auto"/>
          <w:szCs w:val="21"/>
          <w:highlight w:val="none"/>
        </w:rPr>
        <w:t>行业；制造商为（企业名称），从业人员</w:t>
      </w:r>
      <w:r>
        <w:rPr>
          <w:rFonts w:hint="eastAsia"/>
          <w:color w:val="auto"/>
          <w:szCs w:val="21"/>
          <w:highlight w:val="none"/>
          <w:u w:val="single"/>
        </w:rPr>
        <w:t xml:space="preserve">        </w:t>
      </w:r>
      <w:r>
        <w:rPr>
          <w:rFonts w:hint="eastAsia"/>
          <w:color w:val="auto"/>
          <w:szCs w:val="21"/>
          <w:highlight w:val="none"/>
        </w:rPr>
        <w:t xml:space="preserve">人，营业收入为 </w:t>
      </w:r>
      <w:r>
        <w:rPr>
          <w:rFonts w:hint="eastAsia"/>
          <w:color w:val="auto"/>
          <w:szCs w:val="21"/>
          <w:highlight w:val="none"/>
          <w:u w:val="single"/>
        </w:rPr>
        <w:t xml:space="preserve">         </w:t>
      </w:r>
      <w:r>
        <w:rPr>
          <w:rFonts w:hint="eastAsia"/>
          <w:color w:val="auto"/>
          <w:szCs w:val="21"/>
          <w:highlight w:val="none"/>
        </w:rPr>
        <w:t>万元，资产总额为</w:t>
      </w:r>
      <w:r>
        <w:rPr>
          <w:rFonts w:hint="eastAsia"/>
          <w:color w:val="auto"/>
          <w:szCs w:val="21"/>
          <w:highlight w:val="none"/>
          <w:u w:val="single"/>
        </w:rPr>
        <w:t xml:space="preserve">          </w:t>
      </w:r>
      <w:r>
        <w:rPr>
          <w:rFonts w:hint="eastAsia"/>
          <w:color w:val="auto"/>
          <w:szCs w:val="21"/>
          <w:highlight w:val="none"/>
        </w:rPr>
        <w:t>万元，属于（中型企业、小型企业、微型企业）；</w:t>
      </w:r>
    </w:p>
    <w:p>
      <w:pPr>
        <w:pStyle w:val="14"/>
        <w:spacing w:line="500" w:lineRule="exact"/>
        <w:ind w:firstLine="573"/>
        <w:rPr>
          <w:color w:val="auto"/>
          <w:szCs w:val="21"/>
          <w:highlight w:val="none"/>
        </w:rPr>
      </w:pPr>
      <w:r>
        <w:rPr>
          <w:rFonts w:hint="eastAsia"/>
          <w:color w:val="auto"/>
          <w:szCs w:val="21"/>
          <w:highlight w:val="none"/>
        </w:rPr>
        <w:t>……</w:t>
      </w:r>
    </w:p>
    <w:p>
      <w:pPr>
        <w:pStyle w:val="14"/>
        <w:spacing w:line="500" w:lineRule="exact"/>
        <w:ind w:firstLine="573"/>
        <w:rPr>
          <w:color w:val="auto"/>
          <w:szCs w:val="21"/>
          <w:highlight w:val="none"/>
        </w:rPr>
      </w:pPr>
      <w:r>
        <w:rPr>
          <w:rFonts w:hint="eastAsia"/>
          <w:color w:val="auto"/>
          <w:szCs w:val="21"/>
          <w:highlight w:val="none"/>
        </w:rPr>
        <w:t>以上企业，不属于大企业的分支机构，不存在控股股东为大企业的情形，也不存在与大企业的负责人为同一人的情形。</w:t>
      </w:r>
    </w:p>
    <w:p>
      <w:pPr>
        <w:pStyle w:val="14"/>
        <w:spacing w:line="500" w:lineRule="exact"/>
        <w:ind w:firstLine="573"/>
        <w:rPr>
          <w:color w:val="auto"/>
          <w:szCs w:val="21"/>
          <w:highlight w:val="none"/>
        </w:rPr>
      </w:pPr>
      <w:r>
        <w:rPr>
          <w:rFonts w:hint="eastAsia"/>
          <w:color w:val="auto"/>
          <w:szCs w:val="21"/>
          <w:highlight w:val="none"/>
        </w:rPr>
        <w:t xml:space="preserve">本企业对上述声明内容的真实性负责。如有虚假，将依法承担相应责任。 </w:t>
      </w:r>
    </w:p>
    <w:p>
      <w:pPr>
        <w:pStyle w:val="14"/>
        <w:spacing w:line="500" w:lineRule="exact"/>
        <w:ind w:firstLine="573"/>
        <w:rPr>
          <w:color w:val="auto"/>
          <w:szCs w:val="21"/>
          <w:highlight w:val="none"/>
        </w:rPr>
      </w:pPr>
    </w:p>
    <w:p>
      <w:pPr>
        <w:pStyle w:val="14"/>
        <w:spacing w:line="500" w:lineRule="exact"/>
        <w:ind w:firstLine="573"/>
        <w:rPr>
          <w:color w:val="auto"/>
          <w:szCs w:val="21"/>
          <w:highlight w:val="none"/>
        </w:rPr>
      </w:pPr>
    </w:p>
    <w:p>
      <w:pPr>
        <w:pStyle w:val="14"/>
        <w:spacing w:line="500" w:lineRule="exact"/>
        <w:ind w:firstLine="573"/>
        <w:rPr>
          <w:color w:val="auto"/>
          <w:szCs w:val="21"/>
          <w:highlight w:val="none"/>
        </w:rPr>
      </w:pPr>
    </w:p>
    <w:p>
      <w:pPr>
        <w:pStyle w:val="14"/>
        <w:spacing w:line="500" w:lineRule="exact"/>
        <w:ind w:firstLine="573"/>
        <w:rPr>
          <w:color w:val="auto"/>
          <w:szCs w:val="21"/>
          <w:highlight w:val="none"/>
        </w:rPr>
      </w:pPr>
      <w:r>
        <w:rPr>
          <w:rFonts w:hint="eastAsia"/>
          <w:color w:val="auto"/>
          <w:szCs w:val="21"/>
          <w:highlight w:val="none"/>
        </w:rPr>
        <w:t xml:space="preserve">企业名称（盖章）： </w:t>
      </w:r>
    </w:p>
    <w:p>
      <w:pPr>
        <w:pStyle w:val="14"/>
        <w:spacing w:line="500" w:lineRule="exact"/>
        <w:ind w:firstLine="573"/>
        <w:rPr>
          <w:color w:val="auto"/>
          <w:szCs w:val="21"/>
          <w:highlight w:val="none"/>
        </w:rPr>
      </w:pPr>
      <w:r>
        <w:rPr>
          <w:rFonts w:hint="eastAsia"/>
          <w:color w:val="auto"/>
          <w:szCs w:val="21"/>
          <w:highlight w:val="none"/>
        </w:rPr>
        <w:t xml:space="preserve">日 期： </w:t>
      </w:r>
    </w:p>
    <w:p>
      <w:pPr>
        <w:pStyle w:val="14"/>
        <w:spacing w:line="500" w:lineRule="exact"/>
        <w:ind w:firstLine="573"/>
        <w:rPr>
          <w:color w:val="auto"/>
          <w:szCs w:val="21"/>
          <w:highlight w:val="none"/>
        </w:rPr>
      </w:pPr>
      <w:r>
        <w:rPr>
          <w:rFonts w:hint="eastAsia"/>
          <w:color w:val="auto"/>
          <w:szCs w:val="21"/>
          <w:highlight w:val="none"/>
        </w:rPr>
        <w:t>注：从业人员、营业收入、资产总额填报上一年度数据，无上一年度数据的新成立企业可不填报。</w:t>
      </w:r>
    </w:p>
    <w:p>
      <w:pPr>
        <w:widowControl/>
        <w:jc w:val="left"/>
        <w:rPr>
          <w:color w:val="auto"/>
          <w:szCs w:val="21"/>
          <w:highlight w:val="none"/>
        </w:rPr>
      </w:pPr>
      <w:r>
        <w:rPr>
          <w:color w:val="auto"/>
          <w:szCs w:val="21"/>
          <w:highlight w:val="none"/>
        </w:rPr>
        <w:br w:type="page"/>
      </w:r>
    </w:p>
    <w:p>
      <w:pPr>
        <w:adjustRightInd w:val="0"/>
        <w:snapToGrid w:val="0"/>
        <w:spacing w:line="500" w:lineRule="exact"/>
        <w:jc w:val="left"/>
        <w:rPr>
          <w:rFonts w:ascii="宋体" w:hAnsi="宋体" w:cs="宋体"/>
          <w:b/>
          <w:bCs/>
          <w:color w:val="auto"/>
          <w:sz w:val="24"/>
          <w:highlight w:val="none"/>
        </w:rPr>
      </w:pPr>
      <w:r>
        <w:rPr>
          <w:rFonts w:hint="eastAsia"/>
          <w:b/>
          <w:bCs/>
          <w:color w:val="auto"/>
          <w:szCs w:val="21"/>
          <w:highlight w:val="none"/>
        </w:rPr>
        <w:t>附件2：监狱企业</w:t>
      </w:r>
    </w:p>
    <w:p>
      <w:pPr>
        <w:adjustRightInd w:val="0"/>
        <w:snapToGrid w:val="0"/>
        <w:spacing w:line="500" w:lineRule="exact"/>
        <w:ind w:firstLine="420" w:firstLineChars="200"/>
        <w:rPr>
          <w:color w:val="auto"/>
          <w:szCs w:val="21"/>
          <w:highlight w:val="none"/>
        </w:rPr>
      </w:pPr>
      <w:r>
        <w:rPr>
          <w:rFonts w:hint="eastAsia"/>
          <w:color w:val="auto"/>
          <w:szCs w:val="21"/>
          <w:highlight w:val="none"/>
        </w:rPr>
        <w:t>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监狱企业参加政府采购活动时，应当提供由省级以上监狱管理局、戒毒管理局(含新疆生产建设兵团)出具的属于监狱企业的证明文件。）</w:t>
      </w:r>
    </w:p>
    <w:p>
      <w:pPr>
        <w:pStyle w:val="14"/>
        <w:spacing w:line="440" w:lineRule="exact"/>
        <w:ind w:firstLine="0"/>
        <w:rPr>
          <w:color w:val="auto"/>
          <w:szCs w:val="21"/>
          <w:highlight w:val="none"/>
        </w:rPr>
      </w:pPr>
      <w:r>
        <w:rPr>
          <w:rFonts w:hint="eastAsia"/>
          <w:color w:val="auto"/>
          <w:szCs w:val="21"/>
          <w:highlight w:val="none"/>
        </w:rPr>
        <w:t>供应商为非企业单位的，可不提供此声明。</w:t>
      </w:r>
    </w:p>
    <w:p>
      <w:pPr>
        <w:rPr>
          <w:color w:val="auto"/>
          <w:szCs w:val="21"/>
          <w:highlight w:val="none"/>
        </w:rPr>
      </w:pPr>
      <w:r>
        <w:rPr>
          <w:rFonts w:hint="eastAsia"/>
          <w:color w:val="auto"/>
          <w:szCs w:val="21"/>
          <w:highlight w:val="none"/>
        </w:rPr>
        <w:br w:type="page"/>
      </w:r>
    </w:p>
    <w:p>
      <w:pPr>
        <w:pStyle w:val="14"/>
        <w:spacing w:line="440" w:lineRule="exact"/>
        <w:ind w:firstLine="0"/>
        <w:rPr>
          <w:rFonts w:ascii="宋体" w:hAnsi="宋体" w:cs="宋体"/>
          <w:b/>
          <w:color w:val="auto"/>
          <w:szCs w:val="21"/>
          <w:highlight w:val="none"/>
        </w:rPr>
      </w:pPr>
      <w:r>
        <w:rPr>
          <w:rFonts w:hint="eastAsia" w:ascii="宋体" w:hAnsi="宋体" w:cs="宋体"/>
          <w:b/>
          <w:color w:val="auto"/>
          <w:szCs w:val="21"/>
          <w:highlight w:val="none"/>
        </w:rPr>
        <w:t>附件3：残疾人福利性单位声明函</w:t>
      </w:r>
    </w:p>
    <w:p>
      <w:pPr>
        <w:widowControl/>
        <w:jc w:val="center"/>
        <w:rPr>
          <w:rFonts w:cs="宋体" w:asciiTheme="minorEastAsia" w:hAnsiTheme="minorEastAsia" w:eastAsiaTheme="minorEastAsia"/>
          <w:b/>
          <w:bCs/>
          <w:color w:val="auto"/>
          <w:kern w:val="0"/>
          <w:sz w:val="24"/>
          <w:highlight w:val="none"/>
        </w:rPr>
      </w:pPr>
    </w:p>
    <w:p>
      <w:pPr>
        <w:widowControl/>
        <w:jc w:val="center"/>
        <w:rPr>
          <w:rFonts w:cs="宋体" w:asciiTheme="minorEastAsia" w:hAnsiTheme="minorEastAsia" w:eastAsiaTheme="minorEastAsia"/>
          <w:b/>
          <w:bCs/>
          <w:color w:val="auto"/>
          <w:kern w:val="0"/>
          <w:sz w:val="24"/>
          <w:highlight w:val="none"/>
        </w:rPr>
      </w:pPr>
    </w:p>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残疾人福利性单位声明函</w:t>
      </w:r>
    </w:p>
    <w:p>
      <w:pPr>
        <w:pStyle w:val="14"/>
        <w:spacing w:line="500" w:lineRule="exact"/>
        <w:ind w:firstLine="573"/>
        <w:rPr>
          <w:color w:val="auto"/>
          <w:szCs w:val="21"/>
          <w:highlight w:val="none"/>
        </w:rPr>
      </w:pPr>
    </w:p>
    <w:p>
      <w:pPr>
        <w:pStyle w:val="14"/>
        <w:spacing w:line="500" w:lineRule="exact"/>
        <w:ind w:firstLine="573"/>
        <w:rPr>
          <w:color w:val="auto"/>
          <w:szCs w:val="21"/>
          <w:highlight w:val="none"/>
        </w:rPr>
      </w:pPr>
      <w:r>
        <w:rPr>
          <w:rFonts w:hint="eastAsia"/>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4"/>
        <w:spacing w:line="500" w:lineRule="exact"/>
        <w:ind w:firstLine="573"/>
        <w:rPr>
          <w:rFonts w:ascii="仿宋_GB2312" w:eastAsia="仿宋_GB2312"/>
          <w:color w:val="auto"/>
          <w:spacing w:val="6"/>
          <w:sz w:val="30"/>
          <w:szCs w:val="30"/>
          <w:highlight w:val="none"/>
        </w:rPr>
      </w:pPr>
      <w:r>
        <w:rPr>
          <w:rFonts w:hint="eastAsia"/>
          <w:color w:val="auto"/>
          <w:szCs w:val="21"/>
          <w:highlight w:val="none"/>
        </w:rPr>
        <w:t>本单位对上述声明的真实性负责。如有虚假，将依法承担相应责任。</w:t>
      </w:r>
    </w:p>
    <w:p>
      <w:pPr>
        <w:spacing w:line="588" w:lineRule="exact"/>
        <w:ind w:firstLine="624" w:firstLineChars="200"/>
        <w:rPr>
          <w:rFonts w:ascii="仿宋_GB2312" w:eastAsia="仿宋_GB2312"/>
          <w:color w:val="auto"/>
          <w:spacing w:val="6"/>
          <w:sz w:val="30"/>
          <w:szCs w:val="30"/>
          <w:highlight w:val="none"/>
        </w:rPr>
      </w:pPr>
    </w:p>
    <w:p>
      <w:pPr>
        <w:spacing w:line="588" w:lineRule="exact"/>
        <w:ind w:firstLine="624" w:firstLineChars="200"/>
        <w:rPr>
          <w:rFonts w:ascii="仿宋_GB2312" w:eastAsia="仿宋_GB2312"/>
          <w:color w:val="auto"/>
          <w:spacing w:val="6"/>
          <w:sz w:val="30"/>
          <w:szCs w:val="30"/>
          <w:highlight w:val="none"/>
        </w:rPr>
      </w:pPr>
    </w:p>
    <w:p>
      <w:pPr>
        <w:tabs>
          <w:tab w:val="left" w:pos="4860"/>
        </w:tabs>
        <w:spacing w:line="588" w:lineRule="exact"/>
        <w:ind w:right="1560" w:firstLine="624" w:firstLineChars="200"/>
        <w:jc w:val="center"/>
        <w:rPr>
          <w:rFonts w:ascii="宋体" w:hAnsi="宋体"/>
          <w:color w:val="auto"/>
          <w:spacing w:val="6"/>
          <w:szCs w:val="21"/>
          <w:highlight w:val="none"/>
        </w:rPr>
      </w:pPr>
      <w:r>
        <w:rPr>
          <w:rFonts w:hint="eastAsia" w:ascii="仿宋_GB2312" w:eastAsia="仿宋_GB2312"/>
          <w:color w:val="auto"/>
          <w:spacing w:val="6"/>
          <w:sz w:val="30"/>
          <w:szCs w:val="30"/>
          <w:highlight w:val="none"/>
        </w:rPr>
        <w:t xml:space="preserve">              </w:t>
      </w:r>
      <w:r>
        <w:rPr>
          <w:rFonts w:hint="eastAsia" w:ascii="宋体" w:hAnsi="宋体"/>
          <w:color w:val="auto"/>
          <w:spacing w:val="6"/>
          <w:szCs w:val="21"/>
          <w:highlight w:val="none"/>
        </w:rPr>
        <w:t xml:space="preserve"> 单位名称（盖章）：</w:t>
      </w:r>
    </w:p>
    <w:p>
      <w:pPr>
        <w:pStyle w:val="14"/>
        <w:spacing w:line="440" w:lineRule="exact"/>
        <w:ind w:firstLine="0"/>
        <w:rPr>
          <w:rFonts w:cs="新宋体" w:asciiTheme="minorEastAsia" w:hAnsiTheme="minorEastAsia" w:eastAsiaTheme="minorEastAsia"/>
          <w:color w:val="auto"/>
          <w:szCs w:val="21"/>
          <w:highlight w:val="none"/>
        </w:rPr>
      </w:pPr>
      <w:r>
        <w:rPr>
          <w:rFonts w:hint="eastAsia" w:ascii="宋体" w:hAnsi="宋体"/>
          <w:color w:val="auto"/>
          <w:spacing w:val="6"/>
          <w:szCs w:val="21"/>
          <w:highlight w:val="none"/>
        </w:rPr>
        <w:t xml:space="preserve">      </w:t>
      </w:r>
      <w:r>
        <w:rPr>
          <w:rFonts w:hint="eastAsia" w:asciiTheme="minorEastAsia" w:hAnsiTheme="minorEastAsia" w:eastAsiaTheme="minorEastAsia"/>
          <w:color w:val="auto"/>
          <w:spacing w:val="6"/>
          <w:szCs w:val="21"/>
          <w:highlight w:val="none"/>
        </w:rPr>
        <w:t xml:space="preserve">                                 </w:t>
      </w:r>
      <w:r>
        <w:rPr>
          <w:rFonts w:hint="eastAsia" w:ascii="宋体" w:hAnsi="宋体"/>
          <w:color w:val="auto"/>
          <w:spacing w:val="6"/>
          <w:szCs w:val="21"/>
          <w:highlight w:val="none"/>
        </w:rPr>
        <w:t xml:space="preserve"> 日  期：</w:t>
      </w: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pStyle w:val="14"/>
        <w:spacing w:line="440" w:lineRule="exact"/>
        <w:ind w:firstLine="0"/>
        <w:rPr>
          <w:rFonts w:ascii="新宋体" w:hAnsi="新宋体" w:eastAsia="新宋体" w:cs="新宋体"/>
          <w:color w:val="auto"/>
          <w:sz w:val="28"/>
          <w:szCs w:val="28"/>
          <w:highlight w:val="none"/>
        </w:rPr>
      </w:pPr>
    </w:p>
    <w:p>
      <w:pPr>
        <w:spacing w:line="440" w:lineRule="exact"/>
        <w:rPr>
          <w:rFonts w:ascii="宋体" w:hAnsi="宋体" w:cs="宋体"/>
          <w:b/>
          <w:color w:val="auto"/>
          <w:szCs w:val="21"/>
          <w:highlight w:val="none"/>
        </w:rPr>
      </w:pPr>
    </w:p>
    <w:p>
      <w:pPr>
        <w:spacing w:after="120" w:afterLines="50" w:line="440" w:lineRule="exact"/>
        <w:jc w:val="center"/>
        <w:rPr>
          <w:rFonts w:ascii="宋体" w:hAnsi="宋体" w:cs="宋体"/>
          <w:b/>
          <w:color w:val="auto"/>
          <w:szCs w:val="21"/>
          <w:highlight w:val="none"/>
        </w:rPr>
      </w:pPr>
      <w:r>
        <w:rPr>
          <w:rFonts w:hint="eastAsia" w:ascii="宋体" w:hAnsi="宋体" w:cs="宋体"/>
          <w:b/>
          <w:color w:val="auto"/>
          <w:szCs w:val="21"/>
          <w:highlight w:val="none"/>
        </w:rPr>
        <w:t>七、谈判方案</w:t>
      </w:r>
    </w:p>
    <w:p>
      <w:pPr>
        <w:rPr>
          <w:color w:val="auto"/>
          <w:highlight w:val="none"/>
        </w:rPr>
      </w:pPr>
    </w:p>
    <w:p>
      <w:pPr>
        <w:pStyle w:val="14"/>
        <w:spacing w:line="360" w:lineRule="auto"/>
        <w:ind w:firstLine="0"/>
        <w:rPr>
          <w:rFonts w:ascii="新宋体" w:hAnsi="新宋体" w:cs="新宋体"/>
          <w:b/>
          <w:color w:val="auto"/>
          <w:szCs w:val="21"/>
          <w:highlight w:val="none"/>
        </w:rPr>
      </w:pPr>
      <w:r>
        <w:rPr>
          <w:rFonts w:hint="eastAsia"/>
          <w:color w:val="auto"/>
          <w:szCs w:val="21"/>
          <w:highlight w:val="none"/>
        </w:rPr>
        <w:t xml:space="preserve">    </w:t>
      </w:r>
    </w:p>
    <w:p>
      <w:pPr>
        <w:widowControl/>
        <w:spacing w:line="360" w:lineRule="auto"/>
        <w:jc w:val="left"/>
        <w:rPr>
          <w:color w:val="auto"/>
          <w:szCs w:val="21"/>
          <w:highlight w:val="none"/>
        </w:rPr>
      </w:pPr>
      <w:r>
        <w:rPr>
          <w:rFonts w:hint="eastAsia" w:ascii="宋体" w:hAnsi="宋体" w:cs="宋体"/>
          <w:b/>
          <w:bCs/>
          <w:color w:val="auto"/>
          <w:kern w:val="0"/>
          <w:szCs w:val="21"/>
          <w:highlight w:val="none"/>
          <w:lang w:bidi="ar"/>
        </w:rPr>
        <w:t xml:space="preserve">供应商应按照谈判文件的要求编制技术响应说明书，主要内容包含但不限于以下内容： </w:t>
      </w:r>
    </w:p>
    <w:p>
      <w:pPr>
        <w:widowControl/>
        <w:spacing w:line="360" w:lineRule="auto"/>
        <w:jc w:val="left"/>
        <w:rPr>
          <w:color w:val="auto"/>
          <w:szCs w:val="21"/>
          <w:highlight w:val="none"/>
        </w:rPr>
      </w:pPr>
      <w:r>
        <w:rPr>
          <w:rFonts w:hint="eastAsia" w:ascii="宋体" w:hAnsi="宋体" w:cs="宋体"/>
          <w:color w:val="auto"/>
          <w:kern w:val="0"/>
          <w:szCs w:val="21"/>
          <w:highlight w:val="none"/>
          <w:lang w:bidi="ar"/>
        </w:rPr>
        <w:t xml:space="preserve">1.供应商对本项目需求进行响应并提供相应的技术支持文件，包含但不限于检测报告、合格证、来源渠道证明文件等； </w:t>
      </w:r>
    </w:p>
    <w:p>
      <w:pPr>
        <w:widowControl/>
        <w:spacing w:line="360" w:lineRule="auto"/>
        <w:jc w:val="left"/>
        <w:rPr>
          <w:color w:val="auto"/>
          <w:szCs w:val="21"/>
          <w:highlight w:val="none"/>
        </w:rPr>
      </w:pPr>
      <w:r>
        <w:rPr>
          <w:rFonts w:hint="eastAsia" w:ascii="宋体" w:hAnsi="宋体" w:cs="宋体"/>
          <w:color w:val="auto"/>
          <w:kern w:val="0"/>
          <w:szCs w:val="21"/>
          <w:highlight w:val="none"/>
          <w:lang w:bidi="ar"/>
        </w:rPr>
        <w:t xml:space="preserve">2.针对本项目提出整体项目实施方案； </w:t>
      </w:r>
    </w:p>
    <w:p>
      <w:pPr>
        <w:widowControl/>
        <w:spacing w:line="360" w:lineRule="auto"/>
        <w:jc w:val="left"/>
        <w:rPr>
          <w:color w:val="auto"/>
          <w:szCs w:val="21"/>
          <w:highlight w:val="none"/>
        </w:rPr>
      </w:pPr>
      <w:r>
        <w:rPr>
          <w:rFonts w:hint="eastAsia" w:ascii="宋体" w:hAnsi="宋体" w:cs="宋体"/>
          <w:color w:val="auto"/>
          <w:kern w:val="0"/>
          <w:szCs w:val="21"/>
          <w:highlight w:val="none"/>
          <w:lang w:bidi="ar"/>
        </w:rPr>
        <w:t xml:space="preserve">3.提供详细供货计划、项目整体进度安排、保证按时完成项目内容； </w:t>
      </w:r>
    </w:p>
    <w:p>
      <w:pPr>
        <w:widowControl/>
        <w:spacing w:line="360" w:lineRule="auto"/>
        <w:jc w:val="left"/>
        <w:rPr>
          <w:color w:val="auto"/>
          <w:szCs w:val="21"/>
          <w:highlight w:val="none"/>
        </w:rPr>
      </w:pPr>
      <w:r>
        <w:rPr>
          <w:rFonts w:hint="eastAsia" w:ascii="宋体" w:hAnsi="宋体" w:cs="宋体"/>
          <w:color w:val="auto"/>
          <w:kern w:val="0"/>
          <w:szCs w:val="21"/>
          <w:highlight w:val="none"/>
          <w:lang w:bidi="ar"/>
        </w:rPr>
        <w:t xml:space="preserve">4.提供针对本项目的人员配备及售后服务方案； </w:t>
      </w:r>
    </w:p>
    <w:p>
      <w:pPr>
        <w:widowControl/>
        <w:spacing w:line="360" w:lineRule="auto"/>
        <w:jc w:val="left"/>
        <w:rPr>
          <w:color w:val="auto"/>
          <w:szCs w:val="21"/>
          <w:highlight w:val="none"/>
        </w:rPr>
      </w:pPr>
      <w:r>
        <w:rPr>
          <w:rFonts w:hint="eastAsia" w:ascii="宋体" w:hAnsi="宋体" w:cs="宋体"/>
          <w:color w:val="auto"/>
          <w:kern w:val="0"/>
          <w:szCs w:val="21"/>
          <w:highlight w:val="none"/>
          <w:lang w:bidi="ar"/>
        </w:rPr>
        <w:t>5.供应商认为有必要说明的其他问题。</w:t>
      </w:r>
    </w:p>
    <w:p>
      <w:pPr>
        <w:pStyle w:val="14"/>
        <w:spacing w:line="500" w:lineRule="exact"/>
        <w:ind w:firstLine="573"/>
        <w:rPr>
          <w:color w:val="auto"/>
          <w:szCs w:val="21"/>
          <w:highlight w:val="none"/>
        </w:rPr>
      </w:pPr>
    </w:p>
    <w:p>
      <w:pPr>
        <w:pStyle w:val="14"/>
        <w:spacing w:line="500" w:lineRule="exact"/>
        <w:ind w:firstLine="573"/>
        <w:rPr>
          <w:color w:val="auto"/>
          <w:szCs w:val="21"/>
          <w:highlight w:val="none"/>
        </w:rPr>
      </w:pPr>
    </w:p>
    <w:p>
      <w:pPr>
        <w:pStyle w:val="14"/>
        <w:spacing w:line="500" w:lineRule="exact"/>
        <w:ind w:firstLine="573"/>
        <w:rPr>
          <w:color w:val="auto"/>
          <w:szCs w:val="21"/>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rPr>
          <w:rFonts w:ascii="Tahoma" w:hAnsi="Tahoma"/>
          <w:color w:val="auto"/>
          <w:sz w:val="30"/>
          <w:szCs w:val="30"/>
          <w:highlight w:val="none"/>
        </w:rPr>
      </w:pPr>
    </w:p>
    <w:p>
      <w:pPr>
        <w:widowControl/>
        <w:jc w:val="left"/>
        <w:rPr>
          <w:rFonts w:ascii="Tahoma" w:hAnsi="Tahoma"/>
          <w:b/>
          <w:bCs/>
          <w:color w:val="auto"/>
          <w:szCs w:val="21"/>
          <w:highlight w:val="none"/>
        </w:rPr>
      </w:pPr>
      <w:r>
        <w:rPr>
          <w:rFonts w:ascii="Tahoma" w:hAnsi="Tahoma"/>
          <w:b/>
          <w:bCs/>
          <w:color w:val="auto"/>
          <w:szCs w:val="21"/>
          <w:highlight w:val="none"/>
        </w:rPr>
        <w:br w:type="page"/>
      </w:r>
    </w:p>
    <w:p>
      <w:pPr>
        <w:spacing w:line="440" w:lineRule="exact"/>
        <w:rPr>
          <w:rFonts w:ascii="Tahoma" w:hAnsi="Tahoma"/>
          <w:b/>
          <w:bCs/>
          <w:color w:val="auto"/>
          <w:szCs w:val="21"/>
          <w:highlight w:val="none"/>
        </w:rPr>
      </w:pPr>
      <w:r>
        <w:rPr>
          <w:rFonts w:hint="eastAsia" w:ascii="Tahoma" w:hAnsi="Tahoma"/>
          <w:b/>
          <w:bCs/>
          <w:color w:val="auto"/>
          <w:szCs w:val="21"/>
          <w:highlight w:val="none"/>
        </w:rPr>
        <w:t>附表1：</w:t>
      </w:r>
    </w:p>
    <w:p>
      <w:pPr>
        <w:spacing w:line="440" w:lineRule="exact"/>
        <w:rPr>
          <w:color w:val="auto"/>
          <w:szCs w:val="21"/>
          <w:highlight w:val="none"/>
        </w:rPr>
      </w:pPr>
    </w:p>
    <w:p>
      <w:pPr>
        <w:spacing w:after="120" w:afterLines="50" w:line="560" w:lineRule="exact"/>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技术规格偏离表</w:t>
      </w:r>
    </w:p>
    <w:p>
      <w:pPr>
        <w:spacing w:line="560" w:lineRule="exact"/>
        <w:rPr>
          <w:rFonts w:ascii="宋体" w:hAnsi="宋体" w:cs="宋体"/>
          <w:b/>
          <w:bCs/>
          <w:color w:val="auto"/>
          <w:sz w:val="36"/>
          <w:szCs w:val="36"/>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项目编号：</w:t>
      </w:r>
      <w:r>
        <w:rPr>
          <w:rFonts w:hint="eastAsia" w:ascii="宋体" w:hAnsi="宋体"/>
          <w:color w:val="auto"/>
          <w:szCs w:val="21"/>
          <w:highlight w:val="none"/>
          <w:u w:val="single"/>
        </w:rPr>
        <w:t xml:space="preserve">              </w:t>
      </w:r>
    </w:p>
    <w:tbl>
      <w:tblPr>
        <w:tblStyle w:val="39"/>
        <w:tblW w:w="10155" w:type="dxa"/>
        <w:tblInd w:w="-4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5"/>
        <w:gridCol w:w="2520"/>
        <w:gridCol w:w="3510"/>
        <w:gridCol w:w="1065"/>
        <w:gridCol w:w="12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90" w:type="dxa"/>
            <w:tcBorders>
              <w:tl2br w:val="nil"/>
              <w:tr2bl w:val="nil"/>
            </w:tcBorders>
            <w:vAlign w:val="center"/>
          </w:tcPr>
          <w:p>
            <w:pPr>
              <w:spacing w:line="280" w:lineRule="exact"/>
              <w:jc w:val="center"/>
              <w:rPr>
                <w:rFonts w:ascii="宋体" w:hAnsi="宋体"/>
                <w:b/>
                <w:bCs/>
                <w:color w:val="auto"/>
                <w:position w:val="4"/>
                <w:szCs w:val="21"/>
                <w:highlight w:val="none"/>
              </w:rPr>
            </w:pPr>
            <w:r>
              <w:rPr>
                <w:rFonts w:hint="eastAsia" w:ascii="新宋体" w:hAnsi="新宋体" w:cs="新宋体"/>
                <w:b/>
                <w:color w:val="auto"/>
                <w:szCs w:val="21"/>
                <w:highlight w:val="none"/>
              </w:rPr>
              <w:t>序号</w:t>
            </w:r>
          </w:p>
        </w:tc>
        <w:tc>
          <w:tcPr>
            <w:tcW w:w="1095" w:type="dxa"/>
            <w:tcBorders>
              <w:tl2br w:val="nil"/>
              <w:tr2bl w:val="nil"/>
            </w:tcBorders>
            <w:vAlign w:val="center"/>
          </w:tcPr>
          <w:p>
            <w:pPr>
              <w:spacing w:line="280" w:lineRule="exact"/>
              <w:jc w:val="center"/>
              <w:rPr>
                <w:rFonts w:ascii="宋体" w:hAnsi="宋体"/>
                <w:b/>
                <w:bCs/>
                <w:color w:val="auto"/>
                <w:position w:val="4"/>
                <w:szCs w:val="21"/>
                <w:highlight w:val="none"/>
              </w:rPr>
            </w:pPr>
            <w:r>
              <w:rPr>
                <w:rFonts w:hint="eastAsia" w:ascii="新宋体" w:hAnsi="新宋体" w:cs="新宋体"/>
                <w:b/>
                <w:color w:val="auto"/>
                <w:szCs w:val="21"/>
                <w:highlight w:val="none"/>
              </w:rPr>
              <w:t>产品名称</w:t>
            </w:r>
          </w:p>
        </w:tc>
        <w:tc>
          <w:tcPr>
            <w:tcW w:w="2520" w:type="dxa"/>
            <w:tcBorders>
              <w:tl2br w:val="nil"/>
              <w:tr2bl w:val="nil"/>
            </w:tcBorders>
            <w:vAlign w:val="center"/>
          </w:tcPr>
          <w:p>
            <w:pPr>
              <w:spacing w:line="280" w:lineRule="exact"/>
              <w:jc w:val="center"/>
              <w:rPr>
                <w:rFonts w:ascii="宋体" w:hAnsi="宋体"/>
                <w:b/>
                <w:bCs/>
                <w:color w:val="auto"/>
                <w:position w:val="4"/>
                <w:szCs w:val="21"/>
                <w:highlight w:val="none"/>
              </w:rPr>
            </w:pPr>
            <w:r>
              <w:rPr>
                <w:rFonts w:hint="eastAsia" w:ascii="新宋体" w:hAnsi="新宋体" w:cs="新宋体"/>
                <w:b/>
                <w:color w:val="auto"/>
                <w:szCs w:val="21"/>
                <w:highlight w:val="none"/>
              </w:rPr>
              <w:t>谈判文件要求</w:t>
            </w:r>
          </w:p>
        </w:tc>
        <w:tc>
          <w:tcPr>
            <w:tcW w:w="3510" w:type="dxa"/>
            <w:tcBorders>
              <w:tl2br w:val="nil"/>
              <w:tr2bl w:val="nil"/>
            </w:tcBorders>
            <w:vAlign w:val="center"/>
          </w:tcPr>
          <w:p>
            <w:pPr>
              <w:spacing w:line="280" w:lineRule="exact"/>
              <w:jc w:val="center"/>
              <w:rPr>
                <w:rFonts w:ascii="宋体" w:hAnsi="宋体"/>
                <w:b/>
                <w:bCs/>
                <w:color w:val="auto"/>
                <w:position w:val="4"/>
                <w:szCs w:val="21"/>
                <w:highlight w:val="none"/>
              </w:rPr>
            </w:pPr>
            <w:r>
              <w:rPr>
                <w:rFonts w:hint="eastAsia" w:ascii="新宋体" w:hAnsi="新宋体" w:cs="新宋体"/>
                <w:b/>
                <w:color w:val="auto"/>
                <w:szCs w:val="21"/>
                <w:highlight w:val="none"/>
              </w:rPr>
              <w:t>竞争性谈判响应文件配置、规格及主要技术参数</w:t>
            </w:r>
          </w:p>
        </w:tc>
        <w:tc>
          <w:tcPr>
            <w:tcW w:w="1065" w:type="dxa"/>
            <w:tcBorders>
              <w:tl2br w:val="nil"/>
              <w:tr2bl w:val="nil"/>
            </w:tcBorders>
            <w:vAlign w:val="center"/>
          </w:tcPr>
          <w:p>
            <w:pPr>
              <w:spacing w:line="280" w:lineRule="exact"/>
              <w:jc w:val="center"/>
              <w:rPr>
                <w:rFonts w:ascii="宋体" w:hAnsi="宋体"/>
                <w:b/>
                <w:bCs/>
                <w:color w:val="auto"/>
                <w:position w:val="4"/>
                <w:szCs w:val="21"/>
                <w:highlight w:val="none"/>
              </w:rPr>
            </w:pPr>
            <w:r>
              <w:rPr>
                <w:rFonts w:hint="eastAsia" w:ascii="新宋体" w:hAnsi="新宋体" w:cs="新宋体"/>
                <w:b/>
                <w:color w:val="auto"/>
                <w:szCs w:val="21"/>
                <w:highlight w:val="none"/>
              </w:rPr>
              <w:t>偏离情况</w:t>
            </w:r>
          </w:p>
        </w:tc>
        <w:tc>
          <w:tcPr>
            <w:tcW w:w="1275" w:type="dxa"/>
            <w:tcBorders>
              <w:tl2br w:val="nil"/>
              <w:tr2bl w:val="nil"/>
            </w:tcBorders>
            <w:vAlign w:val="center"/>
          </w:tcPr>
          <w:p>
            <w:pPr>
              <w:spacing w:line="280" w:lineRule="exact"/>
              <w:jc w:val="center"/>
              <w:rPr>
                <w:rFonts w:ascii="宋体" w:hAnsi="宋体"/>
                <w:b/>
                <w:bCs/>
                <w:color w:val="auto"/>
                <w:position w:val="4"/>
                <w:szCs w:val="21"/>
                <w:highlight w:val="none"/>
              </w:rPr>
            </w:pPr>
            <w:r>
              <w:rPr>
                <w:rFonts w:hint="eastAsia" w:ascii="新宋体" w:hAnsi="新宋体" w:cs="新宋体"/>
                <w:b/>
                <w:color w:val="auto"/>
                <w:szCs w:val="21"/>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b/>
                <w:bCs/>
                <w:color w:val="auto"/>
                <w:position w:val="4"/>
                <w:sz w:val="32"/>
                <w:szCs w:val="32"/>
                <w:highlight w:val="none"/>
              </w:rPr>
            </w:pPr>
          </w:p>
        </w:tc>
        <w:tc>
          <w:tcPr>
            <w:tcW w:w="1095" w:type="dxa"/>
            <w:tcBorders>
              <w:tl2br w:val="nil"/>
              <w:tr2bl w:val="nil"/>
            </w:tcBorders>
          </w:tcPr>
          <w:p>
            <w:pPr>
              <w:spacing w:line="560" w:lineRule="exact"/>
              <w:rPr>
                <w:rFonts w:ascii="宋体" w:hAnsi="宋体"/>
                <w:b/>
                <w:bCs/>
                <w:color w:val="auto"/>
                <w:position w:val="4"/>
                <w:sz w:val="32"/>
                <w:szCs w:val="32"/>
                <w:highlight w:val="none"/>
              </w:rPr>
            </w:pPr>
          </w:p>
        </w:tc>
        <w:tc>
          <w:tcPr>
            <w:tcW w:w="2520" w:type="dxa"/>
            <w:tcBorders>
              <w:tl2br w:val="nil"/>
              <w:tr2bl w:val="nil"/>
            </w:tcBorders>
          </w:tcPr>
          <w:p>
            <w:pPr>
              <w:spacing w:line="560" w:lineRule="exact"/>
              <w:rPr>
                <w:rFonts w:ascii="宋体" w:hAnsi="宋体"/>
                <w:b/>
                <w:bCs/>
                <w:color w:val="auto"/>
                <w:position w:val="4"/>
                <w:sz w:val="32"/>
                <w:szCs w:val="32"/>
                <w:highlight w:val="none"/>
              </w:rPr>
            </w:pPr>
          </w:p>
        </w:tc>
        <w:tc>
          <w:tcPr>
            <w:tcW w:w="3510" w:type="dxa"/>
            <w:tcBorders>
              <w:tl2br w:val="nil"/>
              <w:tr2bl w:val="nil"/>
            </w:tcBorders>
          </w:tcPr>
          <w:p>
            <w:pPr>
              <w:spacing w:line="560" w:lineRule="exact"/>
              <w:rPr>
                <w:rFonts w:ascii="宋体" w:hAnsi="宋体"/>
                <w:b/>
                <w:bCs/>
                <w:color w:val="auto"/>
                <w:position w:val="4"/>
                <w:sz w:val="32"/>
                <w:szCs w:val="32"/>
                <w:highlight w:val="none"/>
              </w:rPr>
            </w:pPr>
          </w:p>
        </w:tc>
        <w:tc>
          <w:tcPr>
            <w:tcW w:w="1065" w:type="dxa"/>
            <w:tcBorders>
              <w:tl2br w:val="nil"/>
              <w:tr2bl w:val="nil"/>
            </w:tcBorders>
          </w:tcPr>
          <w:p>
            <w:pPr>
              <w:spacing w:line="560" w:lineRule="exact"/>
              <w:rPr>
                <w:rFonts w:ascii="宋体" w:hAnsi="宋体"/>
                <w:b/>
                <w:bCs/>
                <w:color w:val="auto"/>
                <w:position w:val="4"/>
                <w:sz w:val="32"/>
                <w:szCs w:val="32"/>
                <w:highlight w:val="none"/>
              </w:rPr>
            </w:pPr>
          </w:p>
        </w:tc>
        <w:tc>
          <w:tcPr>
            <w:tcW w:w="1275" w:type="dxa"/>
            <w:tcBorders>
              <w:tl2br w:val="nil"/>
              <w:tr2bl w:val="nil"/>
            </w:tcBorders>
          </w:tcPr>
          <w:p>
            <w:pPr>
              <w:spacing w:line="560" w:lineRule="exact"/>
              <w:rPr>
                <w:rFonts w:ascii="宋体" w:hAnsi="宋体"/>
                <w:b/>
                <w:bCs/>
                <w:color w:val="auto"/>
                <w:position w:val="4"/>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b/>
                <w:bCs/>
                <w:color w:val="auto"/>
                <w:position w:val="4"/>
                <w:sz w:val="32"/>
                <w:szCs w:val="32"/>
                <w:highlight w:val="none"/>
              </w:rPr>
            </w:pPr>
          </w:p>
        </w:tc>
        <w:tc>
          <w:tcPr>
            <w:tcW w:w="1095" w:type="dxa"/>
            <w:tcBorders>
              <w:tl2br w:val="nil"/>
              <w:tr2bl w:val="nil"/>
            </w:tcBorders>
          </w:tcPr>
          <w:p>
            <w:pPr>
              <w:spacing w:line="560" w:lineRule="exact"/>
              <w:rPr>
                <w:rFonts w:ascii="宋体" w:hAnsi="宋体"/>
                <w:b/>
                <w:bCs/>
                <w:color w:val="auto"/>
                <w:position w:val="4"/>
                <w:sz w:val="32"/>
                <w:szCs w:val="32"/>
                <w:highlight w:val="none"/>
              </w:rPr>
            </w:pPr>
          </w:p>
        </w:tc>
        <w:tc>
          <w:tcPr>
            <w:tcW w:w="2520" w:type="dxa"/>
            <w:tcBorders>
              <w:tl2br w:val="nil"/>
              <w:tr2bl w:val="nil"/>
            </w:tcBorders>
          </w:tcPr>
          <w:p>
            <w:pPr>
              <w:spacing w:line="560" w:lineRule="exact"/>
              <w:rPr>
                <w:rFonts w:ascii="宋体" w:hAnsi="宋体"/>
                <w:b/>
                <w:bCs/>
                <w:color w:val="auto"/>
                <w:position w:val="4"/>
                <w:sz w:val="32"/>
                <w:szCs w:val="32"/>
                <w:highlight w:val="none"/>
              </w:rPr>
            </w:pPr>
          </w:p>
        </w:tc>
        <w:tc>
          <w:tcPr>
            <w:tcW w:w="3510" w:type="dxa"/>
            <w:tcBorders>
              <w:tl2br w:val="nil"/>
              <w:tr2bl w:val="nil"/>
            </w:tcBorders>
          </w:tcPr>
          <w:p>
            <w:pPr>
              <w:spacing w:line="560" w:lineRule="exact"/>
              <w:rPr>
                <w:rFonts w:ascii="宋体" w:hAnsi="宋体"/>
                <w:b/>
                <w:bCs/>
                <w:color w:val="auto"/>
                <w:position w:val="4"/>
                <w:sz w:val="32"/>
                <w:szCs w:val="32"/>
                <w:highlight w:val="none"/>
              </w:rPr>
            </w:pPr>
          </w:p>
        </w:tc>
        <w:tc>
          <w:tcPr>
            <w:tcW w:w="1065" w:type="dxa"/>
            <w:tcBorders>
              <w:tl2br w:val="nil"/>
              <w:tr2bl w:val="nil"/>
            </w:tcBorders>
          </w:tcPr>
          <w:p>
            <w:pPr>
              <w:spacing w:line="560" w:lineRule="exact"/>
              <w:rPr>
                <w:rFonts w:ascii="宋体" w:hAnsi="宋体"/>
                <w:b/>
                <w:bCs/>
                <w:color w:val="auto"/>
                <w:position w:val="4"/>
                <w:sz w:val="32"/>
                <w:szCs w:val="32"/>
                <w:highlight w:val="none"/>
              </w:rPr>
            </w:pPr>
          </w:p>
        </w:tc>
        <w:tc>
          <w:tcPr>
            <w:tcW w:w="1275" w:type="dxa"/>
            <w:tcBorders>
              <w:tl2br w:val="nil"/>
              <w:tr2bl w:val="nil"/>
            </w:tcBorders>
          </w:tcPr>
          <w:p>
            <w:pPr>
              <w:spacing w:line="560" w:lineRule="exact"/>
              <w:rPr>
                <w:rFonts w:ascii="宋体" w:hAnsi="宋体"/>
                <w:b/>
                <w:bCs/>
                <w:color w:val="auto"/>
                <w:position w:val="4"/>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b/>
                <w:bCs/>
                <w:color w:val="auto"/>
                <w:position w:val="4"/>
                <w:sz w:val="32"/>
                <w:szCs w:val="32"/>
                <w:highlight w:val="none"/>
              </w:rPr>
            </w:pPr>
          </w:p>
        </w:tc>
        <w:tc>
          <w:tcPr>
            <w:tcW w:w="1095" w:type="dxa"/>
            <w:tcBorders>
              <w:tl2br w:val="nil"/>
              <w:tr2bl w:val="nil"/>
            </w:tcBorders>
          </w:tcPr>
          <w:p>
            <w:pPr>
              <w:spacing w:line="560" w:lineRule="exact"/>
              <w:rPr>
                <w:rFonts w:ascii="宋体" w:hAnsi="宋体"/>
                <w:b/>
                <w:bCs/>
                <w:color w:val="auto"/>
                <w:position w:val="4"/>
                <w:sz w:val="32"/>
                <w:szCs w:val="32"/>
                <w:highlight w:val="none"/>
              </w:rPr>
            </w:pPr>
          </w:p>
        </w:tc>
        <w:tc>
          <w:tcPr>
            <w:tcW w:w="2520" w:type="dxa"/>
            <w:tcBorders>
              <w:tl2br w:val="nil"/>
              <w:tr2bl w:val="nil"/>
            </w:tcBorders>
          </w:tcPr>
          <w:p>
            <w:pPr>
              <w:spacing w:line="560" w:lineRule="exact"/>
              <w:rPr>
                <w:rFonts w:ascii="宋体" w:hAnsi="宋体"/>
                <w:b/>
                <w:bCs/>
                <w:color w:val="auto"/>
                <w:position w:val="4"/>
                <w:sz w:val="32"/>
                <w:szCs w:val="32"/>
                <w:highlight w:val="none"/>
              </w:rPr>
            </w:pPr>
          </w:p>
        </w:tc>
        <w:tc>
          <w:tcPr>
            <w:tcW w:w="3510" w:type="dxa"/>
            <w:tcBorders>
              <w:tl2br w:val="nil"/>
              <w:tr2bl w:val="nil"/>
            </w:tcBorders>
          </w:tcPr>
          <w:p>
            <w:pPr>
              <w:spacing w:line="560" w:lineRule="exact"/>
              <w:rPr>
                <w:rFonts w:ascii="宋体" w:hAnsi="宋体"/>
                <w:b/>
                <w:bCs/>
                <w:color w:val="auto"/>
                <w:position w:val="4"/>
                <w:sz w:val="32"/>
                <w:szCs w:val="32"/>
                <w:highlight w:val="none"/>
              </w:rPr>
            </w:pPr>
          </w:p>
        </w:tc>
        <w:tc>
          <w:tcPr>
            <w:tcW w:w="1065" w:type="dxa"/>
            <w:tcBorders>
              <w:tl2br w:val="nil"/>
              <w:tr2bl w:val="nil"/>
            </w:tcBorders>
          </w:tcPr>
          <w:p>
            <w:pPr>
              <w:spacing w:line="560" w:lineRule="exact"/>
              <w:rPr>
                <w:rFonts w:ascii="宋体" w:hAnsi="宋体"/>
                <w:b/>
                <w:bCs/>
                <w:color w:val="auto"/>
                <w:position w:val="4"/>
                <w:sz w:val="32"/>
                <w:szCs w:val="32"/>
                <w:highlight w:val="none"/>
              </w:rPr>
            </w:pPr>
          </w:p>
        </w:tc>
        <w:tc>
          <w:tcPr>
            <w:tcW w:w="1275" w:type="dxa"/>
            <w:tcBorders>
              <w:tl2br w:val="nil"/>
              <w:tr2bl w:val="nil"/>
            </w:tcBorders>
          </w:tcPr>
          <w:p>
            <w:pPr>
              <w:spacing w:line="560" w:lineRule="exact"/>
              <w:rPr>
                <w:rFonts w:ascii="宋体" w:hAnsi="宋体"/>
                <w:b/>
                <w:bCs/>
                <w:color w:val="auto"/>
                <w:position w:val="4"/>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b/>
                <w:bCs/>
                <w:color w:val="auto"/>
                <w:position w:val="4"/>
                <w:sz w:val="32"/>
                <w:szCs w:val="32"/>
                <w:highlight w:val="none"/>
              </w:rPr>
            </w:pPr>
          </w:p>
        </w:tc>
        <w:tc>
          <w:tcPr>
            <w:tcW w:w="1095" w:type="dxa"/>
            <w:tcBorders>
              <w:tl2br w:val="nil"/>
              <w:tr2bl w:val="nil"/>
            </w:tcBorders>
          </w:tcPr>
          <w:p>
            <w:pPr>
              <w:spacing w:line="560" w:lineRule="exact"/>
              <w:rPr>
                <w:rFonts w:ascii="宋体" w:hAnsi="宋体"/>
                <w:b/>
                <w:bCs/>
                <w:color w:val="auto"/>
                <w:position w:val="4"/>
                <w:sz w:val="32"/>
                <w:szCs w:val="32"/>
                <w:highlight w:val="none"/>
              </w:rPr>
            </w:pPr>
          </w:p>
        </w:tc>
        <w:tc>
          <w:tcPr>
            <w:tcW w:w="2520" w:type="dxa"/>
            <w:tcBorders>
              <w:tl2br w:val="nil"/>
              <w:tr2bl w:val="nil"/>
            </w:tcBorders>
          </w:tcPr>
          <w:p>
            <w:pPr>
              <w:spacing w:line="560" w:lineRule="exact"/>
              <w:rPr>
                <w:rFonts w:ascii="宋体" w:hAnsi="宋体"/>
                <w:b/>
                <w:bCs/>
                <w:color w:val="auto"/>
                <w:position w:val="4"/>
                <w:sz w:val="32"/>
                <w:szCs w:val="32"/>
                <w:highlight w:val="none"/>
              </w:rPr>
            </w:pPr>
          </w:p>
        </w:tc>
        <w:tc>
          <w:tcPr>
            <w:tcW w:w="3510" w:type="dxa"/>
            <w:tcBorders>
              <w:tl2br w:val="nil"/>
              <w:tr2bl w:val="nil"/>
            </w:tcBorders>
          </w:tcPr>
          <w:p>
            <w:pPr>
              <w:spacing w:line="560" w:lineRule="exact"/>
              <w:rPr>
                <w:rFonts w:ascii="宋体" w:hAnsi="宋体"/>
                <w:b/>
                <w:bCs/>
                <w:color w:val="auto"/>
                <w:position w:val="4"/>
                <w:sz w:val="32"/>
                <w:szCs w:val="32"/>
                <w:highlight w:val="none"/>
              </w:rPr>
            </w:pPr>
          </w:p>
        </w:tc>
        <w:tc>
          <w:tcPr>
            <w:tcW w:w="1065" w:type="dxa"/>
            <w:tcBorders>
              <w:tl2br w:val="nil"/>
              <w:tr2bl w:val="nil"/>
            </w:tcBorders>
          </w:tcPr>
          <w:p>
            <w:pPr>
              <w:spacing w:line="560" w:lineRule="exact"/>
              <w:rPr>
                <w:rFonts w:ascii="宋体" w:hAnsi="宋体"/>
                <w:b/>
                <w:bCs/>
                <w:color w:val="auto"/>
                <w:position w:val="4"/>
                <w:sz w:val="32"/>
                <w:szCs w:val="32"/>
                <w:highlight w:val="none"/>
              </w:rPr>
            </w:pPr>
          </w:p>
        </w:tc>
        <w:tc>
          <w:tcPr>
            <w:tcW w:w="1275" w:type="dxa"/>
            <w:tcBorders>
              <w:tl2br w:val="nil"/>
              <w:tr2bl w:val="nil"/>
            </w:tcBorders>
          </w:tcPr>
          <w:p>
            <w:pPr>
              <w:spacing w:line="560" w:lineRule="exact"/>
              <w:rPr>
                <w:rFonts w:ascii="宋体" w:hAnsi="宋体"/>
                <w:b/>
                <w:bCs/>
                <w:color w:val="auto"/>
                <w:position w:val="4"/>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b/>
                <w:bCs/>
                <w:color w:val="auto"/>
                <w:position w:val="4"/>
                <w:sz w:val="32"/>
                <w:szCs w:val="32"/>
                <w:highlight w:val="none"/>
              </w:rPr>
            </w:pPr>
          </w:p>
        </w:tc>
        <w:tc>
          <w:tcPr>
            <w:tcW w:w="1095" w:type="dxa"/>
            <w:tcBorders>
              <w:tl2br w:val="nil"/>
              <w:tr2bl w:val="nil"/>
            </w:tcBorders>
          </w:tcPr>
          <w:p>
            <w:pPr>
              <w:spacing w:line="560" w:lineRule="exact"/>
              <w:rPr>
                <w:rFonts w:ascii="宋体" w:hAnsi="宋体"/>
                <w:b/>
                <w:bCs/>
                <w:color w:val="auto"/>
                <w:position w:val="4"/>
                <w:sz w:val="32"/>
                <w:szCs w:val="32"/>
                <w:highlight w:val="none"/>
              </w:rPr>
            </w:pPr>
          </w:p>
        </w:tc>
        <w:tc>
          <w:tcPr>
            <w:tcW w:w="2520" w:type="dxa"/>
            <w:tcBorders>
              <w:tl2br w:val="nil"/>
              <w:tr2bl w:val="nil"/>
            </w:tcBorders>
          </w:tcPr>
          <w:p>
            <w:pPr>
              <w:spacing w:line="560" w:lineRule="exact"/>
              <w:rPr>
                <w:rFonts w:ascii="宋体" w:hAnsi="宋体"/>
                <w:b/>
                <w:bCs/>
                <w:color w:val="auto"/>
                <w:position w:val="4"/>
                <w:sz w:val="32"/>
                <w:szCs w:val="32"/>
                <w:highlight w:val="none"/>
              </w:rPr>
            </w:pPr>
          </w:p>
        </w:tc>
        <w:tc>
          <w:tcPr>
            <w:tcW w:w="3510" w:type="dxa"/>
            <w:tcBorders>
              <w:tl2br w:val="nil"/>
              <w:tr2bl w:val="nil"/>
            </w:tcBorders>
          </w:tcPr>
          <w:p>
            <w:pPr>
              <w:spacing w:line="560" w:lineRule="exact"/>
              <w:rPr>
                <w:rFonts w:ascii="宋体" w:hAnsi="宋体"/>
                <w:b/>
                <w:bCs/>
                <w:color w:val="auto"/>
                <w:position w:val="4"/>
                <w:sz w:val="32"/>
                <w:szCs w:val="32"/>
                <w:highlight w:val="none"/>
              </w:rPr>
            </w:pPr>
          </w:p>
        </w:tc>
        <w:tc>
          <w:tcPr>
            <w:tcW w:w="1065" w:type="dxa"/>
            <w:tcBorders>
              <w:tl2br w:val="nil"/>
              <w:tr2bl w:val="nil"/>
            </w:tcBorders>
          </w:tcPr>
          <w:p>
            <w:pPr>
              <w:spacing w:line="560" w:lineRule="exact"/>
              <w:rPr>
                <w:rFonts w:ascii="宋体" w:hAnsi="宋体"/>
                <w:b/>
                <w:bCs/>
                <w:color w:val="auto"/>
                <w:position w:val="4"/>
                <w:sz w:val="32"/>
                <w:szCs w:val="32"/>
                <w:highlight w:val="none"/>
              </w:rPr>
            </w:pPr>
          </w:p>
        </w:tc>
        <w:tc>
          <w:tcPr>
            <w:tcW w:w="1275" w:type="dxa"/>
            <w:tcBorders>
              <w:tl2br w:val="nil"/>
              <w:tr2bl w:val="nil"/>
            </w:tcBorders>
          </w:tcPr>
          <w:p>
            <w:pPr>
              <w:spacing w:line="560" w:lineRule="exact"/>
              <w:rPr>
                <w:rFonts w:ascii="宋体" w:hAnsi="宋体"/>
                <w:b/>
                <w:bCs/>
                <w:color w:val="auto"/>
                <w:position w:val="4"/>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b/>
                <w:bCs/>
                <w:color w:val="auto"/>
                <w:position w:val="4"/>
                <w:sz w:val="32"/>
                <w:szCs w:val="32"/>
                <w:highlight w:val="none"/>
              </w:rPr>
            </w:pPr>
          </w:p>
        </w:tc>
        <w:tc>
          <w:tcPr>
            <w:tcW w:w="1095" w:type="dxa"/>
            <w:tcBorders>
              <w:tl2br w:val="nil"/>
              <w:tr2bl w:val="nil"/>
            </w:tcBorders>
          </w:tcPr>
          <w:p>
            <w:pPr>
              <w:spacing w:line="560" w:lineRule="exact"/>
              <w:rPr>
                <w:rFonts w:ascii="宋体" w:hAnsi="宋体"/>
                <w:b/>
                <w:bCs/>
                <w:color w:val="auto"/>
                <w:position w:val="4"/>
                <w:sz w:val="32"/>
                <w:szCs w:val="32"/>
                <w:highlight w:val="none"/>
              </w:rPr>
            </w:pPr>
          </w:p>
        </w:tc>
        <w:tc>
          <w:tcPr>
            <w:tcW w:w="2520" w:type="dxa"/>
            <w:tcBorders>
              <w:tl2br w:val="nil"/>
              <w:tr2bl w:val="nil"/>
            </w:tcBorders>
          </w:tcPr>
          <w:p>
            <w:pPr>
              <w:spacing w:line="560" w:lineRule="exact"/>
              <w:rPr>
                <w:rFonts w:ascii="宋体" w:hAnsi="宋体"/>
                <w:b/>
                <w:bCs/>
                <w:color w:val="auto"/>
                <w:position w:val="4"/>
                <w:sz w:val="32"/>
                <w:szCs w:val="32"/>
                <w:highlight w:val="none"/>
              </w:rPr>
            </w:pPr>
          </w:p>
        </w:tc>
        <w:tc>
          <w:tcPr>
            <w:tcW w:w="3510" w:type="dxa"/>
            <w:tcBorders>
              <w:tl2br w:val="nil"/>
              <w:tr2bl w:val="nil"/>
            </w:tcBorders>
          </w:tcPr>
          <w:p>
            <w:pPr>
              <w:spacing w:line="560" w:lineRule="exact"/>
              <w:rPr>
                <w:rFonts w:ascii="宋体" w:hAnsi="宋体"/>
                <w:b/>
                <w:bCs/>
                <w:color w:val="auto"/>
                <w:position w:val="4"/>
                <w:sz w:val="32"/>
                <w:szCs w:val="32"/>
                <w:highlight w:val="none"/>
              </w:rPr>
            </w:pPr>
          </w:p>
        </w:tc>
        <w:tc>
          <w:tcPr>
            <w:tcW w:w="1065" w:type="dxa"/>
            <w:tcBorders>
              <w:tl2br w:val="nil"/>
              <w:tr2bl w:val="nil"/>
            </w:tcBorders>
          </w:tcPr>
          <w:p>
            <w:pPr>
              <w:spacing w:line="560" w:lineRule="exact"/>
              <w:rPr>
                <w:rFonts w:ascii="宋体" w:hAnsi="宋体"/>
                <w:b/>
                <w:bCs/>
                <w:color w:val="auto"/>
                <w:position w:val="4"/>
                <w:sz w:val="32"/>
                <w:szCs w:val="32"/>
                <w:highlight w:val="none"/>
              </w:rPr>
            </w:pPr>
          </w:p>
        </w:tc>
        <w:tc>
          <w:tcPr>
            <w:tcW w:w="1275" w:type="dxa"/>
            <w:tcBorders>
              <w:tl2br w:val="nil"/>
              <w:tr2bl w:val="nil"/>
            </w:tcBorders>
          </w:tcPr>
          <w:p>
            <w:pPr>
              <w:spacing w:line="560" w:lineRule="exact"/>
              <w:rPr>
                <w:rFonts w:ascii="宋体" w:hAnsi="宋体"/>
                <w:b/>
                <w:bCs/>
                <w:color w:val="auto"/>
                <w:position w:val="4"/>
                <w:sz w:val="32"/>
                <w:szCs w:val="32"/>
                <w:highlight w:val="none"/>
              </w:rPr>
            </w:pPr>
          </w:p>
        </w:tc>
      </w:tr>
    </w:tbl>
    <w:p>
      <w:pPr>
        <w:spacing w:line="440" w:lineRule="exact"/>
        <w:rPr>
          <w:color w:val="auto"/>
          <w:szCs w:val="21"/>
          <w:highlight w:val="none"/>
        </w:rPr>
      </w:pPr>
      <w:r>
        <w:rPr>
          <w:rFonts w:hint="eastAsia"/>
          <w:color w:val="auto"/>
          <w:szCs w:val="21"/>
          <w:highlight w:val="none"/>
        </w:rPr>
        <w:t>注：1、除本规格、技术偏离表所列的偏离指标外，其他所有规格、技术参数均完全响应“谈判文件”中的要求。供应商按照采购内容要求及所报价内容如实填写。</w:t>
      </w:r>
    </w:p>
    <w:p>
      <w:pPr>
        <w:spacing w:line="440" w:lineRule="exact"/>
        <w:ind w:firstLine="420"/>
        <w:rPr>
          <w:color w:val="auto"/>
          <w:szCs w:val="21"/>
          <w:highlight w:val="none"/>
        </w:rPr>
      </w:pPr>
      <w:r>
        <w:rPr>
          <w:rFonts w:hint="eastAsia"/>
          <w:color w:val="auto"/>
          <w:szCs w:val="21"/>
          <w:highlight w:val="none"/>
        </w:rPr>
        <w:t>2、供应商必须据实填写，不得虚假响应，否则将取消其谈判或成交资格，并按有关规定进行处罚。</w:t>
      </w:r>
    </w:p>
    <w:p>
      <w:pPr>
        <w:spacing w:line="440" w:lineRule="exact"/>
        <w:ind w:firstLine="420"/>
        <w:rPr>
          <w:color w:val="auto"/>
          <w:szCs w:val="21"/>
          <w:highlight w:val="none"/>
        </w:rPr>
      </w:pPr>
    </w:p>
    <w:p>
      <w:pPr>
        <w:spacing w:line="440" w:lineRule="exact"/>
        <w:ind w:firstLine="420" w:firstLineChars="200"/>
        <w:rPr>
          <w:color w:val="auto"/>
          <w:szCs w:val="21"/>
          <w:highlight w:val="none"/>
        </w:rPr>
      </w:pPr>
    </w:p>
    <w:p>
      <w:pPr>
        <w:pStyle w:val="66"/>
        <w:spacing w:line="500" w:lineRule="exact"/>
        <w:jc w:val="left"/>
        <w:rPr>
          <w:rFonts w:ascii="新宋体" w:hAnsi="新宋体"/>
          <w:b w:val="0"/>
          <w:color w:val="auto"/>
          <w:sz w:val="21"/>
          <w:szCs w:val="21"/>
          <w:highlight w:val="none"/>
        </w:rPr>
      </w:pPr>
      <w:r>
        <w:rPr>
          <w:rFonts w:hint="eastAsia" w:ascii="新宋体" w:hAnsi="新宋体"/>
          <w:b w:val="0"/>
          <w:color w:val="auto"/>
          <w:sz w:val="21"/>
          <w:szCs w:val="21"/>
          <w:highlight w:val="none"/>
        </w:rPr>
        <w:t xml:space="preserve">                                             供应商：</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pPr>
        <w:pStyle w:val="66"/>
        <w:spacing w:line="500" w:lineRule="exact"/>
        <w:jc w:val="left"/>
        <w:rPr>
          <w:rFonts w:ascii="新宋体" w:hAnsi="新宋体"/>
          <w:b w:val="0"/>
          <w:color w:val="auto"/>
          <w:sz w:val="21"/>
          <w:szCs w:val="21"/>
          <w:highlight w:val="none"/>
        </w:rPr>
      </w:pPr>
      <w:r>
        <w:rPr>
          <w:rFonts w:hint="eastAsia" w:ascii="新宋体" w:hAnsi="新宋体"/>
          <w:b w:val="0"/>
          <w:color w:val="auto"/>
          <w:sz w:val="21"/>
          <w:szCs w:val="21"/>
          <w:highlight w:val="none"/>
        </w:rPr>
        <w:t xml:space="preserve">                                             法定代表人或授权代表：</w:t>
      </w:r>
      <w:r>
        <w:rPr>
          <w:rFonts w:hint="eastAsia" w:ascii="新宋体" w:hAnsi="新宋体"/>
          <w:b w:val="0"/>
          <w:color w:val="auto"/>
          <w:sz w:val="21"/>
          <w:szCs w:val="21"/>
          <w:highlight w:val="none"/>
          <w:u w:val="single"/>
        </w:rPr>
        <w:t xml:space="preserve">     （盖章或签字）    </w:t>
      </w:r>
    </w:p>
    <w:p>
      <w:pPr>
        <w:spacing w:line="500" w:lineRule="exact"/>
        <w:jc w:val="left"/>
        <w:outlineLvl w:val="2"/>
        <w:rPr>
          <w:rFonts w:ascii="黑体" w:eastAsia="黑体"/>
          <w:b/>
          <w:bCs/>
          <w:color w:val="auto"/>
          <w:szCs w:val="21"/>
          <w:highlight w:val="none"/>
        </w:rPr>
      </w:pPr>
      <w:r>
        <w:rPr>
          <w:rFonts w:hint="eastAsia" w:ascii="新宋体" w:hAnsi="新宋体"/>
          <w:color w:val="auto"/>
          <w:szCs w:val="21"/>
          <w:highlight w:val="none"/>
        </w:rPr>
        <w:t xml:space="preserve">                                             谈判日期：</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年</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月</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日</w:t>
      </w:r>
    </w:p>
    <w:p>
      <w:pPr>
        <w:spacing w:line="440" w:lineRule="exact"/>
        <w:ind w:firstLine="420" w:firstLineChars="200"/>
        <w:rPr>
          <w:color w:val="auto"/>
          <w:szCs w:val="21"/>
          <w:highlight w:val="none"/>
        </w:rPr>
      </w:pPr>
    </w:p>
    <w:p>
      <w:pPr>
        <w:spacing w:line="440" w:lineRule="exact"/>
        <w:ind w:firstLine="420" w:firstLineChars="200"/>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560" w:lineRule="exact"/>
        <w:rPr>
          <w:rFonts w:ascii="Tahoma" w:hAnsi="Tahoma"/>
          <w:b/>
          <w:bCs/>
          <w:color w:val="auto"/>
          <w:szCs w:val="21"/>
          <w:highlight w:val="none"/>
        </w:rPr>
      </w:pPr>
      <w:r>
        <w:rPr>
          <w:rFonts w:hint="eastAsia" w:ascii="Tahoma" w:hAnsi="Tahoma"/>
          <w:b/>
          <w:bCs/>
          <w:color w:val="auto"/>
          <w:szCs w:val="21"/>
          <w:highlight w:val="none"/>
        </w:rPr>
        <w:t>附表2：</w:t>
      </w:r>
    </w:p>
    <w:p>
      <w:pPr>
        <w:spacing w:before="240" w:beforeLines="100" w:after="120" w:afterLines="50" w:line="560" w:lineRule="exact"/>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商务条款偏离表</w:t>
      </w:r>
    </w:p>
    <w:p>
      <w:pPr>
        <w:spacing w:line="560" w:lineRule="exact"/>
        <w:rPr>
          <w:rFonts w:ascii="宋体" w:hAnsi="宋体" w:cs="宋体"/>
          <w:b/>
          <w:bCs/>
          <w:color w:val="auto"/>
          <w:sz w:val="36"/>
          <w:szCs w:val="36"/>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项目编号：</w:t>
      </w:r>
      <w:r>
        <w:rPr>
          <w:rFonts w:hint="eastAsia" w:ascii="宋体" w:hAnsi="宋体"/>
          <w:color w:val="auto"/>
          <w:szCs w:val="21"/>
          <w:highlight w:val="none"/>
          <w:u w:val="single"/>
        </w:rPr>
        <w:t xml:space="preserve">              </w:t>
      </w:r>
    </w:p>
    <w:tbl>
      <w:tblPr>
        <w:tblStyle w:val="39"/>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pPr>
              <w:spacing w:line="320" w:lineRule="exact"/>
              <w:ind w:left="-97" w:leftChars="-46"/>
              <w:jc w:val="center"/>
              <w:rPr>
                <w:rFonts w:ascii="宋体" w:hAnsi="宋体"/>
                <w:b/>
                <w:bCs/>
                <w:color w:val="auto"/>
                <w:position w:val="4"/>
                <w:szCs w:val="21"/>
                <w:highlight w:val="none"/>
              </w:rPr>
            </w:pPr>
            <w:r>
              <w:rPr>
                <w:rFonts w:hint="eastAsia" w:ascii="新宋体" w:hAnsi="新宋体" w:cs="新宋体"/>
                <w:b/>
                <w:color w:val="auto"/>
                <w:szCs w:val="21"/>
                <w:highlight w:val="none"/>
              </w:rPr>
              <w:t>序号</w:t>
            </w:r>
          </w:p>
        </w:tc>
        <w:tc>
          <w:tcPr>
            <w:tcW w:w="2910" w:type="dxa"/>
            <w:tcBorders>
              <w:tl2br w:val="nil"/>
              <w:tr2bl w:val="nil"/>
            </w:tcBorders>
            <w:vAlign w:val="center"/>
          </w:tcPr>
          <w:p>
            <w:pPr>
              <w:spacing w:line="320" w:lineRule="exact"/>
              <w:jc w:val="center"/>
              <w:rPr>
                <w:rFonts w:ascii="宋体" w:hAnsi="宋体"/>
                <w:b/>
                <w:bCs/>
                <w:color w:val="auto"/>
                <w:position w:val="4"/>
                <w:szCs w:val="21"/>
                <w:highlight w:val="none"/>
              </w:rPr>
            </w:pPr>
            <w:r>
              <w:rPr>
                <w:rFonts w:hint="eastAsia" w:ascii="新宋体" w:hAnsi="新宋体" w:cs="新宋体"/>
                <w:b/>
                <w:color w:val="auto"/>
                <w:szCs w:val="21"/>
                <w:highlight w:val="none"/>
              </w:rPr>
              <w:t>谈判文件商务要求</w:t>
            </w:r>
          </w:p>
        </w:tc>
        <w:tc>
          <w:tcPr>
            <w:tcW w:w="2625" w:type="dxa"/>
            <w:tcBorders>
              <w:tl2br w:val="nil"/>
              <w:tr2bl w:val="nil"/>
            </w:tcBorders>
            <w:vAlign w:val="center"/>
          </w:tcPr>
          <w:p>
            <w:pPr>
              <w:spacing w:line="320" w:lineRule="exact"/>
              <w:jc w:val="center"/>
              <w:rPr>
                <w:rFonts w:ascii="宋体" w:hAnsi="宋体"/>
                <w:b/>
                <w:bCs/>
                <w:color w:val="auto"/>
                <w:position w:val="4"/>
                <w:szCs w:val="21"/>
                <w:highlight w:val="none"/>
              </w:rPr>
            </w:pPr>
            <w:r>
              <w:rPr>
                <w:rFonts w:hint="eastAsia" w:ascii="新宋体" w:hAnsi="新宋体" w:cs="新宋体"/>
                <w:b/>
                <w:color w:val="auto"/>
                <w:szCs w:val="21"/>
                <w:highlight w:val="none"/>
              </w:rPr>
              <w:t>竞争性谈判响应文件商务响应</w:t>
            </w:r>
          </w:p>
        </w:tc>
        <w:tc>
          <w:tcPr>
            <w:tcW w:w="1590" w:type="dxa"/>
            <w:tcBorders>
              <w:tl2br w:val="nil"/>
              <w:tr2bl w:val="nil"/>
            </w:tcBorders>
            <w:vAlign w:val="center"/>
          </w:tcPr>
          <w:p>
            <w:pPr>
              <w:spacing w:line="320" w:lineRule="exact"/>
              <w:jc w:val="center"/>
              <w:rPr>
                <w:rFonts w:ascii="宋体" w:hAnsi="宋体"/>
                <w:b/>
                <w:bCs/>
                <w:color w:val="auto"/>
                <w:position w:val="4"/>
                <w:szCs w:val="21"/>
                <w:highlight w:val="none"/>
              </w:rPr>
            </w:pPr>
            <w:r>
              <w:rPr>
                <w:rFonts w:hint="eastAsia" w:ascii="新宋体" w:hAnsi="新宋体" w:cs="新宋体"/>
                <w:b/>
                <w:color w:val="auto"/>
                <w:szCs w:val="21"/>
                <w:highlight w:val="none"/>
              </w:rPr>
              <w:t>偏离情况</w:t>
            </w:r>
          </w:p>
        </w:tc>
        <w:tc>
          <w:tcPr>
            <w:tcW w:w="1245" w:type="dxa"/>
            <w:tcBorders>
              <w:tl2br w:val="nil"/>
              <w:tr2bl w:val="nil"/>
            </w:tcBorders>
            <w:vAlign w:val="center"/>
          </w:tcPr>
          <w:p>
            <w:pPr>
              <w:spacing w:line="320" w:lineRule="exact"/>
              <w:jc w:val="center"/>
              <w:rPr>
                <w:rFonts w:ascii="宋体" w:hAnsi="宋体"/>
                <w:b/>
                <w:bCs/>
                <w:color w:val="auto"/>
                <w:position w:val="4"/>
                <w:szCs w:val="21"/>
                <w:highlight w:val="none"/>
              </w:rPr>
            </w:pPr>
            <w:r>
              <w:rPr>
                <w:rFonts w:hint="eastAsia" w:ascii="新宋体" w:hAnsi="新宋体" w:cs="新宋体"/>
                <w:b/>
                <w:color w:val="auto"/>
                <w:szCs w:val="21"/>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b/>
                <w:bCs/>
                <w:color w:val="auto"/>
                <w:position w:val="4"/>
                <w:sz w:val="32"/>
                <w:szCs w:val="32"/>
                <w:highlight w:val="none"/>
              </w:rPr>
            </w:pPr>
          </w:p>
        </w:tc>
        <w:tc>
          <w:tcPr>
            <w:tcW w:w="2910" w:type="dxa"/>
            <w:tcBorders>
              <w:tl2br w:val="nil"/>
              <w:tr2bl w:val="nil"/>
            </w:tcBorders>
          </w:tcPr>
          <w:p>
            <w:pPr>
              <w:spacing w:line="560" w:lineRule="exact"/>
              <w:rPr>
                <w:rFonts w:ascii="宋体" w:hAnsi="宋体"/>
                <w:b/>
                <w:bCs/>
                <w:color w:val="auto"/>
                <w:position w:val="4"/>
                <w:sz w:val="32"/>
                <w:szCs w:val="32"/>
                <w:highlight w:val="none"/>
              </w:rPr>
            </w:pPr>
          </w:p>
        </w:tc>
        <w:tc>
          <w:tcPr>
            <w:tcW w:w="2625" w:type="dxa"/>
            <w:tcBorders>
              <w:tl2br w:val="nil"/>
              <w:tr2bl w:val="nil"/>
            </w:tcBorders>
          </w:tcPr>
          <w:p>
            <w:pPr>
              <w:spacing w:line="560" w:lineRule="exact"/>
              <w:rPr>
                <w:rFonts w:ascii="宋体" w:hAnsi="宋体"/>
                <w:b/>
                <w:bCs/>
                <w:color w:val="auto"/>
                <w:position w:val="4"/>
                <w:sz w:val="32"/>
                <w:szCs w:val="32"/>
                <w:highlight w:val="none"/>
              </w:rPr>
            </w:pPr>
          </w:p>
        </w:tc>
        <w:tc>
          <w:tcPr>
            <w:tcW w:w="1590" w:type="dxa"/>
            <w:tcBorders>
              <w:tl2br w:val="nil"/>
              <w:tr2bl w:val="nil"/>
            </w:tcBorders>
          </w:tcPr>
          <w:p>
            <w:pPr>
              <w:spacing w:line="560" w:lineRule="exact"/>
              <w:rPr>
                <w:rFonts w:ascii="宋体" w:hAnsi="宋体"/>
                <w:b/>
                <w:bCs/>
                <w:color w:val="auto"/>
                <w:position w:val="4"/>
                <w:sz w:val="32"/>
                <w:szCs w:val="32"/>
                <w:highlight w:val="none"/>
              </w:rPr>
            </w:pPr>
          </w:p>
        </w:tc>
        <w:tc>
          <w:tcPr>
            <w:tcW w:w="1245" w:type="dxa"/>
            <w:tcBorders>
              <w:tl2br w:val="nil"/>
              <w:tr2bl w:val="nil"/>
            </w:tcBorders>
          </w:tcPr>
          <w:p>
            <w:pPr>
              <w:spacing w:line="560" w:lineRule="exact"/>
              <w:rPr>
                <w:rFonts w:ascii="宋体" w:hAnsi="宋体"/>
                <w:b/>
                <w:bCs/>
                <w:color w:val="auto"/>
                <w:position w:val="4"/>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b/>
                <w:bCs/>
                <w:color w:val="auto"/>
                <w:position w:val="4"/>
                <w:sz w:val="32"/>
                <w:szCs w:val="32"/>
                <w:highlight w:val="none"/>
              </w:rPr>
            </w:pPr>
          </w:p>
        </w:tc>
        <w:tc>
          <w:tcPr>
            <w:tcW w:w="2910" w:type="dxa"/>
            <w:tcBorders>
              <w:tl2br w:val="nil"/>
              <w:tr2bl w:val="nil"/>
            </w:tcBorders>
          </w:tcPr>
          <w:p>
            <w:pPr>
              <w:spacing w:line="560" w:lineRule="exact"/>
              <w:rPr>
                <w:rFonts w:ascii="宋体" w:hAnsi="宋体"/>
                <w:b/>
                <w:bCs/>
                <w:color w:val="auto"/>
                <w:position w:val="4"/>
                <w:sz w:val="32"/>
                <w:szCs w:val="32"/>
                <w:highlight w:val="none"/>
              </w:rPr>
            </w:pPr>
          </w:p>
        </w:tc>
        <w:tc>
          <w:tcPr>
            <w:tcW w:w="2625" w:type="dxa"/>
            <w:tcBorders>
              <w:tl2br w:val="nil"/>
              <w:tr2bl w:val="nil"/>
            </w:tcBorders>
          </w:tcPr>
          <w:p>
            <w:pPr>
              <w:spacing w:line="560" w:lineRule="exact"/>
              <w:rPr>
                <w:rFonts w:ascii="宋体" w:hAnsi="宋体"/>
                <w:b/>
                <w:bCs/>
                <w:color w:val="auto"/>
                <w:position w:val="4"/>
                <w:sz w:val="32"/>
                <w:szCs w:val="32"/>
                <w:highlight w:val="none"/>
              </w:rPr>
            </w:pPr>
          </w:p>
        </w:tc>
        <w:tc>
          <w:tcPr>
            <w:tcW w:w="1590" w:type="dxa"/>
            <w:tcBorders>
              <w:tl2br w:val="nil"/>
              <w:tr2bl w:val="nil"/>
            </w:tcBorders>
          </w:tcPr>
          <w:p>
            <w:pPr>
              <w:spacing w:line="560" w:lineRule="exact"/>
              <w:rPr>
                <w:rFonts w:ascii="宋体" w:hAnsi="宋体"/>
                <w:b/>
                <w:bCs/>
                <w:color w:val="auto"/>
                <w:position w:val="4"/>
                <w:sz w:val="32"/>
                <w:szCs w:val="32"/>
                <w:highlight w:val="none"/>
              </w:rPr>
            </w:pPr>
          </w:p>
        </w:tc>
        <w:tc>
          <w:tcPr>
            <w:tcW w:w="1245" w:type="dxa"/>
            <w:tcBorders>
              <w:tl2br w:val="nil"/>
              <w:tr2bl w:val="nil"/>
            </w:tcBorders>
          </w:tcPr>
          <w:p>
            <w:pPr>
              <w:spacing w:line="560" w:lineRule="exact"/>
              <w:rPr>
                <w:rFonts w:ascii="宋体" w:hAnsi="宋体"/>
                <w:b/>
                <w:bCs/>
                <w:color w:val="auto"/>
                <w:position w:val="4"/>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b/>
                <w:bCs/>
                <w:color w:val="auto"/>
                <w:position w:val="4"/>
                <w:sz w:val="32"/>
                <w:szCs w:val="32"/>
                <w:highlight w:val="none"/>
              </w:rPr>
            </w:pPr>
          </w:p>
        </w:tc>
        <w:tc>
          <w:tcPr>
            <w:tcW w:w="2910" w:type="dxa"/>
            <w:tcBorders>
              <w:tl2br w:val="nil"/>
              <w:tr2bl w:val="nil"/>
            </w:tcBorders>
          </w:tcPr>
          <w:p>
            <w:pPr>
              <w:spacing w:line="560" w:lineRule="exact"/>
              <w:rPr>
                <w:rFonts w:ascii="宋体" w:hAnsi="宋体"/>
                <w:b/>
                <w:bCs/>
                <w:color w:val="auto"/>
                <w:position w:val="4"/>
                <w:sz w:val="32"/>
                <w:szCs w:val="32"/>
                <w:highlight w:val="none"/>
              </w:rPr>
            </w:pPr>
          </w:p>
        </w:tc>
        <w:tc>
          <w:tcPr>
            <w:tcW w:w="2625" w:type="dxa"/>
            <w:tcBorders>
              <w:tl2br w:val="nil"/>
              <w:tr2bl w:val="nil"/>
            </w:tcBorders>
          </w:tcPr>
          <w:p>
            <w:pPr>
              <w:spacing w:line="560" w:lineRule="exact"/>
              <w:rPr>
                <w:rFonts w:ascii="宋体" w:hAnsi="宋体"/>
                <w:b/>
                <w:bCs/>
                <w:color w:val="auto"/>
                <w:position w:val="4"/>
                <w:sz w:val="32"/>
                <w:szCs w:val="32"/>
                <w:highlight w:val="none"/>
              </w:rPr>
            </w:pPr>
          </w:p>
        </w:tc>
        <w:tc>
          <w:tcPr>
            <w:tcW w:w="1590" w:type="dxa"/>
            <w:tcBorders>
              <w:tl2br w:val="nil"/>
              <w:tr2bl w:val="nil"/>
            </w:tcBorders>
          </w:tcPr>
          <w:p>
            <w:pPr>
              <w:spacing w:line="560" w:lineRule="exact"/>
              <w:rPr>
                <w:rFonts w:ascii="宋体" w:hAnsi="宋体"/>
                <w:b/>
                <w:bCs/>
                <w:color w:val="auto"/>
                <w:position w:val="4"/>
                <w:sz w:val="32"/>
                <w:szCs w:val="32"/>
                <w:highlight w:val="none"/>
              </w:rPr>
            </w:pPr>
          </w:p>
        </w:tc>
        <w:tc>
          <w:tcPr>
            <w:tcW w:w="1245" w:type="dxa"/>
            <w:tcBorders>
              <w:tl2br w:val="nil"/>
              <w:tr2bl w:val="nil"/>
            </w:tcBorders>
          </w:tcPr>
          <w:p>
            <w:pPr>
              <w:spacing w:line="560" w:lineRule="exact"/>
              <w:rPr>
                <w:rFonts w:ascii="宋体" w:hAnsi="宋体"/>
                <w:b/>
                <w:bCs/>
                <w:color w:val="auto"/>
                <w:position w:val="4"/>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b/>
                <w:bCs/>
                <w:color w:val="auto"/>
                <w:position w:val="4"/>
                <w:sz w:val="32"/>
                <w:szCs w:val="32"/>
                <w:highlight w:val="none"/>
              </w:rPr>
            </w:pPr>
          </w:p>
        </w:tc>
        <w:tc>
          <w:tcPr>
            <w:tcW w:w="2910" w:type="dxa"/>
            <w:tcBorders>
              <w:tl2br w:val="nil"/>
              <w:tr2bl w:val="nil"/>
            </w:tcBorders>
          </w:tcPr>
          <w:p>
            <w:pPr>
              <w:spacing w:line="560" w:lineRule="exact"/>
              <w:rPr>
                <w:rFonts w:ascii="宋体" w:hAnsi="宋体"/>
                <w:b/>
                <w:bCs/>
                <w:color w:val="auto"/>
                <w:position w:val="4"/>
                <w:sz w:val="32"/>
                <w:szCs w:val="32"/>
                <w:highlight w:val="none"/>
              </w:rPr>
            </w:pPr>
          </w:p>
        </w:tc>
        <w:tc>
          <w:tcPr>
            <w:tcW w:w="2625" w:type="dxa"/>
            <w:tcBorders>
              <w:tl2br w:val="nil"/>
              <w:tr2bl w:val="nil"/>
            </w:tcBorders>
          </w:tcPr>
          <w:p>
            <w:pPr>
              <w:spacing w:line="560" w:lineRule="exact"/>
              <w:rPr>
                <w:rFonts w:ascii="宋体" w:hAnsi="宋体"/>
                <w:b/>
                <w:bCs/>
                <w:color w:val="auto"/>
                <w:position w:val="4"/>
                <w:sz w:val="32"/>
                <w:szCs w:val="32"/>
                <w:highlight w:val="none"/>
              </w:rPr>
            </w:pPr>
          </w:p>
        </w:tc>
        <w:tc>
          <w:tcPr>
            <w:tcW w:w="1590" w:type="dxa"/>
            <w:tcBorders>
              <w:tl2br w:val="nil"/>
              <w:tr2bl w:val="nil"/>
            </w:tcBorders>
          </w:tcPr>
          <w:p>
            <w:pPr>
              <w:spacing w:line="560" w:lineRule="exact"/>
              <w:rPr>
                <w:rFonts w:ascii="宋体" w:hAnsi="宋体"/>
                <w:b/>
                <w:bCs/>
                <w:color w:val="auto"/>
                <w:position w:val="4"/>
                <w:sz w:val="32"/>
                <w:szCs w:val="32"/>
                <w:highlight w:val="none"/>
              </w:rPr>
            </w:pPr>
          </w:p>
        </w:tc>
        <w:tc>
          <w:tcPr>
            <w:tcW w:w="1245" w:type="dxa"/>
            <w:tcBorders>
              <w:tl2br w:val="nil"/>
              <w:tr2bl w:val="nil"/>
            </w:tcBorders>
          </w:tcPr>
          <w:p>
            <w:pPr>
              <w:spacing w:line="560" w:lineRule="exact"/>
              <w:rPr>
                <w:rFonts w:ascii="宋体" w:hAnsi="宋体"/>
                <w:b/>
                <w:bCs/>
                <w:color w:val="auto"/>
                <w:position w:val="4"/>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b/>
                <w:bCs/>
                <w:color w:val="auto"/>
                <w:position w:val="4"/>
                <w:sz w:val="32"/>
                <w:szCs w:val="32"/>
                <w:highlight w:val="none"/>
              </w:rPr>
            </w:pPr>
          </w:p>
        </w:tc>
        <w:tc>
          <w:tcPr>
            <w:tcW w:w="2910" w:type="dxa"/>
            <w:tcBorders>
              <w:tl2br w:val="nil"/>
              <w:tr2bl w:val="nil"/>
            </w:tcBorders>
          </w:tcPr>
          <w:p>
            <w:pPr>
              <w:spacing w:line="560" w:lineRule="exact"/>
              <w:rPr>
                <w:rFonts w:ascii="宋体" w:hAnsi="宋体"/>
                <w:b/>
                <w:bCs/>
                <w:color w:val="auto"/>
                <w:position w:val="4"/>
                <w:sz w:val="32"/>
                <w:szCs w:val="32"/>
                <w:highlight w:val="none"/>
              </w:rPr>
            </w:pPr>
          </w:p>
        </w:tc>
        <w:tc>
          <w:tcPr>
            <w:tcW w:w="2625" w:type="dxa"/>
            <w:tcBorders>
              <w:tl2br w:val="nil"/>
              <w:tr2bl w:val="nil"/>
            </w:tcBorders>
          </w:tcPr>
          <w:p>
            <w:pPr>
              <w:spacing w:line="560" w:lineRule="exact"/>
              <w:rPr>
                <w:rFonts w:ascii="宋体" w:hAnsi="宋体"/>
                <w:b/>
                <w:bCs/>
                <w:color w:val="auto"/>
                <w:position w:val="4"/>
                <w:sz w:val="32"/>
                <w:szCs w:val="32"/>
                <w:highlight w:val="none"/>
              </w:rPr>
            </w:pPr>
          </w:p>
        </w:tc>
        <w:tc>
          <w:tcPr>
            <w:tcW w:w="1590" w:type="dxa"/>
            <w:tcBorders>
              <w:tl2br w:val="nil"/>
              <w:tr2bl w:val="nil"/>
            </w:tcBorders>
          </w:tcPr>
          <w:p>
            <w:pPr>
              <w:spacing w:line="560" w:lineRule="exact"/>
              <w:rPr>
                <w:rFonts w:ascii="宋体" w:hAnsi="宋体"/>
                <w:b/>
                <w:bCs/>
                <w:color w:val="auto"/>
                <w:position w:val="4"/>
                <w:sz w:val="32"/>
                <w:szCs w:val="32"/>
                <w:highlight w:val="none"/>
              </w:rPr>
            </w:pPr>
          </w:p>
        </w:tc>
        <w:tc>
          <w:tcPr>
            <w:tcW w:w="1245" w:type="dxa"/>
            <w:tcBorders>
              <w:tl2br w:val="nil"/>
              <w:tr2bl w:val="nil"/>
            </w:tcBorders>
          </w:tcPr>
          <w:p>
            <w:pPr>
              <w:spacing w:line="560" w:lineRule="exact"/>
              <w:rPr>
                <w:rFonts w:ascii="宋体" w:hAnsi="宋体"/>
                <w:b/>
                <w:bCs/>
                <w:color w:val="auto"/>
                <w:position w:val="4"/>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b/>
                <w:bCs/>
                <w:color w:val="auto"/>
                <w:position w:val="4"/>
                <w:sz w:val="32"/>
                <w:szCs w:val="32"/>
                <w:highlight w:val="none"/>
              </w:rPr>
            </w:pPr>
          </w:p>
        </w:tc>
        <w:tc>
          <w:tcPr>
            <w:tcW w:w="2910" w:type="dxa"/>
            <w:tcBorders>
              <w:tl2br w:val="nil"/>
              <w:tr2bl w:val="nil"/>
            </w:tcBorders>
          </w:tcPr>
          <w:p>
            <w:pPr>
              <w:spacing w:line="560" w:lineRule="exact"/>
              <w:rPr>
                <w:rFonts w:ascii="宋体" w:hAnsi="宋体"/>
                <w:b/>
                <w:bCs/>
                <w:color w:val="auto"/>
                <w:position w:val="4"/>
                <w:sz w:val="32"/>
                <w:szCs w:val="32"/>
                <w:highlight w:val="none"/>
              </w:rPr>
            </w:pPr>
          </w:p>
        </w:tc>
        <w:tc>
          <w:tcPr>
            <w:tcW w:w="2625" w:type="dxa"/>
            <w:tcBorders>
              <w:tl2br w:val="nil"/>
              <w:tr2bl w:val="nil"/>
            </w:tcBorders>
          </w:tcPr>
          <w:p>
            <w:pPr>
              <w:spacing w:line="560" w:lineRule="exact"/>
              <w:rPr>
                <w:rFonts w:ascii="宋体" w:hAnsi="宋体"/>
                <w:b/>
                <w:bCs/>
                <w:color w:val="auto"/>
                <w:position w:val="4"/>
                <w:sz w:val="32"/>
                <w:szCs w:val="32"/>
                <w:highlight w:val="none"/>
              </w:rPr>
            </w:pPr>
          </w:p>
        </w:tc>
        <w:tc>
          <w:tcPr>
            <w:tcW w:w="1590" w:type="dxa"/>
            <w:tcBorders>
              <w:tl2br w:val="nil"/>
              <w:tr2bl w:val="nil"/>
            </w:tcBorders>
          </w:tcPr>
          <w:p>
            <w:pPr>
              <w:spacing w:line="560" w:lineRule="exact"/>
              <w:rPr>
                <w:rFonts w:ascii="宋体" w:hAnsi="宋体"/>
                <w:b/>
                <w:bCs/>
                <w:color w:val="auto"/>
                <w:position w:val="4"/>
                <w:sz w:val="32"/>
                <w:szCs w:val="32"/>
                <w:highlight w:val="none"/>
              </w:rPr>
            </w:pPr>
          </w:p>
        </w:tc>
        <w:tc>
          <w:tcPr>
            <w:tcW w:w="1245" w:type="dxa"/>
            <w:tcBorders>
              <w:tl2br w:val="nil"/>
              <w:tr2bl w:val="nil"/>
            </w:tcBorders>
          </w:tcPr>
          <w:p>
            <w:pPr>
              <w:spacing w:line="560" w:lineRule="exact"/>
              <w:rPr>
                <w:rFonts w:ascii="宋体" w:hAnsi="宋体"/>
                <w:b/>
                <w:bCs/>
                <w:color w:val="auto"/>
                <w:position w:val="4"/>
                <w:sz w:val="32"/>
                <w:szCs w:val="32"/>
                <w:highlight w:val="none"/>
              </w:rPr>
            </w:pPr>
          </w:p>
        </w:tc>
      </w:tr>
    </w:tbl>
    <w:p>
      <w:pPr>
        <w:spacing w:line="440" w:lineRule="exact"/>
        <w:rPr>
          <w:color w:val="auto"/>
          <w:szCs w:val="21"/>
          <w:highlight w:val="none"/>
        </w:rPr>
      </w:pPr>
      <w:r>
        <w:rPr>
          <w:rFonts w:hint="eastAsia"/>
          <w:color w:val="auto"/>
          <w:szCs w:val="21"/>
          <w:highlight w:val="none"/>
        </w:rPr>
        <w:t xml:space="preserve">注：1、除本商务条款偏离表中所列的偏离项目外，其他所有商务均完全响应“谈判文件”中的要求。 </w:t>
      </w:r>
    </w:p>
    <w:p>
      <w:pPr>
        <w:numPr>
          <w:ilvl w:val="0"/>
          <w:numId w:val="12"/>
        </w:numPr>
        <w:spacing w:line="440" w:lineRule="exact"/>
        <w:ind w:firstLine="420" w:firstLineChars="200"/>
        <w:rPr>
          <w:color w:val="auto"/>
          <w:szCs w:val="21"/>
          <w:highlight w:val="none"/>
        </w:rPr>
      </w:pPr>
      <w:r>
        <w:rPr>
          <w:rFonts w:hint="eastAsia"/>
          <w:color w:val="auto"/>
          <w:szCs w:val="21"/>
          <w:highlight w:val="none"/>
        </w:rPr>
        <w:t>供应商必须据实填写，不得虚假响应，否则将取消其谈判或成交资格，并按有关规定进行处罚。</w:t>
      </w:r>
    </w:p>
    <w:p>
      <w:pPr>
        <w:spacing w:line="440" w:lineRule="exact"/>
        <w:rPr>
          <w:color w:val="auto"/>
          <w:szCs w:val="21"/>
          <w:highlight w:val="none"/>
        </w:rPr>
      </w:pPr>
    </w:p>
    <w:p>
      <w:pPr>
        <w:spacing w:line="440" w:lineRule="exact"/>
        <w:rPr>
          <w:color w:val="auto"/>
          <w:szCs w:val="21"/>
          <w:highlight w:val="none"/>
        </w:rPr>
      </w:pPr>
    </w:p>
    <w:p>
      <w:pPr>
        <w:pStyle w:val="66"/>
        <w:spacing w:line="500" w:lineRule="exact"/>
        <w:jc w:val="left"/>
        <w:rPr>
          <w:rFonts w:ascii="新宋体" w:hAnsi="新宋体"/>
          <w:b w:val="0"/>
          <w:color w:val="auto"/>
          <w:sz w:val="21"/>
          <w:szCs w:val="21"/>
          <w:highlight w:val="none"/>
        </w:rPr>
      </w:pPr>
      <w:r>
        <w:rPr>
          <w:rFonts w:hint="eastAsia" w:ascii="新宋体" w:hAnsi="新宋体"/>
          <w:b w:val="0"/>
          <w:color w:val="auto"/>
          <w:sz w:val="21"/>
          <w:szCs w:val="21"/>
          <w:highlight w:val="none"/>
        </w:rPr>
        <w:t xml:space="preserve">                                             供应商：</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pPr>
        <w:pStyle w:val="66"/>
        <w:spacing w:line="500" w:lineRule="exact"/>
        <w:jc w:val="left"/>
        <w:rPr>
          <w:rFonts w:ascii="新宋体" w:hAnsi="新宋体"/>
          <w:b w:val="0"/>
          <w:color w:val="auto"/>
          <w:sz w:val="21"/>
          <w:szCs w:val="21"/>
          <w:highlight w:val="none"/>
        </w:rPr>
      </w:pPr>
      <w:r>
        <w:rPr>
          <w:rFonts w:hint="eastAsia" w:ascii="新宋体" w:hAnsi="新宋体"/>
          <w:b w:val="0"/>
          <w:color w:val="auto"/>
          <w:sz w:val="21"/>
          <w:szCs w:val="21"/>
          <w:highlight w:val="none"/>
        </w:rPr>
        <w:t xml:space="preserve">                                             法定代表人或授权代表：</w:t>
      </w:r>
      <w:r>
        <w:rPr>
          <w:rFonts w:hint="eastAsia" w:ascii="新宋体" w:hAnsi="新宋体"/>
          <w:b w:val="0"/>
          <w:color w:val="auto"/>
          <w:sz w:val="21"/>
          <w:szCs w:val="21"/>
          <w:highlight w:val="none"/>
          <w:u w:val="single"/>
        </w:rPr>
        <w:t xml:space="preserve">     （盖章或签字）    </w:t>
      </w:r>
    </w:p>
    <w:p>
      <w:pPr>
        <w:spacing w:line="440" w:lineRule="exact"/>
        <w:rPr>
          <w:color w:val="auto"/>
          <w:szCs w:val="21"/>
          <w:highlight w:val="none"/>
        </w:rPr>
      </w:pPr>
      <w:r>
        <w:rPr>
          <w:rFonts w:hint="eastAsia" w:ascii="新宋体" w:hAnsi="新宋体"/>
          <w:color w:val="auto"/>
          <w:szCs w:val="21"/>
          <w:highlight w:val="none"/>
        </w:rPr>
        <w:t xml:space="preserve">                                             谈判日期：</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年</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月</w:t>
      </w:r>
      <w:r>
        <w:rPr>
          <w:rFonts w:hint="eastAsia" w:ascii="新宋体" w:hAnsi="新宋体"/>
          <w:color w:val="auto"/>
          <w:szCs w:val="21"/>
          <w:highlight w:val="none"/>
          <w:u w:val="single"/>
        </w:rPr>
        <w:t xml:space="preserve">    </w:t>
      </w:r>
      <w:r>
        <w:rPr>
          <w:rFonts w:hint="eastAsia" w:ascii="新宋体" w:hAnsi="新宋体"/>
          <w:color w:val="auto"/>
          <w:szCs w:val="21"/>
          <w:highlight w:val="none"/>
        </w:rPr>
        <w:t>日</w:t>
      </w: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rPr>
          <w:rFonts w:ascii="宋体" w:hAnsi="宋体" w:cs="宋体"/>
          <w:b/>
          <w:color w:val="auto"/>
          <w:szCs w:val="21"/>
          <w:highlight w:val="none"/>
        </w:rPr>
      </w:pPr>
      <w:r>
        <w:rPr>
          <w:rFonts w:hint="eastAsia" w:ascii="宋体" w:hAnsi="宋体" w:cs="宋体"/>
          <w:b/>
          <w:color w:val="auto"/>
          <w:szCs w:val="21"/>
          <w:highlight w:val="none"/>
        </w:rPr>
        <w:br w:type="page"/>
      </w:r>
    </w:p>
    <w:p>
      <w:pPr>
        <w:spacing w:after="120" w:afterLines="50" w:line="440" w:lineRule="exact"/>
        <w:jc w:val="center"/>
        <w:rPr>
          <w:rFonts w:ascii="宋体" w:hAnsi="宋体" w:cs="宋体"/>
          <w:b/>
          <w:color w:val="auto"/>
          <w:szCs w:val="21"/>
          <w:highlight w:val="none"/>
        </w:rPr>
      </w:pPr>
      <w:r>
        <w:rPr>
          <w:rFonts w:hint="eastAsia" w:ascii="宋体" w:hAnsi="宋体" w:cs="宋体"/>
          <w:b/>
          <w:color w:val="auto"/>
          <w:szCs w:val="21"/>
          <w:highlight w:val="none"/>
        </w:rPr>
        <w:t>八、供应商认为有必要补充说明的事宜</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widowControl/>
        <w:jc w:val="left"/>
        <w:rPr>
          <w:b/>
          <w:bCs/>
          <w:color w:val="auto"/>
          <w:sz w:val="36"/>
          <w:szCs w:val="36"/>
          <w:highlight w:val="none"/>
        </w:rPr>
      </w:pPr>
      <w:r>
        <w:rPr>
          <w:b/>
          <w:bCs/>
          <w:color w:val="auto"/>
          <w:sz w:val="36"/>
          <w:szCs w:val="36"/>
          <w:highlight w:val="none"/>
        </w:rPr>
        <w:br w:type="page"/>
      </w:r>
    </w:p>
    <w:p>
      <w:pPr>
        <w:spacing w:after="120" w:afterLines="50" w:line="440" w:lineRule="exact"/>
        <w:jc w:val="center"/>
        <w:rPr>
          <w:rFonts w:ascii="宋体" w:hAnsi="宋体" w:cs="宋体"/>
          <w:b/>
          <w:color w:val="auto"/>
          <w:szCs w:val="21"/>
          <w:highlight w:val="none"/>
        </w:rPr>
      </w:pPr>
      <w:r>
        <w:rPr>
          <w:rFonts w:hint="eastAsia" w:ascii="宋体" w:hAnsi="宋体" w:cs="宋体"/>
          <w:b/>
          <w:color w:val="auto"/>
          <w:szCs w:val="21"/>
          <w:highlight w:val="none"/>
        </w:rPr>
        <w:t>九、《拒绝政府采购领域商业贿赂承诺书》</w:t>
      </w:r>
    </w:p>
    <w:p>
      <w:pPr>
        <w:widowControl/>
        <w:spacing w:line="480" w:lineRule="exact"/>
        <w:jc w:val="center"/>
        <w:rPr>
          <w:b/>
          <w:bCs/>
          <w:color w:val="auto"/>
          <w:szCs w:val="21"/>
          <w:highlight w:val="none"/>
        </w:rPr>
      </w:pPr>
    </w:p>
    <w:p>
      <w:pPr>
        <w:widowControl/>
        <w:spacing w:line="480" w:lineRule="exact"/>
        <w:jc w:val="center"/>
        <w:rPr>
          <w:b/>
          <w:bCs/>
          <w:color w:val="auto"/>
          <w:szCs w:val="21"/>
          <w:highlight w:val="none"/>
        </w:rPr>
      </w:pPr>
      <w:r>
        <w:rPr>
          <w:b/>
          <w:bCs/>
          <w:color w:val="auto"/>
          <w:szCs w:val="21"/>
          <w:highlight w:val="none"/>
        </w:rPr>
        <w:t>陕西省政府采购</w:t>
      </w:r>
      <w:r>
        <w:rPr>
          <w:rFonts w:hint="eastAsia"/>
          <w:b/>
          <w:bCs/>
          <w:color w:val="auto"/>
          <w:szCs w:val="21"/>
          <w:highlight w:val="none"/>
        </w:rPr>
        <w:t>供应商</w:t>
      </w:r>
      <w:r>
        <w:rPr>
          <w:b/>
          <w:bCs/>
          <w:color w:val="auto"/>
          <w:szCs w:val="21"/>
          <w:highlight w:val="none"/>
        </w:rPr>
        <w:t>拒绝政府采购领域商业贿赂承诺书</w:t>
      </w:r>
    </w:p>
    <w:p>
      <w:pPr>
        <w:widowControl/>
        <w:spacing w:line="240" w:lineRule="exact"/>
        <w:ind w:firstLine="420" w:firstLineChars="200"/>
        <w:jc w:val="left"/>
        <w:rPr>
          <w:color w:val="auto"/>
          <w:szCs w:val="21"/>
          <w:highlight w:val="none"/>
        </w:rPr>
      </w:pPr>
    </w:p>
    <w:p>
      <w:pPr>
        <w:widowControl/>
        <w:spacing w:line="440" w:lineRule="exact"/>
        <w:rPr>
          <w:color w:val="auto"/>
          <w:szCs w:val="21"/>
          <w:highlight w:val="none"/>
        </w:rPr>
      </w:pPr>
      <w:r>
        <w:rPr>
          <w:rFonts w:hint="eastAsia"/>
          <w:color w:val="auto"/>
          <w:szCs w:val="21"/>
          <w:highlight w:val="none"/>
        </w:rPr>
        <w:t xml:space="preserve">    </w:t>
      </w:r>
      <w:r>
        <w:rPr>
          <w:color w:val="auto"/>
          <w:szCs w:val="21"/>
          <w:highlight w:val="none"/>
        </w:rPr>
        <w:t xml:space="preserve">为响应党中央、国务院关于治理政府采购领域商业贿赂行为的号召，我单位在此庄严承诺： </w:t>
      </w:r>
    </w:p>
    <w:p>
      <w:pPr>
        <w:widowControl/>
        <w:spacing w:line="440" w:lineRule="exact"/>
        <w:ind w:left="420" w:hanging="420" w:hangingChars="200"/>
        <w:rPr>
          <w:color w:val="auto"/>
          <w:szCs w:val="21"/>
          <w:highlight w:val="none"/>
        </w:rPr>
      </w:pPr>
      <w:r>
        <w:rPr>
          <w:rFonts w:hint="eastAsia"/>
          <w:color w:val="auto"/>
          <w:szCs w:val="21"/>
          <w:highlight w:val="none"/>
        </w:rPr>
        <w:t xml:space="preserve">    </w:t>
      </w:r>
      <w:r>
        <w:rPr>
          <w:color w:val="auto"/>
          <w:szCs w:val="21"/>
          <w:highlight w:val="none"/>
        </w:rPr>
        <w:t xml:space="preserve">1、在参与政府采购活动中遵纪守法、诚信经营、公平竞标。 </w:t>
      </w:r>
      <w:r>
        <w:rPr>
          <w:color w:val="auto"/>
          <w:szCs w:val="21"/>
          <w:highlight w:val="none"/>
        </w:rPr>
        <w:br w:type="textWrapping"/>
      </w:r>
      <w:r>
        <w:rPr>
          <w:color w:val="auto"/>
          <w:szCs w:val="21"/>
          <w:highlight w:val="none"/>
        </w:rPr>
        <w:t xml:space="preserve">2、不向采购人、采购代理机构和政府采购评审专家进行任何形式的商业贿赂以谋取交易机会。 </w:t>
      </w:r>
    </w:p>
    <w:p>
      <w:pPr>
        <w:widowControl/>
        <w:spacing w:line="440" w:lineRule="exact"/>
        <w:ind w:firstLine="420" w:firstLineChars="200"/>
        <w:rPr>
          <w:color w:val="auto"/>
          <w:szCs w:val="21"/>
          <w:highlight w:val="none"/>
        </w:rPr>
      </w:pPr>
      <w:r>
        <w:rPr>
          <w:color w:val="auto"/>
          <w:szCs w:val="21"/>
          <w:highlight w:val="none"/>
        </w:rPr>
        <w:t>3、不向政府采购代理机构和采购人提供虚假资质文件或采用虚假应标方式参与政府采购市场竞争并谋取</w:t>
      </w:r>
      <w:r>
        <w:rPr>
          <w:rFonts w:hint="eastAsia"/>
          <w:color w:val="auto"/>
          <w:szCs w:val="21"/>
          <w:highlight w:val="none"/>
        </w:rPr>
        <w:t>成交</w:t>
      </w:r>
      <w:r>
        <w:rPr>
          <w:color w:val="auto"/>
          <w:szCs w:val="21"/>
          <w:highlight w:val="none"/>
        </w:rPr>
        <w:t>、成交。</w:t>
      </w:r>
    </w:p>
    <w:p>
      <w:pPr>
        <w:widowControl/>
        <w:spacing w:line="440" w:lineRule="exact"/>
        <w:ind w:firstLine="420" w:firstLineChars="200"/>
        <w:rPr>
          <w:color w:val="auto"/>
          <w:szCs w:val="21"/>
          <w:highlight w:val="none"/>
        </w:rPr>
      </w:pPr>
      <w:r>
        <w:rPr>
          <w:color w:val="auto"/>
          <w:szCs w:val="21"/>
          <w:highlight w:val="none"/>
        </w:rPr>
        <w:t>4、不采取</w:t>
      </w:r>
      <w:r>
        <w:rPr>
          <w:rFonts w:hint="eastAsia"/>
          <w:color w:val="auto"/>
          <w:szCs w:val="21"/>
          <w:highlight w:val="none"/>
        </w:rPr>
        <w:t>“</w:t>
      </w:r>
      <w:r>
        <w:rPr>
          <w:color w:val="auto"/>
          <w:szCs w:val="21"/>
          <w:highlight w:val="none"/>
        </w:rPr>
        <w:t>围标、陪标</w:t>
      </w:r>
      <w:r>
        <w:rPr>
          <w:rFonts w:hint="eastAsia"/>
          <w:color w:val="auto"/>
          <w:szCs w:val="21"/>
          <w:highlight w:val="none"/>
        </w:rPr>
        <w:t>”</w:t>
      </w:r>
      <w:r>
        <w:rPr>
          <w:color w:val="auto"/>
          <w:szCs w:val="21"/>
          <w:highlight w:val="none"/>
        </w:rPr>
        <w:t xml:space="preserve">等商业欺诈手段获得政府采购定单。 </w:t>
      </w:r>
    </w:p>
    <w:p>
      <w:pPr>
        <w:widowControl/>
        <w:spacing w:line="440" w:lineRule="exact"/>
        <w:ind w:firstLine="420" w:firstLineChars="200"/>
        <w:rPr>
          <w:color w:val="auto"/>
          <w:szCs w:val="21"/>
          <w:highlight w:val="none"/>
        </w:rPr>
      </w:pPr>
      <w:r>
        <w:rPr>
          <w:color w:val="auto"/>
          <w:szCs w:val="21"/>
          <w:highlight w:val="none"/>
        </w:rPr>
        <w:t>5、不采取不正当手段抵毁、排挤其他</w:t>
      </w:r>
      <w:r>
        <w:rPr>
          <w:rFonts w:hint="eastAsia"/>
          <w:color w:val="auto"/>
          <w:szCs w:val="21"/>
          <w:highlight w:val="none"/>
        </w:rPr>
        <w:t>供应商</w:t>
      </w:r>
      <w:r>
        <w:rPr>
          <w:color w:val="auto"/>
          <w:szCs w:val="21"/>
          <w:highlight w:val="none"/>
        </w:rPr>
        <w:t xml:space="preserve">。 </w:t>
      </w:r>
    </w:p>
    <w:p>
      <w:pPr>
        <w:widowControl/>
        <w:spacing w:line="440" w:lineRule="exact"/>
        <w:ind w:firstLine="420" w:firstLineChars="200"/>
        <w:rPr>
          <w:color w:val="auto"/>
          <w:szCs w:val="21"/>
          <w:highlight w:val="none"/>
        </w:rPr>
      </w:pPr>
      <w:r>
        <w:rPr>
          <w:color w:val="auto"/>
          <w:szCs w:val="21"/>
          <w:highlight w:val="none"/>
        </w:rPr>
        <w:t>6、不在提供商品和服务时</w:t>
      </w:r>
      <w:r>
        <w:rPr>
          <w:rFonts w:hint="eastAsia"/>
          <w:color w:val="auto"/>
          <w:szCs w:val="21"/>
          <w:highlight w:val="none"/>
        </w:rPr>
        <w:t>“</w:t>
      </w:r>
      <w:r>
        <w:rPr>
          <w:color w:val="auto"/>
          <w:szCs w:val="21"/>
          <w:highlight w:val="none"/>
        </w:rPr>
        <w:t>偷梁换柱、以次充好</w:t>
      </w:r>
      <w:r>
        <w:rPr>
          <w:rFonts w:hint="eastAsia"/>
          <w:color w:val="auto"/>
          <w:szCs w:val="21"/>
          <w:highlight w:val="none"/>
        </w:rPr>
        <w:t>”</w:t>
      </w:r>
      <w:r>
        <w:rPr>
          <w:color w:val="auto"/>
          <w:szCs w:val="21"/>
          <w:highlight w:val="none"/>
        </w:rPr>
        <w:t>损害采购人的合法权益。</w:t>
      </w:r>
    </w:p>
    <w:p>
      <w:pPr>
        <w:widowControl/>
        <w:spacing w:line="440" w:lineRule="exact"/>
        <w:ind w:firstLine="420" w:firstLineChars="200"/>
        <w:rPr>
          <w:color w:val="auto"/>
          <w:szCs w:val="21"/>
          <w:highlight w:val="none"/>
        </w:rPr>
      </w:pPr>
      <w:r>
        <w:rPr>
          <w:color w:val="auto"/>
          <w:szCs w:val="21"/>
          <w:highlight w:val="none"/>
        </w:rPr>
        <w:t>7、不与采购人、采购代理机构政府采购评审专家或其它</w:t>
      </w:r>
      <w:r>
        <w:rPr>
          <w:rFonts w:hint="eastAsia"/>
          <w:color w:val="auto"/>
          <w:szCs w:val="21"/>
          <w:highlight w:val="none"/>
        </w:rPr>
        <w:t>供应商</w:t>
      </w:r>
      <w:r>
        <w:rPr>
          <w:color w:val="auto"/>
          <w:szCs w:val="21"/>
          <w:highlight w:val="none"/>
        </w:rPr>
        <w:t xml:space="preserve">恶意串通，进行质疑和投诉，维护政府采购市场秩序。 </w:t>
      </w:r>
    </w:p>
    <w:p>
      <w:pPr>
        <w:widowControl/>
        <w:spacing w:line="440" w:lineRule="exact"/>
        <w:ind w:firstLine="420" w:firstLineChars="200"/>
        <w:rPr>
          <w:color w:val="auto"/>
          <w:szCs w:val="21"/>
          <w:highlight w:val="none"/>
        </w:rPr>
      </w:pPr>
      <w:r>
        <w:rPr>
          <w:color w:val="auto"/>
          <w:szCs w:val="21"/>
          <w:highlight w:val="none"/>
        </w:rPr>
        <w:t xml:space="preserve">8、尊重和接受政府采购监督管理部门的监督和政府采购代理机构招标要求，承担因违约行为给采购人造成的损失。 </w:t>
      </w:r>
    </w:p>
    <w:p>
      <w:pPr>
        <w:widowControl/>
        <w:spacing w:line="440" w:lineRule="exact"/>
        <w:ind w:firstLine="420" w:firstLineChars="200"/>
        <w:rPr>
          <w:color w:val="auto"/>
          <w:szCs w:val="21"/>
          <w:highlight w:val="none"/>
        </w:rPr>
      </w:pPr>
      <w:r>
        <w:rPr>
          <w:color w:val="auto"/>
          <w:szCs w:val="21"/>
          <w:highlight w:val="none"/>
        </w:rPr>
        <w:t>9、不发生其他有悖于政府采购公开、公平、公正和诚信原则的行为。</w:t>
      </w:r>
    </w:p>
    <w:p>
      <w:pPr>
        <w:widowControl/>
        <w:spacing w:line="440" w:lineRule="exact"/>
        <w:ind w:firstLine="420" w:firstLineChars="200"/>
        <w:rPr>
          <w:color w:val="auto"/>
          <w:szCs w:val="21"/>
          <w:highlight w:val="none"/>
        </w:rPr>
      </w:pPr>
    </w:p>
    <w:p>
      <w:pPr>
        <w:widowControl/>
        <w:spacing w:line="440" w:lineRule="exact"/>
        <w:ind w:firstLine="420" w:firstLineChars="200"/>
        <w:rPr>
          <w:color w:val="auto"/>
          <w:szCs w:val="21"/>
          <w:highlight w:val="none"/>
        </w:rPr>
      </w:pPr>
      <w:r>
        <w:rPr>
          <w:color w:val="auto"/>
          <w:szCs w:val="21"/>
          <w:highlight w:val="none"/>
        </w:rPr>
        <w:t>承诺单位：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盖章）</w:t>
      </w:r>
    </w:p>
    <w:p>
      <w:pPr>
        <w:widowControl/>
        <w:spacing w:line="440" w:lineRule="exact"/>
        <w:ind w:firstLine="420" w:firstLineChars="200"/>
        <w:rPr>
          <w:color w:val="auto"/>
          <w:szCs w:val="21"/>
          <w:highlight w:val="none"/>
        </w:rPr>
      </w:pPr>
      <w:r>
        <w:rPr>
          <w:color w:val="auto"/>
          <w:szCs w:val="21"/>
          <w:highlight w:val="none"/>
        </w:rPr>
        <w:t>全权代表：</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rPr>
        <w:t>盖章或</w:t>
      </w:r>
      <w:r>
        <w:rPr>
          <w:color w:val="auto"/>
          <w:szCs w:val="21"/>
          <w:highlight w:val="none"/>
        </w:rPr>
        <w:t>签字）</w:t>
      </w:r>
    </w:p>
    <w:p>
      <w:pPr>
        <w:widowControl/>
        <w:spacing w:line="520" w:lineRule="exact"/>
        <w:ind w:firstLine="420"/>
        <w:rPr>
          <w:color w:val="auto"/>
          <w:szCs w:val="21"/>
          <w:highlight w:val="none"/>
          <w:u w:val="single"/>
        </w:rPr>
      </w:pPr>
      <w:r>
        <w:rPr>
          <w:color w:val="auto"/>
          <w:szCs w:val="21"/>
          <w:highlight w:val="none"/>
        </w:rPr>
        <w:t>地</w:t>
      </w:r>
      <w:r>
        <w:rPr>
          <w:rFonts w:hint="eastAsia"/>
          <w:color w:val="auto"/>
          <w:szCs w:val="21"/>
          <w:highlight w:val="none"/>
        </w:rPr>
        <w:t xml:space="preserve">    </w:t>
      </w:r>
      <w:r>
        <w:rPr>
          <w:color w:val="auto"/>
          <w:szCs w:val="21"/>
          <w:highlight w:val="none"/>
        </w:rPr>
        <w:t>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widowControl/>
        <w:spacing w:line="520" w:lineRule="exact"/>
        <w:rPr>
          <w:color w:val="auto"/>
          <w:szCs w:val="21"/>
          <w:highlight w:val="none"/>
          <w:u w:val="single"/>
        </w:rPr>
      </w:pPr>
      <w:r>
        <w:rPr>
          <w:color w:val="auto"/>
          <w:szCs w:val="21"/>
          <w:highlight w:val="none"/>
        </w:rPr>
        <w:t xml:space="preserve">    邮    编：</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widowControl/>
        <w:spacing w:line="520" w:lineRule="exact"/>
        <w:rPr>
          <w:color w:val="auto"/>
          <w:szCs w:val="21"/>
          <w:highlight w:val="none"/>
        </w:rPr>
      </w:pPr>
      <w:r>
        <w:rPr>
          <w:color w:val="auto"/>
          <w:szCs w:val="21"/>
          <w:highlight w:val="none"/>
        </w:rPr>
        <w:t xml:space="preserve">    电</w:t>
      </w:r>
      <w:r>
        <w:rPr>
          <w:rFonts w:hint="eastAsia"/>
          <w:color w:val="auto"/>
          <w:szCs w:val="21"/>
          <w:highlight w:val="none"/>
        </w:rPr>
        <w:t xml:space="preserve">    </w:t>
      </w:r>
      <w:r>
        <w:rPr>
          <w:color w:val="auto"/>
          <w:szCs w:val="21"/>
          <w:highlight w:val="none"/>
        </w:rPr>
        <w:t>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pPr>
        <w:widowControl/>
        <w:spacing w:line="440" w:lineRule="exact"/>
        <w:ind w:firstLine="420" w:firstLineChars="200"/>
        <w:rPr>
          <w:color w:val="auto"/>
          <w:szCs w:val="21"/>
          <w:highlight w:val="none"/>
        </w:rPr>
      </w:pPr>
    </w:p>
    <w:p>
      <w:pPr>
        <w:spacing w:line="340" w:lineRule="exact"/>
        <w:ind w:firstLine="4305" w:firstLineChars="2050"/>
        <w:rPr>
          <w:rFonts w:ascii="宋体" w:hAnsi="宋体" w:cs="宋体"/>
          <w:b/>
          <w:color w:val="auto"/>
          <w:szCs w:val="21"/>
          <w:highlight w:val="none"/>
        </w:rPr>
      </w:pPr>
      <w:r>
        <w:rPr>
          <w:rFonts w:hint="eastAsia"/>
          <w:color w:val="auto"/>
          <w:szCs w:val="21"/>
          <w:highlight w:val="none"/>
        </w:rPr>
        <w:t xml:space="preserve">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sectPr>
      <w:headerReference r:id="rId4" w:type="default"/>
      <w:footerReference r:id="rId5" w:type="default"/>
      <w:footnotePr>
        <w:numFmt w:val="decimalEnclosedCircleChinese"/>
        <w:numRestart w:val="eachPage"/>
      </w:footnotePr>
      <w:pgSz w:w="11905" w:h="16838"/>
      <w:pgMar w:top="1276" w:right="1361" w:bottom="1304" w:left="1361" w:header="850" w:footer="850" w:gutter="0"/>
      <w:pgBorders>
        <w:bottom w:val="thinThickSmallGap" w:color="auto" w:sz="24" w:space="1"/>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720"/>
      <w:rPr>
        <w:rFonts w:ascii="宋体" w:hAnsi="宋体"/>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923"/>
        <w:tab w:val="right" w:pos="9206"/>
      </w:tabs>
      <w:spacing w:line="240" w:lineRule="exact"/>
      <w:ind w:right="-21" w:rightChars="-10"/>
      <w:rPr>
        <w:rFonts w:ascii="宋体" w:hAnsi="宋体"/>
        <w:b/>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szCs w:val="21"/>
      </w:rPr>
    </w:pPr>
    <w:r>
      <w:rPr>
        <w:rFonts w:hint="eastAsia"/>
        <w:szCs w:val="21"/>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01"/>
      <w:numFmt w:val="decimal"/>
      <w:pStyle w:val="25"/>
      <w:lvlText w:val="%1节"/>
      <w:lvlJc w:val="left"/>
      <w:pPr>
        <w:tabs>
          <w:tab w:val="left" w:pos="1005"/>
        </w:tabs>
        <w:ind w:left="1005" w:hanging="1005"/>
      </w:pPr>
      <w:rPr>
        <w:rFonts w:hint="eastAsia"/>
      </w:rPr>
    </w:lvl>
  </w:abstractNum>
  <w:abstractNum w:abstractNumId="1">
    <w:nsid w:val="00000006"/>
    <w:multiLevelType w:val="multilevel"/>
    <w:tmpl w:val="00000006"/>
    <w:lvl w:ilvl="0" w:tentative="0">
      <w:start w:val="1"/>
      <w:numFmt w:val="decimal"/>
      <w:pStyle w:val="72"/>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00000008"/>
    <w:multiLevelType w:val="singleLevel"/>
    <w:tmpl w:val="00000008"/>
    <w:lvl w:ilvl="0" w:tentative="0">
      <w:start w:val="1"/>
      <w:numFmt w:val="upperLetter"/>
      <w:pStyle w:val="4"/>
      <w:lvlText w:val="%1、"/>
      <w:lvlJc w:val="left"/>
      <w:pPr>
        <w:tabs>
          <w:tab w:val="left" w:pos="960"/>
        </w:tabs>
        <w:ind w:left="960" w:hanging="324"/>
      </w:pPr>
      <w:rPr>
        <w:rFonts w:hint="eastAsia"/>
      </w:rPr>
    </w:lvl>
  </w:abstractNum>
  <w:abstractNum w:abstractNumId="3">
    <w:nsid w:val="0000000A"/>
    <w:multiLevelType w:val="singleLevel"/>
    <w:tmpl w:val="0000000A"/>
    <w:lvl w:ilvl="0" w:tentative="0">
      <w:start w:val="1"/>
      <w:numFmt w:val="upperLetter"/>
      <w:pStyle w:val="3"/>
      <w:lvlText w:val="%1．"/>
      <w:lvlJc w:val="left"/>
      <w:pPr>
        <w:tabs>
          <w:tab w:val="left" w:pos="324"/>
        </w:tabs>
        <w:ind w:left="324" w:hanging="324"/>
      </w:pPr>
      <w:rPr>
        <w:rFonts w:hint="eastAsia"/>
      </w:rPr>
    </w:lvl>
  </w:abstractNum>
  <w:abstractNum w:abstractNumId="4">
    <w:nsid w:val="0000000D"/>
    <w:multiLevelType w:val="singleLevel"/>
    <w:tmpl w:val="0000000D"/>
    <w:lvl w:ilvl="0" w:tentative="0">
      <w:start w:val="1"/>
      <w:numFmt w:val="upperLetter"/>
      <w:pStyle w:val="7"/>
      <w:lvlText w:val="%1、"/>
      <w:lvlJc w:val="left"/>
      <w:pPr>
        <w:tabs>
          <w:tab w:val="left" w:pos="960"/>
        </w:tabs>
        <w:ind w:left="960" w:hanging="324"/>
      </w:pPr>
      <w:rPr>
        <w:rFonts w:hint="eastAsia"/>
      </w:rPr>
    </w:lvl>
  </w:abstractNum>
  <w:abstractNum w:abstractNumId="5">
    <w:nsid w:val="00000013"/>
    <w:multiLevelType w:val="multilevel"/>
    <w:tmpl w:val="00000013"/>
    <w:lvl w:ilvl="0" w:tentative="0">
      <w:start w:val="2"/>
      <w:numFmt w:val="upperLetter"/>
      <w:pStyle w:val="8"/>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6E1356"/>
    <w:multiLevelType w:val="multilevel"/>
    <w:tmpl w:val="086E1356"/>
    <w:lvl w:ilvl="0" w:tentative="0">
      <w:start w:val="2"/>
      <w:numFmt w:val="decimal"/>
      <w:lvlText w:val="%1、"/>
      <w:lvlJc w:val="left"/>
      <w:pPr>
        <w:ind w:left="990" w:hanging="720"/>
      </w:pPr>
      <w:rPr>
        <w:rFonts w:hint="default" w:hAnsiTheme="minorHAnsi"/>
      </w:rPr>
    </w:lvl>
    <w:lvl w:ilvl="1" w:tentative="0">
      <w:start w:val="1"/>
      <w:numFmt w:val="lowerLetter"/>
      <w:lvlText w:val="%2)"/>
      <w:lvlJc w:val="left"/>
      <w:pPr>
        <w:ind w:left="1110" w:hanging="420"/>
      </w:pPr>
    </w:lvl>
    <w:lvl w:ilvl="2" w:tentative="0">
      <w:start w:val="1"/>
      <w:numFmt w:val="lowerRoman"/>
      <w:lvlText w:val="%3."/>
      <w:lvlJc w:val="right"/>
      <w:pPr>
        <w:ind w:left="1530" w:hanging="420"/>
      </w:pPr>
    </w:lvl>
    <w:lvl w:ilvl="3" w:tentative="0">
      <w:start w:val="1"/>
      <w:numFmt w:val="decimal"/>
      <w:lvlText w:val="%4."/>
      <w:lvlJc w:val="left"/>
      <w:pPr>
        <w:ind w:left="1950" w:hanging="420"/>
      </w:pPr>
    </w:lvl>
    <w:lvl w:ilvl="4" w:tentative="0">
      <w:start w:val="1"/>
      <w:numFmt w:val="lowerLetter"/>
      <w:lvlText w:val="%5)"/>
      <w:lvlJc w:val="left"/>
      <w:pPr>
        <w:ind w:left="2370" w:hanging="420"/>
      </w:pPr>
    </w:lvl>
    <w:lvl w:ilvl="5" w:tentative="0">
      <w:start w:val="1"/>
      <w:numFmt w:val="lowerRoman"/>
      <w:lvlText w:val="%6."/>
      <w:lvlJc w:val="right"/>
      <w:pPr>
        <w:ind w:left="2790" w:hanging="420"/>
      </w:pPr>
    </w:lvl>
    <w:lvl w:ilvl="6" w:tentative="0">
      <w:start w:val="1"/>
      <w:numFmt w:val="decimal"/>
      <w:lvlText w:val="%7."/>
      <w:lvlJc w:val="left"/>
      <w:pPr>
        <w:ind w:left="3210" w:hanging="420"/>
      </w:pPr>
    </w:lvl>
    <w:lvl w:ilvl="7" w:tentative="0">
      <w:start w:val="1"/>
      <w:numFmt w:val="lowerLetter"/>
      <w:lvlText w:val="%8)"/>
      <w:lvlJc w:val="left"/>
      <w:pPr>
        <w:ind w:left="3630" w:hanging="420"/>
      </w:pPr>
    </w:lvl>
    <w:lvl w:ilvl="8" w:tentative="0">
      <w:start w:val="1"/>
      <w:numFmt w:val="lowerRoman"/>
      <w:lvlText w:val="%9."/>
      <w:lvlJc w:val="right"/>
      <w:pPr>
        <w:ind w:left="4050" w:hanging="420"/>
      </w:pPr>
    </w:lvl>
  </w:abstractNum>
  <w:abstractNum w:abstractNumId="7">
    <w:nsid w:val="3FF84AA9"/>
    <w:multiLevelType w:val="multilevel"/>
    <w:tmpl w:val="3FF84AA9"/>
    <w:lvl w:ilvl="0" w:tentative="0">
      <w:start w:val="1"/>
      <w:numFmt w:val="chineseCountingThousand"/>
      <w:pStyle w:val="147"/>
      <w:suff w:val="nothing"/>
      <w:lvlText w:val="第%1章 "/>
      <w:lvlJc w:val="left"/>
      <w:rPr>
        <w:rFonts w:hint="default" w:ascii="Times New Roman" w:hAnsi="Times New Roman" w:eastAsia="仿宋" w:cs="Times New Roman"/>
        <w:bCs w:val="0"/>
        <w:i w:val="0"/>
        <w:iCs w:val="0"/>
        <w:caps w:val="0"/>
        <w:smallCaps w:val="0"/>
        <w:strike w:val="0"/>
        <w:dstrike w:val="0"/>
        <w:vanish w:val="0"/>
        <w:color w:val="000000"/>
        <w:spacing w:val="0"/>
        <w:kern w:val="0"/>
        <w:position w:val="0"/>
        <w:sz w:val="32"/>
        <w:u w:val="none"/>
        <w:vertAlign w:val="baseline"/>
        <w14:shadow w14:blurRad="0" w14:dist="0" w14:dir="0" w14:sx="0" w14:sy="0" w14:kx="0" w14:ky="0" w14:algn="none">
          <w14:srgbClr w14:val="000000"/>
        </w14:shadow>
      </w:rPr>
    </w:lvl>
    <w:lvl w:ilvl="1" w:tentative="0">
      <w:start w:val="1"/>
      <w:numFmt w:val="decimal"/>
      <w:pStyle w:val="5"/>
      <w:isLgl/>
      <w:suff w:val="space"/>
      <w:lvlText w:val="%1.%2"/>
      <w:lvlJc w:val="left"/>
      <w:pPr>
        <w:ind w:left="426" w:firstLine="0"/>
      </w:pPr>
      <w:rPr>
        <w:rFonts w:hint="default" w:ascii="Times New Roman" w:hAnsi="Times New Roman" w:eastAsia="仿宋"/>
        <w:b/>
        <w:i w:val="0"/>
        <w:sz w:val="30"/>
      </w:rPr>
    </w:lvl>
    <w:lvl w:ilvl="2" w:tentative="0">
      <w:start w:val="1"/>
      <w:numFmt w:val="decimal"/>
      <w:isLgl/>
      <w:suff w:val="space"/>
      <w:lvlText w:val="%1.%2.%3"/>
      <w:lvlJc w:val="left"/>
      <w:pPr>
        <w:ind w:left="0" w:firstLine="0"/>
      </w:pPr>
      <w:rPr>
        <w:rFonts w:hint="default" w:ascii="Times New Roman" w:hAnsi="Times New Roman" w:eastAsia="仿宋"/>
        <w:b/>
        <w:i w:val="0"/>
        <w:color w:val="auto"/>
        <w:sz w:val="28"/>
      </w:rPr>
    </w:lvl>
    <w:lvl w:ilvl="3" w:tentative="0">
      <w:start w:val="1"/>
      <w:numFmt w:val="decimal"/>
      <w:isLgl/>
      <w:suff w:val="space"/>
      <w:lvlText w:val="%1.%2.%3.%4"/>
      <w:lvlJc w:val="left"/>
      <w:rPr>
        <w:rFonts w:hint="default" w:ascii="Times New Roman" w:hAnsi="Times New Roman" w:eastAsia="仿宋" w:cs="Times New Roman"/>
        <w:bCs w:val="0"/>
        <w:i w:val="0"/>
        <w:iCs w:val="0"/>
        <w:caps w:val="0"/>
        <w:smallCaps w:val="0"/>
        <w:strike w:val="0"/>
        <w:dstrike w:val="0"/>
        <w:vanish w:val="0"/>
        <w:color w:val="auto"/>
        <w:spacing w:val="0"/>
        <w:kern w:val="0"/>
        <w:position w:val="0"/>
        <w:sz w:val="28"/>
        <w:u w:val="none"/>
        <w:vertAlign w:val="baseline"/>
        <w14:shadow w14:blurRad="0" w14:dist="0" w14:dir="0" w14:sx="0" w14:sy="0" w14:kx="0" w14:ky="0" w14:algn="none">
          <w14:srgbClr w14:val="000000"/>
        </w14:shadow>
      </w:rPr>
    </w:lvl>
    <w:lvl w:ilvl="4" w:tentative="0">
      <w:start w:val="1"/>
      <w:numFmt w:val="decimal"/>
      <w:isLgl/>
      <w:suff w:val="nothing"/>
      <w:lvlText w:val="%1.%2.%3.%4.%5 "/>
      <w:lvlJc w:val="left"/>
      <w:pPr>
        <w:ind w:left="0" w:firstLine="0"/>
      </w:pPr>
      <w:rPr>
        <w:rFonts w:hint="default" w:ascii="Times New Roman" w:hAnsi="Times New Roman" w:eastAsia="仿宋"/>
        <w:b/>
        <w:i w:val="0"/>
        <w:sz w:val="24"/>
      </w:rPr>
    </w:lvl>
    <w:lvl w:ilvl="5" w:tentative="0">
      <w:start w:val="1"/>
      <w:numFmt w:val="upperRoman"/>
      <w:isLgl/>
      <w:suff w:val="nothing"/>
      <w:lvlText w:val="%1.%2.%3.%4.%5.%6 "/>
      <w:lvlJc w:val="left"/>
      <w:pPr>
        <w:ind w:left="0" w:firstLine="0"/>
      </w:pPr>
      <w:rPr>
        <w:rFonts w:hint="default" w:ascii="Times New Roman" w:hAnsi="Times New Roman" w:eastAsia="仿宋"/>
        <w:b/>
        <w:i w:val="0"/>
        <w:sz w:val="24"/>
      </w:rPr>
    </w:lvl>
    <w:lvl w:ilvl="6" w:tentative="0">
      <w:start w:val="1"/>
      <w:numFmt w:val="decimal"/>
      <w:isLgl/>
      <w:suff w:val="nothing"/>
      <w:lvlText w:val="%1.%2.%3.%4.%5.%6.%7"/>
      <w:lvlJc w:val="left"/>
      <w:pPr>
        <w:ind w:left="0" w:firstLine="0"/>
      </w:pPr>
      <w:rPr>
        <w:rFonts w:hint="eastAsia"/>
      </w:rPr>
    </w:lvl>
    <w:lvl w:ilvl="7" w:tentative="0">
      <w:start w:val="1"/>
      <w:numFmt w:val="decimal"/>
      <w:isLgl/>
      <w:lvlText w:val="%1.%2.%3.%4.%5.%6.%7.%8"/>
      <w:lvlJc w:val="left"/>
      <w:pPr>
        <w:ind w:left="0" w:firstLine="0"/>
      </w:pPr>
      <w:rPr>
        <w:rFonts w:hint="eastAsia"/>
        <w:i w:val="0"/>
      </w:rPr>
    </w:lvl>
    <w:lvl w:ilvl="8" w:tentative="0">
      <w:start w:val="1"/>
      <w:numFmt w:val="decimal"/>
      <w:lvlText w:val="%1.%2.%3.%4.%5.%6.%7.%8.%9"/>
      <w:lvlJc w:val="left"/>
      <w:pPr>
        <w:ind w:left="0" w:firstLine="0"/>
      </w:pPr>
      <w:rPr>
        <w:rFonts w:hint="eastAsia"/>
      </w:rPr>
    </w:lvl>
  </w:abstractNum>
  <w:abstractNum w:abstractNumId="8">
    <w:nsid w:val="40DE7904"/>
    <w:multiLevelType w:val="singleLevel"/>
    <w:tmpl w:val="40DE7904"/>
    <w:lvl w:ilvl="0" w:tentative="0">
      <w:start w:val="5"/>
      <w:numFmt w:val="chineseCounting"/>
      <w:suff w:val="nothing"/>
      <w:lvlText w:val="%1、"/>
      <w:lvlJc w:val="left"/>
      <w:rPr>
        <w:rFonts w:hint="eastAsia"/>
      </w:rPr>
    </w:lvl>
  </w:abstractNum>
  <w:abstractNum w:abstractNumId="9">
    <w:nsid w:val="4F004D9C"/>
    <w:multiLevelType w:val="singleLevel"/>
    <w:tmpl w:val="4F004D9C"/>
    <w:lvl w:ilvl="0" w:tentative="0">
      <w:start w:val="1"/>
      <w:numFmt w:val="decimal"/>
      <w:suff w:val="nothing"/>
      <w:lvlText w:val="（%1）"/>
      <w:lvlJc w:val="left"/>
    </w:lvl>
  </w:abstractNum>
  <w:abstractNum w:abstractNumId="10">
    <w:nsid w:val="58DB60FA"/>
    <w:multiLevelType w:val="singleLevel"/>
    <w:tmpl w:val="58DB60FA"/>
    <w:lvl w:ilvl="0" w:tentative="0">
      <w:start w:val="2"/>
      <w:numFmt w:val="decimal"/>
      <w:suff w:val="nothing"/>
      <w:lvlText w:val="%1、"/>
      <w:lvlJc w:val="left"/>
    </w:lvl>
  </w:abstractNum>
  <w:abstractNum w:abstractNumId="11">
    <w:nsid w:val="7DA6E3B1"/>
    <w:multiLevelType w:val="singleLevel"/>
    <w:tmpl w:val="7DA6E3B1"/>
    <w:lvl w:ilvl="0" w:tentative="0">
      <w:start w:val="1"/>
      <w:numFmt w:val="decimal"/>
      <w:suff w:val="nothing"/>
      <w:lvlText w:val="%1、"/>
      <w:lvlJc w:val="left"/>
    </w:lvl>
  </w:abstractNum>
  <w:num w:numId="1">
    <w:abstractNumId w:val="3"/>
  </w:num>
  <w:num w:numId="2">
    <w:abstractNumId w:val="2"/>
  </w:num>
  <w:num w:numId="3">
    <w:abstractNumId w:val="4"/>
  </w:num>
  <w:num w:numId="4">
    <w:abstractNumId w:val="5"/>
  </w:num>
  <w:num w:numId="5">
    <w:abstractNumId w:val="7"/>
  </w:num>
  <w:num w:numId="6">
    <w:abstractNumId w:val="0"/>
  </w:num>
  <w:num w:numId="7">
    <w:abstractNumId w:val="1"/>
  </w:num>
  <w:num w:numId="8">
    <w:abstractNumId w:val="11"/>
  </w:num>
  <w:num w:numId="9">
    <w:abstractNumId w:val="9"/>
  </w:num>
  <w:num w:numId="10">
    <w:abstractNumId w:val="8"/>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wNmUxOTNhMzQwMWQ2MzFhNmZkMmJiOWIwNmNjNmQifQ=="/>
  </w:docVars>
  <w:rsids>
    <w:rsidRoot w:val="00172A27"/>
    <w:rsid w:val="0000128A"/>
    <w:rsid w:val="00003D36"/>
    <w:rsid w:val="000076D5"/>
    <w:rsid w:val="00011C66"/>
    <w:rsid w:val="000137C3"/>
    <w:rsid w:val="00016B8E"/>
    <w:rsid w:val="00020110"/>
    <w:rsid w:val="0002147A"/>
    <w:rsid w:val="00035F92"/>
    <w:rsid w:val="00041D9D"/>
    <w:rsid w:val="00042E67"/>
    <w:rsid w:val="0004349A"/>
    <w:rsid w:val="00062BDD"/>
    <w:rsid w:val="00065342"/>
    <w:rsid w:val="0006605A"/>
    <w:rsid w:val="00072EEB"/>
    <w:rsid w:val="00073790"/>
    <w:rsid w:val="00074B6A"/>
    <w:rsid w:val="00076413"/>
    <w:rsid w:val="00076DA3"/>
    <w:rsid w:val="00080667"/>
    <w:rsid w:val="00082BE3"/>
    <w:rsid w:val="000931AB"/>
    <w:rsid w:val="00094161"/>
    <w:rsid w:val="00096E50"/>
    <w:rsid w:val="000A0345"/>
    <w:rsid w:val="000A2C1C"/>
    <w:rsid w:val="000B2B61"/>
    <w:rsid w:val="000B7514"/>
    <w:rsid w:val="000B7BBF"/>
    <w:rsid w:val="000C381D"/>
    <w:rsid w:val="000C3CC8"/>
    <w:rsid w:val="000C709B"/>
    <w:rsid w:val="000F28A3"/>
    <w:rsid w:val="00111CB0"/>
    <w:rsid w:val="00116F69"/>
    <w:rsid w:val="001232BC"/>
    <w:rsid w:val="00126AEF"/>
    <w:rsid w:val="00141DB2"/>
    <w:rsid w:val="00141F3F"/>
    <w:rsid w:val="00145857"/>
    <w:rsid w:val="00147194"/>
    <w:rsid w:val="00151007"/>
    <w:rsid w:val="00155313"/>
    <w:rsid w:val="00157F44"/>
    <w:rsid w:val="00161DFD"/>
    <w:rsid w:val="00170086"/>
    <w:rsid w:val="001711C4"/>
    <w:rsid w:val="00172A27"/>
    <w:rsid w:val="00172CD9"/>
    <w:rsid w:val="001803E7"/>
    <w:rsid w:val="00190953"/>
    <w:rsid w:val="001939D8"/>
    <w:rsid w:val="001A03D9"/>
    <w:rsid w:val="001A2DD0"/>
    <w:rsid w:val="001C0671"/>
    <w:rsid w:val="001C5D4D"/>
    <w:rsid w:val="001C7C27"/>
    <w:rsid w:val="001D051E"/>
    <w:rsid w:val="001D3153"/>
    <w:rsid w:val="001D787F"/>
    <w:rsid w:val="001F0A56"/>
    <w:rsid w:val="001F7423"/>
    <w:rsid w:val="00211C51"/>
    <w:rsid w:val="002304E4"/>
    <w:rsid w:val="002362AD"/>
    <w:rsid w:val="00260F5E"/>
    <w:rsid w:val="0026528C"/>
    <w:rsid w:val="0027618C"/>
    <w:rsid w:val="00283F79"/>
    <w:rsid w:val="0029229C"/>
    <w:rsid w:val="002A015A"/>
    <w:rsid w:val="002A2E0A"/>
    <w:rsid w:val="002A45CD"/>
    <w:rsid w:val="002A4DD4"/>
    <w:rsid w:val="002A7D62"/>
    <w:rsid w:val="002B48B9"/>
    <w:rsid w:val="002B589E"/>
    <w:rsid w:val="002C0490"/>
    <w:rsid w:val="002C595D"/>
    <w:rsid w:val="002C6860"/>
    <w:rsid w:val="002D4619"/>
    <w:rsid w:val="002D51C6"/>
    <w:rsid w:val="002E4448"/>
    <w:rsid w:val="002E7E05"/>
    <w:rsid w:val="002F1682"/>
    <w:rsid w:val="002F3354"/>
    <w:rsid w:val="00301815"/>
    <w:rsid w:val="00303021"/>
    <w:rsid w:val="00303782"/>
    <w:rsid w:val="0031068B"/>
    <w:rsid w:val="003214F7"/>
    <w:rsid w:val="00324228"/>
    <w:rsid w:val="003243CB"/>
    <w:rsid w:val="00326D99"/>
    <w:rsid w:val="00345496"/>
    <w:rsid w:val="003577A2"/>
    <w:rsid w:val="00364C57"/>
    <w:rsid w:val="003666B7"/>
    <w:rsid w:val="0036797F"/>
    <w:rsid w:val="003778C2"/>
    <w:rsid w:val="00387722"/>
    <w:rsid w:val="003921D6"/>
    <w:rsid w:val="003A0F2B"/>
    <w:rsid w:val="003A6C5D"/>
    <w:rsid w:val="003B33F1"/>
    <w:rsid w:val="003B767B"/>
    <w:rsid w:val="003C060B"/>
    <w:rsid w:val="003C1ACF"/>
    <w:rsid w:val="003C7DD0"/>
    <w:rsid w:val="003F099A"/>
    <w:rsid w:val="003F20A4"/>
    <w:rsid w:val="0040273F"/>
    <w:rsid w:val="00402AA6"/>
    <w:rsid w:val="00406D77"/>
    <w:rsid w:val="004167E4"/>
    <w:rsid w:val="004169D7"/>
    <w:rsid w:val="00422EA6"/>
    <w:rsid w:val="00425CC6"/>
    <w:rsid w:val="004336FD"/>
    <w:rsid w:val="00443A28"/>
    <w:rsid w:val="00446412"/>
    <w:rsid w:val="00451F98"/>
    <w:rsid w:val="004524D3"/>
    <w:rsid w:val="00454D41"/>
    <w:rsid w:val="00467E2B"/>
    <w:rsid w:val="00474486"/>
    <w:rsid w:val="00485BD9"/>
    <w:rsid w:val="00493618"/>
    <w:rsid w:val="004A3257"/>
    <w:rsid w:val="004A4F68"/>
    <w:rsid w:val="004B12DA"/>
    <w:rsid w:val="004B5BEE"/>
    <w:rsid w:val="004C38AA"/>
    <w:rsid w:val="004C7783"/>
    <w:rsid w:val="004D4AA7"/>
    <w:rsid w:val="004D5C9D"/>
    <w:rsid w:val="004D7497"/>
    <w:rsid w:val="004E0379"/>
    <w:rsid w:val="004E0F0D"/>
    <w:rsid w:val="004E2BB6"/>
    <w:rsid w:val="004E7DCD"/>
    <w:rsid w:val="004F0D6A"/>
    <w:rsid w:val="004F3197"/>
    <w:rsid w:val="004F4C1C"/>
    <w:rsid w:val="005024DD"/>
    <w:rsid w:val="00504620"/>
    <w:rsid w:val="00507C35"/>
    <w:rsid w:val="00510A14"/>
    <w:rsid w:val="00512B25"/>
    <w:rsid w:val="005155AE"/>
    <w:rsid w:val="005233DA"/>
    <w:rsid w:val="00523AC0"/>
    <w:rsid w:val="00530F88"/>
    <w:rsid w:val="005352F9"/>
    <w:rsid w:val="00536EE3"/>
    <w:rsid w:val="00541EFB"/>
    <w:rsid w:val="0055235A"/>
    <w:rsid w:val="005576EA"/>
    <w:rsid w:val="00567A15"/>
    <w:rsid w:val="005763D4"/>
    <w:rsid w:val="00577E6E"/>
    <w:rsid w:val="00586793"/>
    <w:rsid w:val="00587DA2"/>
    <w:rsid w:val="00596403"/>
    <w:rsid w:val="005967CE"/>
    <w:rsid w:val="005A1281"/>
    <w:rsid w:val="005A7969"/>
    <w:rsid w:val="005B0D03"/>
    <w:rsid w:val="005B70FE"/>
    <w:rsid w:val="005B7EA0"/>
    <w:rsid w:val="005C102F"/>
    <w:rsid w:val="005D0B15"/>
    <w:rsid w:val="005D543F"/>
    <w:rsid w:val="005D66FF"/>
    <w:rsid w:val="005D6C8C"/>
    <w:rsid w:val="005E2296"/>
    <w:rsid w:val="005E2321"/>
    <w:rsid w:val="005E775A"/>
    <w:rsid w:val="005F40A5"/>
    <w:rsid w:val="005F77EE"/>
    <w:rsid w:val="00604610"/>
    <w:rsid w:val="0061126D"/>
    <w:rsid w:val="00613BCC"/>
    <w:rsid w:val="00616119"/>
    <w:rsid w:val="00617B84"/>
    <w:rsid w:val="00617C83"/>
    <w:rsid w:val="00620F72"/>
    <w:rsid w:val="00622E8D"/>
    <w:rsid w:val="00635EC0"/>
    <w:rsid w:val="006409BD"/>
    <w:rsid w:val="006445D2"/>
    <w:rsid w:val="00652753"/>
    <w:rsid w:val="00654521"/>
    <w:rsid w:val="00660345"/>
    <w:rsid w:val="00664BCB"/>
    <w:rsid w:val="006650ED"/>
    <w:rsid w:val="00672C33"/>
    <w:rsid w:val="00675CB2"/>
    <w:rsid w:val="006768FF"/>
    <w:rsid w:val="00677EA3"/>
    <w:rsid w:val="00687425"/>
    <w:rsid w:val="00697E65"/>
    <w:rsid w:val="006A0B11"/>
    <w:rsid w:val="006A5F22"/>
    <w:rsid w:val="006C4BA9"/>
    <w:rsid w:val="006C5065"/>
    <w:rsid w:val="006C7F44"/>
    <w:rsid w:val="006D1787"/>
    <w:rsid w:val="006E00AA"/>
    <w:rsid w:val="006E0644"/>
    <w:rsid w:val="006E1CE8"/>
    <w:rsid w:val="006F51B8"/>
    <w:rsid w:val="006F61DE"/>
    <w:rsid w:val="00702F65"/>
    <w:rsid w:val="00703029"/>
    <w:rsid w:val="00712239"/>
    <w:rsid w:val="00714D6B"/>
    <w:rsid w:val="00730112"/>
    <w:rsid w:val="007434A4"/>
    <w:rsid w:val="00776FFB"/>
    <w:rsid w:val="007966D5"/>
    <w:rsid w:val="00797647"/>
    <w:rsid w:val="007A5ACB"/>
    <w:rsid w:val="007B3E7D"/>
    <w:rsid w:val="007C1037"/>
    <w:rsid w:val="007C17F1"/>
    <w:rsid w:val="007C5C77"/>
    <w:rsid w:val="007D351D"/>
    <w:rsid w:val="007E63F1"/>
    <w:rsid w:val="008021BC"/>
    <w:rsid w:val="00802B42"/>
    <w:rsid w:val="0081504F"/>
    <w:rsid w:val="0081571E"/>
    <w:rsid w:val="00816BF8"/>
    <w:rsid w:val="00820F86"/>
    <w:rsid w:val="0082203F"/>
    <w:rsid w:val="00830C91"/>
    <w:rsid w:val="00833CBF"/>
    <w:rsid w:val="008376AD"/>
    <w:rsid w:val="0084386F"/>
    <w:rsid w:val="00850B0A"/>
    <w:rsid w:val="008512C4"/>
    <w:rsid w:val="008565EA"/>
    <w:rsid w:val="00865193"/>
    <w:rsid w:val="00891556"/>
    <w:rsid w:val="00892B49"/>
    <w:rsid w:val="00895A24"/>
    <w:rsid w:val="00896C4F"/>
    <w:rsid w:val="008A79FB"/>
    <w:rsid w:val="008B3954"/>
    <w:rsid w:val="008B6A1A"/>
    <w:rsid w:val="008B7CBB"/>
    <w:rsid w:val="008C12D1"/>
    <w:rsid w:val="008D31DD"/>
    <w:rsid w:val="008E729D"/>
    <w:rsid w:val="008F43B6"/>
    <w:rsid w:val="00900A27"/>
    <w:rsid w:val="00914FBD"/>
    <w:rsid w:val="009155FB"/>
    <w:rsid w:val="00916E80"/>
    <w:rsid w:val="009263DC"/>
    <w:rsid w:val="00935F31"/>
    <w:rsid w:val="00945D58"/>
    <w:rsid w:val="00955CA1"/>
    <w:rsid w:val="00960B95"/>
    <w:rsid w:val="00967C3A"/>
    <w:rsid w:val="00971C36"/>
    <w:rsid w:val="00975DA2"/>
    <w:rsid w:val="00990F30"/>
    <w:rsid w:val="009A4E6D"/>
    <w:rsid w:val="009A68AF"/>
    <w:rsid w:val="009A6B14"/>
    <w:rsid w:val="009C4323"/>
    <w:rsid w:val="009C6578"/>
    <w:rsid w:val="009D5F89"/>
    <w:rsid w:val="009D7ABD"/>
    <w:rsid w:val="009E58F9"/>
    <w:rsid w:val="009F334C"/>
    <w:rsid w:val="009F481D"/>
    <w:rsid w:val="00A020CD"/>
    <w:rsid w:val="00A12C56"/>
    <w:rsid w:val="00A13DA1"/>
    <w:rsid w:val="00A13E44"/>
    <w:rsid w:val="00A22E49"/>
    <w:rsid w:val="00A23158"/>
    <w:rsid w:val="00A31711"/>
    <w:rsid w:val="00A34547"/>
    <w:rsid w:val="00A35D5A"/>
    <w:rsid w:val="00A3685A"/>
    <w:rsid w:val="00A41678"/>
    <w:rsid w:val="00A56C2A"/>
    <w:rsid w:val="00A5740E"/>
    <w:rsid w:val="00A646AF"/>
    <w:rsid w:val="00A70F0D"/>
    <w:rsid w:val="00A71AAC"/>
    <w:rsid w:val="00A74884"/>
    <w:rsid w:val="00A77BFE"/>
    <w:rsid w:val="00A974AE"/>
    <w:rsid w:val="00AA277C"/>
    <w:rsid w:val="00AA5F0A"/>
    <w:rsid w:val="00AB2E4A"/>
    <w:rsid w:val="00AB4012"/>
    <w:rsid w:val="00AB6A07"/>
    <w:rsid w:val="00AD6140"/>
    <w:rsid w:val="00AE257D"/>
    <w:rsid w:val="00AE34FB"/>
    <w:rsid w:val="00B235E5"/>
    <w:rsid w:val="00B26525"/>
    <w:rsid w:val="00B3447C"/>
    <w:rsid w:val="00B50C1E"/>
    <w:rsid w:val="00B57128"/>
    <w:rsid w:val="00B573FA"/>
    <w:rsid w:val="00B57ED6"/>
    <w:rsid w:val="00B6124E"/>
    <w:rsid w:val="00B701AC"/>
    <w:rsid w:val="00B72C8A"/>
    <w:rsid w:val="00B752EF"/>
    <w:rsid w:val="00B83CF4"/>
    <w:rsid w:val="00B92141"/>
    <w:rsid w:val="00B94DE4"/>
    <w:rsid w:val="00BA266A"/>
    <w:rsid w:val="00BA487B"/>
    <w:rsid w:val="00BB1698"/>
    <w:rsid w:val="00BB16FF"/>
    <w:rsid w:val="00BB2B9D"/>
    <w:rsid w:val="00BB3E86"/>
    <w:rsid w:val="00BB5286"/>
    <w:rsid w:val="00BB6196"/>
    <w:rsid w:val="00BC2AE0"/>
    <w:rsid w:val="00BC456E"/>
    <w:rsid w:val="00BD0502"/>
    <w:rsid w:val="00BD0A62"/>
    <w:rsid w:val="00BD2C72"/>
    <w:rsid w:val="00BD3417"/>
    <w:rsid w:val="00BD47AF"/>
    <w:rsid w:val="00BE3EB2"/>
    <w:rsid w:val="00BF5284"/>
    <w:rsid w:val="00BF706B"/>
    <w:rsid w:val="00C017E9"/>
    <w:rsid w:val="00C03987"/>
    <w:rsid w:val="00C1115D"/>
    <w:rsid w:val="00C1475F"/>
    <w:rsid w:val="00C1478D"/>
    <w:rsid w:val="00C1616D"/>
    <w:rsid w:val="00C25020"/>
    <w:rsid w:val="00C27FBC"/>
    <w:rsid w:val="00C4081C"/>
    <w:rsid w:val="00C46A7D"/>
    <w:rsid w:val="00C54FB1"/>
    <w:rsid w:val="00C56F6C"/>
    <w:rsid w:val="00C86978"/>
    <w:rsid w:val="00C93862"/>
    <w:rsid w:val="00C95058"/>
    <w:rsid w:val="00CA62CD"/>
    <w:rsid w:val="00CA6A82"/>
    <w:rsid w:val="00CB0D1A"/>
    <w:rsid w:val="00CC1AEE"/>
    <w:rsid w:val="00CE0982"/>
    <w:rsid w:val="00CE3376"/>
    <w:rsid w:val="00CE65FA"/>
    <w:rsid w:val="00CF7749"/>
    <w:rsid w:val="00D010D6"/>
    <w:rsid w:val="00D01465"/>
    <w:rsid w:val="00D046D8"/>
    <w:rsid w:val="00D07AD6"/>
    <w:rsid w:val="00D07C0B"/>
    <w:rsid w:val="00D132E2"/>
    <w:rsid w:val="00D14214"/>
    <w:rsid w:val="00D1583E"/>
    <w:rsid w:val="00D1623B"/>
    <w:rsid w:val="00D16397"/>
    <w:rsid w:val="00D17D73"/>
    <w:rsid w:val="00D25DB2"/>
    <w:rsid w:val="00D26A87"/>
    <w:rsid w:val="00D35D6F"/>
    <w:rsid w:val="00D370CC"/>
    <w:rsid w:val="00D409AD"/>
    <w:rsid w:val="00D42D7F"/>
    <w:rsid w:val="00D4374E"/>
    <w:rsid w:val="00D4663D"/>
    <w:rsid w:val="00D53240"/>
    <w:rsid w:val="00D57BD4"/>
    <w:rsid w:val="00D60CE1"/>
    <w:rsid w:val="00D634B7"/>
    <w:rsid w:val="00D6592D"/>
    <w:rsid w:val="00D72514"/>
    <w:rsid w:val="00D80D96"/>
    <w:rsid w:val="00D91631"/>
    <w:rsid w:val="00D934FC"/>
    <w:rsid w:val="00D944AA"/>
    <w:rsid w:val="00D949F2"/>
    <w:rsid w:val="00D97E29"/>
    <w:rsid w:val="00DA39CA"/>
    <w:rsid w:val="00DA41E6"/>
    <w:rsid w:val="00DA4342"/>
    <w:rsid w:val="00DA45A9"/>
    <w:rsid w:val="00DB3773"/>
    <w:rsid w:val="00DB5B6F"/>
    <w:rsid w:val="00DC088D"/>
    <w:rsid w:val="00DC18D0"/>
    <w:rsid w:val="00DE0001"/>
    <w:rsid w:val="00DE1B93"/>
    <w:rsid w:val="00DF1E2A"/>
    <w:rsid w:val="00E0509C"/>
    <w:rsid w:val="00E07F51"/>
    <w:rsid w:val="00E3082E"/>
    <w:rsid w:val="00E33E89"/>
    <w:rsid w:val="00E35756"/>
    <w:rsid w:val="00E42405"/>
    <w:rsid w:val="00E47C9B"/>
    <w:rsid w:val="00E5187A"/>
    <w:rsid w:val="00E537DB"/>
    <w:rsid w:val="00E55746"/>
    <w:rsid w:val="00E64AF6"/>
    <w:rsid w:val="00E65F7A"/>
    <w:rsid w:val="00E670FB"/>
    <w:rsid w:val="00E81056"/>
    <w:rsid w:val="00E85993"/>
    <w:rsid w:val="00E879AB"/>
    <w:rsid w:val="00EA3FAD"/>
    <w:rsid w:val="00EB282E"/>
    <w:rsid w:val="00EB3F9E"/>
    <w:rsid w:val="00EB4613"/>
    <w:rsid w:val="00EB6555"/>
    <w:rsid w:val="00EC0FD7"/>
    <w:rsid w:val="00EC4F35"/>
    <w:rsid w:val="00EC7BA4"/>
    <w:rsid w:val="00ED6132"/>
    <w:rsid w:val="00ED739A"/>
    <w:rsid w:val="00ED747A"/>
    <w:rsid w:val="00ED7632"/>
    <w:rsid w:val="00EE7D61"/>
    <w:rsid w:val="00EF793E"/>
    <w:rsid w:val="00F04C06"/>
    <w:rsid w:val="00F06DDF"/>
    <w:rsid w:val="00F06FBE"/>
    <w:rsid w:val="00F13837"/>
    <w:rsid w:val="00F258E0"/>
    <w:rsid w:val="00F27084"/>
    <w:rsid w:val="00F3538D"/>
    <w:rsid w:val="00F41594"/>
    <w:rsid w:val="00F41C96"/>
    <w:rsid w:val="00F43657"/>
    <w:rsid w:val="00F60513"/>
    <w:rsid w:val="00F613A4"/>
    <w:rsid w:val="00F64793"/>
    <w:rsid w:val="00F679B6"/>
    <w:rsid w:val="00F71EE5"/>
    <w:rsid w:val="00F7408E"/>
    <w:rsid w:val="00F74909"/>
    <w:rsid w:val="00F8206D"/>
    <w:rsid w:val="00F82AD0"/>
    <w:rsid w:val="00F82E5F"/>
    <w:rsid w:val="00F87BF6"/>
    <w:rsid w:val="00F94F09"/>
    <w:rsid w:val="00FA024F"/>
    <w:rsid w:val="00FA28E8"/>
    <w:rsid w:val="00FA6AE7"/>
    <w:rsid w:val="00FA7663"/>
    <w:rsid w:val="00FA78A9"/>
    <w:rsid w:val="00FB47AA"/>
    <w:rsid w:val="00FB4DE9"/>
    <w:rsid w:val="00FB6A24"/>
    <w:rsid w:val="00FC3ACA"/>
    <w:rsid w:val="00FC59C2"/>
    <w:rsid w:val="00FD3332"/>
    <w:rsid w:val="00FF01CB"/>
    <w:rsid w:val="00FF138C"/>
    <w:rsid w:val="011965C5"/>
    <w:rsid w:val="011B3AA5"/>
    <w:rsid w:val="01240E9C"/>
    <w:rsid w:val="012F6AF1"/>
    <w:rsid w:val="01552F51"/>
    <w:rsid w:val="01554AAB"/>
    <w:rsid w:val="01742E75"/>
    <w:rsid w:val="017B498F"/>
    <w:rsid w:val="01A95FBE"/>
    <w:rsid w:val="01B62723"/>
    <w:rsid w:val="01D144BC"/>
    <w:rsid w:val="01D46DBB"/>
    <w:rsid w:val="01D511D7"/>
    <w:rsid w:val="01F50DB0"/>
    <w:rsid w:val="02054BFE"/>
    <w:rsid w:val="020F2AF4"/>
    <w:rsid w:val="02370261"/>
    <w:rsid w:val="023A30E7"/>
    <w:rsid w:val="023C7C4B"/>
    <w:rsid w:val="02956BA3"/>
    <w:rsid w:val="029C452D"/>
    <w:rsid w:val="02B21FBB"/>
    <w:rsid w:val="02BF64DD"/>
    <w:rsid w:val="02C95070"/>
    <w:rsid w:val="02D55EEA"/>
    <w:rsid w:val="02E229A6"/>
    <w:rsid w:val="031B5E96"/>
    <w:rsid w:val="03243FDD"/>
    <w:rsid w:val="03445C42"/>
    <w:rsid w:val="035007E7"/>
    <w:rsid w:val="03627E48"/>
    <w:rsid w:val="03834A85"/>
    <w:rsid w:val="03890A90"/>
    <w:rsid w:val="039163D5"/>
    <w:rsid w:val="03B70D88"/>
    <w:rsid w:val="03BB1838"/>
    <w:rsid w:val="03E85574"/>
    <w:rsid w:val="03EF33BB"/>
    <w:rsid w:val="03F04935"/>
    <w:rsid w:val="03FD3ADD"/>
    <w:rsid w:val="040C32F1"/>
    <w:rsid w:val="040D48F4"/>
    <w:rsid w:val="043711FD"/>
    <w:rsid w:val="04630A35"/>
    <w:rsid w:val="04673CA2"/>
    <w:rsid w:val="04853C33"/>
    <w:rsid w:val="04AD4DB7"/>
    <w:rsid w:val="04D20042"/>
    <w:rsid w:val="04D914A5"/>
    <w:rsid w:val="04DD246D"/>
    <w:rsid w:val="04E72377"/>
    <w:rsid w:val="054508F8"/>
    <w:rsid w:val="055643A0"/>
    <w:rsid w:val="05664B26"/>
    <w:rsid w:val="05696B2F"/>
    <w:rsid w:val="05727F5C"/>
    <w:rsid w:val="05857B6F"/>
    <w:rsid w:val="059A77B7"/>
    <w:rsid w:val="05AD7DE1"/>
    <w:rsid w:val="05B83BFF"/>
    <w:rsid w:val="05E07EC1"/>
    <w:rsid w:val="05FA3219"/>
    <w:rsid w:val="060B4371"/>
    <w:rsid w:val="062416F2"/>
    <w:rsid w:val="062B7B3A"/>
    <w:rsid w:val="06662719"/>
    <w:rsid w:val="0673692E"/>
    <w:rsid w:val="0686267D"/>
    <w:rsid w:val="06DC1A67"/>
    <w:rsid w:val="0748512E"/>
    <w:rsid w:val="07A174CB"/>
    <w:rsid w:val="07C3629F"/>
    <w:rsid w:val="07C74A44"/>
    <w:rsid w:val="07D57174"/>
    <w:rsid w:val="07DD00E3"/>
    <w:rsid w:val="08037AB1"/>
    <w:rsid w:val="08233525"/>
    <w:rsid w:val="083F0F18"/>
    <w:rsid w:val="0845616F"/>
    <w:rsid w:val="0868395F"/>
    <w:rsid w:val="086B69B4"/>
    <w:rsid w:val="08715531"/>
    <w:rsid w:val="089559A3"/>
    <w:rsid w:val="089D322D"/>
    <w:rsid w:val="08B45776"/>
    <w:rsid w:val="08B57863"/>
    <w:rsid w:val="08B74776"/>
    <w:rsid w:val="08B75BD3"/>
    <w:rsid w:val="08CC4A1B"/>
    <w:rsid w:val="08E12275"/>
    <w:rsid w:val="08E86D28"/>
    <w:rsid w:val="08FD60DC"/>
    <w:rsid w:val="09314AD5"/>
    <w:rsid w:val="093A09BD"/>
    <w:rsid w:val="09AB05A5"/>
    <w:rsid w:val="09B23B66"/>
    <w:rsid w:val="09C701D5"/>
    <w:rsid w:val="09E10B06"/>
    <w:rsid w:val="09E671F6"/>
    <w:rsid w:val="0A570AB1"/>
    <w:rsid w:val="0A764502"/>
    <w:rsid w:val="0A7F4E4B"/>
    <w:rsid w:val="0A9F6EE4"/>
    <w:rsid w:val="0AA13C03"/>
    <w:rsid w:val="0ABF1ED2"/>
    <w:rsid w:val="0AEE33EC"/>
    <w:rsid w:val="0B050F7D"/>
    <w:rsid w:val="0B3529AC"/>
    <w:rsid w:val="0B36628F"/>
    <w:rsid w:val="0B5D1426"/>
    <w:rsid w:val="0B631C5F"/>
    <w:rsid w:val="0B680A2B"/>
    <w:rsid w:val="0B804A49"/>
    <w:rsid w:val="0B8A482D"/>
    <w:rsid w:val="0BBA372A"/>
    <w:rsid w:val="0BE62F78"/>
    <w:rsid w:val="0C370A3F"/>
    <w:rsid w:val="0C377E3D"/>
    <w:rsid w:val="0C436DA2"/>
    <w:rsid w:val="0C470B6D"/>
    <w:rsid w:val="0C607954"/>
    <w:rsid w:val="0C807FF6"/>
    <w:rsid w:val="0C927EE5"/>
    <w:rsid w:val="0CBE26A9"/>
    <w:rsid w:val="0CD44BA0"/>
    <w:rsid w:val="0CE1639D"/>
    <w:rsid w:val="0D125F29"/>
    <w:rsid w:val="0D35353B"/>
    <w:rsid w:val="0D3D4A35"/>
    <w:rsid w:val="0D3D5CC6"/>
    <w:rsid w:val="0D410D63"/>
    <w:rsid w:val="0D7161F6"/>
    <w:rsid w:val="0D8F0EF3"/>
    <w:rsid w:val="0D9316D5"/>
    <w:rsid w:val="0D961709"/>
    <w:rsid w:val="0DAA1A8E"/>
    <w:rsid w:val="0DAF1F1A"/>
    <w:rsid w:val="0DB35B67"/>
    <w:rsid w:val="0DB70DF8"/>
    <w:rsid w:val="0DC90353"/>
    <w:rsid w:val="0DD31038"/>
    <w:rsid w:val="0DDB092F"/>
    <w:rsid w:val="0DEB5AA2"/>
    <w:rsid w:val="0E201144"/>
    <w:rsid w:val="0E2C508F"/>
    <w:rsid w:val="0E467439"/>
    <w:rsid w:val="0E76608F"/>
    <w:rsid w:val="0E7C06B0"/>
    <w:rsid w:val="0E827ACE"/>
    <w:rsid w:val="0E873909"/>
    <w:rsid w:val="0E8C1B27"/>
    <w:rsid w:val="0EC979ED"/>
    <w:rsid w:val="0ECF1787"/>
    <w:rsid w:val="0EDF091F"/>
    <w:rsid w:val="0EE12346"/>
    <w:rsid w:val="0EEE0111"/>
    <w:rsid w:val="0EEF04DD"/>
    <w:rsid w:val="0EFB7A9C"/>
    <w:rsid w:val="0EFC62A3"/>
    <w:rsid w:val="0EFF504D"/>
    <w:rsid w:val="0F0C0101"/>
    <w:rsid w:val="0F3245CD"/>
    <w:rsid w:val="0F5555BF"/>
    <w:rsid w:val="0F5B3A48"/>
    <w:rsid w:val="0F612E18"/>
    <w:rsid w:val="0F740A37"/>
    <w:rsid w:val="0F834E09"/>
    <w:rsid w:val="0F901A10"/>
    <w:rsid w:val="0F994075"/>
    <w:rsid w:val="0FAB538A"/>
    <w:rsid w:val="0FD704C8"/>
    <w:rsid w:val="0FDD060B"/>
    <w:rsid w:val="0FF46997"/>
    <w:rsid w:val="101F39C3"/>
    <w:rsid w:val="10380E91"/>
    <w:rsid w:val="10414255"/>
    <w:rsid w:val="10655DBA"/>
    <w:rsid w:val="10905CFA"/>
    <w:rsid w:val="109E1437"/>
    <w:rsid w:val="10B30D9A"/>
    <w:rsid w:val="10DF38DB"/>
    <w:rsid w:val="112F592E"/>
    <w:rsid w:val="113212B5"/>
    <w:rsid w:val="11437B92"/>
    <w:rsid w:val="1155508F"/>
    <w:rsid w:val="11660951"/>
    <w:rsid w:val="1175748C"/>
    <w:rsid w:val="11A07BD5"/>
    <w:rsid w:val="11B13995"/>
    <w:rsid w:val="11C268F4"/>
    <w:rsid w:val="11D653F7"/>
    <w:rsid w:val="11E72CB8"/>
    <w:rsid w:val="12070B87"/>
    <w:rsid w:val="12450324"/>
    <w:rsid w:val="12492C39"/>
    <w:rsid w:val="12537056"/>
    <w:rsid w:val="127000E0"/>
    <w:rsid w:val="12710E9C"/>
    <w:rsid w:val="12763D9F"/>
    <w:rsid w:val="12900C1A"/>
    <w:rsid w:val="12971F49"/>
    <w:rsid w:val="12B14DFE"/>
    <w:rsid w:val="12C2523D"/>
    <w:rsid w:val="12C9527E"/>
    <w:rsid w:val="12D63AC6"/>
    <w:rsid w:val="12DF0826"/>
    <w:rsid w:val="12EC1885"/>
    <w:rsid w:val="12F84010"/>
    <w:rsid w:val="13102DFD"/>
    <w:rsid w:val="131224D3"/>
    <w:rsid w:val="131B0A90"/>
    <w:rsid w:val="13214E96"/>
    <w:rsid w:val="13577A83"/>
    <w:rsid w:val="1360599E"/>
    <w:rsid w:val="137140A7"/>
    <w:rsid w:val="137A7C19"/>
    <w:rsid w:val="137C5ECD"/>
    <w:rsid w:val="13837595"/>
    <w:rsid w:val="138F691D"/>
    <w:rsid w:val="13A24E7C"/>
    <w:rsid w:val="13A55387"/>
    <w:rsid w:val="13F37DB8"/>
    <w:rsid w:val="142F6C43"/>
    <w:rsid w:val="14381330"/>
    <w:rsid w:val="143E36CE"/>
    <w:rsid w:val="143E50B8"/>
    <w:rsid w:val="14400156"/>
    <w:rsid w:val="145144DD"/>
    <w:rsid w:val="14530688"/>
    <w:rsid w:val="1460685B"/>
    <w:rsid w:val="147031DB"/>
    <w:rsid w:val="14A764CD"/>
    <w:rsid w:val="14EE4765"/>
    <w:rsid w:val="15115C90"/>
    <w:rsid w:val="15166F42"/>
    <w:rsid w:val="15692549"/>
    <w:rsid w:val="156A0C6F"/>
    <w:rsid w:val="157D2790"/>
    <w:rsid w:val="158A7C80"/>
    <w:rsid w:val="15B97253"/>
    <w:rsid w:val="15BD62FB"/>
    <w:rsid w:val="15D350A0"/>
    <w:rsid w:val="15DF669E"/>
    <w:rsid w:val="15E83D7D"/>
    <w:rsid w:val="15ED129F"/>
    <w:rsid w:val="1611205B"/>
    <w:rsid w:val="161C2AE8"/>
    <w:rsid w:val="16392D2C"/>
    <w:rsid w:val="16A13043"/>
    <w:rsid w:val="16D331EA"/>
    <w:rsid w:val="16DC7E39"/>
    <w:rsid w:val="16FF0BDD"/>
    <w:rsid w:val="17232F02"/>
    <w:rsid w:val="17381BB8"/>
    <w:rsid w:val="17544B2D"/>
    <w:rsid w:val="176E6D45"/>
    <w:rsid w:val="17763AED"/>
    <w:rsid w:val="177C7BEE"/>
    <w:rsid w:val="1785658A"/>
    <w:rsid w:val="17976E09"/>
    <w:rsid w:val="17C6633C"/>
    <w:rsid w:val="18043658"/>
    <w:rsid w:val="18251A53"/>
    <w:rsid w:val="18383E4B"/>
    <w:rsid w:val="183B5E80"/>
    <w:rsid w:val="18417606"/>
    <w:rsid w:val="185136A5"/>
    <w:rsid w:val="185679C1"/>
    <w:rsid w:val="186A5E02"/>
    <w:rsid w:val="18800BFD"/>
    <w:rsid w:val="1880142B"/>
    <w:rsid w:val="18862E38"/>
    <w:rsid w:val="18A33400"/>
    <w:rsid w:val="18AD2E28"/>
    <w:rsid w:val="18AE37F5"/>
    <w:rsid w:val="18BC7E5B"/>
    <w:rsid w:val="18C244FE"/>
    <w:rsid w:val="18E63B17"/>
    <w:rsid w:val="18F65624"/>
    <w:rsid w:val="1904111D"/>
    <w:rsid w:val="1905604B"/>
    <w:rsid w:val="190C6BF0"/>
    <w:rsid w:val="191055A0"/>
    <w:rsid w:val="192B1914"/>
    <w:rsid w:val="193D246F"/>
    <w:rsid w:val="19467ED2"/>
    <w:rsid w:val="196A3BC0"/>
    <w:rsid w:val="19AF3CC9"/>
    <w:rsid w:val="19B47B74"/>
    <w:rsid w:val="19CE160F"/>
    <w:rsid w:val="1A002CDD"/>
    <w:rsid w:val="1A005B74"/>
    <w:rsid w:val="1A1062AD"/>
    <w:rsid w:val="1A444F99"/>
    <w:rsid w:val="1A562F6A"/>
    <w:rsid w:val="1A5B149D"/>
    <w:rsid w:val="1A69046D"/>
    <w:rsid w:val="1A970527"/>
    <w:rsid w:val="1AB5782C"/>
    <w:rsid w:val="1AC40A4B"/>
    <w:rsid w:val="1B294CB3"/>
    <w:rsid w:val="1B2A15ED"/>
    <w:rsid w:val="1B5301B1"/>
    <w:rsid w:val="1B5A57C3"/>
    <w:rsid w:val="1B6140E1"/>
    <w:rsid w:val="1B6668BC"/>
    <w:rsid w:val="1B6F7F29"/>
    <w:rsid w:val="1B742A48"/>
    <w:rsid w:val="1BAB7CCE"/>
    <w:rsid w:val="1BB61597"/>
    <w:rsid w:val="1BCD7CA8"/>
    <w:rsid w:val="1BF446D7"/>
    <w:rsid w:val="1BF44B3A"/>
    <w:rsid w:val="1C024B34"/>
    <w:rsid w:val="1C135551"/>
    <w:rsid w:val="1C1E586D"/>
    <w:rsid w:val="1C5D17E5"/>
    <w:rsid w:val="1C6D089D"/>
    <w:rsid w:val="1C780DC8"/>
    <w:rsid w:val="1C7B6B94"/>
    <w:rsid w:val="1C881B0F"/>
    <w:rsid w:val="1CA610F3"/>
    <w:rsid w:val="1CB12B30"/>
    <w:rsid w:val="1CB5540A"/>
    <w:rsid w:val="1CC42269"/>
    <w:rsid w:val="1CD70A79"/>
    <w:rsid w:val="1CDE2E8A"/>
    <w:rsid w:val="1CE578F5"/>
    <w:rsid w:val="1CE6227F"/>
    <w:rsid w:val="1D032C7E"/>
    <w:rsid w:val="1D156318"/>
    <w:rsid w:val="1D1A669A"/>
    <w:rsid w:val="1D3D1F24"/>
    <w:rsid w:val="1D4C152D"/>
    <w:rsid w:val="1D541CE3"/>
    <w:rsid w:val="1D5F6D64"/>
    <w:rsid w:val="1D5F732F"/>
    <w:rsid w:val="1DA03868"/>
    <w:rsid w:val="1DA65F73"/>
    <w:rsid w:val="1DA86679"/>
    <w:rsid w:val="1DCC647F"/>
    <w:rsid w:val="1DEF6F78"/>
    <w:rsid w:val="1E09025D"/>
    <w:rsid w:val="1E2C6402"/>
    <w:rsid w:val="1E37603B"/>
    <w:rsid w:val="1E3C6FA4"/>
    <w:rsid w:val="1E6254E1"/>
    <w:rsid w:val="1E930EEC"/>
    <w:rsid w:val="1E954E16"/>
    <w:rsid w:val="1EA14DA6"/>
    <w:rsid w:val="1EAB60F4"/>
    <w:rsid w:val="1EDC7E48"/>
    <w:rsid w:val="1EF81C6E"/>
    <w:rsid w:val="1F4246A9"/>
    <w:rsid w:val="1F4F7D4D"/>
    <w:rsid w:val="1F5763BB"/>
    <w:rsid w:val="1F67589F"/>
    <w:rsid w:val="1F677585"/>
    <w:rsid w:val="1F9648B1"/>
    <w:rsid w:val="1F9F595B"/>
    <w:rsid w:val="1FFD3CF5"/>
    <w:rsid w:val="20063150"/>
    <w:rsid w:val="200F0B43"/>
    <w:rsid w:val="2033133E"/>
    <w:rsid w:val="2039529F"/>
    <w:rsid w:val="205B38CC"/>
    <w:rsid w:val="20947EF1"/>
    <w:rsid w:val="20983C8D"/>
    <w:rsid w:val="20AE68C5"/>
    <w:rsid w:val="20CD2BCE"/>
    <w:rsid w:val="20D74F87"/>
    <w:rsid w:val="20DC771D"/>
    <w:rsid w:val="20EB54BB"/>
    <w:rsid w:val="21061C69"/>
    <w:rsid w:val="211D51F5"/>
    <w:rsid w:val="21743712"/>
    <w:rsid w:val="21A329CA"/>
    <w:rsid w:val="21A954A2"/>
    <w:rsid w:val="21B67162"/>
    <w:rsid w:val="21ED2503"/>
    <w:rsid w:val="21F423AB"/>
    <w:rsid w:val="21F46927"/>
    <w:rsid w:val="21FA0922"/>
    <w:rsid w:val="22022DCA"/>
    <w:rsid w:val="220F745F"/>
    <w:rsid w:val="2247668D"/>
    <w:rsid w:val="22703116"/>
    <w:rsid w:val="22766878"/>
    <w:rsid w:val="22A80B7F"/>
    <w:rsid w:val="22C2681B"/>
    <w:rsid w:val="22EF1AD2"/>
    <w:rsid w:val="22F048FC"/>
    <w:rsid w:val="22F84534"/>
    <w:rsid w:val="23285391"/>
    <w:rsid w:val="234C5294"/>
    <w:rsid w:val="2359614D"/>
    <w:rsid w:val="236424EE"/>
    <w:rsid w:val="23780AF0"/>
    <w:rsid w:val="23923E7C"/>
    <w:rsid w:val="2393748F"/>
    <w:rsid w:val="23A62696"/>
    <w:rsid w:val="23A77F0B"/>
    <w:rsid w:val="23A947FE"/>
    <w:rsid w:val="23B6715B"/>
    <w:rsid w:val="23D44DC4"/>
    <w:rsid w:val="23E84D47"/>
    <w:rsid w:val="24131EB9"/>
    <w:rsid w:val="24352285"/>
    <w:rsid w:val="24516187"/>
    <w:rsid w:val="246D1056"/>
    <w:rsid w:val="248B4780"/>
    <w:rsid w:val="249B610B"/>
    <w:rsid w:val="24A37441"/>
    <w:rsid w:val="24BA6E5E"/>
    <w:rsid w:val="24D05F43"/>
    <w:rsid w:val="24F00100"/>
    <w:rsid w:val="24FD225A"/>
    <w:rsid w:val="251D683A"/>
    <w:rsid w:val="25220DDB"/>
    <w:rsid w:val="253634F0"/>
    <w:rsid w:val="25441769"/>
    <w:rsid w:val="2552693C"/>
    <w:rsid w:val="257C597B"/>
    <w:rsid w:val="258B7398"/>
    <w:rsid w:val="258C3110"/>
    <w:rsid w:val="25997FCE"/>
    <w:rsid w:val="259F1087"/>
    <w:rsid w:val="25B162EA"/>
    <w:rsid w:val="25C8309C"/>
    <w:rsid w:val="260C5E8C"/>
    <w:rsid w:val="261A071C"/>
    <w:rsid w:val="262C72C1"/>
    <w:rsid w:val="26441E0E"/>
    <w:rsid w:val="26490113"/>
    <w:rsid w:val="266F3533"/>
    <w:rsid w:val="267C17D4"/>
    <w:rsid w:val="26995AE5"/>
    <w:rsid w:val="269C2A5C"/>
    <w:rsid w:val="26FA1EC1"/>
    <w:rsid w:val="271A6671"/>
    <w:rsid w:val="272538F9"/>
    <w:rsid w:val="27890DBD"/>
    <w:rsid w:val="27A830DE"/>
    <w:rsid w:val="27B27192"/>
    <w:rsid w:val="27BB1694"/>
    <w:rsid w:val="27C81BF4"/>
    <w:rsid w:val="27DD6580"/>
    <w:rsid w:val="28102E9F"/>
    <w:rsid w:val="283A36D2"/>
    <w:rsid w:val="283B2173"/>
    <w:rsid w:val="2843542F"/>
    <w:rsid w:val="288B091E"/>
    <w:rsid w:val="288E7780"/>
    <w:rsid w:val="28AB4E6E"/>
    <w:rsid w:val="28C16F41"/>
    <w:rsid w:val="28DA1F8B"/>
    <w:rsid w:val="28E277F3"/>
    <w:rsid w:val="28E35B89"/>
    <w:rsid w:val="28EF0DD1"/>
    <w:rsid w:val="28EF683C"/>
    <w:rsid w:val="290B0ADA"/>
    <w:rsid w:val="293F408B"/>
    <w:rsid w:val="295F1B27"/>
    <w:rsid w:val="29666F8A"/>
    <w:rsid w:val="29685ECB"/>
    <w:rsid w:val="2988673D"/>
    <w:rsid w:val="29C24A08"/>
    <w:rsid w:val="29C83FA3"/>
    <w:rsid w:val="29D7363B"/>
    <w:rsid w:val="29E25D55"/>
    <w:rsid w:val="29E66F7F"/>
    <w:rsid w:val="2A1C6ED5"/>
    <w:rsid w:val="2A78682C"/>
    <w:rsid w:val="2A871CB7"/>
    <w:rsid w:val="2A9C4D09"/>
    <w:rsid w:val="2ABA5078"/>
    <w:rsid w:val="2AF552B4"/>
    <w:rsid w:val="2AF8134C"/>
    <w:rsid w:val="2B0A0C70"/>
    <w:rsid w:val="2B0D39F1"/>
    <w:rsid w:val="2B23788F"/>
    <w:rsid w:val="2B351B5F"/>
    <w:rsid w:val="2B446F9A"/>
    <w:rsid w:val="2B6A7CE9"/>
    <w:rsid w:val="2B80030B"/>
    <w:rsid w:val="2B934B7D"/>
    <w:rsid w:val="2BB91143"/>
    <w:rsid w:val="2BDE21B0"/>
    <w:rsid w:val="2BE43540"/>
    <w:rsid w:val="2BEF4F80"/>
    <w:rsid w:val="2BFC3716"/>
    <w:rsid w:val="2C210C50"/>
    <w:rsid w:val="2C396199"/>
    <w:rsid w:val="2C3F712F"/>
    <w:rsid w:val="2C4627CA"/>
    <w:rsid w:val="2C482126"/>
    <w:rsid w:val="2C4C508B"/>
    <w:rsid w:val="2C6F0AC1"/>
    <w:rsid w:val="2C7762A8"/>
    <w:rsid w:val="2C7E4176"/>
    <w:rsid w:val="2CA401FF"/>
    <w:rsid w:val="2CB84EA3"/>
    <w:rsid w:val="2CC37D99"/>
    <w:rsid w:val="2CC86B8B"/>
    <w:rsid w:val="2CD13F96"/>
    <w:rsid w:val="2CD558DF"/>
    <w:rsid w:val="2CFD3520"/>
    <w:rsid w:val="2D017170"/>
    <w:rsid w:val="2D0214EC"/>
    <w:rsid w:val="2D2616DF"/>
    <w:rsid w:val="2D3043F4"/>
    <w:rsid w:val="2DB85208"/>
    <w:rsid w:val="2DDE3975"/>
    <w:rsid w:val="2E073C7C"/>
    <w:rsid w:val="2E2C776F"/>
    <w:rsid w:val="2E466597"/>
    <w:rsid w:val="2E471AA7"/>
    <w:rsid w:val="2E635451"/>
    <w:rsid w:val="2E6722C1"/>
    <w:rsid w:val="2E9C7C7F"/>
    <w:rsid w:val="2EB2575B"/>
    <w:rsid w:val="2EB711FE"/>
    <w:rsid w:val="2EC52F81"/>
    <w:rsid w:val="2ECD59AB"/>
    <w:rsid w:val="2ED54867"/>
    <w:rsid w:val="2EFE2F60"/>
    <w:rsid w:val="2F0B43B3"/>
    <w:rsid w:val="2F195A15"/>
    <w:rsid w:val="2F2A46BA"/>
    <w:rsid w:val="2F2B41D9"/>
    <w:rsid w:val="2F455096"/>
    <w:rsid w:val="2F486FE5"/>
    <w:rsid w:val="2F9910A3"/>
    <w:rsid w:val="2F9B7B6C"/>
    <w:rsid w:val="2FB87712"/>
    <w:rsid w:val="2FC01D49"/>
    <w:rsid w:val="2FC92420"/>
    <w:rsid w:val="2FCB36C0"/>
    <w:rsid w:val="2FD444E7"/>
    <w:rsid w:val="2FD66B45"/>
    <w:rsid w:val="304E1EC9"/>
    <w:rsid w:val="306241D9"/>
    <w:rsid w:val="306F77B8"/>
    <w:rsid w:val="30827B6A"/>
    <w:rsid w:val="308747DB"/>
    <w:rsid w:val="30CE0767"/>
    <w:rsid w:val="31137F63"/>
    <w:rsid w:val="31171650"/>
    <w:rsid w:val="311A6A43"/>
    <w:rsid w:val="313C0B7E"/>
    <w:rsid w:val="316A5AD3"/>
    <w:rsid w:val="316D029A"/>
    <w:rsid w:val="317C672F"/>
    <w:rsid w:val="31975CF2"/>
    <w:rsid w:val="319F141A"/>
    <w:rsid w:val="31B216B5"/>
    <w:rsid w:val="31C252D0"/>
    <w:rsid w:val="31C51E84"/>
    <w:rsid w:val="31D410E5"/>
    <w:rsid w:val="31E73223"/>
    <w:rsid w:val="32261405"/>
    <w:rsid w:val="322A33E1"/>
    <w:rsid w:val="322A7F39"/>
    <w:rsid w:val="323B0398"/>
    <w:rsid w:val="32610241"/>
    <w:rsid w:val="32695606"/>
    <w:rsid w:val="32997FE8"/>
    <w:rsid w:val="32CC75C4"/>
    <w:rsid w:val="32CE4D5F"/>
    <w:rsid w:val="330A1DEE"/>
    <w:rsid w:val="335502FA"/>
    <w:rsid w:val="335F65DA"/>
    <w:rsid w:val="337D3FE4"/>
    <w:rsid w:val="33C54CD0"/>
    <w:rsid w:val="33C8335F"/>
    <w:rsid w:val="340442BB"/>
    <w:rsid w:val="340D0D4F"/>
    <w:rsid w:val="34556949"/>
    <w:rsid w:val="3473600C"/>
    <w:rsid w:val="347714E8"/>
    <w:rsid w:val="34D80320"/>
    <w:rsid w:val="34DA0F6A"/>
    <w:rsid w:val="34E34BEB"/>
    <w:rsid w:val="34ED1C07"/>
    <w:rsid w:val="34F84305"/>
    <w:rsid w:val="34FB0784"/>
    <w:rsid w:val="350066FA"/>
    <w:rsid w:val="35015C62"/>
    <w:rsid w:val="350E5ED5"/>
    <w:rsid w:val="35156301"/>
    <w:rsid w:val="3533411E"/>
    <w:rsid w:val="35492E6F"/>
    <w:rsid w:val="35777939"/>
    <w:rsid w:val="357B1815"/>
    <w:rsid w:val="357B204A"/>
    <w:rsid w:val="35942702"/>
    <w:rsid w:val="35B72115"/>
    <w:rsid w:val="35E06ACA"/>
    <w:rsid w:val="35E54E63"/>
    <w:rsid w:val="35F756D1"/>
    <w:rsid w:val="36044B01"/>
    <w:rsid w:val="361265B8"/>
    <w:rsid w:val="362E6830"/>
    <w:rsid w:val="364A13F1"/>
    <w:rsid w:val="36537403"/>
    <w:rsid w:val="365B118C"/>
    <w:rsid w:val="365E4E20"/>
    <w:rsid w:val="36AA767C"/>
    <w:rsid w:val="36B96997"/>
    <w:rsid w:val="36EA33A4"/>
    <w:rsid w:val="36F30DDD"/>
    <w:rsid w:val="3712106E"/>
    <w:rsid w:val="37547D16"/>
    <w:rsid w:val="375D4C29"/>
    <w:rsid w:val="3781684D"/>
    <w:rsid w:val="378E7DEF"/>
    <w:rsid w:val="37A15487"/>
    <w:rsid w:val="37A401BA"/>
    <w:rsid w:val="37B4627B"/>
    <w:rsid w:val="37BB5CD8"/>
    <w:rsid w:val="37C36AB9"/>
    <w:rsid w:val="38207EDE"/>
    <w:rsid w:val="383F79AA"/>
    <w:rsid w:val="384C1AB0"/>
    <w:rsid w:val="38635F53"/>
    <w:rsid w:val="38691EC0"/>
    <w:rsid w:val="386D1FD4"/>
    <w:rsid w:val="387C31D5"/>
    <w:rsid w:val="38905C55"/>
    <w:rsid w:val="38942377"/>
    <w:rsid w:val="38D53B04"/>
    <w:rsid w:val="38D70393"/>
    <w:rsid w:val="38ED60D3"/>
    <w:rsid w:val="38F5730B"/>
    <w:rsid w:val="38F60D30"/>
    <w:rsid w:val="390D6A98"/>
    <w:rsid w:val="395C0834"/>
    <w:rsid w:val="39610273"/>
    <w:rsid w:val="39A153A0"/>
    <w:rsid w:val="39AB10FE"/>
    <w:rsid w:val="39B34A9E"/>
    <w:rsid w:val="39BF2015"/>
    <w:rsid w:val="39C40E30"/>
    <w:rsid w:val="39CD5463"/>
    <w:rsid w:val="39DF21B8"/>
    <w:rsid w:val="39F12A18"/>
    <w:rsid w:val="39F271EE"/>
    <w:rsid w:val="3A035C4A"/>
    <w:rsid w:val="3A1703F3"/>
    <w:rsid w:val="3A51474C"/>
    <w:rsid w:val="3A850402"/>
    <w:rsid w:val="3A9577E6"/>
    <w:rsid w:val="3ABA76DA"/>
    <w:rsid w:val="3ADF00A3"/>
    <w:rsid w:val="3AF00785"/>
    <w:rsid w:val="3AF66A54"/>
    <w:rsid w:val="3AF92173"/>
    <w:rsid w:val="3B271801"/>
    <w:rsid w:val="3B3B0752"/>
    <w:rsid w:val="3B3C437D"/>
    <w:rsid w:val="3B443743"/>
    <w:rsid w:val="3B464D56"/>
    <w:rsid w:val="3B56702D"/>
    <w:rsid w:val="3B5D2DC6"/>
    <w:rsid w:val="3B9345AC"/>
    <w:rsid w:val="3BAC1F5D"/>
    <w:rsid w:val="3BD82A91"/>
    <w:rsid w:val="3BFF19DE"/>
    <w:rsid w:val="3C182E53"/>
    <w:rsid w:val="3C1D3F50"/>
    <w:rsid w:val="3C2E1C1A"/>
    <w:rsid w:val="3C55771B"/>
    <w:rsid w:val="3C560538"/>
    <w:rsid w:val="3C705CB1"/>
    <w:rsid w:val="3C7D5176"/>
    <w:rsid w:val="3C8264B0"/>
    <w:rsid w:val="3C966E1D"/>
    <w:rsid w:val="3CA871D7"/>
    <w:rsid w:val="3CD53532"/>
    <w:rsid w:val="3CD70BBE"/>
    <w:rsid w:val="3D0007BF"/>
    <w:rsid w:val="3D594453"/>
    <w:rsid w:val="3D5C310E"/>
    <w:rsid w:val="3D623A24"/>
    <w:rsid w:val="3DA9164D"/>
    <w:rsid w:val="3DAF0A83"/>
    <w:rsid w:val="3DB36EDA"/>
    <w:rsid w:val="3DB94D0C"/>
    <w:rsid w:val="3DCE0FDF"/>
    <w:rsid w:val="3DFB0B4E"/>
    <w:rsid w:val="3E513B76"/>
    <w:rsid w:val="3E645253"/>
    <w:rsid w:val="3E8A5C6D"/>
    <w:rsid w:val="3E8C18E3"/>
    <w:rsid w:val="3E972006"/>
    <w:rsid w:val="3EA239DB"/>
    <w:rsid w:val="3EA51D4A"/>
    <w:rsid w:val="3EB33970"/>
    <w:rsid w:val="3ECF7FDC"/>
    <w:rsid w:val="3EF01F69"/>
    <w:rsid w:val="3F140B36"/>
    <w:rsid w:val="3F3E6DD2"/>
    <w:rsid w:val="3F7D2A37"/>
    <w:rsid w:val="3F98091F"/>
    <w:rsid w:val="3FA05D5A"/>
    <w:rsid w:val="3FD70C5B"/>
    <w:rsid w:val="3FE2019B"/>
    <w:rsid w:val="3FE90B95"/>
    <w:rsid w:val="401D4BB3"/>
    <w:rsid w:val="402D7572"/>
    <w:rsid w:val="4042134E"/>
    <w:rsid w:val="407D30E3"/>
    <w:rsid w:val="40802C55"/>
    <w:rsid w:val="409250D8"/>
    <w:rsid w:val="40A549CB"/>
    <w:rsid w:val="40B304B8"/>
    <w:rsid w:val="40C535FF"/>
    <w:rsid w:val="40CA2F17"/>
    <w:rsid w:val="40DC2EBA"/>
    <w:rsid w:val="40E03B90"/>
    <w:rsid w:val="410B630A"/>
    <w:rsid w:val="4114309E"/>
    <w:rsid w:val="412E1833"/>
    <w:rsid w:val="412E4838"/>
    <w:rsid w:val="413210A3"/>
    <w:rsid w:val="4147487E"/>
    <w:rsid w:val="414E7D50"/>
    <w:rsid w:val="416637D7"/>
    <w:rsid w:val="416710C1"/>
    <w:rsid w:val="416F0A11"/>
    <w:rsid w:val="41711A18"/>
    <w:rsid w:val="418633A7"/>
    <w:rsid w:val="41983AF2"/>
    <w:rsid w:val="41984C0B"/>
    <w:rsid w:val="41A50FE6"/>
    <w:rsid w:val="41B97DB8"/>
    <w:rsid w:val="42092ADB"/>
    <w:rsid w:val="42286C18"/>
    <w:rsid w:val="422E3486"/>
    <w:rsid w:val="425C548F"/>
    <w:rsid w:val="42827850"/>
    <w:rsid w:val="428E4B84"/>
    <w:rsid w:val="42A213AC"/>
    <w:rsid w:val="42C3074C"/>
    <w:rsid w:val="42CC0A57"/>
    <w:rsid w:val="42CD6A43"/>
    <w:rsid w:val="42E744CE"/>
    <w:rsid w:val="42F7754A"/>
    <w:rsid w:val="43054285"/>
    <w:rsid w:val="431A4215"/>
    <w:rsid w:val="433528FD"/>
    <w:rsid w:val="43382C5D"/>
    <w:rsid w:val="43926907"/>
    <w:rsid w:val="43C06388"/>
    <w:rsid w:val="43C40372"/>
    <w:rsid w:val="43CD4BC8"/>
    <w:rsid w:val="43D81BB8"/>
    <w:rsid w:val="43FC3AEA"/>
    <w:rsid w:val="440E5B14"/>
    <w:rsid w:val="44107AC5"/>
    <w:rsid w:val="441410C6"/>
    <w:rsid w:val="44187E5D"/>
    <w:rsid w:val="441F7941"/>
    <w:rsid w:val="442F11C7"/>
    <w:rsid w:val="4458376F"/>
    <w:rsid w:val="445C40E3"/>
    <w:rsid w:val="448B118D"/>
    <w:rsid w:val="44B436F6"/>
    <w:rsid w:val="44E53738"/>
    <w:rsid w:val="44E724A8"/>
    <w:rsid w:val="44F64140"/>
    <w:rsid w:val="44FF7991"/>
    <w:rsid w:val="45126D36"/>
    <w:rsid w:val="45132AAF"/>
    <w:rsid w:val="453D4F37"/>
    <w:rsid w:val="45605BC5"/>
    <w:rsid w:val="456F7E12"/>
    <w:rsid w:val="459551CB"/>
    <w:rsid w:val="45970D42"/>
    <w:rsid w:val="45BA1079"/>
    <w:rsid w:val="45C30424"/>
    <w:rsid w:val="45CE61F5"/>
    <w:rsid w:val="45D027C0"/>
    <w:rsid w:val="45D90820"/>
    <w:rsid w:val="45E635BC"/>
    <w:rsid w:val="45FE2534"/>
    <w:rsid w:val="46043A05"/>
    <w:rsid w:val="46480D35"/>
    <w:rsid w:val="464B59C1"/>
    <w:rsid w:val="46512A35"/>
    <w:rsid w:val="46731500"/>
    <w:rsid w:val="468D5409"/>
    <w:rsid w:val="469A3F2D"/>
    <w:rsid w:val="46DA35A5"/>
    <w:rsid w:val="46F0146A"/>
    <w:rsid w:val="47136959"/>
    <w:rsid w:val="47246BD4"/>
    <w:rsid w:val="47333540"/>
    <w:rsid w:val="473738CE"/>
    <w:rsid w:val="474B5456"/>
    <w:rsid w:val="475920B6"/>
    <w:rsid w:val="475F74C9"/>
    <w:rsid w:val="477401C0"/>
    <w:rsid w:val="47953C62"/>
    <w:rsid w:val="479C2318"/>
    <w:rsid w:val="47BE5D88"/>
    <w:rsid w:val="47C53973"/>
    <w:rsid w:val="47DE5FB8"/>
    <w:rsid w:val="47E3490A"/>
    <w:rsid w:val="47F60B91"/>
    <w:rsid w:val="481501AC"/>
    <w:rsid w:val="482D65F1"/>
    <w:rsid w:val="48434037"/>
    <w:rsid w:val="486C67E1"/>
    <w:rsid w:val="48743832"/>
    <w:rsid w:val="48942B03"/>
    <w:rsid w:val="4897208C"/>
    <w:rsid w:val="489D66F1"/>
    <w:rsid w:val="48A30634"/>
    <w:rsid w:val="4914001E"/>
    <w:rsid w:val="492B1E62"/>
    <w:rsid w:val="49836455"/>
    <w:rsid w:val="499046CE"/>
    <w:rsid w:val="49AD6A49"/>
    <w:rsid w:val="49B33B2D"/>
    <w:rsid w:val="49BE7888"/>
    <w:rsid w:val="49FE7B0E"/>
    <w:rsid w:val="4A0067D6"/>
    <w:rsid w:val="4A034317"/>
    <w:rsid w:val="4A1F30B1"/>
    <w:rsid w:val="4A370032"/>
    <w:rsid w:val="4A3E2B34"/>
    <w:rsid w:val="4A645FE3"/>
    <w:rsid w:val="4A764EC9"/>
    <w:rsid w:val="4A925A30"/>
    <w:rsid w:val="4AF60E83"/>
    <w:rsid w:val="4AF96907"/>
    <w:rsid w:val="4B097A4E"/>
    <w:rsid w:val="4B294C58"/>
    <w:rsid w:val="4B295F73"/>
    <w:rsid w:val="4B4265A0"/>
    <w:rsid w:val="4B43394C"/>
    <w:rsid w:val="4B607ECA"/>
    <w:rsid w:val="4BD25FA6"/>
    <w:rsid w:val="4BD576DE"/>
    <w:rsid w:val="4BDC0F13"/>
    <w:rsid w:val="4BE64A79"/>
    <w:rsid w:val="4C041EDC"/>
    <w:rsid w:val="4C1E471C"/>
    <w:rsid w:val="4C3A5472"/>
    <w:rsid w:val="4C63337C"/>
    <w:rsid w:val="4C814F84"/>
    <w:rsid w:val="4CC05FC0"/>
    <w:rsid w:val="4CC91153"/>
    <w:rsid w:val="4CCC05BA"/>
    <w:rsid w:val="4CD15729"/>
    <w:rsid w:val="4CDD2271"/>
    <w:rsid w:val="4CE030CB"/>
    <w:rsid w:val="4CE04BFD"/>
    <w:rsid w:val="4D0709DD"/>
    <w:rsid w:val="4D112219"/>
    <w:rsid w:val="4D1D14E9"/>
    <w:rsid w:val="4D277867"/>
    <w:rsid w:val="4D383F8B"/>
    <w:rsid w:val="4D646BC9"/>
    <w:rsid w:val="4D741C88"/>
    <w:rsid w:val="4D913237"/>
    <w:rsid w:val="4DAA6CCD"/>
    <w:rsid w:val="4DB0478D"/>
    <w:rsid w:val="4DB31DB8"/>
    <w:rsid w:val="4DC7661F"/>
    <w:rsid w:val="4DDA6527"/>
    <w:rsid w:val="4DFA5ADB"/>
    <w:rsid w:val="4E0A7962"/>
    <w:rsid w:val="4E1A60B8"/>
    <w:rsid w:val="4E5157E8"/>
    <w:rsid w:val="4E597870"/>
    <w:rsid w:val="4E9F5182"/>
    <w:rsid w:val="4ECB0294"/>
    <w:rsid w:val="4ED359EE"/>
    <w:rsid w:val="4EF57C39"/>
    <w:rsid w:val="4EFE7D23"/>
    <w:rsid w:val="4F1375C3"/>
    <w:rsid w:val="4F2A2208"/>
    <w:rsid w:val="4F5709D9"/>
    <w:rsid w:val="4F822D18"/>
    <w:rsid w:val="4FA70744"/>
    <w:rsid w:val="4FBD603C"/>
    <w:rsid w:val="4FC91598"/>
    <w:rsid w:val="4FCF4627"/>
    <w:rsid w:val="500904E8"/>
    <w:rsid w:val="5033674E"/>
    <w:rsid w:val="503A2BE9"/>
    <w:rsid w:val="5057241D"/>
    <w:rsid w:val="50871ECA"/>
    <w:rsid w:val="508970AB"/>
    <w:rsid w:val="508F4193"/>
    <w:rsid w:val="50AD6775"/>
    <w:rsid w:val="50CB03B5"/>
    <w:rsid w:val="50CC1991"/>
    <w:rsid w:val="50CD1192"/>
    <w:rsid w:val="51091AB3"/>
    <w:rsid w:val="510924A3"/>
    <w:rsid w:val="51616685"/>
    <w:rsid w:val="5189069F"/>
    <w:rsid w:val="519B0DF8"/>
    <w:rsid w:val="519C16A6"/>
    <w:rsid w:val="519C6D7D"/>
    <w:rsid w:val="51BC6201"/>
    <w:rsid w:val="520928C7"/>
    <w:rsid w:val="523429E2"/>
    <w:rsid w:val="524456EC"/>
    <w:rsid w:val="526E1E9B"/>
    <w:rsid w:val="52AF273C"/>
    <w:rsid w:val="52CA7715"/>
    <w:rsid w:val="52D52636"/>
    <w:rsid w:val="52D70AA3"/>
    <w:rsid w:val="52E72B64"/>
    <w:rsid w:val="52EB6BD2"/>
    <w:rsid w:val="52FB705C"/>
    <w:rsid w:val="53206CBA"/>
    <w:rsid w:val="532C4AAB"/>
    <w:rsid w:val="533E5A2E"/>
    <w:rsid w:val="534E1D9C"/>
    <w:rsid w:val="53524B49"/>
    <w:rsid w:val="53611A24"/>
    <w:rsid w:val="53703F54"/>
    <w:rsid w:val="537564C9"/>
    <w:rsid w:val="5377735D"/>
    <w:rsid w:val="537D138B"/>
    <w:rsid w:val="53B06F4F"/>
    <w:rsid w:val="53B13BBE"/>
    <w:rsid w:val="53D31D87"/>
    <w:rsid w:val="53DF7225"/>
    <w:rsid w:val="53EC750A"/>
    <w:rsid w:val="540825DD"/>
    <w:rsid w:val="540B2749"/>
    <w:rsid w:val="54135596"/>
    <w:rsid w:val="542B0CCC"/>
    <w:rsid w:val="543336FB"/>
    <w:rsid w:val="543A4A12"/>
    <w:rsid w:val="54691FF5"/>
    <w:rsid w:val="54AC1CEF"/>
    <w:rsid w:val="54C44E57"/>
    <w:rsid w:val="54C83448"/>
    <w:rsid w:val="54CE1ACB"/>
    <w:rsid w:val="54DB7D06"/>
    <w:rsid w:val="54EB2026"/>
    <w:rsid w:val="54F41901"/>
    <w:rsid w:val="55015AF2"/>
    <w:rsid w:val="55282773"/>
    <w:rsid w:val="55462A67"/>
    <w:rsid w:val="55696483"/>
    <w:rsid w:val="5594590A"/>
    <w:rsid w:val="55B44482"/>
    <w:rsid w:val="55C81B17"/>
    <w:rsid w:val="55E42C1A"/>
    <w:rsid w:val="55F17321"/>
    <w:rsid w:val="55F304BE"/>
    <w:rsid w:val="55FC2B65"/>
    <w:rsid w:val="55FE7AC4"/>
    <w:rsid w:val="56071A85"/>
    <w:rsid w:val="56206DD9"/>
    <w:rsid w:val="562070E9"/>
    <w:rsid w:val="5628260B"/>
    <w:rsid w:val="562D399B"/>
    <w:rsid w:val="563B6A16"/>
    <w:rsid w:val="563F6047"/>
    <w:rsid w:val="565F5622"/>
    <w:rsid w:val="566273F2"/>
    <w:rsid w:val="56896EAE"/>
    <w:rsid w:val="569C778E"/>
    <w:rsid w:val="56B73F0A"/>
    <w:rsid w:val="56CE2C30"/>
    <w:rsid w:val="56F7779B"/>
    <w:rsid w:val="56FF743B"/>
    <w:rsid w:val="570E05AB"/>
    <w:rsid w:val="571B2A1B"/>
    <w:rsid w:val="57372D85"/>
    <w:rsid w:val="5742100F"/>
    <w:rsid w:val="576F0FAE"/>
    <w:rsid w:val="57B153A7"/>
    <w:rsid w:val="58051D15"/>
    <w:rsid w:val="581035A9"/>
    <w:rsid w:val="58207D72"/>
    <w:rsid w:val="58303F2C"/>
    <w:rsid w:val="583D4AD8"/>
    <w:rsid w:val="58423B3F"/>
    <w:rsid w:val="58535651"/>
    <w:rsid w:val="58B75B5C"/>
    <w:rsid w:val="58D04AE7"/>
    <w:rsid w:val="58D85079"/>
    <w:rsid w:val="59097530"/>
    <w:rsid w:val="59311595"/>
    <w:rsid w:val="59367168"/>
    <w:rsid w:val="594966CF"/>
    <w:rsid w:val="594E33E0"/>
    <w:rsid w:val="595F38C7"/>
    <w:rsid w:val="596A4D51"/>
    <w:rsid w:val="597926EB"/>
    <w:rsid w:val="59851E6A"/>
    <w:rsid w:val="59916CD9"/>
    <w:rsid w:val="59BA3C32"/>
    <w:rsid w:val="59D269F8"/>
    <w:rsid w:val="59D436A5"/>
    <w:rsid w:val="59E0557F"/>
    <w:rsid w:val="59F1740B"/>
    <w:rsid w:val="59F34F31"/>
    <w:rsid w:val="59F63D1F"/>
    <w:rsid w:val="5A293B1C"/>
    <w:rsid w:val="5A6518A6"/>
    <w:rsid w:val="5A7266CF"/>
    <w:rsid w:val="5A853DCE"/>
    <w:rsid w:val="5A8935B7"/>
    <w:rsid w:val="5AA32457"/>
    <w:rsid w:val="5AB43874"/>
    <w:rsid w:val="5AEA649A"/>
    <w:rsid w:val="5B100C05"/>
    <w:rsid w:val="5B4D6A4D"/>
    <w:rsid w:val="5B6A39CB"/>
    <w:rsid w:val="5B7007EA"/>
    <w:rsid w:val="5B741AC3"/>
    <w:rsid w:val="5B786988"/>
    <w:rsid w:val="5BA6424E"/>
    <w:rsid w:val="5BE1369E"/>
    <w:rsid w:val="5C075671"/>
    <w:rsid w:val="5C3F43DE"/>
    <w:rsid w:val="5C694499"/>
    <w:rsid w:val="5C6B3F88"/>
    <w:rsid w:val="5C7C08FA"/>
    <w:rsid w:val="5CAC0F13"/>
    <w:rsid w:val="5CD219F9"/>
    <w:rsid w:val="5CD30147"/>
    <w:rsid w:val="5CD52213"/>
    <w:rsid w:val="5D2D0892"/>
    <w:rsid w:val="5D33359C"/>
    <w:rsid w:val="5D39124A"/>
    <w:rsid w:val="5D4635C9"/>
    <w:rsid w:val="5D595EA4"/>
    <w:rsid w:val="5D875A32"/>
    <w:rsid w:val="5D904EC5"/>
    <w:rsid w:val="5D9C3B4E"/>
    <w:rsid w:val="5DA62075"/>
    <w:rsid w:val="5DC21AC7"/>
    <w:rsid w:val="5DCD5CF5"/>
    <w:rsid w:val="5DE94334"/>
    <w:rsid w:val="5DF63CD3"/>
    <w:rsid w:val="5E363CC0"/>
    <w:rsid w:val="5E38278A"/>
    <w:rsid w:val="5E3A0BC3"/>
    <w:rsid w:val="5E670A99"/>
    <w:rsid w:val="5E871CF7"/>
    <w:rsid w:val="5ECE1B37"/>
    <w:rsid w:val="5ECF6C61"/>
    <w:rsid w:val="5F316D5E"/>
    <w:rsid w:val="5F3D6405"/>
    <w:rsid w:val="5F673415"/>
    <w:rsid w:val="5F6F0285"/>
    <w:rsid w:val="5F883E7F"/>
    <w:rsid w:val="5F902D6A"/>
    <w:rsid w:val="5F913A41"/>
    <w:rsid w:val="5FB55BCB"/>
    <w:rsid w:val="5FB7253E"/>
    <w:rsid w:val="5FD90B17"/>
    <w:rsid w:val="5FEA4C14"/>
    <w:rsid w:val="5FFF2CA0"/>
    <w:rsid w:val="60041939"/>
    <w:rsid w:val="60090E82"/>
    <w:rsid w:val="60140D70"/>
    <w:rsid w:val="60421C6F"/>
    <w:rsid w:val="608955BB"/>
    <w:rsid w:val="608E3AF2"/>
    <w:rsid w:val="609A59BB"/>
    <w:rsid w:val="60A115F0"/>
    <w:rsid w:val="60C85DBE"/>
    <w:rsid w:val="60DD4126"/>
    <w:rsid w:val="61083E26"/>
    <w:rsid w:val="610D4205"/>
    <w:rsid w:val="610E3978"/>
    <w:rsid w:val="61231A89"/>
    <w:rsid w:val="6126799A"/>
    <w:rsid w:val="612A0032"/>
    <w:rsid w:val="618E45ED"/>
    <w:rsid w:val="61927F1F"/>
    <w:rsid w:val="61BE46EB"/>
    <w:rsid w:val="61C3380C"/>
    <w:rsid w:val="61ED4C1C"/>
    <w:rsid w:val="61EE7307"/>
    <w:rsid w:val="62045801"/>
    <w:rsid w:val="620F4CFC"/>
    <w:rsid w:val="621546F4"/>
    <w:rsid w:val="62336EBF"/>
    <w:rsid w:val="623B3D23"/>
    <w:rsid w:val="625177F7"/>
    <w:rsid w:val="627119D2"/>
    <w:rsid w:val="6287090C"/>
    <w:rsid w:val="62905239"/>
    <w:rsid w:val="629631A8"/>
    <w:rsid w:val="62A92EDE"/>
    <w:rsid w:val="62B8444F"/>
    <w:rsid w:val="62CD3D51"/>
    <w:rsid w:val="62E014A6"/>
    <w:rsid w:val="62E13FA0"/>
    <w:rsid w:val="630717D3"/>
    <w:rsid w:val="630E7FE4"/>
    <w:rsid w:val="631F166E"/>
    <w:rsid w:val="636173AA"/>
    <w:rsid w:val="63781EAB"/>
    <w:rsid w:val="637C3D9C"/>
    <w:rsid w:val="639B23CF"/>
    <w:rsid w:val="640C457E"/>
    <w:rsid w:val="642327CC"/>
    <w:rsid w:val="64291364"/>
    <w:rsid w:val="643836A9"/>
    <w:rsid w:val="64561BAF"/>
    <w:rsid w:val="645B56F0"/>
    <w:rsid w:val="648D77DE"/>
    <w:rsid w:val="649D0B4A"/>
    <w:rsid w:val="64B91308"/>
    <w:rsid w:val="64CB0363"/>
    <w:rsid w:val="64F6663B"/>
    <w:rsid w:val="65064B7F"/>
    <w:rsid w:val="6514334D"/>
    <w:rsid w:val="65180C26"/>
    <w:rsid w:val="6524262B"/>
    <w:rsid w:val="655C6080"/>
    <w:rsid w:val="657A68D5"/>
    <w:rsid w:val="658003E2"/>
    <w:rsid w:val="65905EE1"/>
    <w:rsid w:val="659203DB"/>
    <w:rsid w:val="659717A7"/>
    <w:rsid w:val="65984656"/>
    <w:rsid w:val="65991AC5"/>
    <w:rsid w:val="65A3006B"/>
    <w:rsid w:val="65BC68BF"/>
    <w:rsid w:val="65C3305D"/>
    <w:rsid w:val="65C50098"/>
    <w:rsid w:val="65DB799A"/>
    <w:rsid w:val="65DC49B5"/>
    <w:rsid w:val="65F022F1"/>
    <w:rsid w:val="66273CAC"/>
    <w:rsid w:val="6629439C"/>
    <w:rsid w:val="662B57A4"/>
    <w:rsid w:val="663743F7"/>
    <w:rsid w:val="665C36FE"/>
    <w:rsid w:val="667E0ED1"/>
    <w:rsid w:val="669A1B9B"/>
    <w:rsid w:val="66CA0E88"/>
    <w:rsid w:val="66E9737E"/>
    <w:rsid w:val="66F27E2A"/>
    <w:rsid w:val="66F83C76"/>
    <w:rsid w:val="67104E99"/>
    <w:rsid w:val="67270FEB"/>
    <w:rsid w:val="6733193E"/>
    <w:rsid w:val="67421872"/>
    <w:rsid w:val="674800E8"/>
    <w:rsid w:val="677413C0"/>
    <w:rsid w:val="67915FC6"/>
    <w:rsid w:val="679B017F"/>
    <w:rsid w:val="67B42064"/>
    <w:rsid w:val="67BE2FFD"/>
    <w:rsid w:val="67D16B12"/>
    <w:rsid w:val="67D31EFE"/>
    <w:rsid w:val="67E2406C"/>
    <w:rsid w:val="67E56EF3"/>
    <w:rsid w:val="67ED562F"/>
    <w:rsid w:val="680635FA"/>
    <w:rsid w:val="680B54D5"/>
    <w:rsid w:val="68120273"/>
    <w:rsid w:val="68217682"/>
    <w:rsid w:val="682E071E"/>
    <w:rsid w:val="683257DC"/>
    <w:rsid w:val="68354966"/>
    <w:rsid w:val="68735301"/>
    <w:rsid w:val="688A69E5"/>
    <w:rsid w:val="68916ADB"/>
    <w:rsid w:val="6899729E"/>
    <w:rsid w:val="68D335BA"/>
    <w:rsid w:val="68FB1B14"/>
    <w:rsid w:val="68FC438E"/>
    <w:rsid w:val="691B1DAE"/>
    <w:rsid w:val="69207B12"/>
    <w:rsid w:val="694430CC"/>
    <w:rsid w:val="695E748E"/>
    <w:rsid w:val="696518D8"/>
    <w:rsid w:val="69B3412D"/>
    <w:rsid w:val="69C4230D"/>
    <w:rsid w:val="69D84DE9"/>
    <w:rsid w:val="69D91521"/>
    <w:rsid w:val="6A1311F3"/>
    <w:rsid w:val="6A161408"/>
    <w:rsid w:val="6A25275F"/>
    <w:rsid w:val="6A280F48"/>
    <w:rsid w:val="6A2E54FB"/>
    <w:rsid w:val="6A314C86"/>
    <w:rsid w:val="6A374972"/>
    <w:rsid w:val="6A39195E"/>
    <w:rsid w:val="6A3E5852"/>
    <w:rsid w:val="6A461CEE"/>
    <w:rsid w:val="6A493484"/>
    <w:rsid w:val="6A57202E"/>
    <w:rsid w:val="6A5A24C7"/>
    <w:rsid w:val="6A5C4651"/>
    <w:rsid w:val="6A5F343C"/>
    <w:rsid w:val="6A6C14B3"/>
    <w:rsid w:val="6A8E328C"/>
    <w:rsid w:val="6AED1528"/>
    <w:rsid w:val="6AFC1780"/>
    <w:rsid w:val="6B2B1095"/>
    <w:rsid w:val="6B466EA6"/>
    <w:rsid w:val="6B557C5E"/>
    <w:rsid w:val="6B6C47C7"/>
    <w:rsid w:val="6B8E6EC0"/>
    <w:rsid w:val="6BA22313"/>
    <w:rsid w:val="6BA5530E"/>
    <w:rsid w:val="6BAE0F46"/>
    <w:rsid w:val="6BCD5478"/>
    <w:rsid w:val="6BDB5825"/>
    <w:rsid w:val="6BF13CD2"/>
    <w:rsid w:val="6BF31BCB"/>
    <w:rsid w:val="6BFB0DAA"/>
    <w:rsid w:val="6BFC50BB"/>
    <w:rsid w:val="6C084532"/>
    <w:rsid w:val="6C1873BF"/>
    <w:rsid w:val="6C1D026B"/>
    <w:rsid w:val="6C20175C"/>
    <w:rsid w:val="6C2C6080"/>
    <w:rsid w:val="6C376888"/>
    <w:rsid w:val="6C4E30B1"/>
    <w:rsid w:val="6C4F7584"/>
    <w:rsid w:val="6C614CDA"/>
    <w:rsid w:val="6C6E0447"/>
    <w:rsid w:val="6C7B7393"/>
    <w:rsid w:val="6C807D69"/>
    <w:rsid w:val="6C8204FA"/>
    <w:rsid w:val="6CB31203"/>
    <w:rsid w:val="6CBF2C34"/>
    <w:rsid w:val="6D2931F4"/>
    <w:rsid w:val="6D385956"/>
    <w:rsid w:val="6D3A0192"/>
    <w:rsid w:val="6D473E48"/>
    <w:rsid w:val="6D690FC7"/>
    <w:rsid w:val="6D814DF2"/>
    <w:rsid w:val="6D884435"/>
    <w:rsid w:val="6DAB76AC"/>
    <w:rsid w:val="6DEB2DBA"/>
    <w:rsid w:val="6E3F653F"/>
    <w:rsid w:val="6E5B32E9"/>
    <w:rsid w:val="6E6949C6"/>
    <w:rsid w:val="6E753D0F"/>
    <w:rsid w:val="6ED954DF"/>
    <w:rsid w:val="6EDE7B06"/>
    <w:rsid w:val="6EE202D1"/>
    <w:rsid w:val="6EFC29F3"/>
    <w:rsid w:val="6F132006"/>
    <w:rsid w:val="6F4E300D"/>
    <w:rsid w:val="6F6B6069"/>
    <w:rsid w:val="6F7B4E79"/>
    <w:rsid w:val="6FD06C0E"/>
    <w:rsid w:val="6FD344B0"/>
    <w:rsid w:val="6FD44A65"/>
    <w:rsid w:val="6FE53683"/>
    <w:rsid w:val="6FEA4536"/>
    <w:rsid w:val="70067BE4"/>
    <w:rsid w:val="701C33EF"/>
    <w:rsid w:val="70225A06"/>
    <w:rsid w:val="703852C9"/>
    <w:rsid w:val="70612300"/>
    <w:rsid w:val="707B649D"/>
    <w:rsid w:val="70887995"/>
    <w:rsid w:val="709B2BE5"/>
    <w:rsid w:val="70BA7D90"/>
    <w:rsid w:val="70C328BF"/>
    <w:rsid w:val="70E024C4"/>
    <w:rsid w:val="70E07645"/>
    <w:rsid w:val="71153BC8"/>
    <w:rsid w:val="713C0643"/>
    <w:rsid w:val="71560100"/>
    <w:rsid w:val="71636F54"/>
    <w:rsid w:val="716509CE"/>
    <w:rsid w:val="716A37EB"/>
    <w:rsid w:val="716D6EF7"/>
    <w:rsid w:val="717B6FE2"/>
    <w:rsid w:val="719F29D5"/>
    <w:rsid w:val="71A12FD9"/>
    <w:rsid w:val="720366A0"/>
    <w:rsid w:val="720C3560"/>
    <w:rsid w:val="721C1180"/>
    <w:rsid w:val="724C4D96"/>
    <w:rsid w:val="727E07C1"/>
    <w:rsid w:val="72A90780"/>
    <w:rsid w:val="72E655C1"/>
    <w:rsid w:val="73215C7D"/>
    <w:rsid w:val="73482624"/>
    <w:rsid w:val="7354228F"/>
    <w:rsid w:val="735A5D20"/>
    <w:rsid w:val="73653B44"/>
    <w:rsid w:val="736C4B15"/>
    <w:rsid w:val="7372472C"/>
    <w:rsid w:val="737760F6"/>
    <w:rsid w:val="73867BD2"/>
    <w:rsid w:val="73A8797A"/>
    <w:rsid w:val="73BE16BA"/>
    <w:rsid w:val="73CB6AFE"/>
    <w:rsid w:val="73D76C82"/>
    <w:rsid w:val="73E256A2"/>
    <w:rsid w:val="73ED4684"/>
    <w:rsid w:val="73F266C1"/>
    <w:rsid w:val="73FA5B6C"/>
    <w:rsid w:val="743047B6"/>
    <w:rsid w:val="743615E7"/>
    <w:rsid w:val="743E0C09"/>
    <w:rsid w:val="74490FEA"/>
    <w:rsid w:val="7478287A"/>
    <w:rsid w:val="74973EE6"/>
    <w:rsid w:val="74B20C8E"/>
    <w:rsid w:val="74B256B4"/>
    <w:rsid w:val="74C8198C"/>
    <w:rsid w:val="74FA3F82"/>
    <w:rsid w:val="75063DA9"/>
    <w:rsid w:val="754D7FC3"/>
    <w:rsid w:val="755221E5"/>
    <w:rsid w:val="756A2EF2"/>
    <w:rsid w:val="75BD2847"/>
    <w:rsid w:val="75BE243F"/>
    <w:rsid w:val="75C260BC"/>
    <w:rsid w:val="75C7670A"/>
    <w:rsid w:val="75E90E00"/>
    <w:rsid w:val="75F8279B"/>
    <w:rsid w:val="75FE283B"/>
    <w:rsid w:val="76056334"/>
    <w:rsid w:val="762D2114"/>
    <w:rsid w:val="763952CF"/>
    <w:rsid w:val="764A5ACF"/>
    <w:rsid w:val="7665609A"/>
    <w:rsid w:val="76804E9D"/>
    <w:rsid w:val="76944ACB"/>
    <w:rsid w:val="7697655E"/>
    <w:rsid w:val="769F5D9A"/>
    <w:rsid w:val="76A21419"/>
    <w:rsid w:val="76AB6DE1"/>
    <w:rsid w:val="76C17926"/>
    <w:rsid w:val="770E06E4"/>
    <w:rsid w:val="77312F0B"/>
    <w:rsid w:val="77323B53"/>
    <w:rsid w:val="774D4D40"/>
    <w:rsid w:val="77556389"/>
    <w:rsid w:val="77590B34"/>
    <w:rsid w:val="777D59E2"/>
    <w:rsid w:val="77865552"/>
    <w:rsid w:val="77A409A1"/>
    <w:rsid w:val="77B9214B"/>
    <w:rsid w:val="77CB1205"/>
    <w:rsid w:val="77ED7FC0"/>
    <w:rsid w:val="78342FAB"/>
    <w:rsid w:val="785B05DA"/>
    <w:rsid w:val="785D72AD"/>
    <w:rsid w:val="78770683"/>
    <w:rsid w:val="78821B94"/>
    <w:rsid w:val="78843643"/>
    <w:rsid w:val="78D56449"/>
    <w:rsid w:val="78D83678"/>
    <w:rsid w:val="78F16A6D"/>
    <w:rsid w:val="794D126A"/>
    <w:rsid w:val="79825428"/>
    <w:rsid w:val="79BD2A3C"/>
    <w:rsid w:val="79BD656A"/>
    <w:rsid w:val="79D15552"/>
    <w:rsid w:val="79ED2596"/>
    <w:rsid w:val="7A060F29"/>
    <w:rsid w:val="7A3A0A36"/>
    <w:rsid w:val="7A4C198A"/>
    <w:rsid w:val="7A5F5442"/>
    <w:rsid w:val="7A7079E0"/>
    <w:rsid w:val="7A724105"/>
    <w:rsid w:val="7A9C2241"/>
    <w:rsid w:val="7AA339DF"/>
    <w:rsid w:val="7AC92404"/>
    <w:rsid w:val="7ACD42BF"/>
    <w:rsid w:val="7AF366E7"/>
    <w:rsid w:val="7AFC3CFC"/>
    <w:rsid w:val="7B1E0D4F"/>
    <w:rsid w:val="7B2E2636"/>
    <w:rsid w:val="7B2F5245"/>
    <w:rsid w:val="7B306E76"/>
    <w:rsid w:val="7B3163B5"/>
    <w:rsid w:val="7B543EF4"/>
    <w:rsid w:val="7B605B5E"/>
    <w:rsid w:val="7B8A06D2"/>
    <w:rsid w:val="7B8C3917"/>
    <w:rsid w:val="7B930A06"/>
    <w:rsid w:val="7BC85F2C"/>
    <w:rsid w:val="7BF50DC3"/>
    <w:rsid w:val="7C08154A"/>
    <w:rsid w:val="7C1179FC"/>
    <w:rsid w:val="7C144448"/>
    <w:rsid w:val="7C2E00B6"/>
    <w:rsid w:val="7C5F04AF"/>
    <w:rsid w:val="7C710DD9"/>
    <w:rsid w:val="7C7D684C"/>
    <w:rsid w:val="7CB869FF"/>
    <w:rsid w:val="7CE55E7F"/>
    <w:rsid w:val="7D2A0296"/>
    <w:rsid w:val="7D3C36CC"/>
    <w:rsid w:val="7D4E7440"/>
    <w:rsid w:val="7D76423F"/>
    <w:rsid w:val="7DA94709"/>
    <w:rsid w:val="7DAD299F"/>
    <w:rsid w:val="7DE2398E"/>
    <w:rsid w:val="7DF237E4"/>
    <w:rsid w:val="7DF73D2F"/>
    <w:rsid w:val="7E2762CB"/>
    <w:rsid w:val="7E9C5B29"/>
    <w:rsid w:val="7EB81DA4"/>
    <w:rsid w:val="7EC23727"/>
    <w:rsid w:val="7EC3035A"/>
    <w:rsid w:val="7ED64E4F"/>
    <w:rsid w:val="7EDB5A14"/>
    <w:rsid w:val="7EDF56BE"/>
    <w:rsid w:val="7EE24DDD"/>
    <w:rsid w:val="7EE93C7A"/>
    <w:rsid w:val="7EED6FB2"/>
    <w:rsid w:val="7F125CD3"/>
    <w:rsid w:val="7F3517ED"/>
    <w:rsid w:val="7F3521D6"/>
    <w:rsid w:val="7F397EF3"/>
    <w:rsid w:val="7F777E67"/>
    <w:rsid w:val="7F791C3F"/>
    <w:rsid w:val="7F9C07DA"/>
    <w:rsid w:val="7FA674C2"/>
    <w:rsid w:val="7FA86002"/>
    <w:rsid w:val="7FD9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jc w:val="center"/>
      <w:outlineLvl w:val="0"/>
    </w:pPr>
    <w:rPr>
      <w:rFonts w:ascii="黑体" w:eastAsia="黑体"/>
      <w:sz w:val="30"/>
      <w:szCs w:val="20"/>
    </w:rPr>
  </w:style>
  <w:style w:type="paragraph" w:styleId="4">
    <w:name w:val="heading 2"/>
    <w:basedOn w:val="5"/>
    <w:next w:val="6"/>
    <w:link w:val="132"/>
    <w:qFormat/>
    <w:uiPriority w:val="0"/>
    <w:pPr>
      <w:keepNext/>
      <w:numPr>
        <w:ilvl w:val="0"/>
        <w:numId w:val="2"/>
      </w:numPr>
      <w:jc w:val="center"/>
    </w:pPr>
    <w:rPr>
      <w:rFonts w:ascii="黑体"/>
      <w:color w:val="000000"/>
      <w:sz w:val="28"/>
    </w:rPr>
  </w:style>
  <w:style w:type="paragraph" w:styleId="7">
    <w:name w:val="heading 3"/>
    <w:basedOn w:val="1"/>
    <w:next w:val="1"/>
    <w:link w:val="137"/>
    <w:qFormat/>
    <w:uiPriority w:val="0"/>
    <w:pPr>
      <w:keepNext/>
      <w:numPr>
        <w:ilvl w:val="0"/>
        <w:numId w:val="3"/>
      </w:numPr>
      <w:jc w:val="center"/>
      <w:outlineLvl w:val="2"/>
    </w:pPr>
    <w:rPr>
      <w:rFonts w:ascii="黑体" w:eastAsia="黑体"/>
      <w:color w:val="000000"/>
      <w:sz w:val="32"/>
    </w:rPr>
  </w:style>
  <w:style w:type="paragraph" w:styleId="8">
    <w:name w:val="heading 4"/>
    <w:basedOn w:val="1"/>
    <w:next w:val="1"/>
    <w:link w:val="126"/>
    <w:qFormat/>
    <w:uiPriority w:val="0"/>
    <w:pPr>
      <w:keepNext/>
      <w:numPr>
        <w:ilvl w:val="0"/>
        <w:numId w:val="4"/>
      </w:numPr>
      <w:tabs>
        <w:tab w:val="left" w:pos="2715"/>
        <w:tab w:val="clear" w:pos="720"/>
      </w:tabs>
      <w:autoSpaceDE w:val="0"/>
      <w:autoSpaceDN w:val="0"/>
      <w:adjustRightInd w:val="0"/>
      <w:jc w:val="center"/>
      <w:outlineLvl w:val="3"/>
    </w:pPr>
    <w:rPr>
      <w:rFonts w:ascii="方正姚体" w:eastAsia="方正姚体"/>
      <w:sz w:val="36"/>
      <w:szCs w:val="32"/>
    </w:rPr>
  </w:style>
  <w:style w:type="paragraph" w:styleId="9">
    <w:name w:val="heading 5"/>
    <w:basedOn w:val="1"/>
    <w:next w:val="1"/>
    <w:qFormat/>
    <w:uiPriority w:val="0"/>
    <w:pPr>
      <w:keepNext/>
      <w:keepLines/>
      <w:spacing w:before="280" w:after="290" w:line="376" w:lineRule="auto"/>
      <w:outlineLvl w:val="4"/>
    </w:pPr>
    <w:rPr>
      <w:b/>
      <w:bCs/>
      <w:sz w:val="28"/>
      <w:szCs w:val="28"/>
    </w:rPr>
  </w:style>
  <w:style w:type="paragraph" w:styleId="10">
    <w:name w:val="heading 6"/>
    <w:basedOn w:val="1"/>
    <w:next w:val="1"/>
    <w:link w:val="123"/>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11">
    <w:name w:val="heading 7"/>
    <w:basedOn w:val="1"/>
    <w:next w:val="1"/>
    <w:link w:val="136"/>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12">
    <w:name w:val="heading 8"/>
    <w:basedOn w:val="1"/>
    <w:next w:val="1"/>
    <w:link w:val="131"/>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3">
    <w:name w:val="heading 9"/>
    <w:basedOn w:val="1"/>
    <w:next w:val="1"/>
    <w:link w:val="130"/>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1"/>
    <w:qFormat/>
    <w:uiPriority w:val="0"/>
    <w:pPr>
      <w:ind w:right="-84" w:rightChars="-40"/>
      <w:jc w:val="center"/>
    </w:pPr>
  </w:style>
  <w:style w:type="paragraph" w:customStyle="1" w:styleId="5">
    <w:name w:val="标题2"/>
    <w:basedOn w:val="1"/>
    <w:next w:val="1"/>
    <w:qFormat/>
    <w:uiPriority w:val="0"/>
    <w:pPr>
      <w:numPr>
        <w:ilvl w:val="1"/>
        <w:numId w:val="5"/>
      </w:numPr>
      <w:spacing w:after="50" w:afterLines="50"/>
      <w:outlineLvl w:val="1"/>
    </w:pPr>
    <w:rPr>
      <w:rFonts w:ascii="Calibri" w:hAnsi="Calibri" w:eastAsia="黑体"/>
      <w:b/>
      <w:bCs/>
      <w:sz w:val="30"/>
      <w:szCs w:val="20"/>
    </w:rPr>
  </w:style>
  <w:style w:type="paragraph" w:customStyle="1" w:styleId="6">
    <w:name w:val="!正文"/>
    <w:basedOn w:val="1"/>
    <w:qFormat/>
    <w:uiPriority w:val="0"/>
    <w:rPr>
      <w:rFonts w:ascii="仿宋" w:hAnsi="仿宋"/>
      <w:sz w:val="24"/>
    </w:rPr>
  </w:style>
  <w:style w:type="paragraph" w:styleId="14">
    <w:name w:val="Normal Indent"/>
    <w:basedOn w:val="1"/>
    <w:qFormat/>
    <w:uiPriority w:val="0"/>
    <w:pPr>
      <w:ind w:firstLine="420"/>
    </w:pPr>
    <w:rPr>
      <w:szCs w:val="20"/>
    </w:rPr>
  </w:style>
  <w:style w:type="paragraph" w:styleId="15">
    <w:name w:val="Document Map"/>
    <w:basedOn w:val="1"/>
    <w:link w:val="118"/>
    <w:qFormat/>
    <w:uiPriority w:val="0"/>
    <w:pPr>
      <w:shd w:val="clear" w:color="auto" w:fill="000080"/>
    </w:pPr>
  </w:style>
  <w:style w:type="paragraph" w:styleId="16">
    <w:name w:val="annotation text"/>
    <w:basedOn w:val="1"/>
    <w:link w:val="128"/>
    <w:qFormat/>
    <w:uiPriority w:val="0"/>
    <w:pPr>
      <w:jc w:val="left"/>
    </w:pPr>
  </w:style>
  <w:style w:type="paragraph" w:styleId="17">
    <w:name w:val="Body Text 3"/>
    <w:basedOn w:val="1"/>
    <w:link w:val="134"/>
    <w:qFormat/>
    <w:uiPriority w:val="0"/>
    <w:rPr>
      <w:rFonts w:ascii="宋体"/>
      <w:color w:val="000000"/>
      <w:sz w:val="32"/>
    </w:rPr>
  </w:style>
  <w:style w:type="paragraph" w:styleId="18">
    <w:name w:val="Body Text Indent"/>
    <w:basedOn w:val="1"/>
    <w:link w:val="133"/>
    <w:qFormat/>
    <w:uiPriority w:val="0"/>
    <w:pPr>
      <w:spacing w:line="360" w:lineRule="auto"/>
      <w:ind w:firstLine="480"/>
    </w:pPr>
    <w:rPr>
      <w:rFonts w:ascii="宋体"/>
      <w:sz w:val="24"/>
    </w:rPr>
  </w:style>
  <w:style w:type="paragraph" w:styleId="19">
    <w:name w:val="Block Text"/>
    <w:basedOn w:val="1"/>
    <w:qFormat/>
    <w:uiPriority w:val="0"/>
    <w:pPr>
      <w:ind w:left="-78" w:leftChars="-37" w:right="-162" w:rightChars="-77" w:firstLine="78" w:firstLineChars="37"/>
      <w:jc w:val="center"/>
    </w:pPr>
    <w:rPr>
      <w:rFonts w:ascii="宋体" w:hAnsi="宋体"/>
      <w:szCs w:val="21"/>
    </w:rPr>
  </w:style>
  <w:style w:type="paragraph" w:styleId="20">
    <w:name w:val="toc 3"/>
    <w:basedOn w:val="1"/>
    <w:next w:val="1"/>
    <w:qFormat/>
    <w:uiPriority w:val="39"/>
    <w:pPr>
      <w:ind w:left="840" w:leftChars="400"/>
    </w:pPr>
  </w:style>
  <w:style w:type="paragraph" w:styleId="21">
    <w:name w:val="Plain Text"/>
    <w:basedOn w:val="1"/>
    <w:link w:val="138"/>
    <w:qFormat/>
    <w:uiPriority w:val="0"/>
    <w:rPr>
      <w:rFonts w:ascii="宋体" w:hAnsi="Courier New" w:cs="黑体"/>
      <w:szCs w:val="21"/>
    </w:rPr>
  </w:style>
  <w:style w:type="paragraph" w:styleId="22">
    <w:name w:val="Date"/>
    <w:basedOn w:val="1"/>
    <w:next w:val="1"/>
    <w:qFormat/>
    <w:uiPriority w:val="0"/>
    <w:rPr>
      <w:szCs w:val="20"/>
    </w:rPr>
  </w:style>
  <w:style w:type="paragraph" w:styleId="23">
    <w:name w:val="Body Text Indent 2"/>
    <w:basedOn w:val="1"/>
    <w:qFormat/>
    <w:uiPriority w:val="0"/>
    <w:pPr>
      <w:spacing w:line="360" w:lineRule="auto"/>
      <w:ind w:firstLine="480"/>
    </w:pPr>
    <w:rPr>
      <w:rFonts w:ascii="宋体" w:hAnsi="宋体"/>
      <w:szCs w:val="21"/>
    </w:rPr>
  </w:style>
  <w:style w:type="paragraph" w:styleId="24">
    <w:name w:val="endnote text"/>
    <w:basedOn w:val="1"/>
    <w:link w:val="124"/>
    <w:qFormat/>
    <w:uiPriority w:val="0"/>
    <w:pPr>
      <w:snapToGrid w:val="0"/>
      <w:jc w:val="left"/>
    </w:pPr>
  </w:style>
  <w:style w:type="paragraph" w:styleId="25">
    <w:name w:val="Balloon Text"/>
    <w:basedOn w:val="1"/>
    <w:link w:val="125"/>
    <w:qFormat/>
    <w:uiPriority w:val="0"/>
    <w:pPr>
      <w:numPr>
        <w:ilvl w:val="0"/>
        <w:numId w:val="6"/>
      </w:numPr>
      <w:tabs>
        <w:tab w:val="clear" w:pos="1005"/>
      </w:tabs>
      <w:ind w:left="0" w:firstLine="0"/>
    </w:pPr>
    <w:rPr>
      <w:sz w:val="18"/>
      <w:szCs w:val="18"/>
    </w:rPr>
  </w:style>
  <w:style w:type="paragraph" w:styleId="26">
    <w:name w:val="footer"/>
    <w:basedOn w:val="1"/>
    <w:link w:val="139"/>
    <w:qFormat/>
    <w:uiPriority w:val="99"/>
    <w:pPr>
      <w:tabs>
        <w:tab w:val="center" w:pos="4153"/>
        <w:tab w:val="right" w:pos="8306"/>
      </w:tabs>
      <w:snapToGrid w:val="0"/>
      <w:jc w:val="left"/>
    </w:pPr>
    <w:rPr>
      <w:sz w:val="18"/>
    </w:rPr>
  </w:style>
  <w:style w:type="paragraph" w:styleId="27">
    <w:name w:val="header"/>
    <w:basedOn w:val="1"/>
    <w:link w:val="12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29">
    <w:name w:val="footnote text"/>
    <w:basedOn w:val="1"/>
    <w:link w:val="120"/>
    <w:qFormat/>
    <w:uiPriority w:val="0"/>
    <w:pPr>
      <w:snapToGrid w:val="0"/>
      <w:jc w:val="left"/>
    </w:pPr>
    <w:rPr>
      <w:sz w:val="18"/>
    </w:rPr>
  </w:style>
  <w:style w:type="paragraph" w:styleId="30">
    <w:name w:val="Body Text Indent 3"/>
    <w:basedOn w:val="1"/>
    <w:link w:val="119"/>
    <w:qFormat/>
    <w:uiPriority w:val="0"/>
    <w:pPr>
      <w:spacing w:line="480" w:lineRule="exact"/>
      <w:ind w:firstLine="540" w:firstLineChars="257"/>
    </w:pPr>
    <w:rPr>
      <w:rFonts w:ascii="宋体" w:hAnsi="宋体"/>
      <w:szCs w:val="21"/>
    </w:rPr>
  </w:style>
  <w:style w:type="paragraph" w:styleId="31">
    <w:name w:val="toc 2"/>
    <w:basedOn w:val="1"/>
    <w:next w:val="1"/>
    <w:qFormat/>
    <w:uiPriority w:val="39"/>
    <w:pPr>
      <w:ind w:left="420" w:leftChars="200"/>
    </w:pPr>
  </w:style>
  <w:style w:type="paragraph" w:styleId="32">
    <w:name w:val="Body Text 2"/>
    <w:basedOn w:val="1"/>
    <w:link w:val="135"/>
    <w:qFormat/>
    <w:uiPriority w:val="0"/>
    <w:rPr>
      <w:rFonts w:ascii="宋体"/>
      <w:sz w:val="28"/>
    </w:r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link w:val="127"/>
    <w:qFormat/>
    <w:uiPriority w:val="0"/>
    <w:pPr>
      <w:adjustRightInd w:val="0"/>
      <w:spacing w:before="240" w:after="60" w:line="420" w:lineRule="atLeast"/>
      <w:jc w:val="center"/>
      <w:textAlignment w:val="baseline"/>
      <w:outlineLvl w:val="0"/>
    </w:pPr>
    <w:rPr>
      <w:rFonts w:ascii="Arial" w:hAnsi="Arial"/>
      <w:b/>
      <w:sz w:val="32"/>
    </w:rPr>
  </w:style>
  <w:style w:type="paragraph" w:styleId="36">
    <w:name w:val="annotation subject"/>
    <w:basedOn w:val="16"/>
    <w:next w:val="16"/>
    <w:qFormat/>
    <w:uiPriority w:val="0"/>
    <w:rPr>
      <w:b/>
      <w:bCs/>
    </w:rPr>
  </w:style>
  <w:style w:type="paragraph" w:styleId="37">
    <w:name w:val="Body Text First Indent"/>
    <w:basedOn w:val="2"/>
    <w:next w:val="1"/>
    <w:qFormat/>
    <w:uiPriority w:val="0"/>
    <w:pPr>
      <w:spacing w:after="120"/>
      <w:ind w:right="0" w:rightChars="0" w:firstLine="420" w:firstLineChars="100"/>
      <w:jc w:val="both"/>
    </w:pPr>
    <w:rPr>
      <w:szCs w:val="20"/>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paragraph" w:customStyle="1" w:styleId="48">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kern w:val="0"/>
      <w:sz w:val="24"/>
    </w:rPr>
  </w:style>
  <w:style w:type="paragraph" w:customStyle="1" w:styleId="49">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50">
    <w:name w:val="font8"/>
    <w:basedOn w:val="1"/>
    <w:qFormat/>
    <w:uiPriority w:val="0"/>
    <w:pPr>
      <w:widowControl/>
      <w:spacing w:before="100" w:beforeAutospacing="1" w:after="100" w:afterAutospacing="1"/>
      <w:jc w:val="left"/>
    </w:pPr>
    <w:rPr>
      <w:kern w:val="0"/>
      <w:sz w:val="24"/>
    </w:rPr>
  </w:style>
  <w:style w:type="paragraph" w:customStyle="1" w:styleId="51">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52">
    <w:name w:val="xl50"/>
    <w:basedOn w:val="1"/>
    <w:qFormat/>
    <w:uiPriority w:val="0"/>
    <w:pPr>
      <w:widowControl/>
      <w:spacing w:before="100" w:beforeAutospacing="1" w:after="100" w:afterAutospacing="1"/>
      <w:jc w:val="center"/>
      <w:textAlignment w:val="top"/>
    </w:pPr>
    <w:rPr>
      <w:rFonts w:hint="eastAsia" w:ascii="黑体" w:hAnsi="Arial Unicode MS" w:eastAsia="黑体"/>
      <w:b/>
      <w:bCs/>
      <w:kern w:val="0"/>
      <w:sz w:val="36"/>
      <w:szCs w:val="36"/>
    </w:rPr>
  </w:style>
  <w:style w:type="paragraph" w:customStyle="1" w:styleId="53">
    <w:name w:val="Char1"/>
    <w:basedOn w:val="1"/>
    <w:qFormat/>
    <w:uiPriority w:val="0"/>
    <w:rPr>
      <w:rFonts w:ascii="仿宋_GB2312" w:eastAsia="仿宋_GB2312"/>
      <w:b/>
      <w:sz w:val="32"/>
      <w:szCs w:val="32"/>
    </w:rPr>
  </w:style>
  <w:style w:type="paragraph" w:customStyle="1" w:styleId="54">
    <w:name w:val="表中"/>
    <w:basedOn w:val="1"/>
    <w:qFormat/>
    <w:uiPriority w:val="0"/>
    <w:pPr>
      <w:adjustRightInd w:val="0"/>
      <w:spacing w:line="360" w:lineRule="atLeast"/>
      <w:jc w:val="center"/>
      <w:textAlignment w:val="baseline"/>
    </w:pPr>
    <w:rPr>
      <w:kern w:val="0"/>
      <w:szCs w:val="20"/>
    </w:rPr>
  </w:style>
  <w:style w:type="paragraph" w:customStyle="1" w:styleId="55">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56">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57">
    <w:name w:val="xl52"/>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8">
    <w:name w:val="xl51"/>
    <w:basedOn w:val="1"/>
    <w:qFormat/>
    <w:uiPriority w:val="0"/>
    <w:pPr>
      <w:widowControl/>
      <w:spacing w:before="100" w:beforeAutospacing="1" w:after="100" w:afterAutospacing="1"/>
      <w:jc w:val="left"/>
      <w:textAlignment w:val="center"/>
    </w:pPr>
    <w:rPr>
      <w:rFonts w:ascii="Arial Unicode MS" w:hAnsi="Arial Unicode MS"/>
      <w:kern w:val="0"/>
      <w:sz w:val="24"/>
    </w:rPr>
  </w:style>
  <w:style w:type="paragraph" w:customStyle="1" w:styleId="59">
    <w:name w:val="xl29"/>
    <w:basedOn w:val="1"/>
    <w:qFormat/>
    <w:uiPriority w:val="0"/>
    <w:pPr>
      <w:widowControl/>
      <w:pBdr>
        <w:bottom w:val="single" w:color="auto" w:sz="4" w:space="0"/>
      </w:pBdr>
      <w:spacing w:before="100" w:beforeAutospacing="1" w:after="100" w:afterAutospacing="1"/>
      <w:jc w:val="left"/>
    </w:pPr>
    <w:rPr>
      <w:rFonts w:ascii="Arial Unicode MS" w:hAnsi="Arial Unicode MS"/>
      <w:kern w:val="0"/>
      <w:sz w:val="24"/>
    </w:rPr>
  </w:style>
  <w:style w:type="paragraph" w:customStyle="1" w:styleId="60">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
    <w:name w:val="样式 首行缩进:  2 字符"/>
    <w:basedOn w:val="1"/>
    <w:qFormat/>
    <w:uiPriority w:val="0"/>
    <w:pPr>
      <w:spacing w:line="400" w:lineRule="exact"/>
      <w:ind w:firstLine="200" w:firstLineChars="200"/>
    </w:pPr>
    <w:rPr>
      <w:rFonts w:cs="宋体"/>
    </w:rPr>
  </w:style>
  <w:style w:type="paragraph" w:customStyle="1" w:styleId="62">
    <w:name w:val="我的正文"/>
    <w:basedOn w:val="1"/>
    <w:link w:val="122"/>
    <w:qFormat/>
    <w:uiPriority w:val="0"/>
    <w:pPr>
      <w:snapToGrid w:val="0"/>
      <w:spacing w:line="300" w:lineRule="auto"/>
      <w:ind w:firstLine="150" w:firstLineChars="150"/>
    </w:pPr>
    <w:rPr>
      <w:rFonts w:ascii="宋体" w:hAnsi="宋体"/>
      <w:sz w:val="24"/>
    </w:rPr>
  </w:style>
  <w:style w:type="paragraph" w:customStyle="1" w:styleId="63">
    <w:name w:val="font7"/>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6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65">
    <w:name w:val="xl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6">
    <w:name w:val="目录"/>
    <w:basedOn w:val="1"/>
    <w:qFormat/>
    <w:uiPriority w:val="0"/>
    <w:pPr>
      <w:widowControl/>
      <w:jc w:val="center"/>
    </w:pPr>
    <w:rPr>
      <w:b/>
      <w:sz w:val="36"/>
    </w:rPr>
  </w:style>
  <w:style w:type="paragraph" w:customStyle="1" w:styleId="6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68">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 w:val="24"/>
    </w:rPr>
  </w:style>
  <w:style w:type="paragraph" w:customStyle="1" w:styleId="69">
    <w:name w:val="xl3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70">
    <w:name w:val="_Style 67"/>
    <w:basedOn w:val="1"/>
    <w:qFormat/>
    <w:uiPriority w:val="0"/>
    <w:pPr>
      <w:ind w:firstLine="420" w:firstLineChars="200"/>
    </w:pPr>
    <w:rPr>
      <w:szCs w:val="20"/>
    </w:rPr>
  </w:style>
  <w:style w:type="paragraph" w:customStyle="1" w:styleId="7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72">
    <w:name w:val="样式2"/>
    <w:basedOn w:val="1"/>
    <w:qFormat/>
    <w:uiPriority w:val="0"/>
    <w:pPr>
      <w:numPr>
        <w:ilvl w:val="0"/>
        <w:numId w:val="7"/>
      </w:numPr>
      <w:spacing w:line="360" w:lineRule="auto"/>
      <w:jc w:val="center"/>
    </w:pPr>
    <w:rPr>
      <w:rFonts w:ascii="黑体" w:eastAsia="黑体"/>
      <w:szCs w:val="20"/>
    </w:rPr>
  </w:style>
  <w:style w:type="paragraph" w:customStyle="1" w:styleId="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74">
    <w:name w:val="样式 标题 2 + 宋体"/>
    <w:basedOn w:val="4"/>
    <w:qFormat/>
    <w:uiPriority w:val="0"/>
    <w:pPr>
      <w:keepLines/>
      <w:numPr>
        <w:numId w:val="0"/>
      </w:numPr>
      <w:tabs>
        <w:tab w:val="clear" w:pos="960"/>
      </w:tabs>
      <w:spacing w:line="360" w:lineRule="auto"/>
      <w:ind w:firstLine="482" w:firstLineChars="200"/>
      <w:jc w:val="left"/>
    </w:pPr>
    <w:rPr>
      <w:rFonts w:ascii="宋体" w:hAnsi="宋体" w:eastAsia="宋体" w:cs="宋体"/>
      <w:color w:val="auto"/>
      <w:sz w:val="24"/>
    </w:rPr>
  </w:style>
  <w:style w:type="paragraph" w:customStyle="1" w:styleId="75">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简单回函地址"/>
    <w:basedOn w:val="1"/>
    <w:qFormat/>
    <w:uiPriority w:val="0"/>
  </w:style>
  <w:style w:type="paragraph" w:customStyle="1" w:styleId="78">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79">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80">
    <w:name w:val="纯文本1"/>
    <w:basedOn w:val="1"/>
    <w:qFormat/>
    <w:uiPriority w:val="0"/>
    <w:pPr>
      <w:adjustRightInd w:val="0"/>
      <w:textAlignment w:val="baseline"/>
    </w:pPr>
    <w:rPr>
      <w:rFonts w:ascii="宋体" w:hAnsi="Courier New"/>
      <w:szCs w:val="20"/>
    </w:rPr>
  </w:style>
  <w:style w:type="paragraph" w:customStyle="1" w:styleId="81">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2">
    <w:name w:val="font11"/>
    <w:basedOn w:val="1"/>
    <w:qFormat/>
    <w:uiPriority w:val="0"/>
    <w:pPr>
      <w:widowControl/>
      <w:spacing w:before="100" w:beforeAutospacing="1" w:after="100" w:afterAutospacing="1"/>
      <w:jc w:val="left"/>
    </w:pPr>
    <w:rPr>
      <w:b/>
      <w:bCs/>
      <w:kern w:val="0"/>
      <w:sz w:val="24"/>
    </w:rPr>
  </w:style>
  <w:style w:type="paragraph" w:customStyle="1" w:styleId="83">
    <w:name w:val="样式 标题 2 + Times New Roman 四号 非加粗 段前: 5 磅 段后: 0 磅 行距: 固定值 20..."/>
    <w:basedOn w:val="4"/>
    <w:qFormat/>
    <w:uiPriority w:val="0"/>
    <w:pPr>
      <w:keepLines/>
      <w:numPr>
        <w:numId w:val="0"/>
      </w:numPr>
      <w:spacing w:before="100" w:line="400" w:lineRule="exact"/>
      <w:jc w:val="both"/>
    </w:pPr>
    <w:rPr>
      <w:rFonts w:ascii="Times New Roman" w:cs="宋体"/>
      <w:color w:val="auto"/>
    </w:rPr>
  </w:style>
  <w:style w:type="paragraph" w:customStyle="1" w:styleId="84">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85">
    <w:name w:val="_Style 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8">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89">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90">
    <w:name w:val="_Style 87"/>
    <w:unhideWhenUsed/>
    <w:qFormat/>
    <w:uiPriority w:val="99"/>
    <w:rPr>
      <w:rFonts w:ascii="Times New Roman" w:hAnsi="Times New Roman" w:eastAsia="宋体" w:cs="Times New Roman"/>
      <w:kern w:val="2"/>
      <w:sz w:val="21"/>
      <w:szCs w:val="24"/>
      <w:lang w:val="en-US" w:eastAsia="zh-CN" w:bidi="ar-SA"/>
    </w:rPr>
  </w:style>
  <w:style w:type="paragraph" w:customStyle="1" w:styleId="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92">
    <w:name w:val="xl4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3">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95">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97">
    <w:name w:val="font10"/>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98">
    <w:name w:val="标题 3 New"/>
    <w:basedOn w:val="76"/>
    <w:next w:val="76"/>
    <w:qFormat/>
    <w:uiPriority w:val="0"/>
    <w:pPr>
      <w:keepNext/>
      <w:keepLines/>
      <w:spacing w:line="360" w:lineRule="auto"/>
      <w:ind w:firstLine="200" w:firstLineChars="200"/>
      <w:outlineLvl w:val="2"/>
    </w:pPr>
    <w:rPr>
      <w:b/>
      <w:bCs/>
      <w:szCs w:val="32"/>
    </w:rPr>
  </w:style>
  <w:style w:type="paragraph" w:customStyle="1" w:styleId="99">
    <w:name w:val="样式1"/>
    <w:basedOn w:val="1"/>
    <w:qFormat/>
    <w:uiPriority w:val="0"/>
    <w:pPr>
      <w:adjustRightInd w:val="0"/>
      <w:spacing w:before="360" w:after="240" w:line="360" w:lineRule="auto"/>
      <w:jc w:val="center"/>
      <w:textAlignment w:val="baseline"/>
    </w:pPr>
    <w:rPr>
      <w:rFonts w:ascii="黑体" w:eastAsia="黑体"/>
      <w:kern w:val="0"/>
      <w:sz w:val="32"/>
      <w:szCs w:val="20"/>
    </w:rPr>
  </w:style>
  <w:style w:type="paragraph" w:customStyle="1" w:styleId="100">
    <w:name w:val="xl3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1">
    <w:name w:val="样式 标题 2 + 宋体 四号 居中"/>
    <w:basedOn w:val="4"/>
    <w:qFormat/>
    <w:uiPriority w:val="0"/>
    <w:pPr>
      <w:keepLines/>
      <w:numPr>
        <w:numId w:val="0"/>
      </w:numPr>
      <w:tabs>
        <w:tab w:val="clear" w:pos="960"/>
      </w:tabs>
      <w:spacing w:before="260" w:after="260" w:line="415" w:lineRule="auto"/>
    </w:pPr>
    <w:rPr>
      <w:rFonts w:ascii="宋体" w:hAnsi="宋体" w:eastAsia="宋体" w:cs="宋体"/>
      <w:color w:val="auto"/>
      <w:sz w:val="30"/>
    </w:rPr>
  </w:style>
  <w:style w:type="paragraph" w:customStyle="1" w:styleId="102">
    <w:name w:val="_Style 99"/>
    <w:basedOn w:val="3"/>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03">
    <w:name w:val="表格文字"/>
    <w:basedOn w:val="1"/>
    <w:qFormat/>
    <w:uiPriority w:val="0"/>
    <w:pPr>
      <w:adjustRightInd w:val="0"/>
      <w:spacing w:line="420" w:lineRule="atLeast"/>
      <w:jc w:val="left"/>
      <w:textAlignment w:val="baseline"/>
    </w:pPr>
    <w:rPr>
      <w:kern w:val="0"/>
      <w:szCs w:val="20"/>
    </w:rPr>
  </w:style>
  <w:style w:type="paragraph" w:customStyle="1" w:styleId="1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4"/>
    </w:rPr>
  </w:style>
  <w:style w:type="paragraph" w:customStyle="1" w:styleId="10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06">
    <w:name w:val="font9"/>
    <w:basedOn w:val="1"/>
    <w:qFormat/>
    <w:uiPriority w:val="0"/>
    <w:pPr>
      <w:widowControl/>
      <w:spacing w:before="100" w:beforeAutospacing="1" w:after="100" w:afterAutospacing="1"/>
      <w:jc w:val="left"/>
    </w:pPr>
    <w:rPr>
      <w:kern w:val="0"/>
      <w:sz w:val="24"/>
      <w:u w:val="single"/>
    </w:rPr>
  </w:style>
  <w:style w:type="paragraph" w:customStyle="1" w:styleId="1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08">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9">
    <w:name w:val="Char"/>
    <w:basedOn w:val="1"/>
    <w:qFormat/>
    <w:uiPriority w:val="0"/>
    <w:pPr>
      <w:widowControl/>
      <w:spacing w:after="160" w:line="240" w:lineRule="exact"/>
      <w:jc w:val="left"/>
    </w:pPr>
    <w:rPr>
      <w:szCs w:val="20"/>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1">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3">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4">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kern w:val="0"/>
      <w:sz w:val="24"/>
    </w:rPr>
  </w:style>
  <w:style w:type="paragraph" w:customStyle="1" w:styleId="115">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6">
    <w:name w:val="xl4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117">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character" w:customStyle="1" w:styleId="118">
    <w:name w:val="文档结构图 字符"/>
    <w:link w:val="15"/>
    <w:qFormat/>
    <w:uiPriority w:val="0"/>
    <w:rPr>
      <w:rFonts w:eastAsia="宋体"/>
      <w:kern w:val="2"/>
      <w:sz w:val="21"/>
      <w:szCs w:val="24"/>
      <w:lang w:val="en-US" w:eastAsia="zh-CN" w:bidi="ar-SA"/>
    </w:rPr>
  </w:style>
  <w:style w:type="character" w:customStyle="1" w:styleId="119">
    <w:name w:val="正文文本缩进 3 字符"/>
    <w:link w:val="30"/>
    <w:qFormat/>
    <w:uiPriority w:val="0"/>
    <w:rPr>
      <w:rFonts w:ascii="宋体" w:hAnsi="宋体" w:eastAsia="宋体"/>
      <w:kern w:val="2"/>
      <w:sz w:val="21"/>
      <w:szCs w:val="21"/>
      <w:lang w:val="en-US" w:eastAsia="zh-CN" w:bidi="ar-SA"/>
    </w:rPr>
  </w:style>
  <w:style w:type="character" w:customStyle="1" w:styleId="120">
    <w:name w:val="脚注文本 字符"/>
    <w:link w:val="29"/>
    <w:qFormat/>
    <w:uiPriority w:val="0"/>
    <w:rPr>
      <w:rFonts w:eastAsia="宋体"/>
      <w:kern w:val="2"/>
      <w:sz w:val="18"/>
      <w:lang w:val="en-US" w:eastAsia="zh-CN" w:bidi="ar-SA"/>
    </w:rPr>
  </w:style>
  <w:style w:type="character" w:customStyle="1" w:styleId="121">
    <w:name w:val="正文文本 字符"/>
    <w:link w:val="2"/>
    <w:qFormat/>
    <w:uiPriority w:val="0"/>
    <w:rPr>
      <w:rFonts w:eastAsia="宋体"/>
      <w:kern w:val="2"/>
      <w:sz w:val="21"/>
      <w:szCs w:val="24"/>
      <w:lang w:val="en-US" w:eastAsia="zh-CN" w:bidi="ar-SA"/>
    </w:rPr>
  </w:style>
  <w:style w:type="character" w:customStyle="1" w:styleId="122">
    <w:name w:val="我的正文 Char Char"/>
    <w:link w:val="62"/>
    <w:qFormat/>
    <w:uiPriority w:val="0"/>
    <w:rPr>
      <w:rFonts w:ascii="宋体" w:hAnsi="宋体" w:eastAsia="宋体"/>
      <w:kern w:val="2"/>
      <w:sz w:val="24"/>
      <w:szCs w:val="24"/>
      <w:lang w:val="en-US" w:eastAsia="zh-CN" w:bidi="ar-SA"/>
    </w:rPr>
  </w:style>
  <w:style w:type="character" w:customStyle="1" w:styleId="123">
    <w:name w:val="标题 6 字符"/>
    <w:link w:val="10"/>
    <w:qFormat/>
    <w:uiPriority w:val="0"/>
    <w:rPr>
      <w:rFonts w:ascii="Arial" w:hAnsi="Arial" w:eastAsia="黑体"/>
      <w:b/>
      <w:bCs/>
      <w:sz w:val="24"/>
      <w:szCs w:val="24"/>
      <w:lang w:val="en-US" w:eastAsia="zh-CN" w:bidi="ar-SA"/>
    </w:rPr>
  </w:style>
  <w:style w:type="character" w:customStyle="1" w:styleId="124">
    <w:name w:val="尾注文本 字符"/>
    <w:link w:val="24"/>
    <w:qFormat/>
    <w:uiPriority w:val="0"/>
    <w:rPr>
      <w:rFonts w:eastAsia="宋体"/>
      <w:kern w:val="2"/>
      <w:sz w:val="21"/>
      <w:lang w:val="en-US" w:eastAsia="zh-CN" w:bidi="ar-SA"/>
    </w:rPr>
  </w:style>
  <w:style w:type="character" w:customStyle="1" w:styleId="125">
    <w:name w:val="批注框文本 字符"/>
    <w:link w:val="25"/>
    <w:qFormat/>
    <w:uiPriority w:val="0"/>
    <w:rPr>
      <w:rFonts w:eastAsia="宋体"/>
      <w:kern w:val="2"/>
      <w:sz w:val="18"/>
      <w:szCs w:val="18"/>
      <w:lang w:val="en-US" w:eastAsia="zh-CN" w:bidi="ar-SA"/>
    </w:rPr>
  </w:style>
  <w:style w:type="character" w:customStyle="1" w:styleId="126">
    <w:name w:val="标题 4 字符"/>
    <w:link w:val="8"/>
    <w:qFormat/>
    <w:uiPriority w:val="0"/>
    <w:rPr>
      <w:rFonts w:ascii="方正姚体" w:eastAsia="方正姚体"/>
      <w:kern w:val="2"/>
      <w:sz w:val="36"/>
      <w:szCs w:val="32"/>
      <w:lang w:val="en-US" w:eastAsia="zh-CN" w:bidi="ar-SA"/>
    </w:rPr>
  </w:style>
  <w:style w:type="character" w:customStyle="1" w:styleId="127">
    <w:name w:val="标题 字符"/>
    <w:link w:val="35"/>
    <w:qFormat/>
    <w:uiPriority w:val="0"/>
    <w:rPr>
      <w:rFonts w:ascii="Arial" w:hAnsi="Arial" w:eastAsia="宋体"/>
      <w:b/>
      <w:sz w:val="32"/>
      <w:lang w:val="en-US" w:eastAsia="zh-CN" w:bidi="ar-SA"/>
    </w:rPr>
  </w:style>
  <w:style w:type="character" w:customStyle="1" w:styleId="128">
    <w:name w:val="批注文字 字符"/>
    <w:link w:val="16"/>
    <w:qFormat/>
    <w:uiPriority w:val="0"/>
    <w:rPr>
      <w:rFonts w:eastAsia="宋体"/>
      <w:kern w:val="2"/>
      <w:sz w:val="21"/>
      <w:szCs w:val="24"/>
      <w:lang w:val="en-US" w:eastAsia="zh-CN" w:bidi="ar-SA"/>
    </w:rPr>
  </w:style>
  <w:style w:type="character" w:customStyle="1" w:styleId="129">
    <w:name w:val="页眉 字符"/>
    <w:link w:val="27"/>
    <w:qFormat/>
    <w:uiPriority w:val="99"/>
    <w:rPr>
      <w:rFonts w:eastAsia="宋体"/>
      <w:kern w:val="2"/>
      <w:sz w:val="18"/>
      <w:szCs w:val="18"/>
      <w:lang w:val="en-US" w:eastAsia="zh-CN" w:bidi="ar-SA"/>
    </w:rPr>
  </w:style>
  <w:style w:type="character" w:customStyle="1" w:styleId="130">
    <w:name w:val="标题 9 字符"/>
    <w:link w:val="13"/>
    <w:qFormat/>
    <w:uiPriority w:val="0"/>
    <w:rPr>
      <w:rFonts w:ascii="Arial" w:hAnsi="Arial" w:eastAsia="黑体"/>
      <w:sz w:val="21"/>
      <w:szCs w:val="21"/>
      <w:lang w:val="en-US" w:eastAsia="zh-CN" w:bidi="ar-SA"/>
    </w:rPr>
  </w:style>
  <w:style w:type="character" w:customStyle="1" w:styleId="131">
    <w:name w:val="标题 8 字符"/>
    <w:link w:val="12"/>
    <w:qFormat/>
    <w:uiPriority w:val="0"/>
    <w:rPr>
      <w:rFonts w:ascii="Arial" w:hAnsi="Arial" w:eastAsia="黑体"/>
      <w:sz w:val="24"/>
      <w:szCs w:val="24"/>
      <w:lang w:val="en-US" w:eastAsia="zh-CN" w:bidi="ar-SA"/>
    </w:rPr>
  </w:style>
  <w:style w:type="character" w:customStyle="1" w:styleId="132">
    <w:name w:val="标题 2 字符"/>
    <w:link w:val="4"/>
    <w:qFormat/>
    <w:uiPriority w:val="0"/>
    <w:rPr>
      <w:rFonts w:ascii="黑体" w:eastAsia="黑体"/>
      <w:color w:val="000000"/>
      <w:kern w:val="2"/>
      <w:sz w:val="28"/>
      <w:lang w:val="en-US" w:eastAsia="zh-CN" w:bidi="ar-SA"/>
    </w:rPr>
  </w:style>
  <w:style w:type="character" w:customStyle="1" w:styleId="133">
    <w:name w:val="正文文本缩进 字符"/>
    <w:link w:val="18"/>
    <w:qFormat/>
    <w:uiPriority w:val="0"/>
    <w:rPr>
      <w:rFonts w:ascii="宋体" w:eastAsia="宋体"/>
      <w:kern w:val="2"/>
      <w:sz w:val="24"/>
      <w:szCs w:val="24"/>
      <w:lang w:val="en-US" w:eastAsia="zh-CN" w:bidi="ar-SA"/>
    </w:rPr>
  </w:style>
  <w:style w:type="character" w:customStyle="1" w:styleId="134">
    <w:name w:val="正文文本 3 字符"/>
    <w:link w:val="17"/>
    <w:qFormat/>
    <w:uiPriority w:val="0"/>
    <w:rPr>
      <w:rFonts w:ascii="宋体" w:eastAsia="宋体"/>
      <w:color w:val="000000"/>
      <w:kern w:val="2"/>
      <w:sz w:val="32"/>
      <w:lang w:val="en-US" w:eastAsia="zh-CN" w:bidi="ar-SA"/>
    </w:rPr>
  </w:style>
  <w:style w:type="character" w:customStyle="1" w:styleId="135">
    <w:name w:val="正文文本 2 字符"/>
    <w:link w:val="32"/>
    <w:qFormat/>
    <w:uiPriority w:val="0"/>
    <w:rPr>
      <w:rFonts w:ascii="宋体" w:eastAsia="宋体"/>
      <w:kern w:val="2"/>
      <w:sz w:val="28"/>
      <w:lang w:val="en-US" w:eastAsia="zh-CN" w:bidi="ar-SA"/>
    </w:rPr>
  </w:style>
  <w:style w:type="character" w:customStyle="1" w:styleId="136">
    <w:name w:val="标题 7 字符"/>
    <w:link w:val="11"/>
    <w:qFormat/>
    <w:uiPriority w:val="0"/>
    <w:rPr>
      <w:rFonts w:eastAsia="宋体"/>
      <w:b/>
      <w:bCs/>
      <w:sz w:val="24"/>
      <w:szCs w:val="24"/>
      <w:lang w:val="en-US" w:eastAsia="zh-CN" w:bidi="ar-SA"/>
    </w:rPr>
  </w:style>
  <w:style w:type="character" w:customStyle="1" w:styleId="137">
    <w:name w:val="标题 3 字符"/>
    <w:link w:val="7"/>
    <w:qFormat/>
    <w:uiPriority w:val="0"/>
    <w:rPr>
      <w:rFonts w:ascii="黑体" w:eastAsia="黑体"/>
      <w:color w:val="000000"/>
      <w:kern w:val="2"/>
      <w:sz w:val="32"/>
      <w:lang w:val="en-US" w:eastAsia="zh-CN" w:bidi="ar-SA"/>
    </w:rPr>
  </w:style>
  <w:style w:type="character" w:customStyle="1" w:styleId="138">
    <w:name w:val="纯文本 字符"/>
    <w:link w:val="21"/>
    <w:qFormat/>
    <w:uiPriority w:val="0"/>
    <w:rPr>
      <w:rFonts w:ascii="宋体" w:hAnsi="Courier New" w:eastAsia="宋体" w:cs="黑体"/>
      <w:sz w:val="21"/>
      <w:szCs w:val="21"/>
      <w:lang w:val="en-US" w:eastAsia="zh-CN" w:bidi="ar-SA"/>
    </w:rPr>
  </w:style>
  <w:style w:type="character" w:customStyle="1" w:styleId="139">
    <w:name w:val="页脚 字符"/>
    <w:link w:val="26"/>
    <w:qFormat/>
    <w:uiPriority w:val="99"/>
    <w:rPr>
      <w:rFonts w:eastAsia="宋体"/>
      <w:kern w:val="2"/>
      <w:sz w:val="18"/>
      <w:lang w:val="en-US" w:eastAsia="zh-CN" w:bidi="ar-SA"/>
    </w:rPr>
  </w:style>
  <w:style w:type="paragraph" w:customStyle="1" w:styleId="140">
    <w:name w:val="无间隔1"/>
    <w:qFormat/>
    <w:uiPriority w:val="1"/>
    <w:pPr>
      <w:adjustRightInd w:val="0"/>
      <w:snapToGrid w:val="0"/>
    </w:pPr>
    <w:rPr>
      <w:rFonts w:ascii="Tahoma" w:hAnsi="Tahoma" w:eastAsia="微软雅黑" w:cstheme="minorBidi"/>
      <w:sz w:val="22"/>
      <w:szCs w:val="22"/>
      <w:lang w:val="en-US" w:eastAsia="zh-CN" w:bidi="ar-SA"/>
    </w:rPr>
  </w:style>
  <w:style w:type="paragraph" w:customStyle="1" w:styleId="141">
    <w:name w:val="正文1"/>
    <w:basedOn w:val="1"/>
    <w:qFormat/>
    <w:uiPriority w:val="0"/>
    <w:pPr>
      <w:spacing w:line="360" w:lineRule="auto"/>
      <w:ind w:firstLine="480"/>
    </w:pPr>
    <w:rPr>
      <w:rFonts w:ascii="宋体" w:hAnsi="宋体"/>
      <w:sz w:val="24"/>
    </w:rPr>
  </w:style>
  <w:style w:type="paragraph" w:styleId="142">
    <w:name w:val="List Paragraph"/>
    <w:basedOn w:val="1"/>
    <w:qFormat/>
    <w:uiPriority w:val="34"/>
    <w:pPr>
      <w:ind w:firstLine="420" w:firstLineChars="200"/>
    </w:pPr>
  </w:style>
  <w:style w:type="paragraph" w:customStyle="1" w:styleId="143">
    <w:name w:val="模板正文"/>
    <w:basedOn w:val="1"/>
    <w:qFormat/>
    <w:uiPriority w:val="0"/>
    <w:pPr>
      <w:wordWrap w:val="0"/>
      <w:spacing w:line="360" w:lineRule="auto"/>
      <w:ind w:firstLine="200" w:firstLineChars="200"/>
    </w:pPr>
    <w:rPr>
      <w:rFonts w:eastAsia="仿宋_GB2312"/>
      <w:sz w:val="28"/>
      <w:szCs w:val="21"/>
    </w:rPr>
  </w:style>
  <w:style w:type="paragraph" w:customStyle="1" w:styleId="144">
    <w:name w:val="title1"/>
    <w:basedOn w:val="1"/>
    <w:qFormat/>
    <w:uiPriority w:val="0"/>
    <w:pPr>
      <w:widowControl/>
      <w:jc w:val="left"/>
    </w:pPr>
    <w:rPr>
      <w:rFonts w:ascii="宋体" w:hAnsi="宋体" w:cs="宋体"/>
      <w:kern w:val="0"/>
      <w:sz w:val="24"/>
    </w:rPr>
  </w:style>
  <w:style w:type="character" w:customStyle="1" w:styleId="145">
    <w:name w:val="apple-converted-space"/>
    <w:basedOn w:val="40"/>
    <w:qFormat/>
    <w:uiPriority w:val="0"/>
  </w:style>
  <w:style w:type="paragraph" w:customStyle="1" w:styleId="146">
    <w:name w:val="!表格正文"/>
    <w:basedOn w:val="1"/>
    <w:qFormat/>
    <w:uiPriority w:val="0"/>
    <w:pPr>
      <w:tabs>
        <w:tab w:val="left" w:pos="472"/>
      </w:tabs>
      <w:jc w:val="center"/>
    </w:pPr>
    <w:rPr>
      <w:bCs/>
      <w:szCs w:val="21"/>
    </w:rPr>
  </w:style>
  <w:style w:type="paragraph" w:customStyle="1" w:styleId="147">
    <w:name w:val="标题1"/>
    <w:basedOn w:val="1"/>
    <w:next w:val="1"/>
    <w:qFormat/>
    <w:uiPriority w:val="0"/>
    <w:pPr>
      <w:numPr>
        <w:ilvl w:val="0"/>
        <w:numId w:val="5"/>
      </w:numPr>
      <w:spacing w:before="312" w:beforeLines="100" w:after="312" w:afterLines="100"/>
      <w:outlineLvl w:val="0"/>
    </w:pPr>
    <w:rPr>
      <w:rFonts w:ascii="Calibri" w:hAnsi="Calibri"/>
      <w:b/>
      <w:sz w:val="3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DC151-F67E-4069-97C2-360030328A78}">
  <ds:schemaRefs/>
</ds:datastoreItem>
</file>

<file path=docProps/app.xml><?xml version="1.0" encoding="utf-8"?>
<Properties xmlns="http://schemas.openxmlformats.org/officeDocument/2006/extended-properties" xmlns:vt="http://schemas.openxmlformats.org/officeDocument/2006/docPropsVTypes">
  <Template>Normal</Template>
  <Company>jtj</Company>
  <Pages>80</Pages>
  <Words>42220</Words>
  <Characters>46447</Characters>
  <Lines>377</Lines>
  <Paragraphs>106</Paragraphs>
  <TotalTime>2</TotalTime>
  <ScaleCrop>false</ScaleCrop>
  <LinksUpToDate>false</LinksUpToDate>
  <CharactersWithSpaces>51638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2023-04-06T02:08:00Z</dcterms:created>
  <dc:creator>user25</dc:creator>
  <cp:lastModifiedBy>庞冰倩</cp:lastModifiedBy>
  <cp:lastPrinted>2019-09-30T06:46:00Z</cp:lastPrinted>
  <dcterms:modified xsi:type="dcterms:W3CDTF">2023-04-10T09:24:58Z</dcterms:modified>
  <dc:title>第一篇    投标邀请书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EAF11F3E45B84503B5B002ABFE97FC6D</vt:lpwstr>
  </property>
</Properties>
</file>