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" w:lineRule="atLeas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bookmarkStart w:id="0" w:name="bookmark63"/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一、项目概况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辅助人员业务技能培训项目，分批次对支队辅助人员骨干进行轮训，实现参与培训辅助人员政治素养、法律素养、业务素养、实战能力和作风形象的全面提升；对新招聘辅助人员进行岗前培训，实现新招聘辅助人员具备岗位要求基本的专业能力、实战能力和纪律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" w:lineRule="atLeas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bookmarkStart w:id="1" w:name="bookmark65"/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二、服务内容</w:t>
      </w:r>
      <w:bookmarkEnd w:id="1"/>
    </w:p>
    <w:tbl>
      <w:tblPr>
        <w:tblStyle w:val="3"/>
        <w:tblW w:w="5191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3801"/>
        <w:gridCol w:w="1543"/>
        <w:gridCol w:w="1508"/>
        <w:gridCol w:w="1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1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培训名称</w:t>
            </w:r>
          </w:p>
        </w:tc>
        <w:tc>
          <w:tcPr>
            <w:tcW w:w="8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参训总人数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（人次）</w:t>
            </w:r>
          </w:p>
        </w:tc>
        <w:tc>
          <w:tcPr>
            <w:tcW w:w="8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培训总天数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（天）</w:t>
            </w:r>
          </w:p>
        </w:tc>
        <w:tc>
          <w:tcPr>
            <w:tcW w:w="6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期数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新招聘辅助人员岗前培训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辅助人员“小教官”业务技能培训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" w:lineRule="atLeas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bookmarkStart w:id="2" w:name="bookmark69"/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三、服务要求</w:t>
      </w:r>
      <w:bookmarkEnd w:id="2"/>
    </w:p>
    <w:tbl>
      <w:tblPr>
        <w:tblStyle w:val="3"/>
        <w:tblW w:w="8956" w:type="dxa"/>
        <w:tblInd w:w="-26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79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196" w:hRule="atLeast"/>
        </w:trPr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7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具体内容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613" w:hRule="atLeast"/>
        </w:trPr>
        <w:tc>
          <w:tcPr>
            <w:tcW w:w="978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住 宿</w:t>
            </w:r>
          </w:p>
        </w:tc>
        <w:tc>
          <w:tcPr>
            <w:tcW w:w="797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5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1.以标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准间为准，同时能容纳下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人入住，房间应有独立卫生间、空调、洗浴等设备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7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5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2.以三人间为准，同时能容纳下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人入住，房间应有独立卫生间、空调、洗浴等设备。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97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5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3.以标准大学宿舍为准，同时容纳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人入住，房间应有独立卫生间、空调、洗浴等设备。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78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餐 饮</w:t>
            </w:r>
          </w:p>
        </w:tc>
        <w:tc>
          <w:tcPr>
            <w:tcW w:w="797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5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1.有独立自助餐区域，可同时容纳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人就餐。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97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5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.有回民专用就餐区域，且食材符合回民就餐要求。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97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5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.有生活超市1间，可满足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人日常生活需要。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78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场 地</w:t>
            </w:r>
          </w:p>
        </w:tc>
        <w:tc>
          <w:tcPr>
            <w:tcW w:w="797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5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1.阶梯教室1间，可同时容纳200人就坐，且教室有投影仪、无线话筒、会议话筒、电脑等上课设备。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710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97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5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2.小教室4间，每间教室课容纳30-40人进行分组讨论，且教室有投影仪、无线话筒、会议话筒、电脑等上课设备。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97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5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3.椭圆形布置会议室1间，可容纳20人同时就坐，且有会议话筒、音响等设备。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981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97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5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4.警务实战训练场地1块，可同时容纳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人进行训练，且场地可进行安全警戒线设置，具备公安交通管理业务实训设施，确保警务实战训练和课程顺利进行。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487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97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5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5.标准室外训练场1块，可同时容纳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人进行集训和正常活动。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97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5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.摩托车训练场地1块，可同时容纳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人进行驾驶技能集训，同时容纳40辆以上摩托车训练。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</w:trPr>
        <w:tc>
          <w:tcPr>
            <w:tcW w:w="978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和师资</w:t>
            </w:r>
          </w:p>
        </w:tc>
        <w:tc>
          <w:tcPr>
            <w:tcW w:w="797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5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1.保密教育课程。可提供保密教育相关课程及师资。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5" w:lineRule="atLeast"/>
              <w:ind w:firstLine="240" w:firstLineChars="100"/>
              <w:jc w:val="left"/>
              <w:textAlignment w:val="auto"/>
              <w:rPr>
                <w:rStyle w:val="5"/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97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5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2.业务培训课程。针对业务工作的相关课程及师资。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3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5" w:lineRule="atLeast"/>
              <w:ind w:firstLine="240" w:firstLineChars="100"/>
              <w:jc w:val="left"/>
              <w:textAlignment w:val="auto"/>
              <w:rPr>
                <w:rStyle w:val="5"/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97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5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3.政治培训课程。可提供政治培训相关课程及师资。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5" w:lineRule="atLeast"/>
              <w:ind w:firstLine="240" w:firstLineChars="100"/>
              <w:jc w:val="left"/>
              <w:textAlignment w:val="auto"/>
              <w:rPr>
                <w:rStyle w:val="5"/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97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5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4.党建培训课程。可提供党建培训相关课程及师资。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1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5" w:lineRule="atLeast"/>
              <w:ind w:firstLine="240" w:firstLineChars="100"/>
              <w:jc w:val="left"/>
              <w:textAlignment w:val="auto"/>
              <w:rPr>
                <w:rStyle w:val="5"/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97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5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5.现场教学课程。可提供相关工作类现场教学课程及师资。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90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5" w:lineRule="atLeast"/>
              <w:ind w:firstLine="240" w:firstLineChars="100"/>
              <w:jc w:val="left"/>
              <w:textAlignment w:val="auto"/>
              <w:rPr>
                <w:rStyle w:val="5"/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97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5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6.公安交通管理业务课程。可提供与公安交通管理培训相关课程及师资。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90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5" w:lineRule="atLeast"/>
              <w:ind w:firstLine="240" w:firstLineChars="100"/>
              <w:jc w:val="left"/>
              <w:textAlignment w:val="auto"/>
              <w:rPr>
                <w:rStyle w:val="5"/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97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5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7.规范化执法课程。可提供与公安执勤执法培训相关课程及师资。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9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5" w:lineRule="atLeast"/>
              <w:ind w:firstLine="240" w:firstLineChars="100"/>
              <w:jc w:val="left"/>
              <w:textAlignment w:val="auto"/>
              <w:rPr>
                <w:rStyle w:val="5"/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97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5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8.舆情处置课程。可提供与舆情处置培训相关课程及师资。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4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5" w:lineRule="atLeast"/>
              <w:ind w:firstLine="240" w:firstLineChars="100"/>
              <w:jc w:val="left"/>
              <w:textAlignment w:val="auto"/>
              <w:rPr>
                <w:rStyle w:val="5"/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97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5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9.工作礼仪课程。可提供与工作礼仪培训相关课程及师资。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51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5" w:lineRule="atLeast"/>
              <w:ind w:firstLine="240" w:firstLineChars="100"/>
              <w:jc w:val="left"/>
              <w:textAlignment w:val="auto"/>
              <w:rPr>
                <w:rStyle w:val="5"/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97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5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10.其他课程。可提供与业务工作相关的其他课程及师资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5" w:lineRule="atLeast"/>
              <w:ind w:firstLine="240" w:firstLineChars="100"/>
              <w:jc w:val="left"/>
              <w:textAlignment w:val="auto"/>
              <w:rPr>
                <w:rStyle w:val="5"/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97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5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11.各专业课程讲师必须取得各自所培训课程的培训资格，提供相关证明文件。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" w:lineRule="atLeas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bookmarkStart w:id="3" w:name="bookmark71"/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、商务要求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（一）服务期限及地点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5" w:lineRule="atLeas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>.服务期限：自合同签订之日起至11月底，按照采购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val="en-US" w:eastAsia="zh-CN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>需求分为3期完成全部培训。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5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>.服务地点：西安市公安局交通警察支队指定地点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（二）款项结算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5" w:lineRule="atLeas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>根据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>工作实际需求进行分批培训。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5" w:lineRule="atLeas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>合同签订后10个工作日内支付合同总价款的50%作为预付款。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5" w:lineRule="atLeas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>全部培训完成后，由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>按照工作程序进行验收、审计项目履约完成情况。验收、审计完成后，由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>给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>开具全额发票，10个工作日内支付合同剩余尾款，最终尾款支付金额以审计金额为准。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5" w:lineRule="atLeas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val="en-US" w:eastAsia="zh-CN"/>
        </w:rPr>
        <w:t>4.支付方式：银行转账。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5" w:lineRule="atLeas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val="en-US" w:eastAsia="zh-CN"/>
        </w:rPr>
        <w:t>5.结算方式：验收合格后填写政府采购项目验收单（一式伍份）、发票（按合同总价直开采购人），供应商持中标（成交）通知书、服务合同、发票、政府采购项目验收单，与采购人进行结算。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（三）合同实施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5" w:lineRule="atLeas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val="en-US" w:eastAsia="zh-CN"/>
        </w:rPr>
        <w:t>1.供应商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>应在合同签订后接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>通知之日起7个日历日内安排人员与使用单位对实施服务进行安排、部署、计划。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5" w:lineRule="atLeas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>若未能在按照项目实际工作时间完成规定的义务，由此对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>造成的延误和一切损失，由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>承担和赔偿。</w:t>
      </w: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0YjRmMjZlOTQwOTBjZTcyMmY4ZDJlZTk4NmNjZjcifQ=="/>
  </w:docVars>
  <w:rsids>
    <w:rsidRoot w:val="00000000"/>
    <w:rsid w:val="641D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rPr>
      <w:rFonts w:ascii="Times New Roman" w:hAnsi="Times New Roman" w:cs="Times New Roman"/>
      <w:szCs w:val="20"/>
    </w:rPr>
  </w:style>
  <w:style w:type="character" w:customStyle="1" w:styleId="5">
    <w:name w:val="NormalCharacter"/>
    <w:semiHidden/>
    <w:qFormat/>
    <w:uiPriority w:val="0"/>
    <w:rPr>
      <w:sz w:val="24"/>
      <w:szCs w:val="24"/>
    </w:rPr>
  </w:style>
  <w:style w:type="paragraph" w:customStyle="1" w:styleId="6">
    <w:name w:val="正文文本1"/>
    <w:basedOn w:val="1"/>
    <w:uiPriority w:val="0"/>
    <w:pPr>
      <w:spacing w:after="130" w:line="324" w:lineRule="auto"/>
      <w:ind w:firstLine="400"/>
      <w:jc w:val="left"/>
    </w:pPr>
    <w:rPr>
      <w:rFonts w:ascii="宋体" w:hAnsi="宋体" w:eastAsia="宋体" w:cs="宋体"/>
      <w:color w:val="E47A6E"/>
      <w:sz w:val="20"/>
      <w:szCs w:val="2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2023-05-12T09:40:40Z</dcterms:created>
  <dc:creator>win 10</dc:creator>
  <cp:lastModifiedBy>TinG丶</cp:lastModifiedBy>
  <dcterms:modified xsi:type="dcterms:W3CDTF">2023-05-12T09:41:00Z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B2CDB10298E243E688EB3EADD5CBD4F8_12</vt:lpwstr>
  </property>
</Properties>
</file>